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4064E8" w14:textId="77777777" w:rsidR="00932F87" w:rsidRDefault="00000000">
      <w:pPr>
        <w:pStyle w:val="Title"/>
        <w:spacing w:before="200"/>
        <w:jc w:val="both"/>
        <w:rPr>
          <w:sz w:val="40"/>
          <w:szCs w:val="40"/>
        </w:rPr>
      </w:pPr>
      <w:bookmarkStart w:id="0" w:name="_6b6mxved8pk5" w:colFirst="0" w:colLast="0"/>
      <w:bookmarkEnd w:id="0"/>
      <w:r>
        <w:rPr>
          <w:sz w:val="40"/>
          <w:szCs w:val="40"/>
        </w:rPr>
        <w:t>The utility of MRI radiological biomarkers in determining intracranial pressure</w:t>
      </w:r>
    </w:p>
    <w:p w14:paraId="4E6C1962" w14:textId="77777777" w:rsidR="00932F87" w:rsidRDefault="00932F87"/>
    <w:p w14:paraId="24169D3E" w14:textId="77777777" w:rsidR="00932F87" w:rsidRDefault="00000000">
      <w:pPr>
        <w:pStyle w:val="Subtitle"/>
      </w:pPr>
      <w:bookmarkStart w:id="1" w:name="_yueu2saevtgi" w:colFirst="0" w:colLast="0"/>
      <w:bookmarkEnd w:id="1"/>
      <w:r>
        <w:t>Supplementary Material</w:t>
      </w:r>
    </w:p>
    <w:p w14:paraId="129B28CC" w14:textId="77777777" w:rsidR="00932F87" w:rsidRDefault="00000000">
      <w:pPr>
        <w:pStyle w:val="Heading1"/>
        <w:spacing w:before="200" w:after="320"/>
        <w:jc w:val="both"/>
      </w:pPr>
      <w:bookmarkStart w:id="2" w:name="_pjnxuzkpfkgv" w:colFirst="0" w:colLast="0"/>
      <w:bookmarkEnd w:id="2"/>
      <w:r>
        <w:br w:type="page"/>
      </w:r>
    </w:p>
    <w:p w14:paraId="6578C258" w14:textId="77777777" w:rsidR="00932F87" w:rsidRDefault="00000000">
      <w:pPr>
        <w:pStyle w:val="Heading1"/>
        <w:spacing w:before="200" w:after="320"/>
        <w:jc w:val="both"/>
      </w:pPr>
      <w:bookmarkStart w:id="3" w:name="_e7pxaes1yku2" w:colFirst="0" w:colLast="0"/>
      <w:bookmarkEnd w:id="3"/>
      <w:r>
        <w:lastRenderedPageBreak/>
        <w:t>Supplementary Methods</w:t>
      </w:r>
    </w:p>
    <w:p w14:paraId="64C49890" w14:textId="77777777" w:rsidR="00932F87" w:rsidRDefault="00000000">
      <w:pPr>
        <w:pStyle w:val="Heading2"/>
      </w:pPr>
      <w:bookmarkStart w:id="4" w:name="_3wrjb7dzhpin" w:colFirst="0" w:colLast="0"/>
      <w:bookmarkEnd w:id="4"/>
      <w:r>
        <w:t>Neuroradiology: biomarker assessment</w:t>
      </w:r>
    </w:p>
    <w:p w14:paraId="651DAA0C" w14:textId="4B545279" w:rsidR="00932F87" w:rsidRDefault="00000000">
      <w:pPr>
        <w:spacing w:before="200"/>
        <w:ind w:firstLine="720"/>
        <w:jc w:val="both"/>
      </w:pPr>
      <w:r>
        <w:t xml:space="preserve">First, an initial subsample of patients with exemplar images were verified and graded. These were reported by a board-certified </w:t>
      </w:r>
      <w:proofErr w:type="gramStart"/>
      <w:r>
        <w:t>neuroradiologist</w:t>
      </w:r>
      <w:proofErr w:type="gramEnd"/>
      <w:r>
        <w:t xml:space="preserve"> and their grading confirmed by an adult hydrocephalus neurosurgical consultant (A.K.T). Second, these images were used as an educational training set for a cohort of medical and clinical neuroscience trainees, who were initially tested to ensure quality assurance and then permitted to grade the remainder of the sample using a crowd-based annotation approach </w:t>
      </w:r>
      <w:hyperlink r:id="rId6">
        <w:r>
          <w:rPr>
            <w:color w:val="000000"/>
          </w:rPr>
          <w:t>[1]</w:t>
        </w:r>
      </w:hyperlink>
      <w:r>
        <w:t>. Each patient’s scans were independently scored by two reviewers, masked to the results of their ICP monitoring results and clinical diagnosis. Any discrepancies between reviewers’ scores were resolved with mediation by a senior neurosurgical resident (A.S.P) with an extensive background in neuroimaging. Finally, gradings were independently assessed by a board-certified neuroradiologist (J.R.) using a randomised 1 in 4 sub</w:t>
      </w:r>
      <w:r w:rsidR="00636183">
        <w:t>-</w:t>
      </w:r>
      <w:r>
        <w:t xml:space="preserve">sample. For this data, inter-rater reliability for continuous data (Yuh) was assessed using the intra-class coefficient with a result of 0.85, indicating ‘excellent’ inter-rater agreement </w:t>
      </w:r>
      <w:hyperlink r:id="rId7">
        <w:r>
          <w:rPr>
            <w:color w:val="000000"/>
          </w:rPr>
          <w:t>[2]</w:t>
        </w:r>
      </w:hyperlink>
      <w:r>
        <w:t xml:space="preserve">. Weighted Cohen’s Kappa </w:t>
      </w:r>
      <w:hyperlink r:id="rId8">
        <w:r>
          <w:rPr>
            <w:color w:val="000000"/>
          </w:rPr>
          <w:t>[3]</w:t>
        </w:r>
      </w:hyperlink>
      <w:r>
        <w:t xml:space="preserve"> was used to assess ordinal data, with ‘substantial’ inter-rater agreement found for globe flattening (0.75) and optic disc protrusion (0.69) and ‘moderate’ agreement for vertical tortuosity (0.46) and optic nerve sheath distension (0.41).</w:t>
      </w:r>
    </w:p>
    <w:p w14:paraId="3E11711E" w14:textId="77777777" w:rsidR="00932F87" w:rsidRDefault="00932F87">
      <w:pPr>
        <w:spacing w:before="200"/>
        <w:jc w:val="both"/>
      </w:pPr>
    </w:p>
    <w:p w14:paraId="3E2D4ECF" w14:textId="77777777" w:rsidR="00932F87" w:rsidRDefault="00000000">
      <w:pPr>
        <w:pStyle w:val="Heading2"/>
      </w:pPr>
      <w:bookmarkStart w:id="5" w:name="_cybksauya5fq" w:colFirst="0" w:colLast="0"/>
      <w:bookmarkEnd w:id="5"/>
      <w:r>
        <w:t>Data analysis</w:t>
      </w:r>
    </w:p>
    <w:p w14:paraId="6B353CE7" w14:textId="77777777" w:rsidR="00932F87" w:rsidRDefault="00932F87"/>
    <w:p w14:paraId="746E64B9" w14:textId="0D7BBE0F" w:rsidR="00932F87" w:rsidRDefault="00636183" w:rsidP="003E6DDB">
      <w:pPr>
        <w:ind w:firstLine="720"/>
        <w:jc w:val="both"/>
        <w:sectPr w:rsidR="00932F8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pgNumType w:start="1"/>
          <w:cols w:space="720"/>
        </w:sectPr>
      </w:pPr>
      <w:r>
        <w:t xml:space="preserve">In the Bayesian analysis, weakly informative priors were automatically generated for each explanatory variable to help provide slight regularisation and stabilise computation </w:t>
      </w:r>
      <w:hyperlink r:id="rId15">
        <w:r>
          <w:rPr>
            <w:color w:val="000000"/>
          </w:rPr>
          <w:t>[4]</w:t>
        </w:r>
      </w:hyperlink>
      <w:r>
        <w:t xml:space="preserve">, and an adaptive Hamiltonian Monte Carlo algorithm </w:t>
      </w:r>
      <w:hyperlink r:id="rId16">
        <w:r>
          <w:rPr>
            <w:color w:val="000000"/>
          </w:rPr>
          <w:t>[5]</w:t>
        </w:r>
      </w:hyperlink>
      <w:r>
        <w:t xml:space="preserve"> was used to sample from the joint posterior distribution of the parameters (with 10000 draws per chain and 5000 tuning burn-in). Model convergence and diagnostics of both priors and posterior distributions were visually inspected. Both quadratic terms and scaling independent variables were assessed and models compared using the Watanabe-Akaike Information Criterion. </w:t>
      </w:r>
      <w:r w:rsidR="00D914F5">
        <w:t>Patients with missing data were removed from the model, and no imputation was used.</w:t>
      </w:r>
      <w:r w:rsidR="00D914F5">
        <w:tab/>
      </w:r>
      <w:r w:rsidR="00D914F5">
        <w:tab/>
      </w:r>
      <w:r w:rsidR="00D914F5">
        <w:tab/>
      </w:r>
    </w:p>
    <w:p w14:paraId="4A1B0252" w14:textId="77777777" w:rsidR="00932F87" w:rsidRDefault="00000000">
      <w:pPr>
        <w:pStyle w:val="Heading1"/>
        <w:spacing w:before="200" w:after="320"/>
        <w:jc w:val="both"/>
        <w:rPr>
          <w:highlight w:val="white"/>
        </w:rPr>
      </w:pPr>
      <w:bookmarkStart w:id="6" w:name="_148epz1zlaf7" w:colFirst="0" w:colLast="0"/>
      <w:bookmarkEnd w:id="6"/>
      <w:r>
        <w:lastRenderedPageBreak/>
        <w:t>Supplementary Results</w:t>
      </w:r>
    </w:p>
    <w:p w14:paraId="55560CB9" w14:textId="77777777" w:rsidR="008461E4" w:rsidRPr="00151842" w:rsidRDefault="008461E4" w:rsidP="008461E4">
      <w:pPr>
        <w:pStyle w:val="Heading2"/>
        <w:jc w:val="both"/>
        <w:rPr>
          <w:b w:val="0"/>
          <w:bCs/>
        </w:rPr>
      </w:pPr>
      <w:bookmarkStart w:id="7" w:name="_uyuupm4m6cki" w:colFirst="0" w:colLast="0"/>
      <w:bookmarkEnd w:id="7"/>
      <w:r>
        <w:rPr>
          <w:sz w:val="20"/>
          <w:szCs w:val="20"/>
        </w:rPr>
        <w:t xml:space="preserve">Supplementary Table 1. </w:t>
      </w:r>
      <w:r w:rsidRPr="00151842">
        <w:rPr>
          <w:b w:val="0"/>
          <w:bCs/>
          <w:sz w:val="20"/>
          <w:szCs w:val="20"/>
        </w:rPr>
        <w:t xml:space="preserve">Univariate assessment of </w:t>
      </w:r>
      <w:r>
        <w:rPr>
          <w:b w:val="0"/>
          <w:bCs/>
          <w:sz w:val="20"/>
          <w:szCs w:val="20"/>
        </w:rPr>
        <w:t>MRI biomarkers</w:t>
      </w:r>
      <w:r w:rsidRPr="00151842">
        <w:rPr>
          <w:b w:val="0"/>
          <w:bCs/>
          <w:sz w:val="20"/>
          <w:szCs w:val="20"/>
        </w:rPr>
        <w:t xml:space="preserve"> </w:t>
      </w:r>
      <w:r>
        <w:rPr>
          <w:b w:val="0"/>
          <w:bCs/>
          <w:sz w:val="20"/>
          <w:szCs w:val="20"/>
        </w:rPr>
        <w:t>after exclusion of patients with CSF diversion</w:t>
      </w:r>
      <w:r w:rsidRPr="00151842">
        <w:rPr>
          <w:b w:val="0"/>
          <w:bCs/>
          <w:sz w:val="20"/>
          <w:szCs w:val="20"/>
        </w:rPr>
        <w:t xml:space="preserve">. (ONSD = optic nerve sheath distension; ODP = optic disc protrusion; PGF = posterior globe flattening; VT = vertical tortuosity; Yuh = pituitary </w:t>
      </w:r>
      <w:proofErr w:type="spellStart"/>
      <w:r w:rsidRPr="00151842">
        <w:rPr>
          <w:b w:val="0"/>
          <w:bCs/>
          <w:sz w:val="20"/>
          <w:szCs w:val="20"/>
        </w:rPr>
        <w:t>sella</w:t>
      </w:r>
      <w:proofErr w:type="spellEnd"/>
      <w:r w:rsidRPr="00151842">
        <w:rPr>
          <w:b w:val="0"/>
          <w:bCs/>
          <w:sz w:val="20"/>
          <w:szCs w:val="20"/>
        </w:rPr>
        <w:t xml:space="preserve"> grade)</w:t>
      </w:r>
    </w:p>
    <w:p w14:paraId="1C7F4B82" w14:textId="77777777" w:rsidR="00151842" w:rsidRDefault="00151842">
      <w:pPr>
        <w:pStyle w:val="Heading2"/>
        <w:jc w:val="both"/>
      </w:pPr>
    </w:p>
    <w:tbl>
      <w:tblPr>
        <w:tblStyle w:val="a"/>
        <w:tblW w:w="6344" w:type="dxa"/>
        <w:tblInd w:w="10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1509"/>
        <w:gridCol w:w="1701"/>
        <w:gridCol w:w="1559"/>
      </w:tblGrid>
      <w:tr w:rsidR="00151842" w14:paraId="7DB6368F" w14:textId="77777777" w:rsidTr="00C81C05">
        <w:tc>
          <w:tcPr>
            <w:tcW w:w="1575" w:type="dxa"/>
            <w:shd w:val="clear" w:color="auto" w:fill="auto"/>
            <w:tcMar>
              <w:top w:w="100" w:type="dxa"/>
              <w:left w:w="100" w:type="dxa"/>
              <w:bottom w:w="100" w:type="dxa"/>
              <w:right w:w="100" w:type="dxa"/>
            </w:tcMar>
          </w:tcPr>
          <w:p w14:paraId="6541BD60" w14:textId="77777777" w:rsidR="00151842" w:rsidRDefault="00151842" w:rsidP="00DD66F7">
            <w:pPr>
              <w:widowControl w:val="0"/>
              <w:spacing w:line="240" w:lineRule="auto"/>
              <w:rPr>
                <w:b/>
                <w:sz w:val="20"/>
                <w:szCs w:val="20"/>
              </w:rPr>
            </w:pPr>
            <w:r>
              <w:rPr>
                <w:b/>
                <w:sz w:val="20"/>
                <w:szCs w:val="20"/>
              </w:rPr>
              <w:t>Radiological biomarker</w:t>
            </w:r>
          </w:p>
        </w:tc>
        <w:tc>
          <w:tcPr>
            <w:tcW w:w="1509" w:type="dxa"/>
            <w:shd w:val="clear" w:color="auto" w:fill="auto"/>
            <w:tcMar>
              <w:top w:w="100" w:type="dxa"/>
              <w:left w:w="100" w:type="dxa"/>
              <w:bottom w:w="100" w:type="dxa"/>
              <w:right w:w="100" w:type="dxa"/>
            </w:tcMar>
          </w:tcPr>
          <w:p w14:paraId="0C3AE239" w14:textId="53830A99" w:rsidR="00151842" w:rsidRDefault="00C81C05" w:rsidP="00DD66F7">
            <w:pPr>
              <w:widowControl w:val="0"/>
              <w:spacing w:line="240" w:lineRule="auto"/>
              <w:rPr>
                <w:b/>
                <w:sz w:val="20"/>
                <w:szCs w:val="20"/>
              </w:rPr>
            </w:pPr>
            <w:r>
              <w:rPr>
                <w:b/>
                <w:sz w:val="20"/>
                <w:szCs w:val="20"/>
              </w:rPr>
              <w:t>Normal (mmHg)</w:t>
            </w:r>
          </w:p>
        </w:tc>
        <w:tc>
          <w:tcPr>
            <w:tcW w:w="1701" w:type="dxa"/>
            <w:shd w:val="clear" w:color="auto" w:fill="auto"/>
            <w:tcMar>
              <w:top w:w="100" w:type="dxa"/>
              <w:left w:w="100" w:type="dxa"/>
              <w:bottom w:w="100" w:type="dxa"/>
              <w:right w:w="100" w:type="dxa"/>
            </w:tcMar>
          </w:tcPr>
          <w:p w14:paraId="4B7F0473" w14:textId="3CF640E5" w:rsidR="00151842" w:rsidRDefault="00C81C05" w:rsidP="00DD66F7">
            <w:pPr>
              <w:widowControl w:val="0"/>
              <w:spacing w:line="240" w:lineRule="auto"/>
              <w:rPr>
                <w:b/>
                <w:sz w:val="20"/>
                <w:szCs w:val="20"/>
              </w:rPr>
            </w:pPr>
            <w:r>
              <w:rPr>
                <w:b/>
                <w:sz w:val="20"/>
                <w:szCs w:val="20"/>
              </w:rPr>
              <w:t>Abnormal (mmHg)</w:t>
            </w:r>
          </w:p>
        </w:tc>
        <w:tc>
          <w:tcPr>
            <w:tcW w:w="1559" w:type="dxa"/>
            <w:shd w:val="clear" w:color="auto" w:fill="auto"/>
            <w:tcMar>
              <w:top w:w="100" w:type="dxa"/>
              <w:left w:w="100" w:type="dxa"/>
              <w:bottom w:w="100" w:type="dxa"/>
              <w:right w:w="100" w:type="dxa"/>
            </w:tcMar>
          </w:tcPr>
          <w:p w14:paraId="62DA9AFF" w14:textId="77777777" w:rsidR="00151842" w:rsidRDefault="00151842" w:rsidP="00DD66F7">
            <w:pPr>
              <w:widowControl w:val="0"/>
              <w:spacing w:line="240" w:lineRule="auto"/>
              <w:rPr>
                <w:b/>
                <w:sz w:val="20"/>
                <w:szCs w:val="20"/>
              </w:rPr>
            </w:pPr>
            <w:r>
              <w:rPr>
                <w:b/>
                <w:sz w:val="20"/>
                <w:szCs w:val="20"/>
              </w:rPr>
              <w:t>p</w:t>
            </w:r>
          </w:p>
          <w:p w14:paraId="77792610" w14:textId="77777777" w:rsidR="00151842" w:rsidRDefault="00151842" w:rsidP="00DD66F7">
            <w:pPr>
              <w:widowControl w:val="0"/>
              <w:spacing w:line="240" w:lineRule="auto"/>
              <w:rPr>
                <w:b/>
                <w:sz w:val="20"/>
                <w:szCs w:val="20"/>
              </w:rPr>
            </w:pPr>
            <w:r>
              <w:rPr>
                <w:b/>
                <w:sz w:val="20"/>
                <w:szCs w:val="20"/>
              </w:rPr>
              <w:t>(unadjusted)</w:t>
            </w:r>
          </w:p>
        </w:tc>
      </w:tr>
      <w:tr w:rsidR="00151842" w14:paraId="1377171A" w14:textId="77777777" w:rsidTr="00C81C05">
        <w:tc>
          <w:tcPr>
            <w:tcW w:w="1575" w:type="dxa"/>
            <w:shd w:val="clear" w:color="auto" w:fill="auto"/>
            <w:tcMar>
              <w:top w:w="100" w:type="dxa"/>
              <w:left w:w="100" w:type="dxa"/>
              <w:bottom w:w="100" w:type="dxa"/>
              <w:right w:w="100" w:type="dxa"/>
            </w:tcMar>
          </w:tcPr>
          <w:p w14:paraId="52580ACD" w14:textId="77777777" w:rsidR="00151842" w:rsidRDefault="00151842" w:rsidP="00DD66F7">
            <w:pPr>
              <w:widowControl w:val="0"/>
              <w:spacing w:line="240" w:lineRule="auto"/>
              <w:rPr>
                <w:sz w:val="20"/>
                <w:szCs w:val="20"/>
              </w:rPr>
            </w:pPr>
            <w:r>
              <w:rPr>
                <w:sz w:val="20"/>
                <w:szCs w:val="20"/>
              </w:rPr>
              <w:t>Yuh</w:t>
            </w:r>
          </w:p>
        </w:tc>
        <w:tc>
          <w:tcPr>
            <w:tcW w:w="1509" w:type="dxa"/>
            <w:shd w:val="clear" w:color="auto" w:fill="auto"/>
            <w:tcMar>
              <w:top w:w="100" w:type="dxa"/>
              <w:left w:w="100" w:type="dxa"/>
              <w:bottom w:w="100" w:type="dxa"/>
              <w:right w:w="100" w:type="dxa"/>
            </w:tcMar>
          </w:tcPr>
          <w:p w14:paraId="16A3483F" w14:textId="27BF53FA" w:rsidR="00151842" w:rsidRDefault="007B78E3" w:rsidP="00DD66F7">
            <w:pPr>
              <w:widowControl w:val="0"/>
              <w:spacing w:line="240" w:lineRule="auto"/>
              <w:rPr>
                <w:sz w:val="20"/>
                <w:szCs w:val="20"/>
              </w:rPr>
            </w:pPr>
            <w:r>
              <w:rPr>
                <w:sz w:val="20"/>
                <w:szCs w:val="20"/>
              </w:rPr>
              <w:t>4.97</w:t>
            </w:r>
          </w:p>
        </w:tc>
        <w:tc>
          <w:tcPr>
            <w:tcW w:w="1701" w:type="dxa"/>
            <w:shd w:val="clear" w:color="auto" w:fill="auto"/>
            <w:tcMar>
              <w:top w:w="100" w:type="dxa"/>
              <w:left w:w="100" w:type="dxa"/>
              <w:bottom w:w="100" w:type="dxa"/>
              <w:right w:w="100" w:type="dxa"/>
            </w:tcMar>
          </w:tcPr>
          <w:p w14:paraId="11175056" w14:textId="62D747D7" w:rsidR="00151842" w:rsidRDefault="007B78E3" w:rsidP="00DD66F7">
            <w:pPr>
              <w:widowControl w:val="0"/>
              <w:spacing w:line="240" w:lineRule="auto"/>
              <w:rPr>
                <w:sz w:val="20"/>
                <w:szCs w:val="20"/>
              </w:rPr>
            </w:pPr>
            <w:r>
              <w:rPr>
                <w:sz w:val="20"/>
                <w:szCs w:val="20"/>
              </w:rPr>
              <w:t>9.15</w:t>
            </w:r>
          </w:p>
        </w:tc>
        <w:tc>
          <w:tcPr>
            <w:tcW w:w="1559" w:type="dxa"/>
            <w:shd w:val="clear" w:color="auto" w:fill="auto"/>
            <w:tcMar>
              <w:top w:w="100" w:type="dxa"/>
              <w:left w:w="100" w:type="dxa"/>
              <w:bottom w:w="100" w:type="dxa"/>
              <w:right w:w="100" w:type="dxa"/>
            </w:tcMar>
          </w:tcPr>
          <w:p w14:paraId="4671B69A" w14:textId="528AF114" w:rsidR="00151842" w:rsidRDefault="00151842" w:rsidP="00DD66F7">
            <w:pPr>
              <w:widowControl w:val="0"/>
              <w:spacing w:line="240" w:lineRule="auto"/>
              <w:rPr>
                <w:sz w:val="20"/>
                <w:szCs w:val="20"/>
              </w:rPr>
            </w:pPr>
            <w:r>
              <w:rPr>
                <w:sz w:val="20"/>
                <w:szCs w:val="20"/>
              </w:rPr>
              <w:t>0.000</w:t>
            </w:r>
            <w:r w:rsidR="007B78E3">
              <w:rPr>
                <w:sz w:val="20"/>
                <w:szCs w:val="20"/>
              </w:rPr>
              <w:t>2</w:t>
            </w:r>
          </w:p>
        </w:tc>
      </w:tr>
      <w:tr w:rsidR="00151842" w14:paraId="0F28F0F6" w14:textId="77777777" w:rsidTr="00C81C05">
        <w:tc>
          <w:tcPr>
            <w:tcW w:w="1575" w:type="dxa"/>
            <w:shd w:val="clear" w:color="auto" w:fill="auto"/>
            <w:tcMar>
              <w:top w:w="100" w:type="dxa"/>
              <w:left w:w="100" w:type="dxa"/>
              <w:bottom w:w="100" w:type="dxa"/>
              <w:right w:w="100" w:type="dxa"/>
            </w:tcMar>
          </w:tcPr>
          <w:p w14:paraId="5ABDFC29" w14:textId="77777777" w:rsidR="00151842" w:rsidRDefault="00151842" w:rsidP="00DD66F7">
            <w:pPr>
              <w:widowControl w:val="0"/>
              <w:spacing w:line="240" w:lineRule="auto"/>
              <w:rPr>
                <w:sz w:val="20"/>
                <w:szCs w:val="20"/>
              </w:rPr>
            </w:pPr>
            <w:r>
              <w:rPr>
                <w:sz w:val="20"/>
                <w:szCs w:val="20"/>
              </w:rPr>
              <w:t>VT</w:t>
            </w:r>
          </w:p>
        </w:tc>
        <w:tc>
          <w:tcPr>
            <w:tcW w:w="1509" w:type="dxa"/>
            <w:shd w:val="clear" w:color="auto" w:fill="auto"/>
            <w:tcMar>
              <w:top w:w="100" w:type="dxa"/>
              <w:left w:w="100" w:type="dxa"/>
              <w:bottom w:w="100" w:type="dxa"/>
              <w:right w:w="100" w:type="dxa"/>
            </w:tcMar>
          </w:tcPr>
          <w:p w14:paraId="457FA82E" w14:textId="654A7237" w:rsidR="00151842" w:rsidRDefault="007B78E3" w:rsidP="00DD66F7">
            <w:pPr>
              <w:widowControl w:val="0"/>
              <w:spacing w:line="240" w:lineRule="auto"/>
              <w:rPr>
                <w:sz w:val="20"/>
                <w:szCs w:val="20"/>
              </w:rPr>
            </w:pPr>
            <w:r>
              <w:rPr>
                <w:sz w:val="20"/>
                <w:szCs w:val="20"/>
              </w:rPr>
              <w:t>4.84</w:t>
            </w:r>
          </w:p>
        </w:tc>
        <w:tc>
          <w:tcPr>
            <w:tcW w:w="1701" w:type="dxa"/>
            <w:shd w:val="clear" w:color="auto" w:fill="auto"/>
            <w:tcMar>
              <w:top w:w="100" w:type="dxa"/>
              <w:left w:w="100" w:type="dxa"/>
              <w:bottom w:w="100" w:type="dxa"/>
              <w:right w:w="100" w:type="dxa"/>
            </w:tcMar>
          </w:tcPr>
          <w:p w14:paraId="4D63CD25" w14:textId="0D41E433" w:rsidR="00151842" w:rsidRDefault="007B78E3" w:rsidP="00DD66F7">
            <w:pPr>
              <w:widowControl w:val="0"/>
              <w:spacing w:line="240" w:lineRule="auto"/>
              <w:rPr>
                <w:sz w:val="20"/>
                <w:szCs w:val="20"/>
              </w:rPr>
            </w:pPr>
            <w:r>
              <w:rPr>
                <w:sz w:val="20"/>
                <w:szCs w:val="20"/>
              </w:rPr>
              <w:t>6.98</w:t>
            </w:r>
          </w:p>
        </w:tc>
        <w:tc>
          <w:tcPr>
            <w:tcW w:w="1559" w:type="dxa"/>
            <w:shd w:val="clear" w:color="auto" w:fill="auto"/>
            <w:tcMar>
              <w:top w:w="100" w:type="dxa"/>
              <w:left w:w="100" w:type="dxa"/>
              <w:bottom w:w="100" w:type="dxa"/>
              <w:right w:w="100" w:type="dxa"/>
            </w:tcMar>
          </w:tcPr>
          <w:p w14:paraId="08C1D584" w14:textId="020A23DD" w:rsidR="00151842" w:rsidRDefault="00151842" w:rsidP="00DD66F7">
            <w:pPr>
              <w:widowControl w:val="0"/>
              <w:spacing w:line="240" w:lineRule="auto"/>
              <w:rPr>
                <w:sz w:val="20"/>
                <w:szCs w:val="20"/>
              </w:rPr>
            </w:pPr>
            <w:r>
              <w:rPr>
                <w:sz w:val="20"/>
                <w:szCs w:val="20"/>
              </w:rPr>
              <w:t>0.</w:t>
            </w:r>
            <w:r w:rsidR="007B78E3">
              <w:rPr>
                <w:sz w:val="20"/>
                <w:szCs w:val="20"/>
              </w:rPr>
              <w:t>13</w:t>
            </w:r>
          </w:p>
        </w:tc>
      </w:tr>
      <w:tr w:rsidR="00151842" w14:paraId="26486B48" w14:textId="77777777" w:rsidTr="00C81C05">
        <w:tc>
          <w:tcPr>
            <w:tcW w:w="1575" w:type="dxa"/>
            <w:shd w:val="clear" w:color="auto" w:fill="auto"/>
            <w:tcMar>
              <w:top w:w="100" w:type="dxa"/>
              <w:left w:w="100" w:type="dxa"/>
              <w:bottom w:w="100" w:type="dxa"/>
              <w:right w:w="100" w:type="dxa"/>
            </w:tcMar>
          </w:tcPr>
          <w:p w14:paraId="30B0D633" w14:textId="77777777" w:rsidR="00151842" w:rsidRDefault="00151842" w:rsidP="00DD66F7">
            <w:pPr>
              <w:widowControl w:val="0"/>
              <w:spacing w:line="240" w:lineRule="auto"/>
              <w:rPr>
                <w:sz w:val="20"/>
                <w:szCs w:val="20"/>
              </w:rPr>
            </w:pPr>
            <w:r>
              <w:rPr>
                <w:sz w:val="20"/>
                <w:szCs w:val="20"/>
              </w:rPr>
              <w:t>ONSD</w:t>
            </w:r>
          </w:p>
        </w:tc>
        <w:tc>
          <w:tcPr>
            <w:tcW w:w="1509" w:type="dxa"/>
            <w:shd w:val="clear" w:color="auto" w:fill="auto"/>
            <w:tcMar>
              <w:top w:w="100" w:type="dxa"/>
              <w:left w:w="100" w:type="dxa"/>
              <w:bottom w:w="100" w:type="dxa"/>
              <w:right w:w="100" w:type="dxa"/>
            </w:tcMar>
          </w:tcPr>
          <w:p w14:paraId="0B162B49" w14:textId="6FF11C28" w:rsidR="00151842" w:rsidRDefault="007B78E3" w:rsidP="00DD66F7">
            <w:pPr>
              <w:widowControl w:val="0"/>
              <w:spacing w:line="240" w:lineRule="auto"/>
              <w:rPr>
                <w:sz w:val="20"/>
                <w:szCs w:val="20"/>
              </w:rPr>
            </w:pPr>
            <w:r>
              <w:rPr>
                <w:sz w:val="20"/>
                <w:szCs w:val="20"/>
              </w:rPr>
              <w:t>5.14</w:t>
            </w:r>
          </w:p>
        </w:tc>
        <w:tc>
          <w:tcPr>
            <w:tcW w:w="1701" w:type="dxa"/>
            <w:shd w:val="clear" w:color="auto" w:fill="auto"/>
            <w:tcMar>
              <w:top w:w="100" w:type="dxa"/>
              <w:left w:w="100" w:type="dxa"/>
              <w:bottom w:w="100" w:type="dxa"/>
              <w:right w:w="100" w:type="dxa"/>
            </w:tcMar>
          </w:tcPr>
          <w:p w14:paraId="6C87514E" w14:textId="19E0B1CA" w:rsidR="00151842" w:rsidRDefault="007B78E3" w:rsidP="00DD66F7">
            <w:pPr>
              <w:widowControl w:val="0"/>
              <w:spacing w:line="240" w:lineRule="auto"/>
              <w:rPr>
                <w:sz w:val="20"/>
                <w:szCs w:val="20"/>
              </w:rPr>
            </w:pPr>
            <w:r>
              <w:rPr>
                <w:sz w:val="20"/>
                <w:szCs w:val="20"/>
              </w:rPr>
              <w:t>12.7</w:t>
            </w:r>
          </w:p>
        </w:tc>
        <w:tc>
          <w:tcPr>
            <w:tcW w:w="1559" w:type="dxa"/>
            <w:shd w:val="clear" w:color="auto" w:fill="auto"/>
            <w:tcMar>
              <w:top w:w="100" w:type="dxa"/>
              <w:left w:w="100" w:type="dxa"/>
              <w:bottom w:w="100" w:type="dxa"/>
              <w:right w:w="100" w:type="dxa"/>
            </w:tcMar>
          </w:tcPr>
          <w:p w14:paraId="1E47099C" w14:textId="000DEB3A" w:rsidR="00151842" w:rsidRDefault="00151842" w:rsidP="00DD66F7">
            <w:pPr>
              <w:widowControl w:val="0"/>
              <w:spacing w:line="240" w:lineRule="auto"/>
              <w:rPr>
                <w:sz w:val="20"/>
                <w:szCs w:val="20"/>
              </w:rPr>
            </w:pPr>
            <w:r>
              <w:rPr>
                <w:sz w:val="20"/>
                <w:szCs w:val="20"/>
              </w:rPr>
              <w:t>0.</w:t>
            </w:r>
            <w:r w:rsidR="007B78E3">
              <w:rPr>
                <w:sz w:val="20"/>
                <w:szCs w:val="20"/>
              </w:rPr>
              <w:t>0002</w:t>
            </w:r>
          </w:p>
        </w:tc>
      </w:tr>
      <w:tr w:rsidR="00151842" w14:paraId="1E4DA49F" w14:textId="77777777" w:rsidTr="00C81C05">
        <w:tc>
          <w:tcPr>
            <w:tcW w:w="1575" w:type="dxa"/>
            <w:shd w:val="clear" w:color="auto" w:fill="auto"/>
            <w:tcMar>
              <w:top w:w="100" w:type="dxa"/>
              <w:left w:w="100" w:type="dxa"/>
              <w:bottom w:w="100" w:type="dxa"/>
              <w:right w:w="100" w:type="dxa"/>
            </w:tcMar>
          </w:tcPr>
          <w:p w14:paraId="4348792E" w14:textId="77777777" w:rsidR="00151842" w:rsidRDefault="00151842" w:rsidP="00DD66F7">
            <w:pPr>
              <w:widowControl w:val="0"/>
              <w:spacing w:line="240" w:lineRule="auto"/>
              <w:rPr>
                <w:sz w:val="20"/>
                <w:szCs w:val="20"/>
              </w:rPr>
            </w:pPr>
            <w:r>
              <w:rPr>
                <w:sz w:val="20"/>
                <w:szCs w:val="20"/>
              </w:rPr>
              <w:t>PGF</w:t>
            </w:r>
          </w:p>
        </w:tc>
        <w:tc>
          <w:tcPr>
            <w:tcW w:w="1509" w:type="dxa"/>
            <w:shd w:val="clear" w:color="auto" w:fill="auto"/>
            <w:tcMar>
              <w:top w:w="100" w:type="dxa"/>
              <w:left w:w="100" w:type="dxa"/>
              <w:bottom w:w="100" w:type="dxa"/>
              <w:right w:w="100" w:type="dxa"/>
            </w:tcMar>
          </w:tcPr>
          <w:p w14:paraId="4E5DB340" w14:textId="49C26028" w:rsidR="00151842" w:rsidRDefault="007B78E3" w:rsidP="00DD66F7">
            <w:pPr>
              <w:widowControl w:val="0"/>
              <w:spacing w:line="240" w:lineRule="auto"/>
              <w:rPr>
                <w:sz w:val="20"/>
                <w:szCs w:val="20"/>
              </w:rPr>
            </w:pPr>
            <w:r>
              <w:rPr>
                <w:sz w:val="20"/>
                <w:szCs w:val="20"/>
              </w:rPr>
              <w:t>4.96</w:t>
            </w:r>
          </w:p>
        </w:tc>
        <w:tc>
          <w:tcPr>
            <w:tcW w:w="1701" w:type="dxa"/>
            <w:shd w:val="clear" w:color="auto" w:fill="auto"/>
            <w:tcMar>
              <w:top w:w="100" w:type="dxa"/>
              <w:left w:w="100" w:type="dxa"/>
              <w:bottom w:w="100" w:type="dxa"/>
              <w:right w:w="100" w:type="dxa"/>
            </w:tcMar>
          </w:tcPr>
          <w:p w14:paraId="7BB27A69" w14:textId="572B6EB8" w:rsidR="00151842" w:rsidRDefault="007B78E3" w:rsidP="00DD66F7">
            <w:pPr>
              <w:widowControl w:val="0"/>
              <w:spacing w:line="240" w:lineRule="auto"/>
              <w:rPr>
                <w:sz w:val="20"/>
                <w:szCs w:val="20"/>
              </w:rPr>
            </w:pPr>
            <w:r>
              <w:rPr>
                <w:sz w:val="20"/>
                <w:szCs w:val="20"/>
              </w:rPr>
              <w:t>12.6</w:t>
            </w:r>
          </w:p>
        </w:tc>
        <w:tc>
          <w:tcPr>
            <w:tcW w:w="1559" w:type="dxa"/>
            <w:shd w:val="clear" w:color="auto" w:fill="auto"/>
            <w:tcMar>
              <w:top w:w="100" w:type="dxa"/>
              <w:left w:w="100" w:type="dxa"/>
              <w:bottom w:w="100" w:type="dxa"/>
              <w:right w:w="100" w:type="dxa"/>
            </w:tcMar>
          </w:tcPr>
          <w:p w14:paraId="090EF806" w14:textId="24BCC133" w:rsidR="00151842" w:rsidRDefault="00151842" w:rsidP="00DD66F7">
            <w:pPr>
              <w:widowControl w:val="0"/>
              <w:spacing w:line="240" w:lineRule="auto"/>
              <w:rPr>
                <w:sz w:val="20"/>
                <w:szCs w:val="20"/>
              </w:rPr>
            </w:pPr>
            <w:r>
              <w:rPr>
                <w:sz w:val="20"/>
                <w:szCs w:val="20"/>
              </w:rPr>
              <w:t>0.</w:t>
            </w:r>
            <w:r w:rsidR="007B78E3">
              <w:rPr>
                <w:sz w:val="20"/>
                <w:szCs w:val="20"/>
              </w:rPr>
              <w:t>0006</w:t>
            </w:r>
          </w:p>
        </w:tc>
      </w:tr>
      <w:tr w:rsidR="00151842" w14:paraId="2C6F53D1" w14:textId="77777777" w:rsidTr="00C81C05">
        <w:tc>
          <w:tcPr>
            <w:tcW w:w="1575" w:type="dxa"/>
            <w:shd w:val="clear" w:color="auto" w:fill="auto"/>
            <w:tcMar>
              <w:top w:w="100" w:type="dxa"/>
              <w:left w:w="100" w:type="dxa"/>
              <w:bottom w:w="100" w:type="dxa"/>
              <w:right w:w="100" w:type="dxa"/>
            </w:tcMar>
          </w:tcPr>
          <w:p w14:paraId="23B12235" w14:textId="77777777" w:rsidR="00151842" w:rsidRDefault="00151842" w:rsidP="00DD66F7">
            <w:pPr>
              <w:widowControl w:val="0"/>
              <w:spacing w:line="240" w:lineRule="auto"/>
              <w:rPr>
                <w:sz w:val="20"/>
                <w:szCs w:val="20"/>
              </w:rPr>
            </w:pPr>
            <w:r>
              <w:rPr>
                <w:sz w:val="20"/>
                <w:szCs w:val="20"/>
              </w:rPr>
              <w:t>ODP</w:t>
            </w:r>
          </w:p>
        </w:tc>
        <w:tc>
          <w:tcPr>
            <w:tcW w:w="1509" w:type="dxa"/>
            <w:shd w:val="clear" w:color="auto" w:fill="auto"/>
            <w:tcMar>
              <w:top w:w="100" w:type="dxa"/>
              <w:left w:w="100" w:type="dxa"/>
              <w:bottom w:w="100" w:type="dxa"/>
              <w:right w:w="100" w:type="dxa"/>
            </w:tcMar>
          </w:tcPr>
          <w:p w14:paraId="5D7A18CE" w14:textId="03EABEAD" w:rsidR="00151842" w:rsidRDefault="007B78E3" w:rsidP="00DD66F7">
            <w:pPr>
              <w:widowControl w:val="0"/>
              <w:spacing w:line="240" w:lineRule="auto"/>
              <w:rPr>
                <w:sz w:val="20"/>
                <w:szCs w:val="20"/>
              </w:rPr>
            </w:pPr>
            <w:r>
              <w:rPr>
                <w:sz w:val="20"/>
                <w:szCs w:val="20"/>
              </w:rPr>
              <w:t>5.08</w:t>
            </w:r>
          </w:p>
        </w:tc>
        <w:tc>
          <w:tcPr>
            <w:tcW w:w="1701" w:type="dxa"/>
            <w:shd w:val="clear" w:color="auto" w:fill="auto"/>
            <w:tcMar>
              <w:top w:w="100" w:type="dxa"/>
              <w:left w:w="100" w:type="dxa"/>
              <w:bottom w:w="100" w:type="dxa"/>
              <w:right w:w="100" w:type="dxa"/>
            </w:tcMar>
          </w:tcPr>
          <w:p w14:paraId="3016709A" w14:textId="3F0AC560" w:rsidR="00151842" w:rsidRDefault="007B78E3" w:rsidP="00DD66F7">
            <w:pPr>
              <w:widowControl w:val="0"/>
              <w:spacing w:line="240" w:lineRule="auto"/>
              <w:rPr>
                <w:sz w:val="20"/>
                <w:szCs w:val="20"/>
              </w:rPr>
            </w:pPr>
            <w:r>
              <w:rPr>
                <w:sz w:val="20"/>
                <w:szCs w:val="20"/>
              </w:rPr>
              <w:t>14.9</w:t>
            </w:r>
          </w:p>
        </w:tc>
        <w:tc>
          <w:tcPr>
            <w:tcW w:w="1559" w:type="dxa"/>
            <w:shd w:val="clear" w:color="auto" w:fill="auto"/>
            <w:tcMar>
              <w:top w:w="100" w:type="dxa"/>
              <w:left w:w="100" w:type="dxa"/>
              <w:bottom w:w="100" w:type="dxa"/>
              <w:right w:w="100" w:type="dxa"/>
            </w:tcMar>
          </w:tcPr>
          <w:p w14:paraId="67EA8EA6" w14:textId="7917C7EE" w:rsidR="00151842" w:rsidRDefault="00151842" w:rsidP="00DD66F7">
            <w:pPr>
              <w:widowControl w:val="0"/>
              <w:spacing w:line="240" w:lineRule="auto"/>
              <w:rPr>
                <w:sz w:val="20"/>
                <w:szCs w:val="20"/>
              </w:rPr>
            </w:pPr>
            <w:r>
              <w:rPr>
                <w:sz w:val="20"/>
                <w:szCs w:val="20"/>
              </w:rPr>
              <w:t>0.</w:t>
            </w:r>
            <w:r w:rsidR="007B78E3">
              <w:rPr>
                <w:sz w:val="20"/>
                <w:szCs w:val="20"/>
              </w:rPr>
              <w:t>002</w:t>
            </w:r>
          </w:p>
        </w:tc>
      </w:tr>
    </w:tbl>
    <w:p w14:paraId="0DF28242" w14:textId="77777777" w:rsidR="00151842" w:rsidRDefault="00151842" w:rsidP="00151842"/>
    <w:p w14:paraId="48B1BA37" w14:textId="77777777" w:rsidR="00151842" w:rsidRPr="00151842" w:rsidRDefault="00151842" w:rsidP="00151842"/>
    <w:p w14:paraId="0934DA09" w14:textId="6B1B9711" w:rsidR="00932F87" w:rsidRDefault="00000000">
      <w:pPr>
        <w:pStyle w:val="Heading2"/>
        <w:jc w:val="both"/>
      </w:pPr>
      <w:r>
        <w:t>Reversibility</w:t>
      </w:r>
    </w:p>
    <w:p w14:paraId="4B9D415E" w14:textId="77777777" w:rsidR="00932F87" w:rsidRDefault="00932F87">
      <w:pPr>
        <w:jc w:val="both"/>
        <w:rPr>
          <w:b/>
          <w:highlight w:val="white"/>
        </w:rPr>
      </w:pPr>
    </w:p>
    <w:p w14:paraId="6AE19288" w14:textId="034D2510" w:rsidR="00932F87" w:rsidRDefault="00000000">
      <w:pPr>
        <w:jc w:val="both"/>
        <w:rPr>
          <w:sz w:val="20"/>
          <w:szCs w:val="20"/>
        </w:rPr>
      </w:pPr>
      <w:r>
        <w:rPr>
          <w:b/>
          <w:sz w:val="20"/>
          <w:szCs w:val="20"/>
        </w:rPr>
        <w:t xml:space="preserve">Supplementary Table </w:t>
      </w:r>
      <w:r w:rsidR="008461E4">
        <w:rPr>
          <w:b/>
          <w:sz w:val="20"/>
          <w:szCs w:val="20"/>
        </w:rPr>
        <w:t>2</w:t>
      </w:r>
      <w:r>
        <w:rPr>
          <w:b/>
          <w:sz w:val="20"/>
          <w:szCs w:val="20"/>
        </w:rPr>
        <w:t xml:space="preserve">. </w:t>
      </w:r>
      <w:r>
        <w:rPr>
          <w:sz w:val="20"/>
          <w:szCs w:val="20"/>
        </w:rPr>
        <w:t xml:space="preserve">Assessment of biomarker reversibility following CSF diversion. (ONSD = optic nerve sheath distension; ODP = optic disc protrusion; PGF = posterior globe flattening; VT = vertical tortuosity; Yuh = pituitary </w:t>
      </w:r>
      <w:proofErr w:type="spellStart"/>
      <w:r>
        <w:rPr>
          <w:sz w:val="20"/>
          <w:szCs w:val="20"/>
        </w:rPr>
        <w:t>sella</w:t>
      </w:r>
      <w:proofErr w:type="spellEnd"/>
      <w:r>
        <w:rPr>
          <w:sz w:val="20"/>
          <w:szCs w:val="20"/>
        </w:rPr>
        <w:t xml:space="preserve"> grade)</w:t>
      </w:r>
    </w:p>
    <w:p w14:paraId="6ABF4E02" w14:textId="77777777" w:rsidR="00932F87" w:rsidRDefault="00932F87">
      <w:pPr>
        <w:jc w:val="both"/>
        <w:rPr>
          <w:sz w:val="20"/>
          <w:szCs w:val="20"/>
        </w:rPr>
      </w:pPr>
    </w:p>
    <w:p w14:paraId="4820A46D" w14:textId="77777777" w:rsidR="00932F87" w:rsidRDefault="00932F87">
      <w:pPr>
        <w:jc w:val="both"/>
        <w:rPr>
          <w:sz w:val="20"/>
          <w:szCs w:val="20"/>
        </w:rPr>
      </w:pPr>
    </w:p>
    <w:tbl>
      <w:tblPr>
        <w:tblStyle w:val="a"/>
        <w:tblW w:w="8265" w:type="dxa"/>
        <w:tblInd w:w="10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2595"/>
        <w:gridCol w:w="2595"/>
        <w:gridCol w:w="1500"/>
      </w:tblGrid>
      <w:tr w:rsidR="00932F87" w14:paraId="355C1001" w14:textId="77777777">
        <w:tc>
          <w:tcPr>
            <w:tcW w:w="1575" w:type="dxa"/>
            <w:shd w:val="clear" w:color="auto" w:fill="auto"/>
            <w:tcMar>
              <w:top w:w="100" w:type="dxa"/>
              <w:left w:w="100" w:type="dxa"/>
              <w:bottom w:w="100" w:type="dxa"/>
              <w:right w:w="100" w:type="dxa"/>
            </w:tcMar>
          </w:tcPr>
          <w:p w14:paraId="2750D38C" w14:textId="77777777" w:rsidR="00932F87" w:rsidRDefault="00000000">
            <w:pPr>
              <w:widowControl w:val="0"/>
              <w:spacing w:line="240" w:lineRule="auto"/>
              <w:rPr>
                <w:b/>
                <w:sz w:val="20"/>
                <w:szCs w:val="20"/>
              </w:rPr>
            </w:pPr>
            <w:r>
              <w:rPr>
                <w:b/>
                <w:sz w:val="20"/>
                <w:szCs w:val="20"/>
              </w:rPr>
              <w:t>Radiological biomarker</w:t>
            </w:r>
          </w:p>
        </w:tc>
        <w:tc>
          <w:tcPr>
            <w:tcW w:w="2595" w:type="dxa"/>
            <w:shd w:val="clear" w:color="auto" w:fill="auto"/>
            <w:tcMar>
              <w:top w:w="100" w:type="dxa"/>
              <w:left w:w="100" w:type="dxa"/>
              <w:bottom w:w="100" w:type="dxa"/>
              <w:right w:w="100" w:type="dxa"/>
            </w:tcMar>
          </w:tcPr>
          <w:p w14:paraId="62D0758D" w14:textId="77777777" w:rsidR="00932F87" w:rsidRDefault="00000000">
            <w:pPr>
              <w:widowControl w:val="0"/>
              <w:spacing w:line="240" w:lineRule="auto"/>
              <w:rPr>
                <w:b/>
                <w:sz w:val="20"/>
                <w:szCs w:val="20"/>
              </w:rPr>
            </w:pPr>
            <w:r>
              <w:rPr>
                <w:b/>
                <w:sz w:val="20"/>
                <w:szCs w:val="20"/>
              </w:rPr>
              <w:t xml:space="preserve">Pre-intervention: </w:t>
            </w:r>
          </w:p>
          <w:p w14:paraId="723A9E4D" w14:textId="77777777" w:rsidR="00932F87" w:rsidRDefault="00000000">
            <w:pPr>
              <w:widowControl w:val="0"/>
              <w:spacing w:line="240" w:lineRule="auto"/>
              <w:rPr>
                <w:b/>
                <w:sz w:val="20"/>
                <w:szCs w:val="20"/>
              </w:rPr>
            </w:pPr>
            <w:r>
              <w:rPr>
                <w:b/>
                <w:sz w:val="20"/>
                <w:szCs w:val="20"/>
              </w:rPr>
              <w:t>median (IQR)</w:t>
            </w:r>
          </w:p>
        </w:tc>
        <w:tc>
          <w:tcPr>
            <w:tcW w:w="2595" w:type="dxa"/>
            <w:shd w:val="clear" w:color="auto" w:fill="auto"/>
            <w:tcMar>
              <w:top w:w="100" w:type="dxa"/>
              <w:left w:w="100" w:type="dxa"/>
              <w:bottom w:w="100" w:type="dxa"/>
              <w:right w:w="100" w:type="dxa"/>
            </w:tcMar>
          </w:tcPr>
          <w:p w14:paraId="4DD7E862" w14:textId="77777777" w:rsidR="00932F87" w:rsidRDefault="00000000">
            <w:pPr>
              <w:widowControl w:val="0"/>
              <w:spacing w:line="240" w:lineRule="auto"/>
              <w:rPr>
                <w:b/>
                <w:sz w:val="20"/>
                <w:szCs w:val="20"/>
              </w:rPr>
            </w:pPr>
            <w:r>
              <w:rPr>
                <w:b/>
                <w:sz w:val="20"/>
                <w:szCs w:val="20"/>
              </w:rPr>
              <w:t xml:space="preserve">Post-intervention: </w:t>
            </w:r>
          </w:p>
          <w:p w14:paraId="6EFACD8B" w14:textId="77777777" w:rsidR="00932F87" w:rsidRDefault="00000000">
            <w:pPr>
              <w:widowControl w:val="0"/>
              <w:spacing w:line="240" w:lineRule="auto"/>
              <w:rPr>
                <w:b/>
                <w:sz w:val="20"/>
                <w:szCs w:val="20"/>
              </w:rPr>
            </w:pPr>
            <w:r>
              <w:rPr>
                <w:b/>
                <w:sz w:val="20"/>
                <w:szCs w:val="20"/>
              </w:rPr>
              <w:t>median (IQR)</w:t>
            </w:r>
          </w:p>
        </w:tc>
        <w:tc>
          <w:tcPr>
            <w:tcW w:w="1500" w:type="dxa"/>
            <w:shd w:val="clear" w:color="auto" w:fill="auto"/>
            <w:tcMar>
              <w:top w:w="100" w:type="dxa"/>
              <w:left w:w="100" w:type="dxa"/>
              <w:bottom w:w="100" w:type="dxa"/>
              <w:right w:w="100" w:type="dxa"/>
            </w:tcMar>
          </w:tcPr>
          <w:p w14:paraId="26AC3473" w14:textId="77777777" w:rsidR="00932F87" w:rsidRDefault="00000000">
            <w:pPr>
              <w:widowControl w:val="0"/>
              <w:spacing w:line="240" w:lineRule="auto"/>
              <w:rPr>
                <w:b/>
                <w:sz w:val="20"/>
                <w:szCs w:val="20"/>
              </w:rPr>
            </w:pPr>
            <w:r>
              <w:rPr>
                <w:b/>
                <w:sz w:val="20"/>
                <w:szCs w:val="20"/>
              </w:rPr>
              <w:t>p</w:t>
            </w:r>
          </w:p>
          <w:p w14:paraId="3764E96F" w14:textId="77777777" w:rsidR="00932F87" w:rsidRDefault="00000000">
            <w:pPr>
              <w:widowControl w:val="0"/>
              <w:spacing w:line="240" w:lineRule="auto"/>
              <w:rPr>
                <w:b/>
                <w:sz w:val="20"/>
                <w:szCs w:val="20"/>
              </w:rPr>
            </w:pPr>
            <w:r>
              <w:rPr>
                <w:b/>
                <w:sz w:val="20"/>
                <w:szCs w:val="20"/>
              </w:rPr>
              <w:t>(unadjusted)</w:t>
            </w:r>
          </w:p>
        </w:tc>
      </w:tr>
      <w:tr w:rsidR="00932F87" w14:paraId="5D13A750" w14:textId="77777777">
        <w:tc>
          <w:tcPr>
            <w:tcW w:w="1575" w:type="dxa"/>
            <w:shd w:val="clear" w:color="auto" w:fill="auto"/>
            <w:tcMar>
              <w:top w:w="100" w:type="dxa"/>
              <w:left w:w="100" w:type="dxa"/>
              <w:bottom w:w="100" w:type="dxa"/>
              <w:right w:w="100" w:type="dxa"/>
            </w:tcMar>
          </w:tcPr>
          <w:p w14:paraId="27DED78C" w14:textId="77777777" w:rsidR="00932F87" w:rsidRDefault="00000000">
            <w:pPr>
              <w:widowControl w:val="0"/>
              <w:spacing w:line="240" w:lineRule="auto"/>
              <w:rPr>
                <w:sz w:val="20"/>
                <w:szCs w:val="20"/>
              </w:rPr>
            </w:pPr>
            <w:r>
              <w:rPr>
                <w:sz w:val="20"/>
                <w:szCs w:val="20"/>
              </w:rPr>
              <w:t>Yuh</w:t>
            </w:r>
          </w:p>
        </w:tc>
        <w:tc>
          <w:tcPr>
            <w:tcW w:w="2595" w:type="dxa"/>
            <w:shd w:val="clear" w:color="auto" w:fill="auto"/>
            <w:tcMar>
              <w:top w:w="100" w:type="dxa"/>
              <w:left w:w="100" w:type="dxa"/>
              <w:bottom w:w="100" w:type="dxa"/>
              <w:right w:w="100" w:type="dxa"/>
            </w:tcMar>
          </w:tcPr>
          <w:p w14:paraId="2AFFDFE4" w14:textId="77777777" w:rsidR="00932F87" w:rsidRDefault="00000000">
            <w:pPr>
              <w:widowControl w:val="0"/>
              <w:spacing w:line="240" w:lineRule="auto"/>
              <w:rPr>
                <w:sz w:val="20"/>
                <w:szCs w:val="20"/>
              </w:rPr>
            </w:pPr>
            <w:r>
              <w:rPr>
                <w:sz w:val="20"/>
                <w:szCs w:val="20"/>
              </w:rPr>
              <w:t>2 (1-3)</w:t>
            </w:r>
          </w:p>
        </w:tc>
        <w:tc>
          <w:tcPr>
            <w:tcW w:w="2595" w:type="dxa"/>
            <w:shd w:val="clear" w:color="auto" w:fill="auto"/>
            <w:tcMar>
              <w:top w:w="100" w:type="dxa"/>
              <w:left w:w="100" w:type="dxa"/>
              <w:bottom w:w="100" w:type="dxa"/>
              <w:right w:w="100" w:type="dxa"/>
            </w:tcMar>
          </w:tcPr>
          <w:p w14:paraId="353CF2FD" w14:textId="77777777" w:rsidR="00932F87" w:rsidRDefault="00000000">
            <w:pPr>
              <w:widowControl w:val="0"/>
              <w:spacing w:line="240" w:lineRule="auto"/>
              <w:rPr>
                <w:sz w:val="20"/>
                <w:szCs w:val="20"/>
              </w:rPr>
            </w:pPr>
            <w:r>
              <w:rPr>
                <w:sz w:val="20"/>
                <w:szCs w:val="20"/>
              </w:rPr>
              <w:t>1 (1-2)</w:t>
            </w:r>
          </w:p>
        </w:tc>
        <w:tc>
          <w:tcPr>
            <w:tcW w:w="1500" w:type="dxa"/>
            <w:shd w:val="clear" w:color="auto" w:fill="auto"/>
            <w:tcMar>
              <w:top w:w="100" w:type="dxa"/>
              <w:left w:w="100" w:type="dxa"/>
              <w:bottom w:w="100" w:type="dxa"/>
              <w:right w:w="100" w:type="dxa"/>
            </w:tcMar>
          </w:tcPr>
          <w:p w14:paraId="7E42A07C" w14:textId="77777777" w:rsidR="00932F87" w:rsidRDefault="00000000">
            <w:pPr>
              <w:widowControl w:val="0"/>
              <w:spacing w:line="240" w:lineRule="auto"/>
              <w:rPr>
                <w:sz w:val="20"/>
                <w:szCs w:val="20"/>
              </w:rPr>
            </w:pPr>
            <w:r>
              <w:rPr>
                <w:sz w:val="20"/>
                <w:szCs w:val="20"/>
              </w:rPr>
              <w:t>0.0001</w:t>
            </w:r>
          </w:p>
        </w:tc>
      </w:tr>
      <w:tr w:rsidR="00932F87" w14:paraId="5F89FC2D" w14:textId="77777777">
        <w:tc>
          <w:tcPr>
            <w:tcW w:w="1575" w:type="dxa"/>
            <w:shd w:val="clear" w:color="auto" w:fill="auto"/>
            <w:tcMar>
              <w:top w:w="100" w:type="dxa"/>
              <w:left w:w="100" w:type="dxa"/>
              <w:bottom w:w="100" w:type="dxa"/>
              <w:right w:w="100" w:type="dxa"/>
            </w:tcMar>
          </w:tcPr>
          <w:p w14:paraId="5606820D" w14:textId="77777777" w:rsidR="00932F87" w:rsidRDefault="00000000">
            <w:pPr>
              <w:widowControl w:val="0"/>
              <w:spacing w:line="240" w:lineRule="auto"/>
              <w:rPr>
                <w:sz w:val="20"/>
                <w:szCs w:val="20"/>
              </w:rPr>
            </w:pPr>
            <w:r>
              <w:rPr>
                <w:sz w:val="20"/>
                <w:szCs w:val="20"/>
              </w:rPr>
              <w:t>VT</w:t>
            </w:r>
          </w:p>
        </w:tc>
        <w:tc>
          <w:tcPr>
            <w:tcW w:w="2595" w:type="dxa"/>
            <w:shd w:val="clear" w:color="auto" w:fill="auto"/>
            <w:tcMar>
              <w:top w:w="100" w:type="dxa"/>
              <w:left w:w="100" w:type="dxa"/>
              <w:bottom w:w="100" w:type="dxa"/>
              <w:right w:w="100" w:type="dxa"/>
            </w:tcMar>
          </w:tcPr>
          <w:p w14:paraId="52B80C55" w14:textId="77777777" w:rsidR="00932F87" w:rsidRDefault="00000000">
            <w:pPr>
              <w:widowControl w:val="0"/>
              <w:spacing w:line="240" w:lineRule="auto"/>
              <w:rPr>
                <w:sz w:val="20"/>
                <w:szCs w:val="20"/>
              </w:rPr>
            </w:pPr>
            <w:r>
              <w:rPr>
                <w:sz w:val="20"/>
                <w:szCs w:val="20"/>
              </w:rPr>
              <w:t>0 (0-1)</w:t>
            </w:r>
          </w:p>
        </w:tc>
        <w:tc>
          <w:tcPr>
            <w:tcW w:w="2595" w:type="dxa"/>
            <w:shd w:val="clear" w:color="auto" w:fill="auto"/>
            <w:tcMar>
              <w:top w:w="100" w:type="dxa"/>
              <w:left w:w="100" w:type="dxa"/>
              <w:bottom w:w="100" w:type="dxa"/>
              <w:right w:w="100" w:type="dxa"/>
            </w:tcMar>
          </w:tcPr>
          <w:p w14:paraId="79BDEA06" w14:textId="77777777" w:rsidR="00932F87" w:rsidRDefault="00000000">
            <w:pPr>
              <w:widowControl w:val="0"/>
              <w:spacing w:line="240" w:lineRule="auto"/>
              <w:rPr>
                <w:sz w:val="20"/>
                <w:szCs w:val="20"/>
              </w:rPr>
            </w:pPr>
            <w:r>
              <w:rPr>
                <w:sz w:val="20"/>
                <w:szCs w:val="20"/>
              </w:rPr>
              <w:t>0 (0-1)</w:t>
            </w:r>
          </w:p>
        </w:tc>
        <w:tc>
          <w:tcPr>
            <w:tcW w:w="1500" w:type="dxa"/>
            <w:shd w:val="clear" w:color="auto" w:fill="auto"/>
            <w:tcMar>
              <w:top w:w="100" w:type="dxa"/>
              <w:left w:w="100" w:type="dxa"/>
              <w:bottom w:w="100" w:type="dxa"/>
              <w:right w:w="100" w:type="dxa"/>
            </w:tcMar>
          </w:tcPr>
          <w:p w14:paraId="05C7DD85" w14:textId="77777777" w:rsidR="00932F87" w:rsidRDefault="00000000">
            <w:pPr>
              <w:widowControl w:val="0"/>
              <w:spacing w:line="240" w:lineRule="auto"/>
              <w:rPr>
                <w:sz w:val="20"/>
                <w:szCs w:val="20"/>
              </w:rPr>
            </w:pPr>
            <w:r>
              <w:rPr>
                <w:sz w:val="20"/>
                <w:szCs w:val="20"/>
              </w:rPr>
              <w:t>0.23</w:t>
            </w:r>
          </w:p>
        </w:tc>
      </w:tr>
      <w:tr w:rsidR="00932F87" w14:paraId="561E094E" w14:textId="77777777">
        <w:tc>
          <w:tcPr>
            <w:tcW w:w="1575" w:type="dxa"/>
            <w:shd w:val="clear" w:color="auto" w:fill="auto"/>
            <w:tcMar>
              <w:top w:w="100" w:type="dxa"/>
              <w:left w:w="100" w:type="dxa"/>
              <w:bottom w:w="100" w:type="dxa"/>
              <w:right w:w="100" w:type="dxa"/>
            </w:tcMar>
          </w:tcPr>
          <w:p w14:paraId="4B9C216A" w14:textId="77777777" w:rsidR="00932F87" w:rsidRDefault="00000000">
            <w:pPr>
              <w:widowControl w:val="0"/>
              <w:spacing w:line="240" w:lineRule="auto"/>
              <w:rPr>
                <w:sz w:val="20"/>
                <w:szCs w:val="20"/>
              </w:rPr>
            </w:pPr>
            <w:r>
              <w:rPr>
                <w:sz w:val="20"/>
                <w:szCs w:val="20"/>
              </w:rPr>
              <w:t>ONSD</w:t>
            </w:r>
          </w:p>
        </w:tc>
        <w:tc>
          <w:tcPr>
            <w:tcW w:w="2595" w:type="dxa"/>
            <w:shd w:val="clear" w:color="auto" w:fill="auto"/>
            <w:tcMar>
              <w:top w:w="100" w:type="dxa"/>
              <w:left w:w="100" w:type="dxa"/>
              <w:bottom w:w="100" w:type="dxa"/>
              <w:right w:w="100" w:type="dxa"/>
            </w:tcMar>
          </w:tcPr>
          <w:p w14:paraId="3FBABBE5" w14:textId="77777777" w:rsidR="00932F87" w:rsidRDefault="00000000">
            <w:pPr>
              <w:widowControl w:val="0"/>
              <w:spacing w:line="240" w:lineRule="auto"/>
              <w:rPr>
                <w:sz w:val="20"/>
                <w:szCs w:val="20"/>
              </w:rPr>
            </w:pPr>
            <w:r>
              <w:rPr>
                <w:sz w:val="20"/>
                <w:szCs w:val="20"/>
              </w:rPr>
              <w:t>0 (0-0)</w:t>
            </w:r>
          </w:p>
        </w:tc>
        <w:tc>
          <w:tcPr>
            <w:tcW w:w="2595" w:type="dxa"/>
            <w:shd w:val="clear" w:color="auto" w:fill="auto"/>
            <w:tcMar>
              <w:top w:w="100" w:type="dxa"/>
              <w:left w:w="100" w:type="dxa"/>
              <w:bottom w:w="100" w:type="dxa"/>
              <w:right w:w="100" w:type="dxa"/>
            </w:tcMar>
          </w:tcPr>
          <w:p w14:paraId="79C7189B" w14:textId="77777777" w:rsidR="00932F87" w:rsidRDefault="00000000">
            <w:pPr>
              <w:widowControl w:val="0"/>
              <w:spacing w:line="240" w:lineRule="auto"/>
              <w:rPr>
                <w:sz w:val="20"/>
                <w:szCs w:val="20"/>
              </w:rPr>
            </w:pPr>
            <w:r>
              <w:rPr>
                <w:sz w:val="20"/>
                <w:szCs w:val="20"/>
              </w:rPr>
              <w:t>0 (0-0)</w:t>
            </w:r>
          </w:p>
        </w:tc>
        <w:tc>
          <w:tcPr>
            <w:tcW w:w="1500" w:type="dxa"/>
            <w:shd w:val="clear" w:color="auto" w:fill="auto"/>
            <w:tcMar>
              <w:top w:w="100" w:type="dxa"/>
              <w:left w:w="100" w:type="dxa"/>
              <w:bottom w:w="100" w:type="dxa"/>
              <w:right w:w="100" w:type="dxa"/>
            </w:tcMar>
          </w:tcPr>
          <w:p w14:paraId="6607D909" w14:textId="77777777" w:rsidR="00932F87" w:rsidRDefault="00000000">
            <w:pPr>
              <w:widowControl w:val="0"/>
              <w:spacing w:line="240" w:lineRule="auto"/>
              <w:rPr>
                <w:sz w:val="20"/>
                <w:szCs w:val="20"/>
              </w:rPr>
            </w:pPr>
            <w:r>
              <w:rPr>
                <w:sz w:val="20"/>
                <w:szCs w:val="20"/>
              </w:rPr>
              <w:t>0.10</w:t>
            </w:r>
          </w:p>
        </w:tc>
      </w:tr>
      <w:tr w:rsidR="00932F87" w14:paraId="4A8A356E" w14:textId="77777777">
        <w:tc>
          <w:tcPr>
            <w:tcW w:w="1575" w:type="dxa"/>
            <w:shd w:val="clear" w:color="auto" w:fill="auto"/>
            <w:tcMar>
              <w:top w:w="100" w:type="dxa"/>
              <w:left w:w="100" w:type="dxa"/>
              <w:bottom w:w="100" w:type="dxa"/>
              <w:right w:w="100" w:type="dxa"/>
            </w:tcMar>
          </w:tcPr>
          <w:p w14:paraId="5957E9C6" w14:textId="77777777" w:rsidR="00932F87" w:rsidRDefault="00000000">
            <w:pPr>
              <w:widowControl w:val="0"/>
              <w:spacing w:line="240" w:lineRule="auto"/>
              <w:rPr>
                <w:sz w:val="20"/>
                <w:szCs w:val="20"/>
              </w:rPr>
            </w:pPr>
            <w:r>
              <w:rPr>
                <w:sz w:val="20"/>
                <w:szCs w:val="20"/>
              </w:rPr>
              <w:t>PGF</w:t>
            </w:r>
          </w:p>
        </w:tc>
        <w:tc>
          <w:tcPr>
            <w:tcW w:w="2595" w:type="dxa"/>
            <w:shd w:val="clear" w:color="auto" w:fill="auto"/>
            <w:tcMar>
              <w:top w:w="100" w:type="dxa"/>
              <w:left w:w="100" w:type="dxa"/>
              <w:bottom w:w="100" w:type="dxa"/>
              <w:right w:w="100" w:type="dxa"/>
            </w:tcMar>
          </w:tcPr>
          <w:p w14:paraId="1CB0351C" w14:textId="77777777" w:rsidR="00932F87" w:rsidRDefault="00000000">
            <w:pPr>
              <w:widowControl w:val="0"/>
              <w:spacing w:line="240" w:lineRule="auto"/>
              <w:rPr>
                <w:sz w:val="20"/>
                <w:szCs w:val="20"/>
              </w:rPr>
            </w:pPr>
            <w:r>
              <w:rPr>
                <w:sz w:val="20"/>
                <w:szCs w:val="20"/>
              </w:rPr>
              <w:t>0 (0-0)</w:t>
            </w:r>
          </w:p>
        </w:tc>
        <w:tc>
          <w:tcPr>
            <w:tcW w:w="2595" w:type="dxa"/>
            <w:shd w:val="clear" w:color="auto" w:fill="auto"/>
            <w:tcMar>
              <w:top w:w="100" w:type="dxa"/>
              <w:left w:w="100" w:type="dxa"/>
              <w:bottom w:w="100" w:type="dxa"/>
              <w:right w:w="100" w:type="dxa"/>
            </w:tcMar>
          </w:tcPr>
          <w:p w14:paraId="2EF24765" w14:textId="77777777" w:rsidR="00932F87" w:rsidRDefault="00000000">
            <w:pPr>
              <w:widowControl w:val="0"/>
              <w:spacing w:line="240" w:lineRule="auto"/>
              <w:rPr>
                <w:sz w:val="20"/>
                <w:szCs w:val="20"/>
              </w:rPr>
            </w:pPr>
            <w:r>
              <w:rPr>
                <w:sz w:val="20"/>
                <w:szCs w:val="20"/>
              </w:rPr>
              <w:t>0 (0-0)</w:t>
            </w:r>
          </w:p>
        </w:tc>
        <w:tc>
          <w:tcPr>
            <w:tcW w:w="1500" w:type="dxa"/>
            <w:shd w:val="clear" w:color="auto" w:fill="auto"/>
            <w:tcMar>
              <w:top w:w="100" w:type="dxa"/>
              <w:left w:w="100" w:type="dxa"/>
              <w:bottom w:w="100" w:type="dxa"/>
              <w:right w:w="100" w:type="dxa"/>
            </w:tcMar>
          </w:tcPr>
          <w:p w14:paraId="1FA9A777" w14:textId="77777777" w:rsidR="00932F87" w:rsidRDefault="00000000">
            <w:pPr>
              <w:widowControl w:val="0"/>
              <w:spacing w:line="240" w:lineRule="auto"/>
              <w:rPr>
                <w:sz w:val="20"/>
                <w:szCs w:val="20"/>
              </w:rPr>
            </w:pPr>
            <w:r>
              <w:rPr>
                <w:sz w:val="20"/>
                <w:szCs w:val="20"/>
              </w:rPr>
              <w:t>0.18</w:t>
            </w:r>
          </w:p>
        </w:tc>
      </w:tr>
      <w:tr w:rsidR="00932F87" w14:paraId="787CC26B" w14:textId="77777777">
        <w:tc>
          <w:tcPr>
            <w:tcW w:w="1575" w:type="dxa"/>
            <w:shd w:val="clear" w:color="auto" w:fill="auto"/>
            <w:tcMar>
              <w:top w:w="100" w:type="dxa"/>
              <w:left w:w="100" w:type="dxa"/>
              <w:bottom w:w="100" w:type="dxa"/>
              <w:right w:w="100" w:type="dxa"/>
            </w:tcMar>
          </w:tcPr>
          <w:p w14:paraId="33309574" w14:textId="77777777" w:rsidR="00932F87" w:rsidRDefault="00000000">
            <w:pPr>
              <w:widowControl w:val="0"/>
              <w:spacing w:line="240" w:lineRule="auto"/>
              <w:rPr>
                <w:sz w:val="20"/>
                <w:szCs w:val="20"/>
              </w:rPr>
            </w:pPr>
            <w:r>
              <w:rPr>
                <w:sz w:val="20"/>
                <w:szCs w:val="20"/>
              </w:rPr>
              <w:t>ODP</w:t>
            </w:r>
          </w:p>
        </w:tc>
        <w:tc>
          <w:tcPr>
            <w:tcW w:w="2595" w:type="dxa"/>
            <w:shd w:val="clear" w:color="auto" w:fill="auto"/>
            <w:tcMar>
              <w:top w:w="100" w:type="dxa"/>
              <w:left w:w="100" w:type="dxa"/>
              <w:bottom w:w="100" w:type="dxa"/>
              <w:right w:w="100" w:type="dxa"/>
            </w:tcMar>
          </w:tcPr>
          <w:p w14:paraId="69E24A78" w14:textId="77777777" w:rsidR="00932F87" w:rsidRDefault="00000000">
            <w:pPr>
              <w:widowControl w:val="0"/>
              <w:spacing w:line="240" w:lineRule="auto"/>
              <w:rPr>
                <w:sz w:val="20"/>
                <w:szCs w:val="20"/>
              </w:rPr>
            </w:pPr>
            <w:r>
              <w:rPr>
                <w:sz w:val="20"/>
                <w:szCs w:val="20"/>
              </w:rPr>
              <w:t>0 (0-0)</w:t>
            </w:r>
          </w:p>
        </w:tc>
        <w:tc>
          <w:tcPr>
            <w:tcW w:w="2595" w:type="dxa"/>
            <w:shd w:val="clear" w:color="auto" w:fill="auto"/>
            <w:tcMar>
              <w:top w:w="100" w:type="dxa"/>
              <w:left w:w="100" w:type="dxa"/>
              <w:bottom w:w="100" w:type="dxa"/>
              <w:right w:w="100" w:type="dxa"/>
            </w:tcMar>
          </w:tcPr>
          <w:p w14:paraId="294FDACD" w14:textId="77777777" w:rsidR="00932F87" w:rsidRDefault="00000000">
            <w:pPr>
              <w:widowControl w:val="0"/>
              <w:spacing w:line="240" w:lineRule="auto"/>
              <w:rPr>
                <w:sz w:val="20"/>
                <w:szCs w:val="20"/>
              </w:rPr>
            </w:pPr>
            <w:r>
              <w:rPr>
                <w:sz w:val="20"/>
                <w:szCs w:val="20"/>
              </w:rPr>
              <w:t>0 (0-0)</w:t>
            </w:r>
          </w:p>
        </w:tc>
        <w:tc>
          <w:tcPr>
            <w:tcW w:w="1500" w:type="dxa"/>
            <w:shd w:val="clear" w:color="auto" w:fill="auto"/>
            <w:tcMar>
              <w:top w:w="100" w:type="dxa"/>
              <w:left w:w="100" w:type="dxa"/>
              <w:bottom w:w="100" w:type="dxa"/>
              <w:right w:w="100" w:type="dxa"/>
            </w:tcMar>
          </w:tcPr>
          <w:p w14:paraId="7789B1F4" w14:textId="77777777" w:rsidR="00932F87" w:rsidRDefault="00000000">
            <w:pPr>
              <w:widowControl w:val="0"/>
              <w:spacing w:line="240" w:lineRule="auto"/>
              <w:rPr>
                <w:sz w:val="20"/>
                <w:szCs w:val="20"/>
              </w:rPr>
            </w:pPr>
            <w:r>
              <w:rPr>
                <w:sz w:val="20"/>
                <w:szCs w:val="20"/>
              </w:rPr>
              <w:t>0.18</w:t>
            </w:r>
          </w:p>
        </w:tc>
      </w:tr>
    </w:tbl>
    <w:p w14:paraId="653B688C" w14:textId="77777777" w:rsidR="00932F87" w:rsidRDefault="00932F87">
      <w:pPr>
        <w:spacing w:before="200"/>
        <w:jc w:val="both"/>
      </w:pPr>
    </w:p>
    <w:p w14:paraId="3326AF6E" w14:textId="77777777" w:rsidR="00932F87" w:rsidRDefault="00000000">
      <w:pPr>
        <w:pStyle w:val="Heading2"/>
        <w:spacing w:before="200"/>
        <w:jc w:val="both"/>
        <w:rPr>
          <w:i/>
        </w:rPr>
      </w:pPr>
      <w:bookmarkStart w:id="8" w:name="_oqz7roby2ao2" w:colFirst="0" w:colLast="0"/>
      <w:bookmarkEnd w:id="8"/>
      <w:r>
        <w:t>Multivariate prediction of ICP using radiological markers</w:t>
      </w:r>
    </w:p>
    <w:p w14:paraId="6E24F05D" w14:textId="77777777" w:rsidR="00932F87" w:rsidRDefault="00932F87">
      <w:pPr>
        <w:rPr>
          <w:b/>
          <w:sz w:val="20"/>
          <w:szCs w:val="20"/>
        </w:rPr>
      </w:pPr>
    </w:p>
    <w:p w14:paraId="1A262516" w14:textId="77777777" w:rsidR="00932F87" w:rsidRDefault="00000000">
      <w:r>
        <w:rPr>
          <w:b/>
          <w:sz w:val="20"/>
          <w:szCs w:val="20"/>
        </w:rPr>
        <w:t>Supplementary Figure 1</w:t>
      </w:r>
      <w:r>
        <w:rPr>
          <w:sz w:val="20"/>
          <w:szCs w:val="20"/>
        </w:rPr>
        <w:t>. A) Boxplot demonstrating ranges of ICP in patients who had abnormal radiological biomarkers. B) Cramer’s V heatmap demonstrating the degree of co-linearity across radiological variables</w:t>
      </w:r>
    </w:p>
    <w:p w14:paraId="446975DD" w14:textId="77777777" w:rsidR="00932F87" w:rsidRDefault="00932F87">
      <w:pPr>
        <w:jc w:val="both"/>
      </w:pPr>
    </w:p>
    <w:p w14:paraId="1CDB73F5" w14:textId="77777777" w:rsidR="00932F87" w:rsidRDefault="00000000">
      <w:pPr>
        <w:jc w:val="both"/>
      </w:pPr>
      <w:r>
        <w:rPr>
          <w:noProof/>
        </w:rPr>
        <w:lastRenderedPageBreak/>
        <w:drawing>
          <wp:inline distT="114300" distB="114300" distL="114300" distR="114300" wp14:anchorId="7CC485AE" wp14:editId="1A496D1C">
            <wp:extent cx="6645600" cy="4165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6645600" cy="4165600"/>
                    </a:xfrm>
                    <a:prstGeom prst="rect">
                      <a:avLst/>
                    </a:prstGeom>
                    <a:ln/>
                  </pic:spPr>
                </pic:pic>
              </a:graphicData>
            </a:graphic>
          </wp:inline>
        </w:drawing>
      </w:r>
    </w:p>
    <w:p w14:paraId="29FC3B39" w14:textId="77777777" w:rsidR="00932F87" w:rsidRDefault="00932F87">
      <w:pPr>
        <w:spacing w:before="200"/>
        <w:jc w:val="both"/>
      </w:pPr>
    </w:p>
    <w:p w14:paraId="4C78BC8B" w14:textId="10D1599C" w:rsidR="00932F87" w:rsidRDefault="00000000">
      <w:pPr>
        <w:spacing w:before="200"/>
        <w:jc w:val="both"/>
      </w:pPr>
      <w:r>
        <w:rPr>
          <w:b/>
          <w:sz w:val="20"/>
          <w:szCs w:val="20"/>
        </w:rPr>
        <w:t xml:space="preserve">Supplementary Table </w:t>
      </w:r>
      <w:r w:rsidR="008461E4">
        <w:rPr>
          <w:b/>
          <w:sz w:val="20"/>
          <w:szCs w:val="20"/>
        </w:rPr>
        <w:t>3</w:t>
      </w:r>
      <w:r>
        <w:rPr>
          <w:b/>
          <w:sz w:val="20"/>
          <w:szCs w:val="20"/>
        </w:rPr>
        <w:t>.</w:t>
      </w:r>
      <w:r>
        <w:rPr>
          <w:sz w:val="20"/>
          <w:szCs w:val="20"/>
        </w:rPr>
        <w:t xml:space="preserve"> Multivariate ordinary least square linear regression model using </w:t>
      </w:r>
      <w:proofErr w:type="spellStart"/>
      <w:r>
        <w:rPr>
          <w:sz w:val="20"/>
          <w:szCs w:val="20"/>
        </w:rPr>
        <w:t>clinico</w:t>
      </w:r>
      <w:proofErr w:type="spellEnd"/>
      <w:r>
        <w:rPr>
          <w:sz w:val="20"/>
          <w:szCs w:val="20"/>
        </w:rPr>
        <w:t>-radiological parameters to predict ICP</w:t>
      </w:r>
      <w:r>
        <w:t xml:space="preserve">. </w:t>
      </w:r>
      <w:r>
        <w:rPr>
          <w:sz w:val="20"/>
          <w:szCs w:val="20"/>
        </w:rPr>
        <w:t xml:space="preserve">IIH = idiopathic intracranial hypertension; NPH = normal pressure hydrocephalus; LOVA = long standing overt ventriculomegaly in adults; ODP = optic disc protrusion, PGF = posterior globe flattening; Yuh = pituitary </w:t>
      </w:r>
      <w:proofErr w:type="spellStart"/>
      <w:r>
        <w:rPr>
          <w:sz w:val="20"/>
          <w:szCs w:val="20"/>
        </w:rPr>
        <w:t>sella</w:t>
      </w:r>
      <w:proofErr w:type="spellEnd"/>
      <w:r>
        <w:rPr>
          <w:sz w:val="20"/>
          <w:szCs w:val="20"/>
        </w:rPr>
        <w:t xml:space="preserve"> grade; VT = vertical tortuosity</w:t>
      </w:r>
    </w:p>
    <w:p w14:paraId="4EE5FB3C" w14:textId="77777777" w:rsidR="00932F87" w:rsidRDefault="00932F87">
      <w:pPr>
        <w:spacing w:before="200"/>
        <w:jc w:val="both"/>
      </w:pPr>
    </w:p>
    <w:tbl>
      <w:tblPr>
        <w:tblStyle w:val="a0"/>
        <w:tblW w:w="7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3240"/>
        <w:gridCol w:w="1350"/>
        <w:gridCol w:w="1035"/>
        <w:gridCol w:w="960"/>
      </w:tblGrid>
      <w:tr w:rsidR="00932F87" w14:paraId="17555C80" w14:textId="77777777">
        <w:trPr>
          <w:trHeight w:val="720"/>
        </w:trPr>
        <w:tc>
          <w:tcPr>
            <w:tcW w:w="1350" w:type="dxa"/>
            <w:tcMar>
              <w:top w:w="100" w:type="dxa"/>
              <w:left w:w="100" w:type="dxa"/>
              <w:bottom w:w="100" w:type="dxa"/>
              <w:right w:w="100" w:type="dxa"/>
            </w:tcMar>
          </w:tcPr>
          <w:p w14:paraId="67E4055C" w14:textId="77777777" w:rsidR="00932F87" w:rsidRDefault="00000000">
            <w:pPr>
              <w:spacing w:line="240" w:lineRule="auto"/>
              <w:rPr>
                <w:b/>
                <w:sz w:val="20"/>
                <w:szCs w:val="20"/>
              </w:rPr>
            </w:pPr>
            <w:r>
              <w:rPr>
                <w:b/>
                <w:sz w:val="20"/>
                <w:szCs w:val="20"/>
              </w:rPr>
              <w:t>Variable type</w:t>
            </w:r>
          </w:p>
        </w:tc>
        <w:tc>
          <w:tcPr>
            <w:tcW w:w="3240" w:type="dxa"/>
            <w:tcMar>
              <w:top w:w="100" w:type="dxa"/>
              <w:left w:w="100" w:type="dxa"/>
              <w:bottom w:w="100" w:type="dxa"/>
              <w:right w:w="100" w:type="dxa"/>
            </w:tcMar>
          </w:tcPr>
          <w:p w14:paraId="31AE8F16" w14:textId="77777777" w:rsidR="00932F87" w:rsidRDefault="00000000">
            <w:pPr>
              <w:spacing w:line="240" w:lineRule="auto"/>
              <w:rPr>
                <w:b/>
                <w:sz w:val="20"/>
                <w:szCs w:val="20"/>
              </w:rPr>
            </w:pPr>
            <w:r>
              <w:rPr>
                <w:b/>
                <w:sz w:val="20"/>
                <w:szCs w:val="20"/>
              </w:rPr>
              <w:t>Variable</w:t>
            </w:r>
          </w:p>
        </w:tc>
        <w:tc>
          <w:tcPr>
            <w:tcW w:w="1350" w:type="dxa"/>
            <w:tcMar>
              <w:top w:w="100" w:type="dxa"/>
              <w:left w:w="100" w:type="dxa"/>
              <w:bottom w:w="100" w:type="dxa"/>
              <w:right w:w="100" w:type="dxa"/>
            </w:tcMar>
          </w:tcPr>
          <w:p w14:paraId="10B411B7" w14:textId="77777777" w:rsidR="00932F87" w:rsidRDefault="00000000">
            <w:pPr>
              <w:spacing w:line="240" w:lineRule="auto"/>
              <w:rPr>
                <w:b/>
                <w:sz w:val="20"/>
                <w:szCs w:val="20"/>
              </w:rPr>
            </w:pPr>
            <w:r>
              <w:rPr>
                <w:b/>
                <w:sz w:val="20"/>
                <w:szCs w:val="20"/>
              </w:rPr>
              <w:t>Coefficient</w:t>
            </w:r>
          </w:p>
        </w:tc>
        <w:tc>
          <w:tcPr>
            <w:tcW w:w="1035" w:type="dxa"/>
            <w:tcMar>
              <w:top w:w="100" w:type="dxa"/>
              <w:left w:w="100" w:type="dxa"/>
              <w:bottom w:w="100" w:type="dxa"/>
              <w:right w:w="100" w:type="dxa"/>
            </w:tcMar>
          </w:tcPr>
          <w:p w14:paraId="67186156" w14:textId="77777777" w:rsidR="00932F87" w:rsidRDefault="00000000">
            <w:pPr>
              <w:spacing w:line="240" w:lineRule="auto"/>
              <w:rPr>
                <w:b/>
                <w:sz w:val="20"/>
                <w:szCs w:val="20"/>
              </w:rPr>
            </w:pPr>
            <w:r>
              <w:rPr>
                <w:b/>
                <w:sz w:val="20"/>
                <w:szCs w:val="20"/>
              </w:rPr>
              <w:t>t</w:t>
            </w:r>
          </w:p>
        </w:tc>
        <w:tc>
          <w:tcPr>
            <w:tcW w:w="960" w:type="dxa"/>
            <w:tcMar>
              <w:top w:w="100" w:type="dxa"/>
              <w:left w:w="100" w:type="dxa"/>
              <w:bottom w:w="100" w:type="dxa"/>
              <w:right w:w="100" w:type="dxa"/>
            </w:tcMar>
          </w:tcPr>
          <w:p w14:paraId="2D5B0180" w14:textId="77777777" w:rsidR="00932F87" w:rsidRDefault="00000000">
            <w:pPr>
              <w:spacing w:line="240" w:lineRule="auto"/>
              <w:rPr>
                <w:b/>
                <w:sz w:val="20"/>
                <w:szCs w:val="20"/>
              </w:rPr>
            </w:pPr>
            <w:r>
              <w:rPr>
                <w:b/>
                <w:sz w:val="20"/>
                <w:szCs w:val="20"/>
              </w:rPr>
              <w:t>p</w:t>
            </w:r>
          </w:p>
        </w:tc>
      </w:tr>
      <w:tr w:rsidR="00932F87" w14:paraId="46D5D396" w14:textId="77777777">
        <w:trPr>
          <w:trHeight w:val="469"/>
        </w:trPr>
        <w:tc>
          <w:tcPr>
            <w:tcW w:w="4590" w:type="dxa"/>
            <w:gridSpan w:val="2"/>
            <w:tcMar>
              <w:top w:w="100" w:type="dxa"/>
              <w:left w:w="100" w:type="dxa"/>
              <w:bottom w:w="100" w:type="dxa"/>
              <w:right w:w="100" w:type="dxa"/>
            </w:tcMar>
          </w:tcPr>
          <w:p w14:paraId="40CA5B8A" w14:textId="77777777" w:rsidR="00932F87" w:rsidRDefault="00000000">
            <w:pPr>
              <w:spacing w:line="240" w:lineRule="auto"/>
              <w:jc w:val="right"/>
              <w:rPr>
                <w:sz w:val="20"/>
                <w:szCs w:val="20"/>
              </w:rPr>
            </w:pPr>
            <w:r>
              <w:rPr>
                <w:sz w:val="20"/>
                <w:szCs w:val="20"/>
              </w:rPr>
              <w:t>Intercept</w:t>
            </w:r>
          </w:p>
        </w:tc>
        <w:tc>
          <w:tcPr>
            <w:tcW w:w="1350" w:type="dxa"/>
            <w:tcMar>
              <w:top w:w="100" w:type="dxa"/>
              <w:left w:w="100" w:type="dxa"/>
              <w:bottom w:w="100" w:type="dxa"/>
              <w:right w:w="100" w:type="dxa"/>
            </w:tcMar>
          </w:tcPr>
          <w:p w14:paraId="2E268A16" w14:textId="77777777" w:rsidR="00932F87" w:rsidRDefault="00000000">
            <w:pPr>
              <w:spacing w:line="240" w:lineRule="auto"/>
              <w:rPr>
                <w:sz w:val="20"/>
                <w:szCs w:val="20"/>
              </w:rPr>
            </w:pPr>
            <w:r>
              <w:rPr>
                <w:sz w:val="20"/>
                <w:szCs w:val="20"/>
              </w:rPr>
              <w:t>3.5089</w:t>
            </w:r>
          </w:p>
        </w:tc>
        <w:tc>
          <w:tcPr>
            <w:tcW w:w="1035" w:type="dxa"/>
            <w:tcMar>
              <w:top w:w="100" w:type="dxa"/>
              <w:left w:w="100" w:type="dxa"/>
              <w:bottom w:w="100" w:type="dxa"/>
              <w:right w:w="100" w:type="dxa"/>
            </w:tcMar>
          </w:tcPr>
          <w:p w14:paraId="178C3660" w14:textId="77777777" w:rsidR="00932F87" w:rsidRDefault="00000000">
            <w:pPr>
              <w:spacing w:line="240" w:lineRule="auto"/>
              <w:rPr>
                <w:sz w:val="20"/>
                <w:szCs w:val="20"/>
              </w:rPr>
            </w:pPr>
            <w:r>
              <w:rPr>
                <w:sz w:val="20"/>
                <w:szCs w:val="20"/>
              </w:rPr>
              <w:t>1.911</w:t>
            </w:r>
          </w:p>
        </w:tc>
        <w:tc>
          <w:tcPr>
            <w:tcW w:w="960" w:type="dxa"/>
            <w:tcMar>
              <w:top w:w="100" w:type="dxa"/>
              <w:left w:w="100" w:type="dxa"/>
              <w:bottom w:w="100" w:type="dxa"/>
              <w:right w:w="100" w:type="dxa"/>
            </w:tcMar>
          </w:tcPr>
          <w:p w14:paraId="790EC62E" w14:textId="77777777" w:rsidR="00932F87" w:rsidRDefault="00000000">
            <w:pPr>
              <w:spacing w:line="240" w:lineRule="auto"/>
              <w:rPr>
                <w:sz w:val="20"/>
                <w:szCs w:val="20"/>
              </w:rPr>
            </w:pPr>
            <w:r>
              <w:rPr>
                <w:sz w:val="20"/>
                <w:szCs w:val="20"/>
              </w:rPr>
              <w:t>0.057</w:t>
            </w:r>
          </w:p>
        </w:tc>
      </w:tr>
      <w:tr w:rsidR="00932F87" w14:paraId="315F8290" w14:textId="77777777">
        <w:trPr>
          <w:trHeight w:val="469"/>
        </w:trPr>
        <w:tc>
          <w:tcPr>
            <w:tcW w:w="1350" w:type="dxa"/>
            <w:vMerge w:val="restart"/>
            <w:tcMar>
              <w:top w:w="100" w:type="dxa"/>
              <w:left w:w="100" w:type="dxa"/>
              <w:bottom w:w="100" w:type="dxa"/>
              <w:right w:w="100" w:type="dxa"/>
            </w:tcMar>
          </w:tcPr>
          <w:p w14:paraId="14230B85" w14:textId="77777777" w:rsidR="00932F87" w:rsidRDefault="00000000">
            <w:pPr>
              <w:spacing w:line="240" w:lineRule="auto"/>
              <w:rPr>
                <w:b/>
                <w:sz w:val="20"/>
                <w:szCs w:val="20"/>
              </w:rPr>
            </w:pPr>
            <w:r>
              <w:rPr>
                <w:b/>
                <w:sz w:val="20"/>
                <w:szCs w:val="20"/>
              </w:rPr>
              <w:t>Clinical</w:t>
            </w:r>
          </w:p>
        </w:tc>
        <w:tc>
          <w:tcPr>
            <w:tcW w:w="3240" w:type="dxa"/>
            <w:tcMar>
              <w:top w:w="100" w:type="dxa"/>
              <w:left w:w="100" w:type="dxa"/>
              <w:bottom w:w="100" w:type="dxa"/>
              <w:right w:w="100" w:type="dxa"/>
            </w:tcMar>
          </w:tcPr>
          <w:p w14:paraId="1F7DA19E" w14:textId="5ECB8F04" w:rsidR="00932F87" w:rsidRDefault="00D54C48">
            <w:pPr>
              <w:spacing w:line="240" w:lineRule="auto"/>
              <w:jc w:val="right"/>
              <w:rPr>
                <w:sz w:val="20"/>
                <w:szCs w:val="20"/>
              </w:rPr>
            </w:pPr>
            <w:r>
              <w:rPr>
                <w:sz w:val="20"/>
                <w:szCs w:val="20"/>
              </w:rPr>
              <w:t>Age</w:t>
            </w:r>
          </w:p>
        </w:tc>
        <w:tc>
          <w:tcPr>
            <w:tcW w:w="1350" w:type="dxa"/>
            <w:tcMar>
              <w:top w:w="100" w:type="dxa"/>
              <w:left w:w="100" w:type="dxa"/>
              <w:bottom w:w="100" w:type="dxa"/>
              <w:right w:w="100" w:type="dxa"/>
            </w:tcMar>
          </w:tcPr>
          <w:p w14:paraId="31ADFBFF" w14:textId="77777777" w:rsidR="00932F87" w:rsidRDefault="00000000">
            <w:pPr>
              <w:spacing w:line="240" w:lineRule="auto"/>
              <w:rPr>
                <w:sz w:val="20"/>
                <w:szCs w:val="20"/>
              </w:rPr>
            </w:pPr>
            <w:r>
              <w:rPr>
                <w:sz w:val="20"/>
                <w:szCs w:val="20"/>
              </w:rPr>
              <w:t>-0.0700</w:t>
            </w:r>
          </w:p>
        </w:tc>
        <w:tc>
          <w:tcPr>
            <w:tcW w:w="1035" w:type="dxa"/>
            <w:tcMar>
              <w:top w:w="100" w:type="dxa"/>
              <w:left w:w="100" w:type="dxa"/>
              <w:bottom w:w="100" w:type="dxa"/>
              <w:right w:w="100" w:type="dxa"/>
            </w:tcMar>
          </w:tcPr>
          <w:p w14:paraId="7AA9380E" w14:textId="77777777" w:rsidR="00932F87" w:rsidRDefault="00000000">
            <w:pPr>
              <w:spacing w:line="240" w:lineRule="auto"/>
              <w:rPr>
                <w:sz w:val="20"/>
                <w:szCs w:val="20"/>
              </w:rPr>
            </w:pPr>
            <w:r>
              <w:rPr>
                <w:sz w:val="20"/>
                <w:szCs w:val="20"/>
              </w:rPr>
              <w:t>-3.030</w:t>
            </w:r>
          </w:p>
        </w:tc>
        <w:tc>
          <w:tcPr>
            <w:tcW w:w="960" w:type="dxa"/>
            <w:tcMar>
              <w:top w:w="100" w:type="dxa"/>
              <w:left w:w="100" w:type="dxa"/>
              <w:bottom w:w="100" w:type="dxa"/>
              <w:right w:w="100" w:type="dxa"/>
            </w:tcMar>
          </w:tcPr>
          <w:p w14:paraId="48D869CC" w14:textId="77777777" w:rsidR="00932F87" w:rsidRDefault="00000000">
            <w:pPr>
              <w:spacing w:line="240" w:lineRule="auto"/>
              <w:rPr>
                <w:sz w:val="20"/>
                <w:szCs w:val="20"/>
              </w:rPr>
            </w:pPr>
            <w:r>
              <w:rPr>
                <w:sz w:val="20"/>
                <w:szCs w:val="20"/>
              </w:rPr>
              <w:t>0.003</w:t>
            </w:r>
          </w:p>
        </w:tc>
      </w:tr>
      <w:tr w:rsidR="00932F87" w14:paraId="469C8252" w14:textId="77777777">
        <w:trPr>
          <w:trHeight w:val="469"/>
        </w:trPr>
        <w:tc>
          <w:tcPr>
            <w:tcW w:w="1350" w:type="dxa"/>
            <w:vMerge/>
            <w:tcMar>
              <w:top w:w="100" w:type="dxa"/>
              <w:left w:w="100" w:type="dxa"/>
              <w:bottom w:w="100" w:type="dxa"/>
              <w:right w:w="100" w:type="dxa"/>
            </w:tcMar>
          </w:tcPr>
          <w:p w14:paraId="3820A4C8"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575E57A9" w14:textId="77777777" w:rsidR="00932F87" w:rsidRDefault="00000000">
            <w:pPr>
              <w:spacing w:line="240" w:lineRule="auto"/>
              <w:jc w:val="right"/>
              <w:rPr>
                <w:sz w:val="20"/>
                <w:szCs w:val="20"/>
              </w:rPr>
            </w:pPr>
            <w:proofErr w:type="spellStart"/>
            <w:r>
              <w:rPr>
                <w:sz w:val="20"/>
                <w:szCs w:val="20"/>
              </w:rPr>
              <w:t>Aqueductal</w:t>
            </w:r>
            <w:proofErr w:type="spellEnd"/>
            <w:r>
              <w:rPr>
                <w:sz w:val="20"/>
                <w:szCs w:val="20"/>
              </w:rPr>
              <w:t xml:space="preserve"> stenosis</w:t>
            </w:r>
          </w:p>
        </w:tc>
        <w:tc>
          <w:tcPr>
            <w:tcW w:w="1350" w:type="dxa"/>
            <w:tcMar>
              <w:top w:w="100" w:type="dxa"/>
              <w:left w:w="100" w:type="dxa"/>
              <w:bottom w:w="100" w:type="dxa"/>
              <w:right w:w="100" w:type="dxa"/>
            </w:tcMar>
          </w:tcPr>
          <w:p w14:paraId="5955C16A" w14:textId="77777777" w:rsidR="00932F87" w:rsidRDefault="00000000">
            <w:pPr>
              <w:spacing w:line="240" w:lineRule="auto"/>
              <w:rPr>
                <w:sz w:val="20"/>
                <w:szCs w:val="20"/>
              </w:rPr>
            </w:pPr>
            <w:r>
              <w:rPr>
                <w:sz w:val="20"/>
                <w:szCs w:val="20"/>
              </w:rPr>
              <w:t>Reference</w:t>
            </w:r>
          </w:p>
        </w:tc>
        <w:tc>
          <w:tcPr>
            <w:tcW w:w="1035" w:type="dxa"/>
            <w:shd w:val="clear" w:color="auto" w:fill="B7B7B7"/>
            <w:tcMar>
              <w:top w:w="100" w:type="dxa"/>
              <w:left w:w="100" w:type="dxa"/>
              <w:bottom w:w="100" w:type="dxa"/>
              <w:right w:w="100" w:type="dxa"/>
            </w:tcMar>
          </w:tcPr>
          <w:p w14:paraId="49E9E33D" w14:textId="77777777" w:rsidR="00932F87" w:rsidRDefault="00932F87">
            <w:pPr>
              <w:spacing w:line="240" w:lineRule="auto"/>
              <w:rPr>
                <w:sz w:val="20"/>
                <w:szCs w:val="20"/>
              </w:rPr>
            </w:pPr>
          </w:p>
        </w:tc>
        <w:tc>
          <w:tcPr>
            <w:tcW w:w="960" w:type="dxa"/>
            <w:shd w:val="clear" w:color="auto" w:fill="B7B7B7"/>
            <w:tcMar>
              <w:top w:w="100" w:type="dxa"/>
              <w:left w:w="100" w:type="dxa"/>
              <w:bottom w:w="100" w:type="dxa"/>
              <w:right w:w="100" w:type="dxa"/>
            </w:tcMar>
          </w:tcPr>
          <w:p w14:paraId="2CBF6BEF" w14:textId="77777777" w:rsidR="00932F87" w:rsidRDefault="00932F87">
            <w:pPr>
              <w:spacing w:line="240" w:lineRule="auto"/>
              <w:rPr>
                <w:sz w:val="20"/>
                <w:szCs w:val="20"/>
              </w:rPr>
            </w:pPr>
          </w:p>
        </w:tc>
      </w:tr>
      <w:tr w:rsidR="00932F87" w14:paraId="23A35AEA" w14:textId="77777777">
        <w:trPr>
          <w:trHeight w:val="469"/>
        </w:trPr>
        <w:tc>
          <w:tcPr>
            <w:tcW w:w="1350" w:type="dxa"/>
            <w:vMerge/>
            <w:tcMar>
              <w:top w:w="100" w:type="dxa"/>
              <w:left w:w="100" w:type="dxa"/>
              <w:bottom w:w="100" w:type="dxa"/>
              <w:right w:w="100" w:type="dxa"/>
            </w:tcMar>
          </w:tcPr>
          <w:p w14:paraId="7D405D1A"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29409C11" w14:textId="77777777" w:rsidR="00932F87" w:rsidRDefault="00000000">
            <w:pPr>
              <w:spacing w:line="240" w:lineRule="auto"/>
              <w:jc w:val="right"/>
              <w:rPr>
                <w:sz w:val="20"/>
                <w:szCs w:val="20"/>
              </w:rPr>
            </w:pPr>
            <w:r>
              <w:rPr>
                <w:sz w:val="20"/>
                <w:szCs w:val="20"/>
              </w:rPr>
              <w:t>Congenital</w:t>
            </w:r>
          </w:p>
        </w:tc>
        <w:tc>
          <w:tcPr>
            <w:tcW w:w="1350" w:type="dxa"/>
            <w:tcMar>
              <w:top w:w="100" w:type="dxa"/>
              <w:left w:w="100" w:type="dxa"/>
              <w:bottom w:w="100" w:type="dxa"/>
              <w:right w:w="100" w:type="dxa"/>
            </w:tcMar>
          </w:tcPr>
          <w:p w14:paraId="2EB00820" w14:textId="77777777" w:rsidR="00932F87" w:rsidRDefault="00000000">
            <w:pPr>
              <w:spacing w:line="240" w:lineRule="auto"/>
              <w:rPr>
                <w:sz w:val="20"/>
                <w:szCs w:val="20"/>
              </w:rPr>
            </w:pPr>
            <w:r>
              <w:rPr>
                <w:sz w:val="20"/>
                <w:szCs w:val="20"/>
              </w:rPr>
              <w:t>-1.2101</w:t>
            </w:r>
          </w:p>
        </w:tc>
        <w:tc>
          <w:tcPr>
            <w:tcW w:w="1035" w:type="dxa"/>
            <w:tcMar>
              <w:top w:w="100" w:type="dxa"/>
              <w:left w:w="100" w:type="dxa"/>
              <w:bottom w:w="100" w:type="dxa"/>
              <w:right w:w="100" w:type="dxa"/>
            </w:tcMar>
          </w:tcPr>
          <w:p w14:paraId="32348632" w14:textId="77777777" w:rsidR="00932F87" w:rsidRDefault="00000000">
            <w:pPr>
              <w:spacing w:line="240" w:lineRule="auto"/>
              <w:rPr>
                <w:sz w:val="20"/>
                <w:szCs w:val="20"/>
              </w:rPr>
            </w:pPr>
            <w:r>
              <w:rPr>
                <w:sz w:val="20"/>
                <w:szCs w:val="20"/>
              </w:rPr>
              <w:t>-0.578</w:t>
            </w:r>
          </w:p>
        </w:tc>
        <w:tc>
          <w:tcPr>
            <w:tcW w:w="960" w:type="dxa"/>
            <w:tcMar>
              <w:top w:w="100" w:type="dxa"/>
              <w:left w:w="100" w:type="dxa"/>
              <w:bottom w:w="100" w:type="dxa"/>
              <w:right w:w="100" w:type="dxa"/>
            </w:tcMar>
          </w:tcPr>
          <w:p w14:paraId="240D0C73" w14:textId="77777777" w:rsidR="00932F87" w:rsidRDefault="00000000">
            <w:pPr>
              <w:spacing w:line="240" w:lineRule="auto"/>
              <w:rPr>
                <w:sz w:val="20"/>
                <w:szCs w:val="20"/>
              </w:rPr>
            </w:pPr>
            <w:r>
              <w:rPr>
                <w:sz w:val="20"/>
                <w:szCs w:val="20"/>
              </w:rPr>
              <w:t>0.564</w:t>
            </w:r>
          </w:p>
        </w:tc>
      </w:tr>
      <w:tr w:rsidR="00932F87" w14:paraId="34A011F3" w14:textId="77777777">
        <w:trPr>
          <w:trHeight w:val="469"/>
        </w:trPr>
        <w:tc>
          <w:tcPr>
            <w:tcW w:w="1350" w:type="dxa"/>
            <w:vMerge/>
            <w:tcMar>
              <w:top w:w="100" w:type="dxa"/>
              <w:left w:w="100" w:type="dxa"/>
              <w:bottom w:w="100" w:type="dxa"/>
              <w:right w:w="100" w:type="dxa"/>
            </w:tcMar>
          </w:tcPr>
          <w:p w14:paraId="4CE39341"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5195130F" w14:textId="77777777" w:rsidR="00932F87" w:rsidRDefault="00000000">
            <w:pPr>
              <w:spacing w:line="240" w:lineRule="auto"/>
              <w:jc w:val="right"/>
              <w:rPr>
                <w:sz w:val="20"/>
                <w:szCs w:val="20"/>
              </w:rPr>
            </w:pPr>
            <w:r>
              <w:rPr>
                <w:sz w:val="20"/>
                <w:szCs w:val="20"/>
              </w:rPr>
              <w:t>Chiari-syringomyelia</w:t>
            </w:r>
          </w:p>
        </w:tc>
        <w:tc>
          <w:tcPr>
            <w:tcW w:w="1350" w:type="dxa"/>
            <w:tcMar>
              <w:top w:w="100" w:type="dxa"/>
              <w:left w:w="100" w:type="dxa"/>
              <w:bottom w:w="100" w:type="dxa"/>
              <w:right w:w="100" w:type="dxa"/>
            </w:tcMar>
          </w:tcPr>
          <w:p w14:paraId="5F08F63F" w14:textId="77777777" w:rsidR="00932F87" w:rsidRDefault="00000000">
            <w:pPr>
              <w:spacing w:line="240" w:lineRule="auto"/>
              <w:rPr>
                <w:sz w:val="20"/>
                <w:szCs w:val="20"/>
              </w:rPr>
            </w:pPr>
            <w:r>
              <w:rPr>
                <w:sz w:val="20"/>
                <w:szCs w:val="20"/>
              </w:rPr>
              <w:t>-1.0103</w:t>
            </w:r>
          </w:p>
        </w:tc>
        <w:tc>
          <w:tcPr>
            <w:tcW w:w="1035" w:type="dxa"/>
            <w:tcMar>
              <w:top w:w="100" w:type="dxa"/>
              <w:left w:w="100" w:type="dxa"/>
              <w:bottom w:w="100" w:type="dxa"/>
              <w:right w:w="100" w:type="dxa"/>
            </w:tcMar>
          </w:tcPr>
          <w:p w14:paraId="75DBB9E2" w14:textId="77777777" w:rsidR="00932F87" w:rsidRDefault="00000000">
            <w:pPr>
              <w:spacing w:line="240" w:lineRule="auto"/>
              <w:rPr>
                <w:sz w:val="20"/>
                <w:szCs w:val="20"/>
              </w:rPr>
            </w:pPr>
            <w:r>
              <w:rPr>
                <w:sz w:val="20"/>
                <w:szCs w:val="20"/>
              </w:rPr>
              <w:t>-0.589</w:t>
            </w:r>
          </w:p>
        </w:tc>
        <w:tc>
          <w:tcPr>
            <w:tcW w:w="960" w:type="dxa"/>
            <w:tcMar>
              <w:top w:w="100" w:type="dxa"/>
              <w:left w:w="100" w:type="dxa"/>
              <w:bottom w:w="100" w:type="dxa"/>
              <w:right w:w="100" w:type="dxa"/>
            </w:tcMar>
          </w:tcPr>
          <w:p w14:paraId="0976FBA1" w14:textId="77777777" w:rsidR="00932F87" w:rsidRDefault="00000000">
            <w:pPr>
              <w:spacing w:line="240" w:lineRule="auto"/>
              <w:rPr>
                <w:sz w:val="20"/>
                <w:szCs w:val="20"/>
              </w:rPr>
            </w:pPr>
            <w:r>
              <w:rPr>
                <w:sz w:val="20"/>
                <w:szCs w:val="20"/>
              </w:rPr>
              <w:t>0.556</w:t>
            </w:r>
          </w:p>
        </w:tc>
      </w:tr>
      <w:tr w:rsidR="00932F87" w14:paraId="49FABB39" w14:textId="77777777">
        <w:trPr>
          <w:trHeight w:val="469"/>
        </w:trPr>
        <w:tc>
          <w:tcPr>
            <w:tcW w:w="1350" w:type="dxa"/>
            <w:vMerge/>
            <w:tcMar>
              <w:top w:w="100" w:type="dxa"/>
              <w:left w:w="100" w:type="dxa"/>
              <w:bottom w:w="100" w:type="dxa"/>
              <w:right w:w="100" w:type="dxa"/>
            </w:tcMar>
          </w:tcPr>
          <w:p w14:paraId="7BDD7589"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79F2F5F0" w14:textId="77777777" w:rsidR="00932F87" w:rsidRDefault="00000000">
            <w:pPr>
              <w:spacing w:line="240" w:lineRule="auto"/>
              <w:jc w:val="right"/>
              <w:rPr>
                <w:sz w:val="20"/>
                <w:szCs w:val="20"/>
              </w:rPr>
            </w:pPr>
            <w:r>
              <w:rPr>
                <w:sz w:val="20"/>
                <w:szCs w:val="20"/>
              </w:rPr>
              <w:t>IIH</w:t>
            </w:r>
          </w:p>
        </w:tc>
        <w:tc>
          <w:tcPr>
            <w:tcW w:w="1350" w:type="dxa"/>
            <w:tcMar>
              <w:top w:w="100" w:type="dxa"/>
              <w:left w:w="100" w:type="dxa"/>
              <w:bottom w:w="100" w:type="dxa"/>
              <w:right w:w="100" w:type="dxa"/>
            </w:tcMar>
          </w:tcPr>
          <w:p w14:paraId="78D1EB0D" w14:textId="77777777" w:rsidR="00932F87" w:rsidRDefault="00000000">
            <w:pPr>
              <w:spacing w:line="240" w:lineRule="auto"/>
              <w:rPr>
                <w:sz w:val="20"/>
                <w:szCs w:val="20"/>
              </w:rPr>
            </w:pPr>
            <w:r>
              <w:rPr>
                <w:sz w:val="20"/>
                <w:szCs w:val="20"/>
              </w:rPr>
              <w:t>2.4758</w:t>
            </w:r>
          </w:p>
        </w:tc>
        <w:tc>
          <w:tcPr>
            <w:tcW w:w="1035" w:type="dxa"/>
            <w:tcMar>
              <w:top w:w="100" w:type="dxa"/>
              <w:left w:w="100" w:type="dxa"/>
              <w:bottom w:w="100" w:type="dxa"/>
              <w:right w:w="100" w:type="dxa"/>
            </w:tcMar>
          </w:tcPr>
          <w:p w14:paraId="28333D19" w14:textId="77777777" w:rsidR="00932F87" w:rsidRDefault="00000000">
            <w:pPr>
              <w:spacing w:line="240" w:lineRule="auto"/>
              <w:rPr>
                <w:sz w:val="20"/>
                <w:szCs w:val="20"/>
              </w:rPr>
            </w:pPr>
            <w:r>
              <w:rPr>
                <w:sz w:val="20"/>
                <w:szCs w:val="20"/>
              </w:rPr>
              <w:t>1.488</w:t>
            </w:r>
          </w:p>
        </w:tc>
        <w:tc>
          <w:tcPr>
            <w:tcW w:w="960" w:type="dxa"/>
            <w:tcMar>
              <w:top w:w="100" w:type="dxa"/>
              <w:left w:w="100" w:type="dxa"/>
              <w:bottom w:w="100" w:type="dxa"/>
              <w:right w:w="100" w:type="dxa"/>
            </w:tcMar>
          </w:tcPr>
          <w:p w14:paraId="50BBA6CC" w14:textId="77777777" w:rsidR="00932F87" w:rsidRDefault="00000000">
            <w:pPr>
              <w:spacing w:line="240" w:lineRule="auto"/>
              <w:rPr>
                <w:sz w:val="20"/>
                <w:szCs w:val="20"/>
              </w:rPr>
            </w:pPr>
            <w:r>
              <w:rPr>
                <w:sz w:val="20"/>
                <w:szCs w:val="20"/>
              </w:rPr>
              <w:t>0.138</w:t>
            </w:r>
          </w:p>
        </w:tc>
      </w:tr>
      <w:tr w:rsidR="00932F87" w14:paraId="0804639B" w14:textId="77777777">
        <w:trPr>
          <w:trHeight w:val="469"/>
        </w:trPr>
        <w:tc>
          <w:tcPr>
            <w:tcW w:w="1350" w:type="dxa"/>
            <w:vMerge/>
            <w:tcMar>
              <w:top w:w="100" w:type="dxa"/>
              <w:left w:w="100" w:type="dxa"/>
              <w:bottom w:w="100" w:type="dxa"/>
              <w:right w:w="100" w:type="dxa"/>
            </w:tcMar>
          </w:tcPr>
          <w:p w14:paraId="32ED4EC0"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54F2FBCF" w14:textId="77777777" w:rsidR="00932F87" w:rsidRDefault="00000000">
            <w:pPr>
              <w:spacing w:line="240" w:lineRule="auto"/>
              <w:jc w:val="right"/>
              <w:rPr>
                <w:sz w:val="20"/>
                <w:szCs w:val="20"/>
              </w:rPr>
            </w:pPr>
            <w:r>
              <w:rPr>
                <w:sz w:val="20"/>
                <w:szCs w:val="20"/>
              </w:rPr>
              <w:t>CSF Leak</w:t>
            </w:r>
          </w:p>
        </w:tc>
        <w:tc>
          <w:tcPr>
            <w:tcW w:w="1350" w:type="dxa"/>
            <w:tcMar>
              <w:top w:w="100" w:type="dxa"/>
              <w:left w:w="100" w:type="dxa"/>
              <w:bottom w:w="100" w:type="dxa"/>
              <w:right w:w="100" w:type="dxa"/>
            </w:tcMar>
          </w:tcPr>
          <w:p w14:paraId="08B308CC" w14:textId="77777777" w:rsidR="00932F87" w:rsidRDefault="00000000">
            <w:pPr>
              <w:spacing w:line="240" w:lineRule="auto"/>
              <w:rPr>
                <w:sz w:val="20"/>
                <w:szCs w:val="20"/>
              </w:rPr>
            </w:pPr>
            <w:r>
              <w:rPr>
                <w:sz w:val="20"/>
                <w:szCs w:val="20"/>
              </w:rPr>
              <w:t>-2.9163</w:t>
            </w:r>
          </w:p>
        </w:tc>
        <w:tc>
          <w:tcPr>
            <w:tcW w:w="1035" w:type="dxa"/>
            <w:tcMar>
              <w:top w:w="100" w:type="dxa"/>
              <w:left w:w="100" w:type="dxa"/>
              <w:bottom w:w="100" w:type="dxa"/>
              <w:right w:w="100" w:type="dxa"/>
            </w:tcMar>
          </w:tcPr>
          <w:p w14:paraId="5765305B" w14:textId="77777777" w:rsidR="00932F87" w:rsidRDefault="00000000">
            <w:pPr>
              <w:spacing w:line="240" w:lineRule="auto"/>
              <w:rPr>
                <w:sz w:val="20"/>
                <w:szCs w:val="20"/>
              </w:rPr>
            </w:pPr>
            <w:r>
              <w:rPr>
                <w:sz w:val="20"/>
                <w:szCs w:val="20"/>
              </w:rPr>
              <w:t>-1.161</w:t>
            </w:r>
          </w:p>
        </w:tc>
        <w:tc>
          <w:tcPr>
            <w:tcW w:w="960" w:type="dxa"/>
            <w:tcMar>
              <w:top w:w="100" w:type="dxa"/>
              <w:left w:w="100" w:type="dxa"/>
              <w:bottom w:w="100" w:type="dxa"/>
              <w:right w:w="100" w:type="dxa"/>
            </w:tcMar>
          </w:tcPr>
          <w:p w14:paraId="5FFD0061" w14:textId="77777777" w:rsidR="00932F87" w:rsidRDefault="00000000">
            <w:pPr>
              <w:spacing w:line="240" w:lineRule="auto"/>
              <w:rPr>
                <w:sz w:val="20"/>
                <w:szCs w:val="20"/>
              </w:rPr>
            </w:pPr>
            <w:r>
              <w:rPr>
                <w:sz w:val="20"/>
                <w:szCs w:val="20"/>
              </w:rPr>
              <w:t>0.247</w:t>
            </w:r>
          </w:p>
        </w:tc>
      </w:tr>
      <w:tr w:rsidR="00932F87" w14:paraId="4BB63648" w14:textId="77777777">
        <w:trPr>
          <w:trHeight w:val="469"/>
        </w:trPr>
        <w:tc>
          <w:tcPr>
            <w:tcW w:w="1350" w:type="dxa"/>
            <w:vMerge/>
            <w:tcMar>
              <w:top w:w="100" w:type="dxa"/>
              <w:left w:w="100" w:type="dxa"/>
              <w:bottom w:w="100" w:type="dxa"/>
              <w:right w:w="100" w:type="dxa"/>
            </w:tcMar>
          </w:tcPr>
          <w:p w14:paraId="2B6DE709"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324500D0" w14:textId="77777777" w:rsidR="00932F87" w:rsidRDefault="00000000">
            <w:pPr>
              <w:spacing w:line="240" w:lineRule="auto"/>
              <w:jc w:val="right"/>
              <w:rPr>
                <w:sz w:val="20"/>
                <w:szCs w:val="20"/>
              </w:rPr>
            </w:pPr>
            <w:r>
              <w:rPr>
                <w:sz w:val="20"/>
                <w:szCs w:val="20"/>
              </w:rPr>
              <w:t>LOVA</w:t>
            </w:r>
          </w:p>
        </w:tc>
        <w:tc>
          <w:tcPr>
            <w:tcW w:w="1350" w:type="dxa"/>
            <w:tcMar>
              <w:top w:w="100" w:type="dxa"/>
              <w:left w:w="100" w:type="dxa"/>
              <w:bottom w:w="100" w:type="dxa"/>
              <w:right w:w="100" w:type="dxa"/>
            </w:tcMar>
          </w:tcPr>
          <w:p w14:paraId="1C3CFC6A" w14:textId="77777777" w:rsidR="00932F87" w:rsidRDefault="00000000">
            <w:pPr>
              <w:spacing w:line="240" w:lineRule="auto"/>
              <w:rPr>
                <w:sz w:val="20"/>
                <w:szCs w:val="20"/>
              </w:rPr>
            </w:pPr>
            <w:r>
              <w:rPr>
                <w:sz w:val="20"/>
                <w:szCs w:val="20"/>
              </w:rPr>
              <w:t>1.8015</w:t>
            </w:r>
          </w:p>
        </w:tc>
        <w:tc>
          <w:tcPr>
            <w:tcW w:w="1035" w:type="dxa"/>
            <w:tcMar>
              <w:top w:w="100" w:type="dxa"/>
              <w:left w:w="100" w:type="dxa"/>
              <w:bottom w:w="100" w:type="dxa"/>
              <w:right w:w="100" w:type="dxa"/>
            </w:tcMar>
          </w:tcPr>
          <w:p w14:paraId="6AAC219B" w14:textId="77777777" w:rsidR="00932F87" w:rsidRDefault="00000000">
            <w:pPr>
              <w:spacing w:line="240" w:lineRule="auto"/>
              <w:rPr>
                <w:sz w:val="20"/>
                <w:szCs w:val="20"/>
              </w:rPr>
            </w:pPr>
            <w:r>
              <w:rPr>
                <w:sz w:val="20"/>
                <w:szCs w:val="20"/>
              </w:rPr>
              <w:t>0.744</w:t>
            </w:r>
          </w:p>
        </w:tc>
        <w:tc>
          <w:tcPr>
            <w:tcW w:w="960" w:type="dxa"/>
            <w:tcMar>
              <w:top w:w="100" w:type="dxa"/>
              <w:left w:w="100" w:type="dxa"/>
              <w:bottom w:w="100" w:type="dxa"/>
              <w:right w:w="100" w:type="dxa"/>
            </w:tcMar>
          </w:tcPr>
          <w:p w14:paraId="689232DD" w14:textId="77777777" w:rsidR="00932F87" w:rsidRDefault="00000000">
            <w:pPr>
              <w:spacing w:line="240" w:lineRule="auto"/>
              <w:rPr>
                <w:sz w:val="20"/>
                <w:szCs w:val="20"/>
              </w:rPr>
            </w:pPr>
            <w:r>
              <w:rPr>
                <w:sz w:val="20"/>
                <w:szCs w:val="20"/>
              </w:rPr>
              <w:t>0.457</w:t>
            </w:r>
          </w:p>
        </w:tc>
      </w:tr>
      <w:tr w:rsidR="00932F87" w14:paraId="1BC446ED" w14:textId="77777777">
        <w:trPr>
          <w:trHeight w:val="469"/>
        </w:trPr>
        <w:tc>
          <w:tcPr>
            <w:tcW w:w="1350" w:type="dxa"/>
            <w:vMerge/>
            <w:tcMar>
              <w:top w:w="100" w:type="dxa"/>
              <w:left w:w="100" w:type="dxa"/>
              <w:bottom w:w="100" w:type="dxa"/>
              <w:right w:w="100" w:type="dxa"/>
            </w:tcMar>
          </w:tcPr>
          <w:p w14:paraId="284D3483"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34E43C97" w14:textId="77777777" w:rsidR="00932F87" w:rsidRDefault="00000000">
            <w:pPr>
              <w:spacing w:line="240" w:lineRule="auto"/>
              <w:jc w:val="right"/>
              <w:rPr>
                <w:sz w:val="20"/>
                <w:szCs w:val="20"/>
              </w:rPr>
            </w:pPr>
            <w:r>
              <w:rPr>
                <w:sz w:val="20"/>
                <w:szCs w:val="20"/>
              </w:rPr>
              <w:t>NPH</w:t>
            </w:r>
          </w:p>
        </w:tc>
        <w:tc>
          <w:tcPr>
            <w:tcW w:w="1350" w:type="dxa"/>
            <w:tcMar>
              <w:top w:w="100" w:type="dxa"/>
              <w:left w:w="100" w:type="dxa"/>
              <w:bottom w:w="100" w:type="dxa"/>
              <w:right w:w="100" w:type="dxa"/>
            </w:tcMar>
          </w:tcPr>
          <w:p w14:paraId="32F52CC5" w14:textId="77777777" w:rsidR="00932F87" w:rsidRDefault="00000000">
            <w:pPr>
              <w:spacing w:line="240" w:lineRule="auto"/>
              <w:rPr>
                <w:sz w:val="20"/>
                <w:szCs w:val="20"/>
              </w:rPr>
            </w:pPr>
            <w:r>
              <w:rPr>
                <w:sz w:val="20"/>
                <w:szCs w:val="20"/>
              </w:rPr>
              <w:t>-0.4743</w:t>
            </w:r>
          </w:p>
        </w:tc>
        <w:tc>
          <w:tcPr>
            <w:tcW w:w="1035" w:type="dxa"/>
            <w:tcMar>
              <w:top w:w="100" w:type="dxa"/>
              <w:left w:w="100" w:type="dxa"/>
              <w:bottom w:w="100" w:type="dxa"/>
              <w:right w:w="100" w:type="dxa"/>
            </w:tcMar>
          </w:tcPr>
          <w:p w14:paraId="02C35916" w14:textId="77777777" w:rsidR="00932F87" w:rsidRDefault="00000000">
            <w:pPr>
              <w:spacing w:line="240" w:lineRule="auto"/>
              <w:rPr>
                <w:sz w:val="20"/>
                <w:szCs w:val="20"/>
              </w:rPr>
            </w:pPr>
            <w:r>
              <w:rPr>
                <w:sz w:val="20"/>
                <w:szCs w:val="20"/>
              </w:rPr>
              <w:t>-0.216</w:t>
            </w:r>
          </w:p>
        </w:tc>
        <w:tc>
          <w:tcPr>
            <w:tcW w:w="960" w:type="dxa"/>
            <w:tcMar>
              <w:top w:w="100" w:type="dxa"/>
              <w:left w:w="100" w:type="dxa"/>
              <w:bottom w:w="100" w:type="dxa"/>
              <w:right w:w="100" w:type="dxa"/>
            </w:tcMar>
          </w:tcPr>
          <w:p w14:paraId="1B3D5A77" w14:textId="77777777" w:rsidR="00932F87" w:rsidRDefault="00000000">
            <w:pPr>
              <w:spacing w:line="240" w:lineRule="auto"/>
              <w:rPr>
                <w:sz w:val="20"/>
                <w:szCs w:val="20"/>
              </w:rPr>
            </w:pPr>
            <w:r>
              <w:rPr>
                <w:sz w:val="20"/>
                <w:szCs w:val="20"/>
              </w:rPr>
              <w:t>0.829</w:t>
            </w:r>
          </w:p>
        </w:tc>
      </w:tr>
      <w:tr w:rsidR="00932F87" w14:paraId="3E916960" w14:textId="77777777">
        <w:trPr>
          <w:trHeight w:val="720"/>
        </w:trPr>
        <w:tc>
          <w:tcPr>
            <w:tcW w:w="1350" w:type="dxa"/>
            <w:vMerge/>
            <w:tcMar>
              <w:top w:w="100" w:type="dxa"/>
              <w:left w:w="100" w:type="dxa"/>
              <w:bottom w:w="100" w:type="dxa"/>
              <w:right w:w="100" w:type="dxa"/>
            </w:tcMar>
          </w:tcPr>
          <w:p w14:paraId="53E1A559"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12912A77" w14:textId="77777777" w:rsidR="00932F87" w:rsidRDefault="00000000">
            <w:pPr>
              <w:spacing w:line="240" w:lineRule="auto"/>
              <w:jc w:val="right"/>
              <w:rPr>
                <w:sz w:val="20"/>
                <w:szCs w:val="20"/>
              </w:rPr>
            </w:pPr>
            <w:r>
              <w:rPr>
                <w:sz w:val="20"/>
                <w:szCs w:val="20"/>
              </w:rPr>
              <w:t>Secondary following neurovascular injury</w:t>
            </w:r>
          </w:p>
        </w:tc>
        <w:tc>
          <w:tcPr>
            <w:tcW w:w="1350" w:type="dxa"/>
            <w:tcMar>
              <w:top w:w="100" w:type="dxa"/>
              <w:left w:w="100" w:type="dxa"/>
              <w:bottom w:w="100" w:type="dxa"/>
              <w:right w:w="100" w:type="dxa"/>
            </w:tcMar>
          </w:tcPr>
          <w:p w14:paraId="6616D69E" w14:textId="77777777" w:rsidR="00932F87" w:rsidRDefault="00000000">
            <w:pPr>
              <w:spacing w:line="240" w:lineRule="auto"/>
              <w:rPr>
                <w:sz w:val="20"/>
                <w:szCs w:val="20"/>
              </w:rPr>
            </w:pPr>
            <w:r>
              <w:rPr>
                <w:sz w:val="20"/>
                <w:szCs w:val="20"/>
              </w:rPr>
              <w:t>5.2441</w:t>
            </w:r>
          </w:p>
        </w:tc>
        <w:tc>
          <w:tcPr>
            <w:tcW w:w="1035" w:type="dxa"/>
            <w:tcMar>
              <w:top w:w="100" w:type="dxa"/>
              <w:left w:w="100" w:type="dxa"/>
              <w:bottom w:w="100" w:type="dxa"/>
              <w:right w:w="100" w:type="dxa"/>
            </w:tcMar>
          </w:tcPr>
          <w:p w14:paraId="15345EDE" w14:textId="77777777" w:rsidR="00932F87" w:rsidRDefault="00000000">
            <w:pPr>
              <w:spacing w:line="240" w:lineRule="auto"/>
              <w:rPr>
                <w:sz w:val="20"/>
                <w:szCs w:val="20"/>
              </w:rPr>
            </w:pPr>
            <w:r>
              <w:rPr>
                <w:sz w:val="20"/>
                <w:szCs w:val="20"/>
              </w:rPr>
              <w:t>1.451</w:t>
            </w:r>
          </w:p>
        </w:tc>
        <w:tc>
          <w:tcPr>
            <w:tcW w:w="960" w:type="dxa"/>
            <w:tcMar>
              <w:top w:w="100" w:type="dxa"/>
              <w:left w:w="100" w:type="dxa"/>
              <w:bottom w:w="100" w:type="dxa"/>
              <w:right w:w="100" w:type="dxa"/>
            </w:tcMar>
          </w:tcPr>
          <w:p w14:paraId="15281A9B" w14:textId="77777777" w:rsidR="00932F87" w:rsidRDefault="00000000">
            <w:pPr>
              <w:spacing w:line="240" w:lineRule="auto"/>
              <w:rPr>
                <w:sz w:val="20"/>
                <w:szCs w:val="20"/>
              </w:rPr>
            </w:pPr>
            <w:r>
              <w:rPr>
                <w:sz w:val="20"/>
                <w:szCs w:val="20"/>
              </w:rPr>
              <w:t>0.148</w:t>
            </w:r>
          </w:p>
        </w:tc>
      </w:tr>
      <w:tr w:rsidR="00932F87" w14:paraId="62F216D9" w14:textId="77777777">
        <w:trPr>
          <w:trHeight w:val="547"/>
        </w:trPr>
        <w:tc>
          <w:tcPr>
            <w:tcW w:w="1350" w:type="dxa"/>
            <w:vMerge/>
            <w:tcMar>
              <w:top w:w="100" w:type="dxa"/>
              <w:left w:w="100" w:type="dxa"/>
              <w:bottom w:w="100" w:type="dxa"/>
              <w:right w:w="100" w:type="dxa"/>
            </w:tcMar>
          </w:tcPr>
          <w:p w14:paraId="6B846323"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50DC18B2" w14:textId="77777777" w:rsidR="00932F87" w:rsidRDefault="00000000">
            <w:pPr>
              <w:spacing w:line="240" w:lineRule="auto"/>
              <w:jc w:val="right"/>
              <w:rPr>
                <w:sz w:val="20"/>
                <w:szCs w:val="20"/>
              </w:rPr>
            </w:pPr>
            <w:r>
              <w:rPr>
                <w:sz w:val="20"/>
                <w:szCs w:val="20"/>
              </w:rPr>
              <w:t>Other</w:t>
            </w:r>
          </w:p>
        </w:tc>
        <w:tc>
          <w:tcPr>
            <w:tcW w:w="1350" w:type="dxa"/>
            <w:tcMar>
              <w:top w:w="100" w:type="dxa"/>
              <w:left w:w="100" w:type="dxa"/>
              <w:bottom w:w="100" w:type="dxa"/>
              <w:right w:w="100" w:type="dxa"/>
            </w:tcMar>
          </w:tcPr>
          <w:p w14:paraId="26AC3C8F" w14:textId="77777777" w:rsidR="00932F87" w:rsidRDefault="00000000">
            <w:pPr>
              <w:spacing w:line="240" w:lineRule="auto"/>
              <w:rPr>
                <w:sz w:val="20"/>
                <w:szCs w:val="20"/>
              </w:rPr>
            </w:pPr>
            <w:r>
              <w:rPr>
                <w:sz w:val="20"/>
                <w:szCs w:val="20"/>
              </w:rPr>
              <w:t>-1.0654</w:t>
            </w:r>
          </w:p>
        </w:tc>
        <w:tc>
          <w:tcPr>
            <w:tcW w:w="1035" w:type="dxa"/>
            <w:tcMar>
              <w:top w:w="100" w:type="dxa"/>
              <w:left w:w="100" w:type="dxa"/>
              <w:bottom w:w="100" w:type="dxa"/>
              <w:right w:w="100" w:type="dxa"/>
            </w:tcMar>
          </w:tcPr>
          <w:p w14:paraId="389BEFE6" w14:textId="77777777" w:rsidR="00932F87" w:rsidRDefault="00000000">
            <w:pPr>
              <w:spacing w:line="240" w:lineRule="auto"/>
              <w:rPr>
                <w:sz w:val="20"/>
                <w:szCs w:val="20"/>
              </w:rPr>
            </w:pPr>
            <w:r>
              <w:rPr>
                <w:sz w:val="20"/>
                <w:szCs w:val="20"/>
              </w:rPr>
              <w:t>-0.618</w:t>
            </w:r>
          </w:p>
        </w:tc>
        <w:tc>
          <w:tcPr>
            <w:tcW w:w="960" w:type="dxa"/>
            <w:tcMar>
              <w:top w:w="100" w:type="dxa"/>
              <w:left w:w="100" w:type="dxa"/>
              <w:bottom w:w="100" w:type="dxa"/>
              <w:right w:w="100" w:type="dxa"/>
            </w:tcMar>
          </w:tcPr>
          <w:p w14:paraId="514F1C00" w14:textId="77777777" w:rsidR="00932F87" w:rsidRDefault="00000000">
            <w:pPr>
              <w:spacing w:line="240" w:lineRule="auto"/>
              <w:rPr>
                <w:sz w:val="20"/>
                <w:szCs w:val="20"/>
              </w:rPr>
            </w:pPr>
            <w:r>
              <w:rPr>
                <w:sz w:val="20"/>
                <w:szCs w:val="20"/>
              </w:rPr>
              <w:t>0.537</w:t>
            </w:r>
          </w:p>
        </w:tc>
      </w:tr>
      <w:tr w:rsidR="00932F87" w14:paraId="7A4DAD60" w14:textId="77777777">
        <w:trPr>
          <w:trHeight w:val="469"/>
        </w:trPr>
        <w:tc>
          <w:tcPr>
            <w:tcW w:w="1350" w:type="dxa"/>
            <w:vMerge/>
            <w:tcMar>
              <w:top w:w="100" w:type="dxa"/>
              <w:left w:w="100" w:type="dxa"/>
              <w:bottom w:w="100" w:type="dxa"/>
              <w:right w:w="100" w:type="dxa"/>
            </w:tcMar>
          </w:tcPr>
          <w:p w14:paraId="7C635D6B"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0B03C2DE" w14:textId="77777777" w:rsidR="00932F87" w:rsidRDefault="00000000">
            <w:pPr>
              <w:spacing w:line="240" w:lineRule="auto"/>
              <w:jc w:val="right"/>
              <w:rPr>
                <w:sz w:val="20"/>
                <w:szCs w:val="20"/>
              </w:rPr>
            </w:pPr>
            <w:r>
              <w:rPr>
                <w:sz w:val="20"/>
                <w:szCs w:val="20"/>
              </w:rPr>
              <w:t>TBI</w:t>
            </w:r>
          </w:p>
        </w:tc>
        <w:tc>
          <w:tcPr>
            <w:tcW w:w="1350" w:type="dxa"/>
            <w:tcMar>
              <w:top w:w="100" w:type="dxa"/>
              <w:left w:w="100" w:type="dxa"/>
              <w:bottom w:w="100" w:type="dxa"/>
              <w:right w:w="100" w:type="dxa"/>
            </w:tcMar>
          </w:tcPr>
          <w:p w14:paraId="2A576ED4" w14:textId="77777777" w:rsidR="00932F87" w:rsidRDefault="00000000">
            <w:pPr>
              <w:spacing w:line="240" w:lineRule="auto"/>
              <w:rPr>
                <w:sz w:val="20"/>
                <w:szCs w:val="20"/>
              </w:rPr>
            </w:pPr>
            <w:r>
              <w:rPr>
                <w:sz w:val="20"/>
                <w:szCs w:val="20"/>
              </w:rPr>
              <w:t>-4.2658</w:t>
            </w:r>
          </w:p>
        </w:tc>
        <w:tc>
          <w:tcPr>
            <w:tcW w:w="1035" w:type="dxa"/>
            <w:tcMar>
              <w:top w:w="100" w:type="dxa"/>
              <w:left w:w="100" w:type="dxa"/>
              <w:bottom w:w="100" w:type="dxa"/>
              <w:right w:w="100" w:type="dxa"/>
            </w:tcMar>
          </w:tcPr>
          <w:p w14:paraId="77438CFC" w14:textId="77777777" w:rsidR="00932F87" w:rsidRDefault="00000000">
            <w:pPr>
              <w:spacing w:line="240" w:lineRule="auto"/>
              <w:rPr>
                <w:sz w:val="20"/>
                <w:szCs w:val="20"/>
              </w:rPr>
            </w:pPr>
            <w:r>
              <w:rPr>
                <w:sz w:val="20"/>
                <w:szCs w:val="20"/>
              </w:rPr>
              <w:t>-1.187</w:t>
            </w:r>
          </w:p>
        </w:tc>
        <w:tc>
          <w:tcPr>
            <w:tcW w:w="960" w:type="dxa"/>
            <w:tcMar>
              <w:top w:w="100" w:type="dxa"/>
              <w:left w:w="100" w:type="dxa"/>
              <w:bottom w:w="100" w:type="dxa"/>
              <w:right w:w="100" w:type="dxa"/>
            </w:tcMar>
          </w:tcPr>
          <w:p w14:paraId="758494CF" w14:textId="77777777" w:rsidR="00932F87" w:rsidRDefault="00000000">
            <w:pPr>
              <w:spacing w:line="240" w:lineRule="auto"/>
              <w:rPr>
                <w:sz w:val="20"/>
                <w:szCs w:val="20"/>
              </w:rPr>
            </w:pPr>
            <w:r>
              <w:rPr>
                <w:sz w:val="20"/>
                <w:szCs w:val="20"/>
              </w:rPr>
              <w:t>0.236</w:t>
            </w:r>
          </w:p>
        </w:tc>
      </w:tr>
      <w:tr w:rsidR="00932F87" w14:paraId="064BA3B0" w14:textId="77777777">
        <w:trPr>
          <w:trHeight w:val="469"/>
        </w:trPr>
        <w:tc>
          <w:tcPr>
            <w:tcW w:w="1350" w:type="dxa"/>
            <w:vMerge/>
            <w:tcMar>
              <w:top w:w="100" w:type="dxa"/>
              <w:left w:w="100" w:type="dxa"/>
              <w:bottom w:w="100" w:type="dxa"/>
              <w:right w:w="100" w:type="dxa"/>
            </w:tcMar>
          </w:tcPr>
          <w:p w14:paraId="11013689"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7695E694" w14:textId="77777777" w:rsidR="00932F87" w:rsidRDefault="00000000">
            <w:pPr>
              <w:spacing w:line="240" w:lineRule="auto"/>
              <w:jc w:val="right"/>
              <w:rPr>
                <w:sz w:val="20"/>
                <w:szCs w:val="20"/>
              </w:rPr>
            </w:pPr>
            <w:r>
              <w:rPr>
                <w:sz w:val="20"/>
                <w:szCs w:val="20"/>
              </w:rPr>
              <w:t>Secondary following tumour</w:t>
            </w:r>
          </w:p>
        </w:tc>
        <w:tc>
          <w:tcPr>
            <w:tcW w:w="1350" w:type="dxa"/>
            <w:tcMar>
              <w:top w:w="100" w:type="dxa"/>
              <w:left w:w="100" w:type="dxa"/>
              <w:bottom w:w="100" w:type="dxa"/>
              <w:right w:w="100" w:type="dxa"/>
            </w:tcMar>
          </w:tcPr>
          <w:p w14:paraId="6FBBC089" w14:textId="77777777" w:rsidR="00932F87" w:rsidRDefault="00000000">
            <w:pPr>
              <w:spacing w:line="240" w:lineRule="auto"/>
              <w:rPr>
                <w:sz w:val="20"/>
                <w:szCs w:val="20"/>
              </w:rPr>
            </w:pPr>
            <w:r>
              <w:rPr>
                <w:sz w:val="20"/>
                <w:szCs w:val="20"/>
              </w:rPr>
              <w:t>0.1697</w:t>
            </w:r>
          </w:p>
        </w:tc>
        <w:tc>
          <w:tcPr>
            <w:tcW w:w="1035" w:type="dxa"/>
            <w:tcMar>
              <w:top w:w="100" w:type="dxa"/>
              <w:left w:w="100" w:type="dxa"/>
              <w:bottom w:w="100" w:type="dxa"/>
              <w:right w:w="100" w:type="dxa"/>
            </w:tcMar>
          </w:tcPr>
          <w:p w14:paraId="10D642E1" w14:textId="77777777" w:rsidR="00932F87" w:rsidRDefault="00000000">
            <w:pPr>
              <w:spacing w:line="240" w:lineRule="auto"/>
              <w:rPr>
                <w:sz w:val="20"/>
                <w:szCs w:val="20"/>
              </w:rPr>
            </w:pPr>
            <w:r>
              <w:rPr>
                <w:sz w:val="20"/>
                <w:szCs w:val="20"/>
              </w:rPr>
              <w:t>0.092</w:t>
            </w:r>
          </w:p>
        </w:tc>
        <w:tc>
          <w:tcPr>
            <w:tcW w:w="960" w:type="dxa"/>
            <w:tcMar>
              <w:top w:w="100" w:type="dxa"/>
              <w:left w:w="100" w:type="dxa"/>
              <w:bottom w:w="100" w:type="dxa"/>
              <w:right w:w="100" w:type="dxa"/>
            </w:tcMar>
          </w:tcPr>
          <w:p w14:paraId="06D07600" w14:textId="77777777" w:rsidR="00932F87" w:rsidRDefault="00000000">
            <w:pPr>
              <w:spacing w:line="240" w:lineRule="auto"/>
              <w:rPr>
                <w:sz w:val="20"/>
                <w:szCs w:val="20"/>
              </w:rPr>
            </w:pPr>
            <w:r>
              <w:rPr>
                <w:sz w:val="20"/>
                <w:szCs w:val="20"/>
              </w:rPr>
              <w:t>0.927</w:t>
            </w:r>
          </w:p>
        </w:tc>
      </w:tr>
      <w:tr w:rsidR="00932F87" w14:paraId="507BC2B1" w14:textId="77777777">
        <w:trPr>
          <w:trHeight w:val="469"/>
        </w:trPr>
        <w:tc>
          <w:tcPr>
            <w:tcW w:w="1350" w:type="dxa"/>
            <w:vMerge w:val="restart"/>
            <w:tcMar>
              <w:top w:w="100" w:type="dxa"/>
              <w:left w:w="100" w:type="dxa"/>
              <w:bottom w:w="100" w:type="dxa"/>
              <w:right w:w="100" w:type="dxa"/>
            </w:tcMar>
          </w:tcPr>
          <w:p w14:paraId="1ED34791" w14:textId="77777777" w:rsidR="00932F87" w:rsidRDefault="00000000">
            <w:pPr>
              <w:spacing w:line="240" w:lineRule="auto"/>
              <w:rPr>
                <w:b/>
                <w:sz w:val="20"/>
                <w:szCs w:val="20"/>
              </w:rPr>
            </w:pPr>
            <w:r>
              <w:rPr>
                <w:b/>
                <w:sz w:val="20"/>
                <w:szCs w:val="20"/>
              </w:rPr>
              <w:t>Radiological</w:t>
            </w:r>
          </w:p>
        </w:tc>
        <w:tc>
          <w:tcPr>
            <w:tcW w:w="3240" w:type="dxa"/>
            <w:tcMar>
              <w:top w:w="100" w:type="dxa"/>
              <w:left w:w="100" w:type="dxa"/>
              <w:bottom w:w="100" w:type="dxa"/>
              <w:right w:w="100" w:type="dxa"/>
            </w:tcMar>
          </w:tcPr>
          <w:p w14:paraId="2A6D5B18" w14:textId="77777777" w:rsidR="00932F87" w:rsidRDefault="00000000">
            <w:pPr>
              <w:spacing w:line="240" w:lineRule="auto"/>
              <w:jc w:val="right"/>
              <w:rPr>
                <w:sz w:val="20"/>
                <w:szCs w:val="20"/>
              </w:rPr>
            </w:pPr>
            <w:r>
              <w:rPr>
                <w:sz w:val="20"/>
                <w:szCs w:val="20"/>
              </w:rPr>
              <w:t>Yuh</w:t>
            </w:r>
          </w:p>
        </w:tc>
        <w:tc>
          <w:tcPr>
            <w:tcW w:w="1350" w:type="dxa"/>
            <w:tcMar>
              <w:top w:w="100" w:type="dxa"/>
              <w:left w:w="100" w:type="dxa"/>
              <w:bottom w:w="100" w:type="dxa"/>
              <w:right w:w="100" w:type="dxa"/>
            </w:tcMar>
          </w:tcPr>
          <w:p w14:paraId="404C8441" w14:textId="77777777" w:rsidR="00932F87" w:rsidRDefault="00000000">
            <w:pPr>
              <w:spacing w:line="240" w:lineRule="auto"/>
              <w:rPr>
                <w:sz w:val="20"/>
                <w:szCs w:val="20"/>
              </w:rPr>
            </w:pPr>
            <w:r>
              <w:rPr>
                <w:sz w:val="20"/>
                <w:szCs w:val="20"/>
              </w:rPr>
              <w:t>1.7566</w:t>
            </w:r>
          </w:p>
        </w:tc>
        <w:tc>
          <w:tcPr>
            <w:tcW w:w="1035" w:type="dxa"/>
            <w:tcMar>
              <w:top w:w="100" w:type="dxa"/>
              <w:left w:w="100" w:type="dxa"/>
              <w:bottom w:w="100" w:type="dxa"/>
              <w:right w:w="100" w:type="dxa"/>
            </w:tcMar>
          </w:tcPr>
          <w:p w14:paraId="527A97F7" w14:textId="77777777" w:rsidR="00932F87" w:rsidRDefault="00000000">
            <w:pPr>
              <w:spacing w:line="240" w:lineRule="auto"/>
              <w:rPr>
                <w:sz w:val="20"/>
                <w:szCs w:val="20"/>
              </w:rPr>
            </w:pPr>
            <w:r>
              <w:rPr>
                <w:sz w:val="20"/>
                <w:szCs w:val="20"/>
              </w:rPr>
              <w:t>6.094</w:t>
            </w:r>
          </w:p>
        </w:tc>
        <w:tc>
          <w:tcPr>
            <w:tcW w:w="960" w:type="dxa"/>
            <w:tcMar>
              <w:top w:w="100" w:type="dxa"/>
              <w:left w:w="100" w:type="dxa"/>
              <w:bottom w:w="100" w:type="dxa"/>
              <w:right w:w="100" w:type="dxa"/>
            </w:tcMar>
          </w:tcPr>
          <w:p w14:paraId="4424BD37" w14:textId="77777777" w:rsidR="00932F87" w:rsidRDefault="00000000">
            <w:pPr>
              <w:spacing w:line="240" w:lineRule="auto"/>
              <w:rPr>
                <w:sz w:val="20"/>
                <w:szCs w:val="20"/>
              </w:rPr>
            </w:pPr>
            <w:r>
              <w:rPr>
                <w:sz w:val="20"/>
                <w:szCs w:val="20"/>
              </w:rPr>
              <w:t>0.000</w:t>
            </w:r>
          </w:p>
        </w:tc>
      </w:tr>
      <w:tr w:rsidR="00932F87" w14:paraId="1EB440B1" w14:textId="77777777">
        <w:trPr>
          <w:trHeight w:val="469"/>
        </w:trPr>
        <w:tc>
          <w:tcPr>
            <w:tcW w:w="1350" w:type="dxa"/>
            <w:vMerge/>
            <w:tcMar>
              <w:top w:w="100" w:type="dxa"/>
              <w:left w:w="100" w:type="dxa"/>
              <w:bottom w:w="100" w:type="dxa"/>
              <w:right w:w="100" w:type="dxa"/>
            </w:tcMar>
          </w:tcPr>
          <w:p w14:paraId="36E8E6BB"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1FE85307" w14:textId="77777777" w:rsidR="00932F87" w:rsidRDefault="00000000">
            <w:pPr>
              <w:spacing w:line="240" w:lineRule="auto"/>
              <w:jc w:val="right"/>
              <w:rPr>
                <w:sz w:val="20"/>
                <w:szCs w:val="20"/>
              </w:rPr>
            </w:pPr>
            <w:r>
              <w:rPr>
                <w:sz w:val="20"/>
                <w:szCs w:val="20"/>
              </w:rPr>
              <w:t>ODP</w:t>
            </w:r>
          </w:p>
        </w:tc>
        <w:tc>
          <w:tcPr>
            <w:tcW w:w="1350" w:type="dxa"/>
            <w:tcMar>
              <w:top w:w="100" w:type="dxa"/>
              <w:left w:w="100" w:type="dxa"/>
              <w:bottom w:w="100" w:type="dxa"/>
              <w:right w:w="100" w:type="dxa"/>
            </w:tcMar>
          </w:tcPr>
          <w:p w14:paraId="2EC5E4C6" w14:textId="77777777" w:rsidR="00932F87" w:rsidRDefault="00000000">
            <w:pPr>
              <w:spacing w:line="240" w:lineRule="auto"/>
              <w:rPr>
                <w:sz w:val="20"/>
                <w:szCs w:val="20"/>
              </w:rPr>
            </w:pPr>
            <w:r>
              <w:rPr>
                <w:sz w:val="20"/>
                <w:szCs w:val="20"/>
              </w:rPr>
              <w:t>3.6221</w:t>
            </w:r>
          </w:p>
        </w:tc>
        <w:tc>
          <w:tcPr>
            <w:tcW w:w="1035" w:type="dxa"/>
            <w:tcMar>
              <w:top w:w="100" w:type="dxa"/>
              <w:left w:w="100" w:type="dxa"/>
              <w:bottom w:w="100" w:type="dxa"/>
              <w:right w:w="100" w:type="dxa"/>
            </w:tcMar>
          </w:tcPr>
          <w:p w14:paraId="78E6405D" w14:textId="77777777" w:rsidR="00932F87" w:rsidRDefault="00000000">
            <w:pPr>
              <w:spacing w:line="240" w:lineRule="auto"/>
              <w:rPr>
                <w:sz w:val="20"/>
                <w:szCs w:val="20"/>
              </w:rPr>
            </w:pPr>
            <w:r>
              <w:rPr>
                <w:sz w:val="20"/>
                <w:szCs w:val="20"/>
              </w:rPr>
              <w:t>2.967</w:t>
            </w:r>
          </w:p>
        </w:tc>
        <w:tc>
          <w:tcPr>
            <w:tcW w:w="960" w:type="dxa"/>
            <w:tcMar>
              <w:top w:w="100" w:type="dxa"/>
              <w:left w:w="100" w:type="dxa"/>
              <w:bottom w:w="100" w:type="dxa"/>
              <w:right w:w="100" w:type="dxa"/>
            </w:tcMar>
          </w:tcPr>
          <w:p w14:paraId="34403815" w14:textId="77777777" w:rsidR="00932F87" w:rsidRDefault="00000000">
            <w:pPr>
              <w:spacing w:line="240" w:lineRule="auto"/>
              <w:rPr>
                <w:sz w:val="20"/>
                <w:szCs w:val="20"/>
              </w:rPr>
            </w:pPr>
            <w:r>
              <w:rPr>
                <w:sz w:val="20"/>
                <w:szCs w:val="20"/>
              </w:rPr>
              <w:t>0.003</w:t>
            </w:r>
          </w:p>
        </w:tc>
      </w:tr>
      <w:tr w:rsidR="00932F87" w14:paraId="1B34E403" w14:textId="77777777">
        <w:trPr>
          <w:trHeight w:val="469"/>
        </w:trPr>
        <w:tc>
          <w:tcPr>
            <w:tcW w:w="1350" w:type="dxa"/>
            <w:vMerge/>
            <w:tcMar>
              <w:top w:w="100" w:type="dxa"/>
              <w:left w:w="100" w:type="dxa"/>
              <w:bottom w:w="100" w:type="dxa"/>
              <w:right w:w="100" w:type="dxa"/>
            </w:tcMar>
          </w:tcPr>
          <w:p w14:paraId="04228F96"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3CEB1355" w14:textId="77777777" w:rsidR="00932F87" w:rsidRDefault="00000000">
            <w:pPr>
              <w:spacing w:line="240" w:lineRule="auto"/>
              <w:jc w:val="right"/>
              <w:rPr>
                <w:sz w:val="20"/>
                <w:szCs w:val="20"/>
              </w:rPr>
            </w:pPr>
            <w:r>
              <w:rPr>
                <w:sz w:val="20"/>
                <w:szCs w:val="20"/>
              </w:rPr>
              <w:t>VT</w:t>
            </w:r>
          </w:p>
        </w:tc>
        <w:tc>
          <w:tcPr>
            <w:tcW w:w="1350" w:type="dxa"/>
            <w:tcMar>
              <w:top w:w="100" w:type="dxa"/>
              <w:left w:w="100" w:type="dxa"/>
              <w:bottom w:w="100" w:type="dxa"/>
              <w:right w:w="100" w:type="dxa"/>
            </w:tcMar>
          </w:tcPr>
          <w:p w14:paraId="2151734E" w14:textId="77777777" w:rsidR="00932F87" w:rsidRDefault="00000000">
            <w:pPr>
              <w:spacing w:line="240" w:lineRule="auto"/>
              <w:rPr>
                <w:sz w:val="20"/>
                <w:szCs w:val="20"/>
              </w:rPr>
            </w:pPr>
            <w:r>
              <w:rPr>
                <w:sz w:val="20"/>
                <w:szCs w:val="20"/>
              </w:rPr>
              <w:t>1.9561</w:t>
            </w:r>
          </w:p>
        </w:tc>
        <w:tc>
          <w:tcPr>
            <w:tcW w:w="1035" w:type="dxa"/>
            <w:tcMar>
              <w:top w:w="100" w:type="dxa"/>
              <w:left w:w="100" w:type="dxa"/>
              <w:bottom w:w="100" w:type="dxa"/>
              <w:right w:w="100" w:type="dxa"/>
            </w:tcMar>
          </w:tcPr>
          <w:p w14:paraId="4CC13F7E" w14:textId="77777777" w:rsidR="00932F87" w:rsidRDefault="00000000">
            <w:pPr>
              <w:spacing w:line="240" w:lineRule="auto"/>
              <w:rPr>
                <w:sz w:val="20"/>
                <w:szCs w:val="20"/>
              </w:rPr>
            </w:pPr>
            <w:r>
              <w:rPr>
                <w:sz w:val="20"/>
                <w:szCs w:val="20"/>
              </w:rPr>
              <w:t>3.990</w:t>
            </w:r>
          </w:p>
        </w:tc>
        <w:tc>
          <w:tcPr>
            <w:tcW w:w="960" w:type="dxa"/>
            <w:tcMar>
              <w:top w:w="100" w:type="dxa"/>
              <w:left w:w="100" w:type="dxa"/>
              <w:bottom w:w="100" w:type="dxa"/>
              <w:right w:w="100" w:type="dxa"/>
            </w:tcMar>
          </w:tcPr>
          <w:p w14:paraId="2CAD9B8B" w14:textId="77777777" w:rsidR="00932F87" w:rsidRDefault="00000000">
            <w:pPr>
              <w:spacing w:line="240" w:lineRule="auto"/>
              <w:rPr>
                <w:sz w:val="20"/>
                <w:szCs w:val="20"/>
              </w:rPr>
            </w:pPr>
            <w:r>
              <w:rPr>
                <w:sz w:val="20"/>
                <w:szCs w:val="20"/>
              </w:rPr>
              <w:t>0.000</w:t>
            </w:r>
          </w:p>
        </w:tc>
      </w:tr>
      <w:tr w:rsidR="00932F87" w14:paraId="061DF171" w14:textId="77777777">
        <w:trPr>
          <w:trHeight w:val="469"/>
        </w:trPr>
        <w:tc>
          <w:tcPr>
            <w:tcW w:w="1350" w:type="dxa"/>
            <w:vMerge/>
            <w:tcMar>
              <w:top w:w="100" w:type="dxa"/>
              <w:left w:w="100" w:type="dxa"/>
              <w:bottom w:w="100" w:type="dxa"/>
              <w:right w:w="100" w:type="dxa"/>
            </w:tcMar>
          </w:tcPr>
          <w:p w14:paraId="571C09A0"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69AA245A" w14:textId="77777777" w:rsidR="00932F87" w:rsidRDefault="00000000">
            <w:pPr>
              <w:spacing w:line="240" w:lineRule="auto"/>
              <w:jc w:val="right"/>
              <w:rPr>
                <w:sz w:val="20"/>
                <w:szCs w:val="20"/>
              </w:rPr>
            </w:pPr>
            <w:r>
              <w:rPr>
                <w:sz w:val="20"/>
                <w:szCs w:val="20"/>
              </w:rPr>
              <w:t>GF</w:t>
            </w:r>
          </w:p>
        </w:tc>
        <w:tc>
          <w:tcPr>
            <w:tcW w:w="1350" w:type="dxa"/>
            <w:tcMar>
              <w:top w:w="100" w:type="dxa"/>
              <w:left w:w="100" w:type="dxa"/>
              <w:bottom w:w="100" w:type="dxa"/>
              <w:right w:w="100" w:type="dxa"/>
            </w:tcMar>
          </w:tcPr>
          <w:p w14:paraId="3F4179BF" w14:textId="77777777" w:rsidR="00932F87" w:rsidRDefault="00000000">
            <w:pPr>
              <w:spacing w:line="240" w:lineRule="auto"/>
              <w:rPr>
                <w:sz w:val="20"/>
                <w:szCs w:val="20"/>
              </w:rPr>
            </w:pPr>
            <w:r>
              <w:rPr>
                <w:sz w:val="20"/>
                <w:szCs w:val="20"/>
              </w:rPr>
              <w:t>0.6917</w:t>
            </w:r>
          </w:p>
        </w:tc>
        <w:tc>
          <w:tcPr>
            <w:tcW w:w="1035" w:type="dxa"/>
            <w:tcMar>
              <w:top w:w="100" w:type="dxa"/>
              <w:left w:w="100" w:type="dxa"/>
              <w:bottom w:w="100" w:type="dxa"/>
              <w:right w:w="100" w:type="dxa"/>
            </w:tcMar>
          </w:tcPr>
          <w:p w14:paraId="4DE86130" w14:textId="77777777" w:rsidR="00932F87" w:rsidRDefault="00000000">
            <w:pPr>
              <w:spacing w:line="240" w:lineRule="auto"/>
              <w:rPr>
                <w:sz w:val="20"/>
                <w:szCs w:val="20"/>
              </w:rPr>
            </w:pPr>
            <w:r>
              <w:rPr>
                <w:sz w:val="20"/>
                <w:szCs w:val="20"/>
              </w:rPr>
              <w:t>0.830</w:t>
            </w:r>
          </w:p>
        </w:tc>
        <w:tc>
          <w:tcPr>
            <w:tcW w:w="960" w:type="dxa"/>
            <w:tcMar>
              <w:top w:w="100" w:type="dxa"/>
              <w:left w:w="100" w:type="dxa"/>
              <w:bottom w:w="100" w:type="dxa"/>
              <w:right w:w="100" w:type="dxa"/>
            </w:tcMar>
          </w:tcPr>
          <w:p w14:paraId="66E54F3E" w14:textId="77777777" w:rsidR="00932F87" w:rsidRDefault="00000000">
            <w:pPr>
              <w:spacing w:line="240" w:lineRule="auto"/>
              <w:rPr>
                <w:sz w:val="20"/>
                <w:szCs w:val="20"/>
              </w:rPr>
            </w:pPr>
            <w:r>
              <w:rPr>
                <w:sz w:val="20"/>
                <w:szCs w:val="20"/>
              </w:rPr>
              <w:t>0.407</w:t>
            </w:r>
          </w:p>
        </w:tc>
      </w:tr>
    </w:tbl>
    <w:p w14:paraId="45C42F74" w14:textId="77777777" w:rsidR="00932F87" w:rsidRDefault="00932F87">
      <w:pPr>
        <w:spacing w:before="200"/>
        <w:jc w:val="both"/>
      </w:pPr>
    </w:p>
    <w:p w14:paraId="125D3FD9" w14:textId="27567B2E" w:rsidR="00932F87" w:rsidRDefault="00000000">
      <w:pPr>
        <w:spacing w:before="200"/>
        <w:ind w:firstLine="720"/>
        <w:jc w:val="both"/>
      </w:pPr>
      <w:r>
        <w:t>With the addition of the time interval between MRI and ICP monitoring in the multivariate OLS model, adjusted R</w:t>
      </w:r>
      <w:r>
        <w:rPr>
          <w:vertAlign w:val="superscript"/>
        </w:rPr>
        <w:t>2</w:t>
      </w:r>
      <w:r>
        <w:t xml:space="preserve"> marginally reduced to 0.32, and the three radiographic variables remained significant (Yuh </w:t>
      </w:r>
      <w:proofErr w:type="spellStart"/>
      <w:r>
        <w:t>sella</w:t>
      </w:r>
      <w:proofErr w:type="spellEnd"/>
      <w:r>
        <w:t xml:space="preserve"> grade, </w:t>
      </w:r>
      <w:proofErr w:type="spellStart"/>
      <w:r>
        <w:t>coef</w:t>
      </w:r>
      <w:proofErr w:type="spellEnd"/>
      <w:r>
        <w:t xml:space="preserve"> </w:t>
      </w:r>
      <w:r w:rsidR="00636183">
        <w:t>= 1.76</w:t>
      </w:r>
      <w:r>
        <w:t xml:space="preserve">, p = &lt;0.0001; ODP, </w:t>
      </w:r>
      <w:proofErr w:type="spellStart"/>
      <w:r>
        <w:t>coef</w:t>
      </w:r>
      <w:proofErr w:type="spellEnd"/>
      <w:r>
        <w:t xml:space="preserve"> = 3.70, p = 0.003; VT = 1.89, p = &lt; 0.0001).</w:t>
      </w:r>
    </w:p>
    <w:p w14:paraId="1E671EFB" w14:textId="77777777" w:rsidR="00932F87" w:rsidRDefault="00932F87">
      <w:pPr>
        <w:spacing w:before="200"/>
        <w:ind w:firstLine="720"/>
        <w:jc w:val="both"/>
      </w:pPr>
    </w:p>
    <w:p w14:paraId="751C5108" w14:textId="7C7BC580" w:rsidR="00932F87" w:rsidRDefault="00000000">
      <w:pPr>
        <w:spacing w:before="200"/>
        <w:ind w:firstLine="720"/>
        <w:jc w:val="both"/>
      </w:pPr>
      <w:r>
        <w:rPr>
          <w:b/>
          <w:sz w:val="20"/>
          <w:szCs w:val="20"/>
        </w:rPr>
        <w:t xml:space="preserve">Supplementary Table </w:t>
      </w:r>
      <w:r w:rsidR="008461E4">
        <w:rPr>
          <w:b/>
          <w:sz w:val="20"/>
          <w:szCs w:val="20"/>
        </w:rPr>
        <w:t>4</w:t>
      </w:r>
      <w:r>
        <w:rPr>
          <w:b/>
          <w:sz w:val="20"/>
          <w:szCs w:val="20"/>
        </w:rPr>
        <w:t>.</w:t>
      </w:r>
      <w:r>
        <w:rPr>
          <w:sz w:val="20"/>
          <w:szCs w:val="20"/>
        </w:rPr>
        <w:t xml:space="preserve"> Bayesian linear regression model using </w:t>
      </w:r>
      <w:proofErr w:type="spellStart"/>
      <w:r>
        <w:rPr>
          <w:sz w:val="20"/>
          <w:szCs w:val="20"/>
        </w:rPr>
        <w:t>clinico</w:t>
      </w:r>
      <w:proofErr w:type="spellEnd"/>
      <w:r>
        <w:rPr>
          <w:sz w:val="20"/>
          <w:szCs w:val="20"/>
        </w:rPr>
        <w:t>-radiological parameters to predict ICP with model parameters</w:t>
      </w:r>
      <w:r>
        <w:t>. (</w:t>
      </w:r>
      <w:r>
        <w:rPr>
          <w:sz w:val="20"/>
          <w:szCs w:val="20"/>
        </w:rPr>
        <w:t xml:space="preserve">IIH = idiopathic intracranial hypertension; NPH = normal pressure hydrocephalus; LOVA = long standing overt ventriculomegaly in adults; ODP = optic disc protrusion, PGF = posterior globe flattening; Yuh = pituitary </w:t>
      </w:r>
      <w:proofErr w:type="spellStart"/>
      <w:r>
        <w:rPr>
          <w:sz w:val="20"/>
          <w:szCs w:val="20"/>
        </w:rPr>
        <w:t>sella</w:t>
      </w:r>
      <w:proofErr w:type="spellEnd"/>
      <w:r>
        <w:rPr>
          <w:sz w:val="20"/>
          <w:szCs w:val="20"/>
        </w:rPr>
        <w:t xml:space="preserve"> grade; VT = vertical tortuosity)</w:t>
      </w:r>
    </w:p>
    <w:p w14:paraId="5A5D958B" w14:textId="77777777" w:rsidR="00932F87" w:rsidRDefault="00932F87">
      <w:pPr>
        <w:spacing w:before="200"/>
        <w:jc w:val="both"/>
      </w:pPr>
    </w:p>
    <w:tbl>
      <w:tblPr>
        <w:tblStyle w:val="a1"/>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3240"/>
        <w:gridCol w:w="1350"/>
        <w:gridCol w:w="1035"/>
        <w:gridCol w:w="960"/>
        <w:gridCol w:w="1125"/>
      </w:tblGrid>
      <w:tr w:rsidR="00932F87" w14:paraId="7AB4DE62" w14:textId="77777777">
        <w:trPr>
          <w:trHeight w:val="720"/>
        </w:trPr>
        <w:tc>
          <w:tcPr>
            <w:tcW w:w="1350" w:type="dxa"/>
            <w:tcMar>
              <w:top w:w="100" w:type="dxa"/>
              <w:left w:w="100" w:type="dxa"/>
              <w:bottom w:w="100" w:type="dxa"/>
              <w:right w:w="100" w:type="dxa"/>
            </w:tcMar>
          </w:tcPr>
          <w:p w14:paraId="533ED63A" w14:textId="77777777" w:rsidR="00932F87" w:rsidRDefault="00000000">
            <w:pPr>
              <w:spacing w:line="240" w:lineRule="auto"/>
              <w:rPr>
                <w:b/>
                <w:sz w:val="20"/>
                <w:szCs w:val="20"/>
              </w:rPr>
            </w:pPr>
            <w:r>
              <w:rPr>
                <w:b/>
                <w:sz w:val="20"/>
                <w:szCs w:val="20"/>
              </w:rPr>
              <w:t>Variable type</w:t>
            </w:r>
          </w:p>
        </w:tc>
        <w:tc>
          <w:tcPr>
            <w:tcW w:w="3240" w:type="dxa"/>
            <w:tcMar>
              <w:top w:w="100" w:type="dxa"/>
              <w:left w:w="100" w:type="dxa"/>
              <w:bottom w:w="100" w:type="dxa"/>
              <w:right w:w="100" w:type="dxa"/>
            </w:tcMar>
          </w:tcPr>
          <w:p w14:paraId="2CAD5C04" w14:textId="77777777" w:rsidR="00932F87" w:rsidRDefault="00000000">
            <w:pPr>
              <w:spacing w:line="240" w:lineRule="auto"/>
              <w:rPr>
                <w:b/>
                <w:sz w:val="20"/>
                <w:szCs w:val="20"/>
              </w:rPr>
            </w:pPr>
            <w:r>
              <w:rPr>
                <w:b/>
                <w:sz w:val="20"/>
                <w:szCs w:val="20"/>
              </w:rPr>
              <w:t>Variable</w:t>
            </w:r>
          </w:p>
        </w:tc>
        <w:tc>
          <w:tcPr>
            <w:tcW w:w="1350" w:type="dxa"/>
            <w:tcMar>
              <w:top w:w="100" w:type="dxa"/>
              <w:left w:w="100" w:type="dxa"/>
              <w:bottom w:w="100" w:type="dxa"/>
              <w:right w:w="100" w:type="dxa"/>
            </w:tcMar>
          </w:tcPr>
          <w:p w14:paraId="11AFE357" w14:textId="77777777" w:rsidR="00932F87" w:rsidRDefault="00000000">
            <w:pPr>
              <w:spacing w:line="240" w:lineRule="auto"/>
              <w:rPr>
                <w:b/>
                <w:sz w:val="20"/>
                <w:szCs w:val="20"/>
              </w:rPr>
            </w:pPr>
            <w:r>
              <w:rPr>
                <w:b/>
                <w:sz w:val="20"/>
                <w:szCs w:val="20"/>
              </w:rPr>
              <w:t>Mean</w:t>
            </w:r>
          </w:p>
          <w:p w14:paraId="23B14AF0" w14:textId="77777777" w:rsidR="00932F87" w:rsidRDefault="00000000">
            <w:pPr>
              <w:spacing w:line="240" w:lineRule="auto"/>
              <w:rPr>
                <w:b/>
                <w:sz w:val="20"/>
                <w:szCs w:val="20"/>
              </w:rPr>
            </w:pPr>
            <w:r>
              <w:rPr>
                <w:b/>
                <w:sz w:val="20"/>
                <w:szCs w:val="20"/>
              </w:rPr>
              <w:t>Coefficient</w:t>
            </w:r>
          </w:p>
        </w:tc>
        <w:tc>
          <w:tcPr>
            <w:tcW w:w="1035" w:type="dxa"/>
            <w:tcMar>
              <w:top w:w="100" w:type="dxa"/>
              <w:left w:w="100" w:type="dxa"/>
              <w:bottom w:w="100" w:type="dxa"/>
              <w:right w:w="100" w:type="dxa"/>
            </w:tcMar>
          </w:tcPr>
          <w:p w14:paraId="639493DB" w14:textId="77777777" w:rsidR="00932F87" w:rsidRDefault="00000000">
            <w:pPr>
              <w:spacing w:line="240" w:lineRule="auto"/>
              <w:rPr>
                <w:b/>
                <w:sz w:val="20"/>
                <w:szCs w:val="20"/>
              </w:rPr>
            </w:pPr>
            <w:r>
              <w:rPr>
                <w:b/>
                <w:sz w:val="20"/>
                <w:szCs w:val="20"/>
              </w:rPr>
              <w:t>SD</w:t>
            </w:r>
          </w:p>
        </w:tc>
        <w:tc>
          <w:tcPr>
            <w:tcW w:w="960" w:type="dxa"/>
            <w:tcMar>
              <w:top w:w="100" w:type="dxa"/>
              <w:left w:w="100" w:type="dxa"/>
              <w:bottom w:w="100" w:type="dxa"/>
              <w:right w:w="100" w:type="dxa"/>
            </w:tcMar>
          </w:tcPr>
          <w:p w14:paraId="55F91B03" w14:textId="77777777" w:rsidR="00932F87" w:rsidRDefault="00000000">
            <w:pPr>
              <w:spacing w:line="240" w:lineRule="auto"/>
              <w:rPr>
                <w:b/>
                <w:sz w:val="20"/>
                <w:szCs w:val="20"/>
              </w:rPr>
            </w:pPr>
            <w:r>
              <w:rPr>
                <w:b/>
                <w:sz w:val="20"/>
                <w:szCs w:val="20"/>
              </w:rPr>
              <w:t>3% HDI</w:t>
            </w:r>
          </w:p>
        </w:tc>
        <w:tc>
          <w:tcPr>
            <w:tcW w:w="1125" w:type="dxa"/>
            <w:tcMar>
              <w:top w:w="100" w:type="dxa"/>
              <w:left w:w="100" w:type="dxa"/>
              <w:bottom w:w="100" w:type="dxa"/>
              <w:right w:w="100" w:type="dxa"/>
            </w:tcMar>
          </w:tcPr>
          <w:p w14:paraId="508E35DA" w14:textId="77777777" w:rsidR="00932F87" w:rsidRDefault="00000000">
            <w:pPr>
              <w:spacing w:line="240" w:lineRule="auto"/>
              <w:rPr>
                <w:b/>
                <w:sz w:val="20"/>
                <w:szCs w:val="20"/>
              </w:rPr>
            </w:pPr>
            <w:r>
              <w:rPr>
                <w:b/>
                <w:sz w:val="20"/>
                <w:szCs w:val="20"/>
              </w:rPr>
              <w:t>97% HDI</w:t>
            </w:r>
          </w:p>
        </w:tc>
      </w:tr>
      <w:tr w:rsidR="00932F87" w14:paraId="5F0778B1" w14:textId="77777777">
        <w:trPr>
          <w:trHeight w:val="480"/>
        </w:trPr>
        <w:tc>
          <w:tcPr>
            <w:tcW w:w="4590" w:type="dxa"/>
            <w:gridSpan w:val="2"/>
            <w:tcMar>
              <w:top w:w="100" w:type="dxa"/>
              <w:left w:w="100" w:type="dxa"/>
              <w:bottom w:w="100" w:type="dxa"/>
              <w:right w:w="100" w:type="dxa"/>
            </w:tcMar>
          </w:tcPr>
          <w:p w14:paraId="07C44EEA" w14:textId="77777777" w:rsidR="00932F87" w:rsidRDefault="00000000">
            <w:pPr>
              <w:spacing w:line="240" w:lineRule="auto"/>
              <w:rPr>
                <w:sz w:val="20"/>
                <w:szCs w:val="20"/>
              </w:rPr>
            </w:pPr>
            <w:r>
              <w:rPr>
                <w:sz w:val="20"/>
                <w:szCs w:val="20"/>
              </w:rPr>
              <w:t>Intercept</w:t>
            </w:r>
          </w:p>
        </w:tc>
        <w:tc>
          <w:tcPr>
            <w:tcW w:w="1350" w:type="dxa"/>
            <w:tcMar>
              <w:top w:w="100" w:type="dxa"/>
              <w:left w:w="100" w:type="dxa"/>
              <w:bottom w:w="100" w:type="dxa"/>
              <w:right w:w="100" w:type="dxa"/>
            </w:tcMar>
          </w:tcPr>
          <w:p w14:paraId="11141D7C" w14:textId="77777777" w:rsidR="00932F87" w:rsidRDefault="00000000">
            <w:pPr>
              <w:spacing w:line="240" w:lineRule="auto"/>
              <w:rPr>
                <w:sz w:val="20"/>
                <w:szCs w:val="20"/>
              </w:rPr>
            </w:pPr>
            <w:r>
              <w:rPr>
                <w:sz w:val="20"/>
                <w:szCs w:val="20"/>
              </w:rPr>
              <w:t>3.491</w:t>
            </w:r>
          </w:p>
        </w:tc>
        <w:tc>
          <w:tcPr>
            <w:tcW w:w="1035" w:type="dxa"/>
            <w:tcMar>
              <w:top w:w="100" w:type="dxa"/>
              <w:left w:w="100" w:type="dxa"/>
              <w:bottom w:w="100" w:type="dxa"/>
              <w:right w:w="100" w:type="dxa"/>
            </w:tcMar>
          </w:tcPr>
          <w:p w14:paraId="4BBBD38C" w14:textId="77777777" w:rsidR="00932F87" w:rsidRDefault="00000000">
            <w:pPr>
              <w:spacing w:line="240" w:lineRule="auto"/>
              <w:rPr>
                <w:sz w:val="20"/>
                <w:szCs w:val="20"/>
              </w:rPr>
            </w:pPr>
            <w:r>
              <w:rPr>
                <w:sz w:val="20"/>
                <w:szCs w:val="20"/>
              </w:rPr>
              <w:t>1.855</w:t>
            </w:r>
          </w:p>
        </w:tc>
        <w:tc>
          <w:tcPr>
            <w:tcW w:w="960" w:type="dxa"/>
            <w:tcMar>
              <w:top w:w="100" w:type="dxa"/>
              <w:left w:w="100" w:type="dxa"/>
              <w:bottom w:w="100" w:type="dxa"/>
              <w:right w:w="100" w:type="dxa"/>
            </w:tcMar>
          </w:tcPr>
          <w:p w14:paraId="7FAF6FDB" w14:textId="77777777" w:rsidR="00932F87" w:rsidRDefault="00000000">
            <w:pPr>
              <w:spacing w:line="240" w:lineRule="auto"/>
              <w:rPr>
                <w:sz w:val="20"/>
                <w:szCs w:val="20"/>
              </w:rPr>
            </w:pPr>
            <w:r>
              <w:rPr>
                <w:sz w:val="20"/>
                <w:szCs w:val="20"/>
              </w:rPr>
              <w:t>-0.030</w:t>
            </w:r>
          </w:p>
        </w:tc>
        <w:tc>
          <w:tcPr>
            <w:tcW w:w="1125" w:type="dxa"/>
            <w:tcMar>
              <w:top w:w="100" w:type="dxa"/>
              <w:left w:w="100" w:type="dxa"/>
              <w:bottom w:w="100" w:type="dxa"/>
              <w:right w:w="100" w:type="dxa"/>
            </w:tcMar>
          </w:tcPr>
          <w:p w14:paraId="08632823" w14:textId="77777777" w:rsidR="00932F87" w:rsidRDefault="00000000">
            <w:pPr>
              <w:spacing w:line="240" w:lineRule="auto"/>
              <w:rPr>
                <w:sz w:val="20"/>
                <w:szCs w:val="20"/>
              </w:rPr>
            </w:pPr>
            <w:r>
              <w:rPr>
                <w:sz w:val="20"/>
                <w:szCs w:val="20"/>
              </w:rPr>
              <w:t>6.949</w:t>
            </w:r>
          </w:p>
        </w:tc>
      </w:tr>
      <w:tr w:rsidR="00932F87" w14:paraId="0888CFF8" w14:textId="77777777">
        <w:trPr>
          <w:trHeight w:val="469"/>
        </w:trPr>
        <w:tc>
          <w:tcPr>
            <w:tcW w:w="1350" w:type="dxa"/>
            <w:vMerge w:val="restart"/>
            <w:tcMar>
              <w:top w:w="100" w:type="dxa"/>
              <w:left w:w="100" w:type="dxa"/>
              <w:bottom w:w="100" w:type="dxa"/>
              <w:right w:w="100" w:type="dxa"/>
            </w:tcMar>
          </w:tcPr>
          <w:p w14:paraId="3CADFE0F" w14:textId="77777777" w:rsidR="00932F87" w:rsidRDefault="00000000">
            <w:pPr>
              <w:spacing w:line="240" w:lineRule="auto"/>
              <w:rPr>
                <w:b/>
                <w:sz w:val="20"/>
                <w:szCs w:val="20"/>
              </w:rPr>
            </w:pPr>
            <w:r>
              <w:rPr>
                <w:b/>
                <w:sz w:val="20"/>
                <w:szCs w:val="20"/>
              </w:rPr>
              <w:t>Clinical</w:t>
            </w:r>
          </w:p>
        </w:tc>
        <w:tc>
          <w:tcPr>
            <w:tcW w:w="3240" w:type="dxa"/>
            <w:tcMar>
              <w:top w:w="100" w:type="dxa"/>
              <w:left w:w="100" w:type="dxa"/>
              <w:bottom w:w="100" w:type="dxa"/>
              <w:right w:w="100" w:type="dxa"/>
            </w:tcMar>
          </w:tcPr>
          <w:p w14:paraId="79F86488" w14:textId="00400DAB" w:rsidR="00932F87" w:rsidRDefault="00000000">
            <w:pPr>
              <w:spacing w:line="240" w:lineRule="auto"/>
              <w:rPr>
                <w:sz w:val="20"/>
                <w:szCs w:val="20"/>
              </w:rPr>
            </w:pPr>
            <w:r>
              <w:rPr>
                <w:sz w:val="20"/>
                <w:szCs w:val="20"/>
              </w:rPr>
              <w:t>Age</w:t>
            </w:r>
          </w:p>
        </w:tc>
        <w:tc>
          <w:tcPr>
            <w:tcW w:w="1350" w:type="dxa"/>
            <w:tcMar>
              <w:top w:w="100" w:type="dxa"/>
              <w:left w:w="100" w:type="dxa"/>
              <w:bottom w:w="100" w:type="dxa"/>
              <w:right w:w="100" w:type="dxa"/>
            </w:tcMar>
          </w:tcPr>
          <w:p w14:paraId="4935A280" w14:textId="77777777" w:rsidR="00932F87" w:rsidRDefault="00000000">
            <w:pPr>
              <w:spacing w:line="240" w:lineRule="auto"/>
              <w:rPr>
                <w:sz w:val="20"/>
                <w:szCs w:val="20"/>
              </w:rPr>
            </w:pPr>
            <w:r>
              <w:rPr>
                <w:sz w:val="20"/>
                <w:szCs w:val="20"/>
              </w:rPr>
              <w:t>-0.070</w:t>
            </w:r>
          </w:p>
        </w:tc>
        <w:tc>
          <w:tcPr>
            <w:tcW w:w="1035" w:type="dxa"/>
            <w:tcMar>
              <w:top w:w="100" w:type="dxa"/>
              <w:left w:w="100" w:type="dxa"/>
              <w:bottom w:w="100" w:type="dxa"/>
              <w:right w:w="100" w:type="dxa"/>
            </w:tcMar>
          </w:tcPr>
          <w:p w14:paraId="29A7F453" w14:textId="77777777" w:rsidR="00932F87" w:rsidRDefault="00000000">
            <w:pPr>
              <w:spacing w:line="240" w:lineRule="auto"/>
              <w:rPr>
                <w:sz w:val="20"/>
                <w:szCs w:val="20"/>
              </w:rPr>
            </w:pPr>
            <w:r>
              <w:rPr>
                <w:sz w:val="20"/>
                <w:szCs w:val="20"/>
              </w:rPr>
              <w:t>0.023</w:t>
            </w:r>
          </w:p>
        </w:tc>
        <w:tc>
          <w:tcPr>
            <w:tcW w:w="960" w:type="dxa"/>
            <w:tcMar>
              <w:top w:w="100" w:type="dxa"/>
              <w:left w:w="100" w:type="dxa"/>
              <w:bottom w:w="100" w:type="dxa"/>
              <w:right w:w="100" w:type="dxa"/>
            </w:tcMar>
          </w:tcPr>
          <w:p w14:paraId="2B54D63E" w14:textId="77777777" w:rsidR="00932F87" w:rsidRDefault="00000000">
            <w:pPr>
              <w:spacing w:line="240" w:lineRule="auto"/>
              <w:rPr>
                <w:sz w:val="20"/>
                <w:szCs w:val="20"/>
              </w:rPr>
            </w:pPr>
            <w:r>
              <w:rPr>
                <w:sz w:val="20"/>
                <w:szCs w:val="20"/>
              </w:rPr>
              <w:t>-0.114</w:t>
            </w:r>
          </w:p>
        </w:tc>
        <w:tc>
          <w:tcPr>
            <w:tcW w:w="1125" w:type="dxa"/>
            <w:tcMar>
              <w:top w:w="100" w:type="dxa"/>
              <w:left w:w="100" w:type="dxa"/>
              <w:bottom w:w="100" w:type="dxa"/>
              <w:right w:w="100" w:type="dxa"/>
            </w:tcMar>
          </w:tcPr>
          <w:p w14:paraId="70ABC3F0" w14:textId="77777777" w:rsidR="00932F87" w:rsidRDefault="00000000">
            <w:pPr>
              <w:spacing w:line="240" w:lineRule="auto"/>
              <w:rPr>
                <w:sz w:val="20"/>
                <w:szCs w:val="20"/>
              </w:rPr>
            </w:pPr>
            <w:r>
              <w:rPr>
                <w:sz w:val="20"/>
                <w:szCs w:val="20"/>
              </w:rPr>
              <w:t>-0.026</w:t>
            </w:r>
          </w:p>
        </w:tc>
      </w:tr>
      <w:tr w:rsidR="00932F87" w14:paraId="232326FF" w14:textId="77777777">
        <w:trPr>
          <w:trHeight w:val="469"/>
        </w:trPr>
        <w:tc>
          <w:tcPr>
            <w:tcW w:w="1350" w:type="dxa"/>
            <w:vMerge/>
            <w:tcMar>
              <w:top w:w="100" w:type="dxa"/>
              <w:left w:w="100" w:type="dxa"/>
              <w:bottom w:w="100" w:type="dxa"/>
              <w:right w:w="100" w:type="dxa"/>
            </w:tcMar>
          </w:tcPr>
          <w:p w14:paraId="039F014A"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06011D19" w14:textId="77777777" w:rsidR="00932F87" w:rsidRDefault="00000000">
            <w:pPr>
              <w:spacing w:line="240" w:lineRule="auto"/>
              <w:rPr>
                <w:sz w:val="20"/>
                <w:szCs w:val="20"/>
              </w:rPr>
            </w:pPr>
            <w:proofErr w:type="spellStart"/>
            <w:r>
              <w:rPr>
                <w:sz w:val="20"/>
                <w:szCs w:val="20"/>
              </w:rPr>
              <w:t>Aqueductal</w:t>
            </w:r>
            <w:proofErr w:type="spellEnd"/>
            <w:r>
              <w:rPr>
                <w:sz w:val="20"/>
                <w:szCs w:val="20"/>
              </w:rPr>
              <w:t xml:space="preserve"> stenosis</w:t>
            </w:r>
          </w:p>
        </w:tc>
        <w:tc>
          <w:tcPr>
            <w:tcW w:w="1350" w:type="dxa"/>
            <w:tcMar>
              <w:top w:w="100" w:type="dxa"/>
              <w:left w:w="100" w:type="dxa"/>
              <w:bottom w:w="100" w:type="dxa"/>
              <w:right w:w="100" w:type="dxa"/>
            </w:tcMar>
          </w:tcPr>
          <w:p w14:paraId="73C5F7CF" w14:textId="77777777" w:rsidR="00932F87" w:rsidRDefault="00000000">
            <w:pPr>
              <w:spacing w:line="240" w:lineRule="auto"/>
              <w:rPr>
                <w:sz w:val="20"/>
                <w:szCs w:val="20"/>
              </w:rPr>
            </w:pPr>
            <w:r>
              <w:rPr>
                <w:sz w:val="20"/>
                <w:szCs w:val="20"/>
              </w:rPr>
              <w:t>Reference</w:t>
            </w:r>
          </w:p>
        </w:tc>
        <w:tc>
          <w:tcPr>
            <w:tcW w:w="1035" w:type="dxa"/>
            <w:shd w:val="clear" w:color="auto" w:fill="B7B7B7"/>
            <w:tcMar>
              <w:top w:w="100" w:type="dxa"/>
              <w:left w:w="100" w:type="dxa"/>
              <w:bottom w:w="100" w:type="dxa"/>
              <w:right w:w="100" w:type="dxa"/>
            </w:tcMar>
          </w:tcPr>
          <w:p w14:paraId="0CC0B517" w14:textId="77777777" w:rsidR="00932F87" w:rsidRDefault="00932F87">
            <w:pPr>
              <w:spacing w:line="240" w:lineRule="auto"/>
              <w:rPr>
                <w:sz w:val="20"/>
                <w:szCs w:val="20"/>
              </w:rPr>
            </w:pPr>
          </w:p>
        </w:tc>
        <w:tc>
          <w:tcPr>
            <w:tcW w:w="960" w:type="dxa"/>
            <w:shd w:val="clear" w:color="auto" w:fill="B7B7B7"/>
            <w:tcMar>
              <w:top w:w="100" w:type="dxa"/>
              <w:left w:w="100" w:type="dxa"/>
              <w:bottom w:w="100" w:type="dxa"/>
              <w:right w:w="100" w:type="dxa"/>
            </w:tcMar>
          </w:tcPr>
          <w:p w14:paraId="57EFF49E" w14:textId="77777777" w:rsidR="00932F87" w:rsidRDefault="00932F87">
            <w:pPr>
              <w:spacing w:line="240" w:lineRule="auto"/>
              <w:rPr>
                <w:sz w:val="20"/>
                <w:szCs w:val="20"/>
              </w:rPr>
            </w:pPr>
          </w:p>
        </w:tc>
        <w:tc>
          <w:tcPr>
            <w:tcW w:w="1125" w:type="dxa"/>
            <w:shd w:val="clear" w:color="auto" w:fill="B7B7B7"/>
            <w:tcMar>
              <w:top w:w="100" w:type="dxa"/>
              <w:left w:w="100" w:type="dxa"/>
              <w:bottom w:w="100" w:type="dxa"/>
              <w:right w:w="100" w:type="dxa"/>
            </w:tcMar>
          </w:tcPr>
          <w:p w14:paraId="2B883342" w14:textId="77777777" w:rsidR="00932F87" w:rsidRDefault="00932F87">
            <w:pPr>
              <w:spacing w:line="240" w:lineRule="auto"/>
              <w:rPr>
                <w:sz w:val="20"/>
                <w:szCs w:val="20"/>
              </w:rPr>
            </w:pPr>
          </w:p>
        </w:tc>
      </w:tr>
      <w:tr w:rsidR="00932F87" w14:paraId="42118474" w14:textId="77777777">
        <w:trPr>
          <w:trHeight w:val="469"/>
        </w:trPr>
        <w:tc>
          <w:tcPr>
            <w:tcW w:w="1350" w:type="dxa"/>
            <w:vMerge/>
            <w:tcMar>
              <w:top w:w="100" w:type="dxa"/>
              <w:left w:w="100" w:type="dxa"/>
              <w:bottom w:w="100" w:type="dxa"/>
              <w:right w:w="100" w:type="dxa"/>
            </w:tcMar>
          </w:tcPr>
          <w:p w14:paraId="169BCB12"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71CA417C" w14:textId="77777777" w:rsidR="00932F87" w:rsidRDefault="00000000">
            <w:pPr>
              <w:spacing w:line="240" w:lineRule="auto"/>
              <w:rPr>
                <w:sz w:val="20"/>
                <w:szCs w:val="20"/>
              </w:rPr>
            </w:pPr>
            <w:r>
              <w:rPr>
                <w:sz w:val="20"/>
                <w:szCs w:val="20"/>
              </w:rPr>
              <w:t>Congenital</w:t>
            </w:r>
          </w:p>
        </w:tc>
        <w:tc>
          <w:tcPr>
            <w:tcW w:w="1350" w:type="dxa"/>
            <w:tcMar>
              <w:top w:w="100" w:type="dxa"/>
              <w:left w:w="100" w:type="dxa"/>
              <w:bottom w:w="100" w:type="dxa"/>
              <w:right w:w="100" w:type="dxa"/>
            </w:tcMar>
          </w:tcPr>
          <w:p w14:paraId="773F2AFA" w14:textId="77777777" w:rsidR="00932F87" w:rsidRDefault="00000000">
            <w:pPr>
              <w:spacing w:line="240" w:lineRule="auto"/>
              <w:rPr>
                <w:sz w:val="20"/>
                <w:szCs w:val="20"/>
              </w:rPr>
            </w:pPr>
            <w:r>
              <w:rPr>
                <w:sz w:val="20"/>
                <w:szCs w:val="20"/>
              </w:rPr>
              <w:t>-1.204</w:t>
            </w:r>
          </w:p>
        </w:tc>
        <w:tc>
          <w:tcPr>
            <w:tcW w:w="1035" w:type="dxa"/>
            <w:tcMar>
              <w:top w:w="100" w:type="dxa"/>
              <w:left w:w="100" w:type="dxa"/>
              <w:bottom w:w="100" w:type="dxa"/>
              <w:right w:w="100" w:type="dxa"/>
            </w:tcMar>
          </w:tcPr>
          <w:p w14:paraId="4D60BF9E" w14:textId="77777777" w:rsidR="00932F87" w:rsidRDefault="00000000">
            <w:pPr>
              <w:spacing w:line="240" w:lineRule="auto"/>
              <w:rPr>
                <w:sz w:val="20"/>
                <w:szCs w:val="20"/>
              </w:rPr>
            </w:pPr>
            <w:r>
              <w:rPr>
                <w:sz w:val="20"/>
                <w:szCs w:val="20"/>
              </w:rPr>
              <w:t>2.116</w:t>
            </w:r>
          </w:p>
        </w:tc>
        <w:tc>
          <w:tcPr>
            <w:tcW w:w="960" w:type="dxa"/>
            <w:tcMar>
              <w:top w:w="100" w:type="dxa"/>
              <w:left w:w="100" w:type="dxa"/>
              <w:bottom w:w="100" w:type="dxa"/>
              <w:right w:w="100" w:type="dxa"/>
            </w:tcMar>
          </w:tcPr>
          <w:p w14:paraId="13A3E18C" w14:textId="77777777" w:rsidR="00932F87" w:rsidRDefault="00000000">
            <w:pPr>
              <w:spacing w:line="240" w:lineRule="auto"/>
              <w:rPr>
                <w:sz w:val="20"/>
                <w:szCs w:val="20"/>
              </w:rPr>
            </w:pPr>
            <w:r>
              <w:rPr>
                <w:sz w:val="20"/>
                <w:szCs w:val="20"/>
              </w:rPr>
              <w:t>-5.170</w:t>
            </w:r>
          </w:p>
        </w:tc>
        <w:tc>
          <w:tcPr>
            <w:tcW w:w="1125" w:type="dxa"/>
            <w:tcMar>
              <w:top w:w="100" w:type="dxa"/>
              <w:left w:w="100" w:type="dxa"/>
              <w:bottom w:w="100" w:type="dxa"/>
              <w:right w:w="100" w:type="dxa"/>
            </w:tcMar>
          </w:tcPr>
          <w:p w14:paraId="111086D6" w14:textId="77777777" w:rsidR="00932F87" w:rsidRDefault="00000000">
            <w:pPr>
              <w:spacing w:line="240" w:lineRule="auto"/>
              <w:rPr>
                <w:sz w:val="20"/>
                <w:szCs w:val="20"/>
              </w:rPr>
            </w:pPr>
            <w:r>
              <w:rPr>
                <w:sz w:val="20"/>
                <w:szCs w:val="20"/>
              </w:rPr>
              <w:t>2.792</w:t>
            </w:r>
          </w:p>
        </w:tc>
      </w:tr>
      <w:tr w:rsidR="00932F87" w14:paraId="2C024564" w14:textId="77777777">
        <w:trPr>
          <w:trHeight w:val="469"/>
        </w:trPr>
        <w:tc>
          <w:tcPr>
            <w:tcW w:w="1350" w:type="dxa"/>
            <w:vMerge/>
            <w:tcMar>
              <w:top w:w="100" w:type="dxa"/>
              <w:left w:w="100" w:type="dxa"/>
              <w:bottom w:w="100" w:type="dxa"/>
              <w:right w:w="100" w:type="dxa"/>
            </w:tcMar>
          </w:tcPr>
          <w:p w14:paraId="35131F46"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39A37EB2" w14:textId="77777777" w:rsidR="00932F87" w:rsidRDefault="00000000">
            <w:pPr>
              <w:spacing w:line="240" w:lineRule="auto"/>
              <w:rPr>
                <w:sz w:val="20"/>
                <w:szCs w:val="20"/>
              </w:rPr>
            </w:pPr>
            <w:r>
              <w:rPr>
                <w:sz w:val="20"/>
                <w:szCs w:val="20"/>
              </w:rPr>
              <w:t>Chiari-syringomyelia</w:t>
            </w:r>
          </w:p>
        </w:tc>
        <w:tc>
          <w:tcPr>
            <w:tcW w:w="1350" w:type="dxa"/>
            <w:tcMar>
              <w:top w:w="100" w:type="dxa"/>
              <w:left w:w="100" w:type="dxa"/>
              <w:bottom w:w="100" w:type="dxa"/>
              <w:right w:w="100" w:type="dxa"/>
            </w:tcMar>
          </w:tcPr>
          <w:p w14:paraId="50404A54" w14:textId="77777777" w:rsidR="00932F87" w:rsidRDefault="00000000">
            <w:pPr>
              <w:spacing w:line="240" w:lineRule="auto"/>
              <w:rPr>
                <w:sz w:val="20"/>
                <w:szCs w:val="20"/>
              </w:rPr>
            </w:pPr>
            <w:r>
              <w:rPr>
                <w:sz w:val="20"/>
                <w:szCs w:val="20"/>
              </w:rPr>
              <w:t>-1.001</w:t>
            </w:r>
          </w:p>
        </w:tc>
        <w:tc>
          <w:tcPr>
            <w:tcW w:w="1035" w:type="dxa"/>
            <w:tcMar>
              <w:top w:w="100" w:type="dxa"/>
              <w:left w:w="100" w:type="dxa"/>
              <w:bottom w:w="100" w:type="dxa"/>
              <w:right w:w="100" w:type="dxa"/>
            </w:tcMar>
          </w:tcPr>
          <w:p w14:paraId="4D706649" w14:textId="77777777" w:rsidR="00932F87" w:rsidRDefault="00000000">
            <w:pPr>
              <w:spacing w:line="240" w:lineRule="auto"/>
              <w:rPr>
                <w:sz w:val="20"/>
                <w:szCs w:val="20"/>
              </w:rPr>
            </w:pPr>
            <w:r>
              <w:rPr>
                <w:sz w:val="20"/>
                <w:szCs w:val="20"/>
              </w:rPr>
              <w:t>1.729</w:t>
            </w:r>
          </w:p>
        </w:tc>
        <w:tc>
          <w:tcPr>
            <w:tcW w:w="960" w:type="dxa"/>
            <w:tcMar>
              <w:top w:w="100" w:type="dxa"/>
              <w:left w:w="100" w:type="dxa"/>
              <w:bottom w:w="100" w:type="dxa"/>
              <w:right w:w="100" w:type="dxa"/>
            </w:tcMar>
          </w:tcPr>
          <w:p w14:paraId="6C10DC54" w14:textId="77777777" w:rsidR="00932F87" w:rsidRDefault="00000000">
            <w:pPr>
              <w:spacing w:line="240" w:lineRule="auto"/>
              <w:rPr>
                <w:sz w:val="20"/>
                <w:szCs w:val="20"/>
              </w:rPr>
            </w:pPr>
            <w:r>
              <w:rPr>
                <w:sz w:val="20"/>
                <w:szCs w:val="20"/>
              </w:rPr>
              <w:t>-4.277</w:t>
            </w:r>
          </w:p>
        </w:tc>
        <w:tc>
          <w:tcPr>
            <w:tcW w:w="1125" w:type="dxa"/>
            <w:tcMar>
              <w:top w:w="100" w:type="dxa"/>
              <w:left w:w="100" w:type="dxa"/>
              <w:bottom w:w="100" w:type="dxa"/>
              <w:right w:w="100" w:type="dxa"/>
            </w:tcMar>
          </w:tcPr>
          <w:p w14:paraId="5DE16C3D" w14:textId="77777777" w:rsidR="00932F87" w:rsidRDefault="00000000">
            <w:pPr>
              <w:spacing w:line="240" w:lineRule="auto"/>
              <w:rPr>
                <w:sz w:val="20"/>
                <w:szCs w:val="20"/>
              </w:rPr>
            </w:pPr>
            <w:r>
              <w:rPr>
                <w:sz w:val="20"/>
                <w:szCs w:val="20"/>
              </w:rPr>
              <w:t>2.224</w:t>
            </w:r>
          </w:p>
        </w:tc>
      </w:tr>
      <w:tr w:rsidR="00932F87" w14:paraId="3DF47316" w14:textId="77777777">
        <w:trPr>
          <w:trHeight w:val="469"/>
        </w:trPr>
        <w:tc>
          <w:tcPr>
            <w:tcW w:w="1350" w:type="dxa"/>
            <w:vMerge/>
            <w:tcMar>
              <w:top w:w="100" w:type="dxa"/>
              <w:left w:w="100" w:type="dxa"/>
              <w:bottom w:w="100" w:type="dxa"/>
              <w:right w:w="100" w:type="dxa"/>
            </w:tcMar>
          </w:tcPr>
          <w:p w14:paraId="6E2CD003"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4834F641" w14:textId="77777777" w:rsidR="00932F87" w:rsidRDefault="00000000">
            <w:pPr>
              <w:spacing w:line="240" w:lineRule="auto"/>
              <w:rPr>
                <w:sz w:val="20"/>
                <w:szCs w:val="20"/>
              </w:rPr>
            </w:pPr>
            <w:r>
              <w:rPr>
                <w:sz w:val="20"/>
                <w:szCs w:val="20"/>
              </w:rPr>
              <w:t>IIH</w:t>
            </w:r>
          </w:p>
        </w:tc>
        <w:tc>
          <w:tcPr>
            <w:tcW w:w="1350" w:type="dxa"/>
            <w:tcMar>
              <w:top w:w="100" w:type="dxa"/>
              <w:left w:w="100" w:type="dxa"/>
              <w:bottom w:w="100" w:type="dxa"/>
              <w:right w:w="100" w:type="dxa"/>
            </w:tcMar>
          </w:tcPr>
          <w:p w14:paraId="32D7FC7F" w14:textId="77777777" w:rsidR="00932F87" w:rsidRDefault="00000000">
            <w:pPr>
              <w:spacing w:line="240" w:lineRule="auto"/>
              <w:rPr>
                <w:sz w:val="20"/>
                <w:szCs w:val="20"/>
              </w:rPr>
            </w:pPr>
            <w:r>
              <w:rPr>
                <w:sz w:val="20"/>
                <w:szCs w:val="20"/>
              </w:rPr>
              <w:t>2.486</w:t>
            </w:r>
          </w:p>
        </w:tc>
        <w:tc>
          <w:tcPr>
            <w:tcW w:w="1035" w:type="dxa"/>
            <w:tcMar>
              <w:top w:w="100" w:type="dxa"/>
              <w:left w:w="100" w:type="dxa"/>
              <w:bottom w:w="100" w:type="dxa"/>
              <w:right w:w="100" w:type="dxa"/>
            </w:tcMar>
          </w:tcPr>
          <w:p w14:paraId="22FE68A8" w14:textId="77777777" w:rsidR="00932F87" w:rsidRDefault="00000000">
            <w:pPr>
              <w:spacing w:line="240" w:lineRule="auto"/>
              <w:rPr>
                <w:sz w:val="20"/>
                <w:szCs w:val="20"/>
              </w:rPr>
            </w:pPr>
            <w:r>
              <w:rPr>
                <w:sz w:val="20"/>
                <w:szCs w:val="20"/>
              </w:rPr>
              <w:t>1.681</w:t>
            </w:r>
          </w:p>
        </w:tc>
        <w:tc>
          <w:tcPr>
            <w:tcW w:w="960" w:type="dxa"/>
            <w:tcMar>
              <w:top w:w="100" w:type="dxa"/>
              <w:left w:w="100" w:type="dxa"/>
              <w:bottom w:w="100" w:type="dxa"/>
              <w:right w:w="100" w:type="dxa"/>
            </w:tcMar>
          </w:tcPr>
          <w:p w14:paraId="1501CAAD" w14:textId="77777777" w:rsidR="00932F87" w:rsidRDefault="00000000">
            <w:pPr>
              <w:spacing w:line="240" w:lineRule="auto"/>
              <w:rPr>
                <w:sz w:val="20"/>
                <w:szCs w:val="20"/>
              </w:rPr>
            </w:pPr>
            <w:r>
              <w:rPr>
                <w:sz w:val="20"/>
                <w:szCs w:val="20"/>
              </w:rPr>
              <w:t>-0.750</w:t>
            </w:r>
          </w:p>
        </w:tc>
        <w:tc>
          <w:tcPr>
            <w:tcW w:w="1125" w:type="dxa"/>
            <w:tcMar>
              <w:top w:w="100" w:type="dxa"/>
              <w:left w:w="100" w:type="dxa"/>
              <w:bottom w:w="100" w:type="dxa"/>
              <w:right w:w="100" w:type="dxa"/>
            </w:tcMar>
          </w:tcPr>
          <w:p w14:paraId="00C919EE" w14:textId="77777777" w:rsidR="00932F87" w:rsidRDefault="00000000">
            <w:pPr>
              <w:spacing w:line="240" w:lineRule="auto"/>
              <w:rPr>
                <w:sz w:val="20"/>
                <w:szCs w:val="20"/>
              </w:rPr>
            </w:pPr>
            <w:r>
              <w:rPr>
                <w:sz w:val="20"/>
                <w:szCs w:val="20"/>
              </w:rPr>
              <w:t>5.557</w:t>
            </w:r>
          </w:p>
        </w:tc>
      </w:tr>
      <w:tr w:rsidR="00932F87" w14:paraId="21B301A1" w14:textId="77777777">
        <w:trPr>
          <w:trHeight w:val="469"/>
        </w:trPr>
        <w:tc>
          <w:tcPr>
            <w:tcW w:w="1350" w:type="dxa"/>
            <w:vMerge/>
            <w:tcMar>
              <w:top w:w="100" w:type="dxa"/>
              <w:left w:w="100" w:type="dxa"/>
              <w:bottom w:w="100" w:type="dxa"/>
              <w:right w:w="100" w:type="dxa"/>
            </w:tcMar>
          </w:tcPr>
          <w:p w14:paraId="65EFF29A"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413ADA8F" w14:textId="77777777" w:rsidR="00932F87" w:rsidRDefault="00000000">
            <w:pPr>
              <w:spacing w:line="240" w:lineRule="auto"/>
              <w:rPr>
                <w:sz w:val="20"/>
                <w:szCs w:val="20"/>
              </w:rPr>
            </w:pPr>
            <w:r>
              <w:rPr>
                <w:sz w:val="20"/>
                <w:szCs w:val="20"/>
              </w:rPr>
              <w:t>CSF Leak</w:t>
            </w:r>
          </w:p>
        </w:tc>
        <w:tc>
          <w:tcPr>
            <w:tcW w:w="1350" w:type="dxa"/>
            <w:tcMar>
              <w:top w:w="100" w:type="dxa"/>
              <w:left w:w="100" w:type="dxa"/>
              <w:bottom w:w="100" w:type="dxa"/>
              <w:right w:w="100" w:type="dxa"/>
            </w:tcMar>
          </w:tcPr>
          <w:p w14:paraId="09DF66E9" w14:textId="77777777" w:rsidR="00932F87" w:rsidRDefault="00000000">
            <w:pPr>
              <w:spacing w:line="240" w:lineRule="auto"/>
              <w:rPr>
                <w:sz w:val="20"/>
                <w:szCs w:val="20"/>
              </w:rPr>
            </w:pPr>
            <w:r>
              <w:rPr>
                <w:sz w:val="20"/>
                <w:szCs w:val="20"/>
              </w:rPr>
              <w:t>-2.905</w:t>
            </w:r>
          </w:p>
        </w:tc>
        <w:tc>
          <w:tcPr>
            <w:tcW w:w="1035" w:type="dxa"/>
            <w:tcMar>
              <w:top w:w="100" w:type="dxa"/>
              <w:left w:w="100" w:type="dxa"/>
              <w:bottom w:w="100" w:type="dxa"/>
              <w:right w:w="100" w:type="dxa"/>
            </w:tcMar>
          </w:tcPr>
          <w:p w14:paraId="5A7BACA5" w14:textId="77777777" w:rsidR="00932F87" w:rsidRDefault="00000000">
            <w:pPr>
              <w:spacing w:line="240" w:lineRule="auto"/>
              <w:rPr>
                <w:sz w:val="20"/>
                <w:szCs w:val="20"/>
              </w:rPr>
            </w:pPr>
            <w:r>
              <w:rPr>
                <w:sz w:val="20"/>
                <w:szCs w:val="20"/>
              </w:rPr>
              <w:t>2.524</w:t>
            </w:r>
          </w:p>
        </w:tc>
        <w:tc>
          <w:tcPr>
            <w:tcW w:w="960" w:type="dxa"/>
            <w:tcMar>
              <w:top w:w="100" w:type="dxa"/>
              <w:left w:w="100" w:type="dxa"/>
              <w:bottom w:w="100" w:type="dxa"/>
              <w:right w:w="100" w:type="dxa"/>
            </w:tcMar>
          </w:tcPr>
          <w:p w14:paraId="559B1207" w14:textId="77777777" w:rsidR="00932F87" w:rsidRDefault="00000000">
            <w:pPr>
              <w:spacing w:line="240" w:lineRule="auto"/>
              <w:rPr>
                <w:sz w:val="20"/>
                <w:szCs w:val="20"/>
              </w:rPr>
            </w:pPr>
            <w:r>
              <w:rPr>
                <w:sz w:val="20"/>
                <w:szCs w:val="20"/>
              </w:rPr>
              <w:t>-7.647</w:t>
            </w:r>
          </w:p>
        </w:tc>
        <w:tc>
          <w:tcPr>
            <w:tcW w:w="1125" w:type="dxa"/>
            <w:tcMar>
              <w:top w:w="100" w:type="dxa"/>
              <w:left w:w="100" w:type="dxa"/>
              <w:bottom w:w="100" w:type="dxa"/>
              <w:right w:w="100" w:type="dxa"/>
            </w:tcMar>
          </w:tcPr>
          <w:p w14:paraId="390F7973" w14:textId="77777777" w:rsidR="00932F87" w:rsidRDefault="00000000">
            <w:pPr>
              <w:spacing w:line="240" w:lineRule="auto"/>
              <w:rPr>
                <w:sz w:val="20"/>
                <w:szCs w:val="20"/>
              </w:rPr>
            </w:pPr>
            <w:r>
              <w:rPr>
                <w:sz w:val="20"/>
                <w:szCs w:val="20"/>
              </w:rPr>
              <w:t>1.855</w:t>
            </w:r>
          </w:p>
        </w:tc>
      </w:tr>
      <w:tr w:rsidR="00932F87" w14:paraId="522E96F6" w14:textId="77777777">
        <w:trPr>
          <w:trHeight w:val="469"/>
        </w:trPr>
        <w:tc>
          <w:tcPr>
            <w:tcW w:w="1350" w:type="dxa"/>
            <w:vMerge/>
            <w:tcMar>
              <w:top w:w="100" w:type="dxa"/>
              <w:left w:w="100" w:type="dxa"/>
              <w:bottom w:w="100" w:type="dxa"/>
              <w:right w:w="100" w:type="dxa"/>
            </w:tcMar>
          </w:tcPr>
          <w:p w14:paraId="6B523096"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4B1EE60C" w14:textId="77777777" w:rsidR="00932F87" w:rsidRDefault="00000000">
            <w:pPr>
              <w:spacing w:line="240" w:lineRule="auto"/>
              <w:rPr>
                <w:sz w:val="20"/>
                <w:szCs w:val="20"/>
              </w:rPr>
            </w:pPr>
            <w:r>
              <w:rPr>
                <w:sz w:val="20"/>
                <w:szCs w:val="20"/>
              </w:rPr>
              <w:t>LOVA</w:t>
            </w:r>
          </w:p>
        </w:tc>
        <w:tc>
          <w:tcPr>
            <w:tcW w:w="1350" w:type="dxa"/>
            <w:tcMar>
              <w:top w:w="100" w:type="dxa"/>
              <w:left w:w="100" w:type="dxa"/>
              <w:bottom w:w="100" w:type="dxa"/>
              <w:right w:w="100" w:type="dxa"/>
            </w:tcMar>
          </w:tcPr>
          <w:p w14:paraId="7B6C486D" w14:textId="77777777" w:rsidR="00932F87" w:rsidRDefault="00000000">
            <w:pPr>
              <w:spacing w:line="240" w:lineRule="auto"/>
              <w:rPr>
                <w:sz w:val="20"/>
                <w:szCs w:val="20"/>
              </w:rPr>
            </w:pPr>
            <w:r>
              <w:rPr>
                <w:sz w:val="20"/>
                <w:szCs w:val="20"/>
              </w:rPr>
              <w:t>1.821</w:t>
            </w:r>
          </w:p>
        </w:tc>
        <w:tc>
          <w:tcPr>
            <w:tcW w:w="1035" w:type="dxa"/>
            <w:tcMar>
              <w:top w:w="100" w:type="dxa"/>
              <w:left w:w="100" w:type="dxa"/>
              <w:bottom w:w="100" w:type="dxa"/>
              <w:right w:w="100" w:type="dxa"/>
            </w:tcMar>
          </w:tcPr>
          <w:p w14:paraId="04237749" w14:textId="77777777" w:rsidR="00932F87" w:rsidRDefault="00000000">
            <w:pPr>
              <w:spacing w:line="240" w:lineRule="auto"/>
              <w:rPr>
                <w:sz w:val="20"/>
                <w:szCs w:val="20"/>
              </w:rPr>
            </w:pPr>
            <w:r>
              <w:rPr>
                <w:sz w:val="20"/>
                <w:szCs w:val="20"/>
              </w:rPr>
              <w:t>2.451</w:t>
            </w:r>
          </w:p>
        </w:tc>
        <w:tc>
          <w:tcPr>
            <w:tcW w:w="960" w:type="dxa"/>
            <w:tcMar>
              <w:top w:w="100" w:type="dxa"/>
              <w:left w:w="100" w:type="dxa"/>
              <w:bottom w:w="100" w:type="dxa"/>
              <w:right w:w="100" w:type="dxa"/>
            </w:tcMar>
          </w:tcPr>
          <w:p w14:paraId="5FA3DE65" w14:textId="77777777" w:rsidR="00932F87" w:rsidRDefault="00000000">
            <w:pPr>
              <w:spacing w:line="240" w:lineRule="auto"/>
              <w:rPr>
                <w:sz w:val="20"/>
                <w:szCs w:val="20"/>
              </w:rPr>
            </w:pPr>
            <w:r>
              <w:rPr>
                <w:sz w:val="20"/>
                <w:szCs w:val="20"/>
              </w:rPr>
              <w:t>-2.647</w:t>
            </w:r>
          </w:p>
        </w:tc>
        <w:tc>
          <w:tcPr>
            <w:tcW w:w="1125" w:type="dxa"/>
            <w:tcMar>
              <w:top w:w="100" w:type="dxa"/>
              <w:left w:w="100" w:type="dxa"/>
              <w:bottom w:w="100" w:type="dxa"/>
              <w:right w:w="100" w:type="dxa"/>
            </w:tcMar>
          </w:tcPr>
          <w:p w14:paraId="2C97AF58" w14:textId="77777777" w:rsidR="00932F87" w:rsidRDefault="00000000">
            <w:pPr>
              <w:spacing w:line="240" w:lineRule="auto"/>
              <w:rPr>
                <w:sz w:val="20"/>
                <w:szCs w:val="20"/>
              </w:rPr>
            </w:pPr>
            <w:r>
              <w:rPr>
                <w:sz w:val="20"/>
                <w:szCs w:val="20"/>
              </w:rPr>
              <w:t>6.518</w:t>
            </w:r>
          </w:p>
        </w:tc>
      </w:tr>
      <w:tr w:rsidR="00932F87" w14:paraId="29E03B63" w14:textId="77777777">
        <w:trPr>
          <w:trHeight w:val="469"/>
        </w:trPr>
        <w:tc>
          <w:tcPr>
            <w:tcW w:w="1350" w:type="dxa"/>
            <w:vMerge/>
            <w:tcMar>
              <w:top w:w="100" w:type="dxa"/>
              <w:left w:w="100" w:type="dxa"/>
              <w:bottom w:w="100" w:type="dxa"/>
              <w:right w:w="100" w:type="dxa"/>
            </w:tcMar>
          </w:tcPr>
          <w:p w14:paraId="60624CF5"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362F3AEE" w14:textId="77777777" w:rsidR="00932F87" w:rsidRDefault="00000000">
            <w:pPr>
              <w:spacing w:line="240" w:lineRule="auto"/>
              <w:rPr>
                <w:sz w:val="20"/>
                <w:szCs w:val="20"/>
              </w:rPr>
            </w:pPr>
            <w:r>
              <w:rPr>
                <w:sz w:val="20"/>
                <w:szCs w:val="20"/>
              </w:rPr>
              <w:t>NPH</w:t>
            </w:r>
          </w:p>
        </w:tc>
        <w:tc>
          <w:tcPr>
            <w:tcW w:w="1350" w:type="dxa"/>
            <w:tcMar>
              <w:top w:w="100" w:type="dxa"/>
              <w:left w:w="100" w:type="dxa"/>
              <w:bottom w:w="100" w:type="dxa"/>
              <w:right w:w="100" w:type="dxa"/>
            </w:tcMar>
          </w:tcPr>
          <w:p w14:paraId="4CF493D4" w14:textId="77777777" w:rsidR="00932F87" w:rsidRDefault="00000000">
            <w:pPr>
              <w:spacing w:line="240" w:lineRule="auto"/>
              <w:rPr>
                <w:sz w:val="20"/>
                <w:szCs w:val="20"/>
              </w:rPr>
            </w:pPr>
            <w:r>
              <w:rPr>
                <w:sz w:val="20"/>
                <w:szCs w:val="20"/>
              </w:rPr>
              <w:t>-0.469</w:t>
            </w:r>
          </w:p>
        </w:tc>
        <w:tc>
          <w:tcPr>
            <w:tcW w:w="1035" w:type="dxa"/>
            <w:tcMar>
              <w:top w:w="100" w:type="dxa"/>
              <w:left w:w="100" w:type="dxa"/>
              <w:bottom w:w="100" w:type="dxa"/>
              <w:right w:w="100" w:type="dxa"/>
            </w:tcMar>
          </w:tcPr>
          <w:p w14:paraId="5DD7FDE9" w14:textId="77777777" w:rsidR="00932F87" w:rsidRDefault="00000000">
            <w:pPr>
              <w:spacing w:line="240" w:lineRule="auto"/>
              <w:rPr>
                <w:sz w:val="20"/>
                <w:szCs w:val="20"/>
              </w:rPr>
            </w:pPr>
            <w:r>
              <w:rPr>
                <w:sz w:val="20"/>
                <w:szCs w:val="20"/>
              </w:rPr>
              <w:t>2.204</w:t>
            </w:r>
          </w:p>
        </w:tc>
        <w:tc>
          <w:tcPr>
            <w:tcW w:w="960" w:type="dxa"/>
            <w:tcMar>
              <w:top w:w="100" w:type="dxa"/>
              <w:left w:w="100" w:type="dxa"/>
              <w:bottom w:w="100" w:type="dxa"/>
              <w:right w:w="100" w:type="dxa"/>
            </w:tcMar>
          </w:tcPr>
          <w:p w14:paraId="4234C1F0" w14:textId="77777777" w:rsidR="00932F87" w:rsidRDefault="00000000">
            <w:pPr>
              <w:spacing w:line="240" w:lineRule="auto"/>
              <w:rPr>
                <w:sz w:val="20"/>
                <w:szCs w:val="20"/>
              </w:rPr>
            </w:pPr>
            <w:r>
              <w:rPr>
                <w:sz w:val="20"/>
                <w:szCs w:val="20"/>
              </w:rPr>
              <w:t>-4.800</w:t>
            </w:r>
          </w:p>
        </w:tc>
        <w:tc>
          <w:tcPr>
            <w:tcW w:w="1125" w:type="dxa"/>
            <w:tcMar>
              <w:top w:w="100" w:type="dxa"/>
              <w:left w:w="100" w:type="dxa"/>
              <w:bottom w:w="100" w:type="dxa"/>
              <w:right w:w="100" w:type="dxa"/>
            </w:tcMar>
          </w:tcPr>
          <w:p w14:paraId="7D00FC69" w14:textId="77777777" w:rsidR="00932F87" w:rsidRDefault="00000000">
            <w:pPr>
              <w:spacing w:line="240" w:lineRule="auto"/>
              <w:rPr>
                <w:sz w:val="20"/>
                <w:szCs w:val="20"/>
              </w:rPr>
            </w:pPr>
            <w:r>
              <w:rPr>
                <w:sz w:val="20"/>
                <w:szCs w:val="20"/>
              </w:rPr>
              <w:t>3.531</w:t>
            </w:r>
          </w:p>
        </w:tc>
      </w:tr>
      <w:tr w:rsidR="00932F87" w14:paraId="2D078886" w14:textId="77777777">
        <w:trPr>
          <w:trHeight w:val="720"/>
        </w:trPr>
        <w:tc>
          <w:tcPr>
            <w:tcW w:w="1350" w:type="dxa"/>
            <w:vMerge/>
            <w:tcMar>
              <w:top w:w="100" w:type="dxa"/>
              <w:left w:w="100" w:type="dxa"/>
              <w:bottom w:w="100" w:type="dxa"/>
              <w:right w:w="100" w:type="dxa"/>
            </w:tcMar>
          </w:tcPr>
          <w:p w14:paraId="1A530688"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7E2E4068" w14:textId="77777777" w:rsidR="00932F87" w:rsidRDefault="00000000">
            <w:pPr>
              <w:spacing w:line="240" w:lineRule="auto"/>
              <w:rPr>
                <w:sz w:val="20"/>
                <w:szCs w:val="20"/>
              </w:rPr>
            </w:pPr>
            <w:r>
              <w:rPr>
                <w:sz w:val="20"/>
                <w:szCs w:val="20"/>
              </w:rPr>
              <w:t>Secondary following neurovascular injury</w:t>
            </w:r>
          </w:p>
        </w:tc>
        <w:tc>
          <w:tcPr>
            <w:tcW w:w="1350" w:type="dxa"/>
            <w:tcMar>
              <w:top w:w="100" w:type="dxa"/>
              <w:left w:w="100" w:type="dxa"/>
              <w:bottom w:w="100" w:type="dxa"/>
              <w:right w:w="100" w:type="dxa"/>
            </w:tcMar>
          </w:tcPr>
          <w:p w14:paraId="4F69CE0A" w14:textId="77777777" w:rsidR="00932F87" w:rsidRDefault="00000000">
            <w:pPr>
              <w:spacing w:line="240" w:lineRule="auto"/>
              <w:rPr>
                <w:sz w:val="20"/>
                <w:szCs w:val="20"/>
              </w:rPr>
            </w:pPr>
            <w:r>
              <w:rPr>
                <w:sz w:val="20"/>
                <w:szCs w:val="20"/>
              </w:rPr>
              <w:t>5.255</w:t>
            </w:r>
          </w:p>
        </w:tc>
        <w:tc>
          <w:tcPr>
            <w:tcW w:w="1035" w:type="dxa"/>
            <w:tcMar>
              <w:top w:w="100" w:type="dxa"/>
              <w:left w:w="100" w:type="dxa"/>
              <w:bottom w:w="100" w:type="dxa"/>
              <w:right w:w="100" w:type="dxa"/>
            </w:tcMar>
          </w:tcPr>
          <w:p w14:paraId="29124401" w14:textId="77777777" w:rsidR="00932F87" w:rsidRDefault="00000000">
            <w:pPr>
              <w:spacing w:line="240" w:lineRule="auto"/>
              <w:rPr>
                <w:sz w:val="20"/>
                <w:szCs w:val="20"/>
              </w:rPr>
            </w:pPr>
            <w:r>
              <w:rPr>
                <w:sz w:val="20"/>
                <w:szCs w:val="20"/>
              </w:rPr>
              <w:t>3.684</w:t>
            </w:r>
          </w:p>
        </w:tc>
        <w:tc>
          <w:tcPr>
            <w:tcW w:w="960" w:type="dxa"/>
            <w:tcMar>
              <w:top w:w="100" w:type="dxa"/>
              <w:left w:w="100" w:type="dxa"/>
              <w:bottom w:w="100" w:type="dxa"/>
              <w:right w:w="100" w:type="dxa"/>
            </w:tcMar>
          </w:tcPr>
          <w:p w14:paraId="3CC7A332" w14:textId="77777777" w:rsidR="00932F87" w:rsidRDefault="00000000">
            <w:pPr>
              <w:spacing w:line="240" w:lineRule="auto"/>
              <w:rPr>
                <w:sz w:val="20"/>
                <w:szCs w:val="20"/>
              </w:rPr>
            </w:pPr>
            <w:r>
              <w:rPr>
                <w:sz w:val="20"/>
                <w:szCs w:val="20"/>
              </w:rPr>
              <w:t>-1.730</w:t>
            </w:r>
          </w:p>
        </w:tc>
        <w:tc>
          <w:tcPr>
            <w:tcW w:w="1125" w:type="dxa"/>
            <w:tcMar>
              <w:top w:w="100" w:type="dxa"/>
              <w:left w:w="100" w:type="dxa"/>
              <w:bottom w:w="100" w:type="dxa"/>
              <w:right w:w="100" w:type="dxa"/>
            </w:tcMar>
          </w:tcPr>
          <w:p w14:paraId="51CC7DEB" w14:textId="77777777" w:rsidR="00932F87" w:rsidRDefault="00000000">
            <w:pPr>
              <w:spacing w:line="240" w:lineRule="auto"/>
              <w:rPr>
                <w:sz w:val="20"/>
                <w:szCs w:val="20"/>
              </w:rPr>
            </w:pPr>
            <w:r>
              <w:rPr>
                <w:sz w:val="20"/>
                <w:szCs w:val="20"/>
              </w:rPr>
              <w:t>12.108</w:t>
            </w:r>
          </w:p>
        </w:tc>
      </w:tr>
      <w:tr w:rsidR="00932F87" w14:paraId="1BF5E227" w14:textId="77777777">
        <w:trPr>
          <w:trHeight w:val="547"/>
        </w:trPr>
        <w:tc>
          <w:tcPr>
            <w:tcW w:w="1350" w:type="dxa"/>
            <w:vMerge/>
            <w:tcMar>
              <w:top w:w="100" w:type="dxa"/>
              <w:left w:w="100" w:type="dxa"/>
              <w:bottom w:w="100" w:type="dxa"/>
              <w:right w:w="100" w:type="dxa"/>
            </w:tcMar>
          </w:tcPr>
          <w:p w14:paraId="150D4297"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38C06064" w14:textId="77777777" w:rsidR="00932F87" w:rsidRDefault="00000000">
            <w:pPr>
              <w:spacing w:line="240" w:lineRule="auto"/>
              <w:rPr>
                <w:sz w:val="20"/>
                <w:szCs w:val="20"/>
              </w:rPr>
            </w:pPr>
            <w:r>
              <w:rPr>
                <w:sz w:val="20"/>
                <w:szCs w:val="20"/>
              </w:rPr>
              <w:t>Other</w:t>
            </w:r>
          </w:p>
        </w:tc>
        <w:tc>
          <w:tcPr>
            <w:tcW w:w="1350" w:type="dxa"/>
            <w:tcMar>
              <w:top w:w="100" w:type="dxa"/>
              <w:left w:w="100" w:type="dxa"/>
              <w:bottom w:w="100" w:type="dxa"/>
              <w:right w:w="100" w:type="dxa"/>
            </w:tcMar>
          </w:tcPr>
          <w:p w14:paraId="473EA562" w14:textId="77777777" w:rsidR="00932F87" w:rsidRDefault="00000000">
            <w:pPr>
              <w:spacing w:line="240" w:lineRule="auto"/>
              <w:rPr>
                <w:sz w:val="20"/>
                <w:szCs w:val="20"/>
              </w:rPr>
            </w:pPr>
            <w:r>
              <w:rPr>
                <w:sz w:val="20"/>
                <w:szCs w:val="20"/>
              </w:rPr>
              <w:t>-1.064</w:t>
            </w:r>
          </w:p>
        </w:tc>
        <w:tc>
          <w:tcPr>
            <w:tcW w:w="1035" w:type="dxa"/>
            <w:tcMar>
              <w:top w:w="100" w:type="dxa"/>
              <w:left w:w="100" w:type="dxa"/>
              <w:bottom w:w="100" w:type="dxa"/>
              <w:right w:w="100" w:type="dxa"/>
            </w:tcMar>
          </w:tcPr>
          <w:p w14:paraId="495B7E43" w14:textId="77777777" w:rsidR="00932F87" w:rsidRDefault="00000000">
            <w:pPr>
              <w:spacing w:line="240" w:lineRule="auto"/>
              <w:rPr>
                <w:sz w:val="20"/>
                <w:szCs w:val="20"/>
              </w:rPr>
            </w:pPr>
            <w:r>
              <w:rPr>
                <w:sz w:val="20"/>
                <w:szCs w:val="20"/>
              </w:rPr>
              <w:t>1.741</w:t>
            </w:r>
          </w:p>
        </w:tc>
        <w:tc>
          <w:tcPr>
            <w:tcW w:w="960" w:type="dxa"/>
            <w:tcMar>
              <w:top w:w="100" w:type="dxa"/>
              <w:left w:w="100" w:type="dxa"/>
              <w:bottom w:w="100" w:type="dxa"/>
              <w:right w:w="100" w:type="dxa"/>
            </w:tcMar>
          </w:tcPr>
          <w:p w14:paraId="5607AC20" w14:textId="77777777" w:rsidR="00932F87" w:rsidRDefault="00000000">
            <w:pPr>
              <w:spacing w:line="240" w:lineRule="auto"/>
              <w:rPr>
                <w:sz w:val="20"/>
                <w:szCs w:val="20"/>
              </w:rPr>
            </w:pPr>
            <w:r>
              <w:rPr>
                <w:sz w:val="20"/>
                <w:szCs w:val="20"/>
              </w:rPr>
              <w:t>-4.353</w:t>
            </w:r>
          </w:p>
        </w:tc>
        <w:tc>
          <w:tcPr>
            <w:tcW w:w="1125" w:type="dxa"/>
            <w:tcMar>
              <w:top w:w="100" w:type="dxa"/>
              <w:left w:w="100" w:type="dxa"/>
              <w:bottom w:w="100" w:type="dxa"/>
              <w:right w:w="100" w:type="dxa"/>
            </w:tcMar>
          </w:tcPr>
          <w:p w14:paraId="7F633504" w14:textId="77777777" w:rsidR="00932F87" w:rsidRDefault="00000000">
            <w:pPr>
              <w:spacing w:line="240" w:lineRule="auto"/>
              <w:rPr>
                <w:sz w:val="20"/>
                <w:szCs w:val="20"/>
              </w:rPr>
            </w:pPr>
            <w:r>
              <w:rPr>
                <w:sz w:val="20"/>
                <w:szCs w:val="20"/>
              </w:rPr>
              <w:t>2.195</w:t>
            </w:r>
          </w:p>
        </w:tc>
      </w:tr>
      <w:tr w:rsidR="00932F87" w14:paraId="0CC941A8" w14:textId="77777777">
        <w:trPr>
          <w:trHeight w:val="469"/>
        </w:trPr>
        <w:tc>
          <w:tcPr>
            <w:tcW w:w="1350" w:type="dxa"/>
            <w:vMerge/>
            <w:tcMar>
              <w:top w:w="100" w:type="dxa"/>
              <w:left w:w="100" w:type="dxa"/>
              <w:bottom w:w="100" w:type="dxa"/>
              <w:right w:w="100" w:type="dxa"/>
            </w:tcMar>
          </w:tcPr>
          <w:p w14:paraId="42F1A3D8"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4B277FB7" w14:textId="77777777" w:rsidR="00932F87" w:rsidRDefault="00000000">
            <w:pPr>
              <w:spacing w:line="240" w:lineRule="auto"/>
              <w:rPr>
                <w:sz w:val="20"/>
                <w:szCs w:val="20"/>
              </w:rPr>
            </w:pPr>
            <w:r>
              <w:rPr>
                <w:sz w:val="20"/>
                <w:szCs w:val="20"/>
              </w:rPr>
              <w:t>TBI</w:t>
            </w:r>
          </w:p>
        </w:tc>
        <w:tc>
          <w:tcPr>
            <w:tcW w:w="1350" w:type="dxa"/>
            <w:tcMar>
              <w:top w:w="100" w:type="dxa"/>
              <w:left w:w="100" w:type="dxa"/>
              <w:bottom w:w="100" w:type="dxa"/>
              <w:right w:w="100" w:type="dxa"/>
            </w:tcMar>
          </w:tcPr>
          <w:p w14:paraId="455B7F0C" w14:textId="77777777" w:rsidR="00932F87" w:rsidRDefault="00000000">
            <w:pPr>
              <w:spacing w:line="240" w:lineRule="auto"/>
              <w:rPr>
                <w:sz w:val="20"/>
                <w:szCs w:val="20"/>
              </w:rPr>
            </w:pPr>
            <w:r>
              <w:rPr>
                <w:sz w:val="20"/>
                <w:szCs w:val="20"/>
              </w:rPr>
              <w:t>-4.265</w:t>
            </w:r>
          </w:p>
        </w:tc>
        <w:tc>
          <w:tcPr>
            <w:tcW w:w="1035" w:type="dxa"/>
            <w:tcMar>
              <w:top w:w="100" w:type="dxa"/>
              <w:left w:w="100" w:type="dxa"/>
              <w:bottom w:w="100" w:type="dxa"/>
              <w:right w:w="100" w:type="dxa"/>
            </w:tcMar>
          </w:tcPr>
          <w:p w14:paraId="6225DAF4" w14:textId="77777777" w:rsidR="00932F87" w:rsidRDefault="00000000">
            <w:pPr>
              <w:spacing w:line="240" w:lineRule="auto"/>
              <w:rPr>
                <w:sz w:val="20"/>
                <w:szCs w:val="20"/>
              </w:rPr>
            </w:pPr>
            <w:r>
              <w:rPr>
                <w:sz w:val="20"/>
                <w:szCs w:val="20"/>
              </w:rPr>
              <w:t>3.637</w:t>
            </w:r>
          </w:p>
        </w:tc>
        <w:tc>
          <w:tcPr>
            <w:tcW w:w="960" w:type="dxa"/>
            <w:tcMar>
              <w:top w:w="100" w:type="dxa"/>
              <w:left w:w="100" w:type="dxa"/>
              <w:bottom w:w="100" w:type="dxa"/>
              <w:right w:w="100" w:type="dxa"/>
            </w:tcMar>
          </w:tcPr>
          <w:p w14:paraId="614DBC8C" w14:textId="77777777" w:rsidR="00932F87" w:rsidRDefault="00000000">
            <w:pPr>
              <w:spacing w:line="240" w:lineRule="auto"/>
              <w:rPr>
                <w:sz w:val="20"/>
                <w:szCs w:val="20"/>
              </w:rPr>
            </w:pPr>
            <w:r>
              <w:rPr>
                <w:sz w:val="20"/>
                <w:szCs w:val="20"/>
              </w:rPr>
              <w:t>-11.062</w:t>
            </w:r>
          </w:p>
        </w:tc>
        <w:tc>
          <w:tcPr>
            <w:tcW w:w="1125" w:type="dxa"/>
            <w:tcMar>
              <w:top w:w="100" w:type="dxa"/>
              <w:left w:w="100" w:type="dxa"/>
              <w:bottom w:w="100" w:type="dxa"/>
              <w:right w:w="100" w:type="dxa"/>
            </w:tcMar>
          </w:tcPr>
          <w:p w14:paraId="7E473500" w14:textId="77777777" w:rsidR="00932F87" w:rsidRDefault="00000000">
            <w:pPr>
              <w:spacing w:line="240" w:lineRule="auto"/>
              <w:rPr>
                <w:sz w:val="20"/>
                <w:szCs w:val="20"/>
              </w:rPr>
            </w:pPr>
            <w:r>
              <w:rPr>
                <w:sz w:val="20"/>
                <w:szCs w:val="20"/>
              </w:rPr>
              <w:t>2.451</w:t>
            </w:r>
          </w:p>
        </w:tc>
      </w:tr>
      <w:tr w:rsidR="00932F87" w14:paraId="2EBC2C94" w14:textId="77777777">
        <w:trPr>
          <w:trHeight w:val="469"/>
        </w:trPr>
        <w:tc>
          <w:tcPr>
            <w:tcW w:w="1350" w:type="dxa"/>
            <w:vMerge/>
            <w:tcMar>
              <w:top w:w="100" w:type="dxa"/>
              <w:left w:w="100" w:type="dxa"/>
              <w:bottom w:w="100" w:type="dxa"/>
              <w:right w:w="100" w:type="dxa"/>
            </w:tcMar>
          </w:tcPr>
          <w:p w14:paraId="1FE878DD"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34717DEB" w14:textId="77777777" w:rsidR="00932F87" w:rsidRDefault="00000000">
            <w:pPr>
              <w:spacing w:line="240" w:lineRule="auto"/>
              <w:rPr>
                <w:sz w:val="20"/>
                <w:szCs w:val="20"/>
              </w:rPr>
            </w:pPr>
            <w:r>
              <w:rPr>
                <w:sz w:val="20"/>
                <w:szCs w:val="20"/>
              </w:rPr>
              <w:t>Secondary following tumour</w:t>
            </w:r>
          </w:p>
        </w:tc>
        <w:tc>
          <w:tcPr>
            <w:tcW w:w="1350" w:type="dxa"/>
            <w:tcMar>
              <w:top w:w="100" w:type="dxa"/>
              <w:left w:w="100" w:type="dxa"/>
              <w:bottom w:w="100" w:type="dxa"/>
              <w:right w:w="100" w:type="dxa"/>
            </w:tcMar>
          </w:tcPr>
          <w:p w14:paraId="00F86CBA" w14:textId="77777777" w:rsidR="00932F87" w:rsidRDefault="00000000">
            <w:pPr>
              <w:spacing w:line="240" w:lineRule="auto"/>
              <w:rPr>
                <w:sz w:val="20"/>
                <w:szCs w:val="20"/>
              </w:rPr>
            </w:pPr>
            <w:r>
              <w:rPr>
                <w:sz w:val="20"/>
                <w:szCs w:val="20"/>
              </w:rPr>
              <w:t>0.182</w:t>
            </w:r>
          </w:p>
        </w:tc>
        <w:tc>
          <w:tcPr>
            <w:tcW w:w="1035" w:type="dxa"/>
            <w:tcMar>
              <w:top w:w="100" w:type="dxa"/>
              <w:left w:w="100" w:type="dxa"/>
              <w:bottom w:w="100" w:type="dxa"/>
              <w:right w:w="100" w:type="dxa"/>
            </w:tcMar>
          </w:tcPr>
          <w:p w14:paraId="556FD291" w14:textId="77777777" w:rsidR="00932F87" w:rsidRDefault="00000000">
            <w:pPr>
              <w:spacing w:line="240" w:lineRule="auto"/>
              <w:rPr>
                <w:sz w:val="20"/>
                <w:szCs w:val="20"/>
              </w:rPr>
            </w:pPr>
            <w:r>
              <w:rPr>
                <w:sz w:val="20"/>
                <w:szCs w:val="20"/>
              </w:rPr>
              <w:t>1.866</w:t>
            </w:r>
          </w:p>
        </w:tc>
        <w:tc>
          <w:tcPr>
            <w:tcW w:w="960" w:type="dxa"/>
            <w:tcMar>
              <w:top w:w="100" w:type="dxa"/>
              <w:left w:w="100" w:type="dxa"/>
              <w:bottom w:w="100" w:type="dxa"/>
              <w:right w:w="100" w:type="dxa"/>
            </w:tcMar>
          </w:tcPr>
          <w:p w14:paraId="3DEDEAF4" w14:textId="77777777" w:rsidR="00932F87" w:rsidRDefault="00000000">
            <w:pPr>
              <w:spacing w:line="240" w:lineRule="auto"/>
              <w:rPr>
                <w:sz w:val="20"/>
                <w:szCs w:val="20"/>
              </w:rPr>
            </w:pPr>
            <w:r>
              <w:rPr>
                <w:sz w:val="20"/>
                <w:szCs w:val="20"/>
              </w:rPr>
              <w:t>-3.220</w:t>
            </w:r>
          </w:p>
        </w:tc>
        <w:tc>
          <w:tcPr>
            <w:tcW w:w="1125" w:type="dxa"/>
            <w:tcMar>
              <w:top w:w="100" w:type="dxa"/>
              <w:left w:w="100" w:type="dxa"/>
              <w:bottom w:w="100" w:type="dxa"/>
              <w:right w:w="100" w:type="dxa"/>
            </w:tcMar>
          </w:tcPr>
          <w:p w14:paraId="6B5B759E" w14:textId="77777777" w:rsidR="00932F87" w:rsidRDefault="00000000">
            <w:pPr>
              <w:spacing w:line="240" w:lineRule="auto"/>
              <w:rPr>
                <w:sz w:val="20"/>
                <w:szCs w:val="20"/>
              </w:rPr>
            </w:pPr>
            <w:r>
              <w:rPr>
                <w:sz w:val="20"/>
                <w:szCs w:val="20"/>
              </w:rPr>
              <w:t>3.778</w:t>
            </w:r>
          </w:p>
        </w:tc>
      </w:tr>
      <w:tr w:rsidR="00932F87" w14:paraId="4E1A4944" w14:textId="77777777">
        <w:trPr>
          <w:trHeight w:val="469"/>
        </w:trPr>
        <w:tc>
          <w:tcPr>
            <w:tcW w:w="1350" w:type="dxa"/>
            <w:vMerge w:val="restart"/>
            <w:tcMar>
              <w:top w:w="100" w:type="dxa"/>
              <w:left w:w="100" w:type="dxa"/>
              <w:bottom w:w="100" w:type="dxa"/>
              <w:right w:w="100" w:type="dxa"/>
            </w:tcMar>
          </w:tcPr>
          <w:p w14:paraId="0406FF1D" w14:textId="77777777" w:rsidR="00932F87" w:rsidRDefault="00000000">
            <w:pPr>
              <w:spacing w:line="240" w:lineRule="auto"/>
              <w:rPr>
                <w:b/>
                <w:sz w:val="20"/>
                <w:szCs w:val="20"/>
              </w:rPr>
            </w:pPr>
            <w:r>
              <w:rPr>
                <w:b/>
                <w:sz w:val="20"/>
                <w:szCs w:val="20"/>
              </w:rPr>
              <w:t>Radiological</w:t>
            </w:r>
          </w:p>
        </w:tc>
        <w:tc>
          <w:tcPr>
            <w:tcW w:w="3240" w:type="dxa"/>
            <w:tcMar>
              <w:top w:w="100" w:type="dxa"/>
              <w:left w:w="100" w:type="dxa"/>
              <w:bottom w:w="100" w:type="dxa"/>
              <w:right w:w="100" w:type="dxa"/>
            </w:tcMar>
          </w:tcPr>
          <w:p w14:paraId="1B75AABE" w14:textId="77777777" w:rsidR="00932F87" w:rsidRDefault="00000000">
            <w:pPr>
              <w:spacing w:line="240" w:lineRule="auto"/>
              <w:rPr>
                <w:sz w:val="20"/>
                <w:szCs w:val="20"/>
              </w:rPr>
            </w:pPr>
            <w:r>
              <w:rPr>
                <w:sz w:val="20"/>
                <w:szCs w:val="20"/>
              </w:rPr>
              <w:t>Yuh</w:t>
            </w:r>
          </w:p>
        </w:tc>
        <w:tc>
          <w:tcPr>
            <w:tcW w:w="1350" w:type="dxa"/>
            <w:tcMar>
              <w:top w:w="100" w:type="dxa"/>
              <w:left w:w="100" w:type="dxa"/>
              <w:bottom w:w="100" w:type="dxa"/>
              <w:right w:w="100" w:type="dxa"/>
            </w:tcMar>
          </w:tcPr>
          <w:p w14:paraId="0C23FF23" w14:textId="77777777" w:rsidR="00932F87" w:rsidRDefault="00000000">
            <w:pPr>
              <w:spacing w:line="240" w:lineRule="auto"/>
              <w:rPr>
                <w:sz w:val="20"/>
                <w:szCs w:val="20"/>
              </w:rPr>
            </w:pPr>
            <w:r>
              <w:rPr>
                <w:sz w:val="20"/>
                <w:szCs w:val="20"/>
              </w:rPr>
              <w:t>1.756</w:t>
            </w:r>
          </w:p>
        </w:tc>
        <w:tc>
          <w:tcPr>
            <w:tcW w:w="1035" w:type="dxa"/>
            <w:tcMar>
              <w:top w:w="100" w:type="dxa"/>
              <w:left w:w="100" w:type="dxa"/>
              <w:bottom w:w="100" w:type="dxa"/>
              <w:right w:w="100" w:type="dxa"/>
            </w:tcMar>
          </w:tcPr>
          <w:p w14:paraId="5BFF9976" w14:textId="77777777" w:rsidR="00932F87" w:rsidRDefault="00000000">
            <w:pPr>
              <w:spacing w:line="240" w:lineRule="auto"/>
              <w:rPr>
                <w:sz w:val="20"/>
                <w:szCs w:val="20"/>
              </w:rPr>
            </w:pPr>
            <w:r>
              <w:rPr>
                <w:sz w:val="20"/>
                <w:szCs w:val="20"/>
              </w:rPr>
              <w:t>0.289</w:t>
            </w:r>
          </w:p>
        </w:tc>
        <w:tc>
          <w:tcPr>
            <w:tcW w:w="960" w:type="dxa"/>
            <w:tcMar>
              <w:top w:w="100" w:type="dxa"/>
              <w:left w:w="100" w:type="dxa"/>
              <w:bottom w:w="100" w:type="dxa"/>
              <w:right w:w="100" w:type="dxa"/>
            </w:tcMar>
          </w:tcPr>
          <w:p w14:paraId="77AF2319" w14:textId="77777777" w:rsidR="00932F87" w:rsidRDefault="00000000">
            <w:pPr>
              <w:spacing w:line="240" w:lineRule="auto"/>
              <w:rPr>
                <w:sz w:val="20"/>
                <w:szCs w:val="20"/>
              </w:rPr>
            </w:pPr>
            <w:r>
              <w:rPr>
                <w:sz w:val="20"/>
                <w:szCs w:val="20"/>
              </w:rPr>
              <w:t>1.191</w:t>
            </w:r>
          </w:p>
        </w:tc>
        <w:tc>
          <w:tcPr>
            <w:tcW w:w="1125" w:type="dxa"/>
            <w:tcMar>
              <w:top w:w="100" w:type="dxa"/>
              <w:left w:w="100" w:type="dxa"/>
              <w:bottom w:w="100" w:type="dxa"/>
              <w:right w:w="100" w:type="dxa"/>
            </w:tcMar>
          </w:tcPr>
          <w:p w14:paraId="14E2711E" w14:textId="77777777" w:rsidR="00932F87" w:rsidRDefault="00000000">
            <w:pPr>
              <w:spacing w:line="240" w:lineRule="auto"/>
              <w:rPr>
                <w:sz w:val="20"/>
                <w:szCs w:val="20"/>
              </w:rPr>
            </w:pPr>
            <w:r>
              <w:rPr>
                <w:sz w:val="20"/>
                <w:szCs w:val="20"/>
              </w:rPr>
              <w:t>2.283</w:t>
            </w:r>
          </w:p>
        </w:tc>
      </w:tr>
      <w:tr w:rsidR="00932F87" w14:paraId="1FC0E9E0" w14:textId="77777777">
        <w:trPr>
          <w:trHeight w:val="469"/>
        </w:trPr>
        <w:tc>
          <w:tcPr>
            <w:tcW w:w="1350" w:type="dxa"/>
            <w:vMerge/>
            <w:tcMar>
              <w:top w:w="100" w:type="dxa"/>
              <w:left w:w="100" w:type="dxa"/>
              <w:bottom w:w="100" w:type="dxa"/>
              <w:right w:w="100" w:type="dxa"/>
            </w:tcMar>
          </w:tcPr>
          <w:p w14:paraId="61798679"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0E28C8D2" w14:textId="77777777" w:rsidR="00932F87" w:rsidRDefault="00000000">
            <w:pPr>
              <w:spacing w:line="240" w:lineRule="auto"/>
              <w:rPr>
                <w:sz w:val="20"/>
                <w:szCs w:val="20"/>
              </w:rPr>
            </w:pPr>
            <w:r>
              <w:rPr>
                <w:sz w:val="20"/>
                <w:szCs w:val="20"/>
              </w:rPr>
              <w:t>ODP</w:t>
            </w:r>
          </w:p>
        </w:tc>
        <w:tc>
          <w:tcPr>
            <w:tcW w:w="1350" w:type="dxa"/>
            <w:tcMar>
              <w:top w:w="100" w:type="dxa"/>
              <w:left w:w="100" w:type="dxa"/>
              <w:bottom w:w="100" w:type="dxa"/>
              <w:right w:w="100" w:type="dxa"/>
            </w:tcMar>
          </w:tcPr>
          <w:p w14:paraId="4DACD33D" w14:textId="77777777" w:rsidR="00932F87" w:rsidRDefault="00000000">
            <w:pPr>
              <w:spacing w:line="240" w:lineRule="auto"/>
              <w:rPr>
                <w:sz w:val="20"/>
                <w:szCs w:val="20"/>
              </w:rPr>
            </w:pPr>
            <w:r>
              <w:rPr>
                <w:sz w:val="20"/>
                <w:szCs w:val="20"/>
              </w:rPr>
              <w:t>3.612</w:t>
            </w:r>
          </w:p>
        </w:tc>
        <w:tc>
          <w:tcPr>
            <w:tcW w:w="1035" w:type="dxa"/>
            <w:tcMar>
              <w:top w:w="100" w:type="dxa"/>
              <w:left w:w="100" w:type="dxa"/>
              <w:bottom w:w="100" w:type="dxa"/>
              <w:right w:w="100" w:type="dxa"/>
            </w:tcMar>
          </w:tcPr>
          <w:p w14:paraId="7A30B8C7" w14:textId="77777777" w:rsidR="00932F87" w:rsidRDefault="00000000">
            <w:pPr>
              <w:spacing w:line="240" w:lineRule="auto"/>
              <w:rPr>
                <w:sz w:val="20"/>
                <w:szCs w:val="20"/>
              </w:rPr>
            </w:pPr>
            <w:r>
              <w:rPr>
                <w:sz w:val="20"/>
                <w:szCs w:val="20"/>
              </w:rPr>
              <w:t>1.220</w:t>
            </w:r>
          </w:p>
        </w:tc>
        <w:tc>
          <w:tcPr>
            <w:tcW w:w="960" w:type="dxa"/>
            <w:tcMar>
              <w:top w:w="100" w:type="dxa"/>
              <w:left w:w="100" w:type="dxa"/>
              <w:bottom w:w="100" w:type="dxa"/>
              <w:right w:w="100" w:type="dxa"/>
            </w:tcMar>
          </w:tcPr>
          <w:p w14:paraId="3A2DA088" w14:textId="77777777" w:rsidR="00932F87" w:rsidRDefault="00000000">
            <w:pPr>
              <w:spacing w:line="240" w:lineRule="auto"/>
              <w:rPr>
                <w:sz w:val="20"/>
                <w:szCs w:val="20"/>
              </w:rPr>
            </w:pPr>
            <w:r>
              <w:rPr>
                <w:sz w:val="20"/>
                <w:szCs w:val="20"/>
              </w:rPr>
              <w:t>1.328</w:t>
            </w:r>
          </w:p>
        </w:tc>
        <w:tc>
          <w:tcPr>
            <w:tcW w:w="1125" w:type="dxa"/>
            <w:tcMar>
              <w:top w:w="100" w:type="dxa"/>
              <w:left w:w="100" w:type="dxa"/>
              <w:bottom w:w="100" w:type="dxa"/>
              <w:right w:w="100" w:type="dxa"/>
            </w:tcMar>
          </w:tcPr>
          <w:p w14:paraId="03744D2A" w14:textId="77777777" w:rsidR="00932F87" w:rsidRDefault="00000000">
            <w:pPr>
              <w:spacing w:line="240" w:lineRule="auto"/>
              <w:rPr>
                <w:sz w:val="20"/>
                <w:szCs w:val="20"/>
              </w:rPr>
            </w:pPr>
            <w:r>
              <w:rPr>
                <w:sz w:val="20"/>
                <w:szCs w:val="20"/>
              </w:rPr>
              <w:t>5.891</w:t>
            </w:r>
          </w:p>
        </w:tc>
      </w:tr>
      <w:tr w:rsidR="00932F87" w14:paraId="3CE38D0E" w14:textId="77777777">
        <w:trPr>
          <w:trHeight w:val="469"/>
        </w:trPr>
        <w:tc>
          <w:tcPr>
            <w:tcW w:w="1350" w:type="dxa"/>
            <w:vMerge/>
            <w:tcMar>
              <w:top w:w="100" w:type="dxa"/>
              <w:left w:w="100" w:type="dxa"/>
              <w:bottom w:w="100" w:type="dxa"/>
              <w:right w:w="100" w:type="dxa"/>
            </w:tcMar>
          </w:tcPr>
          <w:p w14:paraId="46D8F0E5"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0B9E55B7" w14:textId="77777777" w:rsidR="00932F87" w:rsidRDefault="00000000">
            <w:pPr>
              <w:spacing w:line="240" w:lineRule="auto"/>
              <w:rPr>
                <w:sz w:val="20"/>
                <w:szCs w:val="20"/>
              </w:rPr>
            </w:pPr>
            <w:r>
              <w:rPr>
                <w:sz w:val="20"/>
                <w:szCs w:val="20"/>
              </w:rPr>
              <w:t>VT</w:t>
            </w:r>
          </w:p>
        </w:tc>
        <w:tc>
          <w:tcPr>
            <w:tcW w:w="1350" w:type="dxa"/>
            <w:tcMar>
              <w:top w:w="100" w:type="dxa"/>
              <w:left w:w="100" w:type="dxa"/>
              <w:bottom w:w="100" w:type="dxa"/>
              <w:right w:w="100" w:type="dxa"/>
            </w:tcMar>
          </w:tcPr>
          <w:p w14:paraId="544AFCC2" w14:textId="77777777" w:rsidR="00932F87" w:rsidRDefault="00000000">
            <w:pPr>
              <w:spacing w:line="240" w:lineRule="auto"/>
              <w:rPr>
                <w:sz w:val="20"/>
                <w:szCs w:val="20"/>
              </w:rPr>
            </w:pPr>
            <w:r>
              <w:rPr>
                <w:sz w:val="20"/>
                <w:szCs w:val="20"/>
              </w:rPr>
              <w:t>1.954</w:t>
            </w:r>
          </w:p>
        </w:tc>
        <w:tc>
          <w:tcPr>
            <w:tcW w:w="1035" w:type="dxa"/>
            <w:tcMar>
              <w:top w:w="100" w:type="dxa"/>
              <w:left w:w="100" w:type="dxa"/>
              <w:bottom w:w="100" w:type="dxa"/>
              <w:right w:w="100" w:type="dxa"/>
            </w:tcMar>
          </w:tcPr>
          <w:p w14:paraId="5BCF8FEB" w14:textId="77777777" w:rsidR="00932F87" w:rsidRDefault="00000000">
            <w:pPr>
              <w:spacing w:line="240" w:lineRule="auto"/>
              <w:rPr>
                <w:sz w:val="20"/>
                <w:szCs w:val="20"/>
              </w:rPr>
            </w:pPr>
            <w:r>
              <w:rPr>
                <w:sz w:val="20"/>
                <w:szCs w:val="20"/>
              </w:rPr>
              <w:t>0.490</w:t>
            </w:r>
          </w:p>
        </w:tc>
        <w:tc>
          <w:tcPr>
            <w:tcW w:w="960" w:type="dxa"/>
            <w:tcMar>
              <w:top w:w="100" w:type="dxa"/>
              <w:left w:w="100" w:type="dxa"/>
              <w:bottom w:w="100" w:type="dxa"/>
              <w:right w:w="100" w:type="dxa"/>
            </w:tcMar>
          </w:tcPr>
          <w:p w14:paraId="44D1045C" w14:textId="77777777" w:rsidR="00932F87" w:rsidRDefault="00000000">
            <w:pPr>
              <w:spacing w:line="240" w:lineRule="auto"/>
              <w:rPr>
                <w:sz w:val="20"/>
                <w:szCs w:val="20"/>
              </w:rPr>
            </w:pPr>
            <w:r>
              <w:rPr>
                <w:sz w:val="20"/>
                <w:szCs w:val="20"/>
              </w:rPr>
              <w:t>1.051</w:t>
            </w:r>
          </w:p>
        </w:tc>
        <w:tc>
          <w:tcPr>
            <w:tcW w:w="1125" w:type="dxa"/>
            <w:tcMar>
              <w:top w:w="100" w:type="dxa"/>
              <w:left w:w="100" w:type="dxa"/>
              <w:bottom w:w="100" w:type="dxa"/>
              <w:right w:w="100" w:type="dxa"/>
            </w:tcMar>
          </w:tcPr>
          <w:p w14:paraId="21A11D08" w14:textId="77777777" w:rsidR="00932F87" w:rsidRDefault="00000000">
            <w:pPr>
              <w:spacing w:line="240" w:lineRule="auto"/>
              <w:rPr>
                <w:sz w:val="20"/>
                <w:szCs w:val="20"/>
              </w:rPr>
            </w:pPr>
            <w:r>
              <w:rPr>
                <w:sz w:val="20"/>
                <w:szCs w:val="20"/>
              </w:rPr>
              <w:t>2.879</w:t>
            </w:r>
          </w:p>
        </w:tc>
      </w:tr>
      <w:tr w:rsidR="00932F87" w14:paraId="789C5810" w14:textId="77777777">
        <w:trPr>
          <w:trHeight w:val="469"/>
        </w:trPr>
        <w:tc>
          <w:tcPr>
            <w:tcW w:w="1350" w:type="dxa"/>
            <w:vMerge/>
            <w:tcMar>
              <w:top w:w="100" w:type="dxa"/>
              <w:left w:w="100" w:type="dxa"/>
              <w:bottom w:w="100" w:type="dxa"/>
              <w:right w:w="100" w:type="dxa"/>
            </w:tcMar>
          </w:tcPr>
          <w:p w14:paraId="00A72111" w14:textId="77777777" w:rsidR="00932F87" w:rsidRDefault="00932F87">
            <w:pPr>
              <w:keepLines/>
              <w:spacing w:line="240" w:lineRule="auto"/>
              <w:rPr>
                <w:b/>
                <w:sz w:val="20"/>
                <w:szCs w:val="20"/>
              </w:rPr>
            </w:pPr>
          </w:p>
        </w:tc>
        <w:tc>
          <w:tcPr>
            <w:tcW w:w="3240" w:type="dxa"/>
            <w:tcMar>
              <w:top w:w="100" w:type="dxa"/>
              <w:left w:w="100" w:type="dxa"/>
              <w:bottom w:w="100" w:type="dxa"/>
              <w:right w:w="100" w:type="dxa"/>
            </w:tcMar>
          </w:tcPr>
          <w:p w14:paraId="26AC2786" w14:textId="77777777" w:rsidR="00932F87" w:rsidRDefault="00000000">
            <w:pPr>
              <w:spacing w:line="240" w:lineRule="auto"/>
              <w:rPr>
                <w:sz w:val="20"/>
                <w:szCs w:val="20"/>
              </w:rPr>
            </w:pPr>
            <w:r>
              <w:rPr>
                <w:sz w:val="20"/>
                <w:szCs w:val="20"/>
              </w:rPr>
              <w:t>GF</w:t>
            </w:r>
          </w:p>
        </w:tc>
        <w:tc>
          <w:tcPr>
            <w:tcW w:w="1350" w:type="dxa"/>
            <w:tcMar>
              <w:top w:w="100" w:type="dxa"/>
              <w:left w:w="100" w:type="dxa"/>
              <w:bottom w:w="100" w:type="dxa"/>
              <w:right w:w="100" w:type="dxa"/>
            </w:tcMar>
          </w:tcPr>
          <w:p w14:paraId="357508D0" w14:textId="77777777" w:rsidR="00932F87" w:rsidRDefault="00000000">
            <w:pPr>
              <w:spacing w:line="240" w:lineRule="auto"/>
              <w:rPr>
                <w:sz w:val="20"/>
                <w:szCs w:val="20"/>
              </w:rPr>
            </w:pPr>
            <w:r>
              <w:rPr>
                <w:sz w:val="20"/>
                <w:szCs w:val="20"/>
              </w:rPr>
              <w:t>0.699</w:t>
            </w:r>
          </w:p>
        </w:tc>
        <w:tc>
          <w:tcPr>
            <w:tcW w:w="1035" w:type="dxa"/>
            <w:tcMar>
              <w:top w:w="100" w:type="dxa"/>
              <w:left w:w="100" w:type="dxa"/>
              <w:bottom w:w="100" w:type="dxa"/>
              <w:right w:w="100" w:type="dxa"/>
            </w:tcMar>
          </w:tcPr>
          <w:p w14:paraId="65DFDD54" w14:textId="77777777" w:rsidR="00932F87" w:rsidRDefault="00000000">
            <w:pPr>
              <w:spacing w:line="240" w:lineRule="auto"/>
              <w:rPr>
                <w:sz w:val="20"/>
                <w:szCs w:val="20"/>
              </w:rPr>
            </w:pPr>
            <w:r>
              <w:rPr>
                <w:sz w:val="20"/>
                <w:szCs w:val="20"/>
              </w:rPr>
              <w:t>0.836</w:t>
            </w:r>
          </w:p>
        </w:tc>
        <w:tc>
          <w:tcPr>
            <w:tcW w:w="960" w:type="dxa"/>
            <w:tcMar>
              <w:top w:w="100" w:type="dxa"/>
              <w:left w:w="100" w:type="dxa"/>
              <w:bottom w:w="100" w:type="dxa"/>
              <w:right w:w="100" w:type="dxa"/>
            </w:tcMar>
          </w:tcPr>
          <w:p w14:paraId="583AC5DE" w14:textId="77777777" w:rsidR="00932F87" w:rsidRDefault="00000000">
            <w:pPr>
              <w:spacing w:line="240" w:lineRule="auto"/>
              <w:rPr>
                <w:sz w:val="20"/>
                <w:szCs w:val="20"/>
              </w:rPr>
            </w:pPr>
            <w:r>
              <w:rPr>
                <w:sz w:val="20"/>
                <w:szCs w:val="20"/>
              </w:rPr>
              <w:t>-0.832</w:t>
            </w:r>
          </w:p>
        </w:tc>
        <w:tc>
          <w:tcPr>
            <w:tcW w:w="1125" w:type="dxa"/>
            <w:tcMar>
              <w:top w:w="100" w:type="dxa"/>
              <w:left w:w="100" w:type="dxa"/>
              <w:bottom w:w="100" w:type="dxa"/>
              <w:right w:w="100" w:type="dxa"/>
            </w:tcMar>
          </w:tcPr>
          <w:p w14:paraId="61C5B422" w14:textId="77777777" w:rsidR="00932F87" w:rsidRDefault="00000000">
            <w:pPr>
              <w:spacing w:line="240" w:lineRule="auto"/>
              <w:rPr>
                <w:sz w:val="20"/>
                <w:szCs w:val="20"/>
              </w:rPr>
            </w:pPr>
            <w:r>
              <w:rPr>
                <w:sz w:val="20"/>
                <w:szCs w:val="20"/>
              </w:rPr>
              <w:t>2.320</w:t>
            </w:r>
          </w:p>
        </w:tc>
      </w:tr>
      <w:tr w:rsidR="00932F87" w14:paraId="7100550C" w14:textId="77777777">
        <w:trPr>
          <w:trHeight w:val="1815"/>
        </w:trPr>
        <w:tc>
          <w:tcPr>
            <w:tcW w:w="9060" w:type="dxa"/>
            <w:gridSpan w:val="6"/>
            <w:tcMar>
              <w:top w:w="100" w:type="dxa"/>
              <w:left w:w="100" w:type="dxa"/>
              <w:bottom w:w="100" w:type="dxa"/>
              <w:right w:w="100" w:type="dxa"/>
            </w:tcMar>
          </w:tcPr>
          <w:p w14:paraId="20EB443E" w14:textId="77777777" w:rsidR="00932F87" w:rsidRDefault="00000000">
            <w:pPr>
              <w:spacing w:line="240" w:lineRule="auto"/>
              <w:rPr>
                <w:sz w:val="20"/>
                <w:szCs w:val="20"/>
              </w:rPr>
            </w:pPr>
            <w:r>
              <w:rPr>
                <w:sz w:val="20"/>
                <w:szCs w:val="20"/>
              </w:rPr>
              <w:t>Regression parameters:</w:t>
            </w:r>
          </w:p>
          <w:p w14:paraId="7CA5BDAF" w14:textId="77777777" w:rsidR="00932F87" w:rsidRDefault="00000000">
            <w:pPr>
              <w:spacing w:line="240" w:lineRule="auto"/>
              <w:rPr>
                <w:sz w:val="20"/>
                <w:szCs w:val="20"/>
              </w:rPr>
            </w:pPr>
            <w:r>
              <w:rPr>
                <w:sz w:val="20"/>
                <w:szCs w:val="20"/>
              </w:rPr>
              <w:t>Median ICP sigma (SD) = 5.58 mmHg (0.23)</w:t>
            </w:r>
          </w:p>
          <w:p w14:paraId="7D6AE77E" w14:textId="77777777" w:rsidR="00932F87" w:rsidRDefault="00000000">
            <w:pPr>
              <w:spacing w:line="240" w:lineRule="auto"/>
              <w:rPr>
                <w:sz w:val="20"/>
                <w:szCs w:val="20"/>
              </w:rPr>
            </w:pPr>
            <w:r>
              <w:rPr>
                <w:sz w:val="20"/>
                <w:szCs w:val="20"/>
              </w:rPr>
              <w:t>Family = Gaussian</w:t>
            </w:r>
          </w:p>
          <w:p w14:paraId="093FD5F9" w14:textId="77777777" w:rsidR="00932F87" w:rsidRDefault="00000000">
            <w:pPr>
              <w:spacing w:line="240" w:lineRule="auto"/>
              <w:rPr>
                <w:sz w:val="20"/>
                <w:szCs w:val="20"/>
              </w:rPr>
            </w:pPr>
            <w:r>
              <w:rPr>
                <w:sz w:val="20"/>
                <w:szCs w:val="20"/>
              </w:rPr>
              <w:t>Weakly informative priors scaled and normally distributed with mu = 0, and scaled standard deviations based on patient sample</w:t>
            </w:r>
          </w:p>
        </w:tc>
      </w:tr>
    </w:tbl>
    <w:p w14:paraId="34CB91EA" w14:textId="75997773" w:rsidR="00932F87" w:rsidRDefault="00932F87">
      <w:pPr>
        <w:keepLines/>
        <w:spacing w:before="200" w:line="240" w:lineRule="auto"/>
      </w:pPr>
    </w:p>
    <w:p w14:paraId="00A98EDC" w14:textId="35FC3DEF" w:rsidR="00932F87" w:rsidRPr="004957EF" w:rsidRDefault="004957EF">
      <w:pPr>
        <w:spacing w:before="200"/>
        <w:jc w:val="both"/>
        <w:rPr>
          <w:b/>
          <w:bCs/>
        </w:rPr>
      </w:pPr>
      <w:r w:rsidRPr="004957EF">
        <w:rPr>
          <w:b/>
          <w:bCs/>
        </w:rPr>
        <w:t>Calibration and validity</w:t>
      </w:r>
    </w:p>
    <w:p w14:paraId="48101B7C" w14:textId="6D4599BB" w:rsidR="004957EF" w:rsidRDefault="004957EF" w:rsidP="004957EF">
      <w:pPr>
        <w:spacing w:before="200"/>
        <w:ind w:firstLine="720"/>
        <w:jc w:val="both"/>
      </w:pPr>
      <w:r>
        <w:t xml:space="preserve">Supplementary Figure 2A demonstrates the distribution of the median ICP data across the cohort whereas Supplementary Figure 2B shows the calibration of the Bayesian multiple linear regression model between actual and predicted median ICP values. </w:t>
      </w:r>
    </w:p>
    <w:p w14:paraId="523688AC" w14:textId="7DC64B0B" w:rsidR="004957EF" w:rsidRDefault="004957EF">
      <w:pPr>
        <w:spacing w:before="200"/>
        <w:jc w:val="both"/>
      </w:pPr>
      <w:r>
        <w:rPr>
          <w:noProof/>
        </w:rPr>
        <w:lastRenderedPageBreak/>
        <w:drawing>
          <wp:inline distT="0" distB="0" distL="0" distR="0" wp14:anchorId="3B39CF05" wp14:editId="4632F7CD">
            <wp:extent cx="6645910" cy="2459355"/>
            <wp:effectExtent l="0" t="0" r="0" b="4445"/>
            <wp:docPr id="1066027005" name="Picture 1" descr="A graph and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027005" name="Picture 1" descr="A graph and diagram of a graph&#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45910" cy="2459355"/>
                    </a:xfrm>
                    <a:prstGeom prst="rect">
                      <a:avLst/>
                    </a:prstGeom>
                  </pic:spPr>
                </pic:pic>
              </a:graphicData>
            </a:graphic>
          </wp:inline>
        </w:drawing>
      </w:r>
    </w:p>
    <w:p w14:paraId="6B784EE9" w14:textId="77777777" w:rsidR="004957EF" w:rsidRDefault="004957EF">
      <w:pPr>
        <w:spacing w:before="200"/>
        <w:jc w:val="both"/>
      </w:pPr>
    </w:p>
    <w:p w14:paraId="748DD079" w14:textId="0679E45B" w:rsidR="004957EF" w:rsidRDefault="004957EF" w:rsidP="004957EF">
      <w:pPr>
        <w:spacing w:before="200"/>
        <w:ind w:firstLine="720"/>
        <w:jc w:val="both"/>
        <w:rPr>
          <w:sz w:val="20"/>
          <w:szCs w:val="20"/>
        </w:rPr>
      </w:pPr>
      <w:r>
        <w:rPr>
          <w:b/>
          <w:sz w:val="20"/>
          <w:szCs w:val="20"/>
        </w:rPr>
        <w:t xml:space="preserve">Supplementary </w:t>
      </w:r>
      <w:r>
        <w:rPr>
          <w:b/>
          <w:sz w:val="20"/>
          <w:szCs w:val="20"/>
        </w:rPr>
        <w:t>Figure 2</w:t>
      </w:r>
      <w:r>
        <w:rPr>
          <w:b/>
          <w:sz w:val="20"/>
          <w:szCs w:val="20"/>
        </w:rPr>
        <w:t>.</w:t>
      </w:r>
      <w:r>
        <w:rPr>
          <w:sz w:val="20"/>
          <w:szCs w:val="20"/>
        </w:rPr>
        <w:t xml:space="preserve"> </w:t>
      </w:r>
      <w:r>
        <w:rPr>
          <w:sz w:val="20"/>
          <w:szCs w:val="20"/>
        </w:rPr>
        <w:t xml:space="preserve">(A) Median ICP histogram of dataset; (B) predicted vs actual ICP calibration plot using Bayesian multiple linear regression </w:t>
      </w:r>
    </w:p>
    <w:p w14:paraId="7A7CB7AF" w14:textId="77777777" w:rsidR="004957EF" w:rsidRDefault="004957EF">
      <w:pPr>
        <w:spacing w:before="200"/>
        <w:jc w:val="both"/>
      </w:pPr>
    </w:p>
    <w:p w14:paraId="03DA4107" w14:textId="180725FB" w:rsidR="00932F87" w:rsidRDefault="00000000">
      <w:pPr>
        <w:pStyle w:val="Heading1"/>
        <w:spacing w:before="200" w:after="320"/>
        <w:jc w:val="both"/>
      </w:pPr>
      <w:r>
        <w:br w:type="page"/>
      </w:r>
    </w:p>
    <w:p w14:paraId="66FD585F" w14:textId="77777777" w:rsidR="00932F87" w:rsidRDefault="00000000">
      <w:pPr>
        <w:pStyle w:val="Heading1"/>
        <w:spacing w:before="200" w:after="320"/>
        <w:jc w:val="both"/>
      </w:pPr>
      <w:bookmarkStart w:id="9" w:name="_v3gh8kfdu10v" w:colFirst="0" w:colLast="0"/>
      <w:bookmarkEnd w:id="9"/>
      <w:r>
        <w:lastRenderedPageBreak/>
        <w:t>Supplementary References</w:t>
      </w:r>
    </w:p>
    <w:p w14:paraId="20342E01" w14:textId="77777777" w:rsidR="00932F87" w:rsidRDefault="00932F87">
      <w:pPr>
        <w:jc w:val="both"/>
      </w:pPr>
    </w:p>
    <w:p w14:paraId="0CD5AFC3" w14:textId="77777777" w:rsidR="00932F87" w:rsidRDefault="00000000">
      <w:pPr>
        <w:widowControl w:val="0"/>
        <w:pBdr>
          <w:top w:val="nil"/>
          <w:left w:val="nil"/>
          <w:bottom w:val="nil"/>
          <w:right w:val="nil"/>
          <w:between w:val="nil"/>
        </w:pBdr>
        <w:spacing w:before="200" w:after="200"/>
        <w:rPr>
          <w:color w:val="000000"/>
        </w:rPr>
      </w:pPr>
      <w:r>
        <w:t>S</w:t>
      </w:r>
      <w:hyperlink r:id="rId19">
        <w:r>
          <w:rPr>
            <w:color w:val="000000"/>
          </w:rPr>
          <w:t xml:space="preserve">1  Spear LG, </w:t>
        </w:r>
        <w:proofErr w:type="spellStart"/>
        <w:r>
          <w:rPr>
            <w:color w:val="000000"/>
          </w:rPr>
          <w:t>Dimperio</w:t>
        </w:r>
        <w:proofErr w:type="spellEnd"/>
        <w:r>
          <w:rPr>
            <w:color w:val="000000"/>
          </w:rPr>
          <w:t xml:space="preserve"> JA, Wang SS, </w:t>
        </w:r>
      </w:hyperlink>
      <w:hyperlink r:id="rId20">
        <w:r>
          <w:rPr>
            <w:i/>
            <w:color w:val="000000"/>
          </w:rPr>
          <w:t>et al.</w:t>
        </w:r>
      </w:hyperlink>
      <w:hyperlink r:id="rId21">
        <w:r>
          <w:rPr>
            <w:color w:val="000000"/>
          </w:rPr>
          <w:t xml:space="preserve"> Rethinking Clinical Trial Radiology Workflows and Student Training: Integrated Virtual Student Shadowing Experience, Education, and Evaluation. </w:t>
        </w:r>
      </w:hyperlink>
      <w:hyperlink r:id="rId22">
        <w:r>
          <w:rPr>
            <w:i/>
            <w:color w:val="000000"/>
          </w:rPr>
          <w:t>J Digit Imaging</w:t>
        </w:r>
      </w:hyperlink>
      <w:hyperlink r:id="rId23">
        <w:r>
          <w:rPr>
            <w:color w:val="000000"/>
          </w:rPr>
          <w:t xml:space="preserve"> 2022;</w:t>
        </w:r>
      </w:hyperlink>
      <w:hyperlink r:id="rId24">
        <w:r>
          <w:rPr>
            <w:b/>
            <w:color w:val="000000"/>
          </w:rPr>
          <w:t>35</w:t>
        </w:r>
      </w:hyperlink>
      <w:hyperlink r:id="rId25">
        <w:r>
          <w:rPr>
            <w:color w:val="000000"/>
          </w:rPr>
          <w:t>:723–31. doi:10.1007/s10278-022-00605-y</w:t>
        </w:r>
        <w:r>
          <w:rPr>
            <w:color w:val="000000"/>
          </w:rPr>
          <w:br/>
          <w:t>S</w:t>
        </w:r>
        <w:proofErr w:type="gramStart"/>
        <w:r>
          <w:rPr>
            <w:color w:val="000000"/>
          </w:rPr>
          <w:t>2  Koo</w:t>
        </w:r>
        <w:proofErr w:type="gramEnd"/>
        <w:r>
          <w:rPr>
            <w:color w:val="000000"/>
          </w:rPr>
          <w:t xml:space="preserve"> TK, Li MY. A Guideline of Selecting and Reporting Intraclass Correlation Coefficients for Reliability Research. </w:t>
        </w:r>
      </w:hyperlink>
      <w:hyperlink r:id="rId26">
        <w:r>
          <w:rPr>
            <w:i/>
            <w:color w:val="000000"/>
          </w:rPr>
          <w:t xml:space="preserve">J </w:t>
        </w:r>
        <w:proofErr w:type="spellStart"/>
        <w:r>
          <w:rPr>
            <w:i/>
            <w:color w:val="000000"/>
          </w:rPr>
          <w:t>Chiropr</w:t>
        </w:r>
        <w:proofErr w:type="spellEnd"/>
        <w:r>
          <w:rPr>
            <w:i/>
            <w:color w:val="000000"/>
          </w:rPr>
          <w:t xml:space="preserve"> Medicine</w:t>
        </w:r>
      </w:hyperlink>
      <w:hyperlink r:id="rId27">
        <w:r>
          <w:rPr>
            <w:color w:val="000000"/>
          </w:rPr>
          <w:t xml:space="preserve"> 2016;</w:t>
        </w:r>
      </w:hyperlink>
      <w:hyperlink r:id="rId28">
        <w:r>
          <w:rPr>
            <w:b/>
            <w:color w:val="000000"/>
          </w:rPr>
          <w:t>15</w:t>
        </w:r>
      </w:hyperlink>
      <w:hyperlink r:id="rId29">
        <w:r>
          <w:rPr>
            <w:color w:val="000000"/>
          </w:rPr>
          <w:t xml:space="preserve">:155–63. </w:t>
        </w:r>
        <w:proofErr w:type="gramStart"/>
        <w:r>
          <w:rPr>
            <w:color w:val="000000"/>
          </w:rPr>
          <w:t>doi:10.1016/j.jcm</w:t>
        </w:r>
        <w:proofErr w:type="gramEnd"/>
        <w:r>
          <w:rPr>
            <w:color w:val="000000"/>
          </w:rPr>
          <w:t>.2016.02.012</w:t>
        </w:r>
        <w:r>
          <w:rPr>
            <w:color w:val="000000"/>
          </w:rPr>
          <w:br/>
          <w:t xml:space="preserve">S3  Cohen J. Weighted kappa: Nominal scale agreement provision for scaled disagreement or partial credit. </w:t>
        </w:r>
      </w:hyperlink>
      <w:hyperlink r:id="rId30">
        <w:proofErr w:type="spellStart"/>
        <w:r>
          <w:rPr>
            <w:i/>
            <w:color w:val="000000"/>
          </w:rPr>
          <w:t>Psychol</w:t>
        </w:r>
        <w:proofErr w:type="spellEnd"/>
        <w:r>
          <w:rPr>
            <w:i/>
            <w:color w:val="000000"/>
          </w:rPr>
          <w:t xml:space="preserve"> Bull</w:t>
        </w:r>
      </w:hyperlink>
      <w:hyperlink r:id="rId31">
        <w:r>
          <w:rPr>
            <w:color w:val="000000"/>
          </w:rPr>
          <w:t xml:space="preserve"> 1968;</w:t>
        </w:r>
      </w:hyperlink>
      <w:hyperlink r:id="rId32">
        <w:r>
          <w:rPr>
            <w:b/>
            <w:color w:val="000000"/>
          </w:rPr>
          <w:t>70</w:t>
        </w:r>
      </w:hyperlink>
      <w:hyperlink r:id="rId33">
        <w:r>
          <w:rPr>
            <w:color w:val="000000"/>
          </w:rPr>
          <w:t>:213–20. doi:10.1037/h0026256</w:t>
        </w:r>
        <w:r>
          <w:rPr>
            <w:color w:val="000000"/>
          </w:rPr>
          <w:br/>
          <w:t>S</w:t>
        </w:r>
        <w:proofErr w:type="gramStart"/>
        <w:r>
          <w:rPr>
            <w:color w:val="000000"/>
          </w:rPr>
          <w:t>4  Capretto</w:t>
        </w:r>
        <w:proofErr w:type="gramEnd"/>
        <w:r>
          <w:rPr>
            <w:color w:val="000000"/>
          </w:rPr>
          <w:t xml:space="preserve"> T, </w:t>
        </w:r>
        <w:proofErr w:type="spellStart"/>
        <w:r>
          <w:rPr>
            <w:color w:val="000000"/>
          </w:rPr>
          <w:t>Piho</w:t>
        </w:r>
        <w:proofErr w:type="spellEnd"/>
        <w:r>
          <w:rPr>
            <w:color w:val="000000"/>
          </w:rPr>
          <w:t xml:space="preserve"> C, Kumar R, et al. Bambi: A Simple Interface for Fitting Bayesian Linear Models in Python. </w:t>
        </w:r>
      </w:hyperlink>
      <w:hyperlink r:id="rId34">
        <w:r>
          <w:rPr>
            <w:i/>
            <w:color w:val="000000"/>
          </w:rPr>
          <w:t xml:space="preserve">J Stat </w:t>
        </w:r>
        <w:proofErr w:type="spellStart"/>
        <w:r>
          <w:rPr>
            <w:i/>
            <w:color w:val="000000"/>
          </w:rPr>
          <w:t>Softw</w:t>
        </w:r>
        <w:proofErr w:type="spellEnd"/>
      </w:hyperlink>
      <w:hyperlink r:id="rId35">
        <w:r>
          <w:rPr>
            <w:color w:val="000000"/>
          </w:rPr>
          <w:t xml:space="preserve"> 2022;</w:t>
        </w:r>
      </w:hyperlink>
      <w:hyperlink r:id="rId36">
        <w:r>
          <w:rPr>
            <w:b/>
            <w:color w:val="000000"/>
          </w:rPr>
          <w:t>103</w:t>
        </w:r>
      </w:hyperlink>
      <w:hyperlink r:id="rId37">
        <w:r>
          <w:rPr>
            <w:color w:val="000000"/>
          </w:rPr>
          <w:t>:1–29. doi:10.18637/</w:t>
        </w:r>
        <w:proofErr w:type="gramStart"/>
        <w:r>
          <w:rPr>
            <w:color w:val="000000"/>
          </w:rPr>
          <w:t>jss.v103.i</w:t>
        </w:r>
        <w:proofErr w:type="gramEnd"/>
        <w:r>
          <w:rPr>
            <w:color w:val="000000"/>
          </w:rPr>
          <w:t>15</w:t>
        </w:r>
        <w:r>
          <w:rPr>
            <w:color w:val="000000"/>
          </w:rPr>
          <w:br/>
          <w:t xml:space="preserve">S5  Hoffman MD, Gelman A. The No-U-Turn Sampler: Adaptively Setting Path Lengths in Hamiltonian Monte Carlo. </w:t>
        </w:r>
      </w:hyperlink>
      <w:hyperlink r:id="rId38">
        <w:proofErr w:type="spellStart"/>
        <w:r>
          <w:rPr>
            <w:i/>
            <w:color w:val="000000"/>
          </w:rPr>
          <w:t>Arxiv</w:t>
        </w:r>
        <w:proofErr w:type="spellEnd"/>
      </w:hyperlink>
      <w:hyperlink r:id="rId39">
        <w:r>
          <w:rPr>
            <w:color w:val="000000"/>
          </w:rPr>
          <w:t xml:space="preserve"> Published Online First: 2011. doi:10.48550/arxiv.1111.4246</w:t>
        </w:r>
      </w:hyperlink>
    </w:p>
    <w:sectPr w:rsidR="00932F87">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8DD2D" w14:textId="77777777" w:rsidR="00037112" w:rsidRDefault="00037112" w:rsidP="007D5F1D">
      <w:pPr>
        <w:spacing w:line="240" w:lineRule="auto"/>
      </w:pPr>
      <w:r>
        <w:separator/>
      </w:r>
    </w:p>
  </w:endnote>
  <w:endnote w:type="continuationSeparator" w:id="0">
    <w:p w14:paraId="5D2FA1FE" w14:textId="77777777" w:rsidR="00037112" w:rsidRDefault="00037112" w:rsidP="007D5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381F" w14:textId="77777777" w:rsidR="007D5F1D" w:rsidRDefault="007D5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3389" w14:textId="77777777" w:rsidR="007D5F1D" w:rsidRDefault="007D5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23E2" w14:textId="77777777" w:rsidR="007D5F1D" w:rsidRDefault="007D5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D613E" w14:textId="77777777" w:rsidR="00037112" w:rsidRDefault="00037112" w:rsidP="007D5F1D">
      <w:pPr>
        <w:spacing w:line="240" w:lineRule="auto"/>
      </w:pPr>
      <w:r>
        <w:separator/>
      </w:r>
    </w:p>
  </w:footnote>
  <w:footnote w:type="continuationSeparator" w:id="0">
    <w:p w14:paraId="0B36CFFA" w14:textId="77777777" w:rsidR="00037112" w:rsidRDefault="00037112" w:rsidP="007D5F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D961" w14:textId="77777777" w:rsidR="007D5F1D" w:rsidRDefault="007D5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A659" w14:textId="77777777" w:rsidR="007D5F1D" w:rsidRDefault="007D5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4D08" w14:textId="77777777" w:rsidR="007D5F1D" w:rsidRDefault="007D5F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F87"/>
    <w:rsid w:val="000208D7"/>
    <w:rsid w:val="00037112"/>
    <w:rsid w:val="00151842"/>
    <w:rsid w:val="003370E6"/>
    <w:rsid w:val="00395166"/>
    <w:rsid w:val="003E6DDB"/>
    <w:rsid w:val="004957EF"/>
    <w:rsid w:val="00636183"/>
    <w:rsid w:val="007B78E3"/>
    <w:rsid w:val="007D5F1D"/>
    <w:rsid w:val="008461E4"/>
    <w:rsid w:val="00932F87"/>
    <w:rsid w:val="00A154A0"/>
    <w:rsid w:val="00C81C05"/>
    <w:rsid w:val="00D54C48"/>
    <w:rsid w:val="00D914F5"/>
    <w:rsid w:val="00F54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B6453"/>
  <w15:docId w15:val="{197AEA28-F4E4-2743-97CF-2C4C6FB4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28"/>
      <w:szCs w:val="28"/>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semiHidden/>
    <w:unhideWhenUsed/>
    <w:qFormat/>
    <w:pPr>
      <w:keepNext/>
      <w:keepLines/>
      <w:outlineLvl w:val="2"/>
    </w:pPr>
    <w:rPr>
      <w:i/>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D5F1D"/>
    <w:pPr>
      <w:tabs>
        <w:tab w:val="center" w:pos="4513"/>
        <w:tab w:val="right" w:pos="9026"/>
      </w:tabs>
      <w:spacing w:line="240" w:lineRule="auto"/>
    </w:pPr>
  </w:style>
  <w:style w:type="character" w:customStyle="1" w:styleId="HeaderChar">
    <w:name w:val="Header Char"/>
    <w:basedOn w:val="DefaultParagraphFont"/>
    <w:link w:val="Header"/>
    <w:uiPriority w:val="99"/>
    <w:rsid w:val="007D5F1D"/>
  </w:style>
  <w:style w:type="paragraph" w:styleId="Footer">
    <w:name w:val="footer"/>
    <w:basedOn w:val="Normal"/>
    <w:link w:val="FooterChar"/>
    <w:uiPriority w:val="99"/>
    <w:unhideWhenUsed/>
    <w:rsid w:val="007D5F1D"/>
    <w:pPr>
      <w:tabs>
        <w:tab w:val="center" w:pos="4513"/>
        <w:tab w:val="right" w:pos="9026"/>
      </w:tabs>
      <w:spacing w:line="240" w:lineRule="auto"/>
    </w:pPr>
  </w:style>
  <w:style w:type="character" w:customStyle="1" w:styleId="FooterChar">
    <w:name w:val="Footer Char"/>
    <w:basedOn w:val="DefaultParagraphFont"/>
    <w:link w:val="Footer"/>
    <w:uiPriority w:val="99"/>
    <w:rsid w:val="007D5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hyperlink" Target="https://app.readcube.com/library/?style=Journal%20of%20Neurology,%20Neurosurgery,%20and%20Psychiatry+%7B%22language%22:%22en-US%22%7D" TargetMode="External"/><Relationship Id="rId39" Type="http://schemas.openxmlformats.org/officeDocument/2006/relationships/hyperlink" Target="https://app.readcube.com/library/?style=Journal%20of%20Neurology,%20Neurosurgery,%20and%20Psychiatry+%7B%22language%22:%22en-US%22%7D" TargetMode="External"/><Relationship Id="rId21" Type="http://schemas.openxmlformats.org/officeDocument/2006/relationships/hyperlink" Target="https://app.readcube.com/library/?style=Journal%20of%20Neurology,%20Neurosurgery,%20and%20Psychiatry+%7B%22language%22:%22en-US%22%7D" TargetMode="External"/><Relationship Id="rId34" Type="http://schemas.openxmlformats.org/officeDocument/2006/relationships/hyperlink" Target="https://app.readcube.com/library/?style=Journal%20of%20Neurology,%20Neurosurgery,%20and%20Psychiatry+%7B%22language%22:%22en-US%22%7D" TargetMode="External"/><Relationship Id="rId7" Type="http://schemas.openxmlformats.org/officeDocument/2006/relationships/hyperlink" Target="https://app.readcube.com/library/829d0e09-047f-41e4-a790-84f30ccd2829/all?uuid=8914756620518782&amp;item_ids=829d0e09-047f-41e4-a790-84f30ccd2829:742b65bb-1335-48a3-9e10-135a9ddb1d12" TargetMode="External"/><Relationship Id="rId2" Type="http://schemas.openxmlformats.org/officeDocument/2006/relationships/settings" Target="settings.xml"/><Relationship Id="rId16" Type="http://schemas.openxmlformats.org/officeDocument/2006/relationships/hyperlink" Target="https://app.readcube.com/library/829d0e09-047f-41e4-a790-84f30ccd2829/all?uuid=02585788562366742&amp;item_ids=829d0e09-047f-41e4-a790-84f30ccd2829:0a465ab4-c991-4d59-b906-fece021a4327" TargetMode="External"/><Relationship Id="rId20" Type="http://schemas.openxmlformats.org/officeDocument/2006/relationships/hyperlink" Target="https://app.readcube.com/library/?style=Journal%20of%20Neurology,%20Neurosurgery,%20and%20Psychiatry+%7B%22language%22:%22en-US%22%7D" TargetMode="External"/><Relationship Id="rId29" Type="http://schemas.openxmlformats.org/officeDocument/2006/relationships/hyperlink" Target="https://app.readcube.com/library/?style=Journal%20of%20Neurology,%20Neurosurgery,%20and%20Psychiatry+%7B%22language%22:%22en-US%22%7D"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pp.readcube.com/library/829d0e09-047f-41e4-a790-84f30ccd2829/all?uuid=28644486081783527&amp;item_ids=829d0e09-047f-41e4-a790-84f30ccd2829:cb6a4118-d7ac-4157-a502-4a5d4ddd8311" TargetMode="External"/><Relationship Id="rId11" Type="http://schemas.openxmlformats.org/officeDocument/2006/relationships/footer" Target="footer1.xml"/><Relationship Id="rId24" Type="http://schemas.openxmlformats.org/officeDocument/2006/relationships/hyperlink" Target="https://app.readcube.com/library/?style=Journal%20of%20Neurology,%20Neurosurgery,%20and%20Psychiatry+%7B%22language%22:%22en-US%22%7D" TargetMode="External"/><Relationship Id="rId32" Type="http://schemas.openxmlformats.org/officeDocument/2006/relationships/hyperlink" Target="https://app.readcube.com/library/?style=Journal%20of%20Neurology,%20Neurosurgery,%20and%20Psychiatry+%7B%22language%22:%22en-US%22%7D" TargetMode="External"/><Relationship Id="rId37" Type="http://schemas.openxmlformats.org/officeDocument/2006/relationships/hyperlink" Target="https://app.readcube.com/library/?style=Journal%20of%20Neurology,%20Neurosurgery,%20and%20Psychiatry+%7B%22language%22:%22en-US%22%7D"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app.readcube.com/library/829d0e09-047f-41e4-a790-84f30ccd2829/all?uuid=22585010648219161&amp;item_ids=829d0e09-047f-41e4-a790-84f30ccd2829:111b02c2-18de-4dab-87e3-9263b5be42d8" TargetMode="External"/><Relationship Id="rId23" Type="http://schemas.openxmlformats.org/officeDocument/2006/relationships/hyperlink" Target="https://app.readcube.com/library/?style=Journal%20of%20Neurology,%20Neurosurgery,%20and%20Psychiatry+%7B%22language%22:%22en-US%22%7D" TargetMode="External"/><Relationship Id="rId28" Type="http://schemas.openxmlformats.org/officeDocument/2006/relationships/hyperlink" Target="https://app.readcube.com/library/?style=Journal%20of%20Neurology,%20Neurosurgery,%20and%20Psychiatry+%7B%22language%22:%22en-US%22%7D" TargetMode="External"/><Relationship Id="rId36" Type="http://schemas.openxmlformats.org/officeDocument/2006/relationships/hyperlink" Target="https://app.readcube.com/library/?style=Journal%20of%20Neurology,%20Neurosurgery,%20and%20Psychiatry+%7B%22language%22:%22en-US%22%7D" TargetMode="External"/><Relationship Id="rId10" Type="http://schemas.openxmlformats.org/officeDocument/2006/relationships/header" Target="header2.xml"/><Relationship Id="rId19" Type="http://schemas.openxmlformats.org/officeDocument/2006/relationships/hyperlink" Target="https://app.readcube.com/library/?style=Journal%20of%20Neurology,%20Neurosurgery,%20and%20Psychiatry+%7B%22language%22:%22en-US%22%7D" TargetMode="External"/><Relationship Id="rId31" Type="http://schemas.openxmlformats.org/officeDocument/2006/relationships/hyperlink" Target="https://app.readcube.com/library/?style=Journal%20of%20Neurology,%20Neurosurgery,%20and%20Psychiatry+%7B%22language%22:%22en-US%22%7D"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app.readcube.com/library/?style=Journal%20of%20Neurology,%20Neurosurgery,%20and%20Psychiatry+%7B%22language%22:%22en-US%22%7D" TargetMode="External"/><Relationship Id="rId27" Type="http://schemas.openxmlformats.org/officeDocument/2006/relationships/hyperlink" Target="https://app.readcube.com/library/?style=Journal%20of%20Neurology,%20Neurosurgery,%20and%20Psychiatry+%7B%22language%22:%22en-US%22%7D" TargetMode="External"/><Relationship Id="rId30" Type="http://schemas.openxmlformats.org/officeDocument/2006/relationships/hyperlink" Target="https://app.readcube.com/library/?style=Journal%20of%20Neurology,%20Neurosurgery,%20and%20Psychiatry+%7B%22language%22:%22en-US%22%7D" TargetMode="External"/><Relationship Id="rId35" Type="http://schemas.openxmlformats.org/officeDocument/2006/relationships/hyperlink" Target="https://app.readcube.com/library/?style=Journal%20of%20Neurology,%20Neurosurgery,%20and%20Psychiatry+%7B%22language%22:%22en-US%22%7D" TargetMode="External"/><Relationship Id="rId8" Type="http://schemas.openxmlformats.org/officeDocument/2006/relationships/hyperlink" Target="https://app.readcube.com/library/829d0e09-047f-41e4-a790-84f30ccd2829/all?uuid=9937852605483994&amp;item_ids=829d0e09-047f-41e4-a790-84f30ccd2829:2b44cdee-5ee2-4001-91bf-3d37cc0e5165" TargetMode="External"/><Relationship Id="rId3"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hyperlink" Target="https://app.readcube.com/library/?style=Journal%20of%20Neurology,%20Neurosurgery,%20and%20Psychiatry+%7B%22language%22:%22en-US%22%7D" TargetMode="External"/><Relationship Id="rId33" Type="http://schemas.openxmlformats.org/officeDocument/2006/relationships/hyperlink" Target="https://app.readcube.com/library/?style=Journal%20of%20Neurology,%20Neurosurgery,%20and%20Psychiatry+%7B%22language%22:%22en-US%22%7D" TargetMode="External"/><Relationship Id="rId38" Type="http://schemas.openxmlformats.org/officeDocument/2006/relationships/hyperlink" Target="https://app.readcube.com/library/?style=Journal%20of%20Neurology,%20Neurosurgery,%20and%20Psychiatry+%7B%22language%22:%22en-US%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Pandit, Anand</cp:lastModifiedBy>
  <cp:revision>3</cp:revision>
  <dcterms:created xsi:type="dcterms:W3CDTF">2024-07-14T12:11:00Z</dcterms:created>
  <dcterms:modified xsi:type="dcterms:W3CDTF">2024-07-14T14:58:00Z</dcterms:modified>
</cp:coreProperties>
</file>