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7586B" w14:textId="439BF0EE" w:rsidR="00DC4A23" w:rsidRPr="00D11245" w:rsidRDefault="003019A8" w:rsidP="00DC4A23">
      <w:pPr>
        <w:rPr>
          <w:rFonts w:cstheme="minorHAnsi"/>
          <w:b/>
          <w:bCs/>
          <w:color w:val="000000" w:themeColor="text1"/>
          <w:sz w:val="28"/>
          <w:szCs w:val="28"/>
        </w:rPr>
      </w:pPr>
      <w:r w:rsidRPr="00D11245">
        <w:rPr>
          <w:rFonts w:cstheme="minorHAnsi"/>
          <w:b/>
          <w:bCs/>
          <w:color w:val="000000" w:themeColor="text1"/>
          <w:sz w:val="28"/>
          <w:szCs w:val="28"/>
        </w:rPr>
        <w:t>Recent advances in the</w:t>
      </w:r>
      <w:r w:rsidR="0035500E" w:rsidRPr="00D11245">
        <w:rPr>
          <w:rFonts w:cstheme="minorHAnsi"/>
          <w:b/>
          <w:bCs/>
          <w:color w:val="000000" w:themeColor="text1"/>
          <w:sz w:val="28"/>
          <w:szCs w:val="28"/>
        </w:rPr>
        <w:t xml:space="preserve"> </w:t>
      </w:r>
      <w:r w:rsidR="00C464D8" w:rsidRPr="00D11245">
        <w:rPr>
          <w:rFonts w:cstheme="minorHAnsi"/>
          <w:b/>
          <w:bCs/>
          <w:color w:val="000000" w:themeColor="text1"/>
          <w:sz w:val="28"/>
          <w:szCs w:val="28"/>
        </w:rPr>
        <w:t>diagnosis and management</w:t>
      </w:r>
      <w:r w:rsidRPr="00D11245">
        <w:rPr>
          <w:rFonts w:cstheme="minorHAnsi"/>
          <w:b/>
          <w:bCs/>
          <w:color w:val="000000" w:themeColor="text1"/>
          <w:sz w:val="28"/>
          <w:szCs w:val="28"/>
        </w:rPr>
        <w:t xml:space="preserve"> of Amoebiasis</w:t>
      </w:r>
    </w:p>
    <w:p w14:paraId="02F406CF" w14:textId="7942C7BD" w:rsidR="00D064E6" w:rsidRPr="00D11245" w:rsidRDefault="00CF61CF" w:rsidP="00DC4A23">
      <w:pPr>
        <w:rPr>
          <w:rFonts w:cstheme="minorHAnsi"/>
          <w:color w:val="000000" w:themeColor="text1"/>
          <w:sz w:val="24"/>
          <w:szCs w:val="24"/>
          <w:vertAlign w:val="superscript"/>
        </w:rPr>
      </w:pPr>
      <w:r w:rsidRPr="00D11245">
        <w:rPr>
          <w:rFonts w:cstheme="minorHAnsi"/>
          <w:color w:val="000000" w:themeColor="text1"/>
          <w:sz w:val="24"/>
          <w:szCs w:val="24"/>
        </w:rPr>
        <w:t>Joseph Cooney</w:t>
      </w:r>
      <w:r w:rsidRPr="00D11245">
        <w:rPr>
          <w:rFonts w:cstheme="minorHAnsi"/>
          <w:color w:val="000000" w:themeColor="text1"/>
          <w:sz w:val="24"/>
          <w:szCs w:val="24"/>
          <w:vertAlign w:val="superscript"/>
        </w:rPr>
        <w:t>1,2</w:t>
      </w:r>
      <w:r w:rsidRPr="00D11245">
        <w:rPr>
          <w:rFonts w:cstheme="minorHAnsi"/>
          <w:color w:val="000000" w:themeColor="text1"/>
          <w:sz w:val="24"/>
          <w:szCs w:val="24"/>
        </w:rPr>
        <w:t>, Spyros Siakavellas</w:t>
      </w:r>
      <w:r w:rsidRPr="00D11245">
        <w:rPr>
          <w:rFonts w:cstheme="minorHAnsi"/>
          <w:color w:val="000000" w:themeColor="text1"/>
          <w:sz w:val="24"/>
          <w:szCs w:val="24"/>
          <w:vertAlign w:val="superscript"/>
        </w:rPr>
        <w:t>3</w:t>
      </w:r>
      <w:r w:rsidRPr="00D11245">
        <w:rPr>
          <w:rFonts w:cstheme="minorHAnsi"/>
          <w:color w:val="000000" w:themeColor="text1"/>
          <w:sz w:val="24"/>
          <w:szCs w:val="24"/>
        </w:rPr>
        <w:t xml:space="preserve">, Peter </w:t>
      </w:r>
      <w:r w:rsidR="008F0C41" w:rsidRPr="00D11245">
        <w:rPr>
          <w:rFonts w:cstheme="minorHAnsi"/>
          <w:color w:val="000000" w:themeColor="text1"/>
          <w:sz w:val="24"/>
          <w:szCs w:val="24"/>
        </w:rPr>
        <w:t xml:space="preserve">L </w:t>
      </w:r>
      <w:r w:rsidRPr="00D11245">
        <w:rPr>
          <w:rFonts w:cstheme="minorHAnsi"/>
          <w:color w:val="000000" w:themeColor="text1"/>
          <w:sz w:val="24"/>
          <w:szCs w:val="24"/>
        </w:rPr>
        <w:t>Chiodini</w:t>
      </w:r>
      <w:r w:rsidRPr="00D11245">
        <w:rPr>
          <w:rFonts w:cstheme="minorHAnsi"/>
          <w:color w:val="000000" w:themeColor="text1"/>
          <w:sz w:val="24"/>
          <w:szCs w:val="24"/>
          <w:vertAlign w:val="superscript"/>
        </w:rPr>
        <w:t>4,5</w:t>
      </w:r>
      <w:r w:rsidR="004058E7" w:rsidRPr="00D11245">
        <w:rPr>
          <w:rFonts w:cstheme="minorHAnsi"/>
          <w:color w:val="000000" w:themeColor="text1"/>
          <w:sz w:val="24"/>
          <w:szCs w:val="24"/>
        </w:rPr>
        <w:t>, Ula Mahadeva</w:t>
      </w:r>
      <w:r w:rsidR="004058E7" w:rsidRPr="00D11245">
        <w:rPr>
          <w:rFonts w:cstheme="minorHAnsi"/>
          <w:color w:val="000000" w:themeColor="text1"/>
          <w:sz w:val="24"/>
          <w:szCs w:val="24"/>
          <w:vertAlign w:val="superscript"/>
        </w:rPr>
        <w:t>6</w:t>
      </w:r>
      <w:r w:rsidRPr="00D11245">
        <w:rPr>
          <w:rFonts w:cstheme="minorHAnsi"/>
          <w:color w:val="000000" w:themeColor="text1"/>
          <w:sz w:val="24"/>
          <w:szCs w:val="24"/>
        </w:rPr>
        <w:t>, Gauri Godbole</w:t>
      </w:r>
      <w:r w:rsidR="00617D3E" w:rsidRPr="00D11245">
        <w:rPr>
          <w:rFonts w:cstheme="minorHAnsi"/>
          <w:color w:val="000000" w:themeColor="text1"/>
          <w:sz w:val="24"/>
          <w:szCs w:val="24"/>
          <w:vertAlign w:val="superscript"/>
        </w:rPr>
        <w:t>4</w:t>
      </w:r>
      <w:r w:rsidR="00617D3E" w:rsidRPr="00D11245">
        <w:rPr>
          <w:rFonts w:cstheme="minorHAnsi"/>
          <w:color w:val="000000" w:themeColor="text1"/>
          <w:sz w:val="24"/>
          <w:szCs w:val="24"/>
        </w:rPr>
        <w:t>, Richard</w:t>
      </w:r>
      <w:r w:rsidR="008F0C41" w:rsidRPr="00D11245">
        <w:rPr>
          <w:rFonts w:cstheme="minorHAnsi"/>
          <w:color w:val="000000" w:themeColor="text1"/>
          <w:sz w:val="24"/>
          <w:szCs w:val="24"/>
        </w:rPr>
        <w:t xml:space="preserve"> CG</w:t>
      </w:r>
      <w:r w:rsidRPr="00D11245">
        <w:rPr>
          <w:rFonts w:cstheme="minorHAnsi"/>
          <w:color w:val="000000" w:themeColor="text1"/>
          <w:sz w:val="24"/>
          <w:szCs w:val="24"/>
        </w:rPr>
        <w:t xml:space="preserve"> Pollok</w:t>
      </w:r>
      <w:r w:rsidR="001B33EC" w:rsidRPr="00D11245">
        <w:rPr>
          <w:rFonts w:cstheme="minorHAnsi"/>
          <w:color w:val="000000" w:themeColor="text1"/>
          <w:sz w:val="24"/>
          <w:szCs w:val="24"/>
          <w:vertAlign w:val="superscript"/>
        </w:rPr>
        <w:t>1,2</w:t>
      </w:r>
      <w:r w:rsidR="008F0C41" w:rsidRPr="00D11245">
        <w:rPr>
          <w:rFonts w:cstheme="minorHAnsi"/>
          <w:color w:val="000000" w:themeColor="text1"/>
          <w:sz w:val="24"/>
          <w:szCs w:val="24"/>
        </w:rPr>
        <w:t>*</w:t>
      </w:r>
      <w:r w:rsidR="001E2918" w:rsidRPr="00D11245">
        <w:rPr>
          <w:rFonts w:cstheme="minorHAnsi"/>
          <w:color w:val="000000" w:themeColor="text1"/>
          <w:sz w:val="24"/>
          <w:szCs w:val="24"/>
          <w:vertAlign w:val="superscript"/>
        </w:rPr>
        <w:t>¶</w:t>
      </w:r>
      <w:r w:rsidRPr="00D11245">
        <w:rPr>
          <w:rFonts w:cstheme="minorHAnsi"/>
          <w:color w:val="000000" w:themeColor="text1"/>
          <w:sz w:val="24"/>
          <w:szCs w:val="24"/>
        </w:rPr>
        <w:t xml:space="preserve">, Philip </w:t>
      </w:r>
      <w:r w:rsidR="008F0C41" w:rsidRPr="00D11245">
        <w:rPr>
          <w:rFonts w:cstheme="minorHAnsi"/>
          <w:color w:val="000000" w:themeColor="text1"/>
          <w:sz w:val="24"/>
          <w:szCs w:val="24"/>
        </w:rPr>
        <w:t xml:space="preserve">J </w:t>
      </w:r>
      <w:r w:rsidRPr="00D11245">
        <w:rPr>
          <w:rFonts w:cstheme="minorHAnsi"/>
          <w:color w:val="000000" w:themeColor="text1"/>
          <w:sz w:val="24"/>
          <w:szCs w:val="24"/>
        </w:rPr>
        <w:t>Smith</w:t>
      </w:r>
      <w:r w:rsidR="001B33EC" w:rsidRPr="00D11245">
        <w:rPr>
          <w:rFonts w:cstheme="minorHAnsi"/>
          <w:color w:val="000000" w:themeColor="text1"/>
          <w:sz w:val="24"/>
          <w:szCs w:val="24"/>
          <w:vertAlign w:val="superscript"/>
        </w:rPr>
        <w:t>7</w:t>
      </w:r>
      <w:r w:rsidR="008F0C41" w:rsidRPr="00D11245">
        <w:rPr>
          <w:rFonts w:cstheme="minorHAnsi"/>
          <w:color w:val="000000" w:themeColor="text1"/>
          <w:sz w:val="24"/>
          <w:szCs w:val="24"/>
        </w:rPr>
        <w:t>*</w:t>
      </w:r>
    </w:p>
    <w:p w14:paraId="6B2BACA1" w14:textId="1A6867D8" w:rsidR="00D064E6" w:rsidRPr="00D11245" w:rsidRDefault="008F0C41" w:rsidP="00DC4A23">
      <w:pPr>
        <w:rPr>
          <w:rFonts w:cstheme="minorHAnsi"/>
          <w:b/>
          <w:bCs/>
          <w:color w:val="000000" w:themeColor="text1"/>
          <w:sz w:val="24"/>
          <w:szCs w:val="24"/>
        </w:rPr>
      </w:pPr>
      <w:r w:rsidRPr="00D11245">
        <w:rPr>
          <w:rFonts w:cstheme="minorHAnsi"/>
          <w:b/>
          <w:bCs/>
          <w:color w:val="000000" w:themeColor="text1"/>
          <w:sz w:val="24"/>
          <w:szCs w:val="24"/>
        </w:rPr>
        <w:t>*P</w:t>
      </w:r>
      <w:r w:rsidR="00380B02" w:rsidRPr="00D11245">
        <w:rPr>
          <w:rFonts w:cstheme="minorHAnsi"/>
          <w:b/>
          <w:bCs/>
          <w:color w:val="000000" w:themeColor="text1"/>
          <w:sz w:val="24"/>
          <w:szCs w:val="24"/>
        </w:rPr>
        <w:t>J</w:t>
      </w:r>
      <w:r w:rsidRPr="00D11245">
        <w:rPr>
          <w:rFonts w:cstheme="minorHAnsi"/>
          <w:b/>
          <w:bCs/>
          <w:color w:val="000000" w:themeColor="text1"/>
          <w:sz w:val="24"/>
          <w:szCs w:val="24"/>
        </w:rPr>
        <w:t>S and R</w:t>
      </w:r>
      <w:r w:rsidR="00380B02" w:rsidRPr="00D11245">
        <w:rPr>
          <w:rFonts w:cstheme="minorHAnsi"/>
          <w:b/>
          <w:bCs/>
          <w:color w:val="000000" w:themeColor="text1"/>
          <w:sz w:val="24"/>
          <w:szCs w:val="24"/>
        </w:rPr>
        <w:t>CG</w:t>
      </w:r>
      <w:r w:rsidRPr="00D11245">
        <w:rPr>
          <w:rFonts w:cstheme="minorHAnsi"/>
          <w:b/>
          <w:bCs/>
          <w:color w:val="000000" w:themeColor="text1"/>
          <w:sz w:val="24"/>
          <w:szCs w:val="24"/>
        </w:rPr>
        <w:t>P are joint senior authors</w:t>
      </w:r>
    </w:p>
    <w:p w14:paraId="37DE187B" w14:textId="3CBEC51B" w:rsidR="00DC4A23" w:rsidRPr="00D11245" w:rsidRDefault="00DC4A23" w:rsidP="00DC4A23">
      <w:pPr>
        <w:rPr>
          <w:rFonts w:cstheme="minorHAnsi"/>
          <w:color w:val="000000" w:themeColor="text1"/>
          <w:sz w:val="24"/>
          <w:szCs w:val="24"/>
          <w:u w:val="single"/>
        </w:rPr>
      </w:pPr>
      <w:r w:rsidRPr="00D11245">
        <w:rPr>
          <w:rFonts w:cstheme="minorHAnsi"/>
          <w:color w:val="000000" w:themeColor="text1"/>
          <w:sz w:val="24"/>
          <w:szCs w:val="24"/>
          <w:u w:val="single"/>
        </w:rPr>
        <w:t>Affiliations:</w:t>
      </w:r>
    </w:p>
    <w:p w14:paraId="3DE31D8C" w14:textId="51A180B5" w:rsidR="00DC4A23" w:rsidRPr="00D11245" w:rsidRDefault="008F0C41" w:rsidP="00454218">
      <w:pPr>
        <w:pStyle w:val="ListParagraph"/>
        <w:ind w:left="360"/>
        <w:rPr>
          <w:rFonts w:cstheme="minorHAnsi"/>
          <w:color w:val="000000" w:themeColor="text1"/>
          <w:sz w:val="24"/>
          <w:szCs w:val="24"/>
        </w:rPr>
      </w:pPr>
      <w:r w:rsidRPr="00D11245">
        <w:rPr>
          <w:rFonts w:cstheme="minorHAnsi"/>
          <w:color w:val="000000" w:themeColor="text1"/>
          <w:sz w:val="24"/>
          <w:szCs w:val="24"/>
          <w:vertAlign w:val="superscript"/>
        </w:rPr>
        <w:t>1</w:t>
      </w:r>
      <w:r w:rsidR="00EE21F0" w:rsidRPr="00D11245">
        <w:rPr>
          <w:rFonts w:cstheme="minorHAnsi"/>
          <w:color w:val="000000" w:themeColor="text1"/>
          <w:sz w:val="24"/>
          <w:szCs w:val="24"/>
        </w:rPr>
        <w:t xml:space="preserve">Department of Gastroenterology, </w:t>
      </w:r>
      <w:r w:rsidR="00D064E6" w:rsidRPr="00D11245">
        <w:rPr>
          <w:rFonts w:cstheme="minorHAnsi"/>
          <w:color w:val="000000" w:themeColor="text1"/>
          <w:sz w:val="24"/>
          <w:szCs w:val="24"/>
        </w:rPr>
        <w:t>S</w:t>
      </w:r>
      <w:r w:rsidR="00C30F03" w:rsidRPr="00D11245">
        <w:rPr>
          <w:rFonts w:cstheme="minorHAnsi"/>
          <w:color w:val="000000" w:themeColor="text1"/>
          <w:sz w:val="24"/>
          <w:szCs w:val="24"/>
        </w:rPr>
        <w:t xml:space="preserve">t George’s </w:t>
      </w:r>
      <w:r w:rsidR="00EE21F0" w:rsidRPr="00D11245">
        <w:rPr>
          <w:rFonts w:cstheme="minorHAnsi"/>
          <w:color w:val="000000" w:themeColor="text1"/>
          <w:sz w:val="24"/>
          <w:szCs w:val="24"/>
        </w:rPr>
        <w:t>Hospital</w:t>
      </w:r>
      <w:r w:rsidR="00D064E6" w:rsidRPr="00D11245">
        <w:rPr>
          <w:rFonts w:cstheme="minorHAnsi"/>
          <w:color w:val="000000" w:themeColor="text1"/>
          <w:sz w:val="24"/>
          <w:szCs w:val="24"/>
        </w:rPr>
        <w:t xml:space="preserve"> NHS Foundation Trust</w:t>
      </w:r>
      <w:r w:rsidR="00EE21F0" w:rsidRPr="00D11245">
        <w:rPr>
          <w:rFonts w:cstheme="minorHAnsi"/>
          <w:color w:val="000000" w:themeColor="text1"/>
          <w:sz w:val="24"/>
          <w:szCs w:val="24"/>
        </w:rPr>
        <w:t>, London, UK</w:t>
      </w:r>
    </w:p>
    <w:p w14:paraId="1812CD66" w14:textId="65F3D5B8" w:rsidR="00C30F03" w:rsidRPr="00D11245" w:rsidRDefault="008F0C41" w:rsidP="00454218">
      <w:pPr>
        <w:ind w:left="360"/>
        <w:rPr>
          <w:rFonts w:cstheme="minorHAnsi"/>
          <w:color w:val="000000" w:themeColor="text1"/>
          <w:sz w:val="24"/>
          <w:szCs w:val="24"/>
        </w:rPr>
      </w:pPr>
      <w:r w:rsidRPr="00D11245">
        <w:rPr>
          <w:rFonts w:cstheme="minorHAnsi"/>
          <w:color w:val="000000" w:themeColor="text1"/>
          <w:sz w:val="24"/>
          <w:szCs w:val="24"/>
          <w:vertAlign w:val="superscript"/>
        </w:rPr>
        <w:t>2</w:t>
      </w:r>
      <w:r w:rsidR="003019A8" w:rsidRPr="00D11245">
        <w:rPr>
          <w:rFonts w:cstheme="minorHAnsi"/>
          <w:color w:val="000000" w:themeColor="text1"/>
          <w:sz w:val="24"/>
          <w:szCs w:val="24"/>
        </w:rPr>
        <w:t xml:space="preserve">Division of </w:t>
      </w:r>
      <w:r w:rsidR="00EE21F0" w:rsidRPr="00D11245">
        <w:rPr>
          <w:rFonts w:cstheme="minorHAnsi"/>
          <w:color w:val="000000" w:themeColor="text1"/>
          <w:sz w:val="24"/>
          <w:szCs w:val="24"/>
        </w:rPr>
        <w:t>Infection and Immunity, S</w:t>
      </w:r>
      <w:r w:rsidR="00C30F03" w:rsidRPr="00D11245">
        <w:rPr>
          <w:rFonts w:cstheme="minorHAnsi"/>
          <w:color w:val="000000" w:themeColor="text1"/>
          <w:sz w:val="24"/>
          <w:szCs w:val="24"/>
        </w:rPr>
        <w:t>t George’s</w:t>
      </w:r>
      <w:r w:rsidR="00486A56" w:rsidRPr="00D11245">
        <w:rPr>
          <w:rFonts w:cstheme="minorHAnsi"/>
          <w:color w:val="000000" w:themeColor="text1"/>
          <w:sz w:val="24"/>
          <w:szCs w:val="24"/>
        </w:rPr>
        <w:t>, University of London</w:t>
      </w:r>
      <w:r w:rsidR="00EE21F0" w:rsidRPr="00D11245">
        <w:rPr>
          <w:rFonts w:cstheme="minorHAnsi"/>
          <w:color w:val="000000" w:themeColor="text1"/>
          <w:sz w:val="24"/>
          <w:szCs w:val="24"/>
        </w:rPr>
        <w:t>, UK</w:t>
      </w:r>
    </w:p>
    <w:p w14:paraId="2240BFE9" w14:textId="1065F5F4" w:rsidR="00CF61CF" w:rsidRPr="00D11245" w:rsidRDefault="008F0C41" w:rsidP="00454218">
      <w:pPr>
        <w:ind w:left="360"/>
        <w:rPr>
          <w:rFonts w:cstheme="minorHAnsi"/>
          <w:color w:val="000000" w:themeColor="text1"/>
          <w:sz w:val="24"/>
          <w:szCs w:val="24"/>
        </w:rPr>
      </w:pPr>
      <w:r w:rsidRPr="00D11245">
        <w:rPr>
          <w:rFonts w:cstheme="minorHAnsi"/>
          <w:color w:val="000000" w:themeColor="text1"/>
          <w:sz w:val="24"/>
          <w:szCs w:val="24"/>
          <w:vertAlign w:val="superscript"/>
        </w:rPr>
        <w:t>3</w:t>
      </w:r>
      <w:r w:rsidR="00CF61CF" w:rsidRPr="00D11245">
        <w:rPr>
          <w:rFonts w:cstheme="minorHAnsi"/>
          <w:color w:val="000000" w:themeColor="text1"/>
          <w:sz w:val="24"/>
          <w:szCs w:val="24"/>
        </w:rPr>
        <w:t>Hepato</w:t>
      </w:r>
      <w:r w:rsidR="004058E7" w:rsidRPr="00D11245">
        <w:rPr>
          <w:rFonts w:cstheme="minorHAnsi"/>
          <w:color w:val="000000" w:themeColor="text1"/>
          <w:sz w:val="24"/>
          <w:szCs w:val="24"/>
        </w:rPr>
        <w:t>-G</w:t>
      </w:r>
      <w:r w:rsidR="00CF61CF" w:rsidRPr="00D11245">
        <w:rPr>
          <w:rFonts w:cstheme="minorHAnsi"/>
          <w:color w:val="000000" w:themeColor="text1"/>
          <w:sz w:val="24"/>
          <w:szCs w:val="24"/>
        </w:rPr>
        <w:t xml:space="preserve">astroenterology Unit, </w:t>
      </w:r>
      <w:proofErr w:type="spellStart"/>
      <w:r w:rsidR="00CF61CF" w:rsidRPr="00D11245">
        <w:rPr>
          <w:rFonts w:cstheme="minorHAnsi"/>
          <w:color w:val="000000" w:themeColor="text1"/>
          <w:sz w:val="24"/>
          <w:szCs w:val="24"/>
        </w:rPr>
        <w:t>Hippocration</w:t>
      </w:r>
      <w:proofErr w:type="spellEnd"/>
      <w:r w:rsidR="00CF61CF" w:rsidRPr="00D11245">
        <w:rPr>
          <w:rFonts w:cstheme="minorHAnsi"/>
          <w:color w:val="000000" w:themeColor="text1"/>
          <w:sz w:val="24"/>
          <w:szCs w:val="24"/>
        </w:rPr>
        <w:t xml:space="preserve"> General Hospital of Athens, Greece </w:t>
      </w:r>
    </w:p>
    <w:p w14:paraId="550C1CFD" w14:textId="7B16F28C" w:rsidR="00CF61CF" w:rsidRPr="00D11245" w:rsidRDefault="000E4504" w:rsidP="00454218">
      <w:pPr>
        <w:ind w:left="360"/>
        <w:rPr>
          <w:rFonts w:cstheme="minorHAnsi"/>
          <w:color w:val="000000" w:themeColor="text1"/>
          <w:sz w:val="24"/>
          <w:szCs w:val="24"/>
        </w:rPr>
      </w:pPr>
      <w:r w:rsidRPr="00D11245">
        <w:rPr>
          <w:rFonts w:cstheme="minorHAnsi"/>
          <w:color w:val="000000" w:themeColor="text1"/>
          <w:sz w:val="24"/>
          <w:szCs w:val="24"/>
          <w:vertAlign w:val="superscript"/>
        </w:rPr>
        <w:t>4</w:t>
      </w:r>
      <w:r w:rsidR="000552FF" w:rsidRPr="00D11245">
        <w:rPr>
          <w:rFonts w:cstheme="minorHAnsi"/>
          <w:color w:val="000000" w:themeColor="text1"/>
          <w:sz w:val="24"/>
          <w:szCs w:val="24"/>
        </w:rPr>
        <w:t>The Hospital for Tropical Diseases</w:t>
      </w:r>
      <w:r w:rsidR="008A2A26" w:rsidRPr="00D11245">
        <w:rPr>
          <w:rFonts w:cstheme="minorHAnsi"/>
          <w:color w:val="000000" w:themeColor="text1"/>
          <w:sz w:val="24"/>
          <w:szCs w:val="24"/>
        </w:rPr>
        <w:t>, London</w:t>
      </w:r>
      <w:r w:rsidR="00EE21F0" w:rsidRPr="00D11245">
        <w:rPr>
          <w:rFonts w:cstheme="minorHAnsi"/>
          <w:color w:val="000000" w:themeColor="text1"/>
          <w:sz w:val="24"/>
          <w:szCs w:val="24"/>
        </w:rPr>
        <w:t>,</w:t>
      </w:r>
      <w:r w:rsidR="008A2A26" w:rsidRPr="00D11245">
        <w:rPr>
          <w:rFonts w:cstheme="minorHAnsi"/>
          <w:color w:val="000000" w:themeColor="text1"/>
          <w:sz w:val="24"/>
          <w:szCs w:val="24"/>
        </w:rPr>
        <w:t xml:space="preserve"> UK</w:t>
      </w:r>
      <w:r w:rsidR="00CF61CF" w:rsidRPr="00D11245">
        <w:rPr>
          <w:rFonts w:cstheme="minorHAnsi"/>
          <w:color w:val="000000" w:themeColor="text1"/>
          <w:sz w:val="24"/>
          <w:szCs w:val="24"/>
        </w:rPr>
        <w:t xml:space="preserve"> </w:t>
      </w:r>
    </w:p>
    <w:p w14:paraId="40A97A72" w14:textId="066415AD" w:rsidR="00CF61CF" w:rsidRPr="00D11245" w:rsidRDefault="000E4504" w:rsidP="00454218">
      <w:pPr>
        <w:ind w:left="360"/>
        <w:rPr>
          <w:rFonts w:cstheme="minorHAnsi"/>
          <w:color w:val="000000" w:themeColor="text1"/>
          <w:sz w:val="24"/>
          <w:szCs w:val="24"/>
        </w:rPr>
      </w:pPr>
      <w:r w:rsidRPr="00D11245">
        <w:rPr>
          <w:rFonts w:cstheme="minorHAnsi"/>
          <w:color w:val="000000" w:themeColor="text1"/>
          <w:sz w:val="24"/>
          <w:szCs w:val="24"/>
          <w:vertAlign w:val="superscript"/>
        </w:rPr>
        <w:t>5</w:t>
      </w:r>
      <w:r w:rsidR="00CF61CF" w:rsidRPr="00D11245">
        <w:rPr>
          <w:rFonts w:cstheme="minorHAnsi"/>
          <w:color w:val="000000" w:themeColor="text1"/>
          <w:sz w:val="24"/>
          <w:szCs w:val="24"/>
        </w:rPr>
        <w:t xml:space="preserve">The London School of Hygiene </w:t>
      </w:r>
      <w:r w:rsidR="008F0C41" w:rsidRPr="00D11245">
        <w:rPr>
          <w:rFonts w:cstheme="minorHAnsi"/>
          <w:color w:val="000000" w:themeColor="text1"/>
          <w:sz w:val="24"/>
          <w:szCs w:val="24"/>
        </w:rPr>
        <w:t>&amp;</w:t>
      </w:r>
      <w:r w:rsidR="00CF61CF" w:rsidRPr="00D11245">
        <w:rPr>
          <w:rFonts w:cstheme="minorHAnsi"/>
          <w:color w:val="000000" w:themeColor="text1"/>
          <w:sz w:val="24"/>
          <w:szCs w:val="24"/>
        </w:rPr>
        <w:t xml:space="preserve"> Tropical Medicine, UK </w:t>
      </w:r>
    </w:p>
    <w:p w14:paraId="5A32A122" w14:textId="4AA27221" w:rsidR="00CF61CF" w:rsidRPr="00D11245" w:rsidRDefault="000E4504" w:rsidP="00454218">
      <w:pPr>
        <w:ind w:left="360"/>
        <w:rPr>
          <w:rFonts w:cstheme="minorHAnsi"/>
          <w:color w:val="000000" w:themeColor="text1"/>
          <w:sz w:val="24"/>
          <w:szCs w:val="24"/>
        </w:rPr>
      </w:pPr>
      <w:r w:rsidRPr="00D11245">
        <w:rPr>
          <w:rFonts w:cstheme="minorHAnsi"/>
          <w:color w:val="000000" w:themeColor="text1"/>
          <w:sz w:val="24"/>
          <w:szCs w:val="24"/>
          <w:vertAlign w:val="superscript"/>
        </w:rPr>
        <w:t>6</w:t>
      </w:r>
      <w:r w:rsidR="004B326A" w:rsidRPr="00D11245">
        <w:rPr>
          <w:rFonts w:cstheme="minorHAnsi"/>
          <w:color w:val="000000" w:themeColor="text1"/>
          <w:sz w:val="24"/>
          <w:szCs w:val="24"/>
        </w:rPr>
        <w:t xml:space="preserve">Department of Histopathology, </w:t>
      </w:r>
      <w:r w:rsidR="00CF61CF" w:rsidRPr="00D11245">
        <w:rPr>
          <w:rFonts w:cstheme="minorHAnsi"/>
          <w:color w:val="000000" w:themeColor="text1"/>
          <w:sz w:val="24"/>
          <w:szCs w:val="24"/>
        </w:rPr>
        <w:t xml:space="preserve">Guys and St Thomas’ NHS Foundation Trust, London, UK </w:t>
      </w:r>
    </w:p>
    <w:p w14:paraId="1C16062E" w14:textId="2B1CFF4B" w:rsidR="00486A56" w:rsidRPr="00D11245" w:rsidRDefault="000E4504" w:rsidP="001E2918">
      <w:pPr>
        <w:ind w:left="360"/>
        <w:rPr>
          <w:rFonts w:cstheme="minorHAnsi"/>
          <w:color w:val="000000" w:themeColor="text1"/>
          <w:sz w:val="24"/>
          <w:szCs w:val="24"/>
        </w:rPr>
      </w:pPr>
      <w:r w:rsidRPr="00D11245">
        <w:rPr>
          <w:rFonts w:cstheme="minorHAnsi"/>
          <w:color w:val="000000" w:themeColor="text1"/>
          <w:sz w:val="24"/>
          <w:szCs w:val="24"/>
          <w:vertAlign w:val="superscript"/>
        </w:rPr>
        <w:t>7</w:t>
      </w:r>
      <w:r w:rsidR="00605891" w:rsidRPr="00D11245">
        <w:rPr>
          <w:rFonts w:cstheme="minorHAnsi"/>
          <w:color w:val="000000" w:themeColor="text1"/>
          <w:sz w:val="24"/>
          <w:szCs w:val="24"/>
        </w:rPr>
        <w:t xml:space="preserve">Department of Gastroenterology, </w:t>
      </w:r>
      <w:r w:rsidR="00CF61CF" w:rsidRPr="00D11245">
        <w:rPr>
          <w:rFonts w:cstheme="minorHAnsi"/>
          <w:color w:val="000000" w:themeColor="text1"/>
          <w:sz w:val="24"/>
          <w:szCs w:val="24"/>
        </w:rPr>
        <w:t xml:space="preserve">Royal Liverpool Hospital, </w:t>
      </w:r>
      <w:r w:rsidR="00605891" w:rsidRPr="00D11245">
        <w:rPr>
          <w:rFonts w:cstheme="minorHAnsi"/>
          <w:color w:val="000000" w:themeColor="text1"/>
          <w:sz w:val="24"/>
          <w:szCs w:val="24"/>
        </w:rPr>
        <w:t xml:space="preserve">Liverpool University Hospitals NHS Foundation Trust, </w:t>
      </w:r>
      <w:r w:rsidR="00CF61CF" w:rsidRPr="00D11245">
        <w:rPr>
          <w:rFonts w:cstheme="minorHAnsi"/>
          <w:color w:val="000000" w:themeColor="text1"/>
          <w:sz w:val="24"/>
          <w:szCs w:val="24"/>
        </w:rPr>
        <w:t>Liverpool, UK</w:t>
      </w:r>
    </w:p>
    <w:p w14:paraId="235E3268" w14:textId="3F981032" w:rsidR="00486A56" w:rsidRPr="00D11245" w:rsidRDefault="00195CB1" w:rsidP="00DC4A23">
      <w:pPr>
        <w:rPr>
          <w:rFonts w:cstheme="minorHAnsi"/>
          <w:b/>
          <w:bCs/>
          <w:color w:val="000000" w:themeColor="text1"/>
          <w:sz w:val="24"/>
          <w:szCs w:val="24"/>
          <w:u w:val="single"/>
        </w:rPr>
      </w:pPr>
      <w:r w:rsidRPr="00D11245">
        <w:rPr>
          <w:rFonts w:cstheme="minorHAnsi"/>
          <w:b/>
          <w:bCs/>
          <w:color w:val="000000" w:themeColor="text1"/>
          <w:sz w:val="24"/>
          <w:szCs w:val="24"/>
          <w:u w:val="single"/>
        </w:rPr>
        <w:t xml:space="preserve">Corresponding author: </w:t>
      </w:r>
    </w:p>
    <w:p w14:paraId="583C201F" w14:textId="69D7097F" w:rsidR="004D4FFD" w:rsidRPr="00D11245" w:rsidRDefault="001E2918" w:rsidP="00A61DD5">
      <w:pPr>
        <w:rPr>
          <w:rFonts w:cstheme="minorHAnsi"/>
          <w:color w:val="000000" w:themeColor="text1"/>
          <w:sz w:val="24"/>
          <w:szCs w:val="24"/>
        </w:rPr>
      </w:pPr>
      <w:r w:rsidRPr="00D11245">
        <w:rPr>
          <w:rFonts w:cstheme="minorHAnsi"/>
          <w:color w:val="000000" w:themeColor="text1"/>
          <w:sz w:val="24"/>
          <w:szCs w:val="24"/>
          <w:vertAlign w:val="superscript"/>
        </w:rPr>
        <w:t>¶</w:t>
      </w:r>
      <w:r w:rsidR="00556587" w:rsidRPr="00D11245">
        <w:rPr>
          <w:rFonts w:cstheme="minorHAnsi"/>
          <w:color w:val="000000" w:themeColor="text1"/>
          <w:sz w:val="24"/>
          <w:szCs w:val="24"/>
        </w:rPr>
        <w:t xml:space="preserve">Professor </w:t>
      </w:r>
      <w:r w:rsidR="00F043EC" w:rsidRPr="00D11245">
        <w:rPr>
          <w:rFonts w:cstheme="minorHAnsi"/>
          <w:color w:val="000000" w:themeColor="text1"/>
          <w:sz w:val="24"/>
          <w:szCs w:val="24"/>
        </w:rPr>
        <w:t xml:space="preserve">Richard CG </w:t>
      </w:r>
      <w:r w:rsidR="00617D3E" w:rsidRPr="00D11245">
        <w:rPr>
          <w:rFonts w:cstheme="minorHAnsi"/>
          <w:color w:val="000000" w:themeColor="text1"/>
          <w:sz w:val="24"/>
          <w:szCs w:val="24"/>
        </w:rPr>
        <w:t>Pollok</w:t>
      </w:r>
      <w:r w:rsidR="00556587" w:rsidRPr="00D11245">
        <w:rPr>
          <w:rFonts w:cstheme="minorHAnsi"/>
          <w:color w:val="000000" w:themeColor="text1"/>
          <w:sz w:val="24"/>
          <w:szCs w:val="24"/>
        </w:rPr>
        <w:t xml:space="preserve">, Department of Gastroenterology, St George’s Hospital NHS Foundation Trust, London, UK; Division of Infection and Immunity, St George’s, University of London, UK. Email: richard.pollok@nhs.net </w:t>
      </w:r>
    </w:p>
    <w:p w14:paraId="0B489CD2" w14:textId="0448F814" w:rsidR="004D4FFD" w:rsidRPr="00D11245" w:rsidRDefault="004D4FFD" w:rsidP="00DC4A23">
      <w:pPr>
        <w:rPr>
          <w:rFonts w:cstheme="minorHAnsi"/>
          <w:b/>
          <w:bCs/>
          <w:color w:val="000000" w:themeColor="text1"/>
          <w:sz w:val="24"/>
          <w:szCs w:val="24"/>
          <w:u w:val="single"/>
        </w:rPr>
      </w:pPr>
      <w:r w:rsidRPr="00D11245">
        <w:rPr>
          <w:rFonts w:cstheme="minorHAnsi"/>
          <w:b/>
          <w:bCs/>
          <w:color w:val="000000" w:themeColor="text1"/>
          <w:sz w:val="24"/>
          <w:szCs w:val="24"/>
          <w:u w:val="single"/>
        </w:rPr>
        <w:t xml:space="preserve">ORCID </w:t>
      </w:r>
      <w:proofErr w:type="spellStart"/>
      <w:r w:rsidRPr="00D11245">
        <w:rPr>
          <w:rFonts w:cstheme="minorHAnsi"/>
          <w:b/>
          <w:bCs/>
          <w:color w:val="000000" w:themeColor="text1"/>
          <w:sz w:val="24"/>
          <w:szCs w:val="24"/>
          <w:u w:val="single"/>
        </w:rPr>
        <w:t>iDs</w:t>
      </w:r>
      <w:proofErr w:type="spellEnd"/>
      <w:r w:rsidRPr="00D11245">
        <w:rPr>
          <w:rFonts w:cstheme="minorHAnsi"/>
          <w:b/>
          <w:bCs/>
          <w:color w:val="000000" w:themeColor="text1"/>
          <w:sz w:val="24"/>
          <w:szCs w:val="24"/>
          <w:u w:val="single"/>
        </w:rPr>
        <w:t>:</w:t>
      </w:r>
    </w:p>
    <w:p w14:paraId="33EE809A" w14:textId="77777777" w:rsidR="00454218" w:rsidRPr="00D11245" w:rsidRDefault="00454218" w:rsidP="00454218">
      <w:pPr>
        <w:jc w:val="both"/>
        <w:rPr>
          <w:rFonts w:cstheme="minorHAnsi"/>
          <w:color w:val="000000" w:themeColor="text1"/>
          <w:sz w:val="24"/>
          <w:szCs w:val="24"/>
        </w:rPr>
      </w:pPr>
      <w:r w:rsidRPr="00D11245">
        <w:rPr>
          <w:rFonts w:cstheme="minorHAnsi"/>
          <w:color w:val="000000" w:themeColor="text1"/>
          <w:sz w:val="24"/>
          <w:szCs w:val="24"/>
        </w:rPr>
        <w:t xml:space="preserve">Joseph COONEY </w:t>
      </w:r>
      <w:hyperlink r:id="rId6" w:history="1">
        <w:r w:rsidRPr="00D11245">
          <w:rPr>
            <w:rStyle w:val="Hyperlink"/>
            <w:rFonts w:cstheme="minorHAnsi"/>
            <w:color w:val="000000" w:themeColor="text1"/>
            <w:sz w:val="24"/>
            <w:szCs w:val="24"/>
          </w:rPr>
          <w:t>https://orcid.org/0000-0002-9295-1625</w:t>
        </w:r>
      </w:hyperlink>
      <w:r w:rsidRPr="00D11245">
        <w:rPr>
          <w:rFonts w:cstheme="minorHAnsi"/>
          <w:color w:val="000000" w:themeColor="text1"/>
          <w:sz w:val="24"/>
          <w:szCs w:val="24"/>
        </w:rPr>
        <w:t xml:space="preserve"> </w:t>
      </w:r>
    </w:p>
    <w:p w14:paraId="37903283" w14:textId="77777777" w:rsidR="00454218" w:rsidRPr="00D11245" w:rsidRDefault="00454218" w:rsidP="00454218">
      <w:pPr>
        <w:jc w:val="both"/>
        <w:rPr>
          <w:rFonts w:cstheme="minorHAnsi"/>
          <w:color w:val="000000" w:themeColor="text1"/>
          <w:sz w:val="24"/>
          <w:szCs w:val="24"/>
        </w:rPr>
      </w:pPr>
      <w:r w:rsidRPr="00D11245">
        <w:rPr>
          <w:rFonts w:cstheme="minorHAnsi"/>
          <w:color w:val="000000" w:themeColor="text1"/>
          <w:sz w:val="24"/>
          <w:szCs w:val="24"/>
        </w:rPr>
        <w:t xml:space="preserve">Spyros SIAKAVELLAS </w:t>
      </w:r>
      <w:hyperlink r:id="rId7" w:history="1">
        <w:r w:rsidRPr="00D11245">
          <w:rPr>
            <w:rStyle w:val="Hyperlink"/>
            <w:rFonts w:cstheme="minorHAnsi"/>
            <w:color w:val="000000" w:themeColor="text1"/>
            <w:sz w:val="24"/>
            <w:szCs w:val="24"/>
          </w:rPr>
          <w:t>https://orcid.org/0000-0001-8217-8950</w:t>
        </w:r>
      </w:hyperlink>
      <w:r w:rsidRPr="00D11245">
        <w:rPr>
          <w:rFonts w:cstheme="minorHAnsi"/>
          <w:color w:val="000000" w:themeColor="text1"/>
          <w:sz w:val="24"/>
          <w:szCs w:val="24"/>
        </w:rPr>
        <w:t xml:space="preserve"> </w:t>
      </w:r>
    </w:p>
    <w:p w14:paraId="4A5214D0" w14:textId="77777777" w:rsidR="00454218" w:rsidRPr="00D11245" w:rsidRDefault="00454218" w:rsidP="00454218">
      <w:pPr>
        <w:jc w:val="both"/>
        <w:rPr>
          <w:rFonts w:cstheme="minorHAnsi"/>
          <w:color w:val="000000" w:themeColor="text1"/>
          <w:sz w:val="24"/>
          <w:szCs w:val="24"/>
        </w:rPr>
      </w:pPr>
      <w:r w:rsidRPr="00D11245">
        <w:rPr>
          <w:rFonts w:cstheme="minorHAnsi"/>
          <w:color w:val="000000" w:themeColor="text1"/>
          <w:sz w:val="24"/>
          <w:szCs w:val="24"/>
        </w:rPr>
        <w:t xml:space="preserve">Peter L CHIODINI </w:t>
      </w:r>
      <w:hyperlink r:id="rId8" w:history="1">
        <w:r w:rsidRPr="00D11245">
          <w:rPr>
            <w:rStyle w:val="Hyperlink"/>
            <w:rFonts w:cstheme="minorHAnsi"/>
            <w:color w:val="000000" w:themeColor="text1"/>
            <w:sz w:val="24"/>
            <w:szCs w:val="24"/>
          </w:rPr>
          <w:t>https://orcid.org/0000-0003-0317-7090</w:t>
        </w:r>
      </w:hyperlink>
    </w:p>
    <w:p w14:paraId="06E26AFE" w14:textId="77777777" w:rsidR="00454218" w:rsidRPr="00D11245" w:rsidRDefault="00454218" w:rsidP="00454218">
      <w:pPr>
        <w:jc w:val="both"/>
        <w:rPr>
          <w:rFonts w:cstheme="minorHAnsi"/>
          <w:color w:val="000000" w:themeColor="text1"/>
          <w:sz w:val="24"/>
          <w:szCs w:val="24"/>
        </w:rPr>
      </w:pPr>
      <w:r w:rsidRPr="00D11245">
        <w:rPr>
          <w:rFonts w:cstheme="minorHAnsi"/>
          <w:color w:val="000000" w:themeColor="text1"/>
          <w:sz w:val="24"/>
          <w:szCs w:val="24"/>
        </w:rPr>
        <w:t xml:space="preserve">Ula MAHADEVA </w:t>
      </w:r>
      <w:hyperlink r:id="rId9" w:history="1">
        <w:r w:rsidRPr="00D11245">
          <w:rPr>
            <w:rStyle w:val="Hyperlink"/>
            <w:rFonts w:cstheme="minorHAnsi"/>
            <w:color w:val="000000" w:themeColor="text1"/>
            <w:sz w:val="24"/>
            <w:szCs w:val="24"/>
          </w:rPr>
          <w:t>https://orcid.org/0000-0002-9459-3403</w:t>
        </w:r>
      </w:hyperlink>
    </w:p>
    <w:p w14:paraId="0D928ECB" w14:textId="77777777" w:rsidR="00454218" w:rsidRPr="00D11245" w:rsidRDefault="00454218" w:rsidP="00454218">
      <w:pPr>
        <w:jc w:val="both"/>
        <w:rPr>
          <w:rStyle w:val="Hyperlink"/>
          <w:rFonts w:cstheme="minorHAnsi"/>
          <w:color w:val="000000" w:themeColor="text1"/>
          <w:sz w:val="24"/>
          <w:szCs w:val="24"/>
        </w:rPr>
      </w:pPr>
      <w:r w:rsidRPr="00D11245">
        <w:rPr>
          <w:rFonts w:cstheme="minorHAnsi"/>
          <w:color w:val="000000" w:themeColor="text1"/>
          <w:sz w:val="24"/>
          <w:szCs w:val="24"/>
        </w:rPr>
        <w:t xml:space="preserve">Gauri GODBOLE </w:t>
      </w:r>
      <w:hyperlink r:id="rId10" w:history="1">
        <w:r w:rsidRPr="00D11245">
          <w:rPr>
            <w:rStyle w:val="Hyperlink"/>
            <w:rFonts w:cstheme="minorHAnsi"/>
            <w:color w:val="000000" w:themeColor="text1"/>
            <w:sz w:val="24"/>
            <w:szCs w:val="24"/>
          </w:rPr>
          <w:t>https://orcid.org/0000-0002-5846-8517</w:t>
        </w:r>
      </w:hyperlink>
    </w:p>
    <w:p w14:paraId="13F14218" w14:textId="668F8638" w:rsidR="00454218" w:rsidRPr="00D11245" w:rsidRDefault="00454218" w:rsidP="00454218">
      <w:pPr>
        <w:jc w:val="both"/>
        <w:rPr>
          <w:rFonts w:cstheme="minorHAnsi"/>
          <w:color w:val="000000" w:themeColor="text1"/>
          <w:sz w:val="24"/>
          <w:szCs w:val="24"/>
        </w:rPr>
      </w:pPr>
      <w:r w:rsidRPr="00D11245">
        <w:rPr>
          <w:rFonts w:cstheme="minorHAnsi"/>
          <w:color w:val="000000" w:themeColor="text1"/>
          <w:sz w:val="24"/>
          <w:szCs w:val="24"/>
        </w:rPr>
        <w:t>Richard</w:t>
      </w:r>
      <w:r w:rsidR="001E2918" w:rsidRPr="00D11245">
        <w:rPr>
          <w:rFonts w:cstheme="minorHAnsi"/>
          <w:color w:val="000000" w:themeColor="text1"/>
          <w:sz w:val="24"/>
          <w:szCs w:val="24"/>
        </w:rPr>
        <w:t xml:space="preserve"> CG</w:t>
      </w:r>
      <w:r w:rsidRPr="00D11245">
        <w:rPr>
          <w:rFonts w:cstheme="minorHAnsi"/>
          <w:color w:val="000000" w:themeColor="text1"/>
          <w:sz w:val="24"/>
          <w:szCs w:val="24"/>
        </w:rPr>
        <w:t xml:space="preserve"> POLLOK </w:t>
      </w:r>
      <w:hyperlink r:id="rId11" w:history="1">
        <w:r w:rsidRPr="00D11245">
          <w:rPr>
            <w:rStyle w:val="Hyperlink"/>
            <w:rFonts w:cstheme="minorHAnsi"/>
            <w:color w:val="000000" w:themeColor="text1"/>
            <w:sz w:val="24"/>
            <w:szCs w:val="24"/>
          </w:rPr>
          <w:t>https://orcid.org/0000-0001-6452-6763</w:t>
        </w:r>
      </w:hyperlink>
    </w:p>
    <w:p w14:paraId="5627FDDA" w14:textId="59EF6B5E" w:rsidR="00A61DD5" w:rsidRPr="00D11245" w:rsidRDefault="00454218" w:rsidP="00A61DD5">
      <w:pPr>
        <w:jc w:val="both"/>
        <w:rPr>
          <w:rFonts w:cstheme="minorHAnsi"/>
          <w:color w:val="000000" w:themeColor="text1"/>
          <w:sz w:val="24"/>
          <w:szCs w:val="24"/>
        </w:rPr>
      </w:pPr>
      <w:r w:rsidRPr="00D11245">
        <w:rPr>
          <w:rFonts w:cstheme="minorHAnsi"/>
          <w:color w:val="000000" w:themeColor="text1"/>
          <w:sz w:val="24"/>
          <w:szCs w:val="24"/>
        </w:rPr>
        <w:t xml:space="preserve">Philip </w:t>
      </w:r>
      <w:r w:rsidR="001E2918" w:rsidRPr="00D11245">
        <w:rPr>
          <w:rFonts w:cstheme="minorHAnsi"/>
          <w:color w:val="000000" w:themeColor="text1"/>
          <w:sz w:val="24"/>
          <w:szCs w:val="24"/>
        </w:rPr>
        <w:t xml:space="preserve">J </w:t>
      </w:r>
      <w:r w:rsidRPr="00D11245">
        <w:rPr>
          <w:rFonts w:cstheme="minorHAnsi"/>
          <w:color w:val="000000" w:themeColor="text1"/>
          <w:sz w:val="24"/>
          <w:szCs w:val="24"/>
        </w:rPr>
        <w:t xml:space="preserve">SMITH </w:t>
      </w:r>
      <w:hyperlink r:id="rId12" w:history="1">
        <w:r w:rsidRPr="00D11245">
          <w:rPr>
            <w:rStyle w:val="Hyperlink"/>
            <w:rFonts w:cstheme="minorHAnsi"/>
            <w:color w:val="000000" w:themeColor="text1"/>
            <w:sz w:val="24"/>
            <w:szCs w:val="24"/>
          </w:rPr>
          <w:t>https://orcid.org/0000-0003-1568-3978</w:t>
        </w:r>
      </w:hyperlink>
    </w:p>
    <w:p w14:paraId="02960F1C" w14:textId="631FCDD3" w:rsidR="00A61DD5" w:rsidRPr="00D11245" w:rsidRDefault="00A61DD5" w:rsidP="00A61DD5">
      <w:pPr>
        <w:jc w:val="both"/>
        <w:rPr>
          <w:rFonts w:cstheme="minorHAnsi"/>
          <w:color w:val="000000" w:themeColor="text1"/>
          <w:sz w:val="24"/>
          <w:szCs w:val="24"/>
          <w:u w:val="single"/>
        </w:rPr>
      </w:pPr>
      <w:r w:rsidRPr="00D11245">
        <w:rPr>
          <w:rFonts w:cstheme="minorHAnsi"/>
          <w:color w:val="000000" w:themeColor="text1"/>
          <w:sz w:val="24"/>
          <w:szCs w:val="24"/>
          <w:u w:val="single"/>
        </w:rPr>
        <w:t>Conflicts of interest:</w:t>
      </w:r>
    </w:p>
    <w:p w14:paraId="51CE537A" w14:textId="77777777" w:rsidR="00A61DD5" w:rsidRPr="00D11245" w:rsidRDefault="00A61DD5" w:rsidP="00A61DD5">
      <w:pPr>
        <w:jc w:val="both"/>
        <w:rPr>
          <w:rFonts w:cstheme="minorHAnsi"/>
          <w:color w:val="000000" w:themeColor="text1"/>
          <w:sz w:val="24"/>
          <w:szCs w:val="24"/>
        </w:rPr>
      </w:pPr>
      <w:r w:rsidRPr="00D11245">
        <w:rPr>
          <w:rFonts w:cstheme="minorHAnsi"/>
          <w:color w:val="000000" w:themeColor="text1"/>
          <w:sz w:val="24"/>
          <w:szCs w:val="24"/>
        </w:rPr>
        <w:t>PJS is an Honorary Consultant Gastroenterologist at the Royal Liverpool University Hospital and Deputy Editor of Frontline Gastroenterology at the time of submission of this article. He has no other conflicts of interest in relation to this article.</w:t>
      </w:r>
    </w:p>
    <w:p w14:paraId="736552E6" w14:textId="77777777" w:rsidR="00A61DD5" w:rsidRPr="00D11245" w:rsidRDefault="00A61DD5" w:rsidP="00A61DD5">
      <w:pPr>
        <w:jc w:val="both"/>
        <w:rPr>
          <w:rFonts w:cstheme="minorHAnsi"/>
          <w:color w:val="000000" w:themeColor="text1"/>
          <w:sz w:val="24"/>
          <w:szCs w:val="24"/>
        </w:rPr>
      </w:pPr>
      <w:r w:rsidRPr="00D11245">
        <w:rPr>
          <w:rFonts w:cstheme="minorHAnsi"/>
          <w:color w:val="000000" w:themeColor="text1"/>
          <w:sz w:val="24"/>
          <w:szCs w:val="24"/>
        </w:rPr>
        <w:t xml:space="preserve">JC, SS, PLC, UM, GG and RCGP declare no conflicts of interest in relation to this article. </w:t>
      </w:r>
    </w:p>
    <w:p w14:paraId="112A41C3" w14:textId="77777777" w:rsidR="00A61DD5" w:rsidRPr="00D11245" w:rsidRDefault="00A61DD5" w:rsidP="00A61DD5">
      <w:pPr>
        <w:jc w:val="both"/>
        <w:rPr>
          <w:rFonts w:cstheme="minorHAnsi"/>
          <w:b/>
          <w:bCs/>
          <w:color w:val="000000" w:themeColor="text1"/>
          <w:sz w:val="24"/>
          <w:szCs w:val="24"/>
          <w:u w:val="single"/>
        </w:rPr>
      </w:pPr>
      <w:r w:rsidRPr="00D11245">
        <w:rPr>
          <w:rFonts w:cstheme="minorHAnsi"/>
          <w:b/>
          <w:bCs/>
          <w:color w:val="000000" w:themeColor="text1"/>
          <w:sz w:val="24"/>
          <w:szCs w:val="24"/>
          <w:u w:val="single"/>
        </w:rPr>
        <w:lastRenderedPageBreak/>
        <w:t xml:space="preserve">Funding: </w:t>
      </w:r>
    </w:p>
    <w:p w14:paraId="1D29813A" w14:textId="77777777" w:rsidR="00A61DD5" w:rsidRPr="00D11245" w:rsidRDefault="00A61DD5" w:rsidP="00A61DD5">
      <w:pPr>
        <w:jc w:val="both"/>
        <w:rPr>
          <w:rFonts w:cstheme="minorHAnsi"/>
          <w:color w:val="000000" w:themeColor="text1"/>
          <w:sz w:val="24"/>
          <w:szCs w:val="24"/>
        </w:rPr>
      </w:pPr>
      <w:r w:rsidRPr="00D11245">
        <w:rPr>
          <w:rFonts w:cstheme="minorHAnsi"/>
          <w:color w:val="000000" w:themeColor="text1"/>
          <w:sz w:val="24"/>
          <w:szCs w:val="24"/>
        </w:rPr>
        <w:t>Not applicable</w:t>
      </w:r>
    </w:p>
    <w:p w14:paraId="5C4F4810" w14:textId="77777777" w:rsidR="00A61DD5" w:rsidRPr="00D11245" w:rsidRDefault="00A61DD5" w:rsidP="00A61DD5">
      <w:pPr>
        <w:jc w:val="both"/>
        <w:rPr>
          <w:rFonts w:cstheme="minorHAnsi"/>
          <w:b/>
          <w:bCs/>
          <w:color w:val="000000" w:themeColor="text1"/>
          <w:sz w:val="24"/>
          <w:szCs w:val="24"/>
          <w:u w:val="single"/>
        </w:rPr>
      </w:pPr>
      <w:r w:rsidRPr="00D11245">
        <w:rPr>
          <w:rFonts w:cstheme="minorHAnsi"/>
          <w:b/>
          <w:bCs/>
          <w:color w:val="000000" w:themeColor="text1"/>
          <w:sz w:val="24"/>
          <w:szCs w:val="24"/>
          <w:u w:val="single"/>
        </w:rPr>
        <w:t>Author contributions:</w:t>
      </w:r>
    </w:p>
    <w:p w14:paraId="688C7E47" w14:textId="0AE92642" w:rsidR="00A61DD5" w:rsidRPr="00D11245" w:rsidRDefault="00A61DD5" w:rsidP="00A61DD5">
      <w:pPr>
        <w:jc w:val="both"/>
        <w:rPr>
          <w:rFonts w:cstheme="minorHAnsi"/>
          <w:color w:val="000000" w:themeColor="text1"/>
          <w:sz w:val="24"/>
          <w:szCs w:val="24"/>
        </w:rPr>
      </w:pPr>
      <w:r w:rsidRPr="00D11245">
        <w:rPr>
          <w:rFonts w:cstheme="minorHAnsi"/>
          <w:color w:val="000000" w:themeColor="text1"/>
          <w:sz w:val="24"/>
          <w:szCs w:val="24"/>
        </w:rPr>
        <w:t xml:space="preserve">Conception and design: JC, RCGP, PJS; Literature review: JC and SS; initial draft JC, SS, PC, GG, UM, </w:t>
      </w:r>
      <w:r w:rsidR="00DA5339" w:rsidRPr="00D11245">
        <w:rPr>
          <w:rFonts w:cstheme="minorHAnsi"/>
          <w:color w:val="000000" w:themeColor="text1"/>
          <w:sz w:val="24"/>
          <w:szCs w:val="24"/>
        </w:rPr>
        <w:t xml:space="preserve">PJS and </w:t>
      </w:r>
      <w:r w:rsidRPr="00D11245">
        <w:rPr>
          <w:rFonts w:cstheme="minorHAnsi"/>
          <w:color w:val="000000" w:themeColor="text1"/>
          <w:sz w:val="24"/>
          <w:szCs w:val="24"/>
        </w:rPr>
        <w:t>RCGP. All authors contributed to critical revisions and final draft.</w:t>
      </w:r>
      <w:r w:rsidR="004525B3" w:rsidRPr="00D11245">
        <w:rPr>
          <w:rFonts w:cstheme="minorHAnsi"/>
          <w:color w:val="000000" w:themeColor="text1"/>
          <w:sz w:val="24"/>
          <w:szCs w:val="24"/>
        </w:rPr>
        <w:t xml:space="preserve">  PJS and RCGP are the guarantors.</w:t>
      </w:r>
    </w:p>
    <w:p w14:paraId="63E5EFEF" w14:textId="77777777" w:rsidR="001E2918" w:rsidRPr="00D11245" w:rsidRDefault="001E2918" w:rsidP="001E2918">
      <w:pPr>
        <w:rPr>
          <w:rFonts w:cstheme="minorHAnsi"/>
          <w:b/>
          <w:bCs/>
          <w:color w:val="000000" w:themeColor="text1"/>
          <w:sz w:val="24"/>
          <w:szCs w:val="24"/>
          <w:u w:val="single"/>
        </w:rPr>
      </w:pPr>
      <w:r w:rsidRPr="00D11245">
        <w:rPr>
          <w:rFonts w:cstheme="minorHAnsi"/>
          <w:b/>
          <w:bCs/>
          <w:color w:val="000000" w:themeColor="text1"/>
          <w:sz w:val="24"/>
          <w:szCs w:val="24"/>
          <w:u w:val="single"/>
        </w:rPr>
        <w:t xml:space="preserve">Acknowledgements: </w:t>
      </w:r>
    </w:p>
    <w:p w14:paraId="30D7DA7E" w14:textId="23F31F3D" w:rsidR="001E2918" w:rsidRPr="00D11245" w:rsidRDefault="001E2918" w:rsidP="00A61DD5">
      <w:pPr>
        <w:jc w:val="both"/>
        <w:rPr>
          <w:rFonts w:cstheme="minorHAnsi"/>
          <w:color w:val="000000" w:themeColor="text1"/>
          <w:sz w:val="24"/>
          <w:szCs w:val="24"/>
        </w:rPr>
      </w:pPr>
      <w:r w:rsidRPr="00D11245">
        <w:rPr>
          <w:rFonts w:cstheme="minorHAnsi"/>
          <w:color w:val="000000" w:themeColor="text1"/>
          <w:sz w:val="24"/>
          <w:szCs w:val="24"/>
        </w:rPr>
        <w:t xml:space="preserve">We are grateful to the Gastroenterology and Radiology Departments of St George’s Hospital NHS Trust for provision of images included in this article. </w:t>
      </w:r>
      <w:r w:rsidRPr="00D11245">
        <w:rPr>
          <w:rFonts w:cstheme="minorHAnsi"/>
          <w:color w:val="000000" w:themeColor="text1"/>
          <w:kern w:val="0"/>
          <w:sz w:val="24"/>
          <w:szCs w:val="24"/>
          <w14:ligatures w14:val="none"/>
        </w:rPr>
        <w:t>We thank Guys and St Thomas’ NHS Foundation Trust Histopathology Department for allowing access to histopathology images.</w:t>
      </w:r>
      <w:r w:rsidR="00F97D1C" w:rsidRPr="00D11245">
        <w:rPr>
          <w:rFonts w:cstheme="minorHAnsi"/>
          <w:color w:val="000000" w:themeColor="text1"/>
          <w:kern w:val="0"/>
          <w:sz w:val="24"/>
          <w:szCs w:val="24"/>
          <w14:ligatures w14:val="none"/>
        </w:rPr>
        <w:t xml:space="preserve"> We thank </w:t>
      </w:r>
      <w:r w:rsidR="00A112AC" w:rsidRPr="00D11245">
        <w:rPr>
          <w:rFonts w:cstheme="minorHAnsi"/>
          <w:color w:val="000000" w:themeColor="text1"/>
          <w:kern w:val="0"/>
          <w:sz w:val="24"/>
          <w:szCs w:val="24"/>
          <w14:ligatures w14:val="none"/>
        </w:rPr>
        <w:t>CDC (</w:t>
      </w:r>
      <w:r w:rsidR="00F97D1C" w:rsidRPr="00D11245">
        <w:rPr>
          <w:rFonts w:cstheme="minorHAnsi"/>
          <w:color w:val="000000" w:themeColor="text1"/>
          <w:kern w:val="0"/>
          <w:sz w:val="24"/>
          <w:szCs w:val="24"/>
          <w14:ligatures w14:val="none"/>
        </w:rPr>
        <w:t>Centers for Disease Control and Prevention</w:t>
      </w:r>
      <w:r w:rsidR="00EE3041" w:rsidRPr="00D11245">
        <w:rPr>
          <w:rFonts w:cstheme="minorHAnsi"/>
          <w:color w:val="000000" w:themeColor="text1"/>
          <w:kern w:val="0"/>
          <w:sz w:val="24"/>
          <w:szCs w:val="24"/>
          <w14:ligatures w14:val="none"/>
        </w:rPr>
        <w:t xml:space="preserve">, </w:t>
      </w:r>
      <w:r w:rsidR="00EE3041" w:rsidRPr="00D11245">
        <w:rPr>
          <w:rFonts w:cstheme="minorHAnsi"/>
          <w:color w:val="000000" w:themeColor="text1"/>
          <w:sz w:val="24"/>
          <w:szCs w:val="24"/>
        </w:rPr>
        <w:t>Atlanta, Georgia, USA</w:t>
      </w:r>
      <w:r w:rsidR="00A112AC" w:rsidRPr="00D11245">
        <w:rPr>
          <w:rFonts w:cstheme="minorHAnsi"/>
          <w:color w:val="000000" w:themeColor="text1"/>
          <w:kern w:val="0"/>
          <w:sz w:val="24"/>
          <w:szCs w:val="24"/>
          <w14:ligatures w14:val="none"/>
        </w:rPr>
        <w:t>)</w:t>
      </w:r>
      <w:r w:rsidR="00F97D1C" w:rsidRPr="00D11245">
        <w:rPr>
          <w:rFonts w:cstheme="minorHAnsi"/>
          <w:color w:val="000000" w:themeColor="text1"/>
          <w:kern w:val="0"/>
          <w:sz w:val="24"/>
          <w:szCs w:val="24"/>
          <w14:ligatures w14:val="none"/>
        </w:rPr>
        <w:t xml:space="preserve"> for use of their </w:t>
      </w:r>
      <w:r w:rsidR="00A112AC" w:rsidRPr="00D11245">
        <w:rPr>
          <w:rFonts w:cstheme="minorHAnsi"/>
          <w:color w:val="000000" w:themeColor="text1"/>
          <w:kern w:val="0"/>
          <w:sz w:val="24"/>
          <w:szCs w:val="24"/>
          <w14:ligatures w14:val="none"/>
        </w:rPr>
        <w:t xml:space="preserve">figure </w:t>
      </w:r>
      <w:r w:rsidR="00F97D1C" w:rsidRPr="00D11245">
        <w:rPr>
          <w:rFonts w:cstheme="minorHAnsi"/>
          <w:color w:val="000000" w:themeColor="text1"/>
          <w:kern w:val="0"/>
          <w:sz w:val="24"/>
          <w:szCs w:val="24"/>
          <w14:ligatures w14:val="none"/>
        </w:rPr>
        <w:t xml:space="preserve">on </w:t>
      </w:r>
      <w:r w:rsidR="00F97D1C" w:rsidRPr="00D11245">
        <w:rPr>
          <w:rFonts w:cstheme="minorHAnsi"/>
          <w:i/>
          <w:iCs/>
          <w:color w:val="000000" w:themeColor="text1"/>
          <w:kern w:val="0"/>
          <w:sz w:val="24"/>
          <w:szCs w:val="24"/>
          <w14:ligatures w14:val="none"/>
        </w:rPr>
        <w:t xml:space="preserve">Entamoeba histolytica </w:t>
      </w:r>
      <w:r w:rsidR="00F97D1C" w:rsidRPr="00D11245">
        <w:rPr>
          <w:rFonts w:cstheme="minorHAnsi"/>
          <w:color w:val="000000" w:themeColor="text1"/>
          <w:kern w:val="0"/>
          <w:sz w:val="24"/>
          <w:szCs w:val="24"/>
          <w14:ligatures w14:val="none"/>
        </w:rPr>
        <w:t xml:space="preserve">life cycle </w:t>
      </w:r>
      <w:r w:rsidR="00DA5339" w:rsidRPr="00D11245">
        <w:rPr>
          <w:rFonts w:cstheme="minorHAnsi"/>
          <w:color w:val="000000" w:themeColor="text1"/>
          <w:kern w:val="0"/>
          <w:sz w:val="24"/>
          <w:szCs w:val="24"/>
          <w14:ligatures w14:val="none"/>
        </w:rPr>
        <w:t xml:space="preserve">which we have re-drawn and adapted </w:t>
      </w:r>
      <w:r w:rsidR="00F97D1C" w:rsidRPr="00D11245">
        <w:rPr>
          <w:rFonts w:cstheme="minorHAnsi"/>
          <w:color w:val="000000" w:themeColor="text1"/>
          <w:kern w:val="0"/>
          <w:sz w:val="24"/>
          <w:szCs w:val="24"/>
          <w14:ligatures w14:val="none"/>
        </w:rPr>
        <w:t>(Figure 1)</w:t>
      </w:r>
      <w:r w:rsidR="00DA5339" w:rsidRPr="00D11245">
        <w:rPr>
          <w:rFonts w:cstheme="minorHAnsi"/>
          <w:color w:val="000000" w:themeColor="text1"/>
          <w:kern w:val="0"/>
          <w:sz w:val="24"/>
          <w:szCs w:val="24"/>
          <w14:ligatures w14:val="none"/>
        </w:rPr>
        <w:t xml:space="preserve">. The original figure </w:t>
      </w:r>
      <w:r w:rsidR="00F97D1C" w:rsidRPr="00D11245">
        <w:rPr>
          <w:rFonts w:cstheme="minorHAnsi"/>
          <w:color w:val="000000" w:themeColor="text1"/>
          <w:kern w:val="0"/>
          <w:sz w:val="24"/>
          <w:szCs w:val="24"/>
          <w14:ligatures w14:val="none"/>
        </w:rPr>
        <w:t xml:space="preserve">is available free of charge on their website – </w:t>
      </w:r>
      <w:hyperlink r:id="rId13" w:history="1">
        <w:r w:rsidR="00F97D1C" w:rsidRPr="00D11245">
          <w:rPr>
            <w:rStyle w:val="Hyperlink"/>
            <w:rFonts w:cstheme="minorHAnsi"/>
            <w:color w:val="000000" w:themeColor="text1"/>
            <w:kern w:val="0"/>
            <w:sz w:val="24"/>
            <w:szCs w:val="24"/>
            <w14:ligatures w14:val="none"/>
          </w:rPr>
          <w:t>https://www.cdc.gov/dpdx/amebiasis/</w:t>
        </w:r>
      </w:hyperlink>
      <w:r w:rsidR="00F97D1C" w:rsidRPr="00D11245">
        <w:rPr>
          <w:rFonts w:cstheme="minorHAnsi"/>
          <w:color w:val="000000" w:themeColor="text1"/>
          <w:kern w:val="0"/>
          <w:sz w:val="24"/>
          <w:szCs w:val="24"/>
          <w14:ligatures w14:val="none"/>
        </w:rPr>
        <w:t>. Use of this material does not imply endorsement by CDC, ATSDR</w:t>
      </w:r>
      <w:r w:rsidR="00EE3041" w:rsidRPr="00D11245">
        <w:rPr>
          <w:rFonts w:cstheme="minorHAnsi"/>
          <w:color w:val="000000" w:themeColor="text1"/>
          <w:kern w:val="0"/>
          <w:sz w:val="24"/>
          <w:szCs w:val="24"/>
          <w14:ligatures w14:val="none"/>
        </w:rPr>
        <w:t xml:space="preserve"> (</w:t>
      </w:r>
      <w:r w:rsidR="00EE3041" w:rsidRPr="00D11245">
        <w:rPr>
          <w:rFonts w:cstheme="minorHAnsi"/>
          <w:color w:val="000000" w:themeColor="text1"/>
          <w:kern w:val="0"/>
          <w:sz w:val="24"/>
          <w:szCs w:val="24"/>
          <w14:ligatures w14:val="none"/>
        </w:rPr>
        <w:t>Agency for Toxic Substances and Disease Registry</w:t>
      </w:r>
      <w:r w:rsidR="00EE3041" w:rsidRPr="00D11245">
        <w:rPr>
          <w:rFonts w:cstheme="minorHAnsi"/>
          <w:color w:val="000000" w:themeColor="text1"/>
          <w:kern w:val="0"/>
          <w:sz w:val="24"/>
          <w:szCs w:val="24"/>
          <w14:ligatures w14:val="none"/>
        </w:rPr>
        <w:t>, Atlanta, Georgia, USA)</w:t>
      </w:r>
      <w:r w:rsidR="00F97D1C" w:rsidRPr="00D11245">
        <w:rPr>
          <w:rFonts w:cstheme="minorHAnsi"/>
          <w:color w:val="000000" w:themeColor="text1"/>
          <w:kern w:val="0"/>
          <w:sz w:val="24"/>
          <w:szCs w:val="24"/>
          <w14:ligatures w14:val="none"/>
        </w:rPr>
        <w:t>, HHS</w:t>
      </w:r>
      <w:r w:rsidR="00EE3041" w:rsidRPr="00D11245">
        <w:rPr>
          <w:rFonts w:cstheme="minorHAnsi"/>
          <w:color w:val="000000" w:themeColor="text1"/>
          <w:kern w:val="0"/>
          <w:sz w:val="24"/>
          <w:szCs w:val="24"/>
          <w14:ligatures w14:val="none"/>
        </w:rPr>
        <w:t xml:space="preserve"> (</w:t>
      </w:r>
      <w:r w:rsidR="00EE3041" w:rsidRPr="00D11245">
        <w:rPr>
          <w:rFonts w:cstheme="minorHAnsi"/>
          <w:color w:val="000000" w:themeColor="text1"/>
          <w:kern w:val="0"/>
          <w:sz w:val="24"/>
          <w:szCs w:val="24"/>
          <w14:ligatures w14:val="none"/>
        </w:rPr>
        <w:t>United States Department of Health and Human Services</w:t>
      </w:r>
      <w:r w:rsidR="00EE3041" w:rsidRPr="00D11245">
        <w:rPr>
          <w:rFonts w:cstheme="minorHAnsi"/>
          <w:color w:val="000000" w:themeColor="text1"/>
          <w:kern w:val="0"/>
          <w:sz w:val="24"/>
          <w:szCs w:val="24"/>
          <w14:ligatures w14:val="none"/>
        </w:rPr>
        <w:t>, Washington D.C., USA)</w:t>
      </w:r>
      <w:r w:rsidR="00F97D1C" w:rsidRPr="00D11245">
        <w:rPr>
          <w:rFonts w:cstheme="minorHAnsi"/>
          <w:color w:val="000000" w:themeColor="text1"/>
          <w:kern w:val="0"/>
          <w:sz w:val="24"/>
          <w:szCs w:val="24"/>
          <w14:ligatures w14:val="none"/>
        </w:rPr>
        <w:t xml:space="preserve"> or the United States Government.</w:t>
      </w:r>
    </w:p>
    <w:p w14:paraId="1DE41BD5" w14:textId="56CE79F0" w:rsidR="00A61DD5" w:rsidRPr="00D11245" w:rsidRDefault="00A61DD5" w:rsidP="00A61DD5">
      <w:pPr>
        <w:jc w:val="both"/>
        <w:rPr>
          <w:rFonts w:cstheme="minorHAnsi"/>
          <w:color w:val="000000" w:themeColor="text1"/>
          <w:sz w:val="24"/>
          <w:szCs w:val="24"/>
        </w:rPr>
      </w:pPr>
      <w:r w:rsidRPr="00D11245">
        <w:rPr>
          <w:rFonts w:cstheme="minorHAnsi"/>
          <w:b/>
          <w:bCs/>
          <w:color w:val="000000" w:themeColor="text1"/>
          <w:sz w:val="24"/>
          <w:szCs w:val="24"/>
          <w:u w:val="single"/>
        </w:rPr>
        <w:t>Keywords:</w:t>
      </w:r>
      <w:r w:rsidRPr="00D11245">
        <w:rPr>
          <w:rFonts w:cstheme="minorHAnsi"/>
          <w:color w:val="000000" w:themeColor="text1"/>
          <w:sz w:val="24"/>
          <w:szCs w:val="24"/>
        </w:rPr>
        <w:t xml:space="preserve"> Amoebiasis, Entamoeba, Inflammatory bowel disease, </w:t>
      </w:r>
      <w:r w:rsidR="001E2918" w:rsidRPr="00D11245">
        <w:rPr>
          <w:rFonts w:cstheme="minorHAnsi"/>
          <w:color w:val="000000" w:themeColor="text1"/>
          <w:sz w:val="24"/>
          <w:szCs w:val="24"/>
        </w:rPr>
        <w:t xml:space="preserve">colitis, dysentery, </w:t>
      </w:r>
      <w:r w:rsidRPr="00D11245">
        <w:rPr>
          <w:rFonts w:cstheme="minorHAnsi"/>
          <w:color w:val="000000" w:themeColor="text1"/>
          <w:sz w:val="24"/>
          <w:szCs w:val="24"/>
        </w:rPr>
        <w:t>diarrhoea, liver abscess</w:t>
      </w:r>
    </w:p>
    <w:p w14:paraId="444224FA" w14:textId="674F5972" w:rsidR="00A61DD5" w:rsidRPr="00D11245" w:rsidRDefault="00A61DD5" w:rsidP="00A61DD5">
      <w:pPr>
        <w:jc w:val="both"/>
        <w:rPr>
          <w:rFonts w:cstheme="minorHAnsi"/>
          <w:color w:val="000000" w:themeColor="text1"/>
          <w:sz w:val="24"/>
          <w:szCs w:val="24"/>
          <w:u w:val="single"/>
        </w:rPr>
      </w:pPr>
      <w:r w:rsidRPr="00D11245">
        <w:rPr>
          <w:rFonts w:cstheme="minorHAnsi"/>
          <w:b/>
          <w:bCs/>
          <w:color w:val="000000" w:themeColor="text1"/>
          <w:sz w:val="24"/>
          <w:szCs w:val="24"/>
          <w:u w:val="single"/>
        </w:rPr>
        <w:t>Word count:</w:t>
      </w:r>
      <w:r w:rsidRPr="00D11245">
        <w:rPr>
          <w:rFonts w:cstheme="minorHAnsi"/>
          <w:color w:val="000000" w:themeColor="text1"/>
          <w:sz w:val="24"/>
          <w:szCs w:val="24"/>
        </w:rPr>
        <w:t xml:space="preserve"> </w:t>
      </w:r>
      <w:r w:rsidR="00113C44" w:rsidRPr="00D11245">
        <w:rPr>
          <w:rFonts w:cstheme="minorHAnsi"/>
          <w:color w:val="000000" w:themeColor="text1"/>
          <w:sz w:val="24"/>
          <w:szCs w:val="24"/>
        </w:rPr>
        <w:t>3982</w:t>
      </w:r>
      <w:r w:rsidR="005D004E" w:rsidRPr="00D11245">
        <w:rPr>
          <w:rFonts w:cstheme="minorHAnsi"/>
          <w:color w:val="000000" w:themeColor="text1"/>
          <w:sz w:val="24"/>
          <w:szCs w:val="24"/>
        </w:rPr>
        <w:t xml:space="preserve"> </w:t>
      </w:r>
      <w:r w:rsidRPr="00D11245">
        <w:rPr>
          <w:rFonts w:cstheme="minorHAnsi"/>
          <w:color w:val="000000" w:themeColor="text1"/>
          <w:sz w:val="24"/>
          <w:szCs w:val="24"/>
        </w:rPr>
        <w:t xml:space="preserve">(excluding </w:t>
      </w:r>
      <w:r w:rsidR="005D004E" w:rsidRPr="00D11245">
        <w:rPr>
          <w:rFonts w:cstheme="minorHAnsi"/>
          <w:color w:val="000000" w:themeColor="text1"/>
          <w:sz w:val="24"/>
          <w:szCs w:val="24"/>
        </w:rPr>
        <w:t xml:space="preserve">abstract, figures and </w:t>
      </w:r>
      <w:r w:rsidRPr="00D11245">
        <w:rPr>
          <w:rFonts w:cstheme="minorHAnsi"/>
          <w:color w:val="000000" w:themeColor="text1"/>
          <w:sz w:val="24"/>
          <w:szCs w:val="24"/>
        </w:rPr>
        <w:t>references)</w:t>
      </w:r>
    </w:p>
    <w:p w14:paraId="7A864D55" w14:textId="3BA8EF24" w:rsidR="004D4FFD" w:rsidRPr="00D11245" w:rsidRDefault="004D4FFD" w:rsidP="004D4FFD">
      <w:pPr>
        <w:rPr>
          <w:rFonts w:cstheme="minorHAnsi"/>
          <w:b/>
          <w:bCs/>
          <w:color w:val="000000" w:themeColor="text1"/>
          <w:sz w:val="24"/>
          <w:szCs w:val="24"/>
        </w:rPr>
      </w:pPr>
      <w:r w:rsidRPr="00D11245">
        <w:rPr>
          <w:rFonts w:cstheme="minorHAnsi"/>
          <w:b/>
          <w:bCs/>
          <w:color w:val="000000" w:themeColor="text1"/>
          <w:sz w:val="24"/>
          <w:szCs w:val="24"/>
          <w:u w:val="single"/>
        </w:rPr>
        <w:t>Provenance:</w:t>
      </w:r>
      <w:r w:rsidRPr="00D11245">
        <w:rPr>
          <w:rFonts w:cstheme="minorHAnsi"/>
          <w:b/>
          <w:bCs/>
          <w:color w:val="000000" w:themeColor="text1"/>
          <w:sz w:val="24"/>
          <w:szCs w:val="24"/>
        </w:rPr>
        <w:t xml:space="preserve"> </w:t>
      </w:r>
      <w:r w:rsidR="001E2918" w:rsidRPr="00D11245">
        <w:rPr>
          <w:rFonts w:cstheme="minorHAnsi"/>
          <w:color w:val="000000" w:themeColor="text1"/>
          <w:sz w:val="24"/>
          <w:szCs w:val="24"/>
        </w:rPr>
        <w:t>C</w:t>
      </w:r>
      <w:r w:rsidR="008F0C41" w:rsidRPr="00D11245">
        <w:rPr>
          <w:rFonts w:cstheme="minorHAnsi"/>
          <w:color w:val="000000" w:themeColor="text1"/>
          <w:sz w:val="24"/>
          <w:szCs w:val="24"/>
        </w:rPr>
        <w:t>ommissioned</w:t>
      </w:r>
    </w:p>
    <w:p w14:paraId="767B9080" w14:textId="4574987F" w:rsidR="004D4FFD" w:rsidRPr="00D11245" w:rsidRDefault="00EB604D" w:rsidP="00DC4A23">
      <w:pPr>
        <w:rPr>
          <w:color w:val="000000" w:themeColor="text1"/>
          <w:sz w:val="24"/>
          <w:szCs w:val="24"/>
        </w:rPr>
      </w:pPr>
      <w:r w:rsidRPr="00D11245">
        <w:rPr>
          <w:b/>
          <w:bCs/>
          <w:color w:val="000000" w:themeColor="text1"/>
          <w:sz w:val="24"/>
          <w:szCs w:val="24"/>
          <w:u w:val="single"/>
        </w:rPr>
        <w:t>Social Media:</w:t>
      </w:r>
      <w:r w:rsidRPr="00D11245">
        <w:rPr>
          <w:color w:val="000000" w:themeColor="text1"/>
          <w:sz w:val="24"/>
          <w:szCs w:val="24"/>
        </w:rPr>
        <w:t xml:space="preserve"> @drjosephcooney @RichardPollok </w:t>
      </w:r>
      <w:r w:rsidR="00DA5339" w:rsidRPr="00D11245">
        <w:rPr>
          <w:color w:val="000000" w:themeColor="text1"/>
          <w:sz w:val="24"/>
          <w:szCs w:val="24"/>
        </w:rPr>
        <w:t>@PhilSmithIsBack</w:t>
      </w:r>
    </w:p>
    <w:p w14:paraId="26EC7758" w14:textId="77777777" w:rsidR="00195CB1" w:rsidRPr="00D11245" w:rsidRDefault="00195CB1" w:rsidP="00DC4A23">
      <w:pPr>
        <w:rPr>
          <w:b/>
          <w:bCs/>
          <w:color w:val="000000" w:themeColor="text1"/>
        </w:rPr>
      </w:pPr>
    </w:p>
    <w:p w14:paraId="3C679749" w14:textId="6D23B0E5" w:rsidR="00195CB1" w:rsidRPr="00D11245" w:rsidRDefault="00195CB1">
      <w:pPr>
        <w:rPr>
          <w:b/>
          <w:bCs/>
          <w:color w:val="000000" w:themeColor="text1"/>
        </w:rPr>
      </w:pPr>
      <w:r w:rsidRPr="00D11245">
        <w:rPr>
          <w:b/>
          <w:bCs/>
          <w:color w:val="000000" w:themeColor="text1"/>
        </w:rPr>
        <w:br w:type="page"/>
      </w:r>
    </w:p>
    <w:p w14:paraId="0D46382E" w14:textId="77777777" w:rsidR="00195CB1" w:rsidRPr="00D11245" w:rsidRDefault="00195CB1" w:rsidP="00DC4A23">
      <w:pPr>
        <w:rPr>
          <w:b/>
          <w:bCs/>
          <w:color w:val="000000" w:themeColor="text1"/>
        </w:rPr>
      </w:pPr>
    </w:p>
    <w:p w14:paraId="53C9F7A2" w14:textId="13F7C571" w:rsidR="00DC4A23" w:rsidRPr="00D11245" w:rsidRDefault="00DC4A23" w:rsidP="00DC4A23">
      <w:pPr>
        <w:rPr>
          <w:b/>
          <w:bCs/>
          <w:color w:val="000000" w:themeColor="text1"/>
          <w:sz w:val="24"/>
          <w:szCs w:val="24"/>
          <w:u w:val="single"/>
        </w:rPr>
      </w:pPr>
      <w:r w:rsidRPr="00D11245">
        <w:rPr>
          <w:b/>
          <w:bCs/>
          <w:color w:val="000000" w:themeColor="text1"/>
          <w:sz w:val="24"/>
          <w:szCs w:val="24"/>
          <w:u w:val="single"/>
        </w:rPr>
        <w:t xml:space="preserve">Abstract </w:t>
      </w:r>
    </w:p>
    <w:p w14:paraId="2B292641" w14:textId="207BF856" w:rsidR="00DC4A23" w:rsidRPr="00D11245" w:rsidRDefault="00105B42" w:rsidP="00922373">
      <w:pPr>
        <w:spacing w:line="480" w:lineRule="auto"/>
        <w:jc w:val="both"/>
        <w:rPr>
          <w:color w:val="000000" w:themeColor="text1"/>
          <w:sz w:val="24"/>
          <w:szCs w:val="24"/>
        </w:rPr>
      </w:pPr>
      <w:r w:rsidRPr="00D11245">
        <w:rPr>
          <w:color w:val="000000" w:themeColor="text1"/>
          <w:sz w:val="24"/>
          <w:szCs w:val="24"/>
        </w:rPr>
        <w:t>With increasing international travel and migration,</w:t>
      </w:r>
      <w:r w:rsidR="00DD2DC2" w:rsidRPr="00D11245">
        <w:rPr>
          <w:color w:val="000000" w:themeColor="text1"/>
          <w:sz w:val="24"/>
          <w:szCs w:val="24"/>
        </w:rPr>
        <w:t xml:space="preserve"> tropical and infectious diseases once </w:t>
      </w:r>
      <w:r w:rsidR="00D27148" w:rsidRPr="00D11245">
        <w:rPr>
          <w:color w:val="000000" w:themeColor="text1"/>
          <w:sz w:val="24"/>
          <w:szCs w:val="24"/>
        </w:rPr>
        <w:t xml:space="preserve">largely confined to specialist institutes now present </w:t>
      </w:r>
      <w:r w:rsidR="00410C34" w:rsidRPr="00D11245">
        <w:rPr>
          <w:color w:val="000000" w:themeColor="text1"/>
          <w:sz w:val="24"/>
          <w:szCs w:val="24"/>
        </w:rPr>
        <w:t>more widely</w:t>
      </w:r>
      <w:r w:rsidR="00D27148" w:rsidRPr="00D11245">
        <w:rPr>
          <w:color w:val="000000" w:themeColor="text1"/>
          <w:sz w:val="24"/>
          <w:szCs w:val="24"/>
        </w:rPr>
        <w:t xml:space="preserve">.  </w:t>
      </w:r>
      <w:r w:rsidR="008F1C20" w:rsidRPr="00D11245">
        <w:rPr>
          <w:color w:val="000000" w:themeColor="text1"/>
          <w:sz w:val="24"/>
          <w:szCs w:val="24"/>
        </w:rPr>
        <w:t>A</w:t>
      </w:r>
      <w:r w:rsidR="00E52152" w:rsidRPr="00D11245">
        <w:rPr>
          <w:color w:val="000000" w:themeColor="text1"/>
          <w:sz w:val="24"/>
          <w:szCs w:val="24"/>
        </w:rPr>
        <w:t>moebiasis</w:t>
      </w:r>
      <w:r w:rsidR="008F1C20" w:rsidRPr="00D11245">
        <w:rPr>
          <w:color w:val="000000" w:themeColor="text1"/>
          <w:sz w:val="24"/>
          <w:szCs w:val="24"/>
        </w:rPr>
        <w:t xml:space="preserve"> is </w:t>
      </w:r>
      <w:r w:rsidR="00AB02B8" w:rsidRPr="00D11245">
        <w:rPr>
          <w:color w:val="000000" w:themeColor="text1"/>
          <w:sz w:val="24"/>
          <w:szCs w:val="24"/>
        </w:rPr>
        <w:t>a</w:t>
      </w:r>
      <w:r w:rsidR="008F1C20" w:rsidRPr="00D11245">
        <w:rPr>
          <w:color w:val="000000" w:themeColor="text1"/>
          <w:sz w:val="24"/>
          <w:szCs w:val="24"/>
        </w:rPr>
        <w:t xml:space="preserve"> </w:t>
      </w:r>
      <w:r w:rsidR="004E2862" w:rsidRPr="00D11245">
        <w:rPr>
          <w:color w:val="000000" w:themeColor="text1"/>
          <w:sz w:val="24"/>
          <w:szCs w:val="24"/>
        </w:rPr>
        <w:t>potentially</w:t>
      </w:r>
      <w:r w:rsidR="008F1C20" w:rsidRPr="00D11245">
        <w:rPr>
          <w:color w:val="000000" w:themeColor="text1"/>
          <w:sz w:val="24"/>
          <w:szCs w:val="24"/>
        </w:rPr>
        <w:t xml:space="preserve"> dangerous </w:t>
      </w:r>
      <w:r w:rsidR="00AB02B8" w:rsidRPr="00D11245">
        <w:rPr>
          <w:color w:val="000000" w:themeColor="text1"/>
          <w:sz w:val="24"/>
          <w:szCs w:val="24"/>
        </w:rPr>
        <w:t xml:space="preserve">example, </w:t>
      </w:r>
      <w:r w:rsidR="008F1C20" w:rsidRPr="00D11245">
        <w:rPr>
          <w:color w:val="000000" w:themeColor="text1"/>
          <w:sz w:val="24"/>
          <w:szCs w:val="24"/>
        </w:rPr>
        <w:t>since it may closely mimic the presentation of inflammatory bowel disease</w:t>
      </w:r>
      <w:r w:rsidR="00AA091B" w:rsidRPr="00D11245">
        <w:rPr>
          <w:color w:val="000000" w:themeColor="text1"/>
          <w:sz w:val="24"/>
          <w:szCs w:val="24"/>
        </w:rPr>
        <w:t xml:space="preserve">. Misdiagnosis </w:t>
      </w:r>
      <w:r w:rsidR="00DA5339" w:rsidRPr="00D11245">
        <w:rPr>
          <w:color w:val="000000" w:themeColor="text1"/>
          <w:sz w:val="24"/>
          <w:szCs w:val="24"/>
        </w:rPr>
        <w:t>and treatment</w:t>
      </w:r>
      <w:r w:rsidR="008F1C20" w:rsidRPr="00D11245">
        <w:rPr>
          <w:color w:val="000000" w:themeColor="text1"/>
          <w:sz w:val="24"/>
          <w:szCs w:val="24"/>
        </w:rPr>
        <w:t xml:space="preserve"> </w:t>
      </w:r>
      <w:r w:rsidR="00AA091B" w:rsidRPr="00D11245">
        <w:rPr>
          <w:color w:val="000000" w:themeColor="text1"/>
          <w:sz w:val="24"/>
          <w:szCs w:val="24"/>
        </w:rPr>
        <w:t>with immunosuppressants</w:t>
      </w:r>
      <w:r w:rsidR="008F1C20" w:rsidRPr="00D11245">
        <w:rPr>
          <w:color w:val="000000" w:themeColor="text1"/>
          <w:sz w:val="24"/>
          <w:szCs w:val="24"/>
        </w:rPr>
        <w:t xml:space="preserve"> </w:t>
      </w:r>
      <w:r w:rsidR="00AB02B8" w:rsidRPr="00D11245">
        <w:rPr>
          <w:color w:val="000000" w:themeColor="text1"/>
          <w:sz w:val="24"/>
          <w:szCs w:val="24"/>
        </w:rPr>
        <w:t>can</w:t>
      </w:r>
      <w:r w:rsidR="008F1C20" w:rsidRPr="00D11245">
        <w:rPr>
          <w:color w:val="000000" w:themeColor="text1"/>
          <w:sz w:val="24"/>
          <w:szCs w:val="24"/>
        </w:rPr>
        <w:t xml:space="preserve"> result in fulminant am</w:t>
      </w:r>
      <w:r w:rsidR="00AB02B8" w:rsidRPr="00D11245">
        <w:rPr>
          <w:color w:val="000000" w:themeColor="text1"/>
          <w:sz w:val="24"/>
          <w:szCs w:val="24"/>
        </w:rPr>
        <w:t>o</w:t>
      </w:r>
      <w:r w:rsidR="008F1C20" w:rsidRPr="00D11245">
        <w:rPr>
          <w:color w:val="000000" w:themeColor="text1"/>
          <w:sz w:val="24"/>
          <w:szCs w:val="24"/>
        </w:rPr>
        <w:t>ebiasis</w:t>
      </w:r>
      <w:r w:rsidR="00AB02B8" w:rsidRPr="00D11245">
        <w:rPr>
          <w:color w:val="000000" w:themeColor="text1"/>
          <w:sz w:val="24"/>
          <w:szCs w:val="24"/>
        </w:rPr>
        <w:t xml:space="preserve"> and death</w:t>
      </w:r>
      <w:r w:rsidR="008F1C20" w:rsidRPr="00D11245">
        <w:rPr>
          <w:color w:val="000000" w:themeColor="text1"/>
          <w:sz w:val="24"/>
          <w:szCs w:val="24"/>
        </w:rPr>
        <w:t>.</w:t>
      </w:r>
      <w:r w:rsidR="00ED052A" w:rsidRPr="00D11245">
        <w:rPr>
          <w:color w:val="000000" w:themeColor="text1"/>
          <w:sz w:val="24"/>
          <w:szCs w:val="24"/>
        </w:rPr>
        <w:t xml:space="preserve"> This review considers the </w:t>
      </w:r>
      <w:r w:rsidR="00927C2C" w:rsidRPr="00D11245">
        <w:rPr>
          <w:color w:val="000000" w:themeColor="text1"/>
          <w:sz w:val="24"/>
          <w:szCs w:val="24"/>
        </w:rPr>
        <w:t>epidemiology, pathogenesis</w:t>
      </w:r>
      <w:r w:rsidR="008912A5" w:rsidRPr="00D11245">
        <w:rPr>
          <w:color w:val="000000" w:themeColor="text1"/>
          <w:sz w:val="24"/>
          <w:szCs w:val="24"/>
        </w:rPr>
        <w:t>,</w:t>
      </w:r>
      <w:r w:rsidR="00ED052A" w:rsidRPr="00D11245">
        <w:rPr>
          <w:color w:val="000000" w:themeColor="text1"/>
          <w:sz w:val="24"/>
          <w:szCs w:val="24"/>
        </w:rPr>
        <w:t xml:space="preserve"> clinical features</w:t>
      </w:r>
      <w:r w:rsidR="008912A5" w:rsidRPr="00D11245">
        <w:rPr>
          <w:color w:val="000000" w:themeColor="text1"/>
          <w:sz w:val="24"/>
          <w:szCs w:val="24"/>
        </w:rPr>
        <w:t>,</w:t>
      </w:r>
      <w:r w:rsidR="00ED052A" w:rsidRPr="00D11245">
        <w:rPr>
          <w:color w:val="000000" w:themeColor="text1"/>
          <w:sz w:val="24"/>
          <w:szCs w:val="24"/>
        </w:rPr>
        <w:t xml:space="preserve"> diagnosis and treatment of intestinal and extraintestinal am</w:t>
      </w:r>
      <w:r w:rsidR="00AC22A5" w:rsidRPr="00D11245">
        <w:rPr>
          <w:color w:val="000000" w:themeColor="text1"/>
          <w:sz w:val="24"/>
          <w:szCs w:val="24"/>
        </w:rPr>
        <w:t>o</w:t>
      </w:r>
      <w:r w:rsidR="00ED052A" w:rsidRPr="00D11245">
        <w:rPr>
          <w:color w:val="000000" w:themeColor="text1"/>
          <w:sz w:val="24"/>
          <w:szCs w:val="24"/>
        </w:rPr>
        <w:t>ebiasis</w:t>
      </w:r>
      <w:r w:rsidR="00490957" w:rsidRPr="00D11245">
        <w:rPr>
          <w:color w:val="000000" w:themeColor="text1"/>
          <w:sz w:val="24"/>
          <w:szCs w:val="24"/>
        </w:rPr>
        <w:t>.</w:t>
      </w:r>
      <w:r w:rsidR="00ED052A" w:rsidRPr="00D11245">
        <w:rPr>
          <w:color w:val="000000" w:themeColor="text1"/>
          <w:sz w:val="24"/>
          <w:szCs w:val="24"/>
        </w:rPr>
        <w:t xml:space="preserve"> </w:t>
      </w:r>
      <w:r w:rsidR="00490957" w:rsidRPr="00D11245">
        <w:rPr>
          <w:color w:val="000000" w:themeColor="text1"/>
          <w:sz w:val="24"/>
          <w:szCs w:val="24"/>
        </w:rPr>
        <w:t xml:space="preserve">It is </w:t>
      </w:r>
      <w:r w:rsidR="00E860A6" w:rsidRPr="00D11245">
        <w:rPr>
          <w:color w:val="000000" w:themeColor="text1"/>
          <w:sz w:val="24"/>
          <w:szCs w:val="24"/>
        </w:rPr>
        <w:t xml:space="preserve">written </w:t>
      </w:r>
      <w:r w:rsidR="00D064E6" w:rsidRPr="00D11245">
        <w:rPr>
          <w:color w:val="000000" w:themeColor="text1"/>
          <w:sz w:val="24"/>
          <w:szCs w:val="24"/>
        </w:rPr>
        <w:t xml:space="preserve">primarily </w:t>
      </w:r>
      <w:r w:rsidR="00EA5454" w:rsidRPr="00D11245">
        <w:rPr>
          <w:color w:val="000000" w:themeColor="text1"/>
          <w:sz w:val="24"/>
          <w:szCs w:val="24"/>
        </w:rPr>
        <w:t>for</w:t>
      </w:r>
      <w:r w:rsidR="00ED052A" w:rsidRPr="00D11245">
        <w:rPr>
          <w:color w:val="000000" w:themeColor="text1"/>
          <w:sz w:val="24"/>
          <w:szCs w:val="24"/>
        </w:rPr>
        <w:t xml:space="preserve"> </w:t>
      </w:r>
      <w:r w:rsidR="0021127A" w:rsidRPr="00D11245">
        <w:rPr>
          <w:color w:val="000000" w:themeColor="text1"/>
          <w:sz w:val="24"/>
          <w:szCs w:val="24"/>
        </w:rPr>
        <w:t>gastroenterologists</w:t>
      </w:r>
      <w:r w:rsidR="00D064E6" w:rsidRPr="00D11245">
        <w:rPr>
          <w:color w:val="000000" w:themeColor="text1"/>
          <w:sz w:val="24"/>
          <w:szCs w:val="24"/>
        </w:rPr>
        <w:t>,</w:t>
      </w:r>
      <w:r w:rsidR="00FF78ED" w:rsidRPr="00D11245">
        <w:rPr>
          <w:color w:val="000000" w:themeColor="text1"/>
          <w:sz w:val="24"/>
          <w:szCs w:val="24"/>
        </w:rPr>
        <w:t xml:space="preserve"> surgeons and </w:t>
      </w:r>
      <w:r w:rsidR="00D064E6" w:rsidRPr="00D11245">
        <w:rPr>
          <w:color w:val="000000" w:themeColor="text1"/>
          <w:sz w:val="24"/>
          <w:szCs w:val="24"/>
        </w:rPr>
        <w:t xml:space="preserve">acute </w:t>
      </w:r>
      <w:r w:rsidR="00FF78ED" w:rsidRPr="00D11245">
        <w:rPr>
          <w:color w:val="000000" w:themeColor="text1"/>
          <w:sz w:val="24"/>
          <w:szCs w:val="24"/>
        </w:rPr>
        <w:t>physicians</w:t>
      </w:r>
      <w:r w:rsidR="00927C2C" w:rsidRPr="00D11245">
        <w:rPr>
          <w:color w:val="000000" w:themeColor="text1"/>
          <w:sz w:val="24"/>
          <w:szCs w:val="24"/>
        </w:rPr>
        <w:t>.</w:t>
      </w:r>
    </w:p>
    <w:p w14:paraId="456E7883" w14:textId="77777777" w:rsidR="00486A56" w:rsidRPr="00D11245" w:rsidRDefault="00486A56">
      <w:pPr>
        <w:rPr>
          <w:b/>
          <w:bCs/>
          <w:color w:val="000000" w:themeColor="text1"/>
        </w:rPr>
      </w:pPr>
      <w:r w:rsidRPr="00D11245">
        <w:rPr>
          <w:b/>
          <w:bCs/>
          <w:color w:val="000000" w:themeColor="text1"/>
        </w:rPr>
        <w:br w:type="page"/>
      </w:r>
    </w:p>
    <w:p w14:paraId="095E1D9D" w14:textId="77777777" w:rsidR="00296ADE" w:rsidRPr="00D11245" w:rsidRDefault="00DC4A23" w:rsidP="00296ADE">
      <w:pPr>
        <w:jc w:val="both"/>
        <w:rPr>
          <w:b/>
          <w:bCs/>
          <w:color w:val="000000" w:themeColor="text1"/>
          <w:sz w:val="24"/>
          <w:szCs w:val="24"/>
          <w:u w:val="single"/>
        </w:rPr>
      </w:pPr>
      <w:r w:rsidRPr="00D11245">
        <w:rPr>
          <w:b/>
          <w:bCs/>
          <w:color w:val="000000" w:themeColor="text1"/>
          <w:sz w:val="24"/>
          <w:szCs w:val="24"/>
          <w:u w:val="single"/>
        </w:rPr>
        <w:lastRenderedPageBreak/>
        <w:t>Background</w:t>
      </w:r>
    </w:p>
    <w:p w14:paraId="12BDB990" w14:textId="0A2F58EA" w:rsidR="00DC4A23" w:rsidRPr="00D11245" w:rsidRDefault="00DC4A23" w:rsidP="00DC4A23">
      <w:pPr>
        <w:spacing w:before="240"/>
        <w:jc w:val="both"/>
        <w:rPr>
          <w:color w:val="000000" w:themeColor="text1"/>
          <w:sz w:val="24"/>
          <w:szCs w:val="24"/>
        </w:rPr>
      </w:pPr>
      <w:r w:rsidRPr="00D11245">
        <w:rPr>
          <w:i/>
          <w:iCs/>
          <w:color w:val="000000" w:themeColor="text1"/>
          <w:sz w:val="24"/>
          <w:szCs w:val="24"/>
        </w:rPr>
        <w:t>E</w:t>
      </w:r>
      <w:r w:rsidR="00636590" w:rsidRPr="00D11245">
        <w:rPr>
          <w:i/>
          <w:iCs/>
          <w:color w:val="000000" w:themeColor="text1"/>
          <w:sz w:val="24"/>
          <w:szCs w:val="24"/>
        </w:rPr>
        <w:t>ntamoeba</w:t>
      </w:r>
      <w:r w:rsidRPr="00D11245">
        <w:rPr>
          <w:i/>
          <w:iCs/>
          <w:color w:val="000000" w:themeColor="text1"/>
          <w:sz w:val="24"/>
          <w:szCs w:val="24"/>
        </w:rPr>
        <w:t xml:space="preserve"> histolytica</w:t>
      </w:r>
      <w:r w:rsidRPr="00D11245">
        <w:rPr>
          <w:color w:val="000000" w:themeColor="text1"/>
          <w:sz w:val="24"/>
          <w:szCs w:val="24"/>
        </w:rPr>
        <w:t xml:space="preserve"> is the only species</w:t>
      </w:r>
      <w:r w:rsidR="00195CB1" w:rsidRPr="00D11245">
        <w:rPr>
          <w:color w:val="000000" w:themeColor="text1"/>
          <w:sz w:val="24"/>
          <w:szCs w:val="24"/>
        </w:rPr>
        <w:t xml:space="preserve"> of the </w:t>
      </w:r>
      <w:r w:rsidR="00636590" w:rsidRPr="00D11245">
        <w:rPr>
          <w:color w:val="000000" w:themeColor="text1"/>
          <w:sz w:val="24"/>
          <w:szCs w:val="24"/>
        </w:rPr>
        <w:t xml:space="preserve">protozoal </w:t>
      </w:r>
      <w:r w:rsidR="00195CB1" w:rsidRPr="00D11245">
        <w:rPr>
          <w:color w:val="000000" w:themeColor="text1"/>
          <w:sz w:val="24"/>
          <w:szCs w:val="24"/>
        </w:rPr>
        <w:t xml:space="preserve">genus </w:t>
      </w:r>
      <w:r w:rsidR="00195CB1" w:rsidRPr="00D11245">
        <w:rPr>
          <w:i/>
          <w:iCs/>
          <w:color w:val="000000" w:themeColor="text1"/>
          <w:sz w:val="24"/>
          <w:szCs w:val="24"/>
        </w:rPr>
        <w:t>Entamoeba</w:t>
      </w:r>
      <w:r w:rsidR="00195CB1" w:rsidRPr="00D11245">
        <w:rPr>
          <w:color w:val="000000" w:themeColor="text1"/>
          <w:sz w:val="24"/>
          <w:szCs w:val="24"/>
        </w:rPr>
        <w:t xml:space="preserve"> </w:t>
      </w:r>
      <w:r w:rsidRPr="00D11245">
        <w:rPr>
          <w:color w:val="000000" w:themeColor="text1"/>
          <w:sz w:val="24"/>
          <w:szCs w:val="24"/>
        </w:rPr>
        <w:t xml:space="preserve">known to cause </w:t>
      </w:r>
      <w:r w:rsidR="000437AA" w:rsidRPr="00D11245">
        <w:rPr>
          <w:color w:val="000000" w:themeColor="text1"/>
          <w:sz w:val="24"/>
          <w:szCs w:val="24"/>
        </w:rPr>
        <w:t xml:space="preserve">the </w:t>
      </w:r>
      <w:r w:rsidRPr="00D11245">
        <w:rPr>
          <w:color w:val="000000" w:themeColor="text1"/>
          <w:sz w:val="24"/>
          <w:szCs w:val="24"/>
        </w:rPr>
        <w:t xml:space="preserve">disease </w:t>
      </w:r>
      <w:r w:rsidR="00C464D8" w:rsidRPr="00D11245">
        <w:rPr>
          <w:color w:val="000000" w:themeColor="text1"/>
          <w:sz w:val="24"/>
          <w:szCs w:val="24"/>
        </w:rPr>
        <w:t>known as</w:t>
      </w:r>
      <w:r w:rsidR="000437AA" w:rsidRPr="00D11245">
        <w:rPr>
          <w:color w:val="000000" w:themeColor="text1"/>
          <w:sz w:val="24"/>
          <w:szCs w:val="24"/>
        </w:rPr>
        <w:t xml:space="preserve"> </w:t>
      </w:r>
      <w:r w:rsidRPr="00D11245">
        <w:rPr>
          <w:color w:val="000000" w:themeColor="text1"/>
          <w:sz w:val="24"/>
          <w:szCs w:val="24"/>
        </w:rPr>
        <w:t>amoebiasis</w:t>
      </w:r>
      <w:r w:rsidR="00FE4B88" w:rsidRPr="00D11245">
        <w:rPr>
          <w:color w:val="000000" w:themeColor="text1"/>
          <w:sz w:val="24"/>
          <w:szCs w:val="24"/>
        </w:rPr>
        <w:t xml:space="preserve"> </w:t>
      </w:r>
      <w:r w:rsidR="00FE4B88" w:rsidRPr="00D11245">
        <w:rPr>
          <w:color w:val="000000" w:themeColor="text1"/>
          <w:sz w:val="24"/>
          <w:szCs w:val="24"/>
        </w:rPr>
        <w:fldChar w:fldCharType="begin"/>
      </w:r>
      <w:r w:rsidR="00FE4B88" w:rsidRPr="00D11245">
        <w:rPr>
          <w:color w:val="000000" w:themeColor="text1"/>
          <w:sz w:val="24"/>
          <w:szCs w:val="24"/>
        </w:rPr>
        <w:instrText xml:space="preserve"> ADDIN ZOTERO_ITEM CSL_CITATION {"citationID":"XHECpjrR","properties":{"formattedCitation":"\\super 1\\nosupersub{}","plainCitation":"1","noteIndex":0},"citationItems":[{"id":16624,"uris":["http://zotero.org/groups/2497994/items/D3H4KIGN"],"itemData":{"id":16624,"type":"article-journal","container-title":"Epidemiological Bulletin","ISSN":"0256-1859","issue":"1","journalAbbreviation":"Epidemiol Bull","language":"eng","note":"PMID: 9197085","page":"13-14","source":"PubMed","title":"WHO/PAHO/UNESCO report. A consultation with experts on amoebiasis. Mexico City, Mexico 28-29 January, 1997","volume":"18","issued":{"date-parts":[["1997",3]]}}}],"schema":"https://github.com/citation-style-language/schema/raw/master/csl-citation.json"} </w:instrText>
      </w:r>
      <w:r w:rsidR="00FE4B88" w:rsidRPr="00D11245">
        <w:rPr>
          <w:color w:val="000000" w:themeColor="text1"/>
          <w:sz w:val="24"/>
          <w:szCs w:val="24"/>
        </w:rPr>
        <w:fldChar w:fldCharType="separate"/>
      </w:r>
      <w:r w:rsidR="00FE4B88" w:rsidRPr="00D11245">
        <w:rPr>
          <w:rFonts w:ascii="Calibri" w:hAnsi="Calibri" w:cs="Calibri"/>
          <w:color w:val="000000" w:themeColor="text1"/>
          <w:kern w:val="0"/>
          <w:sz w:val="24"/>
          <w:szCs w:val="24"/>
          <w:vertAlign w:val="superscript"/>
        </w:rPr>
        <w:t>1</w:t>
      </w:r>
      <w:r w:rsidR="00FE4B88" w:rsidRPr="00D11245">
        <w:rPr>
          <w:color w:val="000000" w:themeColor="text1"/>
          <w:sz w:val="24"/>
          <w:szCs w:val="24"/>
        </w:rPr>
        <w:fldChar w:fldCharType="end"/>
      </w:r>
      <w:r w:rsidRPr="00D11245">
        <w:rPr>
          <w:color w:val="000000" w:themeColor="text1"/>
          <w:sz w:val="24"/>
          <w:szCs w:val="24"/>
        </w:rPr>
        <w:t xml:space="preserve">. </w:t>
      </w:r>
      <w:r w:rsidR="007D7D54" w:rsidRPr="00D11245">
        <w:rPr>
          <w:color w:val="000000" w:themeColor="text1"/>
          <w:sz w:val="24"/>
          <w:szCs w:val="24"/>
        </w:rPr>
        <w:t>An estimated f</w:t>
      </w:r>
      <w:r w:rsidR="000437AA" w:rsidRPr="00D11245">
        <w:rPr>
          <w:color w:val="000000" w:themeColor="text1"/>
          <w:sz w:val="24"/>
          <w:szCs w:val="24"/>
        </w:rPr>
        <w:t>ifty</w:t>
      </w:r>
      <w:r w:rsidRPr="00D11245">
        <w:rPr>
          <w:color w:val="000000" w:themeColor="text1"/>
          <w:sz w:val="24"/>
          <w:szCs w:val="24"/>
        </w:rPr>
        <w:t xml:space="preserve"> million people worldwide are </w:t>
      </w:r>
      <w:r w:rsidR="00835271" w:rsidRPr="00D11245">
        <w:rPr>
          <w:color w:val="000000" w:themeColor="text1"/>
          <w:sz w:val="24"/>
          <w:szCs w:val="24"/>
        </w:rPr>
        <w:t xml:space="preserve">reported to be </w:t>
      </w:r>
      <w:r w:rsidRPr="00D11245">
        <w:rPr>
          <w:color w:val="000000" w:themeColor="text1"/>
          <w:sz w:val="24"/>
          <w:szCs w:val="24"/>
        </w:rPr>
        <w:t xml:space="preserve">infected every year with </w:t>
      </w:r>
      <w:r w:rsidRPr="00D11245">
        <w:rPr>
          <w:i/>
          <w:iCs/>
          <w:color w:val="000000" w:themeColor="text1"/>
          <w:sz w:val="24"/>
          <w:szCs w:val="24"/>
        </w:rPr>
        <w:t>E. histolytica</w:t>
      </w:r>
      <w:r w:rsidRPr="00D11245">
        <w:rPr>
          <w:color w:val="000000" w:themeColor="text1"/>
          <w:sz w:val="24"/>
          <w:szCs w:val="24"/>
        </w:rPr>
        <w:t xml:space="preserve"> and whilst </w:t>
      </w:r>
      <w:r w:rsidR="006E6647" w:rsidRPr="00D11245">
        <w:rPr>
          <w:color w:val="000000" w:themeColor="text1"/>
          <w:sz w:val="24"/>
          <w:szCs w:val="24"/>
        </w:rPr>
        <w:t>approximatel</w:t>
      </w:r>
      <w:r w:rsidR="00364BB7" w:rsidRPr="00D11245">
        <w:rPr>
          <w:color w:val="000000" w:themeColor="text1"/>
          <w:sz w:val="24"/>
          <w:szCs w:val="24"/>
        </w:rPr>
        <w:t xml:space="preserve">y </w:t>
      </w:r>
      <w:r w:rsidRPr="00D11245">
        <w:rPr>
          <w:color w:val="000000" w:themeColor="text1"/>
          <w:sz w:val="24"/>
          <w:szCs w:val="24"/>
        </w:rPr>
        <w:t>90%</w:t>
      </w:r>
      <w:r w:rsidR="00364BB7" w:rsidRPr="00D11245">
        <w:rPr>
          <w:color w:val="000000" w:themeColor="text1"/>
          <w:sz w:val="24"/>
          <w:szCs w:val="24"/>
        </w:rPr>
        <w:t xml:space="preserve"> may</w:t>
      </w:r>
      <w:r w:rsidRPr="00D11245">
        <w:rPr>
          <w:color w:val="000000" w:themeColor="text1"/>
          <w:sz w:val="24"/>
          <w:szCs w:val="24"/>
        </w:rPr>
        <w:t xml:space="preserve"> remain</w:t>
      </w:r>
      <w:r w:rsidR="009B2884" w:rsidRPr="00D11245">
        <w:rPr>
          <w:color w:val="000000" w:themeColor="text1"/>
          <w:sz w:val="24"/>
          <w:szCs w:val="24"/>
        </w:rPr>
        <w:t xml:space="preserve"> </w:t>
      </w:r>
      <w:r w:rsidRPr="00D11245">
        <w:rPr>
          <w:color w:val="000000" w:themeColor="text1"/>
          <w:sz w:val="24"/>
          <w:szCs w:val="24"/>
        </w:rPr>
        <w:t>asymptomatic</w:t>
      </w:r>
      <w:r w:rsidR="002F6738" w:rsidRPr="00D11245">
        <w:rPr>
          <w:color w:val="000000" w:themeColor="text1"/>
          <w:sz w:val="24"/>
          <w:szCs w:val="24"/>
        </w:rPr>
        <w:t xml:space="preserve"> </w:t>
      </w:r>
      <w:r w:rsidR="002F6738" w:rsidRPr="00D11245">
        <w:rPr>
          <w:color w:val="000000" w:themeColor="text1"/>
          <w:sz w:val="24"/>
          <w:szCs w:val="24"/>
        </w:rPr>
        <w:fldChar w:fldCharType="begin"/>
      </w:r>
      <w:r w:rsidR="00FE4B88" w:rsidRPr="00D11245">
        <w:rPr>
          <w:color w:val="000000" w:themeColor="text1"/>
          <w:sz w:val="24"/>
          <w:szCs w:val="24"/>
        </w:rPr>
        <w:instrText xml:space="preserve"> ADDIN ZOTERO_ITEM CSL_CITATION {"citationID":"jX4RHVU7","properties":{"formattedCitation":"\\super 2\\nosupersub{}","plainCitation":"2","noteIndex":0},"citationItems":[{"id":2840,"uris":["http://zotero.org/groups/2497994/items/9D6N8SKW"],"itemData":{"id":2840,"type":"article-journal","abstract":"To gain insight into the dynamics of intestinal Entamoeba histolytica infection, a longitudinal study was performed over an observation period of 15 months with a group of 383 randomly selected adult individuals (mean age, 38.5 years) living in an area of amebiasis endemicity in central Vietnam. Ameba infection was diagnosed by using species-specific PCR and DNA extracted directly from fecal samples. The results indicated an E. histolytica prevalence of 11.2% and an annual new infection rate of 4.1% in the study population. Follow-up of the 43 individuals who were E. histolytica positive at enrollment suggested a regular exponential decline in infection of about 3% per month and a mean half-life of infection of more than 15 months. However, the reinfection rate for this group of participants was 2.7 times higher than that predicted for the study population as a whole. Both the reappearance of the parasite after successful treatment of E. histolytica infection and changes in “genetic fingerprints” of parasites during the course of infection revealed an annual new infection rate of about 11.5%. Thus, the mean half-life of E. histolytica infection was calculated to be 12.9 months (95% confidence interval, 10.2 to 15.6 months). Notably, none of the participants developed symptoms compatible with invasive intestinal amebiasis, and only one of the subjects developed an amebic liver abscess during the observation period.","container-title":"Journal of Clinical Microbiology","DOI":"10.1128/JCM.41.10.4745-4750.2003","ISSN":"0095-1137","issue":"10","journalAbbreviation":"J Clin Microbiol","note":"PMID: 14532214\nPMCID: PMC294961","page":"4745-4750","source":"PubMed Central","title":"Longitudinal Study of Intestinal Entamoeba histolytica Infections in Asymptomatic Adult Carriers","volume":"41","author":[{"family":"Blessmann","given":"Joerg"},{"family":"Ali","given":"Ibne Karim M."},{"family":"Nu","given":"Phuong A. Ton"},{"family":"Dinh","given":"Binh T."},{"family":"Ngo Viet","given":"Tram Q."},{"family":"Le Van","given":"An"},{"family":"Clark","given":"C. Graham"},{"family":"Tannich","given":"Egbert"}],"issued":{"date-parts":[["2003",10]]}}}],"schema":"https://github.com/citation-style-language/schema/raw/master/csl-citation.json"} </w:instrText>
      </w:r>
      <w:r w:rsidR="002F6738" w:rsidRPr="00D11245">
        <w:rPr>
          <w:color w:val="000000" w:themeColor="text1"/>
          <w:sz w:val="24"/>
          <w:szCs w:val="24"/>
        </w:rPr>
        <w:fldChar w:fldCharType="separate"/>
      </w:r>
      <w:r w:rsidR="00FE4B88" w:rsidRPr="00D11245">
        <w:rPr>
          <w:rFonts w:ascii="Calibri" w:hAnsi="Calibri" w:cs="Calibri"/>
          <w:color w:val="000000" w:themeColor="text1"/>
          <w:kern w:val="0"/>
          <w:sz w:val="24"/>
          <w:szCs w:val="24"/>
          <w:vertAlign w:val="superscript"/>
        </w:rPr>
        <w:t>2</w:t>
      </w:r>
      <w:r w:rsidR="002F6738" w:rsidRPr="00D11245">
        <w:rPr>
          <w:color w:val="000000" w:themeColor="text1"/>
          <w:sz w:val="24"/>
          <w:szCs w:val="24"/>
        </w:rPr>
        <w:fldChar w:fldCharType="end"/>
      </w:r>
      <w:r w:rsidR="00454218" w:rsidRPr="00D11245">
        <w:rPr>
          <w:color w:val="000000" w:themeColor="text1"/>
          <w:sz w:val="24"/>
          <w:szCs w:val="24"/>
        </w:rPr>
        <w:t xml:space="preserve"> </w:t>
      </w:r>
      <w:r w:rsidRPr="00D11245">
        <w:rPr>
          <w:color w:val="000000" w:themeColor="text1"/>
          <w:sz w:val="24"/>
          <w:szCs w:val="24"/>
        </w:rPr>
        <w:t>those that do develop symptoms will most commonly suffer bloody diarrhoea</w:t>
      </w:r>
      <w:r w:rsidR="00653A3B" w:rsidRPr="00D11245">
        <w:rPr>
          <w:color w:val="000000" w:themeColor="text1"/>
          <w:sz w:val="24"/>
          <w:szCs w:val="24"/>
        </w:rPr>
        <w:t xml:space="preserve"> (</w:t>
      </w:r>
      <w:r w:rsidRPr="00D11245">
        <w:rPr>
          <w:color w:val="000000" w:themeColor="text1"/>
          <w:sz w:val="24"/>
          <w:szCs w:val="24"/>
        </w:rPr>
        <w:t>amoebic colitis</w:t>
      </w:r>
      <w:r w:rsidR="00653A3B" w:rsidRPr="00D11245">
        <w:rPr>
          <w:color w:val="000000" w:themeColor="text1"/>
          <w:sz w:val="24"/>
          <w:szCs w:val="24"/>
        </w:rPr>
        <w:t>)</w:t>
      </w:r>
      <w:r w:rsidRPr="00D11245">
        <w:rPr>
          <w:color w:val="000000" w:themeColor="text1"/>
          <w:sz w:val="24"/>
          <w:szCs w:val="24"/>
        </w:rPr>
        <w:t xml:space="preserve"> </w:t>
      </w:r>
      <w:r w:rsidR="0071138B" w:rsidRPr="00D11245">
        <w:rPr>
          <w:color w:val="000000" w:themeColor="text1"/>
          <w:sz w:val="24"/>
          <w:szCs w:val="24"/>
        </w:rPr>
        <w:t>and/</w:t>
      </w:r>
      <w:r w:rsidRPr="00D11245">
        <w:rPr>
          <w:color w:val="000000" w:themeColor="text1"/>
          <w:sz w:val="24"/>
          <w:szCs w:val="24"/>
        </w:rPr>
        <w:t xml:space="preserve">or liver abscess </w:t>
      </w:r>
      <w:r w:rsidR="00E67176" w:rsidRPr="00D11245">
        <w:rPr>
          <w:color w:val="000000" w:themeColor="text1"/>
          <w:sz w:val="24"/>
          <w:szCs w:val="24"/>
        </w:rPr>
        <w:fldChar w:fldCharType="begin"/>
      </w:r>
      <w:r w:rsidR="00E67176" w:rsidRPr="00D11245">
        <w:rPr>
          <w:color w:val="000000" w:themeColor="text1"/>
          <w:sz w:val="24"/>
          <w:szCs w:val="24"/>
        </w:rPr>
        <w:instrText xml:space="preserve"> ADDIN ZOTERO_ITEM CSL_CITATION {"citationID":"ZGCvn6UV","properties":{"formattedCitation":"\\super 3\\nosupersub{}","plainCitation":"3","noteIndex":0},"citationItems":[{"id":592,"uris":["http://zotero.org/groups/2497994/items/KVLPEQF2"],"itemData":{"id":592,"type":"article-journal","abstract":"Purpose of Review: This is to highlight the relationship between the morphologically identical pathogenic and nonpathogenic amoebae commonly recovered from human feces. Microscopy does not differentiate pathogenic from nonpathogenic strains. The problem of treat or do not treat infection depends on whether it is pathogenic or not, and whether reported in endemic or non-endemic country. Recent Findings: Prevalence of amoebiasis differs greatly in different areas of the world reaching up to 50%. Easy diagnosis of amoebiasis now depends on the use of immunochromatography and/or PCR. Multiplex PCR can differentiate the pathogenic amoebae. The phylogenetic analysis of the nonpathogenic E. dispar showed a variety of genotypes. A pathogenic E. dispar genotype was isolated from an amebic liver abscess. Summary: E. histolytica is now easily identified in laboratories, saving time and effort in diagnosis and management of infection. Phylogenetic analysis of E. histolytica and E. dispar and studying the detected genotypes can explain the big variation in pathogenicity in humans.Copyright © 2017, Springer International Publishing AG.","container-title":"Current Tropical Medicine Reports","DOI":"10.1007/s40475-017-0100-z","ISSN":"2196-3045 (electronic)","issue":"1","journalAbbreviation":"Curr. Trop. Med. Rep.","language":"English","note":"publisher-place: Germany\npublisher: Springer Verlag (E-mail: service@springer.de)","page":"11-20","title":"Entamoeba histolytica: an Overview","volume":"4","author":[{"literal":"El-Dib N.A."}],"issued":{"date-parts":[["2017"]]}}}],"schema":"https://github.com/citation-style-language/schema/raw/master/csl-citation.json"} </w:instrText>
      </w:r>
      <w:r w:rsidR="00E67176" w:rsidRPr="00D11245">
        <w:rPr>
          <w:color w:val="000000" w:themeColor="text1"/>
          <w:sz w:val="24"/>
          <w:szCs w:val="24"/>
        </w:rPr>
        <w:fldChar w:fldCharType="separate"/>
      </w:r>
      <w:r w:rsidR="00E67176" w:rsidRPr="00D11245">
        <w:rPr>
          <w:rFonts w:ascii="Calibri" w:hAnsi="Calibri" w:cs="Calibri"/>
          <w:color w:val="000000" w:themeColor="text1"/>
          <w:kern w:val="0"/>
          <w:sz w:val="24"/>
          <w:szCs w:val="24"/>
          <w:vertAlign w:val="superscript"/>
        </w:rPr>
        <w:t>3</w:t>
      </w:r>
      <w:r w:rsidR="00E67176" w:rsidRPr="00D11245">
        <w:rPr>
          <w:color w:val="000000" w:themeColor="text1"/>
          <w:sz w:val="24"/>
          <w:szCs w:val="24"/>
        </w:rPr>
        <w:fldChar w:fldCharType="end"/>
      </w:r>
      <w:r w:rsidRPr="00D11245">
        <w:rPr>
          <w:color w:val="000000" w:themeColor="text1"/>
          <w:sz w:val="24"/>
          <w:szCs w:val="24"/>
        </w:rPr>
        <w:t>, causing significant morbidity and mortality globally, with 2.2 million disability adjusted life years (DALY) lost and 55,000 deaths per year</w:t>
      </w:r>
      <w:r w:rsidR="00E67176" w:rsidRPr="00D11245">
        <w:rPr>
          <w:color w:val="000000" w:themeColor="text1"/>
          <w:sz w:val="24"/>
          <w:szCs w:val="24"/>
        </w:rPr>
        <w:t xml:space="preserve"> </w:t>
      </w:r>
      <w:r w:rsidR="00E67176" w:rsidRPr="00D11245">
        <w:rPr>
          <w:color w:val="000000" w:themeColor="text1"/>
          <w:sz w:val="24"/>
          <w:szCs w:val="24"/>
        </w:rPr>
        <w:fldChar w:fldCharType="begin"/>
      </w:r>
      <w:r w:rsidR="00994460" w:rsidRPr="00D11245">
        <w:rPr>
          <w:color w:val="000000" w:themeColor="text1"/>
          <w:sz w:val="24"/>
          <w:szCs w:val="24"/>
        </w:rPr>
        <w:instrText xml:space="preserve"> ADDIN ZOTERO_ITEM CSL_CITATION {"citationID":"DE1ZeQsH","properties":{"formattedCitation":"\\super 4\\uc0\\u8211{}8\\nosupersub{}","plainCitation":"4–8","noteIndex":0},"citationItems":[{"id":2848,"uris":["http://zotero.org/groups/2497994/items/4CQVJEEC",["http://zotero.org/groups/2497994/items/4CQVJEEC"]],"itemData":{"id":2848,"type":"article-journal","abstract":"&lt;h2&gt;Summary&lt;/h2&gt;&lt;p&gt;Amoebiasis is the second leading cause of death from parasitic disease worldwide. The causative protozoan parasite, &lt;i&gt;Entamoeba histolytica&lt;/i&gt;, is a potent pathogen. Secreting proteinases that dissolve host tissues, killing host cells on contact, and engulfing red blood cells, &lt;i&gt;E histolytica&lt;/i&gt; trophozoites invade the intestinal mucosa, causing amoebic colitis. In some cases amoebas breach the mucosal barrier and travel through the portal circulation to the liver, where they cause abscesses consisting of a few &lt;i&gt;E histolytica&lt;/i&gt; trophozoites surrounding dead and dying hepatocytes and liquefied cellular debris. Amoebic liver abscesses grow inexorably and, at one time, were almost always fatal, but now even large abscesses can be cured by one dose of antibiotic. Evidence that what we thought was a single species based on morphology is, in fact, two genetically distinct species—now termed &lt;i&gt;Entamoeba histolytica&lt;/i&gt; (the pathogen) and &lt;i&gt;Entamoeba dispar&lt;/i&gt; (a commensal)—has turned conventional wisdom about the epidemiology and diagnosis of amoebiasis upside down. New models of disease have linked &lt;i&gt;E histolytica&lt;/i&gt; induction of intestinal inflammation and hepatocyte programmed cell death to the pathogenesis of amoebic colitis and amoebic liver abscess.&lt;/p&gt;","container-title":"The Lancet","DOI":"10.1016/S0140-6736(03)12830-9","ISSN":"0140-6736, 1474-547X","issue":"9362","journalAbbreviation":"The Lancet","language":"English","note":"PMID: 12660071","page":"1025-1034","source":"www.thelancet.com","title":"Amoebiasis","volume":"361","author":[{"family":"Stanley","given":"Samuel L."}],"issued":{"date-parts":[["2003",3,22]]}}},{"id":16578,"uris":["http://zotero.org/groups/2497994/items/2HQHDENE"],"itemData":{"id":16578,"type":"article-journal","container-title":"The Lancet","DOI":"10.1016/S0140-6736(12)61728-0","ISSN":"01406736","issue":"9859","journalAbbreviation":"The Lancet","language":"en","page":"2095-2128","source":"DOI.org (Crossref)","title":"Global and regional mortality from 235 causes of death for 20 age groups in 1990 and 2010: a systematic analysis for the Global Burden of Disease Study 2010","title-short":"Global and regional mortality from 235 causes of death for 20 age groups in 1990 and 2010","volume":"380","author":[{"family":"Lozano","given":"Rafael"},{"family":"Naghavi","given":"Mohsen"},{"family":"Foreman","given":"Kyle"},{"family":"Lim","given":"Stephen"},{"family":"Shibuya","given":"Kenji"},{"family":"Aboyans","given":"Victor"},{"family":"Abraham","given":"Jerry"},{"family":"Adair","given":"Timothy"},{"family":"Aggarwal","given":"Rakesh"},{"family":"Ahn","given":"Stephanie Y"},{"family":"AlMazroa","given":"Mohammad A"},{"family":"Alvarado","given":"Miriam"},{"family":"Anderson","given":"H Ross"},{"family":"Anderson","given":"Laurie M"},{"family":"Andrews","given":"Kathryn G"},{"family":"Atkinson","given":"Charles"},{"family":"Baddour","given":"Larry M"},{"family":"Barker-Collo","given":"Suzanne"},{"family":"Bartels","given":"David H"},{"family":"Bell","given":"Michelle L"},{"family":"Benjamin","given":"Emelia J"},{"family":"Bennett","given":"Derrick"},{"family":"Bhalla","given":"Kavi"},{"family":"Bikbov","given":"Boris"},{"family":"Abdulhak","given":"Aref Bin"},{"family":"Birbeck","given":"Gretchen"},{"family":"Blyth","given":"Fiona"},{"family":"Bolliger","given":"Ian"},{"family":"Boufous","given":"Soufiane"},{"family":"Bucello","given":"Chiara"},{"family":"Burch","given":"Michael"},{"family":"Burney","given":"Peter"},{"family":"Carapetis","given":"Jonathan"},{"family":"Chen","given":"Honglei"},{"family":"Chou","given":"David"},{"family":"Chugh","given":"Sumeet S"},{"family":"Coffeng","given":"Luc E"},{"family":"Colan","given":"Steven D"},{"family":"Colquhoun","given":"Samantha"},{"family":"Colson","given":"K Ellicott"},{"family":"Condon","given":"John"},{"family":"Connor","given":"Myles D"},{"family":"Cooper","given":"Leslie T"},{"family":"Corriere","given":"Matthew"},{"family":"Cortinovis","given":"Monica"},{"family":"De Vaccaro","given":"Karen Courville"},{"family":"Couser","given":"William"},{"family":"Cowie","given":"Benjamin C"},{"family":"Criqui","given":"Michael H"},{"family":"Cross","given":"Marita"},{"family":"Dabhadkar","given":"Kaustubh C"},{"family":"Dahodwala","given":"Nabila"},{"family":"De Leo","given":"Diego"},{"family":"Degenhardt","given":"Louisa"},{"family":"Delossantos","given":"Allyne"},{"family":"Denenberg","given":"Julie"},{"family":"Des Jarlais","given":"Don C"},{"family":"Dharmaratne","given":"Samath D"},{"family":"Dorsey","given":"E Ray"},{"family":"Driscoll","given":"Tim"},{"family":"Duber","given":"Herbert"},{"family":"Ebel","given":"Beth"},{"family":"Erwin","given":"Patricia J"},{"family":"Espindola","given":"Patricia"},{"family":"Ezzati","given":"Majid"},{"family":"Feigin","given":"Valery"},{"family":"Flaxman","given":"Abraham D"},{"family":"Forouzanfar","given":"Mohammad H"},{"family":"Fowkes","given":"Francis Gerry R"},{"family":"Franklin","given":"Richard"},{"family":"Fransen","given":"Marlene"},{"family":"Freeman","given":"Michael K"},{"family":"Gabriel","given":"Sherine E"},{"family":"Gakidou","given":"Emmanuela"},{"family":"Gaspari","given":"Flavio"},{"family":"Gillum","given":"Richard F"},{"family":"Gonzalez-Medina","given":"Diego"},{"family":"Halasa","given":"Yara A"},{"family":"Haring","given":"Diana"},{"family":"Harrison","given":"James E"},{"family":"Havmoeller","given":"Rasmus"},{"family":"Hay","given":"Roderick J"},{"family":"Hoen","given":"Bruno"},{"family":"Hotez","given":"Peter J"},{"family":"Hoy","given":"Damian"},{"family":"Jacobsen","given":"Kathryn H"},{"family":"James","given":"Spencer L"},{"family":"Jasrasaria","given":"Rashmi"},{"family":"Jayaraman","given":"Sudha"},{"family":"Johns","given":"Nicole"},{"family":"Karthikeyan","given":"Ganesan"},{"family":"Kassebaum","given":"Nicholas"},{"family":"Keren","given":"Andre"},{"family":"Khoo","given":"Jon-Paul"},{"family":"Knowlton","given":"Lisa Marie"},{"family":"Kobusingye","given":"Olive"},{"family":"Koranteng","given":"Adofo"},{"family":"Krishnamurthi","given":"Rita"},{"family":"Lipnick","given":"Michael"},{"family":"Lipshultz","given":"Steven E"},{"family":"Ohno","given":"Summer Lockett"},{"family":"Mabweijano","given":"Jacqueline"},{"family":"MacIntyre","given":"Michael F"},{"family":"Mallinger","given":"Leslie"},{"family":"March","given":"Lyn"},{"family":"Marks","given":"Guy B"},{"family":"Marks","given":"Robin"},{"family":"Matsumori","given":"Akira"},{"family":"Matzopoulos","given":"Richard"},{"family":"Mayosi","given":"Bongani M"},{"family":"McAnulty","given":"John H"},{"family":"McDermott","given":"Mary M"},{"family":"McGrath","given":"John"},{"family":"Memish","given":"Ziad A"},{"family":"Mensah","given":"George A"},{"family":"Merriman","given":"Tony R"},{"family":"Michaud","given":"Catherine"},{"family":"Miller","given":"Matthew"},{"family":"Miller","given":"Ted R"},{"family":"Mock","given":"Charles"},{"family":"Mocumbi","given":"Ana Olga"},{"family":"Mokdad","given":"Ali A"},{"family":"Moran","given":"Andrew"},{"family":"Mulholland","given":"Kim"},{"family":"Nair","given":"M Nathan"},{"family":"Naldi","given":"Luigi"},{"family":"Narayan","given":"K M Venkat"},{"family":"Nasseri","given":"Kiumarss"},{"family":"Norman","given":"Paul"},{"family":"O'Donnell","given":"Martin"},{"family":"Omer","given":"Saad B"},{"family":"Ortblad","given":"Katrina"},{"family":"Osborne","given":"Richard"},{"family":"Ozgediz","given":"Doruk"},{"family":"Pahari","given":"Bishnu"},{"family":"Pandian","given":"Jeyaraj Durai"},{"family":"Rivero","given":"Andrea Panozo"},{"family":"Padilla","given":"Rogelio Perez"},{"family":"Perez-Ruiz","given":"Fernando"},{"family":"Perico","given":"Norberto"},{"family":"Phillips","given":"David"},{"family":"Pierce","given":"Kelsey"},{"family":"Pope","given":"C Arden"},{"family":"Porrini","given":"Esteban"},{"family":"Pourmalek","given":"Farshad"},{"family":"Raju","given":"Murugesan"},{"family":"Ranganathan","given":"Dharani"},{"family":"Rehm","given":"Jürgen T"},{"family":"Rein","given":"David B"},{"family":"Remuzzi","given":"Guiseppe"},{"family":"Rivara","given":"Frederick P"},{"family":"Roberts","given":"Thomas"},{"family":"De León","given":"Felipe Rodriguez"},{"family":"Rosenfeld","given":"Lisa C"},{"family":"Rushton","given":"Lesley"},{"family":"Sacco","given":"Ralph L"},{"family":"Salomon","given":"Joshua A"},{"family":"Sampson","given":"Uchechukwu"},{"family":"Sanman","given":"Ella"},{"family":"Schwebel","given":"David C"},{"family":"Segui-Gomez","given":"Maria"},{"family":"Shepard","given":"Donald S"},{"family":"Singh","given":"David"},{"family":"Singleton","given":"Jessica"},{"family":"Sliwa","given":"Karen"},{"family":"Smith","given":"Emma"},{"family":"Steer","given":"Andrew"},{"family":"Taylor","given":"Jennifer A"},{"family":"Thomas","given":"Bernadette"},{"family":"Tleyjeh","given":"Imad M"},{"family":"Towbin","given":"Jeffrey A"},{"family":"Truelsen","given":"Thomas"},{"family":"Undurraga","given":"Eduardo A"},{"family":"Venketasubramanian","given":"N"},{"family":"Vijayakumar","given":"Lakshmi"},{"family":"Vos","given":"Theo"},{"family":"Wagner","given":"Gregory R"},{"family":"Wang","given":"Mengru"},{"family":"Wang","given":"Wenzhi"},{"family":"Watt","given":"Kerrianne"},{"family":"Weinstock","given":"Martin A"},{"family":"Weintraub","given":"Robert"},{"family":"Wilkinson","given":"James D"},{"family":"Woolf","given":"Anthony D"},{"family":"Wulf","given":"Sarah"},{"family":"Yeh","given":"Pon-Hsiu"},{"family":"Yip","given":"Paul"},{"family":"Zabetian","given":"Azadeh"},{"family":"Zheng","given":"Zhi-Jie"},{"family":"Lopez","given":"Alan D"},{"family":"Murray","given":"Christopher Jl"}],"issued":{"date-parts":[["2012",12]]}}},{"id":1684,"uris":["http://zotero.org/groups/2497994/items/8XTEUHWF",["http://zotero.org/groups/2497994/items/8XTEUHWF"]],"itemData":{"id":1684,"type":"article-journal","abstract":"Amebiasis, due to the pathogenic parasite Entamoeba histolytica, is a leading cause of diarrhea globally. Largely an infection of impoverished communities in developing countries, amebiasis has emerged as an important infection among returning travelers, immigrants, and men who have sex with men residing in developed countries. Severe cases can be associated with high case fatality. Polymerase chain reaction-based diagnosis is increasingly available but remains underutilized. Nitroimidazoles are currently recommended for treatment, but new drug development to treat parasitic agents is a high priority. Amebiasis should be considered before corticosteroid therapy to decrease complications. There is no effective vaccine, so prevention focuses on sanitation and access to clean water. Further understanding of parasite biology and pathogenesis will advance future targeted therapeutic and preventative strategies.Copyright © The Author(s) 2018. Published by Oxford University Press on behalf of Infectious Diseases Society of America.","container-title":"Open Forum Infectious Diseases","DOI":"10.1093/ofid/ofy161","ISSN":"2328-8957 (electronic)","issue":"7","journalAbbreviation":"Open Forum Infect. Dis.","language":"English","note":"publisher-place: United States\npublisher: Oxford University Press (E-mail: info@idsociety.org)","page":"ofy161","title":"A review of the global burden, new diagnostics, and current Therapeutics for amebiasis","volume":"5","author":[{"literal":"Shirley D.T."},{"literal":"Farr L."},{"literal":"Watanabe K."},{"literal":"Moonah S."}],"issued":{"date-parts":[["2018"]]}}},{"id":1088,"uris":["http://zotero.org/groups/2497994/items/QKWRR6HN"],"itemData":{"id":1088,"type":"article-journal","container-title":"The Lancet Infectious Diseases","note":"publisher: NeLM","title":"Estimates of the global, regional, and national morbidity, mortality, and aetiologies of diarrhoea in 195 countries: a systematic analysis for the Global Burden of Disease Study 2016","URL":"https://www.thelancet.com/journals/laninf/article/PIIS1473-3099(18)30362-1/fulltext","issued":{"date-parts":[["2018",9,20]]}}},{"id":16588,"uris":["http://zotero.org/groups/2497994/items/NJ6XE9WV"],"itemData":{"id":16588,"type":"article-journal","container-title":"The Lancet","DOI":"10.1016/S0140-6736(12)61689-4","ISSN":"01406736","issue":"9859","journalAbbreviation":"The Lancet","language":"en","page":"2197-2223","source":"DOI.org (Crossref)","title":"Disability-adjusted life years (DALYs) for 291 diseases and injuries in 21 regions, 1990–2010: a systematic analysis for the Global Burden of Disease Study 2010","title-short":"Disability-adjusted life years (DALYs) for 291 diseases and injuries in 21 regions, 1990–2010","volume":"380","author":[{"family":"Murray","given":"Christopher J L"},{"family":"Vos","given":"Theo"},{"family":"Lozano","given":"Rafael"},{"family":"Naghavi","given":"Mohsen"},{"family":"Flaxman","given":"Abraham D"},{"family":"Michaud","given":"Catherine"},{"family":"Ezzati","given":"Majid"},{"family":"Shibuya","given":"Kenji"},{"family":"Salomon","given":"Joshua A"},{"family":"Abdalla","given":"Safa"},{"family":"Aboyans","given":"Victor"},{"family":"Abraham","given":"Jerry"},{"family":"Ackerman","given":"Ilana"},{"family":"Aggarwal","given":"Rakesh"},{"family":"Ahn","given":"Stephanie Y"},{"family":"Ali","given":"Mohammed K"},{"family":"AlMazroa","given":"Mohammad A"},{"family":"Alvarado","given":"Miriam"},{"family":"Anderson","given":"H Ross"},{"family":"Anderson","given":"Laurie M"},{"family":"Andrews","given":"Kathryn G"},{"family":"Atkinson","given":"Charles"},{"family":"Baddour","given":"Larry M"},{"family":"Bahalim","given":"Adil N"},{"family":"Barker-Collo","given":"Suzanne"},{"family":"Barrero","given":"Lope H"},{"family":"Bartels","given":"David H"},{"family":"Basáñez","given":"Maria-Gloria"},{"family":"Baxter","given":"Amanda"},{"family":"Bell","given":"Michelle L"},{"family":"Benjamin","given":"Emelia J"},{"family":"Bennett","given":"Derrick"},{"family":"Bernabé","given":"Eduardo"},{"family":"Bhalla","given":"Kavi"},{"family":"Bhandari","given":"Bishal"},{"family":"Bikbov","given":"Boris"},{"family":"Abdulhak","given":"Aref Bin"},{"family":"Birbeck","given":"Gretchen"},{"family":"Black","given":"James A"},{"family":"Blencowe","given":"Hannah"},{"family":"Blore","given":"Jed D"},{"family":"Blyth","given":"Fiona"},{"family":"Bolliger","given":"Ian"},{"family":"Bonaventure","given":"Audrey"},{"family":"Boufous","given":"Soufiane"},{"family":"Bourne","given":"Rupert"},{"family":"Boussinesq","given":"Michel"},{"family":"Braithwaite","given":"Tasanee"},{"family":"Brayne","given":"Carol"},{"family":"Bridgett","given":"Lisa"},{"family":"Brooker","given":"Simon"},{"family":"Brooks","given":"Peter"},{"family":"Brugha","given":"Traolach S"},{"family":"Bryan-Hancock","given":"Claire"},{"family":"Bucello","given":"Chiara"},{"family":"Buchbinder","given":"Rachelle"},{"family":"Buckle","given":"Geoffrey"},{"family":"Budke","given":"Christine M"},{"family":"Burch","given":"Michael"},{"family":"Burney","given":"Peter"},{"family":"Burstein","given":"Roy"},{"family":"Calabria","given":"Bianca"},{"family":"Campbell","given":"Benjamin"},{"family":"Canter","given":"Charles E"},{"family":"Carabin","given":"Hélène"},{"family":"Carapetis","given":"Jonathan"},{"family":"Carmona","given":"Loreto"},{"family":"Cella","given":"Claudia"},{"family":"Charlson","given":"Fiona"},{"family":"Chen","given":"Honglei"},{"family":"Cheng","given":"Andrew Tai-Ann"},{"family":"Chou","given":"David"},{"family":"Chugh","given":"Sumeet S"},{"family":"Coffeng","given":"Luc E"},{"family":"Colan","given":"Steven D"},{"family":"Colquhoun","given":"Samantha"},{"family":"Colson","given":"K Ellicott"},{"family":"Condon","given":"John"},{"family":"Connor","given":"Myles D"},{"family":"Cooper","given":"Leslie T"},{"family":"Corriere","given":"Matthew"},{"family":"Cortinovis","given":"Monica"},{"family":"De Vaccaro","given":"Karen Courville"},{"family":"Couser","given":"William"},{"family":"Cowie","given":"Benjamin C"},{"family":"Criqui","given":"Michael H"},{"family":"Cross","given":"Marita"},{"family":"Dabhadkar","given":"Kaustubh C"},{"family":"Dahiya","given":"Manu"},{"family":"Dahodwala","given":"Nabila"},{"family":"Damsere-Derry","given":"James"},{"family":"Danaei","given":"Goodarz"},{"family":"Davis","given":"Adrian"},{"family":"Leo","given":"Diego De"},{"family":"Degenhardt","given":"Louisa"},{"family":"Dellavalle","given":"Robert"},{"family":"Delossantos","given":"Allyne"},{"family":"Denenberg","given":"Julie"},{"family":"Derrett","given":"Sarah"},{"family":"Des Jarlais","given":"Don C"},{"family":"Dharmaratne","given":"Samath D"},{"family":"Dherani","given":"Mukesh"},{"family":"Diaz-Torne","given":"Cesar"},{"family":"Dolk","given":"Helen"},{"family":"Dorsey","given":"E Ray"},{"family":"Driscoll","given":"Tim"},{"family":"Duber","given":"Herbert"},{"family":"Ebel","given":"Beth"},{"family":"Edmond","given":"Karen"},{"family":"Elbaz","given":"Alexis"},{"family":"Ali","given":"Suad Eltahir"},{"family":"Erskine","given":"Holly"},{"family":"Erwin","given":"Patricia J"},{"family":"Espindola","given":"Patricia"},{"family":"Ewoigbokhan","given":"Stalin E"},{"family":"Farzadfar","given":"Farshad"},{"family":"Feigin","given":"Valery"},{"family":"Felson","given":"David T"},{"family":"Ferrari","given":"Alize"},{"family":"Ferri","given":"Cleusa P"},{"family":"Fèvre","given":"Eric M"},{"family":"Finucane","given":"Mariel M"},{"family":"Flaxman","given":"Seth"},{"family":"Flood","given":"Louise"},{"family":"Foreman","given":"Kyle"},{"family":"Forouzanfar","given":"Mohammad H"},{"family":"Fowkes","given":"Francis Gerry R"},{"family":"Fransen","given":"Marlene"},{"family":"Freeman","given":"Michael K"},{"family":"Gabbe","given":"Belinda J"},{"family":"Gabriel","given":"Sherine E"},{"family":"Gakidou","given":"Emmanuela"},{"family":"Ganatra","given":"Hammad A"},{"family":"Garcia","given":"Bianca"},{"family":"Gaspari","given":"Flavio"},{"family":"Gillum","given":"Richard F"},{"family":"Gmel","given":"Gerhard"},{"family":"Gonzalez-Medina","given":"Diego"},{"family":"Gosselin","given":"Richard"},{"family":"Grainger","given":"Rebecca"},{"family":"Grant","given":"Bridget"},{"family":"Groeger","given":"Justina"},{"family":"Guillemin","given":"Francis"},{"family":"Gunnell","given":"David"},{"family":"Gupta","given":"Ramyani"},{"family":"Haagsma","given":"Juanita"},{"family":"Hagan","given":"Holly"},{"family":"Halasa","given":"Yara A"},{"family":"Hall","given":"Wayne"},{"family":"Haring","given":"Diana"},{"family":"Haro","given":"Josep Maria"},{"family":"Harrison","given":"James E"},{"family":"Havmoeller","given":"Rasmus"},{"family":"Hay","given":"Roderick J"},{"family":"Higashi","given":"Hideki"},{"family":"Hill","given":"Catherine"},{"family":"Hoen","given":"Bruno"},{"family":"Hoffman","given":"Howard"},{"family":"Hotez","given":"Peter J"},{"family":"Hoy","given":"Damian"},{"family":"Huang","given":"John J"},{"family":"Ibeanusi","given":"Sydney E"},{"family":"Jacobsen","given":"Kathryn H"},{"family":"James","given":"Spencer L"},{"family":"Jarvis","given":"Deborah"},{"family":"Jasrasaria","given":"Rashmi"},{"family":"Jayaraman","given":"Sudha"},{"family":"Johns","given":"Nicole"},{"family":"Jonas","given":"Jost B"},{"family":"Karthikeyan","given":"Ganesan"},{"family":"Kassebaum","given":"Nicholas"},{"family":"Kawakami","given":"Norito"},{"family":"Keren","given":"Andre"},{"family":"Khoo","given":"Jon-Paul"},{"family":"King","given":"Charles H"},{"family":"Knowlton","given":"Lisa Marie"},{"family":"Kobusingye","given":"Olive"},{"family":"Koranteng","given":"Adofo"},{"family":"Krishnamurthi","given":"Rita"},{"family":"Laden","given":"Francine"},{"family":"Lalloo","given":"Ratilal"},{"family":"Laslett","given":"Laura L"},{"family":"Lathlean","given":"Tim"},{"family":"Leasher","given":"Janet L"},{"family":"Lee","given":"Yong Yi"},{"family":"Leigh","given":"James"},{"family":"Levinson","given":"Daphna"},{"family":"Lim","given":"Stephen S"},{"family":"Limb","given":"Elizabeth"},{"family":"Lin","given":"John Kent"},{"family":"Lipnick","given":"Michael"},{"family":"Lipshultz","given":"Steven E"},{"family":"Liu","given":"Wei"},{"family":"Loane","given":"Maria"},{"family":"Ohno","given":"Summer Lockett"},{"family":"Lyons","given":"Ronan"},{"family":"Mabweijano","given":"Jacqueline"},{"family":"MacIntyre","given":"Michael F"},{"family":"Malekzadeh","given":"Reza"},{"family":"Mallinger","given":"Leslie"},{"family":"Manivannan","given":"Sivabalan"},{"family":"Marcenes","given":"Wagner"},{"family":"March","given":"Lyn"},{"family":"Margolis","given":"David J"},{"family":"Marks","given":"Guy B"},{"family":"Marks","given":"Robin"},{"family":"Matsumori","given":"Akira"},{"family":"Matzopoulos","given":"Richard"},{"family":"Mayosi","given":"Bongani M"},{"family":"McAnulty","given":"John H"},{"family":"McDermott","given":"Mary M"},{"family":"McGill","given":"Neil"},{"family":"McGrath","given":"John"},{"family":"Medina-Mora","given":"Maria Elena"},{"family":"Meltzer","given":"Michele"},{"family":"Memish","given":"Ziad A"},{"family":"Mensah","given":"George A"},{"family":"Merriman","given":"Tony R"},{"family":"Meyer","given":"Ana-Claire"},{"family":"Miglioli","given":"Valeria"},{"family":"Miller","given":"Matthew"},{"family":"Miller","given":"Ted R"},{"family":"Mitchell","given":"Philip B"},{"family":"Mock","given":"Charles"},{"family":"Mocumbi","given":"Ana Olga"},{"family":"Moffitt","given":"Terrie E"},{"family":"Mokdad","given":"Ali A"},{"family":"Monasta","given":"Lorenzo"},{"family":"Montico","given":"Marcella"},{"family":"Moradi-Lakeh","given":"Maziar"},{"family":"Moran","given":"Andrew"},{"family":"Morawska","given":"Lidia"},{"family":"Mori","given":"Rintaro"},{"family":"Murdoch","given":"Michele E"},{"family":"Mwaniki","given":"Michael K"},{"family":"Naidoo","given":"Kovin"},{"family":"Nair","given":"M Nathan"},{"family":"Naldi","given":"Luigi"},{"family":"Narayan","given":"K M Venkat"},{"family":"Nelson","given":"Paul K"},{"family":"Nelson","given":"Robert G"},{"family":"Nevitt","given":"Michael C"},{"family":"Newton","given":"Charles R"},{"family":"Nolte","given":"Sandra"},{"family":"Norman","given":"Paul"},{"family":"Norman","given":"Rosana"},{"family":"O'Donnell","given":"Martin"},{"family":"O'Hanlon","given":"Simon"},{"family":"Olives","given":"Casey"},{"family":"Omer","given":"Saad B"},{"family":"Ortblad","given":"Katrina"},{"family":"Osborne","given":"Richard"},{"family":"Ozgediz","given":"Doruk"},{"family":"Page","given":"Andrew"},{"family":"Pahari","given":"Bishnu"},{"family":"Pandian","given":"Jeyaraj Durai"},{"family":"Rivero","given":"Andrea Panozo"},{"family":"Patten","given":"Scott B"},{"family":"Pearce","given":"Neil"},{"family":"Padilla","given":"Rogelio Perez"},{"family":"Perez-Ruiz","given":"Fernando"},{"family":"Perico","given":"Norberto"},{"family":"Pesudovs","given":"Konrad"},{"family":"Phillips","given":"David"},{"family":"Phillips","given":"Michael R"},{"family":"Pierce","given":"Kelsey"},{"family":"Pion","given":"Sébastien"},{"family":"Polanczyk","given":"Guilherme V"},{"family":"Polinder","given":"Suzanne"},{"family":"Pope","given":"C Arden"},{"family":"Popova","given":"Svetlana"},{"family":"Porrini","given":"Esteban"},{"family":"Pourmalek","given":"Farshad"},{"family":"Prince","given":"Martin"},{"family":"Pullan","given":"Rachel L"},{"family":"Ramaiah","given":"Kapa D"},{"family":"Ranganathan","given":"Dharani"},{"family":"Razavi","given":"Homie"},{"family":"Regan","given":"Mathilda"},{"family":"Rehm","given":"Jürgen T"},{"family":"Rein","given":"David B"},{"family":"Remuzzi","given":"Guiseppe"},{"family":"Richardson","given":"Kathryn"},{"family":"Rivara","given":"Frederick P"},{"family":"Roberts","given":"Thomas"},{"family":"Robinson","given":"Carolyn"},{"family":"De Leòn","given":"Felipe Rodriguez"},{"family":"Ronfani","given":"Luca"},{"family":"Room","given":"Robin"},{"family":"Rosenfeld","given":"Lisa C"},{"family":"Rushton","given":"Lesley"},{"family":"Sacco","given":"Ralph L"},{"family":"Saha","given":"Sukanta"},{"family":"Sampson","given":"Uchechukwu"},{"family":"Sanchez-Riera","given":"Lidia"},{"family":"Sanman","given":"Ella"},{"family":"Schwebel","given":"David C"},{"family":"Scott","given":"James Graham"},{"family":"Segui-Gomez","given":"Maria"},{"family":"Shahraz","given":"Saeid"},{"family":"Shepard","given":"Donald S"},{"family":"Shin","given":"Hwashin"},{"family":"Shivakoti","given":"Rupak"},{"family":"Silberberg","given":"Donald"},{"family":"Singh","given":"David"},{"family":"Singh","given":"Gitanjali M"},{"family":"Singh","given":"Jasvinder A"},{"family":"Singleton","given":"Jessica"},{"family":"Sleet","given":"David A"},{"family":"Sliwa","given":"Karen"},{"family":"Smith","given":"Emma"},{"family":"Smith","given":"Jennifer L"},{"family":"Stapelberg","given":"Nicolas Jc"},{"family":"Steer","given":"Andrew"},{"family":"Steiner","given":"Timothy"},{"family":"Stolk","given":"Wilma A"},{"family":"Stovner","given":"Lars Jacob"},{"family":"Sudfeld","given":"Christopher"},{"family":"Syed","given":"Sana"},{"family":"Tamburlini","given":"Giorgio"},{"family":"Tavakkoli","given":"Mohammad"},{"family":"Taylor","given":"Hugh R"},{"family":"Taylor","given":"Jennifer A"},{"family":"Taylor","given":"William J"},{"family":"Thomas","given":"Bernadette"},{"family":"Thomson","given":"W Murray"},{"family":"Thurston","given":"George D"},{"family":"Tleyjeh","given":"Imad M"},{"family":"Tonelli","given":"Marcello"},{"family":"Towbin","given":"Jeffrey A"},{"family":"Truelsen","given":"Thomas"},{"family":"Tsilimbaris","given":"Miltiadis K"},{"family":"Ubeda","given":"Clotilde"},{"family":"Undurraga","given":"Eduardo A"},{"family":"Van Der Werf","given":"Marieke J"},{"family":"Van Os","given":"Jim"},{"family":"Vavilala","given":"Monica S"},{"family":"Venketasubramanian","given":"N"},{"family":"Wang","given":"Mengru"},{"family":"Wang","given":"Wenzhi"},{"family":"Watt","given":"Kerrianne"},{"family":"Weatherall","given":"David J"},{"family":"Weinstock","given":"Martin A"},{"family":"Weintraub","given":"Robert"},{"family":"Weisskopf","given":"Marc G"},{"family":"Weissman","given":"Myrna M"},{"family":"White","given":"Richard A"},{"family":"Whiteford","given":"Harvey"},{"family":"Wiebe","given":"Natasha"},{"family":"Wiersma","given":"Steven T"},{"family":"Wilkinson","given":"James D"},{"family":"Williams","given":"Hywel C"},{"family":"Williams","given":"Sean Rm"},{"family":"Witt","given":"Emma"},{"family":"Wolfe","given":"Frederick"},{"family":"Woolf","given":"Anthony D"},{"family":"Wulf","given":"Sarah"},{"family":"Yeh","given":"Pon-Hsiu"},{"family":"Zaidi","given":"Anita Km"},{"family":"Zheng","given":"Zhi-Jie"},{"family":"Zonies","given":"David"},{"family":"Lopez","given":"Alan D"}],"issued":{"date-parts":[["2012",12]]}}}],"schema":"https://github.com/citation-style-language/schema/raw/master/csl-citation.json"} </w:instrText>
      </w:r>
      <w:r w:rsidR="00E67176" w:rsidRPr="00D11245">
        <w:rPr>
          <w:color w:val="000000" w:themeColor="text1"/>
          <w:sz w:val="24"/>
          <w:szCs w:val="24"/>
        </w:rPr>
        <w:fldChar w:fldCharType="separate"/>
      </w:r>
      <w:r w:rsidR="00E67176" w:rsidRPr="00D11245">
        <w:rPr>
          <w:rFonts w:ascii="Calibri" w:hAnsi="Calibri" w:cs="Calibri"/>
          <w:color w:val="000000" w:themeColor="text1"/>
          <w:kern w:val="0"/>
          <w:sz w:val="24"/>
          <w:szCs w:val="24"/>
          <w:vertAlign w:val="superscript"/>
        </w:rPr>
        <w:t>4–8</w:t>
      </w:r>
      <w:r w:rsidR="00E67176" w:rsidRPr="00D11245">
        <w:rPr>
          <w:color w:val="000000" w:themeColor="text1"/>
          <w:sz w:val="24"/>
          <w:szCs w:val="24"/>
        </w:rPr>
        <w:fldChar w:fldCharType="end"/>
      </w:r>
      <w:r w:rsidRPr="00D11245">
        <w:rPr>
          <w:color w:val="000000" w:themeColor="text1"/>
          <w:sz w:val="24"/>
          <w:szCs w:val="24"/>
        </w:rPr>
        <w:t>. The majority of infections occur in low</w:t>
      </w:r>
      <w:r w:rsidR="003B1EA1" w:rsidRPr="00D11245">
        <w:rPr>
          <w:color w:val="000000" w:themeColor="text1"/>
          <w:sz w:val="24"/>
          <w:szCs w:val="24"/>
        </w:rPr>
        <w:t>-</w:t>
      </w:r>
      <w:r w:rsidRPr="00D11245">
        <w:rPr>
          <w:color w:val="000000" w:themeColor="text1"/>
          <w:sz w:val="24"/>
          <w:szCs w:val="24"/>
        </w:rPr>
        <w:t>income countries, in areas of contaminated water supply and poor sanitation, however</w:t>
      </w:r>
      <w:r w:rsidR="00653A3B" w:rsidRPr="00D11245">
        <w:rPr>
          <w:color w:val="000000" w:themeColor="text1"/>
          <w:sz w:val="24"/>
          <w:szCs w:val="24"/>
        </w:rPr>
        <w:t>,</w:t>
      </w:r>
      <w:r w:rsidRPr="00D11245">
        <w:rPr>
          <w:color w:val="000000" w:themeColor="text1"/>
          <w:sz w:val="24"/>
          <w:szCs w:val="24"/>
        </w:rPr>
        <w:t xml:space="preserve"> </w:t>
      </w:r>
      <w:r w:rsidR="001D2252" w:rsidRPr="00D11245">
        <w:rPr>
          <w:color w:val="000000" w:themeColor="text1"/>
          <w:sz w:val="24"/>
          <w:szCs w:val="24"/>
        </w:rPr>
        <w:t xml:space="preserve">imported </w:t>
      </w:r>
      <w:r w:rsidRPr="00D11245">
        <w:rPr>
          <w:color w:val="000000" w:themeColor="text1"/>
          <w:sz w:val="24"/>
          <w:szCs w:val="24"/>
        </w:rPr>
        <w:t xml:space="preserve">cases are </w:t>
      </w:r>
      <w:r w:rsidR="003B1EA1" w:rsidRPr="00D11245">
        <w:rPr>
          <w:color w:val="000000" w:themeColor="text1"/>
          <w:sz w:val="24"/>
          <w:szCs w:val="24"/>
        </w:rPr>
        <w:t>in</w:t>
      </w:r>
      <w:r w:rsidR="00C737BE" w:rsidRPr="00D11245">
        <w:rPr>
          <w:color w:val="000000" w:themeColor="text1"/>
          <w:sz w:val="24"/>
          <w:szCs w:val="24"/>
        </w:rPr>
        <w:t xml:space="preserve">creasingly </w:t>
      </w:r>
      <w:r w:rsidRPr="00D11245">
        <w:rPr>
          <w:color w:val="000000" w:themeColor="text1"/>
          <w:sz w:val="24"/>
          <w:szCs w:val="24"/>
        </w:rPr>
        <w:t>identified in non-endemic regions such as the UK</w:t>
      </w:r>
      <w:r w:rsidR="00E67176" w:rsidRPr="00D11245">
        <w:rPr>
          <w:color w:val="000000" w:themeColor="text1"/>
          <w:sz w:val="24"/>
          <w:szCs w:val="24"/>
        </w:rPr>
        <w:t xml:space="preserve"> </w:t>
      </w:r>
      <w:r w:rsidR="00E67176" w:rsidRPr="00D11245">
        <w:rPr>
          <w:color w:val="000000" w:themeColor="text1"/>
          <w:sz w:val="24"/>
          <w:szCs w:val="24"/>
        </w:rPr>
        <w:fldChar w:fldCharType="begin"/>
      </w:r>
      <w:r w:rsidR="00E67176" w:rsidRPr="00D11245">
        <w:rPr>
          <w:color w:val="000000" w:themeColor="text1"/>
          <w:sz w:val="24"/>
          <w:szCs w:val="24"/>
        </w:rPr>
        <w:instrText xml:space="preserve"> ADDIN ZOTERO_ITEM CSL_CITATION {"citationID":"qj7csISV","properties":{"formattedCitation":"\\super 9\\nosupersub{}","plainCitation":"9","noteIndex":0},"citationItems":[{"id":16577,"uris":["http://zotero.org/groups/2497994/items/DXZZJII4"],"itemData":{"id":16577,"type":"article-journal","container-title":"Acta Tropica","DOI":"10.1016/j.actatropica.2023.106866","ISSN":"0001706X","journalAbbreviation":"Acta Tropica","language":"en","page":"106866","source":"DOI.org (Crossref)","title":"Global burden and trends of the Entamoeba infection-associated diseases from 1990 to 2019: An observational trend study","title-short":"Global burden and trends of the Entamoeba infection-associated diseases from 1990 to 2019","volume":"240","author":[{"family":"Fu","given":"Xiaofang"},{"family":"Zhong","given":"Yonghong"},{"family":"Chen","given":"Liyan"},{"family":"Ge","given":"Minjie"},{"family":"Yu","given":"Min"},{"family":"Sun","given":"Yibo"},{"family":"Shen","given":"Linfeng"}],"issued":{"date-parts":[["2023",4]]}}}],"schema":"https://github.com/citation-style-language/schema/raw/master/csl-citation.json"} </w:instrText>
      </w:r>
      <w:r w:rsidR="00E67176" w:rsidRPr="00D11245">
        <w:rPr>
          <w:color w:val="000000" w:themeColor="text1"/>
          <w:sz w:val="24"/>
          <w:szCs w:val="24"/>
        </w:rPr>
        <w:fldChar w:fldCharType="separate"/>
      </w:r>
      <w:r w:rsidR="00E67176" w:rsidRPr="00D11245">
        <w:rPr>
          <w:rFonts w:ascii="Calibri" w:hAnsi="Calibri" w:cs="Calibri"/>
          <w:color w:val="000000" w:themeColor="text1"/>
          <w:kern w:val="0"/>
          <w:sz w:val="24"/>
          <w:szCs w:val="24"/>
          <w:vertAlign w:val="superscript"/>
        </w:rPr>
        <w:t>9</w:t>
      </w:r>
      <w:r w:rsidR="00E67176" w:rsidRPr="00D11245">
        <w:rPr>
          <w:color w:val="000000" w:themeColor="text1"/>
          <w:sz w:val="24"/>
          <w:szCs w:val="24"/>
        </w:rPr>
        <w:fldChar w:fldCharType="end"/>
      </w:r>
      <w:r w:rsidR="00E67176" w:rsidRPr="00D11245">
        <w:rPr>
          <w:color w:val="000000" w:themeColor="text1"/>
          <w:sz w:val="24"/>
          <w:szCs w:val="24"/>
        </w:rPr>
        <w:t>.</w:t>
      </w:r>
      <w:r w:rsidRPr="00D11245">
        <w:rPr>
          <w:color w:val="000000" w:themeColor="text1"/>
          <w:sz w:val="24"/>
          <w:szCs w:val="24"/>
        </w:rPr>
        <w:t xml:space="preserve"> Furthermore, symptoms and clinical features may mimic other conditions, such as inflammatory bowel disease, and in non-endemic regions particularly</w:t>
      </w:r>
      <w:r w:rsidR="00846609" w:rsidRPr="00D11245">
        <w:rPr>
          <w:color w:val="000000" w:themeColor="text1"/>
          <w:sz w:val="24"/>
          <w:szCs w:val="24"/>
        </w:rPr>
        <w:t>,</w:t>
      </w:r>
      <w:r w:rsidRPr="00D11245">
        <w:rPr>
          <w:color w:val="000000" w:themeColor="text1"/>
          <w:sz w:val="24"/>
          <w:szCs w:val="24"/>
        </w:rPr>
        <w:t xml:space="preserve"> misdiagnosis</w:t>
      </w:r>
      <w:r w:rsidR="00F547FF" w:rsidRPr="00D11245">
        <w:rPr>
          <w:color w:val="000000" w:themeColor="text1"/>
          <w:sz w:val="24"/>
          <w:szCs w:val="24"/>
        </w:rPr>
        <w:t xml:space="preserve"> may </w:t>
      </w:r>
      <w:r w:rsidRPr="00D11245">
        <w:rPr>
          <w:color w:val="000000" w:themeColor="text1"/>
          <w:sz w:val="24"/>
          <w:szCs w:val="24"/>
        </w:rPr>
        <w:t xml:space="preserve">lead to significant morbidity and in the </w:t>
      </w:r>
      <w:r w:rsidR="007F2D2F" w:rsidRPr="00D11245">
        <w:rPr>
          <w:color w:val="000000" w:themeColor="text1"/>
          <w:sz w:val="24"/>
          <w:szCs w:val="24"/>
        </w:rPr>
        <w:t>worst-case</w:t>
      </w:r>
      <w:r w:rsidRPr="00D11245">
        <w:rPr>
          <w:color w:val="000000" w:themeColor="text1"/>
          <w:sz w:val="24"/>
          <w:szCs w:val="24"/>
        </w:rPr>
        <w:t xml:space="preserve"> scenario</w:t>
      </w:r>
      <w:r w:rsidR="00B31513" w:rsidRPr="00D11245">
        <w:rPr>
          <w:color w:val="000000" w:themeColor="text1"/>
          <w:sz w:val="24"/>
          <w:szCs w:val="24"/>
        </w:rPr>
        <w:t>,</w:t>
      </w:r>
      <w:r w:rsidRPr="00D11245">
        <w:rPr>
          <w:color w:val="000000" w:themeColor="text1"/>
          <w:sz w:val="24"/>
          <w:szCs w:val="24"/>
        </w:rPr>
        <w:t xml:space="preserve"> mortality. </w:t>
      </w:r>
    </w:p>
    <w:p w14:paraId="0AF8305F" w14:textId="5572BF54" w:rsidR="00F97D1C" w:rsidRPr="00D11245" w:rsidRDefault="00195CB1" w:rsidP="003328AE">
      <w:pPr>
        <w:spacing w:before="240"/>
        <w:jc w:val="both"/>
        <w:rPr>
          <w:color w:val="000000" w:themeColor="text1"/>
          <w:sz w:val="24"/>
          <w:szCs w:val="24"/>
        </w:rPr>
      </w:pPr>
      <w:r w:rsidRPr="00D11245">
        <w:rPr>
          <w:color w:val="000000" w:themeColor="text1"/>
          <w:sz w:val="24"/>
          <w:szCs w:val="24"/>
        </w:rPr>
        <w:t xml:space="preserve">At least seven other species </w:t>
      </w:r>
      <w:r w:rsidR="00DA5BCC" w:rsidRPr="00D11245">
        <w:rPr>
          <w:color w:val="000000" w:themeColor="text1"/>
          <w:sz w:val="24"/>
          <w:szCs w:val="24"/>
        </w:rPr>
        <w:t xml:space="preserve">of the genus </w:t>
      </w:r>
      <w:r w:rsidR="00DA5BCC" w:rsidRPr="00D11245">
        <w:rPr>
          <w:i/>
          <w:iCs/>
          <w:color w:val="000000" w:themeColor="text1"/>
          <w:sz w:val="24"/>
          <w:szCs w:val="24"/>
        </w:rPr>
        <w:t>Entamoeba</w:t>
      </w:r>
      <w:r w:rsidR="00DA5BCC" w:rsidRPr="00D11245">
        <w:rPr>
          <w:color w:val="000000" w:themeColor="text1"/>
          <w:sz w:val="24"/>
          <w:szCs w:val="24"/>
        </w:rPr>
        <w:t xml:space="preserve"> </w:t>
      </w:r>
      <w:r w:rsidRPr="00D11245">
        <w:rPr>
          <w:color w:val="000000" w:themeColor="text1"/>
          <w:sz w:val="24"/>
          <w:szCs w:val="24"/>
        </w:rPr>
        <w:t xml:space="preserve">have been described:  </w:t>
      </w:r>
      <w:r w:rsidR="007B1E23" w:rsidRPr="00D11245">
        <w:rPr>
          <w:i/>
          <w:iCs/>
          <w:color w:val="000000" w:themeColor="text1"/>
          <w:sz w:val="24"/>
          <w:szCs w:val="24"/>
        </w:rPr>
        <w:t>Entamoeba gingivalis</w:t>
      </w:r>
      <w:r w:rsidR="007B1E23" w:rsidRPr="00D11245">
        <w:rPr>
          <w:color w:val="000000" w:themeColor="text1"/>
          <w:sz w:val="24"/>
          <w:szCs w:val="24"/>
        </w:rPr>
        <w:t xml:space="preserve"> in the buccal cavity</w:t>
      </w:r>
      <w:r w:rsidR="000A7A37" w:rsidRPr="00D11245">
        <w:rPr>
          <w:color w:val="000000" w:themeColor="text1"/>
          <w:sz w:val="24"/>
          <w:szCs w:val="24"/>
        </w:rPr>
        <w:t xml:space="preserve">, and six others in the </w:t>
      </w:r>
      <w:r w:rsidR="00BD110B" w:rsidRPr="00D11245">
        <w:rPr>
          <w:color w:val="000000" w:themeColor="text1"/>
          <w:sz w:val="24"/>
          <w:szCs w:val="24"/>
        </w:rPr>
        <w:t xml:space="preserve">intestine: </w:t>
      </w:r>
      <w:r w:rsidRPr="00D11245">
        <w:rPr>
          <w:i/>
          <w:iCs/>
          <w:color w:val="000000" w:themeColor="text1"/>
          <w:sz w:val="24"/>
          <w:szCs w:val="24"/>
        </w:rPr>
        <w:t>Entamoeba coli</w:t>
      </w:r>
      <w:r w:rsidR="00C464D8" w:rsidRPr="00D11245">
        <w:rPr>
          <w:color w:val="000000" w:themeColor="text1"/>
          <w:sz w:val="24"/>
          <w:szCs w:val="24"/>
        </w:rPr>
        <w:t xml:space="preserve">, </w:t>
      </w:r>
      <w:r w:rsidRPr="00D11245">
        <w:rPr>
          <w:i/>
          <w:iCs/>
          <w:color w:val="000000" w:themeColor="text1"/>
          <w:sz w:val="24"/>
          <w:szCs w:val="24"/>
        </w:rPr>
        <w:t xml:space="preserve">Entamoeba </w:t>
      </w:r>
      <w:proofErr w:type="spellStart"/>
      <w:r w:rsidRPr="00D11245">
        <w:rPr>
          <w:i/>
          <w:iCs/>
          <w:color w:val="000000" w:themeColor="text1"/>
          <w:sz w:val="24"/>
          <w:szCs w:val="24"/>
        </w:rPr>
        <w:t>hartmanni</w:t>
      </w:r>
      <w:proofErr w:type="spellEnd"/>
      <w:r w:rsidRPr="00D11245">
        <w:rPr>
          <w:color w:val="000000" w:themeColor="text1"/>
          <w:sz w:val="24"/>
          <w:szCs w:val="24"/>
        </w:rPr>
        <w:t xml:space="preserve">, </w:t>
      </w:r>
      <w:r w:rsidRPr="00D11245">
        <w:rPr>
          <w:i/>
          <w:iCs/>
          <w:color w:val="000000" w:themeColor="text1"/>
          <w:sz w:val="24"/>
          <w:szCs w:val="24"/>
        </w:rPr>
        <w:t xml:space="preserve">Entamoeba </w:t>
      </w:r>
      <w:proofErr w:type="spellStart"/>
      <w:r w:rsidRPr="00D11245">
        <w:rPr>
          <w:i/>
          <w:iCs/>
          <w:color w:val="000000" w:themeColor="text1"/>
          <w:sz w:val="24"/>
          <w:szCs w:val="24"/>
        </w:rPr>
        <w:t>polecki</w:t>
      </w:r>
      <w:proofErr w:type="spellEnd"/>
      <w:r w:rsidRPr="00D11245">
        <w:rPr>
          <w:color w:val="000000" w:themeColor="text1"/>
          <w:sz w:val="24"/>
          <w:szCs w:val="24"/>
        </w:rPr>
        <w:t xml:space="preserve">, </w:t>
      </w:r>
      <w:r w:rsidRPr="00D11245">
        <w:rPr>
          <w:i/>
          <w:iCs/>
          <w:color w:val="000000" w:themeColor="text1"/>
          <w:sz w:val="24"/>
          <w:szCs w:val="24"/>
        </w:rPr>
        <w:t>Entamoeba dispar</w:t>
      </w:r>
      <w:r w:rsidRPr="00D11245">
        <w:rPr>
          <w:color w:val="000000" w:themeColor="text1"/>
          <w:sz w:val="24"/>
          <w:szCs w:val="24"/>
        </w:rPr>
        <w:t xml:space="preserve">, </w:t>
      </w:r>
      <w:r w:rsidRPr="00D11245">
        <w:rPr>
          <w:i/>
          <w:iCs/>
          <w:color w:val="000000" w:themeColor="text1"/>
          <w:sz w:val="24"/>
          <w:szCs w:val="24"/>
        </w:rPr>
        <w:t xml:space="preserve">Entamoeba </w:t>
      </w:r>
      <w:proofErr w:type="spellStart"/>
      <w:r w:rsidRPr="00D11245">
        <w:rPr>
          <w:i/>
          <w:iCs/>
          <w:color w:val="000000" w:themeColor="text1"/>
          <w:sz w:val="24"/>
          <w:szCs w:val="24"/>
        </w:rPr>
        <w:t>moshkovskii</w:t>
      </w:r>
      <w:proofErr w:type="spellEnd"/>
      <w:r w:rsidRPr="00D11245">
        <w:rPr>
          <w:color w:val="000000" w:themeColor="text1"/>
          <w:sz w:val="24"/>
          <w:szCs w:val="24"/>
        </w:rPr>
        <w:t xml:space="preserve">, </w:t>
      </w:r>
      <w:r w:rsidR="00F92336" w:rsidRPr="00D11245">
        <w:rPr>
          <w:color w:val="000000" w:themeColor="text1"/>
          <w:sz w:val="24"/>
          <w:szCs w:val="24"/>
        </w:rPr>
        <w:t xml:space="preserve">and </w:t>
      </w:r>
      <w:r w:rsidRPr="00D11245">
        <w:rPr>
          <w:i/>
          <w:iCs/>
          <w:color w:val="000000" w:themeColor="text1"/>
          <w:sz w:val="24"/>
          <w:szCs w:val="24"/>
        </w:rPr>
        <w:t xml:space="preserve">Entamoeba </w:t>
      </w:r>
      <w:proofErr w:type="spellStart"/>
      <w:r w:rsidR="005B00B9" w:rsidRPr="00D11245">
        <w:rPr>
          <w:i/>
          <w:iCs/>
          <w:color w:val="000000" w:themeColor="text1"/>
          <w:sz w:val="24"/>
          <w:szCs w:val="24"/>
        </w:rPr>
        <w:t>b</w:t>
      </w:r>
      <w:r w:rsidR="00BD110B" w:rsidRPr="00D11245">
        <w:rPr>
          <w:i/>
          <w:iCs/>
          <w:color w:val="000000" w:themeColor="text1"/>
          <w:sz w:val="24"/>
          <w:szCs w:val="24"/>
        </w:rPr>
        <w:t>angladeshi</w:t>
      </w:r>
      <w:proofErr w:type="spellEnd"/>
      <w:r w:rsidR="00BD110B" w:rsidRPr="00D11245">
        <w:rPr>
          <w:color w:val="000000" w:themeColor="text1"/>
          <w:sz w:val="24"/>
          <w:szCs w:val="24"/>
        </w:rPr>
        <w:t>.</w:t>
      </w:r>
      <w:r w:rsidRPr="00D11245">
        <w:rPr>
          <w:color w:val="000000" w:themeColor="text1"/>
          <w:sz w:val="24"/>
          <w:szCs w:val="24"/>
        </w:rPr>
        <w:t xml:space="preserve"> </w:t>
      </w:r>
      <w:r w:rsidR="00BD110B" w:rsidRPr="00D11245">
        <w:rPr>
          <w:color w:val="000000" w:themeColor="text1"/>
          <w:sz w:val="24"/>
          <w:szCs w:val="24"/>
        </w:rPr>
        <w:t>T</w:t>
      </w:r>
      <w:r w:rsidRPr="00D11245">
        <w:rPr>
          <w:color w:val="000000" w:themeColor="text1"/>
          <w:sz w:val="24"/>
          <w:szCs w:val="24"/>
        </w:rPr>
        <w:t xml:space="preserve">he latter three are morphologically indistinguishable </w:t>
      </w:r>
      <w:r w:rsidR="00253491" w:rsidRPr="00D11245">
        <w:rPr>
          <w:color w:val="000000" w:themeColor="text1"/>
          <w:sz w:val="24"/>
          <w:szCs w:val="24"/>
        </w:rPr>
        <w:t xml:space="preserve">from </w:t>
      </w:r>
      <w:r w:rsidR="00253491" w:rsidRPr="00D11245">
        <w:rPr>
          <w:i/>
          <w:iCs/>
          <w:color w:val="000000" w:themeColor="text1"/>
          <w:sz w:val="24"/>
          <w:szCs w:val="24"/>
        </w:rPr>
        <w:t>E. histolytica</w:t>
      </w:r>
      <w:r w:rsidR="00253491" w:rsidRPr="00D11245">
        <w:rPr>
          <w:color w:val="000000" w:themeColor="text1"/>
          <w:sz w:val="24"/>
          <w:szCs w:val="24"/>
        </w:rPr>
        <w:t xml:space="preserve"> </w:t>
      </w:r>
      <w:r w:rsidRPr="00D11245">
        <w:rPr>
          <w:color w:val="000000" w:themeColor="text1"/>
          <w:sz w:val="24"/>
          <w:szCs w:val="24"/>
        </w:rPr>
        <w:t>by light microscopy</w:t>
      </w:r>
      <w:r w:rsidR="00C464D8" w:rsidRPr="00D11245">
        <w:rPr>
          <w:color w:val="000000" w:themeColor="text1"/>
          <w:sz w:val="24"/>
          <w:szCs w:val="24"/>
        </w:rPr>
        <w:t xml:space="preserve"> </w:t>
      </w:r>
      <w:r w:rsidR="00E67176" w:rsidRPr="00D11245">
        <w:rPr>
          <w:color w:val="000000" w:themeColor="text1"/>
          <w:sz w:val="24"/>
          <w:szCs w:val="24"/>
          <w:vertAlign w:val="superscript"/>
        </w:rPr>
        <w:fldChar w:fldCharType="begin"/>
      </w:r>
      <w:r w:rsidR="00E67176" w:rsidRPr="00D11245">
        <w:rPr>
          <w:color w:val="000000" w:themeColor="text1"/>
          <w:sz w:val="24"/>
          <w:szCs w:val="24"/>
          <w:vertAlign w:val="superscript"/>
        </w:rPr>
        <w:instrText xml:space="preserve"> ADDIN ZOTERO_ITEM CSL_CITATION {"citationID":"DitWYoGd","properties":{"formattedCitation":"\\super 10\\nosupersub{}","plainCitation":"10","noteIndex":0},"citationItems":[{"id":16570,"uris":["http://zotero.org/groups/2497994/items/FQIIVC8W"],"itemData":{"id":16570,"type":"article-journal","abstract":"BACKGROUND: The number of valid of pathogen and non-pathogen species of Entamoeba has continuously increased in human and animals. This review is performed to provide an update list and some summarized information on Entamoeba species, which were identified up to the 2014.\nMETHODS: We evaluated the Entamoeba genus with a broad systematic review of the literature, books and electronic databases until February 2014. The synonyms, hosts, pathogenicity and geographical distribution of valid species were considered and recorded. Repeated and unrelated cases were excluded.\nRESULTS: Totally 51 defined species of Entamoeba were found and arranged by the number of nuclei in mature cyst according to Levin's grouping. Seven of these species within the 4 nucleate mature cysts group and 1 species with one nucleate mature cyst are pathogen. E. histolytica, E. invadence, E. rananrum and E. anatis causes lethal infection in human, reptiles, amphibians and brides respectively, four species causes non-lethal mild dysentery. The other species were non-pathogen and are important to differential diagnosis of amoebiasis.\nCONCLUSION: There are some unknown true species of Entamoeba that available information on the morphology, hosts, pathogenicity and distribution of them are still very limited and more considerable investigation will be needed in order to clarify the status of them.","container-title":"Iranian Journal of Parasitology","ISSN":"1735-7020","issue":"2","journalAbbreviation":"Iran J Parasitol","language":"eng","note":"PMID: 26246811\nPMCID: PMC4522289","page":"146-156","source":"PubMed","title":"An Annotated Checklist of the Human and Animal Entamoeba (Amoebida: Endamoebidae) Species- A Review Article","title-short":"An Annotated Checklist of the Human and Animal Entamoeba (Amoebida","volume":"10","author":[{"family":"Hooshyar","given":"Hossein"},{"family":"Rostamkhani","given":"Parvin"},{"family":"Rezaeian","given":"Mostafa"}],"issued":{"date-parts":[["2015"]]}}}],"schema":"https://github.com/citation-style-language/schema/raw/master/csl-citation.json"} </w:instrText>
      </w:r>
      <w:r w:rsidR="00E67176" w:rsidRPr="00D11245">
        <w:rPr>
          <w:color w:val="000000" w:themeColor="text1"/>
          <w:sz w:val="24"/>
          <w:szCs w:val="24"/>
          <w:vertAlign w:val="superscript"/>
        </w:rPr>
        <w:fldChar w:fldCharType="separate"/>
      </w:r>
      <w:r w:rsidR="00E67176" w:rsidRPr="00D11245">
        <w:rPr>
          <w:rFonts w:ascii="Calibri" w:hAnsi="Calibri" w:cs="Calibri"/>
          <w:color w:val="000000" w:themeColor="text1"/>
          <w:kern w:val="0"/>
          <w:sz w:val="24"/>
          <w:szCs w:val="24"/>
          <w:vertAlign w:val="superscript"/>
        </w:rPr>
        <w:t>10</w:t>
      </w:r>
      <w:r w:rsidR="00E67176" w:rsidRPr="00D11245">
        <w:rPr>
          <w:color w:val="000000" w:themeColor="text1"/>
          <w:sz w:val="24"/>
          <w:szCs w:val="24"/>
          <w:vertAlign w:val="superscript"/>
        </w:rPr>
        <w:fldChar w:fldCharType="end"/>
      </w:r>
      <w:r w:rsidR="00E67176" w:rsidRPr="00D11245">
        <w:rPr>
          <w:color w:val="000000" w:themeColor="text1"/>
          <w:sz w:val="24"/>
          <w:szCs w:val="24"/>
        </w:rPr>
        <w:t>.</w:t>
      </w:r>
      <w:r w:rsidRPr="00D11245">
        <w:rPr>
          <w:color w:val="000000" w:themeColor="text1"/>
          <w:sz w:val="24"/>
          <w:szCs w:val="24"/>
        </w:rPr>
        <w:t xml:space="preserve"> </w:t>
      </w:r>
      <w:proofErr w:type="spellStart"/>
      <w:r w:rsidRPr="00D11245">
        <w:rPr>
          <w:color w:val="000000" w:themeColor="text1"/>
          <w:sz w:val="24"/>
          <w:szCs w:val="24"/>
        </w:rPr>
        <w:t>Brumpt</w:t>
      </w:r>
      <w:proofErr w:type="spellEnd"/>
      <w:r w:rsidRPr="00D11245">
        <w:rPr>
          <w:color w:val="000000" w:themeColor="text1"/>
          <w:sz w:val="24"/>
          <w:szCs w:val="24"/>
        </w:rPr>
        <w:t xml:space="preserve"> first described the existence of both pathogenic and non-pathogenic species</w:t>
      </w:r>
      <w:r w:rsidR="00585341" w:rsidRPr="00D11245">
        <w:rPr>
          <w:color w:val="000000" w:themeColor="text1"/>
          <w:sz w:val="24"/>
          <w:szCs w:val="24"/>
        </w:rPr>
        <w:t xml:space="preserve"> of </w:t>
      </w:r>
      <w:r w:rsidR="00585341" w:rsidRPr="00D11245">
        <w:rPr>
          <w:i/>
          <w:iCs/>
          <w:color w:val="000000" w:themeColor="text1"/>
          <w:sz w:val="24"/>
          <w:szCs w:val="24"/>
        </w:rPr>
        <w:t>Entamoeba</w:t>
      </w:r>
      <w:r w:rsidRPr="00D11245">
        <w:rPr>
          <w:color w:val="000000" w:themeColor="text1"/>
          <w:sz w:val="24"/>
          <w:szCs w:val="24"/>
        </w:rPr>
        <w:t xml:space="preserve">, the most prevalent being </w:t>
      </w:r>
      <w:r w:rsidRPr="00D11245">
        <w:rPr>
          <w:i/>
          <w:iCs/>
          <w:color w:val="000000" w:themeColor="text1"/>
          <w:sz w:val="24"/>
          <w:szCs w:val="24"/>
        </w:rPr>
        <w:t>E. dispar</w:t>
      </w:r>
      <w:r w:rsidR="00E67176" w:rsidRPr="00D11245">
        <w:rPr>
          <w:i/>
          <w:iCs/>
          <w:color w:val="000000" w:themeColor="text1"/>
          <w:sz w:val="24"/>
          <w:szCs w:val="24"/>
        </w:rPr>
        <w:fldChar w:fldCharType="begin"/>
      </w:r>
      <w:r w:rsidR="00E67176" w:rsidRPr="00D11245">
        <w:rPr>
          <w:i/>
          <w:iCs/>
          <w:color w:val="000000" w:themeColor="text1"/>
          <w:sz w:val="24"/>
          <w:szCs w:val="24"/>
        </w:rPr>
        <w:instrText xml:space="preserve"> ADDIN ZOTERO_ITEM CSL_CITATION {"citationID":"k3Sud0AN","properties":{"formattedCitation":"\\super 1\\nosupersub{}","plainCitation":"1","noteIndex":0},"citationItems":[{"id":16624,"uris":["http://zotero.org/groups/2497994/items/D3H4KIGN"],"itemData":{"id":16624,"type":"article-journal","container-title":"Epidemiological Bulletin","ISSN":"0256-1859","issue":"1","journalAbbreviation":"Epidemiol Bull","language":"eng","note":"PMID: 9197085","page":"13-14","source":"PubMed","title":"WHO/PAHO/UNESCO report. A consultation with experts on amoebiasis. Mexico City, Mexico 28-29 January, 1997","volume":"18","issued":{"date-parts":[["1997",3]]}}}],"schema":"https://github.com/citation-style-language/schema/raw/master/csl-citation.json"} </w:instrText>
      </w:r>
      <w:r w:rsidR="00E67176" w:rsidRPr="00D11245">
        <w:rPr>
          <w:i/>
          <w:iCs/>
          <w:color w:val="000000" w:themeColor="text1"/>
          <w:sz w:val="24"/>
          <w:szCs w:val="24"/>
        </w:rPr>
        <w:fldChar w:fldCharType="separate"/>
      </w:r>
      <w:r w:rsidR="00E67176" w:rsidRPr="00D11245">
        <w:rPr>
          <w:rFonts w:ascii="Calibri" w:hAnsi="Calibri" w:cs="Calibri"/>
          <w:color w:val="000000" w:themeColor="text1"/>
          <w:kern w:val="0"/>
          <w:sz w:val="24"/>
          <w:szCs w:val="24"/>
          <w:vertAlign w:val="superscript"/>
        </w:rPr>
        <w:t>1</w:t>
      </w:r>
      <w:r w:rsidR="00E67176" w:rsidRPr="00D11245">
        <w:rPr>
          <w:i/>
          <w:iCs/>
          <w:color w:val="000000" w:themeColor="text1"/>
          <w:sz w:val="24"/>
          <w:szCs w:val="24"/>
        </w:rPr>
        <w:fldChar w:fldCharType="end"/>
      </w:r>
      <w:r w:rsidR="00E67176" w:rsidRPr="00D11245">
        <w:rPr>
          <w:color w:val="000000" w:themeColor="text1"/>
          <w:sz w:val="24"/>
          <w:szCs w:val="24"/>
        </w:rPr>
        <w:t xml:space="preserve">. </w:t>
      </w:r>
      <w:r w:rsidR="00CD41B5" w:rsidRPr="00D11245">
        <w:rPr>
          <w:color w:val="000000" w:themeColor="text1"/>
          <w:sz w:val="24"/>
          <w:szCs w:val="24"/>
        </w:rPr>
        <w:t xml:space="preserve">Now </w:t>
      </w:r>
      <w:r w:rsidR="003F5F48" w:rsidRPr="00D11245">
        <w:rPr>
          <w:color w:val="000000" w:themeColor="text1"/>
          <w:sz w:val="24"/>
          <w:szCs w:val="24"/>
        </w:rPr>
        <w:t xml:space="preserve">molecular diagnostics </w:t>
      </w:r>
      <w:r w:rsidR="00DB03F4" w:rsidRPr="00D11245">
        <w:rPr>
          <w:color w:val="000000" w:themeColor="text1"/>
          <w:sz w:val="24"/>
          <w:szCs w:val="24"/>
        </w:rPr>
        <w:t xml:space="preserve">can distinguish </w:t>
      </w:r>
      <w:r w:rsidR="00C464D8" w:rsidRPr="00D11245">
        <w:rPr>
          <w:color w:val="000000" w:themeColor="text1"/>
          <w:sz w:val="24"/>
          <w:szCs w:val="24"/>
        </w:rPr>
        <w:t xml:space="preserve">between </w:t>
      </w:r>
      <w:r w:rsidR="00C464D8" w:rsidRPr="00D11245">
        <w:rPr>
          <w:i/>
          <w:iCs/>
          <w:color w:val="000000" w:themeColor="text1"/>
          <w:sz w:val="24"/>
          <w:szCs w:val="24"/>
        </w:rPr>
        <w:t>E. histolytica</w:t>
      </w:r>
      <w:r w:rsidR="00C464D8" w:rsidRPr="00D11245">
        <w:rPr>
          <w:color w:val="000000" w:themeColor="text1"/>
          <w:sz w:val="24"/>
          <w:szCs w:val="24"/>
        </w:rPr>
        <w:t xml:space="preserve"> and non-pathogenic </w:t>
      </w:r>
      <w:r w:rsidR="000F7CEC" w:rsidRPr="00D11245">
        <w:rPr>
          <w:color w:val="000000" w:themeColor="text1"/>
          <w:sz w:val="24"/>
          <w:szCs w:val="24"/>
        </w:rPr>
        <w:t>amoebae</w:t>
      </w:r>
      <w:r w:rsidR="00B22186" w:rsidRPr="00D11245">
        <w:rPr>
          <w:color w:val="000000" w:themeColor="text1"/>
          <w:sz w:val="24"/>
          <w:szCs w:val="24"/>
        </w:rPr>
        <w:t>,</w:t>
      </w:r>
      <w:r w:rsidR="00C464D8" w:rsidRPr="00D11245">
        <w:rPr>
          <w:color w:val="000000" w:themeColor="text1"/>
          <w:sz w:val="24"/>
          <w:szCs w:val="24"/>
        </w:rPr>
        <w:t xml:space="preserve"> allowing </w:t>
      </w:r>
      <w:r w:rsidR="003F5F48" w:rsidRPr="00D11245">
        <w:rPr>
          <w:color w:val="000000" w:themeColor="text1"/>
          <w:sz w:val="24"/>
          <w:szCs w:val="24"/>
        </w:rPr>
        <w:t xml:space="preserve">precise </w:t>
      </w:r>
      <w:r w:rsidR="00C464D8" w:rsidRPr="00D11245">
        <w:rPr>
          <w:color w:val="000000" w:themeColor="text1"/>
          <w:sz w:val="24"/>
          <w:szCs w:val="24"/>
        </w:rPr>
        <w:t xml:space="preserve">diagnosis and are </w:t>
      </w:r>
      <w:r w:rsidR="002D28F9" w:rsidRPr="00D11245">
        <w:rPr>
          <w:color w:val="000000" w:themeColor="text1"/>
          <w:sz w:val="24"/>
          <w:szCs w:val="24"/>
        </w:rPr>
        <w:t xml:space="preserve">considered </w:t>
      </w:r>
      <w:r w:rsidR="00CD41B5" w:rsidRPr="00D11245">
        <w:rPr>
          <w:color w:val="000000" w:themeColor="text1"/>
          <w:sz w:val="24"/>
          <w:szCs w:val="24"/>
        </w:rPr>
        <w:t xml:space="preserve"> </w:t>
      </w:r>
      <w:r w:rsidR="00C464D8" w:rsidRPr="00D11245">
        <w:rPr>
          <w:color w:val="000000" w:themeColor="text1"/>
          <w:sz w:val="24"/>
          <w:szCs w:val="24"/>
        </w:rPr>
        <w:t xml:space="preserve">alongside other contemporary approaches to diagnosis and management of amoebiasis in this review </w:t>
      </w:r>
      <w:r w:rsidR="00E67176" w:rsidRPr="00D11245">
        <w:rPr>
          <w:color w:val="000000" w:themeColor="text1"/>
          <w:sz w:val="24"/>
          <w:szCs w:val="24"/>
        </w:rPr>
        <w:fldChar w:fldCharType="begin"/>
      </w:r>
      <w:r w:rsidR="002F70D0" w:rsidRPr="00D11245">
        <w:rPr>
          <w:color w:val="000000" w:themeColor="text1"/>
          <w:sz w:val="24"/>
          <w:szCs w:val="24"/>
        </w:rPr>
        <w:instrText xml:space="preserve"> ADDIN ZOTERO_ITEM CSL_CITATION {"citationID":"lHf7PirJ","properties":{"formattedCitation":"\\super 11\\uc0\\u8211{}13\\nosupersub{}","plainCitation":"11–13","noteIndex":0},"citationItems":[{"id":16618,"uris":["http://zotero.org/groups/2497994/items/NPTME8KA"],"itemData":{"id":16618,"type":"article-journal","abstract":"On the basis of epidemiologic and clinical data in humans, and of experimental studies in kittens, E. Brumpt in 1925 showed that Entamoeba histolytica producing quadrinucleate cysts was a complex of 2 species. He differentiated a pathogenic and invasive form, from a non pathogenic and non invasive one that he called Entamoeba dispar. His explanation gained little support until recently, when Sargeaunt reported a study of isoenzyme typing and allow then the classification of amoebae resembling E. histolytica in pathogenic and non pathogenic species. Monoclonal antibodies and PCR have recently been used and have shown to react specifically with the two forms of amoebae. Genetic evidence has also demonstrated that the pathogenic and non pathogenic amoebae represent different species.","container-title":"Bulletin De La Societe De Pathologie Exotique (1990)","ISSN":"0037-9085","issue":"4","journalAbbreviation":"Bull Soc Pathol Exot","language":"fre","note":"PMID: 7866041","page":"231-237","source":"PubMed","title":"[Entamoeba histolytica (Schaudinn 1903) and Entamoeba dispar (E. Brumpt 1925) are 2 different species]","volume":"87","author":[{"family":"Petithory","given":"J. C."},{"family":"Brumpt","given":"L. C."},{"family":"Poujade","given":"F."}],"issued":{"date-parts":[["1994"]]}}},{"id":16617,"uris":["http://zotero.org/groups/2497994/items/5MJT9WCC"],"itemData":{"id":16617,"type":"article-journal","container-title":"Transactions of the Royal Society of Tropical Medicine and Hygiene","DOI":"10.1016/0035-9203(78)90174-8","ISSN":"00359203","issue":"5","journalAbbreviation":"Transactions of the Royal Society of Tropical Medicine and Hygiene","language":"en","page":"519-521","source":"DOI.org (Crossref)","title":"The differentiation of invasive and non-invasive Entamoeba histolytica by isoenzyme electrophoresis","volume":"72","author":[{"family":"Sargeaunt","given":"P.G."},{"family":"Williams","given":"J.E."},{"family":"Grene","given":"J.D."}],"issued":{"date-parts":[["1978",1]]}}},{"id":16620,"uris":["http://zotero.org/groups/2497994/items/UHM5C87V"],"itemData":{"id":16620,"type":"article-journal","abstract":"cDNA libraries were constructed from pathogenic (HM-1:IMSS) and nonpathogenic (SAW 1734) isolates of Entamoeba histolytica. A cDNA clone (cEH-P1) specific for pathogenic amoebae was identified by screening with a pool of sera from patients with invasive amoebiasis that had been absorbed with nonpathogenic amoebae. This clone was used for the identification of a homologous clone (cEH-NP1) in the cDNA from nonpathogenic amoebae. Sequence analysis and comparison of the predicted amino acid sequences for both clones disclosed 12% evolutionary divergence in structure. Hybridization of both cDNA probes to genomic DNA from four pathogenic and five nonpathogenic E. histolytica isolates revealed two distinct Southern blot patterns, one characteristic for pathogenic amoebae and the other for nonpathogenic amoebae. Further, the complex pattern of restriction fragments hybridizing to an actin cDNA probe was also different between pathogenic and nonpathogenic isolates but was conserved within each group of amoebae. The results indicate that pathogenic isolates of E. histolytica are genetically distinct from nonpathogenic isolates.","container-title":"Proceedings of the National Academy of Sciences of the United States of America","DOI":"10.1073/pnas.86.13.5118","ISSN":"0027-8424","issue":"13","journalAbbreviation":"Proc Natl Acad Sci U S A","language":"eng","note":"PMID: 2544890\nPMCID: PMC297568","page":"5118-5122","source":"PubMed","title":"Genomic DNA differences between pathogenic and nonpathogenic Entamoeba histolytica","volume":"86","author":[{"family":"Tannich","given":"E."},{"family":"Horstmann","given":"R. D."},{"family":"Knobloch","given":"J."},{"family":"Arnold","given":"H. H."}],"issued":{"date-parts":[["1989",7]]}}}],"schema":"https://github.com/citation-style-language/schema/raw/master/csl-citation.json"} </w:instrText>
      </w:r>
      <w:r w:rsidR="00E67176" w:rsidRPr="00D11245">
        <w:rPr>
          <w:color w:val="000000" w:themeColor="text1"/>
          <w:sz w:val="24"/>
          <w:szCs w:val="24"/>
        </w:rPr>
        <w:fldChar w:fldCharType="separate"/>
      </w:r>
      <w:r w:rsidR="002F70D0" w:rsidRPr="00D11245">
        <w:rPr>
          <w:rFonts w:ascii="Calibri" w:hAnsi="Calibri" w:cs="Calibri"/>
          <w:color w:val="000000" w:themeColor="text1"/>
          <w:kern w:val="0"/>
          <w:sz w:val="24"/>
          <w:szCs w:val="24"/>
          <w:vertAlign w:val="superscript"/>
        </w:rPr>
        <w:t>11–13</w:t>
      </w:r>
      <w:r w:rsidR="00E67176" w:rsidRPr="00D11245">
        <w:rPr>
          <w:color w:val="000000" w:themeColor="text1"/>
          <w:sz w:val="24"/>
          <w:szCs w:val="24"/>
        </w:rPr>
        <w:fldChar w:fldCharType="end"/>
      </w:r>
      <w:r w:rsidRPr="00D11245">
        <w:rPr>
          <w:color w:val="000000" w:themeColor="text1"/>
          <w:sz w:val="24"/>
          <w:szCs w:val="24"/>
        </w:rPr>
        <w:t xml:space="preserve">.  </w:t>
      </w:r>
    </w:p>
    <w:p w14:paraId="603E0289" w14:textId="0C469614" w:rsidR="00296ADE" w:rsidRPr="00D11245" w:rsidRDefault="00DC4A23" w:rsidP="00DC4A23">
      <w:pPr>
        <w:jc w:val="both"/>
        <w:rPr>
          <w:b/>
          <w:bCs/>
          <w:color w:val="000000" w:themeColor="text1"/>
          <w:sz w:val="24"/>
          <w:szCs w:val="24"/>
          <w:u w:val="single"/>
        </w:rPr>
      </w:pPr>
      <w:r w:rsidRPr="00D11245">
        <w:rPr>
          <w:b/>
          <w:bCs/>
          <w:i/>
          <w:iCs/>
          <w:color w:val="000000" w:themeColor="text1"/>
          <w:sz w:val="24"/>
          <w:szCs w:val="24"/>
          <w:u w:val="single"/>
        </w:rPr>
        <w:t>E. histolytica</w:t>
      </w:r>
      <w:r w:rsidRPr="00D11245">
        <w:rPr>
          <w:b/>
          <w:bCs/>
          <w:color w:val="000000" w:themeColor="text1"/>
          <w:sz w:val="24"/>
          <w:szCs w:val="24"/>
          <w:u w:val="single"/>
        </w:rPr>
        <w:t xml:space="preserve"> – life cycle and pathophysiology</w:t>
      </w:r>
    </w:p>
    <w:p w14:paraId="65976197" w14:textId="0F8523E5" w:rsidR="00DC4A23" w:rsidRPr="00D11245" w:rsidRDefault="00DC4A23" w:rsidP="00DC4A23">
      <w:pPr>
        <w:jc w:val="both"/>
        <w:rPr>
          <w:rFonts w:cstheme="minorHAnsi"/>
          <w:color w:val="000000" w:themeColor="text1"/>
          <w:sz w:val="24"/>
          <w:szCs w:val="24"/>
        </w:rPr>
      </w:pPr>
      <w:r w:rsidRPr="00D11245">
        <w:rPr>
          <w:b/>
          <w:bCs/>
          <w:color w:val="000000" w:themeColor="text1"/>
          <w:sz w:val="24"/>
          <w:szCs w:val="24"/>
        </w:rPr>
        <w:t xml:space="preserve"> </w:t>
      </w:r>
      <w:r w:rsidRPr="00D11245">
        <w:rPr>
          <w:rFonts w:cstheme="minorHAnsi"/>
          <w:i/>
          <w:iCs/>
          <w:color w:val="000000" w:themeColor="text1"/>
          <w:sz w:val="24"/>
          <w:szCs w:val="24"/>
          <w:shd w:val="clear" w:color="auto" w:fill="FFFFFF"/>
        </w:rPr>
        <w:t>E. histolytica</w:t>
      </w:r>
      <w:r w:rsidRPr="00D11245">
        <w:rPr>
          <w:rFonts w:cstheme="minorHAnsi"/>
          <w:color w:val="000000" w:themeColor="text1"/>
          <w:sz w:val="24"/>
          <w:szCs w:val="24"/>
          <w:shd w:val="clear" w:color="auto" w:fill="FFFFFF"/>
        </w:rPr>
        <w:t xml:space="preserve"> is a single</w:t>
      </w:r>
      <w:r w:rsidR="00CA0916" w:rsidRPr="00D11245">
        <w:rPr>
          <w:rFonts w:cstheme="minorHAnsi"/>
          <w:color w:val="000000" w:themeColor="text1"/>
          <w:sz w:val="24"/>
          <w:szCs w:val="24"/>
          <w:shd w:val="clear" w:color="auto" w:fill="FFFFFF"/>
        </w:rPr>
        <w:t xml:space="preserve"> </w:t>
      </w:r>
      <w:r w:rsidRPr="00D11245">
        <w:rPr>
          <w:rFonts w:cstheme="minorHAnsi"/>
          <w:color w:val="000000" w:themeColor="text1"/>
          <w:sz w:val="24"/>
          <w:szCs w:val="24"/>
          <w:shd w:val="clear" w:color="auto" w:fill="FFFFFF"/>
        </w:rPr>
        <w:t>celled anaerobic eukaryote with a two-phase life cycle: infective cyst and invasive trophozoite. Infection begins by ingestion of cysts in food or water contaminated by human faeces. T</w:t>
      </w:r>
      <w:r w:rsidRPr="00D11245">
        <w:rPr>
          <w:rFonts w:cstheme="minorHAnsi"/>
          <w:color w:val="000000" w:themeColor="text1"/>
          <w:sz w:val="24"/>
          <w:szCs w:val="24"/>
        </w:rPr>
        <w:t>ransmission from animals to humans is thought to be rare</w:t>
      </w:r>
      <w:r w:rsidR="00454218" w:rsidRPr="00D11245">
        <w:rPr>
          <w:rFonts w:cstheme="minorHAnsi"/>
          <w:color w:val="000000" w:themeColor="text1"/>
          <w:sz w:val="24"/>
          <w:szCs w:val="24"/>
        </w:rPr>
        <w:t xml:space="preserve"> </w:t>
      </w:r>
      <w:r w:rsidR="003F3C57" w:rsidRPr="00D11245">
        <w:rPr>
          <w:rFonts w:cstheme="minorHAnsi"/>
          <w:color w:val="000000" w:themeColor="text1"/>
          <w:sz w:val="24"/>
          <w:szCs w:val="24"/>
          <w:shd w:val="clear" w:color="auto" w:fill="FFFFFF"/>
        </w:rPr>
        <w:fldChar w:fldCharType="begin"/>
      </w:r>
      <w:r w:rsidR="003F3C57" w:rsidRPr="00D11245">
        <w:rPr>
          <w:rFonts w:cstheme="minorHAnsi"/>
          <w:color w:val="000000" w:themeColor="text1"/>
          <w:sz w:val="24"/>
          <w:szCs w:val="24"/>
          <w:shd w:val="clear" w:color="auto" w:fill="FFFFFF"/>
        </w:rPr>
        <w:instrText xml:space="preserve"> ADDIN ZOTERO_ITEM CSL_CITATION {"citationID":"DcrDxYYd","properties":{"formattedCitation":"\\super 14\\nosupersub{}","plainCitation":"14","noteIndex":0},"citationItems":[{"id":16610,"uris":["http://zotero.org/groups/2497994/items/YBEMLG7P"],"itemData":{"id":16610,"type":"article-journal","abstract":"Amoebiasis caused by\n              Entamoeba histolytica\n              is an important issue in world public health because it is associated with high morbidity and mortality. Entamoeba histolytica is the only species of its genus that commonly causes mild irritation, injury, to inflammation of the walls of the colon and cecum. In some cases, parasites also invade other organs, especially the liver, lungs, kidneys, and brain.\n              Methods:\n              Our article search uses the help of four search engines namely Google Scholar, PubMed, Science Direct, and Springer.\n              Results\n              :\n              Entamoeba histolytica\n              is not easily transmitted from animals to humans, due to the fact that this parasite rarely encysts in the intestinal lumen of animals which is an important factor in the transmission of this parasite. And conversely, subclinical amebiasis in humans acts as the dominant host for transmission of this parasite either from human to human or from human to animal.","container-title":"E3S Web of Conferences","DOI":"10.1051/e3sconf/202015101019","ISSN":"2267-1242","journalAbbreviation":"E3S Web Conf.","page":"01019","source":"DOI.org (Crossref)","title":"&lt;i&gt;Entamoeba histolytica&lt;/i&gt; Neglected Tropical Diseases (NTDs) Agents that Infect Humans and Some Other Mammals: A Review","title-short":"&lt;i&gt;Entamoeba histolytica&lt;/i&gt; Neglected Tropical Diseases (NTDs) Agents that Infect Humans and Some Other Mammals","volume":"151","author":[{"family":"Junaidi","given":"Junaidi"},{"family":"Cahyaningsih","given":"Umi"},{"family":"Purnawarman","given":"Trioso"},{"family":"Latif","given":"Hadri"},{"family":"Sudarnika","given":"Etih"},{"family":"Hayati","given":"Zinatul"},{"family":"Muslina","given":"Muslina"}],"editor":[{"family":"Gholib","given":"G."},{"family":"Sutriana","given":"A."},{"family":"Engelhardt","given":"A."},{"family":"Duboscq","given":"J."},{"family":"Sahara Zamzami","given":"R."}],"issued":{"date-parts":[["2020"]]}}}],"schema":"https://github.com/citation-style-language/schema/raw/master/csl-citation.json"} </w:instrText>
      </w:r>
      <w:r w:rsidR="003F3C57" w:rsidRPr="00D11245">
        <w:rPr>
          <w:rFonts w:cstheme="minorHAnsi"/>
          <w:color w:val="000000" w:themeColor="text1"/>
          <w:sz w:val="24"/>
          <w:szCs w:val="24"/>
          <w:shd w:val="clear" w:color="auto" w:fill="FFFFFF"/>
        </w:rPr>
        <w:fldChar w:fldCharType="separate"/>
      </w:r>
      <w:r w:rsidR="003F3C57" w:rsidRPr="00D11245">
        <w:rPr>
          <w:rFonts w:ascii="Calibri" w:hAnsi="Calibri" w:cs="Calibri"/>
          <w:color w:val="000000" w:themeColor="text1"/>
          <w:kern w:val="0"/>
          <w:sz w:val="24"/>
          <w:szCs w:val="24"/>
          <w:vertAlign w:val="superscript"/>
        </w:rPr>
        <w:t>14</w:t>
      </w:r>
      <w:r w:rsidR="003F3C57" w:rsidRPr="00D11245">
        <w:rPr>
          <w:rFonts w:cstheme="minorHAnsi"/>
          <w:color w:val="000000" w:themeColor="text1"/>
          <w:sz w:val="24"/>
          <w:szCs w:val="24"/>
          <w:shd w:val="clear" w:color="auto" w:fill="FFFFFF"/>
        </w:rPr>
        <w:fldChar w:fldCharType="end"/>
      </w:r>
      <w:r w:rsidRPr="00D11245">
        <w:rPr>
          <w:rFonts w:cstheme="minorHAnsi"/>
          <w:color w:val="000000" w:themeColor="text1"/>
          <w:sz w:val="24"/>
          <w:szCs w:val="24"/>
          <w:shd w:val="clear" w:color="auto" w:fill="FFFFFF"/>
        </w:rPr>
        <w:t xml:space="preserve">. Cysts resist host defences by various mechanisms </w:t>
      </w:r>
      <w:r w:rsidR="003F3C57" w:rsidRPr="00D11245">
        <w:rPr>
          <w:rFonts w:cstheme="minorHAnsi"/>
          <w:color w:val="000000" w:themeColor="text1"/>
          <w:sz w:val="24"/>
          <w:szCs w:val="24"/>
          <w:shd w:val="clear" w:color="auto" w:fill="FFFFFF"/>
        </w:rPr>
        <w:fldChar w:fldCharType="begin"/>
      </w:r>
      <w:r w:rsidR="00C9795E" w:rsidRPr="00D11245">
        <w:rPr>
          <w:rFonts w:cstheme="minorHAnsi"/>
          <w:color w:val="000000" w:themeColor="text1"/>
          <w:sz w:val="24"/>
          <w:szCs w:val="24"/>
          <w:shd w:val="clear" w:color="auto" w:fill="FFFFFF"/>
        </w:rPr>
        <w:instrText xml:space="preserve"> ADDIN ZOTERO_ITEM CSL_CITATION {"citationID":"70S6SuFu","properties":{"formattedCitation":"\\super 4,15,16\\nosupersub{}","plainCitation":"4,15,16","noteIndex":0},"citationItems":[{"id":2848,"uris":["http://zotero.org/groups/2497994/items/4CQVJEEC",["http://zotero.org/groups/2497994/items/4CQVJEEC"]],"itemData":{"id":2848,"type":"article-journal","abstract":"&lt;h2&gt;Summary&lt;/h2&gt;&lt;p&gt;Amoebiasis is the second leading cause of death from parasitic disease worldwide. The causative protozoan parasite, &lt;i&gt;Entamoeba histolytica&lt;/i&gt;, is a potent pathogen. Secreting proteinases that dissolve host tissues, killing host cells on contact, and engulfing red blood cells, &lt;i&gt;E histolytica&lt;/i&gt; trophozoites invade the intestinal mucosa, causing amoebic colitis. In some cases amoebas breach the mucosal barrier and travel through the portal circulation to the liver, where they cause abscesses consisting of a few &lt;i&gt;E histolytica&lt;/i&gt; trophozoites surrounding dead and dying hepatocytes and liquefied cellular debris. Amoebic liver abscesses grow inexorably and, at one time, were almost always fatal, but now even large abscesses can be cured by one dose of antibiotic. Evidence that what we thought was a single species based on morphology is, in fact, two genetically distinct species—now termed &lt;i&gt;Entamoeba histolytica&lt;/i&gt; (the pathogen) and &lt;i&gt;Entamoeba dispar&lt;/i&gt; (a commensal)—has turned conventional wisdom about the epidemiology and diagnosis of amoebiasis upside down. New models of disease have linked &lt;i&gt;E histolytica&lt;/i&gt; induction of intestinal inflammation and hepatocyte programmed cell death to the pathogenesis of amoebic colitis and amoebic liver abscess.&lt;/p&gt;","container-title":"The Lancet","DOI":"10.1016/S0140-6736(03)12830-9","ISSN":"0140-6736, 1474-547X","issue":"9362","journalAbbreviation":"The Lancet","language":"English","note":"PMID: 12660071","page":"1025-1034","source":"www.thelancet.com","title":"Amoebiasis","volume":"361","author":[{"family":"Stanley","given":"Samuel L."}],"issued":{"date-parts":[["2003",3,22]]}}},{"id":530,"uris":["http://zotero.org/groups/2497994/items/ZIVCRMHI"],"itemData":{"id":530,"type":"article-journal","abstract":"PMID:23990778","archive":"PubMed Central","container-title":"PLoS Pathogens","DOI":"10.1371/journal.ppat.1003489","ISSN":"1553-7366","issue":"8","title":"Host Immune Response to Intestinal Amebiasis","URL":"https://mednar.com/mednar/desktop/en/service/link/track?redirectUrl=https%3A%2F%2Fwww.pubmedcentral.nih.gov%2Farticlerender.fcgi%3Ftool%3Dpmcentrez%26artid%3D3749964&amp;collectionCode=MEDNAR-PMC&amp;searchId=a306b45a-fe57-44a9-a61d-d954bc95ebdb&amp;type=RESULT&amp;signature=9decba17d0b911d259d6def573afe743dde15cb4d1f8011d859ba8ac4c426580","volume":"9","author":[{"family":"Moonah","given":"Shannon N."},{"family":"Jiang","given":"Nona M."},{"family":"Petri","given":"William A."}],"issued":{"date-parts":[["2013",8,22]]}}},{"id":2119,"uris":["http://zotero.org/groups/2497994/items/LTMETUNG"],"itemData":{"id":2119,"type":"article-journal","container-title":"Frontiers in Cellular and Infection Microbiology","DOI":"10.3389/fcimb.2019.00247","ISSN":"2235-2988 (electronic)","issue":"JUL","journalAbbreviation":"Front. Cell. Infect. Microbiol.","language":"English","note":"publisher-place: Switzerland\npublisher: Frontiers Media S.A. (E-mail: info@frontiersin.org)","page":"247","title":"Editorial: Recent progresses in amebiasis","volume":"9","author":[{"literal":"Debnath A."},{"literal":"Rodriguez M.A."},{"literal":"Ankri S."}],"issued":{"date-parts":[["2019"]]}}}],"schema":"https://github.com/citation-style-language/schema/raw/master/csl-citation.json"} </w:instrText>
      </w:r>
      <w:r w:rsidR="003F3C57" w:rsidRPr="00D11245">
        <w:rPr>
          <w:rFonts w:cstheme="minorHAnsi"/>
          <w:color w:val="000000" w:themeColor="text1"/>
          <w:sz w:val="24"/>
          <w:szCs w:val="24"/>
          <w:shd w:val="clear" w:color="auto" w:fill="FFFFFF"/>
        </w:rPr>
        <w:fldChar w:fldCharType="separate"/>
      </w:r>
      <w:r w:rsidR="003F3C57" w:rsidRPr="00D11245">
        <w:rPr>
          <w:rFonts w:ascii="Calibri" w:hAnsi="Calibri" w:cs="Calibri"/>
          <w:color w:val="000000" w:themeColor="text1"/>
          <w:kern w:val="0"/>
          <w:sz w:val="24"/>
          <w:szCs w:val="24"/>
          <w:vertAlign w:val="superscript"/>
        </w:rPr>
        <w:t>4,15,16</w:t>
      </w:r>
      <w:r w:rsidR="003F3C57" w:rsidRPr="00D11245">
        <w:rPr>
          <w:rFonts w:cstheme="minorHAnsi"/>
          <w:color w:val="000000" w:themeColor="text1"/>
          <w:sz w:val="24"/>
          <w:szCs w:val="24"/>
          <w:shd w:val="clear" w:color="auto" w:fill="FFFFFF"/>
        </w:rPr>
        <w:fldChar w:fldCharType="end"/>
      </w:r>
      <w:r w:rsidRPr="00D11245">
        <w:rPr>
          <w:rFonts w:cstheme="minorHAnsi"/>
          <w:color w:val="000000" w:themeColor="text1"/>
          <w:sz w:val="24"/>
          <w:szCs w:val="24"/>
        </w:rPr>
        <w:t xml:space="preserve"> </w:t>
      </w:r>
      <w:r w:rsidRPr="00D11245">
        <w:rPr>
          <w:rFonts w:cstheme="minorHAnsi"/>
          <w:color w:val="000000" w:themeColor="text1"/>
          <w:sz w:val="24"/>
          <w:szCs w:val="24"/>
          <w:shd w:val="clear" w:color="auto" w:fill="FFFFFF"/>
        </w:rPr>
        <w:t>and upon reaching the terminal ileum they release four trophozoites by the process of excystation</w:t>
      </w:r>
      <w:r w:rsidR="003F3C57" w:rsidRPr="00D11245">
        <w:rPr>
          <w:rFonts w:cstheme="minorHAnsi"/>
          <w:color w:val="000000" w:themeColor="text1"/>
          <w:sz w:val="24"/>
          <w:szCs w:val="24"/>
          <w:shd w:val="clear" w:color="auto" w:fill="FFFFFF"/>
        </w:rPr>
        <w:t xml:space="preserve"> </w:t>
      </w:r>
      <w:r w:rsidR="003F3C57" w:rsidRPr="00D11245">
        <w:rPr>
          <w:rFonts w:cstheme="minorHAnsi"/>
          <w:color w:val="000000" w:themeColor="text1"/>
          <w:sz w:val="24"/>
          <w:szCs w:val="24"/>
          <w:shd w:val="clear" w:color="auto" w:fill="FFFFFF"/>
        </w:rPr>
        <w:fldChar w:fldCharType="begin"/>
      </w:r>
      <w:r w:rsidR="00C9795E" w:rsidRPr="00D11245">
        <w:rPr>
          <w:rFonts w:cstheme="minorHAnsi"/>
          <w:color w:val="000000" w:themeColor="text1"/>
          <w:sz w:val="24"/>
          <w:szCs w:val="24"/>
          <w:shd w:val="clear" w:color="auto" w:fill="FFFFFF"/>
        </w:rPr>
        <w:instrText xml:space="preserve"> ADDIN ZOTERO_ITEM CSL_CITATION {"citationID":"GuIS5R26","properties":{"formattedCitation":"\\super 4\\nosupersub{}","plainCitation":"4","noteIndex":0},"citationItems":[{"id":2848,"uris":["http://zotero.org/groups/2497994/items/4CQVJEEC",["http://zotero.org/groups/2497994/items/4CQVJEEC"]],"itemData":{"id":2848,"type":"article-journal","abstract":"&lt;h2&gt;Summary&lt;/h2&gt;&lt;p&gt;Amoebiasis is the second leading cause of death from parasitic disease worldwide. The causative protozoan parasite, &lt;i&gt;Entamoeba histolytica&lt;/i&gt;, is a potent pathogen. Secreting proteinases that dissolve host tissues, killing host cells on contact, and engulfing red blood cells, &lt;i&gt;E histolytica&lt;/i&gt; trophozoites invade the intestinal mucosa, causing amoebic colitis. In some cases amoebas breach the mucosal barrier and travel through the portal circulation to the liver, where they cause abscesses consisting of a few &lt;i&gt;E histolytica&lt;/i&gt; trophozoites surrounding dead and dying hepatocytes and liquefied cellular debris. Amoebic liver abscesses grow inexorably and, at one time, were almost always fatal, but now even large abscesses can be cured by one dose of antibiotic. Evidence that what we thought was a single species based on morphology is, in fact, two genetically distinct species—now termed &lt;i&gt;Entamoeba histolytica&lt;/i&gt; (the pathogen) and &lt;i&gt;Entamoeba dispar&lt;/i&gt; (a commensal)—has turned conventional wisdom about the epidemiology and diagnosis of amoebiasis upside down. New models of disease have linked &lt;i&gt;E histolytica&lt;/i&gt; induction of intestinal inflammation and hepatocyte programmed cell death to the pathogenesis of amoebic colitis and amoebic liver abscess.&lt;/p&gt;","container-title":"The Lancet","DOI":"10.1016/S0140-6736(03)12830-9","ISSN":"0140-6736, 1474-547X","issue":"9362","journalAbbreviation":"The Lancet","language":"English","note":"PMID: 12660071","page":"1025-1034","source":"www.thelancet.com","title":"Amoebiasis","volume":"361","author":[{"family":"Stanley","given":"Samuel L."}],"issued":{"date-parts":[["2003",3,22]]}}}],"schema":"https://github.com/citation-style-language/schema/raw/master/csl-citation.json"} </w:instrText>
      </w:r>
      <w:r w:rsidR="003F3C57" w:rsidRPr="00D11245">
        <w:rPr>
          <w:rFonts w:cstheme="minorHAnsi"/>
          <w:color w:val="000000" w:themeColor="text1"/>
          <w:sz w:val="24"/>
          <w:szCs w:val="24"/>
          <w:shd w:val="clear" w:color="auto" w:fill="FFFFFF"/>
        </w:rPr>
        <w:fldChar w:fldCharType="separate"/>
      </w:r>
      <w:r w:rsidR="003F3C57" w:rsidRPr="00D11245">
        <w:rPr>
          <w:rFonts w:ascii="Calibri" w:hAnsi="Calibri" w:cs="Calibri"/>
          <w:color w:val="000000" w:themeColor="text1"/>
          <w:kern w:val="0"/>
          <w:sz w:val="24"/>
          <w:szCs w:val="24"/>
          <w:vertAlign w:val="superscript"/>
        </w:rPr>
        <w:t>4</w:t>
      </w:r>
      <w:r w:rsidR="003F3C57" w:rsidRPr="00D11245">
        <w:rPr>
          <w:rFonts w:cstheme="minorHAnsi"/>
          <w:color w:val="000000" w:themeColor="text1"/>
          <w:sz w:val="24"/>
          <w:szCs w:val="24"/>
          <w:shd w:val="clear" w:color="auto" w:fill="FFFFFF"/>
        </w:rPr>
        <w:fldChar w:fldCharType="end"/>
      </w:r>
      <w:r w:rsidRPr="00D11245">
        <w:rPr>
          <w:rFonts w:cstheme="minorHAnsi"/>
          <w:color w:val="000000" w:themeColor="text1"/>
          <w:sz w:val="24"/>
          <w:szCs w:val="24"/>
          <w:shd w:val="clear" w:color="auto" w:fill="FFFFFF"/>
        </w:rPr>
        <w:t xml:space="preserve">. </w:t>
      </w:r>
      <w:r w:rsidRPr="00D11245">
        <w:rPr>
          <w:rFonts w:cstheme="minorHAnsi"/>
          <w:color w:val="000000" w:themeColor="text1"/>
          <w:sz w:val="24"/>
          <w:szCs w:val="24"/>
        </w:rPr>
        <w:t>The galactose/N-acetylgalactosamine (Gal/</w:t>
      </w:r>
      <w:proofErr w:type="spellStart"/>
      <w:r w:rsidRPr="00D11245">
        <w:rPr>
          <w:rFonts w:cstheme="minorHAnsi"/>
          <w:color w:val="000000" w:themeColor="text1"/>
          <w:sz w:val="24"/>
          <w:szCs w:val="24"/>
        </w:rPr>
        <w:t>GalNAc</w:t>
      </w:r>
      <w:proofErr w:type="spellEnd"/>
      <w:r w:rsidRPr="00D11245">
        <w:rPr>
          <w:rFonts w:cstheme="minorHAnsi"/>
          <w:color w:val="000000" w:themeColor="text1"/>
          <w:sz w:val="24"/>
          <w:szCs w:val="24"/>
        </w:rPr>
        <w:t xml:space="preserve">) specific lectin </w:t>
      </w:r>
      <w:r w:rsidR="003F3C57" w:rsidRPr="00D11245">
        <w:rPr>
          <w:rFonts w:cstheme="minorHAnsi"/>
          <w:color w:val="000000" w:themeColor="text1"/>
          <w:sz w:val="24"/>
          <w:szCs w:val="24"/>
        </w:rPr>
        <w:fldChar w:fldCharType="begin"/>
      </w:r>
      <w:r w:rsidR="003F3C57" w:rsidRPr="00D11245">
        <w:rPr>
          <w:rFonts w:cstheme="minorHAnsi"/>
          <w:color w:val="000000" w:themeColor="text1"/>
          <w:sz w:val="24"/>
          <w:szCs w:val="24"/>
        </w:rPr>
        <w:instrText xml:space="preserve"> ADDIN ZOTERO_ITEM CSL_CITATION {"citationID":"iNxRRCBP","properties":{"formattedCitation":"\\super 17\\uc0\\u8211{}19\\nosupersub{}","plainCitation":"17–19","noteIndex":0},"citationItems":[{"id":16628,"uris":["http://zotero.org/groups/2497994/items/TY3RHDFJ"],"itemData":{"id":16628,"type":"article-journal","abstract":"Expression of the 56-kilodalton (kDa) neutral thiol proteinase has been shown to correlate with the potential of clinical isolates of Entamoeba histolytica to produce invasive disease. A 56-kDa band was identified by gelatin substrate gel electrophoresis in 10 of 10 isolates from patients with colitis or amebic liver abscesses, but in only 1 of 10 isolates from asymptomatic patients. Pathogenic isolates appear capable of releasing significantly larger quantities of the proteinase, as measured by cleavage of a synthetic peptide substrate, ZRR-AMC (benzyloxy-carbonyl-arginine-arginine-4-amino-7-methylcoumarin). We have also shown that the proteinase is released during the course of clinical invasive amebic disease, as demonstrated by the presence of circulating antibodies detectable by enzyme-linked immunosorbent assay. These studies support the importance of the 56-kDa thiol proteinase in the pathogenesis of invasive amebiasis.","container-title":"Journal of Clinical Microbiology","DOI":"10.1128/jcm.27.12.2772-2777.1989","ISSN":"0095-1137","issue":"12","journalAbbreviation":"J Clin Microbiol","language":"eng","note":"PMID: 2556432\nPMCID: PMC267124","page":"2772-2777","source":"PubMed","title":"Thiol proteinase expression and pathogenicity of Entamoeba histolytica","volume":"27","author":[{"family":"Reed","given":"S. L."},{"family":"Keene","given":"W. E."},{"family":"McKerrow","given":"J. H."}],"issued":{"date-parts":[["1989",12]]}}},{"id":16631,"uris":["http://zotero.org/groups/2497994/items/BU7JQM3I"],"itemData":{"id":16631,"type":"article-journal","abstract":"The enormous cytolytic potential of Entamoeba histolytica appeals to parasitologists and immunologists because it kills target cells in a contact-dependent reaction resembling that of cytotoxic lymphocytes. In this review, Matthias Leippe summarizes what is currently known about a family of pore-forming peptides termed 'amoebapores', to which the cytolytic effect has been attributed, and describes the structural and functional properties of these potent factors, as well as their structure-activity relationships. Finally, a comparison is made with effector molecules of the mammalian defensive system.","container-title":"Parasitology Today (Personal Ed.)","DOI":"10.1016/s0169-4758(97)01038-7","ISSN":"0169-4758","issue":"5","journalAbbreviation":"Parasitol Today","language":"eng","note":"PMID: 15275088","page":"178-183","source":"PubMed","title":"Amoebapores","volume":"13","author":[{"family":"Leippe","given":"M."}],"issued":{"date-parts":[["1997",5]]}}},{"id":16633,"uris":["http://zotero.org/groups/2497994/items/4EFZNJW8"],"itemData":{"id":16633,"type":"article-journal","container-title":"Parasitology International","DOI":"10.1016/S1383-5769(97)00032-9","ISSN":"13835769","issue":"3","journalAbbreviation":"Parasitology International","language":"en","page":"225-235","source":"DOI.org (Crossref)","title":"Comparison of adherence, cytotoxicity, and Gal/GalNAc lectin gene structure in Entamoeba histolytica and Entamoeba dispar","volume":"46","author":[{"family":"Dodson","given":"James M."},{"family":"Clark","given":"C. Graham"},{"family":"Lockhart","given":"Lauren A."},{"family":"Leo","given":"Brian M."},{"family":"Schroeder","given":"James W."},{"family":"Mann","given":"Barbara J."}],"issued":{"date-parts":[["1997",10]]}}}],"schema":"https://github.com/citation-style-language/schema/raw/master/csl-citation.json"} </w:instrText>
      </w:r>
      <w:r w:rsidR="003F3C57" w:rsidRPr="00D11245">
        <w:rPr>
          <w:rFonts w:cstheme="minorHAnsi"/>
          <w:color w:val="000000" w:themeColor="text1"/>
          <w:sz w:val="24"/>
          <w:szCs w:val="24"/>
        </w:rPr>
        <w:fldChar w:fldCharType="separate"/>
      </w:r>
      <w:r w:rsidR="003F3C57" w:rsidRPr="00D11245">
        <w:rPr>
          <w:rFonts w:ascii="Calibri" w:hAnsi="Calibri" w:cs="Calibri"/>
          <w:color w:val="000000" w:themeColor="text1"/>
          <w:kern w:val="0"/>
          <w:sz w:val="24"/>
          <w:szCs w:val="24"/>
          <w:vertAlign w:val="superscript"/>
        </w:rPr>
        <w:t>17–19</w:t>
      </w:r>
      <w:r w:rsidR="003F3C57" w:rsidRPr="00D11245">
        <w:rPr>
          <w:rFonts w:cstheme="minorHAnsi"/>
          <w:color w:val="000000" w:themeColor="text1"/>
          <w:sz w:val="24"/>
          <w:szCs w:val="24"/>
        </w:rPr>
        <w:fldChar w:fldCharType="end"/>
      </w:r>
      <w:r w:rsidRPr="00D11245">
        <w:rPr>
          <w:color w:val="000000" w:themeColor="text1"/>
          <w:sz w:val="24"/>
          <w:szCs w:val="24"/>
        </w:rPr>
        <w:t xml:space="preserve"> </w:t>
      </w:r>
      <w:r w:rsidRPr="00D11245">
        <w:rPr>
          <w:rFonts w:cstheme="minorHAnsi"/>
          <w:color w:val="000000" w:themeColor="text1"/>
          <w:sz w:val="24"/>
          <w:szCs w:val="24"/>
        </w:rPr>
        <w:t>allows trophozoite</w:t>
      </w:r>
      <w:r w:rsidR="009B23E2" w:rsidRPr="00D11245">
        <w:rPr>
          <w:rFonts w:cstheme="minorHAnsi"/>
          <w:color w:val="000000" w:themeColor="text1"/>
          <w:sz w:val="24"/>
          <w:szCs w:val="24"/>
        </w:rPr>
        <w:t>s</w:t>
      </w:r>
      <w:r w:rsidRPr="00D11245">
        <w:rPr>
          <w:rFonts w:cstheme="minorHAnsi"/>
          <w:color w:val="000000" w:themeColor="text1"/>
          <w:sz w:val="24"/>
          <w:szCs w:val="24"/>
        </w:rPr>
        <w:t xml:space="preserve"> to adhere to the colonic epithelium and cause tissue injury by</w:t>
      </w:r>
      <w:r w:rsidR="00F6420F" w:rsidRPr="00D11245">
        <w:rPr>
          <w:rFonts w:cstheme="minorHAnsi"/>
          <w:color w:val="000000" w:themeColor="text1"/>
          <w:sz w:val="24"/>
          <w:szCs w:val="24"/>
        </w:rPr>
        <w:t>:</w:t>
      </w:r>
      <w:r w:rsidR="00CA0916" w:rsidRPr="00D11245">
        <w:rPr>
          <w:rFonts w:cstheme="minorHAnsi"/>
          <w:color w:val="000000" w:themeColor="text1"/>
          <w:sz w:val="24"/>
          <w:szCs w:val="24"/>
        </w:rPr>
        <w:t xml:space="preserve"> the formation of</w:t>
      </w:r>
      <w:r w:rsidRPr="00D11245">
        <w:rPr>
          <w:rFonts w:cstheme="minorHAnsi"/>
          <w:color w:val="000000" w:themeColor="text1"/>
          <w:sz w:val="24"/>
          <w:szCs w:val="24"/>
        </w:rPr>
        <w:t xml:space="preserve"> amoebapores</w:t>
      </w:r>
      <w:r w:rsidR="00CA0916" w:rsidRPr="00D11245">
        <w:rPr>
          <w:rFonts w:cstheme="minorHAnsi"/>
          <w:color w:val="000000" w:themeColor="text1"/>
          <w:sz w:val="24"/>
          <w:szCs w:val="24"/>
        </w:rPr>
        <w:t xml:space="preserve"> that rupture the host cell;</w:t>
      </w:r>
      <w:r w:rsidRPr="00D11245">
        <w:rPr>
          <w:rFonts w:cstheme="minorHAnsi"/>
          <w:color w:val="000000" w:themeColor="text1"/>
          <w:sz w:val="24"/>
          <w:szCs w:val="24"/>
        </w:rPr>
        <w:t xml:space="preserve"> </w:t>
      </w:r>
      <w:r w:rsidR="00CA0916" w:rsidRPr="00D11245">
        <w:rPr>
          <w:rFonts w:cstheme="minorHAnsi"/>
          <w:color w:val="000000" w:themeColor="text1"/>
          <w:sz w:val="24"/>
          <w:szCs w:val="24"/>
        </w:rPr>
        <w:t xml:space="preserve">release of </w:t>
      </w:r>
      <w:r w:rsidRPr="00D11245">
        <w:rPr>
          <w:rFonts w:cstheme="minorHAnsi"/>
          <w:color w:val="000000" w:themeColor="text1"/>
          <w:sz w:val="24"/>
          <w:szCs w:val="24"/>
        </w:rPr>
        <w:t xml:space="preserve">cysteine </w:t>
      </w:r>
      <w:r w:rsidR="00CA0916" w:rsidRPr="00D11245">
        <w:rPr>
          <w:rFonts w:cstheme="minorHAnsi"/>
          <w:color w:val="000000" w:themeColor="text1"/>
          <w:sz w:val="24"/>
          <w:szCs w:val="24"/>
        </w:rPr>
        <w:t>proteases</w:t>
      </w:r>
      <w:r w:rsidR="009B23E2" w:rsidRPr="00D11245">
        <w:rPr>
          <w:rFonts w:cstheme="minorHAnsi"/>
          <w:color w:val="000000" w:themeColor="text1"/>
          <w:sz w:val="24"/>
          <w:szCs w:val="24"/>
        </w:rPr>
        <w:t>;</w:t>
      </w:r>
      <w:r w:rsidRPr="00D11245">
        <w:rPr>
          <w:rFonts w:cstheme="minorHAnsi"/>
          <w:color w:val="000000" w:themeColor="text1"/>
          <w:sz w:val="24"/>
          <w:szCs w:val="24"/>
        </w:rPr>
        <w:t xml:space="preserve"> and </w:t>
      </w:r>
      <w:r w:rsidR="00CA0916" w:rsidRPr="00D11245">
        <w:rPr>
          <w:rFonts w:cstheme="minorHAnsi"/>
          <w:color w:val="000000" w:themeColor="text1"/>
          <w:sz w:val="24"/>
          <w:szCs w:val="24"/>
        </w:rPr>
        <w:t xml:space="preserve">induction of an </w:t>
      </w:r>
      <w:r w:rsidRPr="00D11245">
        <w:rPr>
          <w:rFonts w:cstheme="minorHAnsi"/>
          <w:color w:val="000000" w:themeColor="text1"/>
          <w:sz w:val="24"/>
          <w:szCs w:val="24"/>
        </w:rPr>
        <w:t>interle</w:t>
      </w:r>
      <w:r w:rsidR="00CA0916" w:rsidRPr="00D11245">
        <w:rPr>
          <w:rFonts w:cstheme="minorHAnsi"/>
          <w:color w:val="000000" w:themeColor="text1"/>
          <w:sz w:val="24"/>
          <w:szCs w:val="24"/>
        </w:rPr>
        <w:t>ukin</w:t>
      </w:r>
      <w:r w:rsidRPr="00D11245">
        <w:rPr>
          <w:rFonts w:cstheme="minorHAnsi"/>
          <w:color w:val="000000" w:themeColor="text1"/>
          <w:sz w:val="24"/>
          <w:szCs w:val="24"/>
        </w:rPr>
        <w:t>-1</w:t>
      </w:r>
      <w:r w:rsidR="00CA0916" w:rsidRPr="00D11245">
        <w:rPr>
          <w:rFonts w:cstheme="minorHAnsi"/>
          <w:color w:val="000000" w:themeColor="text1"/>
          <w:sz w:val="24"/>
          <w:szCs w:val="24"/>
        </w:rPr>
        <w:t xml:space="preserve"> and </w:t>
      </w:r>
      <w:r w:rsidR="003328AE" w:rsidRPr="00D11245">
        <w:rPr>
          <w:rFonts w:cstheme="minorHAnsi"/>
          <w:color w:val="000000" w:themeColor="text1"/>
          <w:sz w:val="24"/>
          <w:szCs w:val="24"/>
        </w:rPr>
        <w:t>interleukin</w:t>
      </w:r>
      <w:r w:rsidR="00CA0916" w:rsidRPr="00D11245">
        <w:rPr>
          <w:rFonts w:cstheme="minorHAnsi"/>
          <w:color w:val="000000" w:themeColor="text1"/>
          <w:sz w:val="24"/>
          <w:szCs w:val="24"/>
        </w:rPr>
        <w:t>-</w:t>
      </w:r>
      <w:r w:rsidRPr="00D11245">
        <w:rPr>
          <w:rFonts w:cstheme="minorHAnsi"/>
          <w:color w:val="000000" w:themeColor="text1"/>
          <w:sz w:val="24"/>
          <w:szCs w:val="24"/>
        </w:rPr>
        <w:t xml:space="preserve">8 </w:t>
      </w:r>
      <w:r w:rsidR="00CA0916" w:rsidRPr="00D11245">
        <w:rPr>
          <w:rFonts w:cstheme="minorHAnsi"/>
          <w:color w:val="000000" w:themeColor="text1"/>
          <w:sz w:val="24"/>
          <w:szCs w:val="24"/>
        </w:rPr>
        <w:t xml:space="preserve">mediated </w:t>
      </w:r>
      <w:r w:rsidRPr="00D11245">
        <w:rPr>
          <w:rFonts w:cstheme="minorHAnsi"/>
          <w:color w:val="000000" w:themeColor="text1"/>
          <w:sz w:val="24"/>
          <w:szCs w:val="24"/>
        </w:rPr>
        <w:t xml:space="preserve">inflammatory response, leading to trophozoite invasion and the formation of pathognomonic flask shaped ulceration in the submucosa </w:t>
      </w:r>
      <w:r w:rsidR="003F3C57" w:rsidRPr="00D11245">
        <w:rPr>
          <w:rFonts w:cstheme="minorHAnsi"/>
          <w:color w:val="000000" w:themeColor="text1"/>
          <w:sz w:val="24"/>
          <w:szCs w:val="24"/>
        </w:rPr>
        <w:fldChar w:fldCharType="begin"/>
      </w:r>
      <w:r w:rsidR="00C9795E" w:rsidRPr="00D11245">
        <w:rPr>
          <w:rFonts w:cstheme="minorHAnsi"/>
          <w:color w:val="000000" w:themeColor="text1"/>
          <w:sz w:val="24"/>
          <w:szCs w:val="24"/>
        </w:rPr>
        <w:instrText xml:space="preserve"> ADDIN ZOTERO_ITEM CSL_CITATION {"citationID":"qHx906nD","properties":{"formattedCitation":"\\super 4,15,16\\nosupersub{}","plainCitation":"4,15,16","noteIndex":0},"citationItems":[{"id":2848,"uris":["http://zotero.org/groups/2497994/items/4CQVJEEC",["http://zotero.org/groups/2497994/items/4CQVJEEC"]],"itemData":{"id":2848,"type":"article-journal","abstract":"&lt;h2&gt;Summary&lt;/h2&gt;&lt;p&gt;Amoebiasis is the second leading cause of death from parasitic disease worldwide. The causative protozoan parasite, &lt;i&gt;Entamoeba histolytica&lt;/i&gt;, is a potent pathogen. Secreting proteinases that dissolve host tissues, killing host cells on contact, and engulfing red blood cells, &lt;i&gt;E histolytica&lt;/i&gt; trophozoites invade the intestinal mucosa, causing amoebic colitis. In some cases amoebas breach the mucosal barrier and travel through the portal circulation to the liver, where they cause abscesses consisting of a few &lt;i&gt;E histolytica&lt;/i&gt; trophozoites surrounding dead and dying hepatocytes and liquefied cellular debris. Amoebic liver abscesses grow inexorably and, at one time, were almost always fatal, but now even large abscesses can be cured by one dose of antibiotic. Evidence that what we thought was a single species based on morphology is, in fact, two genetically distinct species—now termed &lt;i&gt;Entamoeba histolytica&lt;/i&gt; (the pathogen) and &lt;i&gt;Entamoeba dispar&lt;/i&gt; (a commensal)—has turned conventional wisdom about the epidemiology and diagnosis of amoebiasis upside down. New models of disease have linked &lt;i&gt;E histolytica&lt;/i&gt; induction of intestinal inflammation and hepatocyte programmed cell death to the pathogenesis of amoebic colitis and amoebic liver abscess.&lt;/p&gt;","container-title":"The Lancet","DOI":"10.1016/S0140-6736(03)12830-9","ISSN":"0140-6736, 1474-547X","issue":"9362","journalAbbreviation":"The Lancet","language":"English","note":"PMID: 12660071","page":"1025-1034","source":"www.thelancet.com","title":"Amoebiasis","volume":"361","author":[{"family":"Stanley","given":"Samuel L."}],"issued":{"date-parts":[["2003",3,22]]}}},{"id":530,"uris":["http://zotero.org/groups/2497994/items/ZIVCRMHI"],"itemData":{"id":530,"type":"article-journal","abstract":"PMID:23990778","archive":"PubMed Central","container-title":"PLoS Pathogens","DOI":"10.1371/journal.ppat.1003489","ISSN":"1553-7366","issue":"8","title":"Host Immune Response to Intestinal Amebiasis","URL":"https://mednar.com/mednar/desktop/en/service/link/track?redirectUrl=https%3A%2F%2Fwww.pubmedcentral.nih.gov%2Farticlerender.fcgi%3Ftool%3Dpmcentrez%26artid%3D3749964&amp;collectionCode=MEDNAR-PMC&amp;searchId=a306b45a-fe57-44a9-a61d-d954bc95ebdb&amp;type=RESULT&amp;signature=9decba17d0b911d259d6def573afe743dde15cb4d1f8011d859ba8ac4c426580","volume":"9","author":[{"family":"Moonah","given":"Shannon N."},{"family":"Jiang","given":"Nona M."},{"family":"Petri","given":"William A."}],"issued":{"date-parts":[["2013",8,22]]}}},{"id":2119,"uris":["http://zotero.org/groups/2497994/items/LTMETUNG"],"itemData":{"id":2119,"type":"article-journal","container-title":"Frontiers in Cellular and Infection Microbiology","DOI":"10.3389/fcimb.2019.00247","ISSN":"2235-2988 (electronic)","issue":"JUL","journalAbbreviation":"Front. Cell. Infect. Microbiol.","language":"English","note":"publisher-place: Switzerland\npublisher: Frontiers Media S.A. (E-mail: info@frontiersin.org)","page":"247","title":"Editorial: Recent progresses in amebiasis","volume":"9","author":[{"literal":"Debnath A."},{"literal":"Rodriguez M.A."},{"literal":"Ankri S."}],"issued":{"date-parts":[["2019"]]}}}],"schema":"https://github.com/citation-style-language/schema/raw/master/csl-citation.json"} </w:instrText>
      </w:r>
      <w:r w:rsidR="003F3C57" w:rsidRPr="00D11245">
        <w:rPr>
          <w:rFonts w:cstheme="minorHAnsi"/>
          <w:color w:val="000000" w:themeColor="text1"/>
          <w:sz w:val="24"/>
          <w:szCs w:val="24"/>
        </w:rPr>
        <w:fldChar w:fldCharType="separate"/>
      </w:r>
      <w:r w:rsidR="003F3C57" w:rsidRPr="00D11245">
        <w:rPr>
          <w:rFonts w:ascii="Calibri" w:hAnsi="Calibri" w:cs="Calibri"/>
          <w:color w:val="000000" w:themeColor="text1"/>
          <w:kern w:val="0"/>
          <w:sz w:val="24"/>
          <w:szCs w:val="24"/>
          <w:vertAlign w:val="superscript"/>
        </w:rPr>
        <w:t>4,15,16</w:t>
      </w:r>
      <w:r w:rsidR="003F3C57" w:rsidRPr="00D11245">
        <w:rPr>
          <w:rFonts w:cstheme="minorHAnsi"/>
          <w:color w:val="000000" w:themeColor="text1"/>
          <w:sz w:val="24"/>
          <w:szCs w:val="24"/>
        </w:rPr>
        <w:fldChar w:fldCharType="end"/>
      </w:r>
      <w:r w:rsidRPr="00D11245">
        <w:rPr>
          <w:rFonts w:cstheme="minorHAnsi"/>
          <w:color w:val="000000" w:themeColor="text1"/>
          <w:sz w:val="24"/>
          <w:szCs w:val="24"/>
        </w:rPr>
        <w:t>.</w:t>
      </w:r>
      <w:r w:rsidRPr="00D11245">
        <w:rPr>
          <w:rFonts w:cstheme="minorHAnsi"/>
          <w:color w:val="000000" w:themeColor="text1"/>
          <w:sz w:val="24"/>
          <w:szCs w:val="24"/>
          <w:shd w:val="clear" w:color="auto" w:fill="FFFFFF"/>
        </w:rPr>
        <w:t xml:space="preserve"> Access to the portal circulation</w:t>
      </w:r>
      <w:r w:rsidR="00CA0916" w:rsidRPr="00D11245">
        <w:rPr>
          <w:rFonts w:cstheme="minorHAnsi"/>
          <w:color w:val="000000" w:themeColor="text1"/>
          <w:sz w:val="24"/>
          <w:szCs w:val="24"/>
          <w:shd w:val="clear" w:color="auto" w:fill="FFFFFF"/>
        </w:rPr>
        <w:t xml:space="preserve"> via the gastrointestinal tract</w:t>
      </w:r>
      <w:r w:rsidRPr="00D11245">
        <w:rPr>
          <w:rFonts w:cstheme="minorHAnsi"/>
          <w:color w:val="000000" w:themeColor="text1"/>
          <w:sz w:val="24"/>
          <w:szCs w:val="24"/>
          <w:shd w:val="clear" w:color="auto" w:fill="FFFFFF"/>
        </w:rPr>
        <w:t xml:space="preserve"> permits extra-</w:t>
      </w:r>
      <w:r w:rsidR="0052736C" w:rsidRPr="00D11245">
        <w:rPr>
          <w:rFonts w:cstheme="minorHAnsi"/>
          <w:color w:val="000000" w:themeColor="text1"/>
          <w:sz w:val="24"/>
          <w:szCs w:val="24"/>
          <w:shd w:val="clear" w:color="auto" w:fill="FFFFFF"/>
        </w:rPr>
        <w:t>intestinal</w:t>
      </w:r>
      <w:r w:rsidRPr="00D11245">
        <w:rPr>
          <w:rFonts w:cstheme="minorHAnsi"/>
          <w:color w:val="000000" w:themeColor="text1"/>
          <w:sz w:val="24"/>
          <w:szCs w:val="24"/>
          <w:shd w:val="clear" w:color="auto" w:fill="FFFFFF"/>
        </w:rPr>
        <w:t xml:space="preserve"> dissemination, </w:t>
      </w:r>
      <w:r w:rsidR="00CA0916" w:rsidRPr="00D11245">
        <w:rPr>
          <w:rFonts w:cstheme="minorHAnsi"/>
          <w:color w:val="000000" w:themeColor="text1"/>
          <w:sz w:val="24"/>
          <w:szCs w:val="24"/>
          <w:shd w:val="clear" w:color="auto" w:fill="FFFFFF"/>
        </w:rPr>
        <w:t>most commonly leading to</w:t>
      </w:r>
      <w:r w:rsidRPr="00D11245">
        <w:rPr>
          <w:rFonts w:cstheme="minorHAnsi"/>
          <w:color w:val="000000" w:themeColor="text1"/>
          <w:sz w:val="24"/>
          <w:szCs w:val="24"/>
          <w:shd w:val="clear" w:color="auto" w:fill="FFFFFF"/>
        </w:rPr>
        <w:t xml:space="preserve"> liver abscess formation. Trophozoites multiply by binary fission and </w:t>
      </w:r>
      <w:r w:rsidR="004655E1" w:rsidRPr="00D11245">
        <w:rPr>
          <w:rFonts w:cstheme="minorHAnsi"/>
          <w:color w:val="000000" w:themeColor="text1"/>
          <w:sz w:val="24"/>
          <w:szCs w:val="24"/>
          <w:shd w:val="clear" w:color="auto" w:fill="FFFFFF"/>
        </w:rPr>
        <w:t xml:space="preserve">those in the intestinal lumen </w:t>
      </w:r>
      <w:r w:rsidRPr="00D11245">
        <w:rPr>
          <w:rFonts w:cstheme="minorHAnsi"/>
          <w:color w:val="000000" w:themeColor="text1"/>
          <w:sz w:val="24"/>
          <w:szCs w:val="24"/>
          <w:shd w:val="clear" w:color="auto" w:fill="FFFFFF"/>
        </w:rPr>
        <w:t xml:space="preserve">encyst again prior to excretion, after which they can survive for up to 90 days </w:t>
      </w:r>
      <w:r w:rsidR="003F3C57" w:rsidRPr="00D11245">
        <w:rPr>
          <w:rFonts w:cstheme="minorHAnsi"/>
          <w:color w:val="000000" w:themeColor="text1"/>
          <w:sz w:val="24"/>
          <w:szCs w:val="24"/>
          <w:shd w:val="clear" w:color="auto" w:fill="FFFFFF"/>
        </w:rPr>
        <w:fldChar w:fldCharType="begin"/>
      </w:r>
      <w:r w:rsidR="003F3C57" w:rsidRPr="00D11245">
        <w:rPr>
          <w:rFonts w:cstheme="minorHAnsi"/>
          <w:color w:val="000000" w:themeColor="text1"/>
          <w:sz w:val="24"/>
          <w:szCs w:val="24"/>
          <w:shd w:val="clear" w:color="auto" w:fill="FFFFFF"/>
        </w:rPr>
        <w:instrText xml:space="preserve"> ADDIN ZOTERO_ITEM CSL_CITATION {"citationID":"o23YtUqD","properties":{"formattedCitation":"\\super 20\\nosupersub{}","plainCitation":"20","noteIndex":0},"citationItems":[{"id":16595,"uris":["http://zotero.org/groups/2497994/items/4569HLN9"],"itemData":{"id":16595,"type":"article-journal","container-title":"Revista da Sociedade Brasileira de Medicina Tropical","DOI":"10.1590/S0037-86821984000400011","ISSN":"0037-8682","issue":"4","journalAbbreviation":"Rev. Soc. Bras. Med. Trop.","page":"219-219","source":"DOI.org (Crossref)","title":"Clinicai Parasitology, 9th Editon, Beaver, P.C., Jung, R C., Cupp, E. W. Lea and Febiger, Philadelphia, 1984","volume":"17","author":[{"family":"Marsden","given":"Philip D."}],"issued":{"date-parts":[["1984",12]]}}}],"schema":"https://github.com/citation-style-language/schema/raw/master/csl-citation.json"} </w:instrText>
      </w:r>
      <w:r w:rsidR="003F3C57" w:rsidRPr="00D11245">
        <w:rPr>
          <w:rFonts w:cstheme="minorHAnsi"/>
          <w:color w:val="000000" w:themeColor="text1"/>
          <w:sz w:val="24"/>
          <w:szCs w:val="24"/>
          <w:shd w:val="clear" w:color="auto" w:fill="FFFFFF"/>
        </w:rPr>
        <w:fldChar w:fldCharType="separate"/>
      </w:r>
      <w:r w:rsidR="003F3C57" w:rsidRPr="00D11245">
        <w:rPr>
          <w:rFonts w:ascii="Calibri" w:hAnsi="Calibri" w:cs="Calibri"/>
          <w:color w:val="000000" w:themeColor="text1"/>
          <w:kern w:val="0"/>
          <w:sz w:val="24"/>
          <w:szCs w:val="24"/>
          <w:vertAlign w:val="superscript"/>
        </w:rPr>
        <w:t>20</w:t>
      </w:r>
      <w:r w:rsidR="003F3C57" w:rsidRPr="00D11245">
        <w:rPr>
          <w:rFonts w:cstheme="minorHAnsi"/>
          <w:color w:val="000000" w:themeColor="text1"/>
          <w:sz w:val="24"/>
          <w:szCs w:val="24"/>
          <w:shd w:val="clear" w:color="auto" w:fill="FFFFFF"/>
        </w:rPr>
        <w:fldChar w:fldCharType="end"/>
      </w:r>
      <w:r w:rsidRPr="00D11245">
        <w:rPr>
          <w:rFonts w:cstheme="minorHAnsi"/>
          <w:color w:val="000000" w:themeColor="text1"/>
          <w:sz w:val="24"/>
          <w:szCs w:val="24"/>
          <w:shd w:val="clear" w:color="auto" w:fill="FFFFFF"/>
        </w:rPr>
        <w:t xml:space="preserve">. </w:t>
      </w:r>
      <w:r w:rsidRPr="00D11245">
        <w:rPr>
          <w:rFonts w:cstheme="minorHAnsi"/>
          <w:color w:val="000000" w:themeColor="text1"/>
          <w:sz w:val="24"/>
          <w:szCs w:val="24"/>
        </w:rPr>
        <w:t xml:space="preserve">It is not known why </w:t>
      </w:r>
      <w:r w:rsidR="00CA0916" w:rsidRPr="00D11245">
        <w:rPr>
          <w:rFonts w:cstheme="minorHAnsi"/>
          <w:color w:val="000000" w:themeColor="text1"/>
          <w:sz w:val="24"/>
          <w:szCs w:val="24"/>
        </w:rPr>
        <w:t>only a</w:t>
      </w:r>
      <w:r w:rsidRPr="00D11245">
        <w:rPr>
          <w:rFonts w:cstheme="minorHAnsi"/>
          <w:color w:val="000000" w:themeColor="text1"/>
          <w:sz w:val="24"/>
          <w:szCs w:val="24"/>
        </w:rPr>
        <w:t xml:space="preserve"> minority develop invasive disease but there is emerging evidence </w:t>
      </w:r>
      <w:r w:rsidR="00CA0916" w:rsidRPr="00D11245">
        <w:rPr>
          <w:rFonts w:cstheme="minorHAnsi"/>
          <w:color w:val="000000" w:themeColor="text1"/>
          <w:sz w:val="24"/>
          <w:szCs w:val="24"/>
        </w:rPr>
        <w:t>for</w:t>
      </w:r>
      <w:r w:rsidRPr="00D11245">
        <w:rPr>
          <w:rFonts w:cstheme="minorHAnsi"/>
          <w:color w:val="000000" w:themeColor="text1"/>
          <w:sz w:val="24"/>
          <w:szCs w:val="24"/>
        </w:rPr>
        <w:t xml:space="preserve"> host genetic </w:t>
      </w:r>
      <w:r w:rsidR="00CA0916" w:rsidRPr="00D11245">
        <w:rPr>
          <w:rFonts w:cstheme="minorHAnsi"/>
          <w:color w:val="000000" w:themeColor="text1"/>
          <w:sz w:val="24"/>
          <w:szCs w:val="24"/>
        </w:rPr>
        <w:t>susceptibility</w:t>
      </w:r>
      <w:r w:rsidRPr="00D11245">
        <w:rPr>
          <w:rFonts w:cstheme="minorHAnsi"/>
          <w:color w:val="000000" w:themeColor="text1"/>
          <w:sz w:val="24"/>
          <w:szCs w:val="24"/>
        </w:rPr>
        <w:t xml:space="preserve"> </w:t>
      </w:r>
      <w:r w:rsidR="00DA488B" w:rsidRPr="00D11245">
        <w:rPr>
          <w:rFonts w:cstheme="minorHAnsi"/>
          <w:color w:val="000000" w:themeColor="text1"/>
          <w:sz w:val="24"/>
          <w:szCs w:val="24"/>
        </w:rPr>
        <w:fldChar w:fldCharType="begin"/>
      </w:r>
      <w:r w:rsidR="0082795E" w:rsidRPr="00D11245">
        <w:rPr>
          <w:rFonts w:cstheme="minorHAnsi"/>
          <w:color w:val="000000" w:themeColor="text1"/>
          <w:sz w:val="24"/>
          <w:szCs w:val="24"/>
        </w:rPr>
        <w:instrText xml:space="preserve"> ADDIN ZOTERO_ITEM CSL_CITATION {"citationID":"c82qQr4d","properties":{"formattedCitation":"\\super 15,21\\nosupersub{}","plainCitation":"15,21","noteIndex":0},"citationItems":[{"id":530,"uris":["http://zotero.org/groups/2497994/items/ZIVCRMHI"],"itemData":{"id":530,"type":"article-journal","abstract":"PMID:23990778","archive":"PubMed Central","container-title":"PLoS Pathogens","DOI":"10.1371/journal.ppat.1003489","ISSN":"1553-7366","issue":"8","title":"Host Immune Response to Intestinal Amebiasis","URL":"https://mednar.com/mednar/desktop/en/service/link/track?redirectUrl=https%3A%2F%2Fwww.pubmedcentral.nih.gov%2Farticlerender.fcgi%3Ftool%3Dpmcentrez%26artid%3D3749964&amp;collectionCode=MEDNAR-PMC&amp;searchId=a306b45a-fe57-44a9-a61d-d954bc95ebdb&amp;type=RESULT&amp;signature=9decba17d0b911d259d6def573afe743dde15cb4d1f8011d859ba8ac4c426580","volume":"9","author":[{"family":"Moonah","given":"Shannon N."},{"family":"Jiang","given":"Nona M."},{"family":"Petri","given":"William A."}],"issued":{"date-parts":[["2013",8,22]]}}},{"id":4761,"uris":["http://zotero.org/groups/2497994/items/KFQV7XA6",["http://zotero.org/groups/2497994/items/KFQV7XA6"]],"itemData":{"id":4761,"type":"article-journal","abstract":"Amebiasis is defined as infection with Entamoeba histolytica,\nregardless of associated symptomatology. In resource-rich nations,\nthis parasitic protozoan is seen primarily in travelers to and\nemigrants from endemic areas. Infections range from asymptomatic\ncolonization to amebic colitis and life-threatening abscesses.\nImportantly, disease may occur months to years after\nexposure. Although E histolytica was previously thought to infect\n10% of the world’s population, 2 morphologically identical but\ngenetically distinct and apparently nonpathogenic Entamoeba\nspecies are now recognized as causing most asymptomatic\ncases. To avoid unnecessary and possibly harmful therapies, clinicians\nshould follow the diagnostic and treatment guidelines of the\nWorld Health Organization.","container-title":"Mayo Clinic Proceedings","DOI":"10.4065/83.10.1154","ISSN":"00256196","issue":"10","journalAbbreviation":"Mayo Clinic Proceedings","language":"en","page":"1154-1160","source":"DOI.org (Crossref)","title":"Amebiasis","volume":"83","author":[{"family":"Pritt","given":"Bobbi S."},{"family":"Clark","given":"C. Graham"}],"issued":{"date-parts":[["2008",10]]}}}],"schema":"https://github.com/citation-style-language/schema/raw/master/csl-citation.json"} </w:instrText>
      </w:r>
      <w:r w:rsidR="00DA488B" w:rsidRPr="00D11245">
        <w:rPr>
          <w:rFonts w:cstheme="minorHAnsi"/>
          <w:color w:val="000000" w:themeColor="text1"/>
          <w:sz w:val="24"/>
          <w:szCs w:val="24"/>
        </w:rPr>
        <w:fldChar w:fldCharType="separate"/>
      </w:r>
      <w:r w:rsidR="00DA488B" w:rsidRPr="00D11245">
        <w:rPr>
          <w:rFonts w:ascii="Calibri" w:hAnsi="Calibri" w:cs="Calibri"/>
          <w:color w:val="000000" w:themeColor="text1"/>
          <w:kern w:val="0"/>
          <w:sz w:val="24"/>
          <w:szCs w:val="24"/>
          <w:vertAlign w:val="superscript"/>
        </w:rPr>
        <w:t>15,21</w:t>
      </w:r>
      <w:r w:rsidR="00DA488B" w:rsidRPr="00D11245">
        <w:rPr>
          <w:rFonts w:cstheme="minorHAnsi"/>
          <w:color w:val="000000" w:themeColor="text1"/>
          <w:sz w:val="24"/>
          <w:szCs w:val="24"/>
        </w:rPr>
        <w:fldChar w:fldCharType="end"/>
      </w:r>
      <w:r w:rsidRPr="00D11245">
        <w:rPr>
          <w:rFonts w:cstheme="minorHAnsi"/>
          <w:color w:val="000000" w:themeColor="text1"/>
          <w:sz w:val="24"/>
          <w:szCs w:val="24"/>
        </w:rPr>
        <w:t xml:space="preserve">. </w:t>
      </w:r>
      <w:r w:rsidR="00F97D1C" w:rsidRPr="00D11245">
        <w:rPr>
          <w:rFonts w:cstheme="minorHAnsi"/>
          <w:color w:val="000000" w:themeColor="text1"/>
          <w:sz w:val="24"/>
          <w:szCs w:val="24"/>
        </w:rPr>
        <w:t>Figure 1, provided by CDC</w:t>
      </w:r>
      <w:r w:rsidR="003328AE" w:rsidRPr="00D11245">
        <w:rPr>
          <w:rFonts w:cstheme="minorHAnsi"/>
          <w:color w:val="000000" w:themeColor="text1"/>
          <w:sz w:val="24"/>
          <w:szCs w:val="24"/>
        </w:rPr>
        <w:t xml:space="preserve"> (Centers for Disease Control and Prevention, </w:t>
      </w:r>
      <w:r w:rsidR="00B43453" w:rsidRPr="00D11245">
        <w:rPr>
          <w:rFonts w:cstheme="minorHAnsi"/>
          <w:color w:val="000000" w:themeColor="text1"/>
          <w:sz w:val="24"/>
          <w:szCs w:val="24"/>
        </w:rPr>
        <w:t xml:space="preserve">Atlanta, Georgia, </w:t>
      </w:r>
      <w:r w:rsidR="003328AE" w:rsidRPr="00D11245">
        <w:rPr>
          <w:rFonts w:cstheme="minorHAnsi"/>
          <w:color w:val="000000" w:themeColor="text1"/>
          <w:sz w:val="24"/>
          <w:szCs w:val="24"/>
        </w:rPr>
        <w:t>USA)</w:t>
      </w:r>
      <w:r w:rsidR="00F97D1C" w:rsidRPr="00D11245">
        <w:rPr>
          <w:rFonts w:cstheme="minorHAnsi"/>
          <w:color w:val="000000" w:themeColor="text1"/>
          <w:sz w:val="24"/>
          <w:szCs w:val="24"/>
        </w:rPr>
        <w:t xml:space="preserve">, outlines the life cycle of </w:t>
      </w:r>
      <w:r w:rsidR="00F97D1C" w:rsidRPr="00D11245">
        <w:rPr>
          <w:rFonts w:cstheme="minorHAnsi"/>
          <w:i/>
          <w:iCs/>
          <w:color w:val="000000" w:themeColor="text1"/>
          <w:sz w:val="24"/>
          <w:szCs w:val="24"/>
        </w:rPr>
        <w:t>E. histolytica</w:t>
      </w:r>
      <w:r w:rsidR="00F97D1C" w:rsidRPr="00D11245">
        <w:rPr>
          <w:rFonts w:cstheme="minorHAnsi"/>
          <w:color w:val="000000" w:themeColor="text1"/>
          <w:sz w:val="24"/>
          <w:szCs w:val="24"/>
        </w:rPr>
        <w:t xml:space="preserve"> </w:t>
      </w:r>
      <w:r w:rsidR="00F97D1C" w:rsidRPr="00D11245">
        <w:rPr>
          <w:rFonts w:cstheme="minorHAnsi"/>
          <w:color w:val="000000" w:themeColor="text1"/>
          <w:sz w:val="24"/>
          <w:szCs w:val="24"/>
        </w:rPr>
        <w:fldChar w:fldCharType="begin"/>
      </w:r>
      <w:r w:rsidR="00F97D1C" w:rsidRPr="00D11245">
        <w:rPr>
          <w:rFonts w:cstheme="minorHAnsi"/>
          <w:color w:val="000000" w:themeColor="text1"/>
          <w:sz w:val="24"/>
          <w:szCs w:val="24"/>
        </w:rPr>
        <w:instrText xml:space="preserve"> ADDIN ZOTERO_ITEM CSL_CITATION {"citationID":"Hy0ICWLt","properties":{"formattedCitation":"\\super 22\\nosupersub{}","plainCitation":"22","noteIndex":0},"citationItems":[{"id":16843,"uris":["http://zotero.org/groups/2497994/items/QAMNSEMV"],"itemData":{"id":16843,"type":"post-weblog","title":"Amebiasis","URL":"https://www.cdc.gov/dpdx/amebiasis/","author":[{"family":"Centers for Disease Control and Prevention (CDC)","given":""}]}}],"schema":"https://github.com/citation-style-language/schema/raw/master/csl-citation.json"} </w:instrText>
      </w:r>
      <w:r w:rsidR="00F97D1C" w:rsidRPr="00D11245">
        <w:rPr>
          <w:rFonts w:cstheme="minorHAnsi"/>
          <w:color w:val="000000" w:themeColor="text1"/>
          <w:sz w:val="24"/>
          <w:szCs w:val="24"/>
        </w:rPr>
        <w:fldChar w:fldCharType="separate"/>
      </w:r>
      <w:r w:rsidR="00F97D1C" w:rsidRPr="00D11245">
        <w:rPr>
          <w:rFonts w:ascii="Calibri" w:hAnsi="Calibri" w:cs="Calibri"/>
          <w:color w:val="000000" w:themeColor="text1"/>
          <w:kern w:val="0"/>
          <w:sz w:val="24"/>
          <w:vertAlign w:val="superscript"/>
        </w:rPr>
        <w:t>22</w:t>
      </w:r>
      <w:r w:rsidR="00F97D1C" w:rsidRPr="00D11245">
        <w:rPr>
          <w:rFonts w:cstheme="minorHAnsi"/>
          <w:color w:val="000000" w:themeColor="text1"/>
          <w:sz w:val="24"/>
          <w:szCs w:val="24"/>
        </w:rPr>
        <w:fldChar w:fldCharType="end"/>
      </w:r>
      <w:r w:rsidR="00F97D1C" w:rsidRPr="00D11245">
        <w:rPr>
          <w:rFonts w:cstheme="minorHAnsi"/>
          <w:color w:val="000000" w:themeColor="text1"/>
          <w:sz w:val="24"/>
          <w:szCs w:val="24"/>
        </w:rPr>
        <w:t xml:space="preserve">. </w:t>
      </w:r>
    </w:p>
    <w:p w14:paraId="6186D281" w14:textId="77777777" w:rsidR="00F97D1C" w:rsidRPr="00D11245" w:rsidRDefault="00F97D1C" w:rsidP="00DC4A23">
      <w:pPr>
        <w:jc w:val="both"/>
        <w:rPr>
          <w:b/>
          <w:bCs/>
          <w:color w:val="000000" w:themeColor="text1"/>
          <w:sz w:val="24"/>
          <w:szCs w:val="24"/>
        </w:rPr>
      </w:pPr>
    </w:p>
    <w:p w14:paraId="1B11069A" w14:textId="77777777" w:rsidR="00F97D1C" w:rsidRPr="00D11245" w:rsidRDefault="00F97D1C" w:rsidP="00DC4A23">
      <w:pPr>
        <w:jc w:val="both"/>
        <w:rPr>
          <w:b/>
          <w:bCs/>
          <w:color w:val="000000" w:themeColor="text1"/>
          <w:sz w:val="24"/>
          <w:szCs w:val="24"/>
        </w:rPr>
      </w:pPr>
    </w:p>
    <w:tbl>
      <w:tblPr>
        <w:tblStyle w:val="TableGrid"/>
        <w:tblW w:w="8788" w:type="dxa"/>
        <w:tblInd w:w="279" w:type="dxa"/>
        <w:tblLook w:val="04A0" w:firstRow="1" w:lastRow="0" w:firstColumn="1" w:lastColumn="0" w:noHBand="0" w:noVBand="1"/>
      </w:tblPr>
      <w:tblGrid>
        <w:gridCol w:w="8788"/>
      </w:tblGrid>
      <w:tr w:rsidR="00D11245" w:rsidRPr="00D11245" w14:paraId="6158A724" w14:textId="77777777" w:rsidTr="00A27719">
        <w:tc>
          <w:tcPr>
            <w:tcW w:w="8788" w:type="dxa"/>
            <w:shd w:val="clear" w:color="auto" w:fill="9CC2E5" w:themeFill="accent5" w:themeFillTint="99"/>
          </w:tcPr>
          <w:p w14:paraId="687B682E" w14:textId="535D101E" w:rsidR="00A112AC" w:rsidRPr="00D11245" w:rsidRDefault="00A112AC" w:rsidP="00DC4A23">
            <w:pPr>
              <w:rPr>
                <w:rFonts w:cstheme="minorHAnsi"/>
                <w:b/>
                <w:bCs/>
                <w:color w:val="000000" w:themeColor="text1"/>
                <w:sz w:val="24"/>
                <w:szCs w:val="24"/>
                <w:u w:val="single"/>
              </w:rPr>
            </w:pPr>
            <w:r w:rsidRPr="00D11245">
              <w:rPr>
                <w:rFonts w:cstheme="minorHAnsi"/>
                <w:b/>
                <w:bCs/>
                <w:color w:val="000000" w:themeColor="text1"/>
                <w:sz w:val="24"/>
                <w:szCs w:val="24"/>
                <w:u w:val="single"/>
              </w:rPr>
              <w:lastRenderedPageBreak/>
              <w:t>Figure 1: Entamoeba histolytica life cycle</w:t>
            </w:r>
          </w:p>
        </w:tc>
      </w:tr>
      <w:tr w:rsidR="00D11245" w:rsidRPr="00D11245" w14:paraId="25853905" w14:textId="77777777" w:rsidTr="00A27719">
        <w:tc>
          <w:tcPr>
            <w:tcW w:w="8788" w:type="dxa"/>
          </w:tcPr>
          <w:p w14:paraId="211108A4" w14:textId="52267ED8" w:rsidR="00A112AC" w:rsidRPr="00D11245" w:rsidRDefault="003328AE" w:rsidP="00A112AC">
            <w:pPr>
              <w:jc w:val="center"/>
              <w:rPr>
                <w:rFonts w:cstheme="minorHAnsi"/>
                <w:b/>
                <w:bCs/>
                <w:color w:val="000000" w:themeColor="text1"/>
                <w:sz w:val="24"/>
                <w:szCs w:val="24"/>
                <w:u w:val="single"/>
              </w:rPr>
            </w:pPr>
            <w:r w:rsidRPr="00D11245">
              <w:rPr>
                <w:rFonts w:cstheme="minorHAnsi"/>
                <w:b/>
                <w:bCs/>
                <w:noProof/>
                <w:color w:val="000000" w:themeColor="text1"/>
                <w:sz w:val="24"/>
                <w:szCs w:val="24"/>
                <w:u w:val="single"/>
                <w14:ligatures w14:val="standardContextual"/>
              </w:rPr>
              <w:drawing>
                <wp:inline distT="0" distB="0" distL="0" distR="0" wp14:anchorId="29DCF2C5" wp14:editId="4DADD8BD">
                  <wp:extent cx="3048000" cy="3517900"/>
                  <wp:effectExtent l="0" t="0" r="0" b="0"/>
                  <wp:docPr id="1242533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33711" name="Picture 1242533711"/>
                          <pic:cNvPicPr/>
                        </pic:nvPicPr>
                        <pic:blipFill>
                          <a:blip r:embed="rId14">
                            <a:extLst>
                              <a:ext uri="{28A0092B-C50C-407E-A947-70E740481C1C}">
                                <a14:useLocalDpi xmlns:a14="http://schemas.microsoft.com/office/drawing/2010/main" val="0"/>
                              </a:ext>
                            </a:extLst>
                          </a:blip>
                          <a:stretch>
                            <a:fillRect/>
                          </a:stretch>
                        </pic:blipFill>
                        <pic:spPr>
                          <a:xfrm>
                            <a:off x="0" y="0"/>
                            <a:ext cx="3048000" cy="3517900"/>
                          </a:xfrm>
                          <a:prstGeom prst="rect">
                            <a:avLst/>
                          </a:prstGeom>
                        </pic:spPr>
                      </pic:pic>
                    </a:graphicData>
                  </a:graphic>
                </wp:inline>
              </w:drawing>
            </w:r>
          </w:p>
        </w:tc>
      </w:tr>
      <w:tr w:rsidR="00D11245" w:rsidRPr="00D11245" w14:paraId="4B2AD853" w14:textId="77777777" w:rsidTr="00A27719">
        <w:tc>
          <w:tcPr>
            <w:tcW w:w="8788" w:type="dxa"/>
            <w:shd w:val="clear" w:color="auto" w:fill="DEEAF6" w:themeFill="accent5" w:themeFillTint="33"/>
          </w:tcPr>
          <w:p w14:paraId="02E94C90" w14:textId="3BD3F37B" w:rsidR="00A112AC" w:rsidRPr="00D11245" w:rsidRDefault="00A112AC" w:rsidP="00A112AC">
            <w:pPr>
              <w:jc w:val="both"/>
              <w:rPr>
                <w:rFonts w:cstheme="minorHAnsi"/>
                <w:color w:val="000000" w:themeColor="text1"/>
                <w:sz w:val="24"/>
                <w:szCs w:val="24"/>
              </w:rPr>
            </w:pPr>
            <w:r w:rsidRPr="00D11245">
              <w:rPr>
                <w:rFonts w:cstheme="minorHAnsi"/>
                <w:color w:val="000000" w:themeColor="text1"/>
                <w:sz w:val="24"/>
                <w:szCs w:val="24"/>
              </w:rPr>
              <w:t>Cysts and trophozoites are passed in f</w:t>
            </w:r>
            <w:r w:rsidR="00AA091B" w:rsidRPr="00D11245">
              <w:rPr>
                <w:rFonts w:cstheme="minorHAnsi"/>
                <w:color w:val="000000" w:themeColor="text1"/>
                <w:sz w:val="24"/>
                <w:szCs w:val="24"/>
              </w:rPr>
              <w:t>a</w:t>
            </w:r>
            <w:r w:rsidRPr="00D11245">
              <w:rPr>
                <w:rFonts w:cstheme="minorHAnsi"/>
                <w:color w:val="000000" w:themeColor="text1"/>
                <w:sz w:val="24"/>
                <w:szCs w:val="24"/>
              </w:rPr>
              <w:t>eces </w:t>
            </w:r>
            <w:r w:rsidRPr="00D11245">
              <w:rPr>
                <w:rFonts w:cstheme="minorHAnsi"/>
                <w:noProof/>
                <w:color w:val="000000" w:themeColor="text1"/>
                <w:sz w:val="24"/>
                <w:szCs w:val="24"/>
              </w:rPr>
              <w:drawing>
                <wp:inline distT="0" distB="0" distL="0" distR="0" wp14:anchorId="2946857D" wp14:editId="65F4F406">
                  <wp:extent cx="222250" cy="222250"/>
                  <wp:effectExtent l="0" t="0" r="6350" b="6350"/>
                  <wp:docPr id="1680148236"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D11245">
              <w:rPr>
                <w:rFonts w:cstheme="minorHAnsi"/>
                <w:color w:val="000000" w:themeColor="text1"/>
                <w:sz w:val="24"/>
                <w:szCs w:val="24"/>
              </w:rPr>
              <w:t> . Cysts are typically found in formed stool, whereas trophozoites are typically found in diarrheal stool. Infection with </w:t>
            </w:r>
            <w:r w:rsidRPr="00D11245">
              <w:rPr>
                <w:rFonts w:cstheme="minorHAnsi"/>
                <w:i/>
                <w:iCs/>
                <w:color w:val="000000" w:themeColor="text1"/>
                <w:sz w:val="24"/>
                <w:szCs w:val="24"/>
              </w:rPr>
              <w:t>Entamoeba histolytica </w:t>
            </w:r>
            <w:r w:rsidRPr="00D11245">
              <w:rPr>
                <w:rFonts w:cstheme="minorHAnsi"/>
                <w:color w:val="000000" w:themeColor="text1"/>
                <w:sz w:val="24"/>
                <w:szCs w:val="24"/>
              </w:rPr>
              <w:t>(and </w:t>
            </w:r>
            <w:r w:rsidRPr="00D11245">
              <w:rPr>
                <w:rFonts w:cstheme="minorHAnsi"/>
                <w:i/>
                <w:iCs/>
                <w:color w:val="000000" w:themeColor="text1"/>
                <w:sz w:val="24"/>
                <w:szCs w:val="24"/>
              </w:rPr>
              <w:t>E.</w:t>
            </w:r>
            <w:r w:rsidR="00EE3041" w:rsidRPr="00D11245">
              <w:rPr>
                <w:rFonts w:cstheme="minorHAnsi"/>
                <w:i/>
                <w:iCs/>
                <w:color w:val="000000" w:themeColor="text1"/>
                <w:sz w:val="24"/>
                <w:szCs w:val="24"/>
              </w:rPr>
              <w:t xml:space="preserve"> </w:t>
            </w:r>
            <w:r w:rsidRPr="00D11245">
              <w:rPr>
                <w:rFonts w:cstheme="minorHAnsi"/>
                <w:i/>
                <w:iCs/>
                <w:color w:val="000000" w:themeColor="text1"/>
                <w:sz w:val="24"/>
                <w:szCs w:val="24"/>
              </w:rPr>
              <w:t>dispar</w:t>
            </w:r>
            <w:r w:rsidRPr="00D11245">
              <w:rPr>
                <w:rFonts w:cstheme="minorHAnsi"/>
                <w:color w:val="000000" w:themeColor="text1"/>
                <w:sz w:val="24"/>
                <w:szCs w:val="24"/>
              </w:rPr>
              <w:t>) occurs via ingestion of mature cysts </w:t>
            </w:r>
            <w:r w:rsidRPr="00D11245">
              <w:rPr>
                <w:rFonts w:cstheme="minorHAnsi"/>
                <w:noProof/>
                <w:color w:val="000000" w:themeColor="text1"/>
                <w:sz w:val="24"/>
                <w:szCs w:val="24"/>
              </w:rPr>
              <w:drawing>
                <wp:inline distT="0" distB="0" distL="0" distR="0" wp14:anchorId="117BCD3A" wp14:editId="1424B22B">
                  <wp:extent cx="222250" cy="222250"/>
                  <wp:effectExtent l="0" t="0" r="6350" b="6350"/>
                  <wp:docPr id="685812238"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D11245">
              <w:rPr>
                <w:rFonts w:cstheme="minorHAnsi"/>
                <w:color w:val="000000" w:themeColor="text1"/>
                <w:sz w:val="24"/>
                <w:szCs w:val="24"/>
              </w:rPr>
              <w:t xml:space="preserve"> from </w:t>
            </w:r>
            <w:r w:rsidR="00AA091B" w:rsidRPr="00D11245">
              <w:rPr>
                <w:rFonts w:cstheme="minorHAnsi"/>
                <w:color w:val="000000" w:themeColor="text1"/>
                <w:sz w:val="24"/>
                <w:szCs w:val="24"/>
              </w:rPr>
              <w:t>faecally</w:t>
            </w:r>
            <w:r w:rsidRPr="00D11245">
              <w:rPr>
                <w:rFonts w:cstheme="minorHAnsi"/>
                <w:color w:val="000000" w:themeColor="text1"/>
                <w:sz w:val="24"/>
                <w:szCs w:val="24"/>
              </w:rPr>
              <w:t xml:space="preserve"> contaminated food, water, or hands. Exposure to infectious cysts and trophozoites in f</w:t>
            </w:r>
            <w:r w:rsidR="00AA091B" w:rsidRPr="00D11245">
              <w:rPr>
                <w:rFonts w:cstheme="minorHAnsi"/>
                <w:color w:val="000000" w:themeColor="text1"/>
                <w:sz w:val="24"/>
                <w:szCs w:val="24"/>
              </w:rPr>
              <w:t>a</w:t>
            </w:r>
            <w:r w:rsidRPr="00D11245">
              <w:rPr>
                <w:rFonts w:cstheme="minorHAnsi"/>
                <w:color w:val="000000" w:themeColor="text1"/>
                <w:sz w:val="24"/>
                <w:szCs w:val="24"/>
              </w:rPr>
              <w:t>ecal matter during sexual contact may also occur. Excystation </w:t>
            </w:r>
            <w:r w:rsidRPr="00D11245">
              <w:rPr>
                <w:rFonts w:cstheme="minorHAnsi"/>
                <w:noProof/>
                <w:color w:val="000000" w:themeColor="text1"/>
                <w:sz w:val="24"/>
                <w:szCs w:val="24"/>
              </w:rPr>
              <w:drawing>
                <wp:inline distT="0" distB="0" distL="0" distR="0" wp14:anchorId="557CE21E" wp14:editId="2B421512">
                  <wp:extent cx="222250" cy="222250"/>
                  <wp:effectExtent l="0" t="0" r="6350" b="6350"/>
                  <wp:docPr id="671696060"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D11245">
              <w:rPr>
                <w:rFonts w:cstheme="minorHAnsi"/>
                <w:color w:val="000000" w:themeColor="text1"/>
                <w:sz w:val="24"/>
                <w:szCs w:val="24"/>
              </w:rPr>
              <w:t> occurs in the small intestine and trophozoites </w:t>
            </w:r>
            <w:r w:rsidRPr="00D11245">
              <w:rPr>
                <w:rFonts w:cstheme="minorHAnsi"/>
                <w:noProof/>
                <w:color w:val="000000" w:themeColor="text1"/>
                <w:sz w:val="24"/>
                <w:szCs w:val="24"/>
              </w:rPr>
              <w:drawing>
                <wp:inline distT="0" distB="0" distL="0" distR="0" wp14:anchorId="32FB6DA5" wp14:editId="4CADE899">
                  <wp:extent cx="222250" cy="222250"/>
                  <wp:effectExtent l="0" t="0" r="6350" b="6350"/>
                  <wp:docPr id="1204949309"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D11245">
              <w:rPr>
                <w:rFonts w:cstheme="minorHAnsi"/>
                <w:color w:val="000000" w:themeColor="text1"/>
                <w:sz w:val="24"/>
                <w:szCs w:val="24"/>
              </w:rPr>
              <w:t> are released, which migrate to the large intestine. Trophozoites may remain confined to the intestinal lumen (A: non</w:t>
            </w:r>
            <w:r w:rsidR="00AA091B" w:rsidRPr="00D11245">
              <w:rPr>
                <w:rFonts w:cstheme="minorHAnsi"/>
                <w:color w:val="000000" w:themeColor="text1"/>
                <w:sz w:val="24"/>
                <w:szCs w:val="24"/>
              </w:rPr>
              <w:t>-</w:t>
            </w:r>
            <w:r w:rsidRPr="00D11245">
              <w:rPr>
                <w:rFonts w:cstheme="minorHAnsi"/>
                <w:color w:val="000000" w:themeColor="text1"/>
                <w:sz w:val="24"/>
                <w:szCs w:val="24"/>
              </w:rPr>
              <w:t>invasive infection) with individuals continuing to pass cysts in their stool (asymptomatic carriers). Trophozoites can invade the intestinal mucosa (B: intestinal disease), or blood vessels, reaching extraintestinal sites such as the liver, brain, and lungs (C: extraintestinal disease). Trophozoites multiply by binary fission and produce cysts </w:t>
            </w:r>
            <w:r w:rsidRPr="00D11245">
              <w:rPr>
                <w:rFonts w:cstheme="minorHAnsi"/>
                <w:noProof/>
                <w:color w:val="000000" w:themeColor="text1"/>
                <w:sz w:val="24"/>
                <w:szCs w:val="24"/>
              </w:rPr>
              <w:drawing>
                <wp:inline distT="0" distB="0" distL="0" distR="0" wp14:anchorId="72AA1720" wp14:editId="2FF884A6">
                  <wp:extent cx="222250" cy="222250"/>
                  <wp:effectExtent l="0" t="0" r="6350" b="6350"/>
                  <wp:docPr id="2016256196"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D11245">
              <w:rPr>
                <w:rFonts w:cstheme="minorHAnsi"/>
                <w:color w:val="000000" w:themeColor="text1"/>
                <w:sz w:val="24"/>
                <w:szCs w:val="24"/>
              </w:rPr>
              <w:t> , and both stages are passed in the f</w:t>
            </w:r>
            <w:r w:rsidR="00AA091B" w:rsidRPr="00D11245">
              <w:rPr>
                <w:rFonts w:cstheme="minorHAnsi"/>
                <w:color w:val="000000" w:themeColor="text1"/>
                <w:sz w:val="24"/>
                <w:szCs w:val="24"/>
              </w:rPr>
              <w:t>a</w:t>
            </w:r>
            <w:r w:rsidRPr="00D11245">
              <w:rPr>
                <w:rFonts w:cstheme="minorHAnsi"/>
                <w:color w:val="000000" w:themeColor="text1"/>
                <w:sz w:val="24"/>
                <w:szCs w:val="24"/>
              </w:rPr>
              <w:t>eces </w:t>
            </w:r>
            <w:r w:rsidRPr="00D11245">
              <w:rPr>
                <w:rFonts w:cstheme="minorHAnsi"/>
                <w:noProof/>
                <w:color w:val="000000" w:themeColor="text1"/>
                <w:sz w:val="24"/>
                <w:szCs w:val="24"/>
              </w:rPr>
              <w:drawing>
                <wp:inline distT="0" distB="0" distL="0" distR="0" wp14:anchorId="02460BB5" wp14:editId="6CAE7A88">
                  <wp:extent cx="222250" cy="222250"/>
                  <wp:effectExtent l="0" t="0" r="6350" b="6350"/>
                  <wp:docPr id="171122732"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sidRPr="00D11245">
              <w:rPr>
                <w:rFonts w:cstheme="minorHAnsi"/>
                <w:color w:val="000000" w:themeColor="text1"/>
                <w:sz w:val="24"/>
                <w:szCs w:val="24"/>
              </w:rPr>
              <w:t> . Cysts can survive days to weeks in the external environment and remain infectious in the environment due to the protection conferred by their walls. Trophozoites passed in the stool are rapidly destroyed once outside the body, and if ingested would not survive exposure to the gastric environment.</w:t>
            </w:r>
          </w:p>
        </w:tc>
      </w:tr>
      <w:tr w:rsidR="00D11245" w:rsidRPr="00D11245" w14:paraId="3D3F8326" w14:textId="77777777" w:rsidTr="00A27719">
        <w:tc>
          <w:tcPr>
            <w:tcW w:w="8788" w:type="dxa"/>
            <w:shd w:val="clear" w:color="auto" w:fill="DEEAF6" w:themeFill="accent5" w:themeFillTint="33"/>
          </w:tcPr>
          <w:p w14:paraId="75B1B37C" w14:textId="6A71E783" w:rsidR="00A112AC" w:rsidRPr="00D11245" w:rsidRDefault="00A112AC" w:rsidP="00A27719">
            <w:pPr>
              <w:jc w:val="center"/>
              <w:rPr>
                <w:rFonts w:cstheme="minorHAnsi"/>
                <w:color w:val="000000" w:themeColor="text1"/>
                <w:sz w:val="24"/>
                <w:szCs w:val="24"/>
              </w:rPr>
            </w:pPr>
            <w:r w:rsidRPr="00D11245">
              <w:rPr>
                <w:rFonts w:cstheme="minorHAnsi"/>
                <w:color w:val="000000" w:themeColor="text1"/>
                <w:sz w:val="24"/>
                <w:szCs w:val="24"/>
              </w:rPr>
              <w:t>Source: CDC (Centers for Disease Control and Prevention</w:t>
            </w:r>
            <w:r w:rsidR="00EE3041" w:rsidRPr="00D11245">
              <w:rPr>
                <w:rFonts w:cstheme="minorHAnsi"/>
                <w:color w:val="000000" w:themeColor="text1"/>
                <w:sz w:val="24"/>
                <w:szCs w:val="24"/>
              </w:rPr>
              <w:t xml:space="preserve">, </w:t>
            </w:r>
            <w:r w:rsidR="00EE3041" w:rsidRPr="00D11245">
              <w:rPr>
                <w:rFonts w:cstheme="minorHAnsi"/>
                <w:color w:val="000000" w:themeColor="text1"/>
                <w:sz w:val="24"/>
                <w:szCs w:val="24"/>
              </w:rPr>
              <w:t>Atlanta, Georgia, USA</w:t>
            </w:r>
            <w:r w:rsidRPr="00D11245">
              <w:rPr>
                <w:rFonts w:cstheme="minorHAnsi"/>
                <w:color w:val="000000" w:themeColor="text1"/>
                <w:sz w:val="24"/>
                <w:szCs w:val="24"/>
              </w:rPr>
              <w:t xml:space="preserve">): </w:t>
            </w:r>
            <w:hyperlink r:id="rId20" w:history="1">
              <w:r w:rsidRPr="00D11245">
                <w:rPr>
                  <w:rStyle w:val="Hyperlink"/>
                  <w:rFonts w:cstheme="minorHAnsi"/>
                  <w:color w:val="000000" w:themeColor="text1"/>
                  <w:sz w:val="24"/>
                  <w:szCs w:val="24"/>
                  <w:u w:val="none"/>
                </w:rPr>
                <w:t>https://www.cdc.gov/dpdx/amebiasis/</w:t>
              </w:r>
            </w:hyperlink>
          </w:p>
        </w:tc>
      </w:tr>
    </w:tbl>
    <w:p w14:paraId="79464126" w14:textId="77777777" w:rsidR="00473F0E" w:rsidRPr="00D11245" w:rsidRDefault="00473F0E" w:rsidP="00DC4A23">
      <w:pPr>
        <w:rPr>
          <w:rFonts w:cstheme="minorHAnsi"/>
          <w:b/>
          <w:bCs/>
          <w:color w:val="000000" w:themeColor="text1"/>
          <w:sz w:val="24"/>
          <w:szCs w:val="24"/>
          <w:u w:val="single"/>
        </w:rPr>
      </w:pPr>
    </w:p>
    <w:p w14:paraId="66CD569A" w14:textId="2DC4FDB8" w:rsidR="00DC4A23" w:rsidRPr="00D11245" w:rsidRDefault="00DC4A23" w:rsidP="00DC4A23">
      <w:pPr>
        <w:rPr>
          <w:rFonts w:cstheme="minorHAnsi"/>
          <w:b/>
          <w:bCs/>
          <w:color w:val="000000" w:themeColor="text1"/>
          <w:sz w:val="24"/>
          <w:szCs w:val="24"/>
          <w:u w:val="single"/>
        </w:rPr>
      </w:pPr>
      <w:r w:rsidRPr="00D11245">
        <w:rPr>
          <w:rFonts w:cstheme="minorHAnsi"/>
          <w:b/>
          <w:bCs/>
          <w:color w:val="000000" w:themeColor="text1"/>
          <w:sz w:val="24"/>
          <w:szCs w:val="24"/>
          <w:u w:val="single"/>
        </w:rPr>
        <w:t>Epidemiology and travel</w:t>
      </w:r>
    </w:p>
    <w:p w14:paraId="6E80396B" w14:textId="13540159" w:rsidR="00DC4A23" w:rsidRPr="00D11245" w:rsidRDefault="003F4B3A" w:rsidP="00DC4A23">
      <w:pPr>
        <w:jc w:val="both"/>
        <w:rPr>
          <w:rFonts w:cstheme="minorHAnsi"/>
          <w:color w:val="000000" w:themeColor="text1"/>
          <w:sz w:val="24"/>
          <w:szCs w:val="24"/>
        </w:rPr>
      </w:pPr>
      <w:r w:rsidRPr="00D11245">
        <w:rPr>
          <w:rFonts w:cstheme="minorHAnsi"/>
          <w:color w:val="000000" w:themeColor="text1"/>
          <w:sz w:val="24"/>
          <w:szCs w:val="24"/>
        </w:rPr>
        <w:t xml:space="preserve">The global prevalence of </w:t>
      </w:r>
      <w:r w:rsidRPr="00D11245">
        <w:rPr>
          <w:rFonts w:cstheme="minorHAnsi"/>
          <w:i/>
          <w:iCs/>
          <w:color w:val="000000" w:themeColor="text1"/>
          <w:sz w:val="24"/>
          <w:szCs w:val="24"/>
        </w:rPr>
        <w:t>E. histolytica</w:t>
      </w:r>
      <w:r w:rsidRPr="00D11245">
        <w:rPr>
          <w:rFonts w:cstheme="minorHAnsi"/>
          <w:color w:val="000000" w:themeColor="text1"/>
          <w:sz w:val="24"/>
          <w:szCs w:val="24"/>
        </w:rPr>
        <w:t xml:space="preserve"> infection</w:t>
      </w:r>
      <w:r w:rsidR="00362993" w:rsidRPr="00D11245">
        <w:rPr>
          <w:rFonts w:cstheme="minorHAnsi"/>
          <w:color w:val="000000" w:themeColor="text1"/>
          <w:sz w:val="24"/>
          <w:szCs w:val="24"/>
        </w:rPr>
        <w:fldChar w:fldCharType="begin"/>
      </w:r>
      <w:r w:rsidR="009C3E63" w:rsidRPr="00D11245">
        <w:rPr>
          <w:rFonts w:cstheme="minorHAnsi"/>
          <w:color w:val="000000" w:themeColor="text1"/>
          <w:sz w:val="24"/>
          <w:szCs w:val="24"/>
        </w:rPr>
        <w:instrText xml:space="preserve"> ADDIN ZOTERO_ITEM CSL_CITATION {"citationID":"TDSGR5qa","properties":{"formattedCitation":"\\super 23,24\\nosupersub{}","plainCitation":"23,24","noteIndex":0},"citationItems":[{"id":16644,"uris":["http://zotero.org/groups/2497994/items/GE9XIW9X"],"itemData":{"id":16644,"type":"article-journal","container-title":"Journal of Infection and Public Health","DOI":"10.1016/j.jiph.2022.08.013","ISSN":"18760341","issue":"10","journalAbbreviation":"Journal of Infection and Public Health","language":"en","page":"1134-1141","source":"DOI.org (Crossref)","title":"Updates on the worldwide burden of amoebiasis: A case series and literature review","title-short":"Updates on the worldwide burden of amoebiasis","volume":"15","author":[{"family":"Nasrallah","given":"Jade"},{"family":"Akhoundi","given":"Mohammad"},{"family":"Haouchine","given":"Djamel"},{"family":"Marteau","given":"Anthony"},{"family":"Mantelet","given":"Stéphane"},{"family":"Wind","given":"Philippe"},{"family":"Benamouzig","given":"Robert"},{"family":"Bouchaud","given":"Olivier"},{"family":"Dhote","given":"Robin"},{"family":"Izri","given":"Arezki"}],"issued":{"date-parts":[["2022",10]]}}},{"id":1915,"uris":["http://zotero.org/groups/2497994/items/43Y5AVWP"],"itemData":{"id":1915,"type":"article-journal","abstract":"Abstract - Background Infection with the protozoan  Entamoeba histolytica  is common in low‐ and middle‐income countries, and up to 100,000 people with severe disease die every year. Adequate therapy for amoebic colitis is necessary to reduce illness, prevent development of complicated disease and extraintestinal spread, and decrease transmission. Objectives To evaluate antiamoebic drugs for treating amoebic colitis. Search methods We searched the available literature up to 22 March 2018. We searched the Cochrane Infectious Diseases Group Specialised Register, CENTRAL, MEDLINE, Embase, LILACS,  m RCT, and conference proceedings. We contacted individual researchers, organizations, and pharmaceutical companies, and we checked reference lists. Selection criteria Randomized controlled trials of antiamoebic drugs given alone or in combination, compared with placebo or another antiamoebic drug, for treating adults and children with a diagnosis of amoebic colitis. Data collection and analysis Two review authors independently assessed the eligibility and methodological quality of trials and extracted and analysed the data. We calculated clinical and parasitological failure rates and rates of relapse and adverse events as risk ratios (RRs) with 95% confidence intervals (CIs), using a random‐effects model. We determined statistical heterogeneity and explored possible sources of heterogeneity using subgroup analyses. We carried out sensitivity analysis by using trial quality to assess the robustness of reported results. Main results In total, 41 trials (4999 participants) met the inclusion criteria of this review. In this update, we added four trials to the 37 trials included in the first published review version. Thirty trials were published over 20 years ago. Only one trial used adequate methods of randomization and allocation concealment, was blinded, and analysed all randomized participants. Only one trial used an  E histolytica  stool antigen test, and two trials used amoebic culture. Tinidazole may be more effective than metronidazole for reducing clinical failure (RR 0.28, 95% CI 0.15 to 0.51; 477 participants, eight trials; low‐certainty evidence) and is probably associated with fewer adverse events (RR 0.65, 95% CI 0.46 to 0.92; 477 participants, 8 trials; moderate‐certainty evidence). Compared with metronidazole, combination therapy may result in fewer parasitological failures (RR 0.36, 95% CI 0.15 to 0.86; 720 participants, 3 trials; low‐certainty evidence), but we are uncertain which combination is more effective than another. Evidence is insufficient to allow conclusions regarding the efficacy of other antiamoebic drugs. Authors' conclusions Compared with metronidazole, tinidazole may be more effective in reducing clinical failure and may be associated with fewer adverse events. Combination drug therapy may be more effective for reducing parasitological failure compared with metronidazole alone. However, these results are based mostly on small trials conducted over 20 years ago with a variety of poorly defined outcomes. Tests that detect  E histolytica  more accurately are needed, particularly in countries where concomitant infection with other bacteria and parasites is common. 11 April 2019 Up to date All studies incorporated from most recent search All eligible published studies found in the last search (22 Mar, 2018) were included and two ongoing studies have been identified (see 'Characteristics of ongoing studies' section) Plain language summary Antiamoebic drugs for treating amoebic colitis What is the aim of this review? This Cochrane Review aims to determine the effectiveness and safety of drugs used to treat people with amoebic colitis, which is an infection of the large intestines caused by the parasite,  Entamoeba histolytica . Cochrane researchers searched for all relevant studies to answer this question and included 41 relevant studies in this review. Key messages Tinidazole may be more effective than metronidazole for reducing clinical symptoms and may be associated with fewer adverse events. Combination therapy resulted in fewer parasitological failures than occurred with metronidazole alone. Evidence is insufficient to allow conclusions regarding the efficacy of other antiamoebic drugs. Better quality randomized trials using accurate diagnostic methods and standardized outcomes are needed to evaluate the efficacy of drugs for treating individuals with amoebic colitis. What was studied in the review? Entamoeba histolytica  is distributed throughout the world and is commonly acquired by ingestion of contaminated food or water. An estimated 40 to 50 million people infected with  E histolytica  develop amoebic colitis or extraintestinal abscesses, resulting in up to 100,000 deaths per year. Metronidazole is currently the standard therapy for treating adults and children with invasive amoebiasis, but it may not be sufficient to eliminate amoebic cysts from the intestine. Some unpleasant adverse effects have been associated with metronidazole, and the possibility of parasite resistance to metronidazole has led to the development of alternative drugs. Combinations of metronidazole with other drugs that eradicate surviving cysts in the intestines have been recommended, so evidence to support this approach needs to be assessed. This review compares different drugs used against amoebic colitis, alone or in combination, and also assesses single‐dose regimens versus longer regimens. What are the main results of the review? This review included 41 studies, most of which were conducted in countries considered to be highly endemic for amoebiasis. Most trials were old: 30 were conducted before 1998. Trials varied in the inclusion criteria used to enrol participants and in the definition and timing of measured outcomes. Stool microscopy with direct wet saline smear was the method used most often to detect the presence of  E histolytica  in stools. Study participants ranged in age from seven months to 80 years. Included trials reported a variety of comparisons and involved 25 individual drugs, two herbal products, and 15 different combinations. The review shows that in individuals with amoebic colitis, tinidazole may be better for reducing clinical symptoms (low‐certainty evidence) and probably results in fewer adverse events when compared with metronidazole (moderate‐certainty evidence). However, we do not know whether it is more effective for eradicating amoebae from the stools. Combination drug therapy may be more effective than metronidazole alone for eradicating amoebae (low‐certainty evidence), but we are uncertain which drug combination is most effective, and if combination treatment will lead to more rapid resolution of clinical symptoms or in more adverse events (very low‐certainty evidence). Evidence is insufficient to allow conclusions regarding efficacy of the other antiamoebic drugs. How up‐to‐date is this review?  The review authors searched for studies that had been published up to 22 March 2018.","archive_location":"CD006085","container-title":"Cochrane Database of Systematic Reviews","DOI":"10.1002/14651858.CD006085.pub3","ISSN":"1465-1858","issue":"1","note":"publisher: John Wiley &amp; Sons, Ltd","title":"Antiamoebic drugs for treating amoebic colitis","URL":"http://dx.doi.org/10.1002/14651858.CD006085.pub3","author":[{"family":"Gonzales","given":"MLM"},{"family":"Dans","given":"LF"},{"family":"Sio‐Aguilar","given":"J"}],"issued":{"date-parts":[["2019"]]}}}],"schema":"https://github.com/citation-style-language/schema/raw/master/csl-citation.json"} </w:instrText>
      </w:r>
      <w:r w:rsidR="00362993" w:rsidRPr="00D11245">
        <w:rPr>
          <w:rFonts w:cstheme="minorHAnsi"/>
          <w:color w:val="000000" w:themeColor="text1"/>
          <w:sz w:val="24"/>
          <w:szCs w:val="24"/>
        </w:rPr>
        <w:fldChar w:fldCharType="separate"/>
      </w:r>
      <w:r w:rsidR="009C3E63" w:rsidRPr="00D11245">
        <w:rPr>
          <w:rFonts w:ascii="Calibri" w:hAnsi="Calibri" w:cs="Calibri"/>
          <w:color w:val="000000" w:themeColor="text1"/>
          <w:kern w:val="0"/>
          <w:sz w:val="24"/>
          <w:vertAlign w:val="superscript"/>
        </w:rPr>
        <w:t>23,24</w:t>
      </w:r>
      <w:r w:rsidR="00362993" w:rsidRPr="00D11245">
        <w:rPr>
          <w:rFonts w:cstheme="minorHAnsi"/>
          <w:color w:val="000000" w:themeColor="text1"/>
          <w:sz w:val="24"/>
          <w:szCs w:val="24"/>
        </w:rPr>
        <w:fldChar w:fldCharType="end"/>
      </w:r>
      <w:r w:rsidR="00473F0E" w:rsidRPr="00D11245">
        <w:rPr>
          <w:rFonts w:cstheme="minorHAnsi"/>
          <w:color w:val="000000" w:themeColor="text1"/>
          <w:sz w:val="24"/>
          <w:szCs w:val="24"/>
        </w:rPr>
        <w:t xml:space="preserve"> </w:t>
      </w:r>
      <w:r w:rsidRPr="00D11245">
        <w:rPr>
          <w:rFonts w:cstheme="minorHAnsi"/>
          <w:color w:val="000000" w:themeColor="text1"/>
          <w:sz w:val="24"/>
          <w:szCs w:val="24"/>
        </w:rPr>
        <w:t xml:space="preserve">is likely an over estimate due regional endemicity, populations studied and the diagnostic </w:t>
      </w:r>
      <w:r w:rsidR="00362993" w:rsidRPr="00D11245">
        <w:rPr>
          <w:rFonts w:cstheme="minorHAnsi"/>
          <w:color w:val="000000" w:themeColor="text1"/>
          <w:sz w:val="24"/>
          <w:szCs w:val="24"/>
        </w:rPr>
        <w:t xml:space="preserve">capability </w:t>
      </w:r>
      <w:r w:rsidRPr="00D11245">
        <w:rPr>
          <w:rFonts w:cstheme="minorHAnsi"/>
          <w:color w:val="000000" w:themeColor="text1"/>
          <w:sz w:val="24"/>
          <w:szCs w:val="24"/>
        </w:rPr>
        <w:t>to differentiate between non-pathogenic species</w:t>
      </w:r>
      <w:r w:rsidR="00362993" w:rsidRPr="00D11245">
        <w:rPr>
          <w:rFonts w:cstheme="minorHAnsi"/>
          <w:color w:val="000000" w:themeColor="text1"/>
          <w:sz w:val="24"/>
          <w:szCs w:val="24"/>
        </w:rPr>
        <w:fldChar w:fldCharType="begin"/>
      </w:r>
      <w:r w:rsidR="00362993" w:rsidRPr="00D11245">
        <w:rPr>
          <w:rFonts w:cstheme="minorHAnsi"/>
          <w:color w:val="000000" w:themeColor="text1"/>
          <w:sz w:val="24"/>
          <w:szCs w:val="24"/>
        </w:rPr>
        <w:instrText xml:space="preserve"> ADDIN ZOTERO_ITEM CSL_CITATION {"citationID":"VP39VmOk","properties":{"formattedCitation":"\\super 3\\nosupersub{}","plainCitation":"3","noteIndex":0},"citationItems":[{"id":592,"uris":["http://zotero.org/groups/2497994/items/KVLPEQF2"],"itemData":{"id":592,"type":"article-journal","abstract":"Purpose of Review: This is to highlight the relationship between the morphologically identical pathogenic and nonpathogenic amoebae commonly recovered from human feces. Microscopy does not differentiate pathogenic from nonpathogenic strains. The problem of treat or do not treat infection depends on whether it is pathogenic or not, and whether reported in endemic or non-endemic country. Recent Findings: Prevalence of amoebiasis differs greatly in different areas of the world reaching up to 50%. Easy diagnosis of amoebiasis now depends on the use of immunochromatography and/or PCR. Multiplex PCR can differentiate the pathogenic amoebae. The phylogenetic analysis of the nonpathogenic E. dispar showed a variety of genotypes. A pathogenic E. dispar genotype was isolated from an amebic liver abscess. Summary: E. histolytica is now easily identified in laboratories, saving time and effort in diagnosis and management of infection. Phylogenetic analysis of E. histolytica and E. dispar and studying the detected genotypes can explain the big variation in pathogenicity in humans.Copyright © 2017, Springer International Publishing AG.","container-title":"Current Tropical Medicine Reports","DOI":"10.1007/s40475-017-0100-z","ISSN":"2196-3045 (electronic)","issue":"1","journalAbbreviation":"Curr. Trop. Med. Rep.","language":"English","note":"publisher-place: Germany\npublisher: Springer Verlag (E-mail: service@springer.de)","page":"11-20","title":"Entamoeba histolytica: an Overview","volume":"4","author":[{"literal":"El-Dib N.A."}],"issued":{"date-parts":[["2017"]]}}}],"schema":"https://github.com/citation-style-language/schema/raw/master/csl-citation.json"} </w:instrText>
      </w:r>
      <w:r w:rsidR="00362993" w:rsidRPr="00D11245">
        <w:rPr>
          <w:rFonts w:cstheme="minorHAnsi"/>
          <w:color w:val="000000" w:themeColor="text1"/>
          <w:sz w:val="24"/>
          <w:szCs w:val="24"/>
        </w:rPr>
        <w:fldChar w:fldCharType="separate"/>
      </w:r>
      <w:r w:rsidR="00362993" w:rsidRPr="00D11245">
        <w:rPr>
          <w:rFonts w:ascii="Calibri" w:hAnsi="Calibri" w:cs="Calibri"/>
          <w:color w:val="000000" w:themeColor="text1"/>
          <w:kern w:val="0"/>
          <w:sz w:val="24"/>
          <w:szCs w:val="24"/>
          <w:vertAlign w:val="superscript"/>
        </w:rPr>
        <w:t>3</w:t>
      </w:r>
      <w:r w:rsidR="00362993" w:rsidRPr="00D11245">
        <w:rPr>
          <w:rFonts w:cstheme="minorHAnsi"/>
          <w:color w:val="000000" w:themeColor="text1"/>
          <w:sz w:val="24"/>
          <w:szCs w:val="24"/>
        </w:rPr>
        <w:fldChar w:fldCharType="end"/>
      </w:r>
      <w:r w:rsidRPr="00D11245">
        <w:rPr>
          <w:rFonts w:cstheme="minorHAnsi"/>
          <w:color w:val="000000" w:themeColor="text1"/>
          <w:sz w:val="24"/>
          <w:szCs w:val="24"/>
        </w:rPr>
        <w:t xml:space="preserve">. </w:t>
      </w:r>
      <w:r w:rsidR="00DC4A23" w:rsidRPr="00D11245">
        <w:rPr>
          <w:rFonts w:cstheme="minorHAnsi"/>
          <w:color w:val="000000" w:themeColor="text1"/>
          <w:sz w:val="24"/>
          <w:szCs w:val="24"/>
        </w:rPr>
        <w:t xml:space="preserve">Nonetheless, amoebiasis is a significant global health </w:t>
      </w:r>
      <w:r w:rsidR="00CA0916" w:rsidRPr="00D11245">
        <w:rPr>
          <w:rFonts w:cstheme="minorHAnsi"/>
          <w:color w:val="000000" w:themeColor="text1"/>
          <w:sz w:val="24"/>
          <w:szCs w:val="24"/>
        </w:rPr>
        <w:t>burden</w:t>
      </w:r>
      <w:r w:rsidR="00DC4A23" w:rsidRPr="00D11245">
        <w:rPr>
          <w:rFonts w:cstheme="minorHAnsi"/>
          <w:color w:val="000000" w:themeColor="text1"/>
          <w:sz w:val="24"/>
          <w:szCs w:val="24"/>
        </w:rPr>
        <w:t>, responsible for 55,000 deaths per year</w:t>
      </w:r>
      <w:r w:rsidR="00FD2281" w:rsidRPr="00D11245">
        <w:rPr>
          <w:rFonts w:cstheme="minorHAnsi"/>
          <w:color w:val="000000" w:themeColor="text1"/>
          <w:sz w:val="24"/>
          <w:szCs w:val="24"/>
        </w:rPr>
        <w:fldChar w:fldCharType="begin"/>
      </w:r>
      <w:r w:rsidR="00FD2281" w:rsidRPr="00D11245">
        <w:rPr>
          <w:rFonts w:cstheme="minorHAnsi"/>
          <w:color w:val="000000" w:themeColor="text1"/>
          <w:sz w:val="24"/>
          <w:szCs w:val="24"/>
        </w:rPr>
        <w:instrText xml:space="preserve"> ADDIN ZOTERO_ITEM CSL_CITATION {"citationID":"nNQrCLgi","properties":{"formattedCitation":"\\super 5\\nosupersub{}","plainCitation":"5","noteIndex":0},"citationItems":[{"id":16578,"uris":["http://zotero.org/groups/2497994/items/2HQHDENE"],"itemData":{"id":16578,"type":"article-journal","container-title":"The Lancet","DOI":"10.1016/S0140-6736(12)61728-0","ISSN":"01406736","issue":"9859","journalAbbreviation":"The Lancet","language":"en","page":"2095-2128","source":"DOI.org (Crossref)","title":"Global and regional mortality from 235 causes of death for 20 age groups in 1990 and 2010: a systematic analysis for the Global Burden of Disease Study 2010","title-short":"Global and regional mortality from 235 causes of death for 20 age groups in 1990 and 2010","volume":"380","author":[{"family":"Lozano","given":"Rafael"},{"family":"Naghavi","given":"Mohsen"},{"family":"Foreman","given":"Kyle"},{"family":"Lim","given":"Stephen"},{"family":"Shibuya","given":"Kenji"},{"family":"Aboyans","given":"Victor"},{"family":"Abraham","given":"Jerry"},{"family":"Adair","given":"Timothy"},{"family":"Aggarwal","given":"Rakesh"},{"family":"Ahn","given":"Stephanie Y"},{"family":"AlMazroa","given":"Mohammad A"},{"family":"Alvarado","given":"Miriam"},{"family":"Anderson","given":"H Ross"},{"family":"Anderson","given":"Laurie M"},{"family":"Andrews","given":"Kathryn G"},{"family":"Atkinson","given":"Charles"},{"family":"Baddour","given":"Larry M"},{"family":"Barker-Collo","given":"Suzanne"},{"family":"Bartels","given":"David H"},{"family":"Bell","given":"Michelle L"},{"family":"Benjamin","given":"Emelia J"},{"family":"Bennett","given":"Derrick"},{"family":"Bhalla","given":"Kavi"},{"family":"Bikbov","given":"Boris"},{"family":"Abdulhak","given":"Aref Bin"},{"family":"Birbeck","given":"Gretchen"},{"family":"Blyth","given":"Fiona"},{"family":"Bolliger","given":"Ian"},{"family":"Boufous","given":"Soufiane"},{"family":"Bucello","given":"Chiara"},{"family":"Burch","given":"Michael"},{"family":"Burney","given":"Peter"},{"family":"Carapetis","given":"Jonathan"},{"family":"Chen","given":"Honglei"},{"family":"Chou","given":"David"},{"family":"Chugh","given":"Sumeet S"},{"family":"Coffeng","given":"Luc E"},{"family":"Colan","given":"Steven D"},{"family":"Colquhoun","given":"Samantha"},{"family":"Colson","given":"K Ellicott"},{"family":"Condon","given":"John"},{"family":"Connor","given":"Myles D"},{"family":"Cooper","given":"Leslie T"},{"family":"Corriere","given":"Matthew"},{"family":"Cortinovis","given":"Monica"},{"family":"De Vaccaro","given":"Karen Courville"},{"family":"Couser","given":"William"},{"family":"Cowie","given":"Benjamin C"},{"family":"Criqui","given":"Michael H"},{"family":"Cross","given":"Marita"},{"family":"Dabhadkar","given":"Kaustubh C"},{"family":"Dahodwala","given":"Nabila"},{"family":"De Leo","given":"Diego"},{"family":"Degenhardt","given":"Louisa"},{"family":"Delossantos","given":"Allyne"},{"family":"Denenberg","given":"Julie"},{"family":"Des Jarlais","given":"Don C"},{"family":"Dharmaratne","given":"Samath D"},{"family":"Dorsey","given":"E Ray"},{"family":"Driscoll","given":"Tim"},{"family":"Duber","given":"Herbert"},{"family":"Ebel","given":"Beth"},{"family":"Erwin","given":"Patricia J"},{"family":"Espindola","given":"Patricia"},{"family":"Ezzati","given":"Majid"},{"family":"Feigin","given":"Valery"},{"family":"Flaxman","given":"Abraham D"},{"family":"Forouzanfar","given":"Mohammad H"},{"family":"Fowkes","given":"Francis Gerry R"},{"family":"Franklin","given":"Richard"},{"family":"Fransen","given":"Marlene"},{"family":"Freeman","given":"Michael K"},{"family":"Gabriel","given":"Sherine E"},{"family":"Gakidou","given":"Emmanuela"},{"family":"Gaspari","given":"Flavio"},{"family":"Gillum","given":"Richard F"},{"family":"Gonzalez-Medina","given":"Diego"},{"family":"Halasa","given":"Yara A"},{"family":"Haring","given":"Diana"},{"family":"Harrison","given":"James E"},{"family":"Havmoeller","given":"Rasmus"},{"family":"Hay","given":"Roderick J"},{"family":"Hoen","given":"Bruno"},{"family":"Hotez","given":"Peter J"},{"family":"Hoy","given":"Damian"},{"family":"Jacobsen","given":"Kathryn H"},{"family":"James","given":"Spencer L"},{"family":"Jasrasaria","given":"Rashmi"},{"family":"Jayaraman","given":"Sudha"},{"family":"Johns","given":"Nicole"},{"family":"Karthikeyan","given":"Ganesan"},{"family":"Kassebaum","given":"Nicholas"},{"family":"Keren","given":"Andre"},{"family":"Khoo","given":"Jon-Paul"},{"family":"Knowlton","given":"Lisa Marie"},{"family":"Kobusingye","given":"Olive"},{"family":"Koranteng","given":"Adofo"},{"family":"Krishnamurthi","given":"Rita"},{"family":"Lipnick","given":"Michael"},{"family":"Lipshultz","given":"Steven E"},{"family":"Ohno","given":"Summer Lockett"},{"family":"Mabweijano","given":"Jacqueline"},{"family":"MacIntyre","given":"Michael F"},{"family":"Mallinger","given":"Leslie"},{"family":"March","given":"Lyn"},{"family":"Marks","given":"Guy B"},{"family":"Marks","given":"Robin"},{"family":"Matsumori","given":"Akira"},{"family":"Matzopoulos","given":"Richard"},{"family":"Mayosi","given":"Bongani M"},{"family":"McAnulty","given":"John H"},{"family":"McDermott","given":"Mary M"},{"family":"McGrath","given":"John"},{"family":"Memish","given":"Ziad A"},{"family":"Mensah","given":"George A"},{"family":"Merriman","given":"Tony R"},{"family":"Michaud","given":"Catherine"},{"family":"Miller","given":"Matthew"},{"family":"Miller","given":"Ted R"},{"family":"Mock","given":"Charles"},{"family":"Mocumbi","given":"Ana Olga"},{"family":"Mokdad","given":"Ali A"},{"family":"Moran","given":"Andrew"},{"family":"Mulholland","given":"Kim"},{"family":"Nair","given":"M Nathan"},{"family":"Naldi","given":"Luigi"},{"family":"Narayan","given":"K M Venkat"},{"family":"Nasseri","given":"Kiumarss"},{"family":"Norman","given":"Paul"},{"family":"O'Donnell","given":"Martin"},{"family":"Omer","given":"Saad B"},{"family":"Ortblad","given":"Katrina"},{"family":"Osborne","given":"Richard"},{"family":"Ozgediz","given":"Doruk"},{"family":"Pahari","given":"Bishnu"},{"family":"Pandian","given":"Jeyaraj Durai"},{"family":"Rivero","given":"Andrea Panozo"},{"family":"Padilla","given":"Rogelio Perez"},{"family":"Perez-Ruiz","given":"Fernando"},{"family":"Perico","given":"Norberto"},{"family":"Phillips","given":"David"},{"family":"Pierce","given":"Kelsey"},{"family":"Pope","given":"C Arden"},{"family":"Porrini","given":"Esteban"},{"family":"Pourmalek","given":"Farshad"},{"family":"Raju","given":"Murugesan"},{"family":"Ranganathan","given":"Dharani"},{"family":"Rehm","given":"Jürgen T"},{"family":"Rein","given":"David B"},{"family":"Remuzzi","given":"Guiseppe"},{"family":"Rivara","given":"Frederick P"},{"family":"Roberts","given":"Thomas"},{"family":"De León","given":"Felipe Rodriguez"},{"family":"Rosenfeld","given":"Lisa C"},{"family":"Rushton","given":"Lesley"},{"family":"Sacco","given":"Ralph L"},{"family":"Salomon","given":"Joshua A"},{"family":"Sampson","given":"Uchechukwu"},{"family":"Sanman","given":"Ella"},{"family":"Schwebel","given":"David C"},{"family":"Segui-Gomez","given":"Maria"},{"family":"Shepard","given":"Donald S"},{"family":"Singh","given":"David"},{"family":"Singleton","given":"Jessica"},{"family":"Sliwa","given":"Karen"},{"family":"Smith","given":"Emma"},{"family":"Steer","given":"Andrew"},{"family":"Taylor","given":"Jennifer A"},{"family":"Thomas","given":"Bernadette"},{"family":"Tleyjeh","given":"Imad M"},{"family":"Towbin","given":"Jeffrey A"},{"family":"Truelsen","given":"Thomas"},{"family":"Undurraga","given":"Eduardo A"},{"family":"Venketasubramanian","given":"N"},{"family":"Vijayakumar","given":"Lakshmi"},{"family":"Vos","given":"Theo"},{"family":"Wagner","given":"Gregory R"},{"family":"Wang","given":"Mengru"},{"family":"Wang","given":"Wenzhi"},{"family":"Watt","given":"Kerrianne"},{"family":"Weinstock","given":"Martin A"},{"family":"Weintraub","given":"Robert"},{"family":"Wilkinson","given":"James D"},{"family":"Woolf","given":"Anthony D"},{"family":"Wulf","given":"Sarah"},{"family":"Yeh","given":"Pon-Hsiu"},{"family":"Yip","given":"Paul"},{"family":"Zabetian","given":"Azadeh"},{"family":"Zheng","given":"Zhi-Jie"},{"family":"Lopez","given":"Alan D"},{"family":"Murray","given":"Christopher Jl"}],"issued":{"date-parts":[["2012",12]]}}}],"schema":"https://github.com/citation-style-language/schema/raw/master/csl-citation.json"} </w:instrText>
      </w:r>
      <w:r w:rsidR="00FD2281" w:rsidRPr="00D11245">
        <w:rPr>
          <w:rFonts w:cstheme="minorHAnsi"/>
          <w:color w:val="000000" w:themeColor="text1"/>
          <w:sz w:val="24"/>
          <w:szCs w:val="24"/>
        </w:rPr>
        <w:fldChar w:fldCharType="separate"/>
      </w:r>
      <w:r w:rsidR="00FD2281" w:rsidRPr="00D11245">
        <w:rPr>
          <w:rFonts w:ascii="Calibri" w:hAnsi="Calibri" w:cs="Calibri"/>
          <w:color w:val="000000" w:themeColor="text1"/>
          <w:kern w:val="0"/>
          <w:sz w:val="24"/>
          <w:szCs w:val="24"/>
          <w:vertAlign w:val="superscript"/>
        </w:rPr>
        <w:t>5</w:t>
      </w:r>
      <w:r w:rsidR="00FD2281" w:rsidRPr="00D11245">
        <w:rPr>
          <w:rFonts w:cstheme="minorHAnsi"/>
          <w:color w:val="000000" w:themeColor="text1"/>
          <w:sz w:val="24"/>
          <w:szCs w:val="24"/>
        </w:rPr>
        <w:fldChar w:fldCharType="end"/>
      </w:r>
      <w:r w:rsidR="00DC4A23" w:rsidRPr="00D11245">
        <w:rPr>
          <w:rFonts w:cstheme="minorHAnsi"/>
          <w:color w:val="000000" w:themeColor="text1"/>
          <w:sz w:val="24"/>
          <w:szCs w:val="24"/>
        </w:rPr>
        <w:t>, predominantly in low income countries</w:t>
      </w:r>
      <w:r w:rsidR="00B72098" w:rsidRPr="00D11245">
        <w:rPr>
          <w:rFonts w:cstheme="minorHAnsi"/>
          <w:color w:val="000000" w:themeColor="text1"/>
          <w:sz w:val="24"/>
          <w:szCs w:val="24"/>
        </w:rPr>
        <w:t xml:space="preserve"> </w:t>
      </w:r>
      <w:r w:rsidR="00234540" w:rsidRPr="00D11245">
        <w:rPr>
          <w:rFonts w:cstheme="minorHAnsi"/>
          <w:color w:val="000000" w:themeColor="text1"/>
          <w:sz w:val="24"/>
          <w:szCs w:val="24"/>
        </w:rPr>
        <w:t>(LIC)</w:t>
      </w:r>
      <w:r w:rsidR="00DC4A23" w:rsidRPr="00D11245">
        <w:rPr>
          <w:rFonts w:cstheme="minorHAnsi"/>
          <w:color w:val="000000" w:themeColor="text1"/>
          <w:sz w:val="24"/>
          <w:szCs w:val="24"/>
        </w:rPr>
        <w:t xml:space="preserve">, and </w:t>
      </w:r>
      <w:r w:rsidR="00DC4A23" w:rsidRPr="00D11245">
        <w:rPr>
          <w:rFonts w:cstheme="minorHAnsi"/>
          <w:color w:val="000000" w:themeColor="text1"/>
          <w:sz w:val="24"/>
          <w:szCs w:val="24"/>
        </w:rPr>
        <w:lastRenderedPageBreak/>
        <w:t>particularly in children under 5 years</w:t>
      </w:r>
      <w:r w:rsidR="00FD2281" w:rsidRPr="00D11245">
        <w:rPr>
          <w:rFonts w:cstheme="minorHAnsi"/>
          <w:color w:val="000000" w:themeColor="text1"/>
          <w:sz w:val="24"/>
          <w:szCs w:val="24"/>
        </w:rPr>
        <w:fldChar w:fldCharType="begin"/>
      </w:r>
      <w:r w:rsidR="00FD2281" w:rsidRPr="00D11245">
        <w:rPr>
          <w:rFonts w:cstheme="minorHAnsi"/>
          <w:color w:val="000000" w:themeColor="text1"/>
          <w:sz w:val="24"/>
          <w:szCs w:val="24"/>
        </w:rPr>
        <w:instrText xml:space="preserve"> ADDIN ZOTERO_ITEM CSL_CITATION {"citationID":"mcslPY3s","properties":{"formattedCitation":"\\super 9\\nosupersub{}","plainCitation":"9","noteIndex":0},"citationItems":[{"id":16577,"uris":["http://zotero.org/groups/2497994/items/DXZZJII4"],"itemData":{"id":16577,"type":"article-journal","container-title":"Acta Tropica","DOI":"10.1016/j.actatropica.2023.106866","ISSN":"0001706X","journalAbbreviation":"Acta Tropica","language":"en","page":"106866","source":"DOI.org (Crossref)","title":"Global burden and trends of the Entamoeba infection-associated diseases from 1990 to 2019: An observational trend study","title-short":"Global burden and trends of the Entamoeba infection-associated diseases from 1990 to 2019","volume":"240","author":[{"family":"Fu","given":"Xiaofang"},{"family":"Zhong","given":"Yonghong"},{"family":"Chen","given":"Liyan"},{"family":"Ge","given":"Minjie"},{"family":"Yu","given":"Min"},{"family":"Sun","given":"Yibo"},{"family":"Shen","given":"Linfeng"}],"issued":{"date-parts":[["2023",4]]}}}],"schema":"https://github.com/citation-style-language/schema/raw/master/csl-citation.json"} </w:instrText>
      </w:r>
      <w:r w:rsidR="00FD2281" w:rsidRPr="00D11245">
        <w:rPr>
          <w:rFonts w:cstheme="minorHAnsi"/>
          <w:color w:val="000000" w:themeColor="text1"/>
          <w:sz w:val="24"/>
          <w:szCs w:val="24"/>
        </w:rPr>
        <w:fldChar w:fldCharType="separate"/>
      </w:r>
      <w:r w:rsidR="00FD2281" w:rsidRPr="00D11245">
        <w:rPr>
          <w:rFonts w:ascii="Calibri" w:hAnsi="Calibri" w:cs="Calibri"/>
          <w:color w:val="000000" w:themeColor="text1"/>
          <w:kern w:val="0"/>
          <w:sz w:val="24"/>
          <w:szCs w:val="24"/>
          <w:vertAlign w:val="superscript"/>
        </w:rPr>
        <w:t>9</w:t>
      </w:r>
      <w:r w:rsidR="00FD2281" w:rsidRPr="00D11245">
        <w:rPr>
          <w:rFonts w:cstheme="minorHAnsi"/>
          <w:color w:val="000000" w:themeColor="text1"/>
          <w:sz w:val="24"/>
          <w:szCs w:val="24"/>
        </w:rPr>
        <w:fldChar w:fldCharType="end"/>
      </w:r>
      <w:r w:rsidR="00DC4A23" w:rsidRPr="00D11245">
        <w:rPr>
          <w:rFonts w:cstheme="minorHAnsi"/>
          <w:color w:val="000000" w:themeColor="text1"/>
          <w:sz w:val="24"/>
          <w:szCs w:val="24"/>
        </w:rPr>
        <w:t xml:space="preserve">, where it is a major contributor to parasitic infection-related death and morbidity </w:t>
      </w:r>
      <w:r w:rsidR="00FD2281" w:rsidRPr="00D11245">
        <w:rPr>
          <w:rFonts w:cstheme="minorHAnsi"/>
          <w:color w:val="000000" w:themeColor="text1"/>
          <w:sz w:val="24"/>
          <w:szCs w:val="24"/>
        </w:rPr>
        <w:fldChar w:fldCharType="begin"/>
      </w:r>
      <w:r w:rsidR="00FD2281" w:rsidRPr="00D11245">
        <w:rPr>
          <w:rFonts w:cstheme="minorHAnsi"/>
          <w:color w:val="000000" w:themeColor="text1"/>
          <w:sz w:val="24"/>
          <w:szCs w:val="24"/>
        </w:rPr>
        <w:instrText xml:space="preserve"> ADDIN ZOTERO_ITEM CSL_CITATION {"citationID":"dk4flxIW","properties":{"formattedCitation":"\\super 5,7\\nosupersub{}","plainCitation":"5,7","noteIndex":0},"citationItems":[{"id":16578,"uris":["http://zotero.org/groups/2497994/items/2HQHDENE"],"itemData":{"id":16578,"type":"article-journal","container-title":"The Lancet","DOI":"10.1016/S0140-6736(12)61728-0","ISSN":"01406736","issue":"9859","journalAbbreviation":"The Lancet","language":"en","page":"2095-2128","source":"DOI.org (Crossref)","title":"Global and regional mortality from 235 causes of death for 20 age groups in 1990 and 2010: a systematic analysis for the Global Burden of Disease Study 2010","title-short":"Global and regional mortality from 235 causes of death for 20 age groups in 1990 and 2010","volume":"380","author":[{"family":"Lozano","given":"Rafael"},{"family":"Naghavi","given":"Mohsen"},{"family":"Foreman","given":"Kyle"},{"family":"Lim","given":"Stephen"},{"family":"Shibuya","given":"Kenji"},{"family":"Aboyans","given":"Victor"},{"family":"Abraham","given":"Jerry"},{"family":"Adair","given":"Timothy"},{"family":"Aggarwal","given":"Rakesh"},{"family":"Ahn","given":"Stephanie Y"},{"family":"AlMazroa","given":"Mohammad A"},{"family":"Alvarado","given":"Miriam"},{"family":"Anderson","given":"H Ross"},{"family":"Anderson","given":"Laurie M"},{"family":"Andrews","given":"Kathryn G"},{"family":"Atkinson","given":"Charles"},{"family":"Baddour","given":"Larry M"},{"family":"Barker-Collo","given":"Suzanne"},{"family":"Bartels","given":"David H"},{"family":"Bell","given":"Michelle L"},{"family":"Benjamin","given":"Emelia J"},{"family":"Bennett","given":"Derrick"},{"family":"Bhalla","given":"Kavi"},{"family":"Bikbov","given":"Boris"},{"family":"Abdulhak","given":"Aref Bin"},{"family":"Birbeck","given":"Gretchen"},{"family":"Blyth","given":"Fiona"},{"family":"Bolliger","given":"Ian"},{"family":"Boufous","given":"Soufiane"},{"family":"Bucello","given":"Chiara"},{"family":"Burch","given":"Michael"},{"family":"Burney","given":"Peter"},{"family":"Carapetis","given":"Jonathan"},{"family":"Chen","given":"Honglei"},{"family":"Chou","given":"David"},{"family":"Chugh","given":"Sumeet S"},{"family":"Coffeng","given":"Luc E"},{"family":"Colan","given":"Steven D"},{"family":"Colquhoun","given":"Samantha"},{"family":"Colson","given":"K Ellicott"},{"family":"Condon","given":"John"},{"family":"Connor","given":"Myles D"},{"family":"Cooper","given":"Leslie T"},{"family":"Corriere","given":"Matthew"},{"family":"Cortinovis","given":"Monica"},{"family":"De Vaccaro","given":"Karen Courville"},{"family":"Couser","given":"William"},{"family":"Cowie","given":"Benjamin C"},{"family":"Criqui","given":"Michael H"},{"family":"Cross","given":"Marita"},{"family":"Dabhadkar","given":"Kaustubh C"},{"family":"Dahodwala","given":"Nabila"},{"family":"De Leo","given":"Diego"},{"family":"Degenhardt","given":"Louisa"},{"family":"Delossantos","given":"Allyne"},{"family":"Denenberg","given":"Julie"},{"family":"Des Jarlais","given":"Don C"},{"family":"Dharmaratne","given":"Samath D"},{"family":"Dorsey","given":"E Ray"},{"family":"Driscoll","given":"Tim"},{"family":"Duber","given":"Herbert"},{"family":"Ebel","given":"Beth"},{"family":"Erwin","given":"Patricia J"},{"family":"Espindola","given":"Patricia"},{"family":"Ezzati","given":"Majid"},{"family":"Feigin","given":"Valery"},{"family":"Flaxman","given":"Abraham D"},{"family":"Forouzanfar","given":"Mohammad H"},{"family":"Fowkes","given":"Francis Gerry R"},{"family":"Franklin","given":"Richard"},{"family":"Fransen","given":"Marlene"},{"family":"Freeman","given":"Michael K"},{"family":"Gabriel","given":"Sherine E"},{"family":"Gakidou","given":"Emmanuela"},{"family":"Gaspari","given":"Flavio"},{"family":"Gillum","given":"Richard F"},{"family":"Gonzalez-Medina","given":"Diego"},{"family":"Halasa","given":"Yara A"},{"family":"Haring","given":"Diana"},{"family":"Harrison","given":"James E"},{"family":"Havmoeller","given":"Rasmus"},{"family":"Hay","given":"Roderick J"},{"family":"Hoen","given":"Bruno"},{"family":"Hotez","given":"Peter J"},{"family":"Hoy","given":"Damian"},{"family":"Jacobsen","given":"Kathryn H"},{"family":"James","given":"Spencer L"},{"family":"Jasrasaria","given":"Rashmi"},{"family":"Jayaraman","given":"Sudha"},{"family":"Johns","given":"Nicole"},{"family":"Karthikeyan","given":"Ganesan"},{"family":"Kassebaum","given":"Nicholas"},{"family":"Keren","given":"Andre"},{"family":"Khoo","given":"Jon-Paul"},{"family":"Knowlton","given":"Lisa Marie"},{"family":"Kobusingye","given":"Olive"},{"family":"Koranteng","given":"Adofo"},{"family":"Krishnamurthi","given":"Rita"},{"family":"Lipnick","given":"Michael"},{"family":"Lipshultz","given":"Steven E"},{"family":"Ohno","given":"Summer Lockett"},{"family":"Mabweijano","given":"Jacqueline"},{"family":"MacIntyre","given":"Michael F"},{"family":"Mallinger","given":"Leslie"},{"family":"March","given":"Lyn"},{"family":"Marks","given":"Guy B"},{"family":"Marks","given":"Robin"},{"family":"Matsumori","given":"Akira"},{"family":"Matzopoulos","given":"Richard"},{"family":"Mayosi","given":"Bongani M"},{"family":"McAnulty","given":"John H"},{"family":"McDermott","given":"Mary M"},{"family":"McGrath","given":"John"},{"family":"Memish","given":"Ziad A"},{"family":"Mensah","given":"George A"},{"family":"Merriman","given":"Tony R"},{"family":"Michaud","given":"Catherine"},{"family":"Miller","given":"Matthew"},{"family":"Miller","given":"Ted R"},{"family":"Mock","given":"Charles"},{"family":"Mocumbi","given":"Ana Olga"},{"family":"Mokdad","given":"Ali A"},{"family":"Moran","given":"Andrew"},{"family":"Mulholland","given":"Kim"},{"family":"Nair","given":"M Nathan"},{"family":"Naldi","given":"Luigi"},{"family":"Narayan","given":"K M Venkat"},{"family":"Nasseri","given":"Kiumarss"},{"family":"Norman","given":"Paul"},{"family":"O'Donnell","given":"Martin"},{"family":"Omer","given":"Saad B"},{"family":"Ortblad","given":"Katrina"},{"family":"Osborne","given":"Richard"},{"family":"Ozgediz","given":"Doruk"},{"family":"Pahari","given":"Bishnu"},{"family":"Pandian","given":"Jeyaraj Durai"},{"family":"Rivero","given":"Andrea Panozo"},{"family":"Padilla","given":"Rogelio Perez"},{"family":"Perez-Ruiz","given":"Fernando"},{"family":"Perico","given":"Norberto"},{"family":"Phillips","given":"David"},{"family":"Pierce","given":"Kelsey"},{"family":"Pope","given":"C Arden"},{"family":"Porrini","given":"Esteban"},{"family":"Pourmalek","given":"Farshad"},{"family":"Raju","given":"Murugesan"},{"family":"Ranganathan","given":"Dharani"},{"family":"Rehm","given":"Jürgen T"},{"family":"Rein","given":"David B"},{"family":"Remuzzi","given":"Guiseppe"},{"family":"Rivara","given":"Frederick P"},{"family":"Roberts","given":"Thomas"},{"family":"De León","given":"Felipe Rodriguez"},{"family":"Rosenfeld","given":"Lisa C"},{"family":"Rushton","given":"Lesley"},{"family":"Sacco","given":"Ralph L"},{"family":"Salomon","given":"Joshua A"},{"family":"Sampson","given":"Uchechukwu"},{"family":"Sanman","given":"Ella"},{"family":"Schwebel","given":"David C"},{"family":"Segui-Gomez","given":"Maria"},{"family":"Shepard","given":"Donald S"},{"family":"Singh","given":"David"},{"family":"Singleton","given":"Jessica"},{"family":"Sliwa","given":"Karen"},{"family":"Smith","given":"Emma"},{"family":"Steer","given":"Andrew"},{"family":"Taylor","given":"Jennifer A"},{"family":"Thomas","given":"Bernadette"},{"family":"Tleyjeh","given":"Imad M"},{"family":"Towbin","given":"Jeffrey A"},{"family":"Truelsen","given":"Thomas"},{"family":"Undurraga","given":"Eduardo A"},{"family":"Venketasubramanian","given":"N"},{"family":"Vijayakumar","given":"Lakshmi"},{"family":"Vos","given":"Theo"},{"family":"Wagner","given":"Gregory R"},{"family":"Wang","given":"Mengru"},{"family":"Wang","given":"Wenzhi"},{"family":"Watt","given":"Kerrianne"},{"family":"Weinstock","given":"Martin A"},{"family":"Weintraub","given":"Robert"},{"family":"Wilkinson","given":"James D"},{"family":"Woolf","given":"Anthony D"},{"family":"Wulf","given":"Sarah"},{"family":"Yeh","given":"Pon-Hsiu"},{"family":"Yip","given":"Paul"},{"family":"Zabetian","given":"Azadeh"},{"family":"Zheng","given":"Zhi-Jie"},{"family":"Lopez","given":"Alan D"},{"family":"Murray","given":"Christopher Jl"}],"issued":{"date-parts":[["2012",12]]}}},{"id":1088,"uris":["http://zotero.org/groups/2497994/items/QKWRR6HN"],"itemData":{"id":1088,"type":"article-journal","container-title":"The Lancet Infectious Diseases","note":"publisher: NeLM","title":"Estimates of the global, regional, and national morbidity, mortality, and aetiologies of diarrhoea in 195 countries: a systematic analysis for the Global Burden of Disease Study 2016","URL":"https://www.thelancet.com/journals/laninf/article/PIIS1473-3099(18)30362-1/fulltext","issued":{"date-parts":[["2018",9,20]]}}}],"schema":"https://github.com/citation-style-language/schema/raw/master/csl-citation.json"} </w:instrText>
      </w:r>
      <w:r w:rsidR="00FD2281" w:rsidRPr="00D11245">
        <w:rPr>
          <w:rFonts w:cstheme="minorHAnsi"/>
          <w:color w:val="000000" w:themeColor="text1"/>
          <w:sz w:val="24"/>
          <w:szCs w:val="24"/>
        </w:rPr>
        <w:fldChar w:fldCharType="separate"/>
      </w:r>
      <w:r w:rsidR="00FD2281" w:rsidRPr="00D11245">
        <w:rPr>
          <w:rFonts w:ascii="Calibri" w:hAnsi="Calibri" w:cs="Calibri"/>
          <w:color w:val="000000" w:themeColor="text1"/>
          <w:kern w:val="0"/>
          <w:sz w:val="24"/>
          <w:szCs w:val="24"/>
          <w:vertAlign w:val="superscript"/>
        </w:rPr>
        <w:t>5,7</w:t>
      </w:r>
      <w:r w:rsidR="00FD2281" w:rsidRPr="00D11245">
        <w:rPr>
          <w:rFonts w:cstheme="minorHAnsi"/>
          <w:color w:val="000000" w:themeColor="text1"/>
          <w:sz w:val="24"/>
          <w:szCs w:val="24"/>
        </w:rPr>
        <w:fldChar w:fldCharType="end"/>
      </w:r>
      <w:r w:rsidR="00DC4A23" w:rsidRPr="00D11245">
        <w:rPr>
          <w:rFonts w:cstheme="minorHAnsi"/>
          <w:color w:val="000000" w:themeColor="text1"/>
          <w:sz w:val="24"/>
          <w:szCs w:val="24"/>
        </w:rPr>
        <w:t xml:space="preserve">. Tropical and subtropical regions of Central and South America, Asia, and Africa are the most </w:t>
      </w:r>
      <w:r w:rsidR="00CA0916" w:rsidRPr="00D11245">
        <w:rPr>
          <w:rFonts w:cstheme="minorHAnsi"/>
          <w:color w:val="000000" w:themeColor="text1"/>
          <w:sz w:val="24"/>
          <w:szCs w:val="24"/>
        </w:rPr>
        <w:t xml:space="preserve">widely </w:t>
      </w:r>
      <w:r w:rsidR="00DC4A23" w:rsidRPr="00D11245">
        <w:rPr>
          <w:rFonts w:cstheme="minorHAnsi"/>
          <w:color w:val="000000" w:themeColor="text1"/>
          <w:sz w:val="24"/>
          <w:szCs w:val="24"/>
        </w:rPr>
        <w:t xml:space="preserve">affected </w:t>
      </w:r>
      <w:r w:rsidR="00E914CB" w:rsidRPr="00D11245">
        <w:rPr>
          <w:rFonts w:cstheme="minorHAnsi"/>
          <w:color w:val="000000" w:themeColor="text1"/>
          <w:sz w:val="24"/>
          <w:szCs w:val="24"/>
        </w:rPr>
        <w:t>and</w:t>
      </w:r>
      <w:r w:rsidR="00DC4A23" w:rsidRPr="00D11245">
        <w:rPr>
          <w:rFonts w:cstheme="minorHAnsi"/>
          <w:color w:val="000000" w:themeColor="text1"/>
          <w:sz w:val="24"/>
          <w:szCs w:val="24"/>
        </w:rPr>
        <w:t xml:space="preserve"> </w:t>
      </w:r>
      <w:r w:rsidR="00CA0916" w:rsidRPr="00D11245">
        <w:rPr>
          <w:rFonts w:cstheme="minorHAnsi"/>
          <w:color w:val="000000" w:themeColor="text1"/>
          <w:sz w:val="24"/>
          <w:szCs w:val="24"/>
        </w:rPr>
        <w:t xml:space="preserve">amoebiasis is most prevalent in </w:t>
      </w:r>
      <w:r w:rsidR="00DC4A23" w:rsidRPr="00D11245">
        <w:rPr>
          <w:rFonts w:cstheme="minorHAnsi"/>
          <w:color w:val="000000" w:themeColor="text1"/>
          <w:sz w:val="24"/>
          <w:szCs w:val="24"/>
        </w:rPr>
        <w:t xml:space="preserve">Bangladesh, India, Brazil, Colombia, Mexico, and China, </w:t>
      </w:r>
      <w:r w:rsidR="00231173" w:rsidRPr="00D11245">
        <w:rPr>
          <w:rFonts w:cstheme="minorHAnsi"/>
          <w:color w:val="000000" w:themeColor="text1"/>
          <w:sz w:val="24"/>
          <w:szCs w:val="24"/>
        </w:rPr>
        <w:t xml:space="preserve">and accounts </w:t>
      </w:r>
      <w:r w:rsidR="00B72098" w:rsidRPr="00D11245">
        <w:rPr>
          <w:rFonts w:cstheme="minorHAnsi"/>
          <w:color w:val="000000" w:themeColor="text1"/>
          <w:sz w:val="24"/>
          <w:szCs w:val="24"/>
        </w:rPr>
        <w:t>for</w:t>
      </w:r>
      <w:r w:rsidR="00DC4A23" w:rsidRPr="00D11245">
        <w:rPr>
          <w:rFonts w:cstheme="minorHAnsi"/>
          <w:color w:val="000000" w:themeColor="text1"/>
          <w:sz w:val="24"/>
          <w:szCs w:val="24"/>
        </w:rPr>
        <w:t xml:space="preserve"> up to 20–40% reported </w:t>
      </w:r>
      <w:r w:rsidR="00B72098" w:rsidRPr="00D11245">
        <w:rPr>
          <w:rFonts w:cstheme="minorHAnsi"/>
          <w:color w:val="000000" w:themeColor="text1"/>
          <w:sz w:val="24"/>
          <w:szCs w:val="24"/>
        </w:rPr>
        <w:t xml:space="preserve">cases of infectious diarrhoea </w:t>
      </w:r>
      <w:r w:rsidR="00DC4A23" w:rsidRPr="00D11245">
        <w:rPr>
          <w:rFonts w:cstheme="minorHAnsi"/>
          <w:color w:val="000000" w:themeColor="text1"/>
          <w:sz w:val="24"/>
          <w:szCs w:val="24"/>
        </w:rPr>
        <w:t xml:space="preserve">in some areas of Mexico, Turkey, China, Saudi Arabia, Yemen, Egypt, and South Africa </w:t>
      </w:r>
      <w:r w:rsidR="00FD2281" w:rsidRPr="00D11245">
        <w:rPr>
          <w:rFonts w:cstheme="minorHAnsi"/>
          <w:color w:val="000000" w:themeColor="text1"/>
          <w:sz w:val="24"/>
          <w:szCs w:val="24"/>
        </w:rPr>
        <w:fldChar w:fldCharType="begin"/>
      </w:r>
      <w:r w:rsidR="00F97D1C" w:rsidRPr="00D11245">
        <w:rPr>
          <w:rFonts w:cstheme="minorHAnsi"/>
          <w:color w:val="000000" w:themeColor="text1"/>
          <w:sz w:val="24"/>
          <w:szCs w:val="24"/>
        </w:rPr>
        <w:instrText xml:space="preserve"> ADDIN ZOTERO_ITEM CSL_CITATION {"citationID":"miYob9ps","properties":{"formattedCitation":"\\super 5,6,23\\nosupersub{}","plainCitation":"5,6,23","noteIndex":0},"citationItems":[{"id":16578,"uris":["http://zotero.org/groups/2497994/items/2HQHDENE"],"itemData":{"id":16578,"type":"article-journal","container-title":"The Lancet","DOI":"10.1016/S0140-6736(12)61728-0","ISSN":"01406736","issue":"9859","journalAbbreviation":"The Lancet","language":"en","page":"2095-2128","source":"DOI.org (Crossref)","title":"Global and regional mortality from 235 causes of death for 20 age groups in 1990 and 2010: a systematic analysis for the Global Burden of Disease Study 2010","title-short":"Global and regional mortality from 235 causes of death for 20 age groups in 1990 and 2010","volume":"380","author":[{"family":"Lozano","given":"Rafael"},{"family":"Naghavi","given":"Mohsen"},{"family":"Foreman","given":"Kyle"},{"family":"Lim","given":"Stephen"},{"family":"Shibuya","given":"Kenji"},{"family":"Aboyans","given":"Victor"},{"family":"Abraham","given":"Jerry"},{"family":"Adair","given":"Timothy"},{"family":"Aggarwal","given":"Rakesh"},{"family":"Ahn","given":"Stephanie Y"},{"family":"AlMazroa","given":"Mohammad A"},{"family":"Alvarado","given":"Miriam"},{"family":"Anderson","given":"H Ross"},{"family":"Anderson","given":"Laurie M"},{"family":"Andrews","given":"Kathryn G"},{"family":"Atkinson","given":"Charles"},{"family":"Baddour","given":"Larry M"},{"family":"Barker-Collo","given":"Suzanne"},{"family":"Bartels","given":"David H"},{"family":"Bell","given":"Michelle L"},{"family":"Benjamin","given":"Emelia J"},{"family":"Bennett","given":"Derrick"},{"family":"Bhalla","given":"Kavi"},{"family":"Bikbov","given":"Boris"},{"family":"Abdulhak","given":"Aref Bin"},{"family":"Birbeck","given":"Gretchen"},{"family":"Blyth","given":"Fiona"},{"family":"Bolliger","given":"Ian"},{"family":"Boufous","given":"Soufiane"},{"family":"Bucello","given":"Chiara"},{"family":"Burch","given":"Michael"},{"family":"Burney","given":"Peter"},{"family":"Carapetis","given":"Jonathan"},{"family":"Chen","given":"Honglei"},{"family":"Chou","given":"David"},{"family":"Chugh","given":"Sumeet S"},{"family":"Coffeng","given":"Luc E"},{"family":"Colan","given":"Steven D"},{"family":"Colquhoun","given":"Samantha"},{"family":"Colson","given":"K Ellicott"},{"family":"Condon","given":"John"},{"family":"Connor","given":"Myles D"},{"family":"Cooper","given":"Leslie T"},{"family":"Corriere","given":"Matthew"},{"family":"Cortinovis","given":"Monica"},{"family":"De Vaccaro","given":"Karen Courville"},{"family":"Couser","given":"William"},{"family":"Cowie","given":"Benjamin C"},{"family":"Criqui","given":"Michael H"},{"family":"Cross","given":"Marita"},{"family":"Dabhadkar","given":"Kaustubh C"},{"family":"Dahodwala","given":"Nabila"},{"family":"De Leo","given":"Diego"},{"family":"Degenhardt","given":"Louisa"},{"family":"Delossantos","given":"Allyne"},{"family":"Denenberg","given":"Julie"},{"family":"Des Jarlais","given":"Don C"},{"family":"Dharmaratne","given":"Samath D"},{"family":"Dorsey","given":"E Ray"},{"family":"Driscoll","given":"Tim"},{"family":"Duber","given":"Herbert"},{"family":"Ebel","given":"Beth"},{"family":"Erwin","given":"Patricia J"},{"family":"Espindola","given":"Patricia"},{"family":"Ezzati","given":"Majid"},{"family":"Feigin","given":"Valery"},{"family":"Flaxman","given":"Abraham D"},{"family":"Forouzanfar","given":"Mohammad H"},{"family":"Fowkes","given":"Francis Gerry R"},{"family":"Franklin","given":"Richard"},{"family":"Fransen","given":"Marlene"},{"family":"Freeman","given":"Michael K"},{"family":"Gabriel","given":"Sherine E"},{"family":"Gakidou","given":"Emmanuela"},{"family":"Gaspari","given":"Flavio"},{"family":"Gillum","given":"Richard F"},{"family":"Gonzalez-Medina","given":"Diego"},{"family":"Halasa","given":"Yara A"},{"family":"Haring","given":"Diana"},{"family":"Harrison","given":"James E"},{"family":"Havmoeller","given":"Rasmus"},{"family":"Hay","given":"Roderick J"},{"family":"Hoen","given":"Bruno"},{"family":"Hotez","given":"Peter J"},{"family":"Hoy","given":"Damian"},{"family":"Jacobsen","given":"Kathryn H"},{"family":"James","given":"Spencer L"},{"family":"Jasrasaria","given":"Rashmi"},{"family":"Jayaraman","given":"Sudha"},{"family":"Johns","given":"Nicole"},{"family":"Karthikeyan","given":"Ganesan"},{"family":"Kassebaum","given":"Nicholas"},{"family":"Keren","given":"Andre"},{"family":"Khoo","given":"Jon-Paul"},{"family":"Knowlton","given":"Lisa Marie"},{"family":"Kobusingye","given":"Olive"},{"family":"Koranteng","given":"Adofo"},{"family":"Krishnamurthi","given":"Rita"},{"family":"Lipnick","given":"Michael"},{"family":"Lipshultz","given":"Steven E"},{"family":"Ohno","given":"Summer Lockett"},{"family":"Mabweijano","given":"Jacqueline"},{"family":"MacIntyre","given":"Michael F"},{"family":"Mallinger","given":"Leslie"},{"family":"March","given":"Lyn"},{"family":"Marks","given":"Guy B"},{"family":"Marks","given":"Robin"},{"family":"Matsumori","given":"Akira"},{"family":"Matzopoulos","given":"Richard"},{"family":"Mayosi","given":"Bongani M"},{"family":"McAnulty","given":"John H"},{"family":"McDermott","given":"Mary M"},{"family":"McGrath","given":"John"},{"family":"Memish","given":"Ziad A"},{"family":"Mensah","given":"George A"},{"family":"Merriman","given":"Tony R"},{"family":"Michaud","given":"Catherine"},{"family":"Miller","given":"Matthew"},{"family":"Miller","given":"Ted R"},{"family":"Mock","given":"Charles"},{"family":"Mocumbi","given":"Ana Olga"},{"family":"Mokdad","given":"Ali A"},{"family":"Moran","given":"Andrew"},{"family":"Mulholland","given":"Kim"},{"family":"Nair","given":"M Nathan"},{"family":"Naldi","given":"Luigi"},{"family":"Narayan","given":"K M Venkat"},{"family":"Nasseri","given":"Kiumarss"},{"family":"Norman","given":"Paul"},{"family":"O'Donnell","given":"Martin"},{"family":"Omer","given":"Saad B"},{"family":"Ortblad","given":"Katrina"},{"family":"Osborne","given":"Richard"},{"family":"Ozgediz","given":"Doruk"},{"family":"Pahari","given":"Bishnu"},{"family":"Pandian","given":"Jeyaraj Durai"},{"family":"Rivero","given":"Andrea Panozo"},{"family":"Padilla","given":"Rogelio Perez"},{"family":"Perez-Ruiz","given":"Fernando"},{"family":"Perico","given":"Norberto"},{"family":"Phillips","given":"David"},{"family":"Pierce","given":"Kelsey"},{"family":"Pope","given":"C Arden"},{"family":"Porrini","given":"Esteban"},{"family":"Pourmalek","given":"Farshad"},{"family":"Raju","given":"Murugesan"},{"family":"Ranganathan","given":"Dharani"},{"family":"Rehm","given":"Jürgen T"},{"family":"Rein","given":"David B"},{"family":"Remuzzi","given":"Guiseppe"},{"family":"Rivara","given":"Frederick P"},{"family":"Roberts","given":"Thomas"},{"family":"De León","given":"Felipe Rodriguez"},{"family":"Rosenfeld","given":"Lisa C"},{"family":"Rushton","given":"Lesley"},{"family":"Sacco","given":"Ralph L"},{"family":"Salomon","given":"Joshua A"},{"family":"Sampson","given":"Uchechukwu"},{"family":"Sanman","given":"Ella"},{"family":"Schwebel","given":"David C"},{"family":"Segui-Gomez","given":"Maria"},{"family":"Shepard","given":"Donald S"},{"family":"Singh","given":"David"},{"family":"Singleton","given":"Jessica"},{"family":"Sliwa","given":"Karen"},{"family":"Smith","given":"Emma"},{"family":"Steer","given":"Andrew"},{"family":"Taylor","given":"Jennifer A"},{"family":"Thomas","given":"Bernadette"},{"family":"Tleyjeh","given":"Imad M"},{"family":"Towbin","given":"Jeffrey A"},{"family":"Truelsen","given":"Thomas"},{"family":"Undurraga","given":"Eduardo A"},{"family":"Venketasubramanian","given":"N"},{"family":"Vijayakumar","given":"Lakshmi"},{"family":"Vos","given":"Theo"},{"family":"Wagner","given":"Gregory R"},{"family":"Wang","given":"Mengru"},{"family":"Wang","given":"Wenzhi"},{"family":"Watt","given":"Kerrianne"},{"family":"Weinstock","given":"Martin A"},{"family":"Weintraub","given":"Robert"},{"family":"Wilkinson","given":"James D"},{"family":"Woolf","given":"Anthony D"},{"family":"Wulf","given":"Sarah"},{"family":"Yeh","given":"Pon-Hsiu"},{"family":"Yip","given":"Paul"},{"family":"Zabetian","given":"Azadeh"},{"family":"Zheng","given":"Zhi-Jie"},{"family":"Lopez","given":"Alan D"},{"family":"Murray","given":"Christopher Jl"}],"issued":{"date-parts":[["2012",12]]}}},{"id":1684,"uris":["http://zotero.org/groups/2497994/items/8XTEUHWF",["http://zotero.org/groups/2497994/items/8XTEUHWF"]],"itemData":{"id":1684,"type":"article-journal","abstract":"Amebiasis, due to the pathogenic parasite Entamoeba histolytica, is a leading cause of diarrhea globally. Largely an infection of impoverished communities in developing countries, amebiasis has emerged as an important infection among returning travelers, immigrants, and men who have sex with men residing in developed countries. Severe cases can be associated with high case fatality. Polymerase chain reaction-based diagnosis is increasingly available but remains underutilized. Nitroimidazoles are currently recommended for treatment, but new drug development to treat parasitic agents is a high priority. Amebiasis should be considered before corticosteroid therapy to decrease complications. There is no effective vaccine, so prevention focuses on sanitation and access to clean water. Further understanding of parasite biology and pathogenesis will advance future targeted therapeutic and preventative strategies.Copyright © The Author(s) 2018. Published by Oxford University Press on behalf of Infectious Diseases Society of America.","container-title":"Open Forum Infectious Diseases","DOI":"10.1093/ofid/ofy161","ISSN":"2328-8957 (electronic)","issue":"7","journalAbbreviation":"Open Forum Infect. Dis.","language":"English","note":"publisher-place: United States\npublisher: Oxford University Press (E-mail: info@idsociety.org)","page":"ofy161","title":"A review of the global burden, new diagnostics, and current Therapeutics for amebiasis","volume":"5","author":[{"literal":"Shirley D.T."},{"literal":"Farr L."},{"literal":"Watanabe K."},{"literal":"Moonah S."}],"issued":{"date-parts":[["2018"]]}}},{"id":16644,"uris":["http://zotero.org/groups/2497994/items/GE9XIW9X"],"itemData":{"id":16644,"type":"article-journal","container-title":"Journal of Infection and Public Health","DOI":"10.1016/j.jiph.2022.08.013","ISSN":"18760341","issue":"10","journalAbbreviation":"Journal of Infection and Public Health","language":"en","page":"1134-1141","source":"DOI.org (Crossref)","title":"Updates on the worldwide burden of amoebiasis: A case series and literature review","title-short":"Updates on the worldwide burden of amoebiasis","volume":"15","author":[{"family":"Nasrallah","given":"Jade"},{"family":"Akhoundi","given":"Mohammad"},{"family":"Haouchine","given":"Djamel"},{"family":"Marteau","given":"Anthony"},{"family":"Mantelet","given":"Stéphane"},{"family":"Wind","given":"Philippe"},{"family":"Benamouzig","given":"Robert"},{"family":"Bouchaud","given":"Olivier"},{"family":"Dhote","given":"Robin"},{"family":"Izri","given":"Arezki"}],"issued":{"date-parts":[["2022",10]]}}}],"schema":"https://github.com/citation-style-language/schema/raw/master/csl-citation.json"} </w:instrText>
      </w:r>
      <w:r w:rsidR="00FD2281" w:rsidRPr="00D11245">
        <w:rPr>
          <w:rFonts w:cstheme="minorHAnsi"/>
          <w:color w:val="000000" w:themeColor="text1"/>
          <w:sz w:val="24"/>
          <w:szCs w:val="24"/>
        </w:rPr>
        <w:fldChar w:fldCharType="separate"/>
      </w:r>
      <w:r w:rsidR="00F97D1C" w:rsidRPr="00D11245">
        <w:rPr>
          <w:rFonts w:ascii="Calibri" w:hAnsi="Calibri" w:cs="Calibri"/>
          <w:color w:val="000000" w:themeColor="text1"/>
          <w:kern w:val="0"/>
          <w:sz w:val="24"/>
          <w:vertAlign w:val="superscript"/>
        </w:rPr>
        <w:t>5,6,23</w:t>
      </w:r>
      <w:r w:rsidR="00FD2281" w:rsidRPr="00D11245">
        <w:rPr>
          <w:rFonts w:cstheme="minorHAnsi"/>
          <w:color w:val="000000" w:themeColor="text1"/>
          <w:sz w:val="24"/>
          <w:szCs w:val="24"/>
        </w:rPr>
        <w:fldChar w:fldCharType="end"/>
      </w:r>
      <w:r w:rsidR="00DC4A23" w:rsidRPr="00D11245">
        <w:rPr>
          <w:rFonts w:cstheme="minorHAnsi"/>
          <w:color w:val="000000" w:themeColor="text1"/>
          <w:sz w:val="24"/>
          <w:szCs w:val="24"/>
        </w:rPr>
        <w:t xml:space="preserve">. </w:t>
      </w:r>
    </w:p>
    <w:p w14:paraId="4827B827" w14:textId="78F50164" w:rsidR="00DC4A23" w:rsidRPr="00D11245" w:rsidRDefault="007845A1" w:rsidP="00DC4A23">
      <w:pPr>
        <w:jc w:val="both"/>
        <w:rPr>
          <w:rFonts w:cstheme="minorHAnsi"/>
          <w:color w:val="000000" w:themeColor="text1"/>
          <w:sz w:val="24"/>
          <w:szCs w:val="24"/>
        </w:rPr>
      </w:pPr>
      <w:r w:rsidRPr="00D11245">
        <w:rPr>
          <w:rFonts w:cstheme="minorHAnsi"/>
          <w:color w:val="000000" w:themeColor="text1"/>
          <w:sz w:val="24"/>
          <w:szCs w:val="24"/>
        </w:rPr>
        <w:t xml:space="preserve">Globally, </w:t>
      </w:r>
      <w:r w:rsidR="00F97D1C" w:rsidRPr="00D11245">
        <w:rPr>
          <w:rFonts w:cstheme="minorHAnsi"/>
          <w:color w:val="000000" w:themeColor="text1"/>
          <w:sz w:val="24"/>
          <w:szCs w:val="24"/>
        </w:rPr>
        <w:t>morbidity</w:t>
      </w:r>
      <w:r w:rsidRPr="00D11245">
        <w:rPr>
          <w:rFonts w:cstheme="minorHAnsi"/>
          <w:color w:val="000000" w:themeColor="text1"/>
          <w:sz w:val="24"/>
          <w:szCs w:val="24"/>
        </w:rPr>
        <w:t xml:space="preserve"> due to amoebiasis, measured by disability-adjusted life years (DALY), has decreased over the past 30 years due to improved sanitation and medication. However, there has been an interesting trend in high-income countries (HIC), such as North America and Australia, where DALY lost to amoebiasis ha</w:t>
      </w:r>
      <w:r w:rsidR="00F97D1C" w:rsidRPr="00D11245">
        <w:rPr>
          <w:rFonts w:cstheme="minorHAnsi"/>
          <w:color w:val="000000" w:themeColor="text1"/>
          <w:sz w:val="24"/>
          <w:szCs w:val="24"/>
        </w:rPr>
        <w:t>ve</w:t>
      </w:r>
      <w:r w:rsidRPr="00D11245">
        <w:rPr>
          <w:rFonts w:cstheme="minorHAnsi"/>
          <w:color w:val="000000" w:themeColor="text1"/>
          <w:sz w:val="24"/>
          <w:szCs w:val="24"/>
        </w:rPr>
        <w:t xml:space="preserve"> increased. This rise is attributed to factors like migration and travel, which have introduced the disease into regions where it was previously uncommon </w:t>
      </w:r>
      <w:r w:rsidR="00FD2281" w:rsidRPr="00D11245">
        <w:rPr>
          <w:rFonts w:cstheme="minorHAnsi"/>
          <w:color w:val="000000" w:themeColor="text1"/>
          <w:sz w:val="24"/>
          <w:szCs w:val="24"/>
        </w:rPr>
        <w:fldChar w:fldCharType="begin"/>
      </w:r>
      <w:r w:rsidR="00C9795E" w:rsidRPr="00D11245">
        <w:rPr>
          <w:rFonts w:cstheme="minorHAnsi"/>
          <w:color w:val="000000" w:themeColor="text1"/>
          <w:sz w:val="24"/>
          <w:szCs w:val="24"/>
        </w:rPr>
        <w:instrText xml:space="preserve"> ADDIN ZOTERO_ITEM CSL_CITATION {"citationID":"75wpgWFL","properties":{"formattedCitation":"\\super 9\\nosupersub{}","plainCitation":"9","noteIndex":0},"citationItems":[{"id":16577,"uris":["http://zotero.org/groups/2497994/items/DXZZJII4"],"itemData":{"id":16577,"type":"article-journal","container-title":"Acta Tropica","DOI":"10.1016/j.actatropica.2023.106866","ISSN":"0001706X","journalAbbreviation":"Acta Tropica","language":"en","page":"106866","source":"DOI.org (Crossref)","title":"Global burden and trends of the Entamoeba infection-associated diseases from 1990 to 2019: An observational trend study","title-short":"Global burden and trends of the Entamoeba infection-associated diseases from 1990 to 2019","volume":"240","author":[{"family":"Fu","given":"Xiaofang"},{"family":"Zhong","given":"Yonghong"},{"family":"Chen","given":"Liyan"},{"family":"Ge","given":"Minjie"},{"family":"Yu","given":"Min"},{"family":"Sun","given":"Yibo"},{"family":"Shen","given":"Linfeng"}],"issued":{"date-parts":[["2023",4]]}}}],"schema":"https://github.com/citation-style-language/schema/raw/master/csl-citation.json"} </w:instrText>
      </w:r>
      <w:r w:rsidR="00FD2281" w:rsidRPr="00D11245">
        <w:rPr>
          <w:rFonts w:cstheme="minorHAnsi"/>
          <w:color w:val="000000" w:themeColor="text1"/>
          <w:sz w:val="24"/>
          <w:szCs w:val="24"/>
        </w:rPr>
        <w:fldChar w:fldCharType="separate"/>
      </w:r>
      <w:r w:rsidR="00C9795E" w:rsidRPr="00D11245">
        <w:rPr>
          <w:rFonts w:ascii="Calibri" w:hAnsi="Calibri" w:cs="Calibri"/>
          <w:color w:val="000000" w:themeColor="text1"/>
          <w:kern w:val="0"/>
          <w:sz w:val="24"/>
          <w:szCs w:val="24"/>
          <w:vertAlign w:val="superscript"/>
        </w:rPr>
        <w:t>9</w:t>
      </w:r>
      <w:r w:rsidR="00FD2281" w:rsidRPr="00D11245">
        <w:rPr>
          <w:rFonts w:cstheme="minorHAnsi"/>
          <w:color w:val="000000" w:themeColor="text1"/>
          <w:sz w:val="24"/>
          <w:szCs w:val="24"/>
        </w:rPr>
        <w:fldChar w:fldCharType="end"/>
      </w:r>
      <w:r w:rsidR="00DC4A23" w:rsidRPr="00D11245">
        <w:rPr>
          <w:rFonts w:cstheme="minorHAnsi"/>
          <w:color w:val="000000" w:themeColor="text1"/>
          <w:sz w:val="24"/>
          <w:szCs w:val="24"/>
        </w:rPr>
        <w:t xml:space="preserve">. In the UK, </w:t>
      </w:r>
      <w:r w:rsidR="00DC4A23" w:rsidRPr="00D11245">
        <w:rPr>
          <w:rFonts w:cstheme="minorHAnsi"/>
          <w:i/>
          <w:iCs/>
          <w:color w:val="000000" w:themeColor="text1"/>
          <w:sz w:val="24"/>
          <w:szCs w:val="24"/>
        </w:rPr>
        <w:t xml:space="preserve">E. histolytica </w:t>
      </w:r>
      <w:r w:rsidR="00DC4A23" w:rsidRPr="00D11245">
        <w:rPr>
          <w:rFonts w:cstheme="minorHAnsi"/>
          <w:color w:val="000000" w:themeColor="text1"/>
          <w:sz w:val="24"/>
          <w:szCs w:val="24"/>
        </w:rPr>
        <w:t xml:space="preserve">infection is notifiable by laboratories under the Health Protection Regulations (2010) </w:t>
      </w:r>
      <w:r w:rsidR="00FD2281" w:rsidRPr="00D11245">
        <w:rPr>
          <w:rFonts w:cstheme="minorHAnsi"/>
          <w:color w:val="000000" w:themeColor="text1"/>
          <w:sz w:val="24"/>
          <w:szCs w:val="24"/>
        </w:rPr>
        <w:fldChar w:fldCharType="begin"/>
      </w:r>
      <w:r w:rsidR="009C3E63" w:rsidRPr="00D11245">
        <w:rPr>
          <w:rFonts w:cstheme="minorHAnsi"/>
          <w:color w:val="000000" w:themeColor="text1"/>
          <w:sz w:val="24"/>
          <w:szCs w:val="24"/>
        </w:rPr>
        <w:instrText xml:space="preserve"> ADDIN ZOTERO_ITEM CSL_CITATION {"citationID":"2A9Ee5H4","properties":{"formattedCitation":"\\super 25\\nosupersub{}","plainCitation":"25","noteIndex":0},"citationItems":[{"id":16641,"uris":["http://zotero.org/groups/2497994/items/LH7SVTKN"],"itemData":{"id":16641,"type":"post-weblog","title":"UK Health Protection (Notification) Regulations 2010, https://www.legislation.gov.uk/uksi/2010/659","author":[{"family":"UK Health Security Agency","given":""}]}}],"schema":"https://github.com/citation-style-language/schema/raw/master/csl-citation.json"} </w:instrText>
      </w:r>
      <w:r w:rsidR="00FD2281" w:rsidRPr="00D11245">
        <w:rPr>
          <w:rFonts w:cstheme="minorHAnsi"/>
          <w:color w:val="000000" w:themeColor="text1"/>
          <w:sz w:val="24"/>
          <w:szCs w:val="24"/>
        </w:rPr>
        <w:fldChar w:fldCharType="separate"/>
      </w:r>
      <w:r w:rsidR="009C3E63" w:rsidRPr="00D11245">
        <w:rPr>
          <w:rFonts w:ascii="Calibri" w:hAnsi="Calibri" w:cs="Calibri"/>
          <w:color w:val="000000" w:themeColor="text1"/>
          <w:kern w:val="0"/>
          <w:sz w:val="24"/>
          <w:vertAlign w:val="superscript"/>
        </w:rPr>
        <w:t>25</w:t>
      </w:r>
      <w:r w:rsidR="00FD2281" w:rsidRPr="00D11245">
        <w:rPr>
          <w:rFonts w:cstheme="minorHAnsi"/>
          <w:color w:val="000000" w:themeColor="text1"/>
          <w:sz w:val="24"/>
          <w:szCs w:val="24"/>
        </w:rPr>
        <w:fldChar w:fldCharType="end"/>
      </w:r>
      <w:r w:rsidR="00DC4A23" w:rsidRPr="00D11245">
        <w:rPr>
          <w:rFonts w:cstheme="minorHAnsi"/>
          <w:color w:val="000000" w:themeColor="text1"/>
          <w:sz w:val="24"/>
          <w:szCs w:val="24"/>
        </w:rPr>
        <w:t xml:space="preserve">, and approximately 100 infections are reported every year which likely </w:t>
      </w:r>
      <w:r w:rsidR="0021127A" w:rsidRPr="00D11245">
        <w:rPr>
          <w:rFonts w:cstheme="minorHAnsi"/>
          <w:color w:val="000000" w:themeColor="text1"/>
          <w:sz w:val="24"/>
          <w:szCs w:val="24"/>
        </w:rPr>
        <w:t>underrepresents</w:t>
      </w:r>
      <w:r w:rsidR="00DC4A23" w:rsidRPr="00D11245">
        <w:rPr>
          <w:rFonts w:cstheme="minorHAnsi"/>
          <w:color w:val="000000" w:themeColor="text1"/>
          <w:sz w:val="24"/>
          <w:szCs w:val="24"/>
        </w:rPr>
        <w:t xml:space="preserve"> the true prevalence</w:t>
      </w:r>
      <w:r w:rsidR="00922373" w:rsidRPr="00D11245">
        <w:rPr>
          <w:rFonts w:cstheme="minorHAnsi"/>
          <w:color w:val="000000" w:themeColor="text1"/>
          <w:sz w:val="24"/>
          <w:szCs w:val="24"/>
        </w:rPr>
        <w:t xml:space="preserve"> </w:t>
      </w:r>
      <w:r w:rsidR="00922373" w:rsidRPr="00D11245">
        <w:rPr>
          <w:rFonts w:cstheme="minorHAnsi"/>
          <w:color w:val="000000" w:themeColor="text1"/>
          <w:sz w:val="24"/>
          <w:szCs w:val="24"/>
        </w:rPr>
        <w:fldChar w:fldCharType="begin"/>
      </w:r>
      <w:r w:rsidR="009C3E63" w:rsidRPr="00D11245">
        <w:rPr>
          <w:rFonts w:cstheme="minorHAnsi"/>
          <w:color w:val="000000" w:themeColor="text1"/>
          <w:sz w:val="24"/>
          <w:szCs w:val="24"/>
        </w:rPr>
        <w:instrText xml:space="preserve"> ADDIN ZOTERO_ITEM CSL_CITATION {"citationID":"5UQLc5U1","properties":{"formattedCitation":"\\super 26\\nosupersub{}","plainCitation":"26","noteIndex":0},"citationItems":[{"id":16718,"uris":["http://zotero.org/groups/2497994/items/HLRDMEMQ"],"itemData":{"id":16718,"type":"article-journal","title":"Interim Public Health Operational Guidelines for Amoebiasis v1.0","URL":"https://assets.publishing.service.gov.uk/media/5c5d6557e5274a318116c42d/Interim_Public_Health_Operational_Guidelines_for_Amoebiasis.pdf","author":[{"family":"Public Health England","given":""}],"issued":{"date-parts":[["2017"]]}}}],"schema":"https://github.com/citation-style-language/schema/raw/master/csl-citation.json"} </w:instrText>
      </w:r>
      <w:r w:rsidR="00922373" w:rsidRPr="00D11245">
        <w:rPr>
          <w:rFonts w:cstheme="minorHAnsi"/>
          <w:color w:val="000000" w:themeColor="text1"/>
          <w:sz w:val="24"/>
          <w:szCs w:val="24"/>
        </w:rPr>
        <w:fldChar w:fldCharType="separate"/>
      </w:r>
      <w:r w:rsidR="009C3E63" w:rsidRPr="00D11245">
        <w:rPr>
          <w:rFonts w:ascii="Calibri" w:hAnsi="Calibri" w:cs="Calibri"/>
          <w:color w:val="000000" w:themeColor="text1"/>
          <w:kern w:val="0"/>
          <w:sz w:val="24"/>
          <w:vertAlign w:val="superscript"/>
        </w:rPr>
        <w:t>26</w:t>
      </w:r>
      <w:r w:rsidR="00922373" w:rsidRPr="00D11245">
        <w:rPr>
          <w:rFonts w:cstheme="minorHAnsi"/>
          <w:color w:val="000000" w:themeColor="text1"/>
          <w:sz w:val="24"/>
          <w:szCs w:val="24"/>
        </w:rPr>
        <w:fldChar w:fldCharType="end"/>
      </w:r>
      <w:r w:rsidR="00DC4A23" w:rsidRPr="00D11245">
        <w:rPr>
          <w:rFonts w:cstheme="minorHAnsi"/>
          <w:color w:val="000000" w:themeColor="text1"/>
          <w:sz w:val="24"/>
          <w:szCs w:val="24"/>
        </w:rPr>
        <w:t xml:space="preserve">. The </w:t>
      </w:r>
      <w:proofErr w:type="spellStart"/>
      <w:r w:rsidR="00DC4A23" w:rsidRPr="00D11245">
        <w:rPr>
          <w:rFonts w:cstheme="minorHAnsi"/>
          <w:color w:val="000000" w:themeColor="text1"/>
          <w:sz w:val="24"/>
          <w:szCs w:val="24"/>
        </w:rPr>
        <w:t>GeoSentinel</w:t>
      </w:r>
      <w:proofErr w:type="spellEnd"/>
      <w:r w:rsidR="00DC4A23" w:rsidRPr="00D11245">
        <w:rPr>
          <w:rFonts w:cstheme="minorHAnsi"/>
          <w:color w:val="000000" w:themeColor="text1"/>
          <w:sz w:val="24"/>
          <w:szCs w:val="24"/>
        </w:rPr>
        <w:t xml:space="preserve"> Surveillance Network data indicate that </w:t>
      </w:r>
      <w:r w:rsidR="00DC4A23" w:rsidRPr="00D11245">
        <w:rPr>
          <w:rFonts w:cstheme="minorHAnsi"/>
          <w:i/>
          <w:iCs/>
          <w:color w:val="000000" w:themeColor="text1"/>
          <w:sz w:val="24"/>
          <w:szCs w:val="24"/>
        </w:rPr>
        <w:t>E. histolytica</w:t>
      </w:r>
      <w:r w:rsidR="00DC4A23" w:rsidRPr="00D11245">
        <w:rPr>
          <w:rFonts w:cstheme="minorHAnsi"/>
          <w:color w:val="000000" w:themeColor="text1"/>
          <w:sz w:val="24"/>
          <w:szCs w:val="24"/>
        </w:rPr>
        <w:t xml:space="preserve"> is the third most commonly isolated infection globally among returning tourists who suffer from gastrointestinal disorders, responsible for between 0.3-10% of cases of diarrhoea experienced by visitors </w:t>
      </w:r>
      <w:r w:rsidR="00C9795E" w:rsidRPr="00D11245">
        <w:rPr>
          <w:rFonts w:cstheme="minorHAnsi"/>
          <w:color w:val="000000" w:themeColor="text1"/>
          <w:sz w:val="24"/>
          <w:szCs w:val="24"/>
        </w:rPr>
        <w:fldChar w:fldCharType="begin"/>
      </w:r>
      <w:r w:rsidR="009C3E63" w:rsidRPr="00D11245">
        <w:rPr>
          <w:rFonts w:cstheme="minorHAnsi"/>
          <w:color w:val="000000" w:themeColor="text1"/>
          <w:sz w:val="24"/>
          <w:szCs w:val="24"/>
        </w:rPr>
        <w:instrText xml:space="preserve"> ADDIN ZOTERO_ITEM CSL_CITATION {"citationID":"NWcPcM7s","properties":{"formattedCitation":"\\super 27\\nosupersub{}","plainCitation":"27","noteIndex":0},"citationItems":[{"id":16639,"uris":["http://zotero.org/groups/2497994/items/2L63JCZ8"],"itemData":{"id":16639,"type":"article-journal","container-title":"Annals of Internal Medicine","DOI":"10.7326/0003-4819-158-6-201303190-00005","ISSN":"0003-4819","issue":"6","journalAbbreviation":"Ann Intern Med","language":"en","page":"456","source":"DOI.org (Crossref)","title":"GeoSentinel Surveillance of Illness in Returned Travelers, 2007–2011","volume":"158","author":[{"family":"Leder","given":"Karin"}],"issued":{"date-parts":[["2013",3,19]]}}}],"schema":"https://github.com/citation-style-language/schema/raw/master/csl-citation.json"} </w:instrText>
      </w:r>
      <w:r w:rsidR="00C9795E" w:rsidRPr="00D11245">
        <w:rPr>
          <w:rFonts w:cstheme="minorHAnsi"/>
          <w:color w:val="000000" w:themeColor="text1"/>
          <w:sz w:val="24"/>
          <w:szCs w:val="24"/>
        </w:rPr>
        <w:fldChar w:fldCharType="separate"/>
      </w:r>
      <w:r w:rsidR="009C3E63" w:rsidRPr="00D11245">
        <w:rPr>
          <w:rFonts w:ascii="Calibri" w:hAnsi="Calibri" w:cs="Calibri"/>
          <w:color w:val="000000" w:themeColor="text1"/>
          <w:kern w:val="0"/>
          <w:sz w:val="24"/>
          <w:vertAlign w:val="superscript"/>
        </w:rPr>
        <w:t>27</w:t>
      </w:r>
      <w:r w:rsidR="00C9795E" w:rsidRPr="00D11245">
        <w:rPr>
          <w:rFonts w:cstheme="minorHAnsi"/>
          <w:color w:val="000000" w:themeColor="text1"/>
          <w:sz w:val="24"/>
          <w:szCs w:val="24"/>
        </w:rPr>
        <w:fldChar w:fldCharType="end"/>
      </w:r>
      <w:r w:rsidR="00DC4A23" w:rsidRPr="00D11245">
        <w:rPr>
          <w:rFonts w:cstheme="minorHAnsi"/>
          <w:color w:val="000000" w:themeColor="text1"/>
          <w:sz w:val="24"/>
          <w:szCs w:val="24"/>
        </w:rPr>
        <w:t xml:space="preserve">. </w:t>
      </w:r>
    </w:p>
    <w:p w14:paraId="36D09ACB" w14:textId="6A554837" w:rsidR="00DC4A23" w:rsidRPr="00D11245" w:rsidRDefault="00DC4A23" w:rsidP="00DC4A23">
      <w:pPr>
        <w:jc w:val="both"/>
        <w:rPr>
          <w:rFonts w:cstheme="minorHAnsi"/>
          <w:color w:val="000000" w:themeColor="text1"/>
          <w:sz w:val="24"/>
          <w:szCs w:val="24"/>
        </w:rPr>
      </w:pPr>
      <w:r w:rsidRPr="00D11245">
        <w:rPr>
          <w:rFonts w:cstheme="minorHAnsi"/>
          <w:color w:val="000000" w:themeColor="text1"/>
          <w:sz w:val="24"/>
          <w:szCs w:val="24"/>
        </w:rPr>
        <w:t xml:space="preserve">Travel to an endemic area most often precedes infection, with 50% of infections in USA </w:t>
      </w:r>
      <w:r w:rsidR="0021127A" w:rsidRPr="00D11245">
        <w:rPr>
          <w:rFonts w:cstheme="minorHAnsi"/>
          <w:color w:val="000000" w:themeColor="text1"/>
          <w:sz w:val="24"/>
          <w:szCs w:val="24"/>
        </w:rPr>
        <w:t>occurring in</w:t>
      </w:r>
      <w:r w:rsidRPr="00D11245">
        <w:rPr>
          <w:rFonts w:cstheme="minorHAnsi"/>
          <w:color w:val="000000" w:themeColor="text1"/>
          <w:sz w:val="24"/>
          <w:szCs w:val="24"/>
        </w:rPr>
        <w:t xml:space="preserve"> migrants from Mexico, Central and South America, India and Pakistan </w:t>
      </w:r>
      <w:r w:rsidR="00C9795E" w:rsidRPr="00D11245">
        <w:rPr>
          <w:rFonts w:cstheme="minorHAnsi"/>
          <w:color w:val="000000" w:themeColor="text1"/>
          <w:sz w:val="24"/>
          <w:szCs w:val="24"/>
        </w:rPr>
        <w:fldChar w:fldCharType="begin"/>
      </w:r>
      <w:r w:rsidR="009C3E63" w:rsidRPr="00D11245">
        <w:rPr>
          <w:rFonts w:cstheme="minorHAnsi"/>
          <w:color w:val="000000" w:themeColor="text1"/>
          <w:sz w:val="24"/>
          <w:szCs w:val="24"/>
        </w:rPr>
        <w:instrText xml:space="preserve"> ADDIN ZOTERO_ITEM CSL_CITATION {"citationID":"2yaOVvQu","properties":{"formattedCitation":"\\super 28\\uc0\\u8211{}30\\nosupersub{}","plainCitation":"28–30","noteIndex":0},"citationItems":[{"id":2127,"uris":["http://zotero.org/groups/2497994/items/98MNWH3V",["http://zotero.org/groups/2497994/items/98MNWH3V"]],"itemData":{"id":2127,"type":"article-journal","abstract":"Amoebic colitis, caused by ingestion of water or food contaminated with the protozoan Entamoeba histolytica, can progress to a fulminant colitis. Computed tomography (CT) findings reported in the literature on this type of colitis are sparse. We present a 59-year-old male patient with a one-week history of progressive abdominal pain, abdominal distension and associated watery and bloody diarrhoea. A CT scan revealed deep ulcerations with submucosal and intramural tracking of contrast. Colonoscopy and biopsy confirmed a diagnosis of Amoebic colitis. The patient required a laparotomy and demised. Deep ulcerations with submucosal and intramural tracking of contrast on CT are diagnostic of fulminant amoebic colitis. Although not demonstrated at CT in this case, discontinuous bowel necrosis, omental wrapping (seen at laparotomy in our case) and neovascularisation of the bowel wall may be other features to look out for.","container-title":"Sa Journal of Radiology","DOI":"10.4102/sajr.v22i1.1354","ISSN":"1027-202X","issue":"1","note":"WOS:000456514500001","page":"a1354","title":"Fulminant amoebic colitis in the era of computed tomography scan: A case report and review of the literature","volume":"22","author":[{"family":"Kinoo","given":"Suman Mewa"},{"family":"Ramkelawon","given":"Vikesh V."},{"family":"Maharajh","given":"Jaynund"},{"family":"Singh","given":"Bugwan"}],"issued":{"date-parts":[["2018",8,15]]}}},{"id":2200,"uris":["http://zotero.org/groups/2497994/items/ZIQK79Q3",["http://zotero.org/groups/2497994/items/ZIQK79Q3"]],"itemData":{"id":2200,"type":"article-journal","abstract":"Entamoeba histolytica is the responsible parasite of amoebiasis and remains one of the top three parasitic causes of mortality worldwide. With increased travel and emigration to developed countries, infection is becoming more common in nonendemic areas. Although the majority of individuals infected with E. histolytica remain asymptomatic, some present with amoebic colitis and disseminated disease. As more is learned about its pathogenesis and the host's immune response, the potential for developing a vaccine holds promise. This narrative review outlines the current knowledge regarding E. histolytica and E. dispar and insight in the development of a vaccine.Copyright © 2018 Micaella Kantor et al.","container-title":"Canadian Journal of Gastroenterology and Hepatology","DOI":"10.1155/2018/4601420","ISSN":"2291-2789","issue":"(Kantor, Abrantes, Estevez, Schiller, Torrent, Gascon, Hernandez) Kendall Regional Medical Center, Miami, FL, United States","journalAbbreviation":"Can. J. Gastroenterol. Hepatol.","language":"English","note":"publisher-place: United States\npublisher: Hindawi Limited (410 Park Avenue, 15th Floor, 287 pmb, New York NY 10022, United States)","page":"4601420","title":"Entamoeba Histolytica: Updates in Clinical Manifestation, Pathogenesis, and Vaccine Development","volume":"2018","author":[{"literal":"Kantor M."},{"literal":"Abrantes A."},{"literal":"Estevez A."},{"literal":"Schiller A."},{"literal":"Torrent J."},{"literal":"Gascon J."},{"literal":"Hernandez R."},{"literal":"Ochner C."}],"issued":{"date-parts":[["2018"]]}}},{"id":1241,"uris":["http://zotero.org/groups/2497994/items/YNH7QVVR",["http://zotero.org/groups/2497994/items/YNH7QVVR"]],"itemData":{"id":1241,"type":"article-journal","container-title":"JAAD Case Reports","DOI":"10.1016/j.jdcr.2017.07.020","ISSN":"2352-5126 (electronic)","issue":"6","journalAbbreviation":"JAAD Case Rep.","language":"English","note":"publisher-place: United States\npublisher: Elsevier Inc","page":"553-555","title":"Massive perianal ulceration: Entamoeba histolytica and Candida albicans co-infection","volume":"3","author":[{"literal":"Davis M.J."},{"literal":"Templeton S.F."},{"literal":"Dickensheets D.L."},{"literal":"Gross A.S."}],"issued":{"date-parts":[["2017"]]}}}],"schema":"https://github.com/citation-style-language/schema/raw/master/csl-citation.json"} </w:instrText>
      </w:r>
      <w:r w:rsidR="00C9795E" w:rsidRPr="00D11245">
        <w:rPr>
          <w:rFonts w:cstheme="minorHAnsi"/>
          <w:color w:val="000000" w:themeColor="text1"/>
          <w:sz w:val="24"/>
          <w:szCs w:val="24"/>
        </w:rPr>
        <w:fldChar w:fldCharType="separate"/>
      </w:r>
      <w:r w:rsidR="009C3E63" w:rsidRPr="00D11245">
        <w:rPr>
          <w:rFonts w:ascii="Calibri" w:hAnsi="Calibri" w:cs="Calibri"/>
          <w:color w:val="000000" w:themeColor="text1"/>
          <w:kern w:val="0"/>
          <w:sz w:val="24"/>
          <w:vertAlign w:val="superscript"/>
        </w:rPr>
        <w:t>28–30</w:t>
      </w:r>
      <w:r w:rsidR="00C9795E" w:rsidRPr="00D11245">
        <w:rPr>
          <w:rFonts w:cstheme="minorHAnsi"/>
          <w:color w:val="000000" w:themeColor="text1"/>
          <w:sz w:val="24"/>
          <w:szCs w:val="24"/>
        </w:rPr>
        <w:fldChar w:fldCharType="end"/>
      </w:r>
      <w:r w:rsidRPr="00D11245">
        <w:rPr>
          <w:rFonts w:cstheme="minorHAnsi"/>
          <w:color w:val="000000" w:themeColor="text1"/>
          <w:sz w:val="24"/>
          <w:szCs w:val="24"/>
        </w:rPr>
        <w:t>. Similarly in Spain, 46% of infections occurred in migrants and 56% had travelled to an endemic area, most often the Indian subcontinent, South or Central America and sub-Saharan Africa, with travel durations ranging from under 15 days to over 90 days, and symptoms commonly developing after, and not during, the travel period</w:t>
      </w:r>
      <w:r w:rsidR="00B72098" w:rsidRPr="00D11245">
        <w:rPr>
          <w:rFonts w:cstheme="minorHAnsi"/>
          <w:color w:val="000000" w:themeColor="text1"/>
          <w:sz w:val="24"/>
          <w:szCs w:val="24"/>
        </w:rPr>
        <w:t xml:space="preserve">, </w:t>
      </w:r>
      <w:r w:rsidRPr="00D11245">
        <w:rPr>
          <w:rFonts w:cstheme="minorHAnsi"/>
          <w:color w:val="000000" w:themeColor="text1"/>
          <w:sz w:val="24"/>
          <w:szCs w:val="24"/>
        </w:rPr>
        <w:t xml:space="preserve">sometimes developing months or years after exposure </w:t>
      </w:r>
      <w:r w:rsidR="00C9795E" w:rsidRPr="00D11245">
        <w:rPr>
          <w:rFonts w:cstheme="minorHAnsi"/>
          <w:color w:val="000000" w:themeColor="text1"/>
          <w:sz w:val="24"/>
          <w:szCs w:val="24"/>
        </w:rPr>
        <w:fldChar w:fldCharType="begin"/>
      </w:r>
      <w:r w:rsidR="009C3E63" w:rsidRPr="00D11245">
        <w:rPr>
          <w:rFonts w:cstheme="minorHAnsi"/>
          <w:color w:val="000000" w:themeColor="text1"/>
          <w:sz w:val="24"/>
          <w:szCs w:val="24"/>
        </w:rPr>
        <w:instrText xml:space="preserve"> ADDIN ZOTERO_ITEM CSL_CITATION {"citationID":"0TSK3sGm","properties":{"formattedCitation":"\\super 31\\nosupersub{}","plainCitation":"31","noteIndex":0},"citationItems":[{"id":1899,"uris":["http://zotero.org/groups/2497994/items/WRZSZ6VD",["http://zotero.org/groups/2497994/items/WRZSZ6VD"]],"itemData":{"id":1899,"type":"article-journal","abstract":"Background Amoebic colitis is the most frequent clinical manifestation of invasive intestinal infection due to Entamoeba histolytica and a common cause of diarrhoea worldwide. Since higher transmission rates are usually related to poor health and exposure to unhygienic conditions, cases reported in Europe usually involve immigrants and international travellers. The goal of this study was to characterise both the clinical and the epidemiological features of a European population diagnosed with amoebic colitis and then to evaluate the diagnostic tools and therapeutic options applied. Methods and results This was a retrospective observational study in which data from all patients diagnosed with amoebic colitis attending at the International Health Units of two tertiary referral hospitals, Germans Trias i Pujol University Hospital (Badalona, North Barcelona Metropolitan Area) and Vall d'Hebron University Hospital (Barcelona city) between 2007 and 2017 were analysed. During the study period 50 patients were diagnosed with amoebic colitis. Thirty-six (72%) were men, and immigrants accounted for 46% of all cases. Antecedents of any international travel were reported for 28 (56%), the most frequent destinations having been the Indian subcontinent, South and Central America and sub-Saharan Africa. Preexisting pathological conditions or any kind of immunosuppression were identified in 29 (58%) patients; of these, 13 (26%) had HIV infection-all of them men who have sex with men-and 5 (10%) had inflammatory bowel disease. Diarrhoea, abdominal pain and dysentery were the most frequently recorded symptoms of invasive amoebae. Diagnosis was made through microbiological study in 45 (90%) and/or histological identification of amoebae in colon biopsies in 10 (20%). After treatment with metronidazole (82%) or tinidazole (8%), all patients had good outcomes. Post-acute intraluminal treatment was indicated in 28 (56%). Conclusions Amoebic colitis should be suspected in patients with diarrhoea and compatible epidemiological risk factors (immigration, travelling abroad or men who have sex with men), especially if some degree of immunosuppression concurs. These risk factors must be taken into account in any diagnostic approach to inflammatory bowel disease (IBD), and active searches for stool parasites should be performed in such cases to rule out misdiagnosis or simultaneous amoebic infection. Treatment should include intraluminal anti-amoebic treatment in order to avoid relapse and prevent further spread of the disease.Copyright © 2019 Roure et al. This is an open access article distributed under the terms of the Creative Commons Attribution License, which permits unrestricted use, distribution, and reproduction in any medium, provided the original author and source are credited.","container-title":"PLoS ONE","DOI":"10.1371/journal.pone.0212791","ISSN":"1932-6203 (electronic)","issue":"2","journalAbbreviation":"PLoS ONE","language":"English","note":"publisher-place: United States\npublisher: Public Library of Science (E-mail: plos@plos.org)","page":"e0212791","title":"Approach to amoebic colitis: Epidemiological, clinical and diagnostic considerations in a non-endemic context (Barcelona, 2007-2017)","volume":"14","author":[{"literal":"Roure S."},{"literal":"Valerio L."},{"literal":"Soldevila L."},{"literal":"Salvador F."},{"literal":"Fernandez-Rivas G."},{"literal":"Sulleiro E."},{"literal":"Manosa M."},{"literal":"Sopena N."},{"literal":"Mate J.L."},{"literal":"Clotet B."}],"issued":{"date-parts":[["2019"]]}}}],"schema":"https://github.com/citation-style-language/schema/raw/master/csl-citation.json"} </w:instrText>
      </w:r>
      <w:r w:rsidR="00C9795E" w:rsidRPr="00D11245">
        <w:rPr>
          <w:rFonts w:cstheme="minorHAnsi"/>
          <w:color w:val="000000" w:themeColor="text1"/>
          <w:sz w:val="24"/>
          <w:szCs w:val="24"/>
        </w:rPr>
        <w:fldChar w:fldCharType="separate"/>
      </w:r>
      <w:r w:rsidR="009C3E63" w:rsidRPr="00D11245">
        <w:rPr>
          <w:rFonts w:ascii="Calibri" w:hAnsi="Calibri" w:cs="Calibri"/>
          <w:color w:val="000000" w:themeColor="text1"/>
          <w:kern w:val="0"/>
          <w:sz w:val="24"/>
          <w:vertAlign w:val="superscript"/>
        </w:rPr>
        <w:t>31</w:t>
      </w:r>
      <w:r w:rsidR="00C9795E" w:rsidRPr="00D11245">
        <w:rPr>
          <w:rFonts w:cstheme="minorHAnsi"/>
          <w:color w:val="000000" w:themeColor="text1"/>
          <w:sz w:val="24"/>
          <w:szCs w:val="24"/>
        </w:rPr>
        <w:fldChar w:fldCharType="end"/>
      </w:r>
      <w:r w:rsidRPr="00D11245">
        <w:rPr>
          <w:rFonts w:cstheme="minorHAnsi"/>
          <w:color w:val="000000" w:themeColor="text1"/>
          <w:sz w:val="24"/>
          <w:szCs w:val="24"/>
        </w:rPr>
        <w:t xml:space="preserve">.  Amoebic liver abscess </w:t>
      </w:r>
      <w:r w:rsidR="0075528F" w:rsidRPr="00D11245">
        <w:rPr>
          <w:rFonts w:cstheme="minorHAnsi"/>
          <w:color w:val="000000" w:themeColor="text1"/>
          <w:sz w:val="24"/>
          <w:szCs w:val="24"/>
        </w:rPr>
        <w:t xml:space="preserve">cases </w:t>
      </w:r>
      <w:r w:rsidRPr="00D11245">
        <w:rPr>
          <w:rFonts w:cstheme="minorHAnsi"/>
          <w:color w:val="000000" w:themeColor="text1"/>
          <w:sz w:val="24"/>
          <w:szCs w:val="24"/>
        </w:rPr>
        <w:t xml:space="preserve">have been reported over </w:t>
      </w:r>
      <w:r w:rsidR="0021127A" w:rsidRPr="00D11245">
        <w:rPr>
          <w:rFonts w:cstheme="minorHAnsi"/>
          <w:color w:val="000000" w:themeColor="text1"/>
          <w:sz w:val="24"/>
          <w:szCs w:val="24"/>
        </w:rPr>
        <w:t>20 years</w:t>
      </w:r>
      <w:r w:rsidRPr="00D11245">
        <w:rPr>
          <w:rFonts w:cstheme="minorHAnsi"/>
          <w:color w:val="000000" w:themeColor="text1"/>
          <w:sz w:val="24"/>
          <w:szCs w:val="24"/>
        </w:rPr>
        <w:t xml:space="preserve"> after the last visit to an endemic area, suggesting chronic asymptomatic carriage of </w:t>
      </w:r>
      <w:r w:rsidRPr="00D11245">
        <w:rPr>
          <w:rFonts w:cstheme="minorHAnsi"/>
          <w:i/>
          <w:iCs/>
          <w:color w:val="000000" w:themeColor="text1"/>
          <w:sz w:val="24"/>
          <w:szCs w:val="24"/>
        </w:rPr>
        <w:t>E. histolytica</w:t>
      </w:r>
      <w:r w:rsidRPr="00D11245">
        <w:rPr>
          <w:rFonts w:cstheme="minorHAnsi"/>
          <w:color w:val="000000" w:themeColor="text1"/>
          <w:sz w:val="24"/>
          <w:szCs w:val="24"/>
        </w:rPr>
        <w:t xml:space="preserve"> or </w:t>
      </w:r>
      <w:r w:rsidR="00B72098" w:rsidRPr="00D11245">
        <w:rPr>
          <w:rFonts w:cstheme="minorHAnsi"/>
          <w:color w:val="000000" w:themeColor="text1"/>
          <w:sz w:val="24"/>
          <w:szCs w:val="24"/>
        </w:rPr>
        <w:t xml:space="preserve">possibly </w:t>
      </w:r>
      <w:r w:rsidR="00606998" w:rsidRPr="00D11245">
        <w:rPr>
          <w:rFonts w:cstheme="minorHAnsi"/>
          <w:color w:val="000000" w:themeColor="text1"/>
          <w:sz w:val="24"/>
          <w:szCs w:val="24"/>
        </w:rPr>
        <w:t>acquisition in</w:t>
      </w:r>
      <w:r w:rsidRPr="00D11245">
        <w:rPr>
          <w:rFonts w:cstheme="minorHAnsi"/>
          <w:color w:val="000000" w:themeColor="text1"/>
          <w:sz w:val="24"/>
          <w:szCs w:val="24"/>
        </w:rPr>
        <w:t xml:space="preserve"> a non-endemic country </w:t>
      </w:r>
      <w:r w:rsidR="00C9795E" w:rsidRPr="00D11245">
        <w:rPr>
          <w:rFonts w:cstheme="minorHAnsi"/>
          <w:color w:val="000000" w:themeColor="text1"/>
          <w:sz w:val="24"/>
          <w:szCs w:val="24"/>
        </w:rPr>
        <w:fldChar w:fldCharType="begin"/>
      </w:r>
      <w:r w:rsidR="009C3E63" w:rsidRPr="00D11245">
        <w:rPr>
          <w:rFonts w:cstheme="minorHAnsi"/>
          <w:color w:val="000000" w:themeColor="text1"/>
          <w:sz w:val="24"/>
          <w:szCs w:val="24"/>
        </w:rPr>
        <w:instrText xml:space="preserve"> ADDIN ZOTERO_ITEM CSL_CITATION {"citationID":"vxcMo43y","properties":{"formattedCitation":"\\super 32\\nosupersub{}","plainCitation":"32","noteIndex":0},"citationItems":[{"id":635,"uris":["http://zotero.org/groups/2497994/items/TJIRGEY8",["http://zotero.org/groups/2497994/items/TJIRGEY8"]],"itemData":{"id":635,"type":"article-journal","container-title":"Revista Espanola de Enfermedades Digestivas","ISSN":"1130-0108","issue":"1","journalAbbreviation":"Rev. Esp. Enferm. Dig.","language":"English","note":"publisher-place: Spain\npublisher: ARAN Ediciones S.A. (E-mail: araninte@grupoaran.com)","page":"64","title":"All that glitters is not gold. A different cause for an \"ulcerative colitis\"","volume":"109","author":[{"literal":"Peixoto A."},{"literal":"Silva M."},{"literal":"Vilas-Boas F."},{"literal":"Macedo G."}],"issued":{"date-parts":[["2017"]]}}}],"schema":"https://github.com/citation-style-language/schema/raw/master/csl-citation.json"} </w:instrText>
      </w:r>
      <w:r w:rsidR="00C9795E" w:rsidRPr="00D11245">
        <w:rPr>
          <w:rFonts w:cstheme="minorHAnsi"/>
          <w:color w:val="000000" w:themeColor="text1"/>
          <w:sz w:val="24"/>
          <w:szCs w:val="24"/>
        </w:rPr>
        <w:fldChar w:fldCharType="separate"/>
      </w:r>
      <w:r w:rsidR="009C3E63" w:rsidRPr="00D11245">
        <w:rPr>
          <w:rFonts w:ascii="Calibri" w:hAnsi="Calibri" w:cs="Calibri"/>
          <w:color w:val="000000" w:themeColor="text1"/>
          <w:kern w:val="0"/>
          <w:sz w:val="24"/>
          <w:vertAlign w:val="superscript"/>
        </w:rPr>
        <w:t>32</w:t>
      </w:r>
      <w:r w:rsidR="00C9795E" w:rsidRPr="00D11245">
        <w:rPr>
          <w:rFonts w:cstheme="minorHAnsi"/>
          <w:color w:val="000000" w:themeColor="text1"/>
          <w:sz w:val="24"/>
          <w:szCs w:val="24"/>
        </w:rPr>
        <w:fldChar w:fldCharType="end"/>
      </w:r>
      <w:r w:rsidRPr="00D11245">
        <w:rPr>
          <w:rFonts w:cstheme="minorHAnsi"/>
          <w:color w:val="000000" w:themeColor="text1"/>
          <w:sz w:val="24"/>
          <w:szCs w:val="24"/>
        </w:rPr>
        <w:t xml:space="preserve">. </w:t>
      </w:r>
    </w:p>
    <w:p w14:paraId="548F09F4" w14:textId="77777777" w:rsidR="00DC4A23" w:rsidRPr="00D11245" w:rsidRDefault="00DC4A23" w:rsidP="00DC4A23">
      <w:pPr>
        <w:rPr>
          <w:rFonts w:cstheme="minorHAnsi"/>
          <w:b/>
          <w:bCs/>
          <w:color w:val="000000" w:themeColor="text1"/>
          <w:sz w:val="24"/>
          <w:szCs w:val="24"/>
          <w:u w:val="single"/>
        </w:rPr>
      </w:pPr>
      <w:r w:rsidRPr="00D11245">
        <w:rPr>
          <w:rFonts w:cstheme="minorHAnsi"/>
          <w:b/>
          <w:bCs/>
          <w:color w:val="000000" w:themeColor="text1"/>
          <w:sz w:val="24"/>
          <w:szCs w:val="24"/>
          <w:u w:val="single"/>
        </w:rPr>
        <w:t xml:space="preserve">Risk factors </w:t>
      </w:r>
      <w:r w:rsidRPr="00D11245">
        <w:rPr>
          <w:rFonts w:cstheme="minorHAnsi"/>
          <w:b/>
          <w:bCs/>
          <w:i/>
          <w:iCs/>
          <w:color w:val="000000" w:themeColor="text1"/>
          <w:sz w:val="24"/>
          <w:szCs w:val="24"/>
          <w:u w:val="single"/>
        </w:rPr>
        <w:t>for E. histolytica</w:t>
      </w:r>
      <w:r w:rsidRPr="00D11245">
        <w:rPr>
          <w:rFonts w:cstheme="minorHAnsi"/>
          <w:b/>
          <w:bCs/>
          <w:color w:val="000000" w:themeColor="text1"/>
          <w:sz w:val="24"/>
          <w:szCs w:val="24"/>
          <w:u w:val="single"/>
        </w:rPr>
        <w:t xml:space="preserve"> infection</w:t>
      </w:r>
    </w:p>
    <w:p w14:paraId="0E7DAB23" w14:textId="731A5023" w:rsidR="00DC4A23" w:rsidRPr="00D11245" w:rsidRDefault="00DC4A23" w:rsidP="00DC4A23">
      <w:pPr>
        <w:jc w:val="both"/>
        <w:rPr>
          <w:rFonts w:cstheme="minorHAnsi"/>
          <w:color w:val="000000" w:themeColor="text1"/>
          <w:sz w:val="24"/>
          <w:szCs w:val="24"/>
        </w:rPr>
      </w:pPr>
      <w:r w:rsidRPr="00D11245">
        <w:rPr>
          <w:rFonts w:cstheme="minorHAnsi"/>
          <w:color w:val="000000" w:themeColor="text1"/>
          <w:sz w:val="24"/>
          <w:szCs w:val="24"/>
        </w:rPr>
        <w:t xml:space="preserve">Acquisition </w:t>
      </w:r>
      <w:r w:rsidR="00B72098" w:rsidRPr="00D11245">
        <w:rPr>
          <w:rFonts w:cstheme="minorHAnsi"/>
          <w:color w:val="000000" w:themeColor="text1"/>
          <w:sz w:val="24"/>
          <w:szCs w:val="24"/>
        </w:rPr>
        <w:t>in</w:t>
      </w:r>
      <w:r w:rsidRPr="00D11245">
        <w:rPr>
          <w:rFonts w:cstheme="minorHAnsi"/>
          <w:color w:val="000000" w:themeColor="text1"/>
          <w:sz w:val="24"/>
          <w:szCs w:val="24"/>
        </w:rPr>
        <w:t xml:space="preserve"> non-endemic countr</w:t>
      </w:r>
      <w:r w:rsidR="00B72098" w:rsidRPr="00D11245">
        <w:rPr>
          <w:rFonts w:cstheme="minorHAnsi"/>
          <w:color w:val="000000" w:themeColor="text1"/>
          <w:sz w:val="24"/>
          <w:szCs w:val="24"/>
        </w:rPr>
        <w:t>ies</w:t>
      </w:r>
      <w:r w:rsidRPr="00D11245">
        <w:rPr>
          <w:rFonts w:cstheme="minorHAnsi"/>
          <w:color w:val="000000" w:themeColor="text1"/>
          <w:sz w:val="24"/>
          <w:szCs w:val="24"/>
        </w:rPr>
        <w:t xml:space="preserve"> is </w:t>
      </w:r>
      <w:r w:rsidR="00BD58C9" w:rsidRPr="00D11245">
        <w:rPr>
          <w:rFonts w:cstheme="minorHAnsi"/>
          <w:color w:val="000000" w:themeColor="text1"/>
          <w:sz w:val="24"/>
          <w:szCs w:val="24"/>
        </w:rPr>
        <w:t xml:space="preserve">well </w:t>
      </w:r>
      <w:r w:rsidRPr="00D11245">
        <w:rPr>
          <w:rFonts w:cstheme="minorHAnsi"/>
          <w:color w:val="000000" w:themeColor="text1"/>
          <w:sz w:val="24"/>
          <w:szCs w:val="24"/>
        </w:rPr>
        <w:t>recognised, with an Australian study finding that approximately 8% of infect</w:t>
      </w:r>
      <w:r w:rsidR="00B72098" w:rsidRPr="00D11245">
        <w:rPr>
          <w:rFonts w:cstheme="minorHAnsi"/>
          <w:color w:val="000000" w:themeColor="text1"/>
          <w:sz w:val="24"/>
          <w:szCs w:val="24"/>
        </w:rPr>
        <w:t>ed individuals</w:t>
      </w:r>
      <w:r w:rsidRPr="00D11245">
        <w:rPr>
          <w:rFonts w:cstheme="minorHAnsi"/>
          <w:color w:val="000000" w:themeColor="text1"/>
          <w:sz w:val="24"/>
          <w:szCs w:val="24"/>
        </w:rPr>
        <w:t xml:space="preserve"> had no prior travel history </w:t>
      </w:r>
      <w:r w:rsidR="00C9795E" w:rsidRPr="00D11245">
        <w:rPr>
          <w:rFonts w:cstheme="minorHAnsi"/>
          <w:color w:val="000000" w:themeColor="text1"/>
          <w:sz w:val="24"/>
          <w:szCs w:val="24"/>
        </w:rPr>
        <w:fldChar w:fldCharType="begin"/>
      </w:r>
      <w:r w:rsidR="009C3E63" w:rsidRPr="00D11245">
        <w:rPr>
          <w:rFonts w:cstheme="minorHAnsi"/>
          <w:color w:val="000000" w:themeColor="text1"/>
          <w:sz w:val="24"/>
          <w:szCs w:val="24"/>
        </w:rPr>
        <w:instrText xml:space="preserve"> ADDIN ZOTERO_ITEM CSL_CITATION {"citationID":"iuWEv3Tf","properties":{"formattedCitation":"\\super 33\\nosupersub{}","plainCitation":"33","noteIndex":0},"citationItems":[{"id":274,"uris":["http://zotero.org/groups/2497994/items/KR6GIRTU",["http://zotero.org/groups/2497994/items/KR6GIRTU"]],"itemData":{"id":274,"type":"article-journal","abstract":"Introduction: Entamoeba histolytica is a well-known cause of infectious colitis, it has a worldwide distribution. Presentation ranges from mild diarrhea to occasionally frank dysentery and may spread to involve extra intestinal sites such as the liver, lung, and other organs, in the form of amebic abscesses. Case presentation: Herein, we report a case of amebic pseudotumor wherein the diagnosis was revealed after 2 months of diarrhea. Discussion(s): Colonic amebiasis, may rarely form a segmental mass called amebic pseudotumor in patient untreated or inadequately treated during the course of proven amebic colitis. Due to the rarity of colonic amoebic pseudo tumor it is usually discovered incidentally during surgical interventions. However if discovered earlier it responds well to medical treatment and usually resolves within few weeks. Conclusion(s): So surgical intervention is reserved for complications of this entity manifested by fulminant colitis or colonic perforation.Copyright © 2019 The Authors","container-title":"International Journal of Surgery Case Reports","DOI":"10.1016/j.ijscr.2019.04.046","ISSN":"2210-2612","issue":"(Chahine, Baghdady, EL Kary, El Khoury, Chouillard, Chouillard) Department of Minimally Invasive Surgery, Poissy Saint Germain Medical Center, Poissy, France","journalAbbreviation":"Int. J. Surg. Case Rep.","language":"English","note":"publisher-place: United Kingdom\npublisher: Elsevier Ltd","page":"1-3","title":"Complete resolution of obstructive colonic amebic pseudotumor with conservative treatment: A case report and literature review","volume":"59","author":[{"literal":"Chahine E."},{"literal":"Baghdady R."},{"literal":"Chahine C."},{"literal":"Doghman G."},{"literal":"EL Kary N."},{"literal":"El Khoury L."},{"literal":"Safa K."},{"literal":"Chouillard M.-A."},{"literal":"Chouillard E."}],"issued":{"date-parts":[["2019"]]}}}],"schema":"https://github.com/citation-style-language/schema/raw/master/csl-citation.json"} </w:instrText>
      </w:r>
      <w:r w:rsidR="00C9795E" w:rsidRPr="00D11245">
        <w:rPr>
          <w:rFonts w:cstheme="minorHAnsi"/>
          <w:color w:val="000000" w:themeColor="text1"/>
          <w:sz w:val="24"/>
          <w:szCs w:val="24"/>
        </w:rPr>
        <w:fldChar w:fldCharType="separate"/>
      </w:r>
      <w:r w:rsidR="009C3E63" w:rsidRPr="00D11245">
        <w:rPr>
          <w:rFonts w:ascii="Calibri" w:hAnsi="Calibri" w:cs="Calibri"/>
          <w:color w:val="000000" w:themeColor="text1"/>
          <w:kern w:val="0"/>
          <w:sz w:val="24"/>
          <w:vertAlign w:val="superscript"/>
        </w:rPr>
        <w:t>33</w:t>
      </w:r>
      <w:r w:rsidR="00C9795E" w:rsidRPr="00D11245">
        <w:rPr>
          <w:rFonts w:cstheme="minorHAnsi"/>
          <w:color w:val="000000" w:themeColor="text1"/>
          <w:sz w:val="24"/>
          <w:szCs w:val="24"/>
        </w:rPr>
        <w:fldChar w:fldCharType="end"/>
      </w:r>
      <w:r w:rsidRPr="00D11245">
        <w:rPr>
          <w:rFonts w:cstheme="minorHAnsi"/>
          <w:color w:val="000000" w:themeColor="text1"/>
          <w:sz w:val="24"/>
          <w:szCs w:val="24"/>
        </w:rPr>
        <w:t xml:space="preserve">. </w:t>
      </w:r>
      <w:r w:rsidR="003E320C" w:rsidRPr="00D11245">
        <w:rPr>
          <w:rFonts w:cstheme="minorHAnsi"/>
          <w:color w:val="000000" w:themeColor="text1"/>
          <w:sz w:val="24"/>
          <w:szCs w:val="24"/>
        </w:rPr>
        <w:t>Other means of transmission</w:t>
      </w:r>
      <w:r w:rsidR="00CC7F59" w:rsidRPr="00D11245">
        <w:rPr>
          <w:rFonts w:cstheme="minorHAnsi"/>
          <w:color w:val="000000" w:themeColor="text1"/>
          <w:sz w:val="24"/>
          <w:szCs w:val="24"/>
        </w:rPr>
        <w:t xml:space="preserve"> are</w:t>
      </w:r>
      <w:r w:rsidRPr="00D11245">
        <w:rPr>
          <w:rFonts w:cstheme="minorHAnsi"/>
          <w:color w:val="000000" w:themeColor="text1"/>
          <w:sz w:val="24"/>
          <w:szCs w:val="24"/>
        </w:rPr>
        <w:t xml:space="preserve"> rare</w:t>
      </w:r>
      <w:r w:rsidR="00A719B4" w:rsidRPr="00D11245">
        <w:rPr>
          <w:rFonts w:cstheme="minorHAnsi"/>
          <w:color w:val="000000" w:themeColor="text1"/>
          <w:sz w:val="24"/>
          <w:szCs w:val="24"/>
        </w:rPr>
        <w:t xml:space="preserve"> but </w:t>
      </w:r>
      <w:r w:rsidR="00606998" w:rsidRPr="00D11245">
        <w:rPr>
          <w:rFonts w:cstheme="minorHAnsi"/>
          <w:color w:val="000000" w:themeColor="text1"/>
          <w:sz w:val="24"/>
          <w:szCs w:val="24"/>
        </w:rPr>
        <w:t>include</w:t>
      </w:r>
      <w:r w:rsidRPr="00D11245">
        <w:rPr>
          <w:rFonts w:cstheme="minorHAnsi"/>
          <w:color w:val="000000" w:themeColor="text1"/>
          <w:sz w:val="24"/>
          <w:szCs w:val="24"/>
        </w:rPr>
        <w:t xml:space="preserve"> transmission following abdominal surgery </w:t>
      </w:r>
      <w:r w:rsidR="00C9795E" w:rsidRPr="00D11245">
        <w:rPr>
          <w:rFonts w:cstheme="minorHAnsi"/>
          <w:color w:val="000000" w:themeColor="text1"/>
          <w:sz w:val="24"/>
          <w:szCs w:val="24"/>
        </w:rPr>
        <w:fldChar w:fldCharType="begin"/>
      </w:r>
      <w:r w:rsidR="009C3E63" w:rsidRPr="00D11245">
        <w:rPr>
          <w:rFonts w:cstheme="minorHAnsi"/>
          <w:color w:val="000000" w:themeColor="text1"/>
          <w:sz w:val="24"/>
          <w:szCs w:val="24"/>
        </w:rPr>
        <w:instrText xml:space="preserve"> ADDIN ZOTERO_ITEM CSL_CITATION {"citationID":"BQFozQfH","properties":{"formattedCitation":"\\super 34\\nosupersub{}","plainCitation":"34","noteIndex":0},"citationItems":[{"id":2129,"uris":["http://zotero.org/groups/2497994/items/VMCMP8B9",["http://zotero.org/groups/2497994/items/VMCMP8B9"]],"itemData":{"id":2129,"type":"article-journal","abstract":"Amebiasis caused by protozoa Entamoeba histolytica (EH) is the third leading parasitic cause of human mortality. Although amebiasis is endemic in India, only about 10% of the infected individuals manifest disease. Clinical spectrum of amebiasis ranges from asymptomatic colonization to amebic colitis to hemorrhagic and fulminant colitis. Factors causing an invasive infection are not completely understood. Pathogen virulence, host immunity, and ability of the pathogen to evade host immune response play vital role in determining the disease course. Host factors such as immunocompromised states may make an individual susceptible to develop symptomatic infection. Malignancies usually result in chronic debilitation which may make the individual prone to develop invasive amebiasis with rapid progression. We report two cases of invasive amebiasis which developed a fulminant course in the immediate postoperative period after abdominal surgeries for visceral malignancies.","container-title":"Journal of postgraduate medicine","DOI":"10.4103/jpgm.JPGM_605_19","ISSN":"0972-2823","issue":"2","journalAbbreviation":"J Postgrad Med","note":"publisher-place: India\nMisra, S. Department of Pathology, GB Pant Institute of Post Graduate Medical Education and Research, New Delhi, India.\nSakhuja, P. Department of Pathology, GB Pant Institute of Post Graduate Medical Education and Research, New Delhi, India.\nAgarwal, A K. Department of Gastrointestinal Surgery, GB Pant Institute of Post Graduate Medical Education and Research, New Delhi, India.\nJaved, A. Department of Gastrointestinal Surgery, GB Pant Institute of Post Graduate Medical Education and Research, New Delhi, India.","page":"99-101","title":"Fulminant amebic colitis: An unusual postoperative complication of intraabdominal malignancy.","volume":"66","author":[{"family":"Misra","given":"S"},{"family":"Sakhuja","given":"P"},{"family":"Agarwal","given":"A K"},{"family":"Javed","given":"A"}],"issued":{"date-parts":[["2020"]]}}}],"schema":"https://github.com/citation-style-language/schema/raw/master/csl-citation.json"} </w:instrText>
      </w:r>
      <w:r w:rsidR="00C9795E" w:rsidRPr="00D11245">
        <w:rPr>
          <w:rFonts w:cstheme="minorHAnsi"/>
          <w:color w:val="000000" w:themeColor="text1"/>
          <w:sz w:val="24"/>
          <w:szCs w:val="24"/>
        </w:rPr>
        <w:fldChar w:fldCharType="separate"/>
      </w:r>
      <w:r w:rsidR="009C3E63" w:rsidRPr="00D11245">
        <w:rPr>
          <w:rFonts w:ascii="Calibri" w:hAnsi="Calibri" w:cs="Calibri"/>
          <w:color w:val="000000" w:themeColor="text1"/>
          <w:kern w:val="0"/>
          <w:sz w:val="24"/>
          <w:vertAlign w:val="superscript"/>
        </w:rPr>
        <w:t>34</w:t>
      </w:r>
      <w:r w:rsidR="00C9795E" w:rsidRPr="00D11245">
        <w:rPr>
          <w:rFonts w:cstheme="minorHAnsi"/>
          <w:color w:val="000000" w:themeColor="text1"/>
          <w:sz w:val="24"/>
          <w:szCs w:val="24"/>
        </w:rPr>
        <w:fldChar w:fldCharType="end"/>
      </w:r>
      <w:r w:rsidRPr="00D11245">
        <w:rPr>
          <w:rFonts w:cstheme="minorHAnsi"/>
          <w:color w:val="000000" w:themeColor="text1"/>
          <w:sz w:val="24"/>
          <w:szCs w:val="24"/>
        </w:rPr>
        <w:t xml:space="preserve">, and after use of contaminated colonic irrigation equipment </w:t>
      </w:r>
      <w:r w:rsidR="00C9795E" w:rsidRPr="00D11245">
        <w:rPr>
          <w:rFonts w:cstheme="minorHAnsi"/>
          <w:color w:val="000000" w:themeColor="text1"/>
          <w:sz w:val="24"/>
          <w:szCs w:val="24"/>
        </w:rPr>
        <w:fldChar w:fldCharType="begin"/>
      </w:r>
      <w:r w:rsidR="009C3E63" w:rsidRPr="00D11245">
        <w:rPr>
          <w:rFonts w:cstheme="minorHAnsi"/>
          <w:color w:val="000000" w:themeColor="text1"/>
          <w:sz w:val="24"/>
          <w:szCs w:val="24"/>
        </w:rPr>
        <w:instrText xml:space="preserve"> ADDIN ZOTERO_ITEM CSL_CITATION {"citationID":"cD6cSBwN","properties":{"formattedCitation":"\\super 35,36\\nosupersub{}","plainCitation":"35,36","noteIndex":0},"citationItems":[{"id":16603,"uris":["http://zotero.org/groups/2497994/items/NAGMT4JY"],"itemData":{"id":16603,"type":"article-journal","container-title":"New England Journal of Medicine","DOI":"10.1056/NEJM198208053070603","ISSN":"0028-4793, 1533-4406","issue":"6","journalAbbreviation":"N Engl J Med","language":"en","page":"339-342","source":"DOI.org (Crossref)","title":"An Outbreak of Amebiasis Spread by Colonic Irrigation at a Chiropractic Clinic","volume":"307","author":[{"family":"Istre","given":"Gregory R."},{"family":"Kreiss","given":"Kathleen"},{"family":"Hopkins","given":"Richard S."},{"family":"Healy","given":"George R."},{"family":"Benziger","given":"Michael"},{"family":"Canfield","given":"Thomas M."},{"family":"Dickinson","given":"Patricia"},{"family":"Englert","given":"Timothy R."},{"family":"Compton","given":"Roy C."},{"family":"Mathews","given":"Henry M."},{"family":"Simmons","given":"Robert A."}],"issued":{"date-parts":[["1982",8,5]]}}},{"id":16647,"uris":["http://zotero.org/groups/2497994/items/6RYYW7TM"],"itemData":{"id":16647,"type":"article-journal","container-title":"The Western Journal of Medicine","ISSN":"0093-0415","issue":"6","journalAbbreviation":"West J Med","language":"eng","note":"PMID: 3524005\nPMCID: PMC1306777","page":"750","source":"PubMed","title":"The 1933 Chicago outbreak of amebiasis","volume":"144","author":[{"family":"Markell","given":"E. K."}],"issued":{"date-parts":[["1986",6]]}}}],"schema":"https://github.com/citation-style-language/schema/raw/master/csl-citation.json"} </w:instrText>
      </w:r>
      <w:r w:rsidR="00C9795E" w:rsidRPr="00D11245">
        <w:rPr>
          <w:rFonts w:cstheme="minorHAnsi"/>
          <w:color w:val="000000" w:themeColor="text1"/>
          <w:sz w:val="24"/>
          <w:szCs w:val="24"/>
        </w:rPr>
        <w:fldChar w:fldCharType="separate"/>
      </w:r>
      <w:r w:rsidR="009C3E63" w:rsidRPr="00D11245">
        <w:rPr>
          <w:rFonts w:ascii="Calibri" w:hAnsi="Calibri" w:cs="Calibri"/>
          <w:color w:val="000000" w:themeColor="text1"/>
          <w:kern w:val="0"/>
          <w:sz w:val="24"/>
          <w:vertAlign w:val="superscript"/>
        </w:rPr>
        <w:t>35,36</w:t>
      </w:r>
      <w:r w:rsidR="00C9795E" w:rsidRPr="00D11245">
        <w:rPr>
          <w:rFonts w:cstheme="minorHAnsi"/>
          <w:color w:val="000000" w:themeColor="text1"/>
          <w:sz w:val="24"/>
          <w:szCs w:val="24"/>
        </w:rPr>
        <w:fldChar w:fldCharType="end"/>
      </w:r>
      <w:r w:rsidRPr="00D11245">
        <w:rPr>
          <w:rFonts w:cstheme="minorHAnsi"/>
          <w:color w:val="000000" w:themeColor="text1"/>
          <w:sz w:val="24"/>
          <w:szCs w:val="24"/>
        </w:rPr>
        <w:t>. Sexual transmission</w:t>
      </w:r>
      <w:r w:rsidR="00B72098" w:rsidRPr="00D11245">
        <w:rPr>
          <w:rFonts w:cstheme="minorHAnsi"/>
          <w:color w:val="000000" w:themeColor="text1"/>
          <w:sz w:val="24"/>
          <w:szCs w:val="24"/>
        </w:rPr>
        <w:t xml:space="preserve"> can</w:t>
      </w:r>
      <w:r w:rsidRPr="00D11245">
        <w:rPr>
          <w:rFonts w:cstheme="minorHAnsi"/>
          <w:color w:val="000000" w:themeColor="text1"/>
          <w:sz w:val="24"/>
          <w:szCs w:val="24"/>
        </w:rPr>
        <w:t xml:space="preserve"> also</w:t>
      </w:r>
      <w:r w:rsidR="00B72098" w:rsidRPr="00D11245">
        <w:rPr>
          <w:rFonts w:cstheme="minorHAnsi"/>
          <w:color w:val="000000" w:themeColor="text1"/>
          <w:sz w:val="24"/>
          <w:szCs w:val="24"/>
        </w:rPr>
        <w:t xml:space="preserve"> occur</w:t>
      </w:r>
      <w:r w:rsidR="00737CE3" w:rsidRPr="00D11245">
        <w:rPr>
          <w:rFonts w:cstheme="minorHAnsi"/>
          <w:color w:val="000000" w:themeColor="text1"/>
          <w:sz w:val="24"/>
          <w:szCs w:val="24"/>
        </w:rPr>
        <w:t>.</w:t>
      </w:r>
      <w:r w:rsidRPr="00D11245">
        <w:rPr>
          <w:rFonts w:cstheme="minorHAnsi"/>
          <w:color w:val="000000" w:themeColor="text1"/>
          <w:sz w:val="24"/>
          <w:szCs w:val="24"/>
        </w:rPr>
        <w:t xml:space="preserve">  </w:t>
      </w:r>
      <w:r w:rsidR="0029772C" w:rsidRPr="00D11245">
        <w:rPr>
          <w:rFonts w:cstheme="minorHAnsi"/>
          <w:color w:val="000000" w:themeColor="text1"/>
          <w:sz w:val="24"/>
          <w:szCs w:val="24"/>
        </w:rPr>
        <w:t>E</w:t>
      </w:r>
      <w:r w:rsidRPr="00D11245">
        <w:rPr>
          <w:rFonts w:cstheme="minorHAnsi"/>
          <w:color w:val="000000" w:themeColor="text1"/>
          <w:sz w:val="24"/>
          <w:szCs w:val="24"/>
        </w:rPr>
        <w:t>pidemiological studies from</w:t>
      </w:r>
      <w:r w:rsidR="00B72098" w:rsidRPr="00D11245">
        <w:rPr>
          <w:rFonts w:cstheme="minorHAnsi"/>
          <w:color w:val="000000" w:themeColor="text1"/>
          <w:sz w:val="24"/>
          <w:szCs w:val="24"/>
        </w:rPr>
        <w:t xml:space="preserve"> HIC</w:t>
      </w:r>
      <w:r w:rsidRPr="00D11245">
        <w:rPr>
          <w:rFonts w:cstheme="minorHAnsi"/>
          <w:color w:val="000000" w:themeColor="text1"/>
          <w:sz w:val="24"/>
          <w:szCs w:val="24"/>
        </w:rPr>
        <w:t xml:space="preserve">, including USA, Japan, Taiwan, Korea and Australia have shown increased prevalence of </w:t>
      </w:r>
      <w:r w:rsidRPr="00D11245">
        <w:rPr>
          <w:rFonts w:cstheme="minorHAnsi"/>
          <w:i/>
          <w:iCs/>
          <w:color w:val="000000" w:themeColor="text1"/>
          <w:sz w:val="24"/>
          <w:szCs w:val="24"/>
        </w:rPr>
        <w:t>Entamoeba</w:t>
      </w:r>
      <w:r w:rsidRPr="00D11245">
        <w:rPr>
          <w:rFonts w:cstheme="minorHAnsi"/>
          <w:color w:val="000000" w:themeColor="text1"/>
          <w:sz w:val="24"/>
          <w:szCs w:val="24"/>
        </w:rPr>
        <w:t xml:space="preserve"> carriage amongst men who have sex with men (MSM) </w:t>
      </w:r>
      <w:r w:rsidR="00C9795E" w:rsidRPr="00D11245">
        <w:rPr>
          <w:rFonts w:cstheme="minorHAnsi"/>
          <w:color w:val="000000" w:themeColor="text1"/>
          <w:sz w:val="24"/>
          <w:szCs w:val="24"/>
        </w:rPr>
        <w:fldChar w:fldCharType="begin"/>
      </w:r>
      <w:r w:rsidR="009C3E63" w:rsidRPr="00D11245">
        <w:rPr>
          <w:rFonts w:cstheme="minorHAnsi"/>
          <w:color w:val="000000" w:themeColor="text1"/>
          <w:sz w:val="24"/>
          <w:szCs w:val="24"/>
        </w:rPr>
        <w:instrText xml:space="preserve"> ADDIN ZOTERO_ITEM CSL_CITATION {"citationID":"TEjVx0r9","properties":{"formattedCitation":"\\super 37\\uc0\\u8211{}44\\nosupersub{}","plainCitation":"37–44","noteIndex":0},"citationItems":[{"id":2040,"uris":["http://zotero.org/groups/2497994/items/SSLZ668D",["http://zotero.org/groups/2497994/items/SSLZ668D"]],"itemData":{"id":2040,"type":"article-journal","abstract":"Entamoeba histolytica infection (amoebiasis) is the second leading cause of death from parasitic diseases. Epidemiological studies from developed countries have reported an increasing prevalence of amoebiasis and of invasive infections, such as amoebic colitis, among men who have sex with men (MSM) who engage in oral-anal sex. Although most infections with E histolytica are asymptomatic, clinical manifestations of invasive amoebiasis mainly include amoebic colitis and amoebic liver abscess, which are associated with substantial morbidity and medical cost. Laboratory diagnosis of amoebiasis should be based on detection of E histolytica by use of tests with high sensitivity and specificity, such as specific amoebic-antigen or PCR-based assays. Microscopy used in routine clinical laboratories is not sensitive or specific enough for detection of E histolytica. Metronidazole or tinidazole remains the mainstay of treatment for invasive amoebiasis, followed by treatment with luminal agents to prevent relapse and transmission of E histolytica to sexual partners or close contacts. Copyright © 2012 Elsevier Ltd. All rights reserved.","archive":"Pubmed","container-title":"The Lancet. Infectious diseases","DOI":"10.1016/S1473-3099(12)70147-0","ISSN":"1473-3099","issue":"9","page":"729-36","title":"Entamoeba histolytica infection in men who have sex with men.","volume":"12","author":[{"family":"Hung","given":"Chien-Ching"},{"family":"Chang","given":"Sui-Yuan"},{"family":"Ji","given":"Dar-Der"}],"issued":{"date-parts":[["2012",9,1]]}}},{"id":2595,"uris":["http://zotero.org/groups/2497994/items/42TRJTUN"],"itemData":{"id":2595,"type":"article-journal","abstract":"Entamoeba histolytica has been recently recognised as an emerging sexually transmissible pathogen in men who have sex with men (MSM), causing sporadic outbreaks in countries where it is not endemic. Here we report two closed clusters of invasive amoebiasis occurring in Barcelona, Spain, in October 2016 (four cases) and in January 2017 (four cases). This article is copyright of The Authors, 2017.","archive":"Pubmed","container-title":"Euro surveillance : bulletin Europeen sur les maladies transmissibles = European communicable disease bulletin","DOI":"10.2807/1560-7917.ES.2017.22.30.30581","ISSN":"1025-496X","issue":"30","title":"Outbreak of intestinal amoebiasis among men who have sex with men, Barcelona (Spain), October 2016 and January 2017.","URL":"https://mednar.com/mednar/desktop/en/service/link/track?redirectUrl=https%3A%2F%2Fwww.ncbi.nlm.nih.gov%2Fpubmed%2F28797327&amp;collectionCode=MEDNAR-PUBMED&amp;searchId=a306b45a-fe57-44a9-a61d-d954bc95ebdb&amp;type=RESULT&amp;signature=253004714c430500d2937df177d63d5b22a1b0640463818002909bfb70d47f9f","volume":"22","author":[{"family":"Escolà-Vergé","given":"Laura"},{"family":"Arando","given":"Maider"},{"family":"Vall","given":"Martí"},{"family":"Rovira","given":"Roger"},{"family":"Espasa","given":"Mateu"},{"family":"Sulleiro","given":"Elena"},{"family":"Armengol","given":"Pere"},{"family":"Zarzuela","given":"Francesc"},{"family":"Barberá","given":"María-Jesús"}],"issued":{"date-parts":[["2017",7,27]]}}},{"id":1147,"uris":["http://zotero.org/groups/2497994/items/NSZWGKIQ"],"itemData":{"id":1147,"type":"article-journal","abstract":"A retrospective analysis was undertaken to determine the seroprevalence of Entamoeba histolytica infection in Sydney, Australia. Using an enzyme-linked immunosorbent assay, 429 high risk human immunodeficiency virus (HIV)-infected men who have sex with men (MSM), 446 low risk HIV-uninfected MSM, and 456 HIV-uninfected controls were assessed. Seroprevalence rates were 5.13% for the high risk HIV-infected MSM group, 0.22% for the low risk HIV-uninfected MSM group, and 0.44% for the control group. We found that high risk HIV-infected MSM have a significantly greater seroprevalence of E. histolytica with a relative risk of 22.87, when compared with low risk HIV-uninfected MSM and 11.69 when compared with controls. These findings show that in Sydney, sexually active HIV-infected MSM are at greater risk of developing amoebic disease caused by E. histolytica than HIV-uninfected MSM and the general population.","container-title":"The American journal of tropical medicine and hygiene","DOI":"10.4269/ajtmh.2010.10-0231","ISSN":"1476-1645","issue":"4","journalAbbreviation":"Am J Trop Med Hyg","note":"publisher-place: United States\nJames, Rodney. Department of Microbiology, St. Vincent's Hospital, Darlinghurst, New South Wales, Australia. rod_s_james@yahoo.com.au","page":"914-6","title":"Seroprevalence of Entamoeba histolytica infection among men who have sex with men in Sydney, Australia.","volume":"83","author":[{"family":"James","given":"Rodney"},{"family":"Barratt","given":"Joel"},{"family":"Marriott","given":"Deborah"},{"family":"Harkness","given":"John"},{"family":"Stark","given":"Damien"}],"issued":{"date-parts":[["2010"]]}}},{"id":2721,"uris":["http://zotero.org/groups/2497994/items/ULP7DN7N",["http://zotero.org/groups/2497994/items/ULP7DN7N"]],"itemData":{"id":2721,"type":"article-journal","abstract":"We determined yearly change in prevalence and risk factors for amebic colitis caused by intestinal invasive amebiasis among persons who underwent endoscopy and assessed differences between HIV-positive and HIV-negative persons in Japan. A total of 10,930 patients were selected for analysis, of whom 54 had amebic colitis. Prevalence was in 2009 (0.88%, 12/1360) compared with 2003 (0.16%, 3/1904). Male sex (odds ratio [OR] 8.39, 95% Cl 1.99-35.40), age &lt;50 years (OR 4.73, 95% CI 2.43-9.20), history of syphilis (OR 2.90, 95% CI 1.40-5.99), and HIV infection (OR 15.85, 95% CI 7.93-31.70) were independent risk factors. No differences in risk factors were identified between HIV-positive and HIV-negative patients. Contact with commercial sex workers was a new risk factor among HIV-negative patients. Homosexual intercourse, rather than immunosuppressed status, appears to be a risk factor among HIV-positive patients.","container-title":"Emerging Infectious Diseases","DOI":"10.3201/eid1805.111275","ISSN":"1080-6040","issue":"5","note":"WOS:000303556800001","page":"717-724","title":"Risk Factors for Intestinal Invasive Amebiasis in Japan, 2003-2009","volume":"18","author":[{"family":"Negata","given":"Naoyoshi"},{"family":"Shimbo","given":"Takuro"},{"family":"Akiyama","given":"Junichi"},{"family":"Nakashima","given":"Ry"},{"family":"Nishimura","given":"So"},{"family":"Yada","given":"Tomoyuki"},{"family":"Watanabe","given":"Koji"},{"family":"Oka","given":"Shinichi"},{"family":"Uemura","given":"Naomi"}],"issued":{"date-parts":[["2012",5]]}}},{"id":482,"uris":["http://zotero.org/groups/2497994/items/YPTB7KT3",["http://zotero.org/groups/2497994/items/YPTB7KT3"]],"itemData":{"id":482,"type":"article-journal","abstract":"Introduction: Amoebiasis is a cosmopolitan disease and the third most deadly of parasitic diseases. Entamoeba histolytica is the only one to be pathogenic. Its transmission is not only related to the faecal peril but also sexual, with cases described among men who have sex with men. A case of unusual sexual transmission is described in this article, aiming to discuss the impact of these ways of transmitting amoebiasis on patient management. Case report: We describe the case of an amebic liver abscess in a 27-years-old man who did not travel in endemic areas. After patient interrogation, it seems that the contamination mode was sexual, related to a heterosexual relationship with a new female partner 4 months before the diagnosis. HIV and hepatitis B serologies were negative. Conclusion(s): The diagnosis of amoebiasis should be suspected in case of dysentery or liver abscess even if there is no history of travel in endemic areas or of sexual intercourse between men.Copyright © 2018 Societe Nationale Francaise de Medecine Interne (SNFMI)","collection-title":"Amibiase : au cours de rapports sexuels, un mode de transmission sous-estime ?","container-title":"Revue de Medecine Interne","DOI":"10.1016/j.revmed.2018.04.004","ISSN":"0248-8663","issue":"7","journalAbbreviation":"Rev. Med. Interne","language":"English, French","note":"publisher-place: France\npublisher: Elsevier Masson SAS (62 rue Camille Desmoulins, Issy les Moulineaux Cedex 92442, France)","page":"586-588","title":"Amoebosis: May sexual transmission be an underestimated way of contamination?","volume":"39","author":[{"literal":"Timsit B.L."},{"literal":"Deroux A."},{"literal":"Lugosi M."},{"literal":"Colombe B."},{"literal":"Bouillet L."}],"issued":{"date-parts":[["2018"]]}}},{"id":1437,"uris":["http://zotero.org/groups/2497994/items/QF4E8FKL",["http://zotero.org/groups/2497994/items/QF4E8FKL"]],"itemData":{"id":1437,"type":"article-journal","abstract":"Entamoeba histolytica is a cosmopolitan pathogenic parasite. It is spread via the feco-oral route and, to a lesser extent, via sexual intercourse. We report a case of hepatic and intestinal amoebiasis in a 67-year-old man who had never travelled to an endemic area. Abdominal CT investigations detected two liver abscesses and chronic colitis. Positive amoebic serology and a positive PCR test for E. histolytica in the hepatic liquid and faeces confirmed the diagnosis. Curative metronidazole and tiliquinol-tilbroquinol were administered successfully. The patient had been contaminated through heterosexual intercourse with his healthy French female partner who was a carrier of the parasite. Though unusual, amoebiasis as a result of sexual transmission should be considered in non-endemic areas in people who have never travelled abroad, particularly in the presence of clinical symptoms such as liver abscesses or chronic diarrhoea.","language":"en","note":"publisher: BMJ Publishing Group","title":"An underestimated sexually transmitted infection: amoebiasis","URL":"http://www.ncbi.nlm.nih.gov/pmc/articles/PMC6536245/","author":[{"family":"Billet","given":"Anne Claire"},{"family":"Salmon Rousseau","given":"Arnaud"},{"family":"Piroth","given":"Lionel"},{"family":"Martins","given":"Capucine"}],"issued":{"date-parts":[["2019"]]}}},{"id":2614,"uris":["http://zotero.org/groups/2497994/items/2KQVRSAX",["http://zotero.org/groups/2497994/items/2KQVRSAX"]],"itemData":{"id":2614,"type":"article-journal","abstract":"Introduction: In industrialized countries, amebiasis usually occurs in migrants and travelers returning from areas where the disease is endemic, primarily by ingestion of contaminated food or water. Person-to-person transmission can occur, mainly by fecal-oral contact, but sexual transmission has also been described [1,3-5]. Presentation of case: We report a man with Entamoeba histolytica colitis and a large liver abscess (16.5 x 14 cm) in Portugal, who had no relevant travel history and whose only risk factor was his heterosexual partner. The abscess required drainage of 1950 mL of \"chocolate-milk\" purulent fluid, with rapid symptomatic improvement. The diagnosis was established by real-time reverse transcription PCR for Entamoeba histolytica in the liver aspirate, with positive IgG antibodies. He received a total of 16 days of ceftriaxone and metronidazole followed by 7 days of paromomycin. Conclusion: As enteric infections may be sexually transmitted, in industrialized countries, even in the absence of travel, sexual history should not be neglected. (C) 2019 The Authors. Published by Elsevier Ltd.","container-title":"Idcases","DOI":"10.1016/j.idcr.2019.e00592","ISSN":"2214-2509","note":"WOS:000504677900054","page":"e00592","title":"Nontravel-related invasive Entamoeba histolytica infection with probable heterosexual transmission","volume":"18","author":[{"family":"Valdoleiros","given":"Sofia R.","non-dropping-particle":"de"},{"family":"Carvalho","given":"Joao Abranches"},{"family":"Goncalves","given":"Celina"},{"family":"Vasconcelos","given":"Olga"},{"family":"Sarmento-Castro","given":"Rui"}],"issued":{"date-parts":[["2019"]]}}},{"id":910,"uris":["http://zotero.org/groups/2497994/items/Q665YAGY",["http://zotero.org/groups/2497994/items/Q665YAGY"]],"itemData":{"id":910,"type":"article-journal","abstract":"Despite the endemic nature of Entamoeba histolytica infection in the United States there is a lack of data on amebiasis-related mortality. We analyzed national death certificate data from 1990 to 2007 to assess the occurrence of amebiasis-related deaths and determine demographic and regional associations. A total of 134 deaths were identified. Mortality rates were highest in males, Hispanics, Asian/Pacific Islanders, and persons 75 years of age and older. An association with human immunodeficiency virus infection was also observed. A declining trend of amebiasis deaths was noted over the 18-year study period. Over 40% of fatal amebiasis cases occurred in residents of California and Texas. United States-born persons accounted for the majority of amebiasis deaths; however, all of the fatalities in Asian/Pacific Islanders and 60% of the deaths in Hispanics were in foreign-born individuals. Although uncommon, amebiasis-related deaths routinely occur in the United States.","container-title":"American Journal of Tropical Medicine and Hygiene","DOI":"10.4269/ajtmh.2011.11-0288","ISSN":"0002-9637","issue":"6","note":"WOS:000297781000014","page":"1038-1040","title":"Short Report: Amebiasis-Related Mortality among United States Residents, 1990-2007","volume":"85","author":[{"family":"Gunther","given":"Janelle"},{"family":"Shafir","given":"Shira"},{"family":"Bristow","given":"Benjamin"},{"family":"Sorvillo","given":"Frank"}],"issued":{"date-parts":[["2011",12]]}}}],"schema":"https://github.com/citation-style-language/schema/raw/master/csl-citation.json"} </w:instrText>
      </w:r>
      <w:r w:rsidR="00C9795E" w:rsidRPr="00D11245">
        <w:rPr>
          <w:rFonts w:cstheme="minorHAnsi"/>
          <w:color w:val="000000" w:themeColor="text1"/>
          <w:sz w:val="24"/>
          <w:szCs w:val="24"/>
        </w:rPr>
        <w:fldChar w:fldCharType="separate"/>
      </w:r>
      <w:r w:rsidR="009C3E63" w:rsidRPr="00D11245">
        <w:rPr>
          <w:rFonts w:ascii="Calibri" w:hAnsi="Calibri" w:cs="Calibri"/>
          <w:color w:val="000000" w:themeColor="text1"/>
          <w:kern w:val="0"/>
          <w:sz w:val="24"/>
          <w:vertAlign w:val="superscript"/>
        </w:rPr>
        <w:t>37–44</w:t>
      </w:r>
      <w:r w:rsidR="00C9795E" w:rsidRPr="00D11245">
        <w:rPr>
          <w:rFonts w:cstheme="minorHAnsi"/>
          <w:color w:val="000000" w:themeColor="text1"/>
          <w:sz w:val="24"/>
          <w:szCs w:val="24"/>
        </w:rPr>
        <w:fldChar w:fldCharType="end"/>
      </w:r>
      <w:r w:rsidRPr="00D11245">
        <w:rPr>
          <w:rFonts w:cstheme="minorHAnsi"/>
          <w:color w:val="000000" w:themeColor="text1"/>
          <w:sz w:val="24"/>
          <w:szCs w:val="24"/>
        </w:rPr>
        <w:t xml:space="preserve">. The effect of coexistent HIV infection has also been studied showing higher rates of </w:t>
      </w:r>
      <w:r w:rsidRPr="00D11245">
        <w:rPr>
          <w:rFonts w:cstheme="minorHAnsi"/>
          <w:i/>
          <w:iCs/>
          <w:color w:val="000000" w:themeColor="text1"/>
          <w:sz w:val="24"/>
          <w:szCs w:val="24"/>
        </w:rPr>
        <w:t>E. histolytica</w:t>
      </w:r>
      <w:r w:rsidRPr="00D11245">
        <w:rPr>
          <w:rFonts w:cstheme="minorHAnsi"/>
          <w:color w:val="000000" w:themeColor="text1"/>
          <w:sz w:val="24"/>
          <w:szCs w:val="24"/>
        </w:rPr>
        <w:t xml:space="preserve"> infection in HIV positive MSM, but clinical outcomes appear similar, irrespective of CD4 count </w:t>
      </w:r>
      <w:r w:rsidR="00C9795E" w:rsidRPr="00D11245">
        <w:rPr>
          <w:rFonts w:cstheme="minorHAnsi"/>
          <w:color w:val="000000" w:themeColor="text1"/>
          <w:sz w:val="24"/>
          <w:szCs w:val="24"/>
        </w:rPr>
        <w:fldChar w:fldCharType="begin"/>
      </w:r>
      <w:r w:rsidR="009C3E63" w:rsidRPr="00D11245">
        <w:rPr>
          <w:rFonts w:cstheme="minorHAnsi"/>
          <w:color w:val="000000" w:themeColor="text1"/>
          <w:sz w:val="24"/>
          <w:szCs w:val="24"/>
        </w:rPr>
        <w:instrText xml:space="preserve"> ADDIN ZOTERO_ITEM CSL_CITATION {"citationID":"dSb04rG4","properties":{"formattedCitation":"\\super 4,29,45\\uc0\\u8211{}48\\nosupersub{}","plainCitation":"4,29,45–48","noteIndex":0},"citationItems":[{"id":2848,"uris":["http://zotero.org/groups/2497994/items/4CQVJEEC",["http://zotero.org/groups/2497994/items/4CQVJEEC"]],"itemData":{"id":2848,"type":"article-journal","abstract":"&lt;h2&gt;Summary&lt;/h2&gt;&lt;p&gt;Amoebiasis is the second leading cause of death from parasitic disease worldwide. The causative protozoan parasite, &lt;i&gt;Entamoeba histolytica&lt;/i&gt;, is a potent pathogen. Secreting proteinases that dissolve host tissues, killing host cells on contact, and engulfing red blood cells, &lt;i&gt;E histolytica&lt;/i&gt; trophozoites invade the intestinal mucosa, causing amoebic colitis. In some cases amoebas breach the mucosal barrier and travel through the portal circulation to the liver, where they cause abscesses consisting of a few &lt;i&gt;E histolytica&lt;/i&gt; trophozoites surrounding dead and dying hepatocytes and liquefied cellular debris. Amoebic liver abscesses grow inexorably and, at one time, were almost always fatal, but now even large abscesses can be cured by one dose of antibiotic. Evidence that what we thought was a single species based on morphology is, in fact, two genetically distinct species—now termed &lt;i&gt;Entamoeba histolytica&lt;/i&gt; (the pathogen) and &lt;i&gt;Entamoeba dispar&lt;/i&gt; (a commensal)—has turned conventional wisdom about the epidemiology and diagnosis of amoebiasis upside down. New models of disease have linked &lt;i&gt;E histolytica&lt;/i&gt; induction of intestinal inflammation and hepatocyte programmed cell death to the pathogenesis of amoebic colitis and amoebic liver abscess.&lt;/p&gt;","container-title":"The Lancet","DOI":"10.1016/S0140-6736(03)12830-9","ISSN":"0140-6736, 1474-547X","issue":"9362","journalAbbreviation":"The Lancet","language":"English","note":"PMID: 12660071","page":"1025-1034","source":"www.thelancet.com","title":"Amoebiasis","volume":"361","author":[{"family":"Stanley","given":"Samuel L."}],"issued":{"date-parts":[["2003",3,22]]}}},{"id":2200,"uris":["http://zotero.org/groups/2497994/items/ZIQK79Q3",["http://zotero.org/groups/2497994/items/ZIQK79Q3"]],"itemData":{"id":2200,"type":"article-journal","abstract":"Entamoeba histolytica is the responsible parasite of amoebiasis and remains one of the top three parasitic causes of mortality worldwide. With increased travel and emigration to developed countries, infection is becoming more common in nonendemic areas. Although the majority of individuals infected with E. histolytica remain asymptomatic, some present with amoebic colitis and disseminated disease. As more is learned about its pathogenesis and the host's immune response, the potential for developing a vaccine holds promise. This narrative review outlines the current knowledge regarding E. histolytica and E. dispar and insight in the development of a vaccine.Copyright © 2018 Micaella Kantor et al.","container-title":"Canadian Journal of Gastroenterology and Hepatology","DOI":"10.1155/2018/4601420","ISSN":"2291-2789","issue":"(Kantor, Abrantes, Estevez, Schiller, Torrent, Gascon, Hernandez) Kendall Regional Medical Center, Miami, FL, United States","journalAbbreviation":"Can. J. Gastroenterol. Hepatol.","language":"English","note":"publisher-place: United States\npublisher: Hindawi Limited (410 Park Avenue, 15th Floor, 287 pmb, New York NY 10022, United States)","page":"4601420","title":"Entamoeba Histolytica: Updates in Clinical Manifestation, Pathogenesis, and Vaccine Development","volume":"2018","author":[{"literal":"Kantor M."},{"literal":"Abrantes A."},{"literal":"Estevez A."},{"literal":"Schiller A."},{"literal":"Torrent J."},{"literal":"Gascon J."},{"literal":"Hernandez R."},{"literal":"Ochner C."}],"issued":{"date-parts":[["2018"]]}}},{"id":1317,"uris":["http://zotero.org/groups/2497994/items/PJFXVFD4",["http://zotero.org/groups/2497994/items/PJFXVFD4"]],"itemData":{"id":1317,"type":"article-journal","abstract":"We present a case of fulminant amebic colitis in a human immunodeficiency virus (HIV)-infected homosexual man. The patient developed colonic perforation over a short time despite empirical therapy with metronidazole, and underwent right hemicolectomy. Amebic colitis was pathologically diagnosed by identifying invasive trophozoites of Entamoeba in a surgical specimen. Amebic colitis is one of the important differential diagnoses of acute abdomen in HIV-infected patients and/or homosexual men, especially in East Asia. Although fulminant amebic colitis is a rare manifestation of amebiasis, early diagnosis and treatment are thought to be important to improve the outcome of this highly fatal complication. © 2011 The Japanese Society of Internal Medicine.","container-title":"Internal Medicine","DOI":"10.2169/internalmedicine.50.5411","ISSN":"0918-2918","issue":"22","journalAbbreviation":"Intern. Med.","language":"English","note":"publisher-place: Japan\npublisher: Japanese Society of Internal Medicine (34-3, 3-chome, Hongo, Bunkyo-ku, Tokyo 113, Japan)","page":"2851-2854","title":"Fulminant amebic colitis in an HIV-infected homosexual man","volume":"50","author":[{"literal":"Ishioka H."},{"literal":"Umezawa M."},{"literal":"Hatakeyama S."}],"issued":{"date-parts":[["2011"]]}}},{"id":1668,"uris":["http://zotero.org/groups/2497994/items/W4YPB75U",["http://zotero.org/groups/2497994/items/W4YPB75U"]],"itemData":{"id":1668,"type":"article-journal","abstract":"BACKGROUND: Invasive amebiasis is not frequently seen in the United States. It is associated with considerable morbidity in patients residing in or traveling to endemic areas. We report a case series of patients with amebic colitis in a United States-Mexico border city to alert physicians to the varied clinical manifestations., CASE PRESENTATION: Nine patients were diagnosed with amebic colitis. Mean age was 56 (38-83), 6 were males, and all were Hispanic. Common symptoms were diarrhea (56 %), hematochezia (33 %) and abdominal bloating (11 %). The diagnosis of amebic colitis was established in the following ways: 8 patients by colonoscopy with biopsy, 1 by surgery for colonic obstruction. The diagnosis of amebic colitis was confirmed in 8 patients (89 %) by amebic trophozoites present in histopathologic sections. One patient was diagnosed with amebic colitis based upon clinical symptoms, colitis on colonoscopy and visualization of amebic trophozoites on stool examination. In the 8 patients in whom colonoscopy was done, 6 (75 %) had inflammation with rectosigmoid involvement and 5 (62.5 %) had ulcerations. Infection resolved after treatment with metronidazole in most patients; however, one patient developed a liver abscess and another had a colonic perforation and later developed a liver abscess., CONCLUSION: The occurrence of amebic colitis in this United States-Mexico border city hospital population was low, but in some cases potentially life-threatening. Physicians should be alert to the less common presentations of amebic colitis, such as overt gastrointestinal bleeding, exacerbation of inflammatory bowel disease, and the incidental finding of association with colon cancer, or a surgical abdomen. Rectosigmoid involvement was typically found on colonoscopy.","container-title":"BMC research notes","DOI":"10.1186/s13104-015-1787-3","ISSN":"1756-0500 (electronic)","issue":"(Fleming) Department of Internal Medicine, Texas Tech University Health Sciences Center, 4800 Alberta Ave, El Paso, TX, 79905, USA. rfleming5006@sbcglobal.net","journalAbbreviation":"BMC Res Notes","language":"English","note":"publisher-place: United Kingdom","page":"781","title":"Clinical manifestations and endoscopic findings of amebic colitis in a United States-Mexico border city: a case series","volume":"8","author":[{"literal":"Fleming R."},{"literal":"Cooper C.J."},{"literal":"Ramirez-Vega R."},{"literal":"Huerta-Alardin A."},{"literal":"Boman D."},{"literal":"Zuckerman M.J."}],"issued":{"date-parts":[["2015"]]}}},{"id":2829,"uris":["http://zotero.org/groups/2497994/items/VBJUH6JK",["http://zotero.org/groups/2497994/items/VBJUH6JK"]],"itemData":{"id":2829,"type":"article-journal","abstract":"Endoscopic diagnosis of amebic colitis can be difficult because its appearance may mimic other forms of colonic disease. The aim of this study was to identify predictive endoscopic findings for amebic colitis. Patients with suspected amebic colitis based on distinctive endoscopic findings such as aphthae or erosions, ulcers, exudates, or a bump, were included in the study. A total of 157 patients were selected, 50 of whom had amebic colitis. The sensitivity and specificity of endoscopic findings that were significantly associated with amebic colitis were: cecal lesions (80 % and 54 %), multiple number of lesions (96 % and 29 %), presence of aphthae or erosions (84 % and 37 %), and presence of exudate (88 % and 74 %). Multivariate analysis revealed that the best combination of findings to predict amebic colitis was the presence of cecal lesions, multiple lesions, and exudates, which corresponded to an area under the receiver operating characteristic curve of 0.89 (95 % confidence interval 0.82 – 0.95).","container-title":"Endoscopy","DOI":"10.1055/s-0031-1291631","ISSN":"0013-726X, 1438-8812","issue":"04","journalAbbreviation":"Endoscopy","language":"en","page":"425-428","source":"DOI.org (Crossref)","title":"Predictive value of endoscopic findings in the diagnosis of active intestinal amebiasis","volume":"44","author":[{"family":"Nagata","given":"N."},{"family":"Shimbo","given":"T."},{"family":"Akiyama","given":"J."},{"family":"Nakashima","given":"R."},{"family":"Niikura","given":"R."},{"family":"Nishimura","given":"S."},{"family":"Yada","given":"T."},{"family":"Watanabe","given":"K."},{"family":"Oka","given":"S."},{"family":"Uemura","given":"N."}],"issued":{"date-parts":[["2012",4]]}}},{"id":2682,"uris":["http://zotero.org/groups/2497994/items/976D7QVT"],"itemData":{"id":2682,"type":"article-journal","abstract":"In a recent study in northern South Africa, the seroprevalence of Entamoeba histolytica infection among 257 HIV-positive and 117 HIV-negative individuals was determined, using an ELISA for the detection of antibodies reacting with the parasite's galactose/-acetyl-D-galactosamine(Gal/GalNAc)-inhibitable adherence lectin. Overall, 34.0% of the 374 participants (36.1% of the females and 28.1% of the males) were found seropositive for E. histolytica. Although all age-groups were affected by the amoebic pathogen, the subjects aged 50-59 years had the highest seroprevalence (69.2%). The seroprevalence of E. histolytica was also significantly higher among the HIV-positive subjects than among the HIV-negative (42.8% v. 14.5%; chi(2) = 28.65; P &lt; 0.0001). Among the HIV-positive subjects, those with fewer than 200 CD4+ cells/mu l were relatively more likely to be seropositive for E. histolytica (60.3% v. 43.8%; chi(2) = 4.016; P = 0.045). This is the first report indicating a positive association between E. histolytica infection and HIV in South Africa. Further studies, for example to determine the occurrence of diarrhoea or liver abscess in the study area, in relation to seropositivity for E. histolytica and/or HIV, are now needed.","container-title":"Annals of Tropical Medicine and Parasitology","DOI":"10.1179/136485910X12607012373911","ISSN":"0003-4983","issue":"1","note":"WOS:000274511400004","page":"55-63","title":"Seroprevalence of Entamoeba histolytica in the context of HIV and AIDS: the case of Vhembe district, in South Africa's Limpopo province","volume":"104","author":[{"family":"Samie","given":"A."},{"family":"Barrett","given":"L. J."},{"family":"Bessong","given":"P. O."},{"family":"Ramalivhana","given":"J. N."},{"family":"Mavhandu","given":"L. G."},{"family":"Njayou","given":"M."},{"family":"Guerrant","given":"R. L."}],"issued":{"date-parts":[["2010",1]]}}}],"schema":"https://github.com/citation-style-language/schema/raw/master/csl-citation.json"} </w:instrText>
      </w:r>
      <w:r w:rsidR="00C9795E" w:rsidRPr="00D11245">
        <w:rPr>
          <w:rFonts w:cstheme="minorHAnsi"/>
          <w:color w:val="000000" w:themeColor="text1"/>
          <w:sz w:val="24"/>
          <w:szCs w:val="24"/>
        </w:rPr>
        <w:fldChar w:fldCharType="separate"/>
      </w:r>
      <w:r w:rsidR="009C3E63" w:rsidRPr="00D11245">
        <w:rPr>
          <w:rFonts w:ascii="Calibri" w:hAnsi="Calibri" w:cs="Calibri"/>
          <w:color w:val="000000" w:themeColor="text1"/>
          <w:kern w:val="0"/>
          <w:sz w:val="24"/>
          <w:vertAlign w:val="superscript"/>
        </w:rPr>
        <w:t>4,29,45–48</w:t>
      </w:r>
      <w:r w:rsidR="00C9795E" w:rsidRPr="00D11245">
        <w:rPr>
          <w:rFonts w:cstheme="minorHAnsi"/>
          <w:color w:val="000000" w:themeColor="text1"/>
          <w:sz w:val="24"/>
          <w:szCs w:val="24"/>
        </w:rPr>
        <w:fldChar w:fldCharType="end"/>
      </w:r>
      <w:r w:rsidRPr="00D11245">
        <w:rPr>
          <w:rFonts w:cstheme="minorHAnsi"/>
          <w:color w:val="000000" w:themeColor="text1"/>
          <w:sz w:val="24"/>
          <w:szCs w:val="24"/>
        </w:rPr>
        <w:t xml:space="preserve">. </w:t>
      </w:r>
      <w:r w:rsidR="004E2862" w:rsidRPr="00D11245">
        <w:rPr>
          <w:rFonts w:cstheme="minorHAnsi"/>
          <w:color w:val="000000" w:themeColor="text1"/>
          <w:sz w:val="24"/>
          <w:szCs w:val="24"/>
        </w:rPr>
        <w:t xml:space="preserve">Importantly, carriage may occur via a sexual contact who has travelled to an endemic region, and not necessarily </w:t>
      </w:r>
      <w:r w:rsidR="00F97D1C" w:rsidRPr="00D11245">
        <w:rPr>
          <w:rFonts w:cstheme="minorHAnsi"/>
          <w:color w:val="000000" w:themeColor="text1"/>
          <w:sz w:val="24"/>
          <w:szCs w:val="24"/>
        </w:rPr>
        <w:t xml:space="preserve">via </w:t>
      </w:r>
      <w:r w:rsidR="004E2862" w:rsidRPr="00D11245">
        <w:rPr>
          <w:rFonts w:cstheme="minorHAnsi"/>
          <w:color w:val="000000" w:themeColor="text1"/>
          <w:sz w:val="24"/>
          <w:szCs w:val="24"/>
        </w:rPr>
        <w:t xml:space="preserve">travel by the symptomatic patient.  </w:t>
      </w:r>
    </w:p>
    <w:p w14:paraId="061B1ADC" w14:textId="475AF833" w:rsidR="00DC4A23" w:rsidRPr="00D11245" w:rsidRDefault="00DC4A23" w:rsidP="00DC4A23">
      <w:pPr>
        <w:jc w:val="both"/>
        <w:rPr>
          <w:rFonts w:cstheme="minorHAnsi"/>
          <w:color w:val="000000" w:themeColor="text1"/>
          <w:sz w:val="24"/>
          <w:szCs w:val="24"/>
        </w:rPr>
      </w:pPr>
      <w:r w:rsidRPr="00D11245">
        <w:rPr>
          <w:rFonts w:cstheme="minorHAnsi"/>
          <w:i/>
          <w:iCs/>
          <w:color w:val="000000" w:themeColor="text1"/>
          <w:sz w:val="24"/>
          <w:szCs w:val="24"/>
        </w:rPr>
        <w:t>E. histolytica</w:t>
      </w:r>
      <w:r w:rsidRPr="00D11245">
        <w:rPr>
          <w:rFonts w:cstheme="minorHAnsi"/>
          <w:color w:val="000000" w:themeColor="text1"/>
          <w:sz w:val="24"/>
          <w:szCs w:val="24"/>
        </w:rPr>
        <w:t xml:space="preserve"> infection affects children and adults equally and </w:t>
      </w:r>
      <w:r w:rsidR="00B72098" w:rsidRPr="00D11245">
        <w:rPr>
          <w:rFonts w:cstheme="minorHAnsi"/>
          <w:color w:val="000000" w:themeColor="text1"/>
          <w:sz w:val="24"/>
          <w:szCs w:val="24"/>
        </w:rPr>
        <w:t>can</w:t>
      </w:r>
      <w:r w:rsidRPr="00D11245">
        <w:rPr>
          <w:rFonts w:cstheme="minorHAnsi"/>
          <w:color w:val="000000" w:themeColor="text1"/>
          <w:sz w:val="24"/>
          <w:szCs w:val="24"/>
        </w:rPr>
        <w:t xml:space="preserve"> spread within families </w:t>
      </w:r>
      <w:r w:rsidR="00994460" w:rsidRPr="00D11245">
        <w:rPr>
          <w:rFonts w:cstheme="minorHAnsi"/>
          <w:color w:val="000000" w:themeColor="text1"/>
          <w:sz w:val="24"/>
          <w:szCs w:val="24"/>
        </w:rPr>
        <w:fldChar w:fldCharType="begin"/>
      </w:r>
      <w:r w:rsidR="00994460" w:rsidRPr="00D11245">
        <w:rPr>
          <w:rFonts w:cstheme="minorHAnsi"/>
          <w:color w:val="000000" w:themeColor="text1"/>
          <w:sz w:val="24"/>
          <w:szCs w:val="24"/>
        </w:rPr>
        <w:instrText xml:space="preserve"> ADDIN ZOTERO_ITEM CSL_CITATION {"citationID":"QCbU7Ss0","properties":{"formattedCitation":"\\super 4\\nosupersub{}","plainCitation":"4","noteIndex":0},"citationItems":[{"id":2848,"uris":["http://zotero.org/groups/2497994/items/4CQVJEEC",["http://zotero.org/groups/2497994/items/4CQVJEEC"]],"itemData":{"id":2848,"type":"article-journal","abstract":"&lt;h2&gt;Summary&lt;/h2&gt;&lt;p&gt;Amoebiasis is the second leading cause of death from parasitic disease worldwide. The causative protozoan parasite, &lt;i&gt;Entamoeba histolytica&lt;/i&gt;, is a potent pathogen. Secreting proteinases that dissolve host tissues, killing host cells on contact, and engulfing red blood cells, &lt;i&gt;E histolytica&lt;/i&gt; trophozoites invade the intestinal mucosa, causing amoebic colitis. In some cases amoebas breach the mucosal barrier and travel through the portal circulation to the liver, where they cause abscesses consisting of a few &lt;i&gt;E histolytica&lt;/i&gt; trophozoites surrounding dead and dying hepatocytes and liquefied cellular debris. Amoebic liver abscesses grow inexorably and, at one time, were almost always fatal, but now even large abscesses can be cured by one dose of antibiotic. Evidence that what we thought was a single species based on morphology is, in fact, two genetically distinct species—now termed &lt;i&gt;Entamoeba histolytica&lt;/i&gt; (the pathogen) and &lt;i&gt;Entamoeba dispar&lt;/i&gt; (a commensal)—has turned conventional wisdom about the epidemiology and diagnosis of amoebiasis upside down. New models of disease have linked &lt;i&gt;E histolytica&lt;/i&gt; induction of intestinal inflammation and hepatocyte programmed cell death to the pathogenesis of amoebic colitis and amoebic liver abscess.&lt;/p&gt;","container-title":"The Lancet","DOI":"10.1016/S0140-6736(03)12830-9","ISSN":"0140-6736, 1474-547X","issue":"9362","journalAbbreviation":"The Lancet","language":"English","note":"PMID: 12660071","page":"1025-1034","source":"www.thelancet.com","title":"Amoebiasis","volume":"361","author":[{"family":"Stanley","given":"Samuel L."}],"issued":{"date-parts":[["2003",3,22]]}}}],"schema":"https://github.com/citation-style-language/schema/raw/master/csl-citation.json"} </w:instrText>
      </w:r>
      <w:r w:rsidR="00994460" w:rsidRPr="00D11245">
        <w:rPr>
          <w:rFonts w:cstheme="minorHAnsi"/>
          <w:color w:val="000000" w:themeColor="text1"/>
          <w:sz w:val="24"/>
          <w:szCs w:val="24"/>
        </w:rPr>
        <w:fldChar w:fldCharType="separate"/>
      </w:r>
      <w:r w:rsidR="00994460" w:rsidRPr="00D11245">
        <w:rPr>
          <w:rFonts w:ascii="Calibri" w:hAnsi="Calibri" w:cs="Calibri"/>
          <w:color w:val="000000" w:themeColor="text1"/>
          <w:kern w:val="0"/>
          <w:sz w:val="24"/>
          <w:szCs w:val="24"/>
          <w:vertAlign w:val="superscript"/>
        </w:rPr>
        <w:t>4</w:t>
      </w:r>
      <w:r w:rsidR="00994460" w:rsidRPr="00D11245">
        <w:rPr>
          <w:rFonts w:cstheme="minorHAnsi"/>
          <w:color w:val="000000" w:themeColor="text1"/>
          <w:sz w:val="24"/>
          <w:szCs w:val="24"/>
        </w:rPr>
        <w:fldChar w:fldCharType="end"/>
      </w:r>
      <w:r w:rsidRPr="00D11245">
        <w:rPr>
          <w:rFonts w:cstheme="minorHAnsi"/>
          <w:color w:val="000000" w:themeColor="text1"/>
          <w:sz w:val="24"/>
          <w:szCs w:val="24"/>
        </w:rPr>
        <w:t xml:space="preserve">. Studies </w:t>
      </w:r>
      <w:r w:rsidR="00811E45" w:rsidRPr="00D11245">
        <w:rPr>
          <w:rFonts w:cstheme="minorHAnsi"/>
          <w:color w:val="000000" w:themeColor="text1"/>
          <w:sz w:val="24"/>
          <w:szCs w:val="24"/>
        </w:rPr>
        <w:t xml:space="preserve">in </w:t>
      </w:r>
      <w:r w:rsidR="00B33B19" w:rsidRPr="00D11245">
        <w:rPr>
          <w:rFonts w:cstheme="minorHAnsi"/>
          <w:color w:val="000000" w:themeColor="text1"/>
          <w:sz w:val="24"/>
          <w:szCs w:val="24"/>
        </w:rPr>
        <w:t xml:space="preserve">adults </w:t>
      </w:r>
      <w:r w:rsidRPr="00D11245">
        <w:rPr>
          <w:rFonts w:cstheme="minorHAnsi"/>
          <w:color w:val="000000" w:themeColor="text1"/>
          <w:sz w:val="24"/>
          <w:szCs w:val="24"/>
        </w:rPr>
        <w:t>show</w:t>
      </w:r>
      <w:r w:rsidR="00B72098" w:rsidRPr="00D11245">
        <w:rPr>
          <w:rFonts w:cstheme="minorHAnsi"/>
          <w:color w:val="000000" w:themeColor="text1"/>
          <w:sz w:val="24"/>
          <w:szCs w:val="24"/>
        </w:rPr>
        <w:t xml:space="preserve"> </w:t>
      </w:r>
      <w:r w:rsidRPr="00D11245">
        <w:rPr>
          <w:rFonts w:cstheme="minorHAnsi"/>
          <w:color w:val="000000" w:themeColor="text1"/>
          <w:sz w:val="24"/>
          <w:szCs w:val="24"/>
        </w:rPr>
        <w:t xml:space="preserve">a male predominance, especially </w:t>
      </w:r>
      <w:r w:rsidR="00B72098" w:rsidRPr="00D11245">
        <w:rPr>
          <w:rFonts w:cstheme="minorHAnsi"/>
          <w:color w:val="000000" w:themeColor="text1"/>
          <w:sz w:val="24"/>
          <w:szCs w:val="24"/>
        </w:rPr>
        <w:t>for</w:t>
      </w:r>
      <w:r w:rsidRPr="00D11245">
        <w:rPr>
          <w:rFonts w:cstheme="minorHAnsi"/>
          <w:color w:val="000000" w:themeColor="text1"/>
          <w:sz w:val="24"/>
          <w:szCs w:val="24"/>
        </w:rPr>
        <w:t xml:space="preserve"> </w:t>
      </w:r>
      <w:r w:rsidR="00B72098" w:rsidRPr="00D11245">
        <w:rPr>
          <w:rFonts w:cstheme="minorHAnsi"/>
          <w:color w:val="000000" w:themeColor="text1"/>
          <w:sz w:val="24"/>
          <w:szCs w:val="24"/>
        </w:rPr>
        <w:t xml:space="preserve">amoebic </w:t>
      </w:r>
      <w:r w:rsidRPr="00D11245">
        <w:rPr>
          <w:rFonts w:cstheme="minorHAnsi"/>
          <w:color w:val="000000" w:themeColor="text1"/>
          <w:sz w:val="24"/>
          <w:szCs w:val="24"/>
        </w:rPr>
        <w:t>liver abscesses</w:t>
      </w:r>
      <w:r w:rsidR="00B72098" w:rsidRPr="00D11245">
        <w:rPr>
          <w:rFonts w:cstheme="minorHAnsi"/>
          <w:color w:val="000000" w:themeColor="text1"/>
          <w:sz w:val="24"/>
          <w:szCs w:val="24"/>
        </w:rPr>
        <w:t>,</w:t>
      </w:r>
      <w:r w:rsidRPr="00D11245">
        <w:rPr>
          <w:rFonts w:cstheme="minorHAnsi"/>
          <w:color w:val="000000" w:themeColor="text1"/>
          <w:sz w:val="24"/>
          <w:szCs w:val="24"/>
        </w:rPr>
        <w:t xml:space="preserve"> up to 72-76% </w:t>
      </w:r>
      <w:r w:rsidR="008E5C98" w:rsidRPr="00D11245">
        <w:rPr>
          <w:rFonts w:cstheme="minorHAnsi"/>
          <w:color w:val="000000" w:themeColor="text1"/>
          <w:sz w:val="24"/>
          <w:szCs w:val="24"/>
        </w:rPr>
        <w:t xml:space="preserve">of </w:t>
      </w:r>
      <w:r w:rsidRPr="00D11245">
        <w:rPr>
          <w:rFonts w:cstheme="minorHAnsi"/>
          <w:color w:val="000000" w:themeColor="text1"/>
          <w:sz w:val="24"/>
          <w:szCs w:val="24"/>
        </w:rPr>
        <w:t>adult</w:t>
      </w:r>
      <w:r w:rsidR="008E5C98" w:rsidRPr="00D11245">
        <w:rPr>
          <w:rFonts w:cstheme="minorHAnsi"/>
          <w:color w:val="000000" w:themeColor="text1"/>
          <w:sz w:val="24"/>
          <w:szCs w:val="24"/>
        </w:rPr>
        <w:t xml:space="preserve"> cases</w:t>
      </w:r>
      <w:r w:rsidR="00994460" w:rsidRPr="00D11245">
        <w:rPr>
          <w:rFonts w:cstheme="minorHAnsi"/>
          <w:color w:val="000000" w:themeColor="text1"/>
          <w:sz w:val="24"/>
          <w:szCs w:val="24"/>
        </w:rPr>
        <w:fldChar w:fldCharType="begin"/>
      </w:r>
      <w:r w:rsidR="009C3E63" w:rsidRPr="00D11245">
        <w:rPr>
          <w:rFonts w:cstheme="minorHAnsi"/>
          <w:color w:val="000000" w:themeColor="text1"/>
          <w:sz w:val="24"/>
          <w:szCs w:val="24"/>
        </w:rPr>
        <w:instrText xml:space="preserve"> ADDIN ZOTERO_ITEM CSL_CITATION {"citationID":"rJMprMz5","properties":{"formattedCitation":"\\super 4,6,29,31,47,49\\nosupersub{}","plainCitation":"4,6,29,31,47,49","noteIndex":0},"citationItems":[{"id":2848,"uris":["http://zotero.org/groups/2497994/items/4CQVJEEC",["http://zotero.org/groups/2497994/items/4CQVJEEC"]],"itemData":{"id":2848,"type":"article-journal","abstract":"&lt;h2&gt;Summary&lt;/h2&gt;&lt;p&gt;Amoebiasis is the second leading cause of death from parasitic disease worldwide. The causative protozoan parasite, &lt;i&gt;Entamoeba histolytica&lt;/i&gt;, is a potent pathogen. Secreting proteinases that dissolve host tissues, killing host cells on contact, and engulfing red blood cells, &lt;i&gt;E histolytica&lt;/i&gt; trophozoites invade the intestinal mucosa, causing amoebic colitis. In some cases amoebas breach the mucosal barrier and travel through the portal circulation to the liver, where they cause abscesses consisting of a few &lt;i&gt;E histolytica&lt;/i&gt; trophozoites surrounding dead and dying hepatocytes and liquefied cellular debris. Amoebic liver abscesses grow inexorably and, at one time, were almost always fatal, but now even large abscesses can be cured by one dose of antibiotic. Evidence that what we thought was a single species based on morphology is, in fact, two genetically distinct species—now termed &lt;i&gt;Entamoeba histolytica&lt;/i&gt; (the pathogen) and &lt;i&gt;Entamoeba dispar&lt;/i&gt; (a commensal)—has turned conventional wisdom about the epidemiology and diagnosis of amoebiasis upside down. New models of disease have linked &lt;i&gt;E histolytica&lt;/i&gt; induction of intestinal inflammation and hepatocyte programmed cell death to the pathogenesis of amoebic colitis and amoebic liver abscess.&lt;/p&gt;","container-title":"The Lancet","DOI":"10.1016/S0140-6736(03)12830-9","ISSN":"0140-6736, 1474-547X","issue":"9362","journalAbbreviation":"The Lancet","language":"English","note":"PMID: 12660071","page":"1025-1034","source":"www.thelancet.com","title":"Amoebiasis","volume":"361","author":[{"family":"Stanley","given":"Samuel L."}],"issued":{"date-parts":[["2003",3,22]]}}},{"id":1684,"uris":["http://zotero.org/groups/2497994/items/8XTEUHWF",["http://zotero.org/groups/2497994/items/8XTEUHWF"]],"itemData":{"id":1684,"type":"article-journal","abstract":"Amebiasis, due to the pathogenic parasite Entamoeba histolytica, is a leading cause of diarrhea globally. Largely an infection of impoverished communities in developing countries, amebiasis has emerged as an important infection among returning travelers, immigrants, and men who have sex with men residing in developed countries. Severe cases can be associated with high case fatality. Polymerase chain reaction-based diagnosis is increasingly available but remains underutilized. Nitroimidazoles are currently recommended for treatment, but new drug development to treat parasitic agents is a high priority. Amebiasis should be considered before corticosteroid therapy to decrease complications. There is no effective vaccine, so prevention focuses on sanitation and access to clean water. Further understanding of parasite biology and pathogenesis will advance future targeted therapeutic and preventative strategies.Copyright © The Author(s) 2018. Published by Oxford University Press on behalf of Infectious Diseases Society of America.","container-title":"Open Forum Infectious Diseases","DOI":"10.1093/ofid/ofy161","ISSN":"2328-8957 (electronic)","issue":"7","journalAbbreviation":"Open Forum Infect. Dis.","language":"English","note":"publisher-place: United States\npublisher: Oxford University Press (E-mail: info@idsociety.org)","page":"ofy161","title":"A review of the global burden, new diagnostics, and current Therapeutics for amebiasis","volume":"5","author":[{"literal":"Shirley D.T."},{"literal":"Farr L."},{"literal":"Watanabe K."},{"literal":"Moonah S."}],"issued":{"date-parts":[["2018"]]}}},{"id":2200,"uris":["http://zotero.org/groups/2497994/items/ZIQK79Q3",["http://zotero.org/groups/2497994/items/ZIQK79Q3"]],"itemData":{"id":2200,"type":"article-journal","abstract":"Entamoeba histolytica is the responsible parasite of amoebiasis and remains one of the top three parasitic causes of mortality worldwide. With increased travel and emigration to developed countries, infection is becoming more common in nonendemic areas. Although the majority of individuals infected with E. histolytica remain asymptomatic, some present with amoebic colitis and disseminated disease. As more is learned about its pathogenesis and the host's immune response, the potential for developing a vaccine holds promise. This narrative review outlines the current knowledge regarding E. histolytica and E. dispar and insight in the development of a vaccine.Copyright © 2018 Micaella Kantor et al.","container-title":"Canadian Journal of Gastroenterology and Hepatology","DOI":"10.1155/2018/4601420","ISSN":"2291-2789","issue":"(Kantor, Abrantes, Estevez, Schiller, Torrent, Gascon, Hernandez) Kendall Regional Medical Center, Miami, FL, United States","journalAbbreviation":"Can. J. Gastroenterol. Hepatol.","language":"English","note":"publisher-place: United States\npublisher: Hindawi Limited (410 Park Avenue, 15th Floor, 287 pmb, New York NY 10022, United States)","page":"4601420","title":"Entamoeba Histolytica: Updates in Clinical Manifestation, Pathogenesis, and Vaccine Development","volume":"2018","author":[{"literal":"Kantor M."},{"literal":"Abrantes A."},{"literal":"Estevez A."},{"literal":"Schiller A."},{"literal":"Torrent J."},{"literal":"Gascon J."},{"literal":"Hernandez R."},{"literal":"Ochner C."}],"issued":{"date-parts":[["2018"]]}}},{"id":1899,"uris":["http://zotero.org/groups/2497994/items/WRZSZ6VD",["http://zotero.org/groups/2497994/items/WRZSZ6VD"]],"itemData":{"id":1899,"type":"article-journal","abstract":"Background Amoebic colitis is the most frequent clinical manifestation of invasive intestinal infection due to Entamoeba histolytica and a common cause of diarrhoea worldwide. Since higher transmission rates are usually related to poor health and exposure to unhygienic conditions, cases reported in Europe usually involve immigrants and international travellers. The goal of this study was to characterise both the clinical and the epidemiological features of a European population diagnosed with amoebic colitis and then to evaluate the diagnostic tools and therapeutic options applied. Methods and results This was a retrospective observational study in which data from all patients diagnosed with amoebic colitis attending at the International Health Units of two tertiary referral hospitals, Germans Trias i Pujol University Hospital (Badalona, North Barcelona Metropolitan Area) and Vall d'Hebron University Hospital (Barcelona city) between 2007 and 2017 were analysed. During the study period 50 patients were diagnosed with amoebic colitis. Thirty-six (72%) were men, and immigrants accounted for 46% of all cases. Antecedents of any international travel were reported for 28 (56%), the most frequent destinations having been the Indian subcontinent, South and Central America and sub-Saharan Africa. Preexisting pathological conditions or any kind of immunosuppression were identified in 29 (58%) patients; of these, 13 (26%) had HIV infection-all of them men who have sex with men-and 5 (10%) had inflammatory bowel disease. Diarrhoea, abdominal pain and dysentery were the most frequently recorded symptoms of invasive amoebae. Diagnosis was made through microbiological study in 45 (90%) and/or histological identification of amoebae in colon biopsies in 10 (20%). After treatment with metronidazole (82%) or tinidazole (8%), all patients had good outcomes. Post-acute intraluminal treatment was indicated in 28 (56%). Conclusions Amoebic colitis should be suspected in patients with diarrhoea and compatible epidemiological risk factors (immigration, travelling abroad or men who have sex with men), especially if some degree of immunosuppression concurs. These risk factors must be taken into account in any diagnostic approach to inflammatory bowel disease (IBD), and active searches for stool parasites should be performed in such cases to rule out misdiagnosis or simultaneous amoebic infection. Treatment should include intraluminal anti-amoebic treatment in order to avoid relapse and prevent further spread of the disease.Copyright © 2019 Roure et al. This is an open access article distributed under the terms of the Creative Commons Attribution License, which permits unrestricted use, distribution, and reproduction in any medium, provided the original author and source are credited.","container-title":"PLoS ONE","DOI":"10.1371/journal.pone.0212791","ISSN":"1932-6203 (electronic)","issue":"2","journalAbbreviation":"PLoS ONE","language":"English","note":"publisher-place: United States\npublisher: Public Library of Science (E-mail: plos@plos.org)","page":"e0212791","title":"Approach to amoebic colitis: Epidemiological, clinical and diagnostic considerations in a non-endemic context (Barcelona, 2007-2017)","volume":"14","author":[{"literal":"Roure S."},{"literal":"Valerio L."},{"literal":"Soldevila L."},{"literal":"Salvador F."},{"literal":"Fernandez-Rivas G."},{"literal":"Sulleiro E."},{"literal":"Manosa M."},{"literal":"Sopena N."},{"literal":"Mate J.L."},{"literal":"Clotet B."}],"issued":{"date-parts":[["2019"]]}}},{"id":2829,"uris":["http://zotero.org/groups/2497994/items/VBJUH6JK",["http://zotero.org/groups/2497994/items/VBJUH6JK"]],"itemData":{"id":2829,"type":"article-journal","abstract":"Endoscopic diagnosis of amebic colitis can be difficult because its appearance may mimic other forms of colonic disease. The aim of this study was to identify predictive endoscopic findings for amebic colitis. Patients with suspected amebic colitis based on distinctive endoscopic findings such as aphthae or erosions, ulcers, exudates, or a bump, were included in the study. A total of 157 patients were selected, 50 of whom had amebic colitis. The sensitivity and specificity of endoscopic findings that were significantly associated with amebic colitis were: cecal lesions (80 % and 54 %), multiple number of lesions (96 % and 29 %), presence of aphthae or erosions (84 % and 37 %), and presence of exudate (88 % and 74 %). Multivariate analysis revealed that the best combination of findings to predict amebic colitis was the presence of cecal lesions, multiple lesions, and exudates, which corresponded to an area under the receiver operating characteristic curve of 0.89 (95 % confidence interval 0.82 – 0.95).","container-title":"Endoscopy","DOI":"10.1055/s-0031-1291631","ISSN":"0013-726X, 1438-8812","issue":"04","journalAbbreviation":"Endoscopy","language":"en","page":"425-428","source":"DOI.org (Crossref)","title":"Predictive value of endoscopic findings in the diagnosis of active intestinal amebiasis","volume":"44","author":[{"family":"Nagata","given":"N."},{"family":"Shimbo","given":"T."},{"family":"Akiyama","given":"J."},{"family":"Nakashima","given":"R."},{"family":"Niikura","given":"R."},{"family":"Nishimura","given":"S."},{"family":"Yada","given":"T."},{"family":"Watanabe","given":"K."},{"family":"Oka","given":"S."},{"family":"Uemura","given":"N."}],"issued":{"date-parts":[["2012",4]]}}},{"id":16661,"uris":["http://zotero.org/groups/2497994/items/TC4CFKBI"],"itemData":{"id":16661,"type":"article-journal","container-title":"American Journal of Gastroenterology","DOI":"10.1111/j.1572-0241.2000.01525.x","ISSN":"0002-9270","issue":"5","language":"en","page":"1277-1283","source":"DOI.org (Crossref)","title":"Gender Distribution in Asymptomatic and Invasive Amebiasis","volume":"95","author":[{"family":"Acuna-Soto","given":"R"},{"family":"Maguire","given":"J H"},{"family":"Wirth","given":"D F"}],"issued":{"date-parts":[["2000",5]]}}}],"schema":"https://github.com/citation-style-language/schema/raw/master/csl-citation.json"} </w:instrText>
      </w:r>
      <w:r w:rsidR="00994460" w:rsidRPr="00D11245">
        <w:rPr>
          <w:rFonts w:cstheme="minorHAnsi"/>
          <w:color w:val="000000" w:themeColor="text1"/>
          <w:sz w:val="24"/>
          <w:szCs w:val="24"/>
        </w:rPr>
        <w:fldChar w:fldCharType="separate"/>
      </w:r>
      <w:r w:rsidR="009C3E63" w:rsidRPr="00D11245">
        <w:rPr>
          <w:rFonts w:ascii="Calibri" w:hAnsi="Calibri" w:cs="Calibri"/>
          <w:color w:val="000000" w:themeColor="text1"/>
          <w:kern w:val="0"/>
          <w:sz w:val="24"/>
          <w:vertAlign w:val="superscript"/>
        </w:rPr>
        <w:t>4,6,29,31,47,49</w:t>
      </w:r>
      <w:r w:rsidR="00994460" w:rsidRPr="00D11245">
        <w:rPr>
          <w:rFonts w:cstheme="minorHAnsi"/>
          <w:color w:val="000000" w:themeColor="text1"/>
          <w:sz w:val="24"/>
          <w:szCs w:val="24"/>
        </w:rPr>
        <w:fldChar w:fldCharType="end"/>
      </w:r>
      <w:r w:rsidRPr="00D11245">
        <w:rPr>
          <w:rFonts w:cstheme="minorHAnsi"/>
          <w:color w:val="000000" w:themeColor="text1"/>
          <w:sz w:val="24"/>
          <w:szCs w:val="24"/>
        </w:rPr>
        <w:t xml:space="preserve">. The reason for this is not known; it may be due to higher alcohol consumption amongst males, with liver injury increasing susceptibility to abscess formation. </w:t>
      </w:r>
      <w:r w:rsidRPr="00D11245">
        <w:rPr>
          <w:rFonts w:cstheme="minorHAnsi"/>
          <w:color w:val="000000" w:themeColor="text1"/>
          <w:sz w:val="24"/>
          <w:szCs w:val="24"/>
        </w:rPr>
        <w:lastRenderedPageBreak/>
        <w:t xml:space="preserve">Post-menopausal women </w:t>
      </w:r>
      <w:r w:rsidR="00BA6A63" w:rsidRPr="00D11245">
        <w:rPr>
          <w:rFonts w:cstheme="minorHAnsi"/>
          <w:color w:val="000000" w:themeColor="text1"/>
          <w:sz w:val="24"/>
          <w:szCs w:val="24"/>
        </w:rPr>
        <w:t xml:space="preserve">are </w:t>
      </w:r>
      <w:r w:rsidRPr="00D11245">
        <w:rPr>
          <w:rFonts w:cstheme="minorHAnsi"/>
          <w:color w:val="000000" w:themeColor="text1"/>
          <w:sz w:val="24"/>
          <w:szCs w:val="24"/>
        </w:rPr>
        <w:t>also at increased risk of liver abscesses</w:t>
      </w:r>
      <w:r w:rsidR="00B57622" w:rsidRPr="00D11245">
        <w:rPr>
          <w:rFonts w:cstheme="minorHAnsi"/>
          <w:color w:val="000000" w:themeColor="text1"/>
          <w:sz w:val="24"/>
          <w:szCs w:val="24"/>
        </w:rPr>
        <w:t>;</w:t>
      </w:r>
      <w:r w:rsidRPr="00D11245">
        <w:rPr>
          <w:rFonts w:cstheme="minorHAnsi"/>
          <w:color w:val="000000" w:themeColor="text1"/>
          <w:sz w:val="24"/>
          <w:szCs w:val="24"/>
        </w:rPr>
        <w:t xml:space="preserve"> it is speculated hormonal </w:t>
      </w:r>
      <w:r w:rsidR="00BA6A63" w:rsidRPr="00D11245">
        <w:rPr>
          <w:rFonts w:cstheme="minorHAnsi"/>
          <w:color w:val="000000" w:themeColor="text1"/>
          <w:sz w:val="24"/>
          <w:szCs w:val="24"/>
        </w:rPr>
        <w:t xml:space="preserve">factors </w:t>
      </w:r>
      <w:r w:rsidRPr="00D11245">
        <w:rPr>
          <w:rFonts w:cstheme="minorHAnsi"/>
          <w:color w:val="000000" w:themeColor="text1"/>
          <w:sz w:val="24"/>
          <w:szCs w:val="24"/>
        </w:rPr>
        <w:t xml:space="preserve">in this group may be relevant </w:t>
      </w:r>
      <w:r w:rsidR="00994460" w:rsidRPr="00D11245">
        <w:rPr>
          <w:rFonts w:cstheme="minorHAnsi"/>
          <w:color w:val="000000" w:themeColor="text1"/>
          <w:sz w:val="24"/>
          <w:szCs w:val="24"/>
        </w:rPr>
        <w:fldChar w:fldCharType="begin"/>
      </w:r>
      <w:r w:rsidR="009C3E63" w:rsidRPr="00D11245">
        <w:rPr>
          <w:rFonts w:cstheme="minorHAnsi"/>
          <w:color w:val="000000" w:themeColor="text1"/>
          <w:sz w:val="24"/>
          <w:szCs w:val="24"/>
        </w:rPr>
        <w:instrText xml:space="preserve"> ADDIN ZOTERO_ITEM CSL_CITATION {"citationID":"W1q3UnVD","properties":{"formattedCitation":"\\super 4,29\\nosupersub{}","plainCitation":"4,29","noteIndex":0},"citationItems":[{"id":2848,"uris":["http://zotero.org/groups/2497994/items/4CQVJEEC",["http://zotero.org/groups/2497994/items/4CQVJEEC"]],"itemData":{"id":2848,"type":"article-journal","abstract":"&lt;h2&gt;Summary&lt;/h2&gt;&lt;p&gt;Amoebiasis is the second leading cause of death from parasitic disease worldwide. The causative protozoan parasite, &lt;i&gt;Entamoeba histolytica&lt;/i&gt;, is a potent pathogen. Secreting proteinases that dissolve host tissues, killing host cells on contact, and engulfing red blood cells, &lt;i&gt;E histolytica&lt;/i&gt; trophozoites invade the intestinal mucosa, causing amoebic colitis. In some cases amoebas breach the mucosal barrier and travel through the portal circulation to the liver, where they cause abscesses consisting of a few &lt;i&gt;E histolytica&lt;/i&gt; trophozoites surrounding dead and dying hepatocytes and liquefied cellular debris. Amoebic liver abscesses grow inexorably and, at one time, were almost always fatal, but now even large abscesses can be cured by one dose of antibiotic. Evidence that what we thought was a single species based on morphology is, in fact, two genetically distinct species—now termed &lt;i&gt;Entamoeba histolytica&lt;/i&gt; (the pathogen) and &lt;i&gt;Entamoeba dispar&lt;/i&gt; (a commensal)—has turned conventional wisdom about the epidemiology and diagnosis of amoebiasis upside down. New models of disease have linked &lt;i&gt;E histolytica&lt;/i&gt; induction of intestinal inflammation and hepatocyte programmed cell death to the pathogenesis of amoebic colitis and amoebic liver abscess.&lt;/p&gt;","container-title":"The Lancet","DOI":"10.1016/S0140-6736(03)12830-9","ISSN":"0140-6736, 1474-547X","issue":"9362","journalAbbreviation":"The Lancet","language":"English","note":"PMID: 12660071","page":"1025-1034","source":"www.thelancet.com","title":"Amoebiasis","volume":"361","author":[{"family":"Stanley","given":"Samuel L."}],"issued":{"date-parts":[["2003",3,22]]}}},{"id":2200,"uris":["http://zotero.org/groups/2497994/items/ZIQK79Q3",["http://zotero.org/groups/2497994/items/ZIQK79Q3"]],"itemData":{"id":2200,"type":"article-journal","abstract":"Entamoeba histolytica is the responsible parasite of amoebiasis and remains one of the top three parasitic causes of mortality worldwide. With increased travel and emigration to developed countries, infection is becoming more common in nonendemic areas. Although the majority of individuals infected with E. histolytica remain asymptomatic, some present with amoebic colitis and disseminated disease. As more is learned about its pathogenesis and the host's immune response, the potential for developing a vaccine holds promise. This narrative review outlines the current knowledge regarding E. histolytica and E. dispar and insight in the development of a vaccine.Copyright © 2018 Micaella Kantor et al.","container-title":"Canadian Journal of Gastroenterology and Hepatology","DOI":"10.1155/2018/4601420","ISSN":"2291-2789","issue":"(Kantor, Abrantes, Estevez, Schiller, Torrent, Gascon, Hernandez) Kendall Regional Medical Center, Miami, FL, United States","journalAbbreviation":"Can. J. Gastroenterol. Hepatol.","language":"English","note":"publisher-place: United States\npublisher: Hindawi Limited (410 Park Avenue, 15th Floor, 287 pmb, New York NY 10022, United States)","page":"4601420","title":"Entamoeba Histolytica: Updates in Clinical Manifestation, Pathogenesis, and Vaccine Development","volume":"2018","author":[{"literal":"Kantor M."},{"literal":"Abrantes A."},{"literal":"Estevez A."},{"literal":"Schiller A."},{"literal":"Torrent J."},{"literal":"Gascon J."},{"literal":"Hernandez R."},{"literal":"Ochner C."}],"issued":{"date-parts":[["2018"]]}}}],"schema":"https://github.com/citation-style-language/schema/raw/master/csl-citation.json"} </w:instrText>
      </w:r>
      <w:r w:rsidR="00994460" w:rsidRPr="00D11245">
        <w:rPr>
          <w:rFonts w:cstheme="minorHAnsi"/>
          <w:color w:val="000000" w:themeColor="text1"/>
          <w:sz w:val="24"/>
          <w:szCs w:val="24"/>
        </w:rPr>
        <w:fldChar w:fldCharType="separate"/>
      </w:r>
      <w:r w:rsidR="009C3E63" w:rsidRPr="00D11245">
        <w:rPr>
          <w:rFonts w:ascii="Calibri" w:hAnsi="Calibri" w:cs="Calibri"/>
          <w:color w:val="000000" w:themeColor="text1"/>
          <w:kern w:val="0"/>
          <w:sz w:val="24"/>
          <w:vertAlign w:val="superscript"/>
        </w:rPr>
        <w:t>4,29</w:t>
      </w:r>
      <w:r w:rsidR="00994460" w:rsidRPr="00D11245">
        <w:rPr>
          <w:rFonts w:cstheme="minorHAnsi"/>
          <w:color w:val="000000" w:themeColor="text1"/>
          <w:sz w:val="24"/>
          <w:szCs w:val="24"/>
        </w:rPr>
        <w:fldChar w:fldCharType="end"/>
      </w:r>
      <w:r w:rsidRPr="00D11245">
        <w:rPr>
          <w:rFonts w:cstheme="minorHAnsi"/>
          <w:color w:val="000000" w:themeColor="text1"/>
          <w:sz w:val="24"/>
          <w:szCs w:val="24"/>
        </w:rPr>
        <w:t xml:space="preserve">. The Monthly Infectious Diseases Surveillance Report produced by Public Health Ontario, </w:t>
      </w:r>
      <w:r w:rsidR="008E5C98" w:rsidRPr="00D11245">
        <w:rPr>
          <w:rFonts w:cstheme="minorHAnsi"/>
          <w:color w:val="000000" w:themeColor="text1"/>
          <w:sz w:val="24"/>
          <w:szCs w:val="24"/>
        </w:rPr>
        <w:t>Canada</w:t>
      </w:r>
      <w:r w:rsidRPr="00D11245">
        <w:rPr>
          <w:rFonts w:cstheme="minorHAnsi"/>
          <w:color w:val="000000" w:themeColor="text1"/>
          <w:sz w:val="24"/>
          <w:szCs w:val="24"/>
        </w:rPr>
        <w:t>, found a peak incidence in men age</w:t>
      </w:r>
      <w:r w:rsidR="003C41A9" w:rsidRPr="00D11245">
        <w:rPr>
          <w:rFonts w:cstheme="minorHAnsi"/>
          <w:color w:val="000000" w:themeColor="text1"/>
          <w:sz w:val="24"/>
          <w:szCs w:val="24"/>
        </w:rPr>
        <w:t>d</w:t>
      </w:r>
      <w:r w:rsidRPr="00D11245">
        <w:rPr>
          <w:rFonts w:cstheme="minorHAnsi"/>
          <w:color w:val="000000" w:themeColor="text1"/>
          <w:sz w:val="24"/>
          <w:szCs w:val="24"/>
        </w:rPr>
        <w:t xml:space="preserve"> 40-49 years  and a Japanese review </w:t>
      </w:r>
      <w:r w:rsidR="008E5C98" w:rsidRPr="00D11245">
        <w:rPr>
          <w:rFonts w:cstheme="minorHAnsi"/>
          <w:color w:val="000000" w:themeColor="text1"/>
          <w:sz w:val="24"/>
          <w:szCs w:val="24"/>
        </w:rPr>
        <w:t>reported</w:t>
      </w:r>
      <w:r w:rsidRPr="00D11245">
        <w:rPr>
          <w:rFonts w:cstheme="minorHAnsi"/>
          <w:color w:val="000000" w:themeColor="text1"/>
          <w:sz w:val="24"/>
          <w:szCs w:val="24"/>
        </w:rPr>
        <w:t xml:space="preserve"> a median age of infection of 61 years</w:t>
      </w:r>
      <w:r w:rsidR="00994460" w:rsidRPr="00D11245">
        <w:rPr>
          <w:rFonts w:cstheme="minorHAnsi"/>
          <w:color w:val="000000" w:themeColor="text1"/>
          <w:sz w:val="24"/>
          <w:szCs w:val="24"/>
        </w:rPr>
        <w:t xml:space="preserve"> </w:t>
      </w:r>
      <w:r w:rsidR="00994460" w:rsidRPr="00D11245">
        <w:rPr>
          <w:rFonts w:cstheme="minorHAnsi"/>
          <w:color w:val="000000" w:themeColor="text1"/>
          <w:sz w:val="24"/>
          <w:szCs w:val="24"/>
        </w:rPr>
        <w:fldChar w:fldCharType="begin"/>
      </w:r>
      <w:r w:rsidR="009C3E63" w:rsidRPr="00D11245">
        <w:rPr>
          <w:rFonts w:cstheme="minorHAnsi"/>
          <w:color w:val="000000" w:themeColor="text1"/>
          <w:sz w:val="24"/>
          <w:szCs w:val="24"/>
        </w:rPr>
        <w:instrText xml:space="preserve"> ADDIN ZOTERO_ITEM CSL_CITATION {"citationID":"ibxTCDXT","properties":{"formattedCitation":"\\super 29,47\\nosupersub{}","plainCitation":"29,47","noteIndex":0},"citationItems":[{"id":2200,"uris":["http://zotero.org/groups/2497994/items/ZIQK79Q3",["http://zotero.org/groups/2497994/items/ZIQK79Q3"]],"itemData":{"id":2200,"type":"article-journal","abstract":"Entamoeba histolytica is the responsible parasite of amoebiasis and remains one of the top three parasitic causes of mortality worldwide. With increased travel and emigration to developed countries, infection is becoming more common in nonendemic areas. Although the majority of individuals infected with E. histolytica remain asymptomatic, some present with amoebic colitis and disseminated disease. As more is learned about its pathogenesis and the host's immune response, the potential for developing a vaccine holds promise. This narrative review outlines the current knowledge regarding E. histolytica and E. dispar and insight in the development of a vaccine.Copyright © 2018 Micaella Kantor et al.","container-title":"Canadian Journal of Gastroenterology and Hepatology","DOI":"10.1155/2018/4601420","ISSN":"2291-2789","issue":"(Kantor, Abrantes, Estevez, Schiller, Torrent, Gascon, Hernandez) Kendall Regional Medical Center, Miami, FL, United States","journalAbbreviation":"Can. J. Gastroenterol. Hepatol.","language":"English","note":"publisher-place: United States\npublisher: Hindawi Limited (410 Park Avenue, 15th Floor, 287 pmb, New York NY 10022, United States)","page":"4601420","title":"Entamoeba Histolytica: Updates in Clinical Manifestation, Pathogenesis, and Vaccine Development","volume":"2018","author":[{"literal":"Kantor M."},{"literal":"Abrantes A."},{"literal":"Estevez A."},{"literal":"Schiller A."},{"literal":"Torrent J."},{"literal":"Gascon J."},{"literal":"Hernandez R."},{"literal":"Ochner C."}],"issued":{"date-parts":[["2018"]]}}},{"id":2829,"uris":["http://zotero.org/groups/2497994/items/VBJUH6JK",["http://zotero.org/groups/2497994/items/VBJUH6JK"]],"itemData":{"id":2829,"type":"article-journal","abstract":"Endoscopic diagnosis of amebic colitis can be difficult because its appearance may mimic other forms of colonic disease. The aim of this study was to identify predictive endoscopic findings for amebic colitis. Patients with suspected amebic colitis based on distinctive endoscopic findings such as aphthae or erosions, ulcers, exudates, or a bump, were included in the study. A total of 157 patients were selected, 50 of whom had amebic colitis. The sensitivity and specificity of endoscopic findings that were significantly associated with amebic colitis were: cecal lesions (80 % and 54 %), multiple number of lesions (96 % and 29 %), presence of aphthae or erosions (84 % and 37 %), and presence of exudate (88 % and 74 %). Multivariate analysis revealed that the best combination of findings to predict amebic colitis was the presence of cecal lesions, multiple lesions, and exudates, which corresponded to an area under the receiver operating characteristic curve of 0.89 (95 % confidence interval 0.82 – 0.95).","container-title":"Endoscopy","DOI":"10.1055/s-0031-1291631","ISSN":"0013-726X, 1438-8812","issue":"04","journalAbbreviation":"Endoscopy","language":"en","page":"425-428","source":"DOI.org (Crossref)","title":"Predictive value of endoscopic findings in the diagnosis of active intestinal amebiasis","volume":"44","author":[{"family":"Nagata","given":"N."},{"family":"Shimbo","given":"T."},{"family":"Akiyama","given":"J."},{"family":"Nakashima","given":"R."},{"family":"Niikura","given":"R."},{"family":"Nishimura","given":"S."},{"family":"Yada","given":"T."},{"family":"Watanabe","given":"K."},{"family":"Oka","given":"S."},{"family":"Uemura","given":"N."}],"issued":{"date-parts":[["2012",4]]}}}],"schema":"https://github.com/citation-style-language/schema/raw/master/csl-citation.json"} </w:instrText>
      </w:r>
      <w:r w:rsidR="00994460" w:rsidRPr="00D11245">
        <w:rPr>
          <w:rFonts w:cstheme="minorHAnsi"/>
          <w:color w:val="000000" w:themeColor="text1"/>
          <w:sz w:val="24"/>
          <w:szCs w:val="24"/>
        </w:rPr>
        <w:fldChar w:fldCharType="separate"/>
      </w:r>
      <w:r w:rsidR="009C3E63" w:rsidRPr="00D11245">
        <w:rPr>
          <w:rFonts w:ascii="Calibri" w:hAnsi="Calibri" w:cs="Calibri"/>
          <w:color w:val="000000" w:themeColor="text1"/>
          <w:kern w:val="0"/>
          <w:sz w:val="24"/>
          <w:vertAlign w:val="superscript"/>
        </w:rPr>
        <w:t>29,47</w:t>
      </w:r>
      <w:r w:rsidR="00994460" w:rsidRPr="00D11245">
        <w:rPr>
          <w:rFonts w:cstheme="minorHAnsi"/>
          <w:color w:val="000000" w:themeColor="text1"/>
          <w:sz w:val="24"/>
          <w:szCs w:val="24"/>
        </w:rPr>
        <w:fldChar w:fldCharType="end"/>
      </w:r>
      <w:r w:rsidRPr="00D11245">
        <w:rPr>
          <w:rFonts w:cstheme="minorHAnsi"/>
          <w:color w:val="000000" w:themeColor="text1"/>
          <w:sz w:val="24"/>
          <w:szCs w:val="24"/>
        </w:rPr>
        <w:t xml:space="preserve">. In </w:t>
      </w:r>
      <w:r w:rsidR="003C41A9" w:rsidRPr="00D11245">
        <w:rPr>
          <w:rFonts w:cstheme="minorHAnsi"/>
          <w:color w:val="000000" w:themeColor="text1"/>
          <w:sz w:val="24"/>
          <w:szCs w:val="24"/>
        </w:rPr>
        <w:t xml:space="preserve">the </w:t>
      </w:r>
      <w:r w:rsidRPr="00D11245">
        <w:rPr>
          <w:rFonts w:cstheme="minorHAnsi"/>
          <w:color w:val="000000" w:themeColor="text1"/>
          <w:sz w:val="24"/>
          <w:szCs w:val="24"/>
        </w:rPr>
        <w:t>USA, amoebiasis related deaths were found to be most prevalent for men over the age of 75 years</w:t>
      </w:r>
      <w:r w:rsidR="00994460" w:rsidRPr="00D11245">
        <w:rPr>
          <w:rFonts w:cstheme="minorHAnsi"/>
          <w:color w:val="000000" w:themeColor="text1"/>
          <w:sz w:val="24"/>
          <w:szCs w:val="24"/>
        </w:rPr>
        <w:fldChar w:fldCharType="begin"/>
      </w:r>
      <w:r w:rsidR="009C3E63" w:rsidRPr="00D11245">
        <w:rPr>
          <w:rFonts w:cstheme="minorHAnsi"/>
          <w:color w:val="000000" w:themeColor="text1"/>
          <w:sz w:val="24"/>
          <w:szCs w:val="24"/>
        </w:rPr>
        <w:instrText xml:space="preserve"> ADDIN ZOTERO_ITEM CSL_CITATION {"citationID":"1uIgDvcz","properties":{"formattedCitation":"\\super 29\\nosupersub{}","plainCitation":"29","noteIndex":0},"citationItems":[{"id":2200,"uris":["http://zotero.org/groups/2497994/items/ZIQK79Q3",["http://zotero.org/groups/2497994/items/ZIQK79Q3"]],"itemData":{"id":2200,"type":"article-journal","abstract":"Entamoeba histolytica is the responsible parasite of amoebiasis and remains one of the top three parasitic causes of mortality worldwide. With increased travel and emigration to developed countries, infection is becoming more common in nonendemic areas. Although the majority of individuals infected with E. histolytica remain asymptomatic, some present with amoebic colitis and disseminated disease. As more is learned about its pathogenesis and the host's immune response, the potential for developing a vaccine holds promise. This narrative review outlines the current knowledge regarding E. histolytica and E. dispar and insight in the development of a vaccine.Copyright © 2018 Micaella Kantor et al.","container-title":"Canadian Journal of Gastroenterology and Hepatology","DOI":"10.1155/2018/4601420","ISSN":"2291-2789","issue":"(Kantor, Abrantes, Estevez, Schiller, Torrent, Gascon, Hernandez) Kendall Regional Medical Center, Miami, FL, United States","journalAbbreviation":"Can. J. Gastroenterol. Hepatol.","language":"English","note":"publisher-place: United States\npublisher: Hindawi Limited (410 Park Avenue, 15th Floor, 287 pmb, New York NY 10022, United States)","page":"4601420","title":"Entamoeba Histolytica: Updates in Clinical Manifestation, Pathogenesis, and Vaccine Development","volume":"2018","author":[{"literal":"Kantor M."},{"literal":"Abrantes A."},{"literal":"Estevez A."},{"literal":"Schiller A."},{"literal":"Torrent J."},{"literal":"Gascon J."},{"literal":"Hernandez R."},{"literal":"Ochner C."}],"issued":{"date-parts":[["2018"]]}}}],"schema":"https://github.com/citation-style-language/schema/raw/master/csl-citation.json"} </w:instrText>
      </w:r>
      <w:r w:rsidR="00994460" w:rsidRPr="00D11245">
        <w:rPr>
          <w:rFonts w:cstheme="minorHAnsi"/>
          <w:color w:val="000000" w:themeColor="text1"/>
          <w:sz w:val="24"/>
          <w:szCs w:val="24"/>
        </w:rPr>
        <w:fldChar w:fldCharType="separate"/>
      </w:r>
      <w:r w:rsidR="009C3E63" w:rsidRPr="00D11245">
        <w:rPr>
          <w:rFonts w:ascii="Calibri" w:hAnsi="Calibri" w:cs="Calibri"/>
          <w:color w:val="000000" w:themeColor="text1"/>
          <w:kern w:val="0"/>
          <w:sz w:val="24"/>
          <w:vertAlign w:val="superscript"/>
        </w:rPr>
        <w:t>29</w:t>
      </w:r>
      <w:r w:rsidR="00994460" w:rsidRPr="00D11245">
        <w:rPr>
          <w:rFonts w:cstheme="minorHAnsi"/>
          <w:color w:val="000000" w:themeColor="text1"/>
          <w:sz w:val="24"/>
          <w:szCs w:val="24"/>
        </w:rPr>
        <w:fldChar w:fldCharType="end"/>
      </w:r>
      <w:r w:rsidRPr="00D11245">
        <w:rPr>
          <w:rFonts w:cstheme="minorHAnsi"/>
          <w:color w:val="000000" w:themeColor="text1"/>
          <w:sz w:val="24"/>
          <w:szCs w:val="24"/>
        </w:rPr>
        <w:t>.</w:t>
      </w:r>
    </w:p>
    <w:p w14:paraId="58E225CA" w14:textId="4BEC822F" w:rsidR="00DC4A23" w:rsidRPr="00D11245" w:rsidRDefault="00DC4A23" w:rsidP="00DC4A23">
      <w:pPr>
        <w:jc w:val="both"/>
        <w:rPr>
          <w:rFonts w:cstheme="minorHAnsi"/>
          <w:color w:val="000000" w:themeColor="text1"/>
          <w:sz w:val="24"/>
          <w:szCs w:val="24"/>
        </w:rPr>
      </w:pPr>
      <w:r w:rsidRPr="00D11245">
        <w:rPr>
          <w:rFonts w:cstheme="minorHAnsi"/>
          <w:color w:val="000000" w:themeColor="text1"/>
          <w:sz w:val="24"/>
          <w:szCs w:val="24"/>
        </w:rPr>
        <w:t>Immunosuppressive medication</w:t>
      </w:r>
      <w:r w:rsidR="00F40328" w:rsidRPr="00D11245">
        <w:rPr>
          <w:rFonts w:cstheme="minorHAnsi"/>
          <w:color w:val="000000" w:themeColor="text1"/>
          <w:sz w:val="24"/>
          <w:szCs w:val="24"/>
        </w:rPr>
        <w:t>, particularly corticosteroids,</w:t>
      </w:r>
      <w:r w:rsidRPr="00D11245">
        <w:rPr>
          <w:rFonts w:cstheme="minorHAnsi"/>
          <w:color w:val="000000" w:themeColor="text1"/>
          <w:sz w:val="24"/>
          <w:szCs w:val="24"/>
        </w:rPr>
        <w:t xml:space="preserve"> have been shown to cause increased severity of infection, </w:t>
      </w:r>
      <w:r w:rsidR="00994460" w:rsidRPr="00D11245">
        <w:rPr>
          <w:rFonts w:cstheme="minorHAnsi"/>
          <w:color w:val="000000" w:themeColor="text1"/>
          <w:sz w:val="24"/>
          <w:szCs w:val="24"/>
        </w:rPr>
        <w:fldChar w:fldCharType="begin"/>
      </w:r>
      <w:r w:rsidR="009C3E63" w:rsidRPr="00D11245">
        <w:rPr>
          <w:rFonts w:cstheme="minorHAnsi"/>
          <w:color w:val="000000" w:themeColor="text1"/>
          <w:sz w:val="24"/>
          <w:szCs w:val="24"/>
        </w:rPr>
        <w:instrText xml:space="preserve"> ADDIN ZOTERO_ITEM CSL_CITATION {"citationID":"dW6rwzQk","properties":{"formattedCitation":"\\super 50\\uc0\\u8211{}52\\nosupersub{}","plainCitation":"50–52","noteIndex":0},"citationItems":[{"id":2440,"uris":["http://zotero.org/groups/2497994/items/L7V5U33W",["http://zotero.org/groups/2497994/items/L7V5U33W"]],"itemData":{"id":2440,"type":"article-journal","abstract":"Amoebiasis, caused by the intestinal protozoan Entamoeba histolytica, though a relatively common parasitic disease in the tropical and subtropical regions, is uncommon in the developed countries. In these countries, as amoebic colitis shares similar clinical symptoms and endoscopic features with inflammatory bowel disease (IBD), these cases can be easily unrecognized and misdiagnosed. In this case report, we discuss the case of an adult patient with invasive intestinal amoebiasis, who was initially managed as Crohn's disease on corticosteroid treatment and subsequently rapidly deteriorated and developed multiple perforations in the colon and ileum. Despite total colectomy followed by resection of the small bowel, he died of multiple organ failure and sepsis within two months of his initial clinical presentation of diarrhea with abdominal pain. The learning point of this case is that invasive intestinal amoebiasis should be considered as a differential diagnosis at the first clinical adult presentation of IBD-like symptoms despite suggestive endoscopic findings of Crohn's like ulcers. Regardless of negative endoscopic biopsies, due to the low sensitivity of microscopic examination, serology test for antibody and molecular test for Entamoeba DNA are recommended for accurate detection and identification of Entamoeba species, especially in the high risk populations with recent travel to endemic zones and for patients with immunosuppression and comorbidities such as diabetes mellitus, tuberculosis, alcoholism, HIV/AIDS and in pregnant women. Amoebiasis should be completely ruled out prior to corticosteroid administration, to avoid severe complications such as fulminant intestinal amoebiasis which is associated with an inherently high mortality.","container-title":"Pathology Research and Practice","DOI":"10.1016/j.prp.2019.152608","ISSN":"0344-0338","issue":"1","note":"WOS:000523597200007","page":"152608","title":"Multiple colonic and ileal perforations due to unsuspected intestinal amoebiasis-Case report and review","volume":"216","author":[{"family":"Wang","given":"Hui"},{"family":"Kanthan","given":"Rani"}],"issued":{"date-parts":[["2020",1]]}}},{"id":2861,"uris":["http://zotero.org/groups/2497994/items/6KVDUIZL",["http://zotero.org/groups/2497994/items/6KVDUIZL"]],"itemData":{"id":2861,"type":"article-journal","abstract":"Entamoeba histolytica colitis can mimic Crohn's disease. However, a fulminant infection can be life-threatening, especially after exposure to systemic steroids. We present a case of the patient who was initially diagnosed with ileocolonic Crohn's disease, but developed a hepatic E histolytica abscess while undergoing anti-TNF therapy. After revision of the initial diagnostic biopsies, the diagnosis was questioned and E histolytica was confirmed using PCR and histopathology. As intestinal amoebiasis is the most common form of amoebic infection, care should be taken in case of refractory IBD or at initial diagnosis in patients who travelled to endemic areas. We therefore discuss the epidemiology, clinical features, diagnostic tools and pathophysiology of E Histolytica in order to raise awareness among gastroenterologists treating patients with inflammatory bowel disease.","container-title":"Scandinavian Journal of Gastroenterology","DOI":"10.1080/00365521.2018.1500637","ISSN":"0036-5521","issue":"9","note":"WOS:000450634000009","page":"1085-1088","title":"When IBD is not IBD","volume":"53","author":[{"family":"Verstockt","given":"Bram"},{"family":"Vermeire","given":"Severine"},{"family":"Van Assche","given":"Gert"},{"family":"Ferrante","given":"Marc"}],"issued":{"date-parts":[["2018"]]}}},{"id":2135,"uris":["http://zotero.org/groups/2497994/items/MKIRRZMV",["http://zotero.org/groups/2497994/items/MKIRRZMV"]],"itemData":{"id":2135,"type":"article-journal","abstract":"Background Amebic colitis, caused by intestinal infection with the parasite, Entamoeba histolytica, is a common cause of diarrhea worldwide. Fulminant amebic colitis is the most devastating complication of this infection, associated with both high mortality and morbidity. We conducted a review of the English literature to describe cases of fulminant amebic colitis associated with exposure to corticosteroid medications in order to identify the risk factors for poor outcome and determine difficulties in diagnosis and treatment. Methodology and Principal Findings Articles reporting severe and fulminant forms of amebic colitis between 1991 and 2016 were collected. 525 records were screened to identify 24 cases for qualitative analysis associated with corticosteroid use. Cases arose from areas of high endemicity or travel to such areas. Most cases (14 of 24, 58%) were given corticosteroids for initially misdiagnosed colitis, mainly inflammatory bowel, resulting in rapid progression of disease. Nearly half of all cases underwent surgical intervention, and 25% of cases died, despite all patients eventually receiving treatment with metronidazole. The odds of death did not differ significantly by prior misdiagnosis, co-morbidities, bowel perforation or need for surgery. Conclusions and Significance Infection with E. histolytica should be considered prior to the administration of corticosteroids, in particular for patients residing in endemic areas or those with appropriate travel history, especially prior to the diagnosis of inflammatory bowel disease. The development of preventative and treatment interventions are needed to improve outcomes of fulminant disease. PMID:27467600","archive":"PubMed Central","container-title":"PLoS Neglected Tropical Diseases","DOI":"10.1371/journal.pntd.0004879","ISSN":"1935-2727","issue":"7","title":"Fulminant Amebic Colitis after Corticosteroid Therapy: A Systematic Review","URL":"https://mednar.com/mednar/desktop/en/service/link/track?redirectUrl=https%3A%2F%2Fwww.pubmedcentral.nih.gov%2Farticlerender.fcgi%3Ftool%3Dpmcentrez%26artid%3D4965027&amp;collectionCode=MEDNAR-PMC&amp;searchId=a306b45a-fe57-44a9-a61d-d954bc95ebdb&amp;type=RESULT&amp;signature=036a1ba59360fc7143a277cf3acc8752809c6160ee8242bd38a6824cd0aee9d3","volume":"10","author":[{"family":"Shirley","given":"Debbie-Ann"},{"family":"Moonah","given":"Shannon"}],"issued":{"date-parts":[["2016",7,28]]}}}],"schema":"https://github.com/citation-style-language/schema/raw/master/csl-citation.json"} </w:instrText>
      </w:r>
      <w:r w:rsidR="00994460" w:rsidRPr="00D11245">
        <w:rPr>
          <w:rFonts w:cstheme="minorHAnsi"/>
          <w:color w:val="000000" w:themeColor="text1"/>
          <w:sz w:val="24"/>
          <w:szCs w:val="24"/>
        </w:rPr>
        <w:fldChar w:fldCharType="separate"/>
      </w:r>
      <w:r w:rsidR="009C3E63" w:rsidRPr="00D11245">
        <w:rPr>
          <w:rFonts w:ascii="Calibri" w:hAnsi="Calibri" w:cs="Calibri"/>
          <w:color w:val="000000" w:themeColor="text1"/>
          <w:kern w:val="0"/>
          <w:sz w:val="24"/>
          <w:vertAlign w:val="superscript"/>
        </w:rPr>
        <w:t>50–52</w:t>
      </w:r>
      <w:r w:rsidR="00994460" w:rsidRPr="00D11245">
        <w:rPr>
          <w:rFonts w:cstheme="minorHAnsi"/>
          <w:color w:val="000000" w:themeColor="text1"/>
          <w:sz w:val="24"/>
          <w:szCs w:val="24"/>
        </w:rPr>
        <w:fldChar w:fldCharType="end"/>
      </w:r>
      <w:r w:rsidRPr="00D11245">
        <w:rPr>
          <w:rFonts w:cstheme="minorHAnsi"/>
          <w:color w:val="000000" w:themeColor="text1"/>
          <w:sz w:val="24"/>
          <w:szCs w:val="24"/>
        </w:rPr>
        <w:t xml:space="preserve">. This </w:t>
      </w:r>
      <w:r w:rsidR="00015087" w:rsidRPr="00D11245">
        <w:rPr>
          <w:rFonts w:cstheme="minorHAnsi"/>
          <w:color w:val="000000" w:themeColor="text1"/>
          <w:sz w:val="24"/>
          <w:szCs w:val="24"/>
        </w:rPr>
        <w:t>is particula</w:t>
      </w:r>
      <w:r w:rsidR="002E3978" w:rsidRPr="00D11245">
        <w:rPr>
          <w:rFonts w:cstheme="minorHAnsi"/>
          <w:color w:val="000000" w:themeColor="text1"/>
          <w:sz w:val="24"/>
          <w:szCs w:val="24"/>
        </w:rPr>
        <w:t>rly concerning,</w:t>
      </w:r>
      <w:r w:rsidR="00015087" w:rsidRPr="00D11245">
        <w:rPr>
          <w:rFonts w:cstheme="minorHAnsi"/>
          <w:color w:val="000000" w:themeColor="text1"/>
          <w:sz w:val="24"/>
          <w:szCs w:val="24"/>
        </w:rPr>
        <w:t xml:space="preserve"> </w:t>
      </w:r>
      <w:r w:rsidR="008E5C98" w:rsidRPr="00D11245">
        <w:rPr>
          <w:rFonts w:cstheme="minorHAnsi"/>
          <w:color w:val="000000" w:themeColor="text1"/>
          <w:sz w:val="24"/>
          <w:szCs w:val="24"/>
        </w:rPr>
        <w:t>since</w:t>
      </w:r>
      <w:r w:rsidRPr="00D11245">
        <w:rPr>
          <w:rFonts w:cstheme="minorHAnsi"/>
          <w:color w:val="000000" w:themeColor="text1"/>
          <w:sz w:val="24"/>
          <w:szCs w:val="24"/>
        </w:rPr>
        <w:t xml:space="preserve"> amoebic colitis may mimic </w:t>
      </w:r>
      <w:r w:rsidR="008E5C98" w:rsidRPr="00D11245">
        <w:rPr>
          <w:rFonts w:cstheme="minorHAnsi"/>
          <w:color w:val="000000" w:themeColor="text1"/>
          <w:sz w:val="24"/>
          <w:szCs w:val="24"/>
        </w:rPr>
        <w:t xml:space="preserve">the </w:t>
      </w:r>
      <w:r w:rsidRPr="00D11245">
        <w:rPr>
          <w:rFonts w:cstheme="minorHAnsi"/>
          <w:color w:val="000000" w:themeColor="text1"/>
          <w:sz w:val="24"/>
          <w:szCs w:val="24"/>
        </w:rPr>
        <w:t>appearances of inflammatory bowel disease</w:t>
      </w:r>
      <w:r w:rsidR="006331D2" w:rsidRPr="00D11245">
        <w:rPr>
          <w:rFonts w:cstheme="minorHAnsi"/>
          <w:color w:val="000000" w:themeColor="text1"/>
          <w:sz w:val="24"/>
          <w:szCs w:val="24"/>
        </w:rPr>
        <w:t>,</w:t>
      </w:r>
      <w:r w:rsidR="008E5C98" w:rsidRPr="00D11245">
        <w:rPr>
          <w:rFonts w:cstheme="minorHAnsi"/>
          <w:color w:val="000000" w:themeColor="text1"/>
          <w:sz w:val="24"/>
          <w:szCs w:val="24"/>
        </w:rPr>
        <w:t xml:space="preserve"> both symptomatically and</w:t>
      </w:r>
      <w:r w:rsidRPr="00D11245">
        <w:rPr>
          <w:rFonts w:cstheme="minorHAnsi"/>
          <w:color w:val="000000" w:themeColor="text1"/>
          <w:sz w:val="24"/>
          <w:szCs w:val="24"/>
        </w:rPr>
        <w:t xml:space="preserve"> endoscopically. A systematic review of 24 cases of amoebic colitis reported that corticosteroid use resulted in rapid progression of disease; with increased rates of colonic perforation, amoeboma formation, rectovaginal fistula and extraintestinal dissemination, requiring more than half to undergo </w:t>
      </w:r>
      <w:r w:rsidR="00AF146F" w:rsidRPr="00D11245">
        <w:rPr>
          <w:rFonts w:cstheme="minorHAnsi"/>
          <w:color w:val="000000" w:themeColor="text1"/>
          <w:sz w:val="24"/>
          <w:szCs w:val="24"/>
        </w:rPr>
        <w:t xml:space="preserve">emergency </w:t>
      </w:r>
      <w:r w:rsidRPr="00D11245">
        <w:rPr>
          <w:rFonts w:cstheme="minorHAnsi"/>
          <w:color w:val="000000" w:themeColor="text1"/>
          <w:sz w:val="24"/>
          <w:szCs w:val="24"/>
        </w:rPr>
        <w:t xml:space="preserve">surgery and a quarter resulting in death </w:t>
      </w:r>
      <w:r w:rsidR="00994460" w:rsidRPr="00D11245">
        <w:rPr>
          <w:rFonts w:cstheme="minorHAnsi"/>
          <w:color w:val="000000" w:themeColor="text1"/>
          <w:sz w:val="24"/>
          <w:szCs w:val="24"/>
        </w:rPr>
        <w:fldChar w:fldCharType="begin"/>
      </w:r>
      <w:r w:rsidR="009C3E63" w:rsidRPr="00D11245">
        <w:rPr>
          <w:rFonts w:cstheme="minorHAnsi"/>
          <w:color w:val="000000" w:themeColor="text1"/>
          <w:sz w:val="24"/>
          <w:szCs w:val="24"/>
        </w:rPr>
        <w:instrText xml:space="preserve"> ADDIN ZOTERO_ITEM CSL_CITATION {"citationID":"1xVOdxz3","properties":{"formattedCitation":"\\super 52\\nosupersub{}","plainCitation":"52","noteIndex":0},"citationItems":[{"id":2135,"uris":["http://zotero.org/groups/2497994/items/MKIRRZMV",["http://zotero.org/groups/2497994/items/MKIRRZMV"]],"itemData":{"id":2135,"type":"article-journal","abstract":"Background Amebic colitis, caused by intestinal infection with the parasite, Entamoeba histolytica, is a common cause of diarrhea worldwide. Fulminant amebic colitis is the most devastating complication of this infection, associated with both high mortality and morbidity. We conducted a review of the English literature to describe cases of fulminant amebic colitis associated with exposure to corticosteroid medications in order to identify the risk factors for poor outcome and determine difficulties in diagnosis and treatment. Methodology and Principal Findings Articles reporting severe and fulminant forms of amebic colitis between 1991 and 2016 were collected. 525 records were screened to identify 24 cases for qualitative analysis associated with corticosteroid use. Cases arose from areas of high endemicity or travel to such areas. Most cases (14 of 24, 58%) were given corticosteroids for initially misdiagnosed colitis, mainly inflammatory bowel, resulting in rapid progression of disease. Nearly half of all cases underwent surgical intervention, and 25% of cases died, despite all patients eventually receiving treatment with metronidazole. The odds of death did not differ significantly by prior misdiagnosis, co-morbidities, bowel perforation or need for surgery. Conclusions and Significance Infection with E. histolytica should be considered prior to the administration of corticosteroids, in particular for patients residing in endemic areas or those with appropriate travel history, especially prior to the diagnosis of inflammatory bowel disease. The development of preventative and treatment interventions are needed to improve outcomes of fulminant disease. PMID:27467600","archive":"PubMed Central","container-title":"PLoS Neglected Tropical Diseases","DOI":"10.1371/journal.pntd.0004879","ISSN":"1935-2727","issue":"7","title":"Fulminant Amebic Colitis after Corticosteroid Therapy: A Systematic Review","URL":"https://mednar.com/mednar/desktop/en/service/link/track?redirectUrl=https%3A%2F%2Fwww.pubmedcentral.nih.gov%2Farticlerender.fcgi%3Ftool%3Dpmcentrez%26artid%3D4965027&amp;collectionCode=MEDNAR-PMC&amp;searchId=a306b45a-fe57-44a9-a61d-d954bc95ebdb&amp;type=RESULT&amp;signature=036a1ba59360fc7143a277cf3acc8752809c6160ee8242bd38a6824cd0aee9d3","volume":"10","author":[{"family":"Shirley","given":"Debbie-Ann"},{"family":"Moonah","given":"Shannon"}],"issued":{"date-parts":[["2016",7,28]]}}}],"schema":"https://github.com/citation-style-language/schema/raw/master/csl-citation.json"} </w:instrText>
      </w:r>
      <w:r w:rsidR="00994460" w:rsidRPr="00D11245">
        <w:rPr>
          <w:rFonts w:cstheme="minorHAnsi"/>
          <w:color w:val="000000" w:themeColor="text1"/>
          <w:sz w:val="24"/>
          <w:szCs w:val="24"/>
        </w:rPr>
        <w:fldChar w:fldCharType="separate"/>
      </w:r>
      <w:r w:rsidR="009C3E63" w:rsidRPr="00D11245">
        <w:rPr>
          <w:rFonts w:ascii="Calibri" w:hAnsi="Calibri" w:cs="Calibri"/>
          <w:color w:val="000000" w:themeColor="text1"/>
          <w:kern w:val="0"/>
          <w:sz w:val="24"/>
          <w:vertAlign w:val="superscript"/>
        </w:rPr>
        <w:t>52</w:t>
      </w:r>
      <w:r w:rsidR="00994460" w:rsidRPr="00D11245">
        <w:rPr>
          <w:rFonts w:cstheme="minorHAnsi"/>
          <w:color w:val="000000" w:themeColor="text1"/>
          <w:sz w:val="24"/>
          <w:szCs w:val="24"/>
        </w:rPr>
        <w:fldChar w:fldCharType="end"/>
      </w:r>
      <w:r w:rsidRPr="00D11245">
        <w:rPr>
          <w:rFonts w:cstheme="minorHAnsi"/>
          <w:color w:val="000000" w:themeColor="text1"/>
          <w:sz w:val="24"/>
          <w:szCs w:val="24"/>
        </w:rPr>
        <w:t>. Two thirds of patients in this case series also received other immunosuppressive mediation including azathioprine, methotrexate, tacrolimus and</w:t>
      </w:r>
      <w:r w:rsidR="00C7551D" w:rsidRPr="00D11245">
        <w:rPr>
          <w:rFonts w:cstheme="minorHAnsi"/>
          <w:color w:val="000000" w:themeColor="text1"/>
          <w:sz w:val="24"/>
          <w:szCs w:val="24"/>
        </w:rPr>
        <w:t xml:space="preserve"> </w:t>
      </w:r>
      <w:r w:rsidRPr="00D11245">
        <w:rPr>
          <w:rFonts w:cstheme="minorHAnsi"/>
          <w:color w:val="000000" w:themeColor="text1"/>
          <w:sz w:val="24"/>
          <w:szCs w:val="24"/>
        </w:rPr>
        <w:t>ciclosporin</w:t>
      </w:r>
      <w:r w:rsidR="00C7551D" w:rsidRPr="00D11245">
        <w:rPr>
          <w:rFonts w:cstheme="minorHAnsi"/>
          <w:color w:val="000000" w:themeColor="text1"/>
          <w:sz w:val="24"/>
          <w:szCs w:val="24"/>
        </w:rPr>
        <w:t>.</w:t>
      </w:r>
      <w:r w:rsidRPr="00D11245">
        <w:rPr>
          <w:rFonts w:cstheme="minorHAnsi"/>
          <w:color w:val="000000" w:themeColor="text1"/>
          <w:sz w:val="24"/>
          <w:szCs w:val="24"/>
        </w:rPr>
        <w:t xml:space="preserve"> Case reports also suggest that anti-tumour necrosis factor-alpha (anti TNF-a) treatment may lead to </w:t>
      </w:r>
      <w:r w:rsidR="008E5C98" w:rsidRPr="00D11245">
        <w:rPr>
          <w:rFonts w:cstheme="minorHAnsi"/>
          <w:color w:val="000000" w:themeColor="text1"/>
          <w:sz w:val="24"/>
          <w:szCs w:val="24"/>
        </w:rPr>
        <w:t>an increased risk of severe</w:t>
      </w:r>
      <w:r w:rsidRPr="00D11245">
        <w:rPr>
          <w:rFonts w:cstheme="minorHAnsi"/>
          <w:color w:val="000000" w:themeColor="text1"/>
          <w:sz w:val="24"/>
          <w:szCs w:val="24"/>
        </w:rPr>
        <w:t xml:space="preserve"> complications </w:t>
      </w:r>
      <w:r w:rsidR="00994460" w:rsidRPr="00D11245">
        <w:rPr>
          <w:rFonts w:cstheme="minorHAnsi"/>
          <w:color w:val="000000" w:themeColor="text1"/>
          <w:sz w:val="24"/>
          <w:szCs w:val="24"/>
        </w:rPr>
        <w:fldChar w:fldCharType="begin"/>
      </w:r>
      <w:r w:rsidR="009C3E63" w:rsidRPr="00D11245">
        <w:rPr>
          <w:rFonts w:cstheme="minorHAnsi"/>
          <w:color w:val="000000" w:themeColor="text1"/>
          <w:sz w:val="24"/>
          <w:szCs w:val="24"/>
        </w:rPr>
        <w:instrText xml:space="preserve"> ADDIN ZOTERO_ITEM CSL_CITATION {"citationID":"5wNSePUq","properties":{"formattedCitation":"\\super 51\\nosupersub{}","plainCitation":"51","noteIndex":0},"citationItems":[{"id":2861,"uris":["http://zotero.org/groups/2497994/items/6KVDUIZL",["http://zotero.org/groups/2497994/items/6KVDUIZL"]],"itemData":{"id":2861,"type":"article-journal","abstract":"Entamoeba histolytica colitis can mimic Crohn's disease. However, a fulminant infection can be life-threatening, especially after exposure to systemic steroids. We present a case of the patient who was initially diagnosed with ileocolonic Crohn's disease, but developed a hepatic E histolytica abscess while undergoing anti-TNF therapy. After revision of the initial diagnostic biopsies, the diagnosis was questioned and E histolytica was confirmed using PCR and histopathology. As intestinal amoebiasis is the most common form of amoebic infection, care should be taken in case of refractory IBD or at initial diagnosis in patients who travelled to endemic areas. We therefore discuss the epidemiology, clinical features, diagnostic tools and pathophysiology of E Histolytica in order to raise awareness among gastroenterologists treating patients with inflammatory bowel disease.","container-title":"Scandinavian Journal of Gastroenterology","DOI":"10.1080/00365521.2018.1500637","ISSN":"0036-5521","issue":"9","note":"WOS:000450634000009","page":"1085-1088","title":"When IBD is not IBD","volume":"53","author":[{"family":"Verstockt","given":"Bram"},{"family":"Vermeire","given":"Severine"},{"family":"Van Assche","given":"Gert"},{"family":"Ferrante","given":"Marc"}],"issued":{"date-parts":[["2018"]]}}}],"schema":"https://github.com/citation-style-language/schema/raw/master/csl-citation.json"} </w:instrText>
      </w:r>
      <w:r w:rsidR="00994460" w:rsidRPr="00D11245">
        <w:rPr>
          <w:rFonts w:cstheme="minorHAnsi"/>
          <w:color w:val="000000" w:themeColor="text1"/>
          <w:sz w:val="24"/>
          <w:szCs w:val="24"/>
        </w:rPr>
        <w:fldChar w:fldCharType="separate"/>
      </w:r>
      <w:r w:rsidR="009C3E63" w:rsidRPr="00D11245">
        <w:rPr>
          <w:rFonts w:ascii="Calibri" w:hAnsi="Calibri" w:cs="Calibri"/>
          <w:color w:val="000000" w:themeColor="text1"/>
          <w:kern w:val="0"/>
          <w:sz w:val="24"/>
          <w:vertAlign w:val="superscript"/>
        </w:rPr>
        <w:t>51</w:t>
      </w:r>
      <w:r w:rsidR="00994460" w:rsidRPr="00D11245">
        <w:rPr>
          <w:rFonts w:cstheme="minorHAnsi"/>
          <w:color w:val="000000" w:themeColor="text1"/>
          <w:sz w:val="24"/>
          <w:szCs w:val="24"/>
        </w:rPr>
        <w:fldChar w:fldCharType="end"/>
      </w:r>
      <w:r w:rsidRPr="00D11245">
        <w:rPr>
          <w:rFonts w:cstheme="minorHAnsi"/>
          <w:color w:val="000000" w:themeColor="text1"/>
          <w:sz w:val="24"/>
          <w:szCs w:val="24"/>
        </w:rPr>
        <w:t>.</w:t>
      </w:r>
    </w:p>
    <w:p w14:paraId="3AFA43B7" w14:textId="77777777" w:rsidR="00DC4A23" w:rsidRPr="00D11245" w:rsidRDefault="00DC4A23" w:rsidP="00DC4A23">
      <w:pPr>
        <w:jc w:val="both"/>
        <w:rPr>
          <w:rFonts w:cstheme="minorHAnsi"/>
          <w:b/>
          <w:bCs/>
          <w:color w:val="000000" w:themeColor="text1"/>
          <w:sz w:val="24"/>
          <w:szCs w:val="24"/>
          <w:u w:val="single"/>
        </w:rPr>
      </w:pPr>
      <w:r w:rsidRPr="00D11245">
        <w:rPr>
          <w:rFonts w:cstheme="minorHAnsi"/>
          <w:b/>
          <w:bCs/>
          <w:color w:val="000000" w:themeColor="text1"/>
          <w:sz w:val="24"/>
          <w:szCs w:val="24"/>
          <w:u w:val="single"/>
        </w:rPr>
        <w:t>Clinical features</w:t>
      </w:r>
    </w:p>
    <w:p w14:paraId="0DD2049B" w14:textId="32EC494E" w:rsidR="005D004E" w:rsidRPr="00D11245" w:rsidRDefault="00DC4A23" w:rsidP="00DC4A23">
      <w:pPr>
        <w:jc w:val="both"/>
        <w:rPr>
          <w:rFonts w:cs="Arial"/>
          <w:color w:val="000000" w:themeColor="text1"/>
          <w:sz w:val="24"/>
          <w:szCs w:val="24"/>
        </w:rPr>
      </w:pPr>
      <w:r w:rsidRPr="00D11245">
        <w:rPr>
          <w:rFonts w:cstheme="minorHAnsi"/>
          <w:color w:val="000000" w:themeColor="text1"/>
          <w:sz w:val="24"/>
          <w:szCs w:val="24"/>
        </w:rPr>
        <w:t xml:space="preserve">90% of patients with </w:t>
      </w:r>
      <w:r w:rsidRPr="00D11245">
        <w:rPr>
          <w:rFonts w:cstheme="minorHAnsi"/>
          <w:i/>
          <w:iCs/>
          <w:color w:val="000000" w:themeColor="text1"/>
          <w:sz w:val="24"/>
          <w:szCs w:val="24"/>
        </w:rPr>
        <w:t>E. histolytica</w:t>
      </w:r>
      <w:r w:rsidRPr="00D11245">
        <w:rPr>
          <w:rFonts w:cstheme="minorHAnsi"/>
          <w:color w:val="000000" w:themeColor="text1"/>
          <w:sz w:val="24"/>
          <w:szCs w:val="24"/>
        </w:rPr>
        <w:t xml:space="preserve"> infection are asymptomatic, and </w:t>
      </w:r>
      <w:r w:rsidR="008E5C98" w:rsidRPr="00D11245">
        <w:rPr>
          <w:rFonts w:cstheme="minorHAnsi"/>
          <w:color w:val="000000" w:themeColor="text1"/>
          <w:sz w:val="24"/>
          <w:szCs w:val="24"/>
        </w:rPr>
        <w:t xml:space="preserve">this is </w:t>
      </w:r>
      <w:r w:rsidRPr="00D11245">
        <w:rPr>
          <w:rFonts w:cstheme="minorHAnsi"/>
          <w:color w:val="000000" w:themeColor="text1"/>
          <w:sz w:val="24"/>
          <w:szCs w:val="24"/>
        </w:rPr>
        <w:t>likely</w:t>
      </w:r>
      <w:r w:rsidR="008E5C98" w:rsidRPr="00D11245">
        <w:rPr>
          <w:rFonts w:cstheme="minorHAnsi"/>
          <w:color w:val="000000" w:themeColor="text1"/>
          <w:sz w:val="24"/>
          <w:szCs w:val="24"/>
        </w:rPr>
        <w:t xml:space="preserve"> due to</w:t>
      </w:r>
      <w:r w:rsidRPr="00D11245">
        <w:rPr>
          <w:rFonts w:cstheme="minorHAnsi"/>
          <w:color w:val="000000" w:themeColor="text1"/>
          <w:sz w:val="24"/>
          <w:szCs w:val="24"/>
        </w:rPr>
        <w:t xml:space="preserve"> a combination of factors, such as </w:t>
      </w:r>
      <w:r w:rsidR="008E5C98" w:rsidRPr="00D11245">
        <w:rPr>
          <w:rFonts w:cstheme="minorHAnsi"/>
          <w:color w:val="000000" w:themeColor="text1"/>
          <w:sz w:val="24"/>
          <w:szCs w:val="24"/>
        </w:rPr>
        <w:t xml:space="preserve">differences in </w:t>
      </w:r>
      <w:r w:rsidRPr="00D11245">
        <w:rPr>
          <w:rFonts w:cstheme="minorHAnsi"/>
          <w:color w:val="000000" w:themeColor="text1"/>
          <w:sz w:val="24"/>
          <w:szCs w:val="24"/>
        </w:rPr>
        <w:t>microbiome profile, pro</w:t>
      </w:r>
      <w:r w:rsidR="008E5C98" w:rsidRPr="00D11245">
        <w:rPr>
          <w:rFonts w:cstheme="minorHAnsi"/>
          <w:color w:val="000000" w:themeColor="text1"/>
          <w:sz w:val="24"/>
          <w:szCs w:val="24"/>
        </w:rPr>
        <w:t>-</w:t>
      </w:r>
      <w:r w:rsidRPr="00D11245">
        <w:rPr>
          <w:rFonts w:cstheme="minorHAnsi"/>
          <w:color w:val="000000" w:themeColor="text1"/>
          <w:sz w:val="24"/>
          <w:szCs w:val="24"/>
        </w:rPr>
        <w:t xml:space="preserve">inflammatory cytokine responses, and </w:t>
      </w:r>
      <w:r w:rsidR="008E5C98" w:rsidRPr="00D11245">
        <w:rPr>
          <w:rFonts w:cstheme="minorHAnsi"/>
          <w:color w:val="000000" w:themeColor="text1"/>
          <w:sz w:val="24"/>
          <w:szCs w:val="24"/>
        </w:rPr>
        <w:t xml:space="preserve">formation of </w:t>
      </w:r>
      <w:r w:rsidRPr="00D11245">
        <w:rPr>
          <w:rFonts w:cstheme="minorHAnsi"/>
          <w:color w:val="000000" w:themeColor="text1"/>
          <w:sz w:val="24"/>
          <w:szCs w:val="24"/>
        </w:rPr>
        <w:t xml:space="preserve">antibodies to the parasite’s Gal/GalNAc attachment lectin that influence the host response and clinical disease manifestations </w:t>
      </w:r>
      <w:bookmarkStart w:id="0" w:name="_Hlk165452843"/>
      <w:r w:rsidR="00994460" w:rsidRPr="00D11245">
        <w:rPr>
          <w:rFonts w:cstheme="minorHAnsi"/>
          <w:color w:val="000000" w:themeColor="text1"/>
          <w:sz w:val="24"/>
          <w:szCs w:val="24"/>
        </w:rPr>
        <w:fldChar w:fldCharType="begin"/>
      </w:r>
      <w:r w:rsidR="00994460" w:rsidRPr="00D11245">
        <w:rPr>
          <w:rFonts w:cstheme="minorHAnsi"/>
          <w:color w:val="000000" w:themeColor="text1"/>
          <w:sz w:val="24"/>
          <w:szCs w:val="24"/>
        </w:rPr>
        <w:instrText xml:space="preserve"> ADDIN ZOTERO_ITEM CSL_CITATION {"citationID":"GxqfPB65","properties":{"formattedCitation":"\\super 6\\nosupersub{}","plainCitation":"6","noteIndex":0},"citationItems":[{"id":1684,"uris":["http://zotero.org/groups/2497994/items/8XTEUHWF",["http://zotero.org/groups/2497994/items/8XTEUHWF"]],"itemData":{"id":1684,"type":"article-journal","abstract":"Amebiasis, due to the pathogenic parasite Entamoeba histolytica, is a leading cause of diarrhea globally. Largely an infection of impoverished communities in developing countries, amebiasis has emerged as an important infection among returning travelers, immigrants, and men who have sex with men residing in developed countries. Severe cases can be associated with high case fatality. Polymerase chain reaction-based diagnosis is increasingly available but remains underutilized. Nitroimidazoles are currently recommended for treatment, but new drug development to treat parasitic agents is a high priority. Amebiasis should be considered before corticosteroid therapy to decrease complications. There is no effective vaccine, so prevention focuses on sanitation and access to clean water. Further understanding of parasite biology and pathogenesis will advance future targeted therapeutic and preventative strategies.Copyright © The Author(s) 2018. Published by Oxford University Press on behalf of Infectious Diseases Society of America.","container-title":"Open Forum Infectious Diseases","DOI":"10.1093/ofid/ofy161","ISSN":"2328-8957 (electronic)","issue":"7","journalAbbreviation":"Open Forum Infect. Dis.","language":"English","note":"publisher-place: United States\npublisher: Oxford University Press (E-mail: info@idsociety.org)","page":"ofy161","title":"A review of the global burden, new diagnostics, and current Therapeutics for amebiasis","volume":"5","author":[{"literal":"Shirley D.T."},{"literal":"Farr L."},{"literal":"Watanabe K."},{"literal":"Moonah S."}],"issued":{"date-parts":[["2018"]]}}}],"schema":"https://github.com/citation-style-language/schema/raw/master/csl-citation.json"} </w:instrText>
      </w:r>
      <w:r w:rsidR="00994460" w:rsidRPr="00D11245">
        <w:rPr>
          <w:rFonts w:cstheme="minorHAnsi"/>
          <w:color w:val="000000" w:themeColor="text1"/>
          <w:sz w:val="24"/>
          <w:szCs w:val="24"/>
        </w:rPr>
        <w:fldChar w:fldCharType="separate"/>
      </w:r>
      <w:r w:rsidR="00994460" w:rsidRPr="00D11245">
        <w:rPr>
          <w:rFonts w:ascii="Calibri" w:hAnsi="Calibri" w:cs="Calibri"/>
          <w:color w:val="000000" w:themeColor="text1"/>
          <w:kern w:val="0"/>
          <w:sz w:val="24"/>
          <w:szCs w:val="24"/>
          <w:vertAlign w:val="superscript"/>
        </w:rPr>
        <w:t>6</w:t>
      </w:r>
      <w:r w:rsidR="00994460" w:rsidRPr="00D11245">
        <w:rPr>
          <w:rFonts w:cstheme="minorHAnsi"/>
          <w:color w:val="000000" w:themeColor="text1"/>
          <w:sz w:val="24"/>
          <w:szCs w:val="24"/>
        </w:rPr>
        <w:fldChar w:fldCharType="end"/>
      </w:r>
      <w:bookmarkEnd w:id="0"/>
      <w:r w:rsidRPr="00D11245">
        <w:rPr>
          <w:rFonts w:cstheme="minorHAnsi"/>
          <w:color w:val="000000" w:themeColor="text1"/>
          <w:sz w:val="24"/>
          <w:szCs w:val="24"/>
        </w:rPr>
        <w:t xml:space="preserve">. </w:t>
      </w:r>
      <w:r w:rsidR="00F44542" w:rsidRPr="00D11245">
        <w:rPr>
          <w:rFonts w:cstheme="minorHAnsi"/>
          <w:color w:val="000000" w:themeColor="text1"/>
          <w:sz w:val="24"/>
          <w:szCs w:val="24"/>
        </w:rPr>
        <w:t xml:space="preserve">10% of pathogenic cyst carriers develop invasive amoebiasis within 1 year </w:t>
      </w:r>
      <w:r w:rsidR="00F44542" w:rsidRPr="00D11245">
        <w:rPr>
          <w:rFonts w:cstheme="minorHAnsi"/>
          <w:color w:val="000000" w:themeColor="text1"/>
          <w:sz w:val="24"/>
          <w:szCs w:val="24"/>
        </w:rPr>
        <w:fldChar w:fldCharType="begin"/>
      </w:r>
      <w:r w:rsidR="009C3E63" w:rsidRPr="00D11245">
        <w:rPr>
          <w:rFonts w:cstheme="minorHAnsi"/>
          <w:color w:val="000000" w:themeColor="text1"/>
          <w:sz w:val="24"/>
          <w:szCs w:val="24"/>
        </w:rPr>
        <w:instrText xml:space="preserve"> ADDIN ZOTERO_ITEM CSL_CITATION {"citationID":"qCgvBFEZ","properties":{"formattedCitation":"\\super 53\\nosupersub{}","plainCitation":"53","noteIndex":0},"citationItems":[{"id":16844,"uris":["http://zotero.org/groups/2497994/items/DPTBPI2Y"],"itemData":{"id":16844,"type":"article-journal","abstract":"The value of treating subjects who pass Entamoeba histolytica cysts in their faeces is currently in question. In the endemic Durban area iso-enzyme electrophoresis of E. histolytica isolates indicated that 1% of the asymptomatic population are infected with pathogenic zymodemes. The outcome of these potentially invasive infections was established by means of a longitudinal survey. All subjects had strongly positive serological responses--10% of them developed amoebic colitis while the rest remained asymptomatic and spontaneous cure occurred within 1 year. Infections with pathogenic zymodemes occurred in family units and closely related individuals. Since they were cyst passers, good evidence was obtained for the existence of a carrier state for pathogenic E. histolytica. The value of sero-epidemiological surveys in determining the prevalence of pathogenic E. histolytica in a community was highlighted. Treatment of asymptomatic carriers with pathogenic zymodemes of E. histolytica is as essential as treatment of patients with invasive amoebiasis, and in both cases all contacts of affected individuals must also be treated if they are found to harbour pathogenic zymodemes of E. histolytica in order to ensure control of disease transmission.","container-title":"South African Medical Journal = Suid-Afrikaanse Tydskrif Vir Geneeskunde","ISSN":"0256-9574","issue":"10","journalAbbreviation":"S Afr Med J","language":"eng","note":"PMID: 2891197","page":"669-672","source":"PubMed","title":"A longitudinal study of asymptomatic carriers of pathogenic zymodemes of Entamoeba histolytica","volume":"72","author":[{"family":"Gathiram","given":"V."},{"family":"Jackson","given":"T. F."}],"issued":{"date-parts":[["1987",11,21]]}}}],"schema":"https://github.com/citation-style-language/schema/raw/master/csl-citation.json"} </w:instrText>
      </w:r>
      <w:r w:rsidR="00F44542" w:rsidRPr="00D11245">
        <w:rPr>
          <w:rFonts w:cstheme="minorHAnsi"/>
          <w:color w:val="000000" w:themeColor="text1"/>
          <w:sz w:val="24"/>
          <w:szCs w:val="24"/>
        </w:rPr>
        <w:fldChar w:fldCharType="separate"/>
      </w:r>
      <w:r w:rsidR="009C3E63" w:rsidRPr="00D11245">
        <w:rPr>
          <w:rFonts w:ascii="Calibri" w:hAnsi="Calibri" w:cs="Calibri"/>
          <w:color w:val="000000" w:themeColor="text1"/>
          <w:kern w:val="0"/>
          <w:sz w:val="24"/>
          <w:vertAlign w:val="superscript"/>
        </w:rPr>
        <w:t>53</w:t>
      </w:r>
      <w:r w:rsidR="00F44542" w:rsidRPr="00D11245">
        <w:rPr>
          <w:rFonts w:cstheme="minorHAnsi"/>
          <w:color w:val="000000" w:themeColor="text1"/>
          <w:sz w:val="24"/>
          <w:szCs w:val="24"/>
        </w:rPr>
        <w:fldChar w:fldCharType="end"/>
      </w:r>
      <w:r w:rsidR="00F44542" w:rsidRPr="00D11245">
        <w:rPr>
          <w:rFonts w:cstheme="minorHAnsi"/>
          <w:color w:val="000000" w:themeColor="text1"/>
          <w:sz w:val="24"/>
          <w:szCs w:val="24"/>
        </w:rPr>
        <w:t xml:space="preserve"> and symptoms </w:t>
      </w:r>
      <w:r w:rsidRPr="00D11245">
        <w:rPr>
          <w:rFonts w:cstheme="minorHAnsi"/>
          <w:color w:val="000000" w:themeColor="text1"/>
          <w:sz w:val="24"/>
          <w:szCs w:val="24"/>
        </w:rPr>
        <w:t xml:space="preserve">of infection will depend on the organ involved, of which the colon and liver are </w:t>
      </w:r>
      <w:r w:rsidR="00962994" w:rsidRPr="00D11245">
        <w:rPr>
          <w:rFonts w:cstheme="minorHAnsi"/>
          <w:color w:val="000000" w:themeColor="text1"/>
          <w:sz w:val="24"/>
          <w:szCs w:val="24"/>
        </w:rPr>
        <w:t xml:space="preserve">the </w:t>
      </w:r>
      <w:r w:rsidRPr="00D11245">
        <w:rPr>
          <w:rFonts w:cstheme="minorHAnsi"/>
          <w:color w:val="000000" w:themeColor="text1"/>
          <w:sz w:val="24"/>
          <w:szCs w:val="24"/>
        </w:rPr>
        <w:t>most common</w:t>
      </w:r>
      <w:r w:rsidR="008E5C98" w:rsidRPr="00D11245">
        <w:rPr>
          <w:rFonts w:cstheme="minorHAnsi"/>
          <w:color w:val="000000" w:themeColor="text1"/>
          <w:sz w:val="24"/>
          <w:szCs w:val="24"/>
        </w:rPr>
        <w:t>ly affected</w:t>
      </w:r>
      <w:r w:rsidRPr="00D11245">
        <w:rPr>
          <w:rFonts w:cstheme="minorHAnsi"/>
          <w:color w:val="000000" w:themeColor="text1"/>
          <w:sz w:val="24"/>
          <w:szCs w:val="24"/>
        </w:rPr>
        <w:t>. Patients with amoebic colitis typically present with a several week history of gradually worsening cramping abdominal pain, weight loss, and watery</w:t>
      </w:r>
      <w:r w:rsidR="008E5C98" w:rsidRPr="00D11245">
        <w:rPr>
          <w:rFonts w:cstheme="minorHAnsi"/>
          <w:color w:val="000000" w:themeColor="text1"/>
          <w:sz w:val="24"/>
          <w:szCs w:val="24"/>
        </w:rPr>
        <w:t xml:space="preserve">, mucoid or </w:t>
      </w:r>
      <w:r w:rsidRPr="00D11245">
        <w:rPr>
          <w:rFonts w:cstheme="minorHAnsi"/>
          <w:color w:val="000000" w:themeColor="text1"/>
          <w:sz w:val="24"/>
          <w:szCs w:val="24"/>
        </w:rPr>
        <w:t xml:space="preserve">bloody diarrhoea, making the distinction </w:t>
      </w:r>
      <w:r w:rsidR="00C31DEC" w:rsidRPr="00D11245">
        <w:rPr>
          <w:rFonts w:cstheme="minorHAnsi"/>
          <w:color w:val="000000" w:themeColor="text1"/>
          <w:sz w:val="24"/>
          <w:szCs w:val="24"/>
        </w:rPr>
        <w:t xml:space="preserve">from </w:t>
      </w:r>
      <w:r w:rsidRPr="00D11245">
        <w:rPr>
          <w:rFonts w:cstheme="minorHAnsi"/>
          <w:color w:val="000000" w:themeColor="text1"/>
          <w:sz w:val="24"/>
          <w:szCs w:val="24"/>
        </w:rPr>
        <w:t xml:space="preserve">inflammatory bowel disease (IBD) </w:t>
      </w:r>
      <w:r w:rsidR="006354F9" w:rsidRPr="00D11245">
        <w:rPr>
          <w:rFonts w:cstheme="minorHAnsi"/>
          <w:color w:val="000000" w:themeColor="text1"/>
          <w:sz w:val="24"/>
          <w:szCs w:val="24"/>
        </w:rPr>
        <w:t>especially</w:t>
      </w:r>
      <w:r w:rsidR="00A735DD" w:rsidRPr="00D11245">
        <w:rPr>
          <w:rFonts w:cstheme="minorHAnsi"/>
          <w:color w:val="000000" w:themeColor="text1"/>
          <w:sz w:val="24"/>
          <w:szCs w:val="24"/>
        </w:rPr>
        <w:t xml:space="preserve"> </w:t>
      </w:r>
      <w:r w:rsidRPr="00D11245">
        <w:rPr>
          <w:rFonts w:cstheme="minorHAnsi"/>
          <w:color w:val="000000" w:themeColor="text1"/>
          <w:sz w:val="24"/>
          <w:szCs w:val="24"/>
        </w:rPr>
        <w:t>challenging</w:t>
      </w:r>
      <w:r w:rsidR="00994460" w:rsidRPr="00D11245">
        <w:rPr>
          <w:rFonts w:cs="Arial"/>
          <w:color w:val="000000" w:themeColor="text1"/>
          <w:sz w:val="24"/>
          <w:szCs w:val="24"/>
          <w:highlight w:val="green"/>
        </w:rPr>
        <w:fldChar w:fldCharType="begin"/>
      </w:r>
      <w:r w:rsidR="009C3E63" w:rsidRPr="00D11245">
        <w:rPr>
          <w:rFonts w:cs="Arial"/>
          <w:color w:val="000000" w:themeColor="text1"/>
          <w:sz w:val="24"/>
          <w:szCs w:val="24"/>
          <w:highlight w:val="green"/>
        </w:rPr>
        <w:instrText xml:space="preserve"> ADDIN ZOTERO_ITEM CSL_CITATION {"citationID":"OZBE4gub","properties":{"formattedCitation":"\\super 4,54\\nosupersub{}","plainCitation":"4,54","noteIndex":0},"citationItems":[{"id":2848,"uris":["http://zotero.org/groups/2497994/items/4CQVJEEC",["http://zotero.org/groups/2497994/items/4CQVJEEC"]],"itemData":{"id":2848,"type":"article-journal","abstract":"&lt;h2&gt;Summary&lt;/h2&gt;&lt;p&gt;Amoebiasis is the second leading cause of death from parasitic disease worldwide. The causative protozoan parasite, &lt;i&gt;Entamoeba histolytica&lt;/i&gt;, is a potent pathogen. Secreting proteinases that dissolve host tissues, killing host cells on contact, and engulfing red blood cells, &lt;i&gt;E histolytica&lt;/i&gt; trophozoites invade the intestinal mucosa, causing amoebic colitis. In some cases amoebas breach the mucosal barrier and travel through the portal circulation to the liver, where they cause abscesses consisting of a few &lt;i&gt;E histolytica&lt;/i&gt; trophozoites surrounding dead and dying hepatocytes and liquefied cellular debris. Amoebic liver abscesses grow inexorably and, at one time, were almost always fatal, but now even large abscesses can be cured by one dose of antibiotic. Evidence that what we thought was a single species based on morphology is, in fact, two genetically distinct species—now termed &lt;i&gt;Entamoeba histolytica&lt;/i&gt; (the pathogen) and &lt;i&gt;Entamoeba dispar&lt;/i&gt; (a commensal)—has turned conventional wisdom about the epidemiology and diagnosis of amoebiasis upside down. New models of disease have linked &lt;i&gt;E histolytica&lt;/i&gt; induction of intestinal inflammation and hepatocyte programmed cell death to the pathogenesis of amoebic colitis and amoebic liver abscess.&lt;/p&gt;","container-title":"The Lancet","DOI":"10.1016/S0140-6736(03)12830-9","ISSN":"0140-6736, 1474-547X","issue":"9362","journalAbbreviation":"The Lancet","language":"English","note":"PMID: 12660071","page":"1025-1034","source":"www.thelancet.com","title":"Amoebiasis","volume":"361","author":[{"family":"Stanley","given":"Samuel L."}],"issued":{"date-parts":[["2003",3,22]]}}},{"id":2833,"uris":["http://zotero.org/groups/2497994/items/IZQVRVIQ",["http://zotero.org/groups/2497994/items/IZQVRVIQ"]],"itemData":{"id":2833,"type":"article-journal","abstract":"This article has no abstract; the first 100 words appear below.\n\nTo the Editor: Haque et al. (April 17 issue)1 mention that amebic liver abscesses are usually solitary lesions in the right lobe. We believe that the classic description of amebic liver abscess needs to be modified, however, since many variants exist. In a sonographic evaluation of 212 patients, 34 (16 percent) had multiple abscesses, 75 (35 percent) had an abscess in the left lobe, and the remaining 103 (49 percent) had a solitary abscess in the right lobe.2 We also do not agree with Haque et al. that a liver abscess greater than 5 cm in diameter is an indication . . .","container-title":"N Engl J Med 2003; 348:1565-1573","DOI":"10.1056/NEJMra022710","title":"Amebiasis","title-short":"Haque R, Huston CD, Hughes M, Houpt E, Petri WA Jr. Amebiasis. N Engl J Med. 2003;348(16):1565-1573. doi:10.1056/NEJMra022710","URL":"https://www.nejm.org/doi/10.1056/NEJMra022710?url_ver=Z39.88-2003&amp;rfr_id=ori%3Arid%3Acrossref.org&amp;rfr_dat=cr_pub++0pubmed","author":[{"family":"Haque","given":"Rashidul"}]}}],"schema":"https://github.com/citation-style-language/schema/raw/master/csl-citation.json"} </w:instrText>
      </w:r>
      <w:r w:rsidR="00994460" w:rsidRPr="00D11245">
        <w:rPr>
          <w:rFonts w:cs="Arial"/>
          <w:color w:val="000000" w:themeColor="text1"/>
          <w:sz w:val="24"/>
          <w:szCs w:val="24"/>
          <w:highlight w:val="green"/>
        </w:rPr>
        <w:fldChar w:fldCharType="separate"/>
      </w:r>
      <w:r w:rsidR="009C3E63" w:rsidRPr="00D11245">
        <w:rPr>
          <w:rFonts w:ascii="Calibri" w:hAnsi="Calibri" w:cs="Calibri"/>
          <w:color w:val="000000" w:themeColor="text1"/>
          <w:kern w:val="0"/>
          <w:sz w:val="24"/>
          <w:vertAlign w:val="superscript"/>
        </w:rPr>
        <w:t>4,54</w:t>
      </w:r>
      <w:r w:rsidR="00994460" w:rsidRPr="00D11245">
        <w:rPr>
          <w:rFonts w:cs="Arial"/>
          <w:color w:val="000000" w:themeColor="text1"/>
          <w:sz w:val="24"/>
          <w:szCs w:val="24"/>
          <w:highlight w:val="green"/>
        </w:rPr>
        <w:fldChar w:fldCharType="end"/>
      </w:r>
      <w:r w:rsidR="00606998" w:rsidRPr="00D11245">
        <w:rPr>
          <w:rFonts w:cstheme="minorHAnsi"/>
          <w:color w:val="000000" w:themeColor="text1"/>
          <w:sz w:val="24"/>
          <w:szCs w:val="24"/>
        </w:rPr>
        <w:t>. Other</w:t>
      </w:r>
      <w:r w:rsidR="0021127A" w:rsidRPr="00D11245">
        <w:rPr>
          <w:rFonts w:cstheme="minorHAnsi"/>
          <w:color w:val="000000" w:themeColor="text1"/>
          <w:sz w:val="24"/>
          <w:szCs w:val="24"/>
        </w:rPr>
        <w:t xml:space="preserve"> </w:t>
      </w:r>
      <w:r w:rsidR="00A735DD" w:rsidRPr="00D11245">
        <w:rPr>
          <w:rFonts w:cstheme="minorHAnsi"/>
          <w:color w:val="000000" w:themeColor="text1"/>
          <w:sz w:val="24"/>
          <w:szCs w:val="24"/>
        </w:rPr>
        <w:t>i</w:t>
      </w:r>
      <w:r w:rsidR="0021127A" w:rsidRPr="00D11245">
        <w:rPr>
          <w:rFonts w:cstheme="minorHAnsi"/>
          <w:color w:val="000000" w:themeColor="text1"/>
          <w:sz w:val="24"/>
          <w:szCs w:val="24"/>
        </w:rPr>
        <w:t xml:space="preserve">nfectious colitides, such as </w:t>
      </w:r>
      <w:r w:rsidR="0021127A" w:rsidRPr="00D11245">
        <w:rPr>
          <w:rFonts w:cstheme="minorHAnsi"/>
          <w:i/>
          <w:iCs/>
          <w:color w:val="000000" w:themeColor="text1"/>
          <w:sz w:val="24"/>
          <w:szCs w:val="24"/>
        </w:rPr>
        <w:t xml:space="preserve">Shigella, Salmonella, Campylobacter and </w:t>
      </w:r>
      <w:r w:rsidR="00922373" w:rsidRPr="00D11245">
        <w:rPr>
          <w:rFonts w:cstheme="minorHAnsi"/>
          <w:color w:val="000000" w:themeColor="text1"/>
          <w:sz w:val="24"/>
          <w:szCs w:val="24"/>
        </w:rPr>
        <w:t>diarrhoeagenic</w:t>
      </w:r>
      <w:r w:rsidR="00922373" w:rsidRPr="00D11245">
        <w:rPr>
          <w:rFonts w:cstheme="minorHAnsi"/>
          <w:i/>
          <w:iCs/>
          <w:color w:val="000000" w:themeColor="text1"/>
          <w:sz w:val="24"/>
          <w:szCs w:val="24"/>
        </w:rPr>
        <w:t xml:space="preserve"> </w:t>
      </w:r>
      <w:r w:rsidR="0021127A" w:rsidRPr="00D11245">
        <w:rPr>
          <w:rFonts w:cstheme="minorHAnsi"/>
          <w:i/>
          <w:iCs/>
          <w:color w:val="000000" w:themeColor="text1"/>
          <w:sz w:val="24"/>
          <w:szCs w:val="24"/>
        </w:rPr>
        <w:t>E. coli</w:t>
      </w:r>
      <w:r w:rsidR="00A735DD" w:rsidRPr="00D11245">
        <w:rPr>
          <w:rFonts w:cstheme="minorHAnsi"/>
          <w:color w:val="000000" w:themeColor="text1"/>
          <w:sz w:val="24"/>
          <w:szCs w:val="24"/>
        </w:rPr>
        <w:t xml:space="preserve"> usually have a shorter duration of illness. </w:t>
      </w:r>
      <w:r w:rsidR="0021127A" w:rsidRPr="00D11245">
        <w:rPr>
          <w:rFonts w:cstheme="minorHAnsi"/>
          <w:color w:val="000000" w:themeColor="text1"/>
          <w:sz w:val="24"/>
          <w:szCs w:val="24"/>
        </w:rPr>
        <w:t xml:space="preserve"> </w:t>
      </w:r>
      <w:r w:rsidRPr="00D11245">
        <w:rPr>
          <w:rFonts w:cstheme="minorHAnsi"/>
          <w:color w:val="000000" w:themeColor="text1"/>
          <w:sz w:val="24"/>
          <w:szCs w:val="24"/>
        </w:rPr>
        <w:t>In a case seri</w:t>
      </w:r>
      <w:r w:rsidR="003B705E" w:rsidRPr="00D11245">
        <w:rPr>
          <w:rFonts w:cstheme="minorHAnsi"/>
          <w:color w:val="000000" w:themeColor="text1"/>
          <w:sz w:val="24"/>
          <w:szCs w:val="24"/>
        </w:rPr>
        <w:t>e</w:t>
      </w:r>
      <w:r w:rsidRPr="00D11245">
        <w:rPr>
          <w:rFonts w:cstheme="minorHAnsi"/>
          <w:color w:val="000000" w:themeColor="text1"/>
          <w:sz w:val="24"/>
          <w:szCs w:val="24"/>
        </w:rPr>
        <w:t xml:space="preserve">s from </w:t>
      </w:r>
      <w:r w:rsidR="00D46AA5" w:rsidRPr="00D11245">
        <w:rPr>
          <w:rFonts w:cstheme="minorHAnsi"/>
          <w:color w:val="000000" w:themeColor="text1"/>
          <w:sz w:val="24"/>
          <w:szCs w:val="24"/>
        </w:rPr>
        <w:t xml:space="preserve">the </w:t>
      </w:r>
      <w:r w:rsidRPr="00D11245">
        <w:rPr>
          <w:rFonts w:cstheme="minorHAnsi"/>
          <w:color w:val="000000" w:themeColor="text1"/>
          <w:sz w:val="24"/>
          <w:szCs w:val="24"/>
        </w:rPr>
        <w:t xml:space="preserve">USA, the median duration of symptoms pre-diagnosis was 14 days, and up to 6 months </w:t>
      </w:r>
      <w:r w:rsidR="00994460" w:rsidRPr="00D11245">
        <w:rPr>
          <w:rFonts w:cs="Arial"/>
          <w:color w:val="000000" w:themeColor="text1"/>
          <w:sz w:val="24"/>
          <w:szCs w:val="24"/>
          <w:highlight w:val="green"/>
        </w:rPr>
        <w:fldChar w:fldCharType="begin"/>
      </w:r>
      <w:r w:rsidR="009C3E63" w:rsidRPr="00D11245">
        <w:rPr>
          <w:rFonts w:cs="Arial"/>
          <w:color w:val="000000" w:themeColor="text1"/>
          <w:sz w:val="24"/>
          <w:szCs w:val="24"/>
          <w:highlight w:val="green"/>
        </w:rPr>
        <w:instrText xml:space="preserve"> ADDIN ZOTERO_ITEM CSL_CITATION {"citationID":"cAUehvPy","properties":{"formattedCitation":"\\super 46\\nosupersub{}","plainCitation":"46","noteIndex":0},"citationItems":[{"id":1668,"uris":["http://zotero.org/groups/2497994/items/W4YPB75U",["http://zotero.org/groups/2497994/items/W4YPB75U"]],"itemData":{"id":1668,"type":"article-journal","abstract":"BACKGROUND: Invasive amebiasis is not frequently seen in the United States. It is associated with considerable morbidity in patients residing in or traveling to endemic areas. We report a case series of patients with amebic colitis in a United States-Mexico border city to alert physicians to the varied clinical manifestations., CASE PRESENTATION: Nine patients were diagnosed with amebic colitis. Mean age was 56 (38-83), 6 were males, and all were Hispanic. Common symptoms were diarrhea (56 %), hematochezia (33 %) and abdominal bloating (11 %). The diagnosis of amebic colitis was established in the following ways: 8 patients by colonoscopy with biopsy, 1 by surgery for colonic obstruction. The diagnosis of amebic colitis was confirmed in 8 patients (89 %) by amebic trophozoites present in histopathologic sections. One patient was diagnosed with amebic colitis based upon clinical symptoms, colitis on colonoscopy and visualization of amebic trophozoites on stool examination. In the 8 patients in whom colonoscopy was done, 6 (75 %) had inflammation with rectosigmoid involvement and 5 (62.5 %) had ulcerations. Infection resolved after treatment with metronidazole in most patients; however, one patient developed a liver abscess and another had a colonic perforation and later developed a liver abscess., CONCLUSION: The occurrence of amebic colitis in this United States-Mexico border city hospital population was low, but in some cases potentially life-threatening. Physicians should be alert to the less common presentations of amebic colitis, such as overt gastrointestinal bleeding, exacerbation of inflammatory bowel disease, and the incidental finding of association with colon cancer, or a surgical abdomen. Rectosigmoid involvement was typically found on colonoscopy.","container-title":"BMC research notes","DOI":"10.1186/s13104-015-1787-3","ISSN":"1756-0500 (electronic)","issue":"(Fleming) Department of Internal Medicine, Texas Tech University Health Sciences Center, 4800 Alberta Ave, El Paso, TX, 79905, USA. rfleming5006@sbcglobal.net","journalAbbreviation":"BMC Res Notes","language":"English","note":"publisher-place: United Kingdom","page":"781","title":"Clinical manifestations and endoscopic findings of amebic colitis in a United States-Mexico border city: a case series","volume":"8","author":[{"literal":"Fleming R."},{"literal":"Cooper C.J."},{"literal":"Ramirez-Vega R."},{"literal":"Huerta-Alardin A."},{"literal":"Boman D."},{"literal":"Zuckerman M.J."}],"issued":{"date-parts":[["2015"]]}}}],"schema":"https://github.com/citation-style-language/schema/raw/master/csl-citation.json"} </w:instrText>
      </w:r>
      <w:r w:rsidR="00994460" w:rsidRPr="00D11245">
        <w:rPr>
          <w:rFonts w:cs="Arial"/>
          <w:color w:val="000000" w:themeColor="text1"/>
          <w:sz w:val="24"/>
          <w:szCs w:val="24"/>
          <w:highlight w:val="green"/>
        </w:rPr>
        <w:fldChar w:fldCharType="separate"/>
      </w:r>
      <w:r w:rsidR="009C3E63" w:rsidRPr="00D11245">
        <w:rPr>
          <w:rFonts w:ascii="Calibri" w:hAnsi="Calibri" w:cs="Calibri"/>
          <w:color w:val="000000" w:themeColor="text1"/>
          <w:kern w:val="0"/>
          <w:sz w:val="24"/>
          <w:vertAlign w:val="superscript"/>
        </w:rPr>
        <w:t>46</w:t>
      </w:r>
      <w:r w:rsidR="00994460" w:rsidRPr="00D11245">
        <w:rPr>
          <w:rFonts w:cs="Arial"/>
          <w:color w:val="000000" w:themeColor="text1"/>
          <w:sz w:val="24"/>
          <w:szCs w:val="24"/>
          <w:highlight w:val="green"/>
        </w:rPr>
        <w:fldChar w:fldCharType="end"/>
      </w:r>
      <w:r w:rsidRPr="00D11245">
        <w:rPr>
          <w:rFonts w:cs="Arial"/>
          <w:color w:val="000000" w:themeColor="text1"/>
          <w:sz w:val="24"/>
          <w:szCs w:val="24"/>
        </w:rPr>
        <w:t>.</w:t>
      </w:r>
      <w:r w:rsidR="003C1D42" w:rsidRPr="00D11245">
        <w:rPr>
          <w:rFonts w:cs="Arial"/>
          <w:color w:val="000000" w:themeColor="text1"/>
          <w:sz w:val="24"/>
          <w:szCs w:val="24"/>
        </w:rPr>
        <w:t xml:space="preserve"> Table 1 describes the symptoms of amoebic colitis. </w:t>
      </w:r>
    </w:p>
    <w:p w14:paraId="4C83B03C" w14:textId="77777777" w:rsidR="00473F0E" w:rsidRPr="00D11245" w:rsidRDefault="00473F0E" w:rsidP="00DC4A23">
      <w:pPr>
        <w:jc w:val="both"/>
        <w:rPr>
          <w:rFonts w:cs="Arial"/>
          <w:color w:val="000000" w:themeColor="text1"/>
          <w:sz w:val="24"/>
          <w:szCs w:val="24"/>
        </w:rPr>
      </w:pPr>
    </w:p>
    <w:p w14:paraId="4C732877" w14:textId="77777777" w:rsidR="00473F0E" w:rsidRPr="00D11245" w:rsidRDefault="00473F0E" w:rsidP="00DC4A23">
      <w:pPr>
        <w:jc w:val="both"/>
        <w:rPr>
          <w:rFonts w:cs="Arial"/>
          <w:color w:val="000000" w:themeColor="text1"/>
          <w:sz w:val="24"/>
          <w:szCs w:val="24"/>
        </w:rPr>
      </w:pPr>
    </w:p>
    <w:p w14:paraId="6507CBE2" w14:textId="77777777" w:rsidR="00473F0E" w:rsidRPr="00D11245" w:rsidRDefault="00473F0E" w:rsidP="00DC4A23">
      <w:pPr>
        <w:jc w:val="both"/>
        <w:rPr>
          <w:rFonts w:cs="Arial"/>
          <w:color w:val="000000" w:themeColor="text1"/>
          <w:sz w:val="24"/>
          <w:szCs w:val="24"/>
        </w:rPr>
      </w:pPr>
    </w:p>
    <w:p w14:paraId="7647AB14" w14:textId="77777777" w:rsidR="00473F0E" w:rsidRPr="00D11245" w:rsidRDefault="00473F0E" w:rsidP="00DC4A23">
      <w:pPr>
        <w:jc w:val="both"/>
        <w:rPr>
          <w:rFonts w:cs="Arial"/>
          <w:color w:val="000000" w:themeColor="text1"/>
          <w:sz w:val="24"/>
          <w:szCs w:val="24"/>
        </w:rPr>
      </w:pPr>
    </w:p>
    <w:p w14:paraId="2A304BA8" w14:textId="77777777" w:rsidR="00473F0E" w:rsidRPr="00D11245" w:rsidRDefault="00473F0E" w:rsidP="00DC4A23">
      <w:pPr>
        <w:jc w:val="both"/>
        <w:rPr>
          <w:rFonts w:cs="Arial"/>
          <w:color w:val="000000" w:themeColor="text1"/>
          <w:sz w:val="24"/>
          <w:szCs w:val="24"/>
        </w:rPr>
      </w:pPr>
    </w:p>
    <w:p w14:paraId="558617B7" w14:textId="77777777" w:rsidR="00473F0E" w:rsidRPr="00D11245" w:rsidRDefault="00473F0E" w:rsidP="00DC4A23">
      <w:pPr>
        <w:jc w:val="both"/>
        <w:rPr>
          <w:rFonts w:cs="Arial"/>
          <w:color w:val="000000" w:themeColor="text1"/>
          <w:sz w:val="24"/>
          <w:szCs w:val="24"/>
        </w:rPr>
      </w:pPr>
    </w:p>
    <w:p w14:paraId="40CEFF0F" w14:textId="77777777" w:rsidR="00473F0E" w:rsidRPr="00D11245" w:rsidRDefault="00473F0E" w:rsidP="00DC4A23">
      <w:pPr>
        <w:jc w:val="both"/>
        <w:rPr>
          <w:rFonts w:cs="Arial"/>
          <w:color w:val="000000" w:themeColor="text1"/>
          <w:sz w:val="24"/>
          <w:szCs w:val="24"/>
        </w:rPr>
      </w:pPr>
    </w:p>
    <w:tbl>
      <w:tblPr>
        <w:tblStyle w:val="TableGrid"/>
        <w:tblW w:w="5876" w:type="dxa"/>
        <w:jc w:val="center"/>
        <w:tblLook w:val="04A0" w:firstRow="1" w:lastRow="0" w:firstColumn="1" w:lastColumn="0" w:noHBand="0" w:noVBand="1"/>
      </w:tblPr>
      <w:tblGrid>
        <w:gridCol w:w="3468"/>
        <w:gridCol w:w="1592"/>
        <w:gridCol w:w="816"/>
      </w:tblGrid>
      <w:tr w:rsidR="00D11245" w:rsidRPr="00D11245" w14:paraId="7C2928B5" w14:textId="77777777" w:rsidTr="00803397">
        <w:trPr>
          <w:jc w:val="center"/>
        </w:trPr>
        <w:tc>
          <w:tcPr>
            <w:tcW w:w="5876" w:type="dxa"/>
            <w:gridSpan w:val="3"/>
            <w:shd w:val="clear" w:color="auto" w:fill="BDD6EE" w:themeFill="accent5" w:themeFillTint="66"/>
          </w:tcPr>
          <w:p w14:paraId="309FC3D9" w14:textId="370825EB" w:rsidR="00DC4A23" w:rsidRPr="00D11245" w:rsidRDefault="003C1D42" w:rsidP="00B57622">
            <w:pPr>
              <w:jc w:val="both"/>
              <w:rPr>
                <w:rFonts w:cstheme="minorHAnsi"/>
                <w:b/>
                <w:bCs/>
                <w:color w:val="000000" w:themeColor="text1"/>
              </w:rPr>
            </w:pPr>
            <w:r w:rsidRPr="00D11245">
              <w:rPr>
                <w:rFonts w:cstheme="minorHAnsi"/>
                <w:b/>
                <w:bCs/>
                <w:color w:val="000000" w:themeColor="text1"/>
              </w:rPr>
              <w:lastRenderedPageBreak/>
              <w:t xml:space="preserve">Table 1: </w:t>
            </w:r>
            <w:r w:rsidR="00DC4A23" w:rsidRPr="00D11245">
              <w:rPr>
                <w:rFonts w:cstheme="minorHAnsi"/>
                <w:b/>
                <w:bCs/>
                <w:color w:val="000000" w:themeColor="text1"/>
              </w:rPr>
              <w:t>Sy</w:t>
            </w:r>
            <w:r w:rsidR="00DC4A23" w:rsidRPr="00D11245">
              <w:rPr>
                <w:rFonts w:cstheme="minorHAnsi"/>
                <w:b/>
                <w:bCs/>
                <w:color w:val="000000" w:themeColor="text1"/>
                <w:shd w:val="clear" w:color="auto" w:fill="BDD6EE" w:themeFill="accent5" w:themeFillTint="66"/>
              </w:rPr>
              <w:t>mptoms of amoebic colitis</w:t>
            </w:r>
            <w:r w:rsidR="00B911A0" w:rsidRPr="00D11245">
              <w:rPr>
                <w:rFonts w:ascii="Calibri" w:hAnsi="Calibri" w:cs="Calibri"/>
                <w:color w:val="000000" w:themeColor="text1"/>
                <w:vertAlign w:val="superscript"/>
              </w:rPr>
              <w:t>29</w:t>
            </w:r>
          </w:p>
        </w:tc>
      </w:tr>
      <w:tr w:rsidR="00D11245" w:rsidRPr="00D11245" w14:paraId="230B7F3F" w14:textId="77777777" w:rsidTr="00803397">
        <w:trPr>
          <w:jc w:val="center"/>
        </w:trPr>
        <w:tc>
          <w:tcPr>
            <w:tcW w:w="3468" w:type="dxa"/>
            <w:shd w:val="clear" w:color="auto" w:fill="BDD6EE" w:themeFill="accent5" w:themeFillTint="66"/>
          </w:tcPr>
          <w:p w14:paraId="520B9B08" w14:textId="77777777" w:rsidR="00803397" w:rsidRPr="00D11245" w:rsidRDefault="00803397" w:rsidP="00B57622">
            <w:pPr>
              <w:jc w:val="both"/>
              <w:rPr>
                <w:rFonts w:cstheme="minorHAnsi"/>
                <w:b/>
                <w:bCs/>
                <w:color w:val="000000" w:themeColor="text1"/>
              </w:rPr>
            </w:pPr>
            <w:r w:rsidRPr="00D11245">
              <w:rPr>
                <w:rFonts w:cstheme="minorHAnsi"/>
                <w:b/>
                <w:bCs/>
                <w:color w:val="000000" w:themeColor="text1"/>
              </w:rPr>
              <w:t>Symptoms</w:t>
            </w:r>
          </w:p>
        </w:tc>
        <w:tc>
          <w:tcPr>
            <w:tcW w:w="2408" w:type="dxa"/>
            <w:gridSpan w:val="2"/>
            <w:shd w:val="clear" w:color="auto" w:fill="BDD6EE" w:themeFill="accent5" w:themeFillTint="66"/>
          </w:tcPr>
          <w:p w14:paraId="22475A19" w14:textId="77777777" w:rsidR="00803397" w:rsidRPr="00D11245" w:rsidRDefault="00803397" w:rsidP="00B57622">
            <w:pPr>
              <w:jc w:val="both"/>
              <w:rPr>
                <w:rFonts w:cstheme="minorHAnsi"/>
                <w:b/>
                <w:bCs/>
                <w:color w:val="000000" w:themeColor="text1"/>
              </w:rPr>
            </w:pPr>
            <w:r w:rsidRPr="00D11245">
              <w:rPr>
                <w:rFonts w:cstheme="minorHAnsi"/>
                <w:b/>
                <w:bCs/>
                <w:color w:val="000000" w:themeColor="text1"/>
              </w:rPr>
              <w:t>Prevalence</w:t>
            </w:r>
          </w:p>
        </w:tc>
      </w:tr>
      <w:tr w:rsidR="00D11245" w:rsidRPr="00D11245" w14:paraId="3241D667" w14:textId="77777777" w:rsidTr="00803397">
        <w:trPr>
          <w:trHeight w:val="46"/>
          <w:jc w:val="center"/>
        </w:trPr>
        <w:tc>
          <w:tcPr>
            <w:tcW w:w="3468" w:type="dxa"/>
            <w:shd w:val="clear" w:color="auto" w:fill="DEEAF6" w:themeFill="accent5" w:themeFillTint="33"/>
          </w:tcPr>
          <w:p w14:paraId="6174E797" w14:textId="77777777" w:rsidR="00803397" w:rsidRPr="00D11245" w:rsidRDefault="00803397" w:rsidP="00B57622">
            <w:pPr>
              <w:jc w:val="both"/>
              <w:rPr>
                <w:rFonts w:cstheme="minorHAnsi"/>
                <w:b/>
                <w:bCs/>
                <w:color w:val="000000" w:themeColor="text1"/>
              </w:rPr>
            </w:pPr>
            <w:r w:rsidRPr="00D11245">
              <w:rPr>
                <w:rFonts w:cstheme="minorHAnsi"/>
                <w:b/>
                <w:bCs/>
                <w:color w:val="000000" w:themeColor="text1"/>
              </w:rPr>
              <w:t>Diarrhoea – watery or bloody</w:t>
            </w:r>
          </w:p>
          <w:p w14:paraId="0B1D59E0" w14:textId="6DAA6659" w:rsidR="00803397" w:rsidRPr="00D11245" w:rsidRDefault="00803397" w:rsidP="00B57622">
            <w:pPr>
              <w:jc w:val="both"/>
              <w:rPr>
                <w:rFonts w:cstheme="minorHAnsi"/>
                <w:b/>
                <w:bCs/>
                <w:color w:val="000000" w:themeColor="text1"/>
              </w:rPr>
            </w:pPr>
            <w:r w:rsidRPr="00D11245">
              <w:rPr>
                <w:rFonts w:cstheme="minorHAnsi"/>
                <w:color w:val="000000" w:themeColor="text1"/>
                <w:highlight w:val="yellow"/>
              </w:rPr>
              <w:fldChar w:fldCharType="begin"/>
            </w:r>
            <w:r w:rsidR="009C3E63" w:rsidRPr="00D11245">
              <w:rPr>
                <w:rFonts w:cstheme="minorHAnsi"/>
                <w:color w:val="000000" w:themeColor="text1"/>
                <w:highlight w:val="yellow"/>
              </w:rPr>
              <w:instrText xml:space="preserve"> ADDIN ZOTERO_ITEM CSL_CITATION {"citationID":"XCWJuLdZ","properties":{"formattedCitation":"\\super 4,28,31,32,46,54\\uc0\\u8211{}63\\nosupersub{}","plainCitation":"4,28,31,32,46,54–63","noteIndex":0},"citationItems":[{"id":2848,"uris":["http://zotero.org/groups/2497994/items/4CQVJEEC",["http://zotero.org/groups/2497994/items/4CQVJEEC"]],"itemData":{"id":2848,"type":"article-journal","abstract":"&lt;h2&gt;Summary&lt;/h2&gt;&lt;p&gt;Amoebiasis is the second leading cause of death from parasitic disease worldwide. The causative protozoan parasite, &lt;i&gt;Entamoeba histolytica&lt;/i&gt;, is a potent pathogen. Secreting proteinases that dissolve host tissues, killing host cells on contact, and engulfing red blood cells, &lt;i&gt;E histolytica&lt;/i&gt; trophozoites invade the intestinal mucosa, causing amoebic colitis. In some cases amoebas breach the mucosal barrier and travel through the portal circulation to the liver, where they cause abscesses consisting of a few &lt;i&gt;E histolytica&lt;/i&gt; trophozoites surrounding dead and dying hepatocytes and liquefied cellular debris. Amoebic liver abscesses grow inexorably and, at one time, were almost always fatal, but now even large abscesses can be cured by one dose of antibiotic. Evidence that what we thought was a single species based on morphology is, in fact, two genetically distinct species—now termed &lt;i&gt;Entamoeba histolytica&lt;/i&gt; (the pathogen) and &lt;i&gt;Entamoeba dispar&lt;/i&gt; (a commensal)—has turned conventional wisdom about the epidemiology and diagnosis of amoebiasis upside down. New models of disease have linked &lt;i&gt;E histolytica&lt;/i&gt; induction of intestinal inflammation and hepatocyte programmed cell death to the pathogenesis of amoebic colitis and amoebic liver abscess.&lt;/p&gt;","container-title":"The Lancet","DOI":"10.1016/S0140-6736(03)12830-9","ISSN":"0140-6736, 1474-547X","issue":"9362","journalAbbreviation":"The Lancet","language":"English","note":"PMID: 12660071","page":"1025-1034","source":"www.thelancet.com","title":"Amoebiasis","volume":"361","author":[{"family":"Stanley","given":"Samuel L."}],"issued":{"date-parts":[["2003",3,22]]}}},{"id":1899,"uris":["http://zotero.org/groups/2497994/items/WRZSZ6VD",["http://zotero.org/groups/2497994/items/WRZSZ6VD"]],"itemData":{"id":1899,"type":"article-journal","abstract":"Background Amoebic colitis is the most frequent clinical manifestation of invasive intestinal infection due to Entamoeba histolytica and a common cause of diarrhoea worldwide. Since higher transmission rates are usually related to poor health and exposure to unhygienic conditions, cases reported in Europe usually involve immigrants and international travellers. The goal of this study was to characterise both the clinical and the epidemiological features of a European population diagnosed with amoebic colitis and then to evaluate the diagnostic tools and therapeutic options applied. Methods and results This was a retrospective observational study in which data from all patients diagnosed with amoebic colitis attending at the International Health Units of two tertiary referral hospitals, Germans Trias i Pujol University Hospital (Badalona, North Barcelona Metropolitan Area) and Vall d'Hebron University Hospital (Barcelona city) between 2007 and 2017 were analysed. During the study period 50 patients were diagnosed with amoebic colitis. Thirty-six (72%) were men, and immigrants accounted for 46% of all cases. Antecedents of any international travel were reported for 28 (56%), the most frequent destinations having been the Indian subcontinent, South and Central America and sub-Saharan Africa. Preexisting pathological conditions or any kind of immunosuppression were identified in 29 (58%) patients; of these, 13 (26%) had HIV infection-all of them men who have sex with men-and 5 (10%) had inflammatory bowel disease. Diarrhoea, abdominal pain and dysentery were the most frequently recorded symptoms of invasive amoebae. Diagnosis was made through microbiological study in 45 (90%) and/or histological identification of amoebae in colon biopsies in 10 (20%). After treatment with metronidazole (82%) or tinidazole (8%), all patients had good outcomes. Post-acute intraluminal treatment was indicated in 28 (56%). Conclusions Amoebic colitis should be suspected in patients with diarrhoea and compatible epidemiological risk factors (immigration, travelling abroad or men who have sex with men), especially if some degree of immunosuppression concurs. These risk factors must be taken into account in any diagnostic approach to inflammatory bowel disease (IBD), and active searches for stool parasites should be performed in such cases to rule out misdiagnosis or simultaneous amoebic infection. Treatment should include intraluminal anti-amoebic treatment in order to avoid relapse and prevent further spread of the disease.Copyright © 2019 Roure et al. This is an open access article distributed under the terms of the Creative Commons Attribution License, which permits unrestricted use, distribution, and reproduction in any medium, provided the original author and source are credited.","container-title":"PLoS ONE","DOI":"10.1371/journal.pone.0212791","ISSN":"1932-6203 (electronic)","issue":"2","journalAbbreviation":"PLoS ONE","language":"English","note":"publisher-place: United States\npublisher: Public Library of Science (E-mail: plos@plos.org)","page":"e0212791","title":"Approach to amoebic colitis: Epidemiological, clinical and diagnostic considerations in a non-endemic context (Barcelona, 2007-2017)","volume":"14","author":[{"literal":"Roure S."},{"literal":"Valerio L."},{"literal":"Soldevila L."},{"literal":"Salvador F."},{"literal":"Fernandez-Rivas G."},{"literal":"Sulleiro E."},{"literal":"Manosa M."},{"literal":"Sopena N."},{"literal":"Mate J.L."},{"literal":"Clotet B."}],"issued":{"date-parts":[["2019"]]}}},{"id":2833,"uris":["http://zotero.org/groups/2497994/items/IZQVRVIQ",["http://zotero.org/groups/2497994/items/IZQVRVIQ"]],"itemData":{"id":2833,"type":"article-journal","abstract":"This article has no abstract; the first 100 words appear below.\n\nTo the Editor: Haque et al. (April 17 issue)1 mention that amebic liver abscesses are usually solitary lesions in the right lobe. We believe that the classic description of amebic liver abscess needs to be modified, however, since many variants exist. In a sonographic evaluation of 212 patients, 34 (16 percent) had multiple abscesses, 75 (35 percent) had an abscess in the left lobe, and the remaining 103 (49 percent) had a solitary abscess in the right lobe.2 We also do not agree with Haque et al. that a liver abscess greater than 5 cm in diameter is an indication . . .","container-title":"N Engl J Med 2003; 348:1565-1573","DOI":"10.1056/NEJMra022710","title":"Amebiasis","title-short":"Haque R, Huston CD, Hughes M, Houpt E, Petri WA Jr. Amebiasis. N Engl J Med. 2003;348(16):1565-1573. doi:10.1056/NEJMra022710","URL":"https://www.nejm.org/doi/10.1056/NEJMra022710?url_ver=Z39.88-2003&amp;rfr_id=ori%3Arid%3Acrossref.org&amp;rfr_dat=cr_pub++0pubmed","author":[{"family":"Haque","given":"Rashidul"}]}},{"id":1668,"uris":["http://zotero.org/groups/2497994/items/W4YPB75U",["http://zotero.org/groups/2497994/items/W4YPB75U"]],"itemData":{"id":1668,"type":"article-journal","abstract":"BACKGROUND: Invasive amebiasis is not frequently seen in the United States. It is associated with considerable morbidity in patients residing in or traveling to endemic areas. We report a case series of patients with amebic colitis in a United States-Mexico border city to alert physicians to the varied clinical manifestations., CASE PRESENTATION: Nine patients were diagnosed with amebic colitis. Mean age was 56 (38-83), 6 were males, and all were Hispanic. Common symptoms were diarrhea (56 %), hematochezia (33 %) and abdominal bloating (11 %). The diagnosis of amebic colitis was established in the following ways: 8 patients by colonoscopy with biopsy, 1 by surgery for colonic obstruction. The diagnosis of amebic colitis was confirmed in 8 patients (89 %) by amebic trophozoites present in histopathologic sections. One patient was diagnosed with amebic colitis based upon clinical symptoms, colitis on colonoscopy and visualization of amebic trophozoites on stool examination. In the 8 patients in whom colonoscopy was done, 6 (75 %) had inflammation with rectosigmoid involvement and 5 (62.5 %) had ulcerations. Infection resolved after treatment with metronidazole in most patients; however, one patient developed a liver abscess and another had a colonic perforation and later developed a liver abscess., CONCLUSION: The occurrence of amebic colitis in this United States-Mexico border city hospital population was low, but in some cases potentially life-threatening. Physicians should be alert to the less common presentations of amebic colitis, such as overt gastrointestinal bleeding, exacerbation of inflammatory bowel disease, and the incidental finding of association with colon cancer, or a surgical abdomen. Rectosigmoid involvement was typically found on colonoscopy.","container-title":"BMC research notes","DOI":"10.1186/s13104-015-1787-3","ISSN":"1756-0500 (electronic)","issue":"(Fleming) Department of Internal Medicine, Texas Tech University Health Sciences Center, 4800 Alberta Ave, El Paso, TX, 79905, USA. rfleming5006@sbcglobal.net","journalAbbreviation":"BMC Res Notes","language":"English","note":"publisher-place: United Kingdom","page":"781","title":"Clinical manifestations and endoscopic findings of amebic colitis in a United States-Mexico border city: a case series","volume":"8","author":[{"literal":"Fleming R."},{"literal":"Cooper C.J."},{"literal":"Ramirez-Vega R."},{"literal":"Huerta-Alardin A."},{"literal":"Boman D."},{"literal":"Zuckerman M.J."}],"issued":{"date-parts":[["2015"]]}}},{"id":1342,"uris":["http://zotero.org/groups/2497994/items/LVRSSFNS",["http://zotero.org/groups/2497994/items/LVRSSFNS"]],"itemData":{"id":1342,"type":"article-journal","abstract":"In Australia, amoebiasis is thought to occur in travellers, immigrants from endemic areas, and among men who have sex with men. Prevalence of amoebiasis in communities with immigrants from Entamoeba histolytica-endemic countries is unknown. The present study is a retrospective case series analysis of patients with laboratory-confirmed amoebiasis from Western Sydney Local Health District, Australia, between years 2005 and 2016. Forty-nine patients with amoebiasis were identified, resulting in an estimated annual incidence of up to 1.1 cases per 100,000 adults. Many were born in Australia (15/47) and India (12/47). Three patients (3/37) had no history of overseas travel, two others had not travelled to an endemic country, and an additional two had a very remote history of overseas travel; one died of fulminant amoebic colitis. Three patients (3/16) were employed in the food industry and one had a history of colonic irrigation in an Australian ‘wellness clinic’. Patients had invasive amoebiasis with either liver abscess (41/48) or colitis (7/48), diagnosed most commonly by serology. Invasive procedures were common, including aspiration of liver abscess (28/41), colonoscopy (11/49), and partial hepatectomy (1/49). Although rare, local acquisition of amoebiasis occurs in Western Sydney and contributes to significant morbidity and hospital admissions.","language":"EN","note":"publisher: MDPI AG","title":"A 12-Year Retrospective Study of Invasive Amoebiasis in Western Sydney: Evidence of Local Acquisition","URL":"https://doi.org/10.3390/tropicalmed3030073","author":[{"literal":"Ana Domazetovska"},{"literal":"Rogan Lee"},{"literal":"Chandra Adhikari"},{"literal":"Matthew Watts"},{"literal":"Nicole Gilroy"},{"literal":"Damien Stark"},{"literal":"Shobini Sivagnanam"}],"issued":{"date-parts":[["2018"]]}}},{"id":2868,"uris":["http://zotero.org/groups/2497994/items/UJ3F9SZ5",["http://zotero.org/groups/2497994/items/UJ3F9SZ5"]],"itemData":{"id":2868,"type":"article-journal","abstract":"Invasive amebiasis is common worldwide, but infrequently observed in the United States. It is associated with considerable morbidity in patients residing in or traveling to endemic areas. We review the clinical and endoscopic manifestations of amebic colitis to alert physicians to the varied clinical manifestations of this potentially life-threatening disease. Copyright ©Most patients present with watery or bloody diarrhea. Less common presentations of amebic colitis include abdominal pain, overt gastrointestinal bleeding, exacerbation of inflammatory bowel disease, or the incidental association with colon cancer. Amebic liver abscesses are the most frequent complication. Rectosigmoid involvement may be found on colonoscopy; however, most case series have reported that the cecum is the most commonly involved site, followed by the ascending colon. Endoscopic evaluation should be used to assist in the diagnosis, with attention to the observation of colonic inflammation, ulceration, and amebic trophozoites on histopathological examination.","archive":"Pubmed","container-title":"Southern medical journal","DOI":"10.14423/SMJ.0000000000000370","ISSN":"0038-4348","issue":"11","page":"676-81","title":"Varied Clinical Manifestations of Amebic Colitis.","volume":"108","author":[{"family":"Cooper","given":"Chad J"},{"family":"Fleming","given":"Rhonda"},{"family":"Boman","given":"Darius A"},{"family":"Zuckerman","given":"Marc J"}],"issued":{"date-parts":[["2015",11,1]]}}},{"id":2127,"uris":["http://zotero.org/groups/2497994/items/98MNWH3V",["http://zotero.org/groups/2497994/items/98MNWH3V"]],"itemData":{"id":2127,"type":"article-journal","abstract":"Amoebic colitis, caused by ingestion of water or food contaminated with the protozoan Entamoeba histolytica, can progress to a fulminant colitis. Computed tomography (CT) findings reported in the literature on this type of colitis are sparse. We present a 59-year-old male patient with a one-week history of progressive abdominal pain, abdominal distension and associated watery and bloody diarrhoea. A CT scan revealed deep ulcerations with submucosal and intramural tracking of contrast. Colonoscopy and biopsy confirmed a diagnosis of Amoebic colitis. The patient required a laparotomy and demised. Deep ulcerations with submucosal and intramural tracking of contrast on CT are diagnostic of fulminant amoebic colitis. Although not demonstrated at CT in this case, discontinuous bowel necrosis, omental wrapping (seen at laparotomy in our case) and neovascularisation of the bowel wall may be other features to look out for.","container-title":"Sa Journal of Radiology","DOI":"10.4102/sajr.v22i1.1354","ISSN":"1027-202X","issue":"1","note":"WOS:000456514500001","page":"a1354","title":"Fulminant amoebic colitis in the era of computed tomography scan: A case report and review of the literature","volume":"22","author":[{"family":"Kinoo","given":"Suman Mewa"},{"family":"Ramkelawon","given":"Vikesh V."},{"family":"Maharajh","given":"Jaynund"},{"family":"Singh","given":"Bugwan"}],"issued":{"date-parts":[["2018",8,15]]}}},{"id":500,"uris":["http://zotero.org/groups/2497994/items/N6ZDBPSJ",["http://zotero.org/groups/2497994/items/N6ZDBPSJ"]],"itemData":{"id":500,"type":"article-journal","abstract":"A 50-year-old patient was admitted to our department after developing severe abdominal cramps, watery diarrhea and fever, during four days whilst travelling abroad. Imaging identified a mass in the ascending colon with simultaneous liver lesions. Initially a diagnosis of metastatic colorectal cancer was suggested, however colonoscopy showed a large lesion with a central ulcer and surrounding inflammation in the ascending colon. Biopsies confirmed our clinical suspicion of amoebic colitis, complicated by development of an amoeboma and simultaneous liver abscesses. Amoeboma formation is a rare complication of amoebiasis, however a simultaneous presentation with liver abscesses, amoebic colitis and an amoeboma might even be less frequent. Despite its rarity physicians should maintain a high index of suspicion of patients presenting with synchronous liver and colon lesions, especially as travel to endemic areas has increased.Copyright © 2019, Universa Press. All rights reserved.","container-title":"Acta Gastro-Enterologica Belgica","ISSN":"1784-3227","issue":"4","journalAbbreviation":"Acta Gastro-Enterol. Belg.","language":"English","note":"publisher-place: Belgium\npublisher: Universa Press (E-mail: deprez@gaen.ucl.ac.be)","page":"539-541","title":"A case of amoebic colitis with amoeboma and simultaneous liver abscesses. A diagnosis by colonoscopy","volume":"82","author":[{"literal":"Bronswijk M."},{"literal":"Van Gool S."}],"issued":{"date-parts":[["2019"]]}}},{"id":635,"uris":["http://zotero.org/groups/2497994/items/TJIRGEY8",["http://zotero.org/groups/2497994/items/TJIRGEY8"]],"itemData":{"id":635,"type":"article-journal","container-title":"Revista Espanola de Enfermedades Digestivas","ISSN":"1130-0108","issue":"1","journalAbbreviation":"Rev. Esp. Enferm. Dig.","language":"English","note":"publisher-place: Spain\npublisher: ARAN Ediciones S.A. (E-mail: araninte@grupoaran.com)","page":"64","title":"All that glitters is not gold. A different cause for an \"ulcerative colitis\"","volume":"109","author":[{"literal":"Peixoto A."},{"literal":"Silva M."},{"literal":"Vilas-Boas F."},{"literal":"Macedo G."}],"issued":{"date-parts":[["2017"]]}}},{"id":492,"uris":["http://zotero.org/groups/2497994/items/TYH6D72Z",["http://zotero.org/groups/2497994/items/TYH6D72Z"]],"itemData":{"id":492,"type":"article-journal","abstract":"Amoebic colitis is caused by the parasite Entamoeba histolytica (E. histolytica). The condition is prevalent in countries with poor sanitation but is increasing within developed countries secondary to global travel and immigration. We report a case of amoebic colitis diagnosed in a patient with a clinical diagnosis of Crohn's disease and with no travel history. Colonic biopsies showed focal active colitis with ulcer slough; deeper levels looking for granulomas fortuitously revealed the amoebae. The diagnosis was confirmed by positive serology and symptomatic improvement after a course of eradication treatment. Pathologists should look for amoebae in biopsies for inflammatory bowel disease (IBD), as endoscopic and histological appearances of IBD and amoebic colitis can be similar but importantly immunosuppressive therapy is contraindicated in amoebic colitis.Copyright © 2017","container-title":"Diagnostic Histopathology","DOI":"10.1016/j.mpdhp.2017.11.008","ISSN":"1756-2317","issue":"12","journalAbbreviation":"Diagn. Histopathology","language":"English","note":"publisher-place: United Kingdom\npublisher: Elsevier Ltd","page":"563-565","title":"Amoebic colitis","volume":"23","author":[{"literal":"Young C.A."},{"literal":"Gracie D.J."},{"literal":"Subramanian V."},{"literal":"Wyatt J.I."}],"issued":{"date-parts":[["2017"]]}}},{"id":753,"uris":["http://zotero.org/groups/2497994/items/NM353MPR",["http://zotero.org/groups/2497994/items/NM353MPR"]],"itemData":{"id":753,"type":"article-journal","abstract":"We present a case of amoebic colitis, misdiagnosed as inflammatory bowel disease and treated with corticosteroids, leading to severe necrotizing enterocolitis. We review the literature on the epidemiology, pathogenesis, diagnosis, and treatment of amoebic dysentery, with special emphasis on the association between immunosuppressive treatment and the development of severe invasive amoebiasis.","language":"eng","title":"Misdiagnosed amoebic colitis leading to severe dysentery and necrotizing colitis-Report of a case and review of the literature","URL":"https://pure.au.dk/portal/da/publications/misdiagnosed-amoebic-colitis-leading-to-severe-dysentery-and-necrotizing-colitisreport-of-a-case-and-review-of-the-literature(bb3eba3f-12cf-4068-b98d-833c085fefc1).html","author":[{"family":"Mogensen","given":"Trine H"},{"family":"Christiansen","given":"Jens J"},{"family":"Eivindson","given":"Martin V"},{"family":"Larsen","given":"Carsten S"},{"literal":"JOUR"}],"issued":{"date-parts":[["2014"]]}}},{"id":2825,"uris":["http://zotero.org/groups/2497994/items/NPTKPRAP",["http://zotero.org/groups/2497994/items/NPTKPRAP"]],"itemData":{"id":2825,"type":"article-journal","abstract":"lesions (C). The same endoscopic findings were emphasizedon the surface of the larger lesions (D). Endoscopic biopsyspecimens taken from the small lesions showed infiltration ofneoplastic lymphoid cells (E), which were positive for Cy-clinD1 (F), CD20, and Bcl-1 but negative for CD3, CD5, andCD10. The patient received a diagnosis of MCL involving theduodenum, and chemotherapy with bendamustine wasbegun.DISCLOSUREAll authors disclosed no financial relationships relevantto this publication.Daisuke Norimura, MD, Hajime Isomoto, MD, PhD,Depart-ment of Gastroenterology and Hepatology, Nagasaki UniversityHospital,Nagasaki,DaisukeNiino,MD,PhD,DepartmentofPa-thology, Kurume University Hospital, Kurume,Kayoko Matsu-shima, MD, PhD, Yuko Akazawa, MD, PhD, Naoyuki Yama-guchi, MD, PhD, Ken Ohnita, MD, PhD, Saburo Shikuwa,MD, PhD,Department of Gastroenterology and Hepatology,Yoshitaka Imaizumi, MD, PhD, Kunihiro Tsukasaki, MD,PhD,YasushiMiyazaki,MD,PhD,Department of Hematology,Fuminao Takeshima, MD, PhD, Kazuhiko Nakao, MD, PhD,Department of Gastroenterology and Hepatology, Nagasaki Uni-versity Hospital, Nagasaki, Japanhttp://dx.doi.org/doi:10.1016/j.gie.2012.02.047CommentaryMCL is a B-cell lymphoma derived from a subset of naive pregerminal center cells localized in primary lymph follicles or in themantle region of secondary lymph follicles. Most cases of MCL are associated with a chromosomal translocation (chromo-somes 11 and 14) that results in overexpression of cyclin D1, a protein that plays a key role in cell cycle regulation andprogression of cells from the G1 phase to the S phase. MCL represents up to 10% of all non-Hodgkin lymphomas. The typicalpatient is a Caucasian man in his 60s. The disease typically presents late with fever, night sweats, weight loss, fatigue, lymph-adenopathy,andhepatosplenomegaly;somepatientsnoticemassesintheirskin,breast,orneck.TreatmentofMCLisdifficult,and relatively few patients have a complete response. Disease progression is often relentless, with a survival of usually lessthan 5years. As for lymphomatous polyposis, this entity is rare, seen in only about 5% of intestinal lymphomas. Lymphomatouspolyposis occurs from esophagus to rectum, and most cases are due to mantle cell lymphoma; less commonly, the lymphoma is amucosa-associated lymphoid tissue lymphoma. Although the word “mantle” has many meanings, it usually has a positive conno-tation when used as a descriptor of people; not in this case. This lymphoma carries a destiny of grim prognosis within its mantle.Lawrence J. Brandt, MDAssociate Editor for Focal PointsPoached egg appearance in intestinal amebiasisA 35-year-old man was admitted with a history of fever,diarrhea, and lower abdominal pain of 15 days’ duration.There was no history of rectal bleeding. On physical ex-amination, he was found to have right lower quadranttenderness. US of the abdomen showed only mild irregu-lar thickening of the cecum and ascending colon; the otherintraabdominal organs were normal, and there were noenlarged lymph nodes. Basic laboratory tests showed nor-mal results except for hemoglobin, 12.8 g/dL; and TLC13,500 cells/mm3(80% polymorphonuclear leukocytes).The results of liver biochemical tests were normal, exceptfor the albumin level, 3.4g/dL. Colonoscopy revealed thatin the cecum and ascending colon, there were multiplelarge irregular ulcers with a white slough and yellowish necrotic material on the top of the white slough, giving a“poached egg” appearance (A, B). The intervening mu-cosa was edematous and boggy. The remainder of thecolon was normal as far as the rectum, where otherpoached egg lesions were seen. On the basis of our pre-vious experience, an endoscopic diagnosis of intestinalamebiasis was made. Biopsy specimens were taken fromthe lesion,which revealed ulcerated mucosa with multipletrophozoites ofEntamoeba histolytica(C). The patient wastreated with intravenous metronidazole, and over the follow-ing 3 days his fever, diarrhea, and abdominal pain improvedsignificantly. Four weeks later, US showed decreased thick-ening of the colon, and colonoscopy documented healing ofthe previously seen ulcers. Now, 8 months after his initialpresentation, the patient is asymptomatic.","archive":"Pubmed","container-title":"Gastrointestinal endoscopy","DOI":"10.1016/j.gie.2012.03.171","ISSN":"0016-5107","issue":"1","page":"189-90","title":"Poached egg appearance in intestinal amebiasis.","volume":"76","author":[{"family":"Upadhyay","given":"Rajesh"},{"family":"Gupta","given":"Nitin"},{"family":"Gogia","given":"Pratibha"},{"family":"Chandra","given":"Subhash"}],"issued":{"date-parts":[["2012",7,1]]}}},{"id":1478,"uris":["http://zotero.org/groups/2497994/items/4X6FCL92",["http://zotero.org/groups/2497994/items/4X6FCL92"]],"itemData":{"id":1478,"type":"article-journal","abstract":"A 60-year-old Japanese man presented with bloody diarrhoea. He stated that he had been diagnosed with ulcerative colitis (UC) 3 years prior, but discontinued follow-up care as treatment was ineffective. One year later, he came to our hospital with anorexia and weight loss. The abdomen was soft and flat without tenderness. Laboratory tests were unremarkable; faecal culture and Clostridium difficile toxin were negative. Findings and biopsy from a subsequent colonoscopy reconfirmed his diagnosis of UC. Neither mesalazine, which was initially prescribed, nor additional treatments improved his symptoms. Repeat colonoscopy, performed 5 months later, demonstrated similar findings in the same area. Although the pathology remained consistent with UC, multiple treatment failures suggested ongoing occult infection. Additional testing revealed positive Entamoeba histolytica antibody. 14 days of metronidazole dramatically improved his symptoms. He has remained asymptomatic after 2 years.Copyright © 2015 BMJ Publishing Group. All rights reserved.","container-title":"BMJ Case Reports","DOI":"10.1136/bcr-2015-212102","ISSN":"1757-790X (electronic)","issue":"(Den, Kinoshita, Hiraoka) Department of Internal Medicine, Tokyo Bay Urayasu Ichikawa Medical Center, Urayasu, Chiba, Japan","journalAbbreviation":"BMJ Case Rep.","language":"English","note":"publisher-place: United Kingdom\npublisher: BMJ Publishing Group (E-mail: subscriptions@bmjgroup.com)","page":"A1708","title":"Amoebiasis masquerading as inflammatory bowel disease","volume":"2015","author":[{"literal":"Den Y."},{"literal":"Kinoshita J."},{"literal":"Deshpande G.A."},{"literal":"Hiraoka E."}],"issued":{"date-parts":[["2015"]]}}},{"id":1136,"uris":["http://zotero.org/groups/2497994/items/AVQJEFMD",["http://zotero.org/groups/2497994/items/AVQJEFMD"]],"itemData":{"id":1136,"type":"article-journal","container-title":"Gastroenterology","DOI":"10.1053/j.gastro.2019.07.015","ISSN":"1528-0012","issue":"6","journalAbbreviation":"Gastroenterology","note":"publisher-place: United States\nDebourdeau, Antoine. Departement d'Hepatogastroenterologie et Transplantation, CHU Saint Eloi, Universite de Montpellier, Montpellier, France.\nBoivineau, Lucille. Departement d'Hepatogastroenterologie et Transplantation, CHU Saint Eloi, Universite de Montpellier, Montpellier, France.\nIltache, Sarah. Departement d'Hepatogastroenterologie et Transplantation, CHU Saint Eloi, Universite de Montpellier, Montpellier, France.","page":"1483-1484","title":"The Little Beast That Pretended to Be a Severe Crohn's Disease.","volume":"157","author":[{"family":"Debourdeau","given":"Antoine"},{"family":"Boivineau","given":"Lucille"},{"family":"Iltache","given":"Sarah"}],"issued":{"date-parts":[["2019"]]}}},{"id":1372,"uris":["http://zotero.org/groups/2497994/items/V2S8BC8N",["http://zotero.org/groups/2497994/items/V2S8BC8N"]],"itemData":{"id":1372,"type":"article-journal","abstract":"We present a case of colitis in a young male in the Western Cape, while progressing through the ambit of establishing a definitive diagnosis. We would like to highlight the value of microscopy which led to the specific diagnosis and subsequent directed treatment. Consent was obtained from the patient prior to publication.Copyright © 2019 In House Publications. All rights reserved.","container-title":"South African Gastroenterology Review","ISSN":"1812-1659","issue":"2","journalAbbreviation":"S. Afr. Gastroenterol. Rev.","language":"English","note":"publisher-place: South Africa\npublisher: In House Publications (E-mail: inhouse@iafrica.com)","page":"27-29","title":"The value of microscopy in the diagnosis of colitis","volume":"17","author":[{"literal":"Kahn T."},{"literal":"Locketz M."},{"literal":"Thomson S."}],"issued":{"date-parts":[["2019"]]}}}],"schema":"https://github.com/citation-style-language/schema/raw/master/csl-citation.json"} </w:instrText>
            </w:r>
            <w:r w:rsidRPr="00D11245">
              <w:rPr>
                <w:rFonts w:cstheme="minorHAnsi"/>
                <w:color w:val="000000" w:themeColor="text1"/>
                <w:highlight w:val="yellow"/>
              </w:rPr>
              <w:fldChar w:fldCharType="separate"/>
            </w:r>
            <w:r w:rsidR="009C3E63" w:rsidRPr="00D11245">
              <w:rPr>
                <w:rFonts w:ascii="Calibri" w:hAnsi="Calibri" w:cs="Calibri"/>
                <w:color w:val="000000" w:themeColor="text1"/>
                <w:vertAlign w:val="superscript"/>
              </w:rPr>
              <w:t>4,28,31,32,46,54–63</w:t>
            </w:r>
            <w:r w:rsidRPr="00D11245">
              <w:rPr>
                <w:rFonts w:cstheme="minorHAnsi"/>
                <w:color w:val="000000" w:themeColor="text1"/>
                <w:highlight w:val="yellow"/>
              </w:rPr>
              <w:fldChar w:fldCharType="end"/>
            </w:r>
          </w:p>
        </w:tc>
        <w:tc>
          <w:tcPr>
            <w:tcW w:w="1592" w:type="dxa"/>
            <w:shd w:val="clear" w:color="auto" w:fill="auto"/>
          </w:tcPr>
          <w:p w14:paraId="000D8C85" w14:textId="33C9A277" w:rsidR="00803397" w:rsidRPr="00D11245" w:rsidRDefault="00803397" w:rsidP="00B57622">
            <w:pPr>
              <w:jc w:val="both"/>
              <w:rPr>
                <w:rFonts w:cstheme="minorHAnsi"/>
                <w:color w:val="000000" w:themeColor="text1"/>
              </w:rPr>
            </w:pPr>
            <w:r w:rsidRPr="00D11245">
              <w:rPr>
                <w:rFonts w:cstheme="minorHAnsi"/>
                <w:color w:val="000000" w:themeColor="text1"/>
              </w:rPr>
              <w:t>Very common</w:t>
            </w:r>
          </w:p>
        </w:tc>
        <w:tc>
          <w:tcPr>
            <w:tcW w:w="816" w:type="dxa"/>
          </w:tcPr>
          <w:p w14:paraId="22D468E4" w14:textId="77777777" w:rsidR="00803397" w:rsidRPr="00D11245" w:rsidRDefault="00803397" w:rsidP="00B57622">
            <w:pPr>
              <w:jc w:val="both"/>
              <w:rPr>
                <w:rFonts w:cstheme="minorHAnsi"/>
                <w:color w:val="000000" w:themeColor="text1"/>
              </w:rPr>
            </w:pPr>
            <w:r w:rsidRPr="00D11245">
              <w:rPr>
                <w:rFonts w:cstheme="minorHAnsi"/>
                <w:color w:val="000000" w:themeColor="text1"/>
              </w:rPr>
              <w:t>&gt;90%</w:t>
            </w:r>
          </w:p>
        </w:tc>
      </w:tr>
      <w:tr w:rsidR="00D11245" w:rsidRPr="00D11245" w14:paraId="5B4E3F7C" w14:textId="77777777" w:rsidTr="00803397">
        <w:trPr>
          <w:jc w:val="center"/>
        </w:trPr>
        <w:tc>
          <w:tcPr>
            <w:tcW w:w="3468" w:type="dxa"/>
            <w:shd w:val="clear" w:color="auto" w:fill="DEEAF6" w:themeFill="accent5" w:themeFillTint="33"/>
          </w:tcPr>
          <w:p w14:paraId="1E8D8408" w14:textId="77777777" w:rsidR="00803397" w:rsidRPr="00D11245" w:rsidRDefault="00803397" w:rsidP="00B57622">
            <w:pPr>
              <w:jc w:val="both"/>
              <w:rPr>
                <w:rFonts w:cstheme="minorHAnsi"/>
                <w:b/>
                <w:bCs/>
                <w:color w:val="000000" w:themeColor="text1"/>
              </w:rPr>
            </w:pPr>
            <w:r w:rsidRPr="00D11245">
              <w:rPr>
                <w:rFonts w:cstheme="minorHAnsi"/>
                <w:b/>
                <w:bCs/>
                <w:color w:val="000000" w:themeColor="text1"/>
              </w:rPr>
              <w:t>Abdominal pain</w:t>
            </w:r>
          </w:p>
          <w:p w14:paraId="22CB0875" w14:textId="66E29E1C" w:rsidR="00803397" w:rsidRPr="00D11245" w:rsidRDefault="00803397" w:rsidP="00B57622">
            <w:pPr>
              <w:jc w:val="both"/>
              <w:rPr>
                <w:rFonts w:cstheme="minorHAnsi"/>
                <w:b/>
                <w:bCs/>
                <w:color w:val="000000" w:themeColor="text1"/>
              </w:rPr>
            </w:pPr>
            <w:r w:rsidRPr="00D11245">
              <w:rPr>
                <w:rFonts w:cstheme="minorHAnsi"/>
                <w:color w:val="000000" w:themeColor="text1"/>
                <w:highlight w:val="yellow"/>
              </w:rPr>
              <w:fldChar w:fldCharType="begin"/>
            </w:r>
            <w:r w:rsidR="009C3E63" w:rsidRPr="00D11245">
              <w:rPr>
                <w:rFonts w:cstheme="minorHAnsi"/>
                <w:color w:val="000000" w:themeColor="text1"/>
                <w:highlight w:val="yellow"/>
              </w:rPr>
              <w:instrText xml:space="preserve"> ADDIN ZOTERO_ITEM CSL_CITATION {"citationID":"9SbHAfqr","properties":{"formattedCitation":"\\super 4,28,31,46,54\\uc0\\u8211{}56,59,62,64\\uc0\\u8211{}67\\nosupersub{}","plainCitation":"4,28,31,46,54–56,59,62,64–67","noteIndex":0},"citationItems":[{"id":2848,"uris":["http://zotero.org/groups/2497994/items/4CQVJEEC",["http://zotero.org/groups/2497994/items/4CQVJEEC"]],"itemData":{"id":2848,"type":"article-journal","abstract":"&lt;h2&gt;Summary&lt;/h2&gt;&lt;p&gt;Amoebiasis is the second leading cause of death from parasitic disease worldwide. The causative protozoan parasite, &lt;i&gt;Entamoeba histolytica&lt;/i&gt;, is a potent pathogen. Secreting proteinases that dissolve host tissues, killing host cells on contact, and engulfing red blood cells, &lt;i&gt;E histolytica&lt;/i&gt; trophozoites invade the intestinal mucosa, causing amoebic colitis. In some cases amoebas breach the mucosal barrier and travel through the portal circulation to the liver, where they cause abscesses consisting of a few &lt;i&gt;E histolytica&lt;/i&gt; trophozoites surrounding dead and dying hepatocytes and liquefied cellular debris. Amoebic liver abscesses grow inexorably and, at one time, were almost always fatal, but now even large abscesses can be cured by one dose of antibiotic. Evidence that what we thought was a single species based on morphology is, in fact, two genetically distinct species—now termed &lt;i&gt;Entamoeba histolytica&lt;/i&gt; (the pathogen) and &lt;i&gt;Entamoeba dispar&lt;/i&gt; (a commensal)—has turned conventional wisdom about the epidemiology and diagnosis of amoebiasis upside down. New models of disease have linked &lt;i&gt;E histolytica&lt;/i&gt; induction of intestinal inflammation and hepatocyte programmed cell death to the pathogenesis of amoebic colitis and amoebic liver abscess.&lt;/p&gt;","container-title":"The Lancet","DOI":"10.1016/S0140-6736(03)12830-9","ISSN":"0140-6736, 1474-547X","issue":"9362","journalAbbreviation":"The Lancet","language":"English","note":"PMID: 12660071","page":"1025-1034","source":"www.thelancet.com","title":"Amoebiasis","volume":"361","author":[{"family":"Stanley","given":"Samuel L."}],"issued":{"date-parts":[["2003",3,22]]}}},{"id":2127,"uris":["http://zotero.org/groups/2497994/items/98MNWH3V",["http://zotero.org/groups/2497994/items/98MNWH3V"]],"itemData":{"id":2127,"type":"article-journal","abstract":"Amoebic colitis, caused by ingestion of water or food contaminated with the protozoan Entamoeba histolytica, can progress to a fulminant colitis. Computed tomography (CT) findings reported in the literature on this type of colitis are sparse. We present a 59-year-old male patient with a one-week history of progressive abdominal pain, abdominal distension and associated watery and bloody diarrhoea. A CT scan revealed deep ulcerations with submucosal and intramural tracking of contrast. Colonoscopy and biopsy confirmed a diagnosis of Amoebic colitis. The patient required a laparotomy and demised. Deep ulcerations with submucosal and intramural tracking of contrast on CT are diagnostic of fulminant amoebic colitis. Although not demonstrated at CT in this case, discontinuous bowel necrosis, omental wrapping (seen at laparotomy in our case) and neovascularisation of the bowel wall may be other features to look out for.","container-title":"Sa Journal of Radiology","DOI":"10.4102/sajr.v22i1.1354","ISSN":"1027-202X","issue":"1","note":"WOS:000456514500001","page":"a1354","title":"Fulminant amoebic colitis in the era of computed tomography scan: A case report and review of the literature","volume":"22","author":[{"family":"Kinoo","given":"Suman Mewa"},{"family":"Ramkelawon","given":"Vikesh V."},{"family":"Maharajh","given":"Jaynund"},{"family":"Singh","given":"Bugwan"}],"issued":{"date-parts":[["2018",8,15]]}}},{"id":1899,"uris":["http://zotero.org/groups/2497994/items/WRZSZ6VD",["http://zotero.org/groups/2497994/items/WRZSZ6VD"]],"itemData":{"id":1899,"type":"article-journal","abstract":"Background Amoebic colitis is the most frequent clinical manifestation of invasive intestinal infection due to Entamoeba histolytica and a common cause of diarrhoea worldwide. Since higher transmission rates are usually related to poor health and exposure to unhygienic conditions, cases reported in Europe usually involve immigrants and international travellers. The goal of this study was to characterise both the clinical and the epidemiological features of a European population diagnosed with amoebic colitis and then to evaluate the diagnostic tools and therapeutic options applied. Methods and results This was a retrospective observational study in which data from all patients diagnosed with amoebic colitis attending at the International Health Units of two tertiary referral hospitals, Germans Trias i Pujol University Hospital (Badalona, North Barcelona Metropolitan Area) and Vall d'Hebron University Hospital (Barcelona city) between 2007 and 2017 were analysed. During the study period 50 patients were diagnosed with amoebic colitis. Thirty-six (72%) were men, and immigrants accounted for 46% of all cases. Antecedents of any international travel were reported for 28 (56%), the most frequent destinations having been the Indian subcontinent, South and Central America and sub-Saharan Africa. Preexisting pathological conditions or any kind of immunosuppression were identified in 29 (58%) patients; of these, 13 (26%) had HIV infection-all of them men who have sex with men-and 5 (10%) had inflammatory bowel disease. Diarrhoea, abdominal pain and dysentery were the most frequently recorded symptoms of invasive amoebae. Diagnosis was made through microbiological study in 45 (90%) and/or histological identification of amoebae in colon biopsies in 10 (20%). After treatment with metronidazole (82%) or tinidazole (8%), all patients had good outcomes. Post-acute intraluminal treatment was indicated in 28 (56%). Conclusions Amoebic colitis should be suspected in patients with diarrhoea and compatible epidemiological risk factors (immigration, travelling abroad or men who have sex with men), especially if some degree of immunosuppression concurs. These risk factors must be taken into account in any diagnostic approach to inflammatory bowel disease (IBD), and active searches for stool parasites should be performed in such cases to rule out misdiagnosis or simultaneous amoebic infection. Treatment should include intraluminal anti-amoebic treatment in order to avoid relapse and prevent further spread of the disease.Copyright © 2019 Roure et al. This is an open access article distributed under the terms of the Creative Commons Attribution License, which permits unrestricted use, distribution, and reproduction in any medium, provided the original author and source are credited.","container-title":"PLoS ONE","DOI":"10.1371/journal.pone.0212791","ISSN":"1932-6203 (electronic)","issue":"2","journalAbbreviation":"PLoS ONE","language":"English","note":"publisher-place: United States\npublisher: Public Library of Science (E-mail: plos@plos.org)","page":"e0212791","title":"Approach to amoebic colitis: Epidemiological, clinical and diagnostic considerations in a non-endemic context (Barcelona, 2007-2017)","volume":"14","author":[{"literal":"Roure S."},{"literal":"Valerio L."},{"literal":"Soldevila L."},{"literal":"Salvador F."},{"literal":"Fernandez-Rivas G."},{"literal":"Sulleiro E."},{"literal":"Manosa M."},{"literal":"Sopena N."},{"literal":"Mate J.L."},{"literal":"Clotet B."}],"issued":{"date-parts":[["2019"]]}}},{"id":1668,"uris":["http://zotero.org/groups/2497994/items/W4YPB75U",["http://zotero.org/groups/2497994/items/W4YPB75U"]],"itemData":{"id":1668,"type":"article-journal","abstract":"BACKGROUND: Invasive amebiasis is not frequently seen in the United States. It is associated with considerable morbidity in patients residing in or traveling to endemic areas. We report a case series of patients with amebic colitis in a United States-Mexico border city to alert physicians to the varied clinical manifestations., CASE PRESENTATION: Nine patients were diagnosed with amebic colitis. Mean age was 56 (38-83), 6 were males, and all were Hispanic. Common symptoms were diarrhea (56 %), hematochezia (33 %) and abdominal bloating (11 %). The diagnosis of amebic colitis was established in the following ways: 8 patients by colonoscopy with biopsy, 1 by surgery for colonic obstruction. The diagnosis of amebic colitis was confirmed in 8 patients (89 %) by amebic trophozoites present in histopathologic sections. One patient was diagnosed with amebic colitis based upon clinical symptoms, colitis on colonoscopy and visualization of amebic trophozoites on stool examination. In the 8 patients in whom colonoscopy was done, 6 (75 %) had inflammation with rectosigmoid involvement and 5 (62.5 %) had ulcerations. Infection resolved after treatment with metronidazole in most patients; however, one patient developed a liver abscess and another had a colonic perforation and later developed a liver abscess., CONCLUSION: The occurrence of amebic colitis in this United States-Mexico border city hospital population was low, but in some cases potentially life-threatening. Physicians should be alert to the less common presentations of amebic colitis, such as overt gastrointestinal bleeding, exacerbation of inflammatory bowel disease, and the incidental finding of association with colon cancer, or a surgical abdomen. Rectosigmoid involvement was typically found on colonoscopy.","container-title":"BMC research notes","DOI":"10.1186/s13104-015-1787-3","ISSN":"1756-0500 (electronic)","issue":"(Fleming) Department of Internal Medicine, Texas Tech University Health Sciences Center, 4800 Alberta Ave, El Paso, TX, 79905, USA. rfleming5006@sbcglobal.net","journalAbbreviation":"BMC Res Notes","language":"English","note":"publisher-place: United Kingdom","page":"781","title":"Clinical manifestations and endoscopic findings of amebic colitis in a United States-Mexico border city: a case series","volume":"8","author":[{"literal":"Fleming R."},{"literal":"Cooper C.J."},{"literal":"Ramirez-Vega R."},{"literal":"Huerta-Alardin A."},{"literal":"Boman D."},{"literal":"Zuckerman M.J."}],"issued":{"date-parts":[["2015"]]}}},{"id":2833,"uris":["http://zotero.org/groups/2497994/items/IZQVRVIQ",["http://zotero.org/groups/2497994/items/IZQVRVIQ"]],"itemData":{"id":2833,"type":"article-journal","abstract":"This article has no abstract; the first 100 words appear below.\n\nTo the Editor: Haque et al. (April 17 issue)1 mention that amebic liver abscesses are usually solitary lesions in the right lobe. We believe that the classic description of amebic liver abscess needs to be modified, however, since many variants exist. In a sonographic evaluation of 212 patients, 34 (16 percent) had multiple abscesses, 75 (35 percent) had an abscess in the left lobe, and the remaining 103 (49 percent) had a solitary abscess in the right lobe.2 We also do not agree with Haque et al. that a liver abscess greater than 5 cm in diameter is an indication . . .","container-title":"N Engl J Med 2003; 348:1565-1573","DOI":"10.1056/NEJMra022710","title":"Amebiasis","title-short":"Haque R, Huston CD, Hughes M, Houpt E, Petri WA Jr. Amebiasis. N Engl J Med. 2003;348(16):1565-1573. doi:10.1056/NEJMra022710","URL":"https://www.nejm.org/doi/10.1056/NEJMra022710?url_ver=Z39.88-2003&amp;rfr_id=ori%3Arid%3Acrossref.org&amp;rfr_dat=cr_pub++0pubmed","author":[{"family":"Haque","given":"Rashidul"}]}},{"id":1342,"uris":["http://zotero.org/groups/2497994/items/LVRSSFNS",["http://zotero.org/groups/2497994/items/LVRSSFNS"]],"itemData":{"id":1342,"type":"article-journal","abstract":"In Australia, amoebiasis is thought to occur in travellers, immigrants from endemic areas, and among men who have sex with men. Prevalence of amoebiasis in communities with immigrants from Entamoeba histolytica-endemic countries is unknown. The present study is a retrospective case series analysis of patients with laboratory-confirmed amoebiasis from Western Sydney Local Health District, Australia, between years 2005 and 2016. Forty-nine patients with amoebiasis were identified, resulting in an estimated annual incidence of up to 1.1 cases per 100,000 adults. Many were born in Australia (15/47) and India (12/47). Three patients (3/37) had no history of overseas travel, two others had not travelled to an endemic country, and an additional two had a very remote history of overseas travel; one died of fulminant amoebic colitis. Three patients (3/16) were employed in the food industry and one had a history of colonic irrigation in an Australian ‘wellness clinic’. Patients had invasive amoebiasis with either liver abscess (41/48) or colitis (7/48), diagnosed most commonly by serology. Invasive procedures were common, including aspiration of liver abscess (28/41), colonoscopy (11/49), and partial hepatectomy (1/49). Although rare, local acquisition of amoebiasis occurs in Western Sydney and contributes to significant morbidity and hospital admissions.","language":"EN","note":"publisher: MDPI AG","title":"A 12-Year Retrospective Study of Invasive Amoebiasis in Western Sydney: Evidence of Local Acquisition","URL":"https://doi.org/10.3390/tropicalmed3030073","author":[{"literal":"Ana Domazetovska"},{"literal":"Rogan Lee"},{"literal":"Chandra Adhikari"},{"literal":"Matthew Watts"},{"literal":"Nicole Gilroy"},{"literal":"Damien Stark"},{"literal":"Shobini Sivagnanam"}],"issued":{"date-parts":[["2018"]]}}},{"id":2868,"uris":["http://zotero.org/groups/2497994/items/UJ3F9SZ5",["http://zotero.org/groups/2497994/items/UJ3F9SZ5"]],"itemData":{"id":2868,"type":"article-journal","abstract":"Invasive amebiasis is common worldwide, but infrequently observed in the United States. It is associated with considerable morbidity in patients residing in or traveling to endemic areas. We review the clinical and endoscopic manifestations of amebic colitis to alert physicians to the varied clinical manifestations of this potentially life-threatening disease. Copyright ©Most patients present with watery or bloody diarrhea. Less common presentations of amebic colitis include abdominal pain, overt gastrointestinal bleeding, exacerbation of inflammatory bowel disease, or the incidental association with colon cancer. Amebic liver abscesses are the most frequent complication. Rectosigmoid involvement may be found on colonoscopy; however, most case series have reported that the cecum is the most commonly involved site, followed by the ascending colon. Endoscopic evaluation should be used to assist in the diagnosis, with attention to the observation of colonic inflammation, ulceration, and amebic trophozoites on histopathological examination.","archive":"Pubmed","container-title":"Southern medical journal","DOI":"10.14423/SMJ.0000000000000370","ISSN":"0038-4348","issue":"11","page":"676-81","title":"Varied Clinical Manifestations of Amebic Colitis.","volume":"108","author":[{"family":"Cooper","given":"Chad J"},{"family":"Fleming","given":"Rhonda"},{"family":"Boman","given":"Darius A"},{"family":"Zuckerman","given":"Marc J"}],"issued":{"date-parts":[["2015",11,1]]}}},{"id":753,"uris":["http://zotero.org/groups/2497994/items/NM353MPR",["http://zotero.org/groups/2497994/items/NM353MPR"]],"itemData":{"id":753,"type":"article-journal","abstract":"We present a case of amoebic colitis, misdiagnosed as inflammatory bowel disease and treated with corticosteroids, leading to severe necrotizing enterocolitis. We review the literature on the epidemiology, pathogenesis, diagnosis, and treatment of amoebic dysentery, with special emphasis on the association between immunosuppressive treatment and the development of severe invasive amoebiasis.","language":"eng","title":"Misdiagnosed amoebic colitis leading to severe dysentery and necrotizing colitis-Report of a case and review of the literature","URL":"https://pure.au.dk/portal/da/publications/misdiagnosed-amoebic-colitis-leading-to-severe-dysentery-and-necrotizing-colitisreport-of-a-case-and-review-of-the-literature(bb3eba3f-12cf-4068-b98d-833c085fefc1).html","author":[{"family":"Mogensen","given":"Trine H"},{"family":"Christiansen","given":"Jens J"},{"family":"Eivindson","given":"Martin V"},{"family":"Larsen","given":"Carsten S"},{"literal":"JOUR"}],"issued":{"date-parts":[["2014"]]}}},{"id":1136,"uris":["http://zotero.org/groups/2497994/items/AVQJEFMD",["http://zotero.org/groups/2497994/items/AVQJEFMD"]],"itemData":{"id":1136,"type":"article-journal","container-title":"Gastroenterology","DOI":"10.1053/j.gastro.2019.07.015","ISSN":"1528-0012","issue":"6","journalAbbreviation":"Gastroenterology","note":"publisher-place: United States\nDebourdeau, Antoine. Departement d'Hepatogastroenterologie et Transplantation, CHU Saint Eloi, Universite de Montpellier, Montpellier, France.\nBoivineau, Lucille. Departement d'Hepatogastroenterologie et Transplantation, CHU Saint Eloi, Universite de Montpellier, Montpellier, France.\nIltache, Sarah. Departement d'Hepatogastroenterologie et Transplantation, CHU Saint Eloi, Universite de Montpellier, Montpellier, France.","page":"1483-1484","title":"The Little Beast That Pretended to Be a Severe Crohn's Disease.","volume":"157","author":[{"family":"Debourdeau","given":"Antoine"},{"family":"Boivineau","given":"Lucille"},{"family":"Iltache","given":"Sarah"}],"issued":{"date-parts":[["2019"]]}}},{"id":2824,"uris":["http://zotero.org/groups/2497994/items/HVGTJW3L",["http://zotero.org/groups/2497994/items/HVGTJW3L"]],"itemData":{"id":2824,"type":"article-journal","abstract":"All caecal ulcers is not Crohn’s: Think Travel-Think againS. Vinnamala, R. Arasaradnam, A. Malik, S. Suortamo, J. MannathUniversity Hospitals Coventry and Warwickshire NHS trust, Clifford bridge road, Coventry, United Kingdom.To the Editor,A  29  year  old  male  presented  with  sudden  onset  of  right  iliac  fossa  pain  to  the  emergency  department.  He  was experiencing recent change in bowel habits with lose stools  and  no  rectal  bleeding.  His  blood  investigations  revealed raised inflammatory markers with a C-reactive protein of 125 mg/l and white cell count of 14 X 109/L. Emergency  diagnostic  laparoscopy  was  performed  for  suspected  acute  appendicitis.  This  showed  a  normal  appendix  with  erythematous  and  inflamed  caecum  with  fibrin deposition and a small omental adhesion adjacent to  it.  An  urgent  colonoscopy  showed  a  2-3cm  isolated  ulcerated  area  in  the  caecum  (Figure  1  and  Figure  2)  with normal Terminal ileum (Figure 3).  Initial biopsies showed   ulceration   and   chronic   inflammation   which   raised   a   possibility   of   inflammatory   bowel   disease.   He  was  reviewed  in  outpatient  clinic  and  a  further  colonoscopic biopsy was arranged before embarking on steroid and immunosuppressive therapy, considering that he has travelled to India on two separate occasions prior to the onset of symptoms  His repeat colonoscopy showed worsening ulceration in  the  caecum  (Figure  4).  Biopsies  confirmed  presence  of   Entamoeba   Histolytica   with   confirmation   on   the   histological  samples  using  a  PAS  stain  (Figure  5)  [1].  Amoebic serology done after the PAS stain was positive adding  to  diagnostic  confirmation.  He  was  treated  with  Metronidazole  800  mg  tds  and  Paramomycin  750  mg  tds  for  7  days  which  improved  his  symptoms.  Repeat  colonoscopy  6  weeks  post  treatment  showed  complete  resolution of the caecum ulceration (Figure 6)","container-title":"Acta Gastro-Enterologica Belgica","ISSN":"1784-3227","issue":"1","journalAbbreviation":"Acta Gastro-Enterol. Belg.","language":"English","note":"publisher-place: Belgium\npublisher: Universa Press (E-mail: deprez@gaen.ucl.ac.be)","page":"83-84","title":"All caecal ulcers is not crohn's: Think travel-think again","volume":"80","author":[{"literal":"Vinnamala S."},{"literal":"Arasaradnam R."},{"literal":"Malik A."},{"family":"S.","given":"Suortamo"},{"literal":"Mannath J."}],"issued":{"date-parts":[["2017"]]}}},{"id":2830,"uris":["http://zotero.org/groups/2497994/items/G5EJHTPM",["http://zotero.org/groups/2497994/items/G5EJHTPM"]],"itemData":{"id":2830,"type":"article-journal","abstract":"A 65-year-old man was admitted to our\nhospital with a 2-month history of pain in\nthe right abdomen and intermittent\nwatery diarrhea. He had previously been\nin good health and had not traveled to the\ntropics in recent years. On examination,\nmild tenderness was noted on palpation\nover the right abdomen. The results of his\nblood tests were as follows: white blood\ncell count (WBC) 7.7×109/L, neutrophils\n78.5 %, red blood cell count (RBC) 3.56×\n1012/L, hemoglobin (Hb) 104g/L, erythrocyte\nsedimentation rate (ESR) 23mm/h. A\nfecal occult blood test was positive.\nColonoscopy revealed multiple discrete\nulcers with surrounding erythema in\nthe cecum, sigmoid colon, and rectum\n(●\" Fig.1). Histopathologic examination\nof biopsy specimens taken from the ulcers\nrevealed chronic inflammatory infiltrates\nwith trophozoites of Entamoeba histolytica\n(●\" Fig.2). The patient was treated\nwith metronidazole for 14 days and his\nsymptoms resolved. Follow-up colonoscopy\n4 weeks later showed marked improvement\nof the ulcers (●\" Fig.3).\nAmebiasis is caused by the intestinal\nprotozoan Entamoeba histolytica. When\namebic colitis occurs, inflammatory\nchanges are more common in the cecum\nand ascending colon but can spread to involve\nthe entire colon. The typical appearance\nat colonoscopy is ofmultiple punctuate\nulcers with a diameter of 2–10mm.\nThe most common symptoms are those\nof diarrhea, abdominal pain, and rectal\nbleeding. The diagnosis is usually made\nwhen histologic evaluation of colonic\nbiopsies reveals trophozoites within an\ninflammatory infiltrate. It is challenging\nand important for gastroenterologists to\ndistinguish amebic colitis from acute\nulcerative colitis as the administration of\ncorticosteroids to patients with amebic\ncolitis can result in fulminant disease.","container-title":"Endoscopy","DOI":"10.1055/s-0034-1377208","ISSN":"0013-726X","issue":"Supplement 01","journalAbbreviation":"Endoscopy","language":"English","note":"publisher-place: Germany\npublisher: Georg Thieme Verlag (E-mail: kunden.service@thieme.de)","page":"E145-E146","title":"Amebic colitis: Colonoscopic appearance","volume":"47","author":[{"literal":"Li N."},{"literal":"Wang H.-H."},{"literal":"Zhao X.-J."},{"literal":"Sheng J.-Q."}],"issued":{"date-parts":[["2015"]]}}},{"id":629,"uris":["http://zotero.org/groups/2497994/items/C5YZQLQH",["http://zotero.org/groups/2497994/items/C5YZQLQH"]],"itemData":{"id":629,"type":"article-journal","abstract":"Entamoeba histolytica infection can lead to colitis, peri-colic abscess, ameboma, perforation and rarely colonic stricture. Amebic colitis is usually managed with medical management and rarely needs surgical management. We hereby report a case of colonic amebiasis, presenting as a stricture in transverse colon, mimicking malignancy, and managed successfully.Copyright © 2018 Tropical Parasitology.","container-title":"Tropical Parasitology","DOI":"10.4103/tp.TP_40_18","ISSN":"2229-5070","issue":"2","journalAbbreviation":"Trop. Parasitol.","language":"English","note":"publisher-place: India\npublisher: Wolters Kluwer Medknow Publications (B9, Kanara Business Centre, off Link Road, Ghatkopar (E), Mumbai 400 075, India)","page":"98-100","title":"Amebic colonic stricture: An unusual presentation","volume":"8","author":[{"literal":"Varshney V.K."},{"literal":"Soni S.C."},{"literal":"Yadav T."},{"literal":"Puranik A."},{"literal":"Elhence P."}],"issued":{"date-parts":[["2018"]]}}},{"id":496,"uris":["http://zotero.org/groups/2497994/items/U2BV2QBG",["http://zotero.org/groups/2497994/items/U2BV2QBG"]],"itemData":{"id":496,"type":"article-journal","abstract":"Ameboma is a rare presentation of intestinal amebiasis, which is caused by infection with Entamoeba histolytica. Amebomas are generally concentric and can be difficult to differentiate from carcinoma in the gastrointestinal tract, which are commonly seen in elderly patients. Radiological studies or colonoscopy can be difficult to provide the diagnosis. We present an elderly man with an ameboma in the ascending colon, which manifested as a submucosal tumor in the radiological or endoscopic studies. His serum antiamebic serology test was positive. He received surgery because of poor response to medical treatment. A full course of antiamebic therapy followed by a luminal agent were given and he had a smooth postoperative course without relapse of amebic infection. Although the elderly population has a higher incidence of colonic malignancy, ameboma should be considered in the differential diagnosis of submucosal tumors in the colon, especially in patients with an insidious onset of disease. © 2011, Taiwan Society of Geriatric Emergency &amp; Critical Care Medicine. Published by Elsevier Taiwan LLC. All rights reserved.","container-title":"International Journal of Gerontology","DOI":"10.1016/j.ijge.2011.04.004","ISSN":"1873-9598","issue":"2","journalAbbreviation":"Int. J. Gerontol.","language":"English","note":"publisher-place: Singapore\npublisher: Elsevier (Singapore) Pte Ltd (3 Killiney Road, 08-01, Winsland House I, Singapore 239519, Singapore)","page":"126-128","title":"Ameboma mimicking submucosal tumor of the colon in an elderly","volume":"5","author":[{"literal":"Wang S.-Y."},{"literal":"Shih S.-C."},{"literal":"Wang T.-E."},{"literal":"Chang W.-H."},{"literal":"Wang H.-Y."},{"literal":"Lin S.-C."}],"issued":{"date-parts":[["2011"]]}}}],"schema":"https://github.com/citation-style-language/schema/raw/master/csl-citation.json"} </w:instrText>
            </w:r>
            <w:r w:rsidRPr="00D11245">
              <w:rPr>
                <w:rFonts w:cstheme="minorHAnsi"/>
                <w:color w:val="000000" w:themeColor="text1"/>
                <w:highlight w:val="yellow"/>
              </w:rPr>
              <w:fldChar w:fldCharType="separate"/>
            </w:r>
            <w:r w:rsidR="009C3E63" w:rsidRPr="00D11245">
              <w:rPr>
                <w:rFonts w:ascii="Calibri" w:hAnsi="Calibri" w:cs="Calibri"/>
                <w:color w:val="000000" w:themeColor="text1"/>
                <w:vertAlign w:val="superscript"/>
              </w:rPr>
              <w:t>4,28,31,46,54–56,59,62,64–67</w:t>
            </w:r>
            <w:r w:rsidRPr="00D11245">
              <w:rPr>
                <w:rFonts w:cstheme="minorHAnsi"/>
                <w:color w:val="000000" w:themeColor="text1"/>
                <w:highlight w:val="yellow"/>
              </w:rPr>
              <w:fldChar w:fldCharType="end"/>
            </w:r>
          </w:p>
        </w:tc>
        <w:tc>
          <w:tcPr>
            <w:tcW w:w="1592" w:type="dxa"/>
            <w:shd w:val="clear" w:color="auto" w:fill="auto"/>
          </w:tcPr>
          <w:p w14:paraId="62103E94" w14:textId="77777777" w:rsidR="00803397" w:rsidRPr="00D11245" w:rsidRDefault="00803397" w:rsidP="00B57622">
            <w:pPr>
              <w:jc w:val="both"/>
              <w:rPr>
                <w:rFonts w:cstheme="minorHAnsi"/>
                <w:color w:val="000000" w:themeColor="text1"/>
              </w:rPr>
            </w:pPr>
            <w:r w:rsidRPr="00D11245">
              <w:rPr>
                <w:rFonts w:cstheme="minorHAnsi"/>
                <w:color w:val="000000" w:themeColor="text1"/>
              </w:rPr>
              <w:t xml:space="preserve">Common </w:t>
            </w:r>
          </w:p>
        </w:tc>
        <w:tc>
          <w:tcPr>
            <w:tcW w:w="816" w:type="dxa"/>
          </w:tcPr>
          <w:p w14:paraId="243D97F2" w14:textId="77777777" w:rsidR="00803397" w:rsidRPr="00D11245" w:rsidRDefault="00803397" w:rsidP="00B57622">
            <w:pPr>
              <w:jc w:val="both"/>
              <w:rPr>
                <w:rFonts w:cstheme="minorHAnsi"/>
                <w:color w:val="000000" w:themeColor="text1"/>
              </w:rPr>
            </w:pPr>
            <w:r w:rsidRPr="00D11245">
              <w:rPr>
                <w:rFonts w:cstheme="minorHAnsi"/>
                <w:color w:val="000000" w:themeColor="text1"/>
              </w:rPr>
              <w:t>&gt;60%</w:t>
            </w:r>
          </w:p>
        </w:tc>
      </w:tr>
      <w:tr w:rsidR="00D11245" w:rsidRPr="00D11245" w14:paraId="68A2D782" w14:textId="77777777" w:rsidTr="00803397">
        <w:trPr>
          <w:jc w:val="center"/>
        </w:trPr>
        <w:tc>
          <w:tcPr>
            <w:tcW w:w="3468" w:type="dxa"/>
            <w:shd w:val="clear" w:color="auto" w:fill="DEEAF6" w:themeFill="accent5" w:themeFillTint="33"/>
          </w:tcPr>
          <w:p w14:paraId="2DDBF929" w14:textId="77777777" w:rsidR="00803397" w:rsidRPr="00D11245" w:rsidRDefault="00803397" w:rsidP="00B57622">
            <w:pPr>
              <w:jc w:val="both"/>
              <w:rPr>
                <w:rFonts w:cstheme="minorHAnsi"/>
                <w:b/>
                <w:bCs/>
                <w:color w:val="000000" w:themeColor="text1"/>
              </w:rPr>
            </w:pPr>
            <w:r w:rsidRPr="00D11245">
              <w:rPr>
                <w:rFonts w:cstheme="minorHAnsi"/>
                <w:b/>
                <w:bCs/>
                <w:color w:val="000000" w:themeColor="text1"/>
              </w:rPr>
              <w:t>Fever</w:t>
            </w:r>
          </w:p>
          <w:p w14:paraId="63E6539B" w14:textId="1564A741" w:rsidR="00803397" w:rsidRPr="00D11245" w:rsidRDefault="00803397" w:rsidP="00B57622">
            <w:pPr>
              <w:jc w:val="both"/>
              <w:rPr>
                <w:rFonts w:cstheme="minorHAnsi"/>
                <w:b/>
                <w:bCs/>
                <w:color w:val="000000" w:themeColor="text1"/>
              </w:rPr>
            </w:pPr>
            <w:r w:rsidRPr="00D11245">
              <w:rPr>
                <w:rFonts w:cstheme="minorHAnsi"/>
                <w:color w:val="000000" w:themeColor="text1"/>
                <w:highlight w:val="yellow"/>
              </w:rPr>
              <w:fldChar w:fldCharType="begin"/>
            </w:r>
            <w:r w:rsidR="009C3E63" w:rsidRPr="00D11245">
              <w:rPr>
                <w:rFonts w:cstheme="minorHAnsi"/>
                <w:color w:val="000000" w:themeColor="text1"/>
                <w:highlight w:val="yellow"/>
              </w:rPr>
              <w:instrText xml:space="preserve"> ADDIN ZOTERO_ITEM CSL_CITATION {"citationID":"Uf3gp3cd","properties":{"formattedCitation":"\\super 4,46,55,60,63,68\\nosupersub{}","plainCitation":"4,46,55,60,63,68","noteIndex":0},"citationItems":[{"id":2848,"uris":["http://zotero.org/groups/2497994/items/4CQVJEEC",["http://zotero.org/groups/2497994/items/4CQVJEEC"]],"itemData":{"id":2848,"type":"article-journal","abstract":"&lt;h2&gt;Summary&lt;/h2&gt;&lt;p&gt;Amoebiasis is the second leading cause of death from parasitic disease worldwide. The causative protozoan parasite, &lt;i&gt;Entamoeba histolytica&lt;/i&gt;, is a potent pathogen. Secreting proteinases that dissolve host tissues, killing host cells on contact, and engulfing red blood cells, &lt;i&gt;E histolytica&lt;/i&gt; trophozoites invade the intestinal mucosa, causing amoebic colitis. In some cases amoebas breach the mucosal barrier and travel through the portal circulation to the liver, where they cause abscesses consisting of a few &lt;i&gt;E histolytica&lt;/i&gt; trophozoites surrounding dead and dying hepatocytes and liquefied cellular debris. Amoebic liver abscesses grow inexorably and, at one time, were almost always fatal, but now even large abscesses can be cured by one dose of antibiotic. Evidence that what we thought was a single species based on morphology is, in fact, two genetically distinct species—now termed &lt;i&gt;Entamoeba histolytica&lt;/i&gt; (the pathogen) and &lt;i&gt;Entamoeba dispar&lt;/i&gt; (a commensal)—has turned conventional wisdom about the epidemiology and diagnosis of amoebiasis upside down. New models of disease have linked &lt;i&gt;E histolytica&lt;/i&gt; induction of intestinal inflammation and hepatocyte programmed cell death to the pathogenesis of amoebic colitis and amoebic liver abscess.&lt;/p&gt;","container-title":"The Lancet","DOI":"10.1016/S0140-6736(03)12830-9","ISSN":"0140-6736, 1474-547X","issue":"9362","journalAbbreviation":"The Lancet","language":"English","note":"PMID: 12660071","page":"1025-1034","source":"www.thelancet.com","title":"Amoebiasis","volume":"361","author":[{"family":"Stanley","given":"Samuel L."}],"issued":{"date-parts":[["2003",3,22]]}}},{"id":1668,"uris":["http://zotero.org/groups/2497994/items/W4YPB75U",["http://zotero.org/groups/2497994/items/W4YPB75U"]],"itemData":{"id":1668,"type":"article-journal","abstract":"BACKGROUND: Invasive amebiasis is not frequently seen in the United States. It is associated with considerable morbidity in patients residing in or traveling to endemic areas. We report a case series of patients with amebic colitis in a United States-Mexico border city to alert physicians to the varied clinical manifestations., CASE PRESENTATION: Nine patients were diagnosed with amebic colitis. Mean age was 56 (38-83), 6 were males, and all were Hispanic. Common symptoms were diarrhea (56 %), hematochezia (33 %) and abdominal bloating (11 %). The diagnosis of amebic colitis was established in the following ways: 8 patients by colonoscopy with biopsy, 1 by surgery for colonic obstruction. The diagnosis of amebic colitis was confirmed in 8 patients (89 %) by amebic trophozoites present in histopathologic sections. One patient was diagnosed with amebic colitis based upon clinical symptoms, colitis on colonoscopy and visualization of amebic trophozoites on stool examination. In the 8 patients in whom colonoscopy was done, 6 (75 %) had inflammation with rectosigmoid involvement and 5 (62.5 %) had ulcerations. Infection resolved after treatment with metronidazole in most patients; however, one patient developed a liver abscess and another had a colonic perforation and later developed a liver abscess., CONCLUSION: The occurrence of amebic colitis in this United States-Mexico border city hospital population was low, but in some cases potentially life-threatening. Physicians should be alert to the less common presentations of amebic colitis, such as overt gastrointestinal bleeding, exacerbation of inflammatory bowel disease, and the incidental finding of association with colon cancer, or a surgical abdomen. Rectosigmoid involvement was typically found on colonoscopy.","container-title":"BMC research notes","DOI":"10.1186/s13104-015-1787-3","ISSN":"1756-0500 (electronic)","issue":"(Fleming) Department of Internal Medicine, Texas Tech University Health Sciences Center, 4800 Alberta Ave, El Paso, TX, 79905, USA. rfleming5006@sbcglobal.net","journalAbbreviation":"BMC Res Notes","language":"English","note":"publisher-place: United Kingdom","page":"781","title":"Clinical manifestations and endoscopic findings of amebic colitis in a United States-Mexico border city: a case series","volume":"8","author":[{"literal":"Fleming R."},{"literal":"Cooper C.J."},{"literal":"Ramirez-Vega R."},{"literal":"Huerta-Alardin A."},{"literal":"Boman D."},{"literal":"Zuckerman M.J."}],"issued":{"date-parts":[["2015"]]}}},{"id":1342,"uris":["http://zotero.org/groups/2497994/items/LVRSSFNS",["http://zotero.org/groups/2497994/items/LVRSSFNS"]],"itemData":{"id":1342,"type":"article-journal","abstract":"In Australia, amoebiasis is thought to occur in travellers, immigrants from endemic areas, and among men who have sex with men. Prevalence of amoebiasis in communities with immigrants from Entamoeba histolytica-endemic countries is unknown. The present study is a retrospective case series analysis of patients with laboratory-confirmed amoebiasis from Western Sydney Local Health District, Australia, between years 2005 and 2016. Forty-nine patients with amoebiasis were identified, resulting in an estimated annual incidence of up to 1.1 cases per 100,000 adults. Many were born in Australia (15/47) and India (12/47). Three patients (3/37) had no history of overseas travel, two others had not travelled to an endemic country, and an additional two had a very remote history of overseas travel; one died of fulminant amoebic colitis. Three patients (3/16) were employed in the food industry and one had a history of colonic irrigation in an Australian ‘wellness clinic’. Patients had invasive amoebiasis with either liver abscess (41/48) or colitis (7/48), diagnosed most commonly by serology. Invasive procedures were common, including aspiration of liver abscess (28/41), colonoscopy (11/49), and partial hepatectomy (1/49). Although rare, local acquisition of amoebiasis occurs in Western Sydney and contributes to significant morbidity and hospital admissions.","language":"EN","note":"publisher: MDPI AG","title":"A 12-Year Retrospective Study of Invasive Amoebiasis in Western Sydney: Evidence of Local Acquisition","URL":"https://doi.org/10.3390/tropicalmed3030073","author":[{"literal":"Ana Domazetovska"},{"literal":"Rogan Lee"},{"literal":"Chandra Adhikari"},{"literal":"Matthew Watts"},{"literal":"Nicole Gilroy"},{"literal":"Damien Stark"},{"literal":"Shobini Sivagnanam"}],"issued":{"date-parts":[["2018"]]}}},{"id":2825,"uris":["http://zotero.org/groups/2497994/items/NPTKPRAP",["http://zotero.org/groups/2497994/items/NPTKPRAP"]],"itemData":{"id":2825,"type":"article-journal","abstract":"lesions (C). The same endoscopic findings were emphasizedon the surface of the larger lesions (D). Endoscopic biopsyspecimens taken from the small lesions showed infiltration ofneoplastic lymphoid cells (E), which were positive for Cy-clinD1 (F), CD20, and Bcl-1 but negative for CD3, CD5, andCD10. The patient received a diagnosis of MCL involving theduodenum, and chemotherapy with bendamustine wasbegun.DISCLOSUREAll authors disclosed no financial relationships relevantto this publication.Daisuke Norimura, MD, Hajime Isomoto, MD, PhD,Depart-ment of Gastroenterology and Hepatology, Nagasaki UniversityHospital,Nagasaki,DaisukeNiino,MD,PhD,DepartmentofPa-thology, Kurume University Hospital, Kurume,Kayoko Matsu-shima, MD, PhD, Yuko Akazawa, MD, PhD, Naoyuki Yama-guchi, MD, PhD, Ken Ohnita, MD, PhD, Saburo Shikuwa,MD, PhD,Department of Gastroenterology and Hepatology,Yoshitaka Imaizumi, MD, PhD, Kunihiro Tsukasaki, MD,PhD,YasushiMiyazaki,MD,PhD,Department of Hematology,Fuminao Takeshima, MD, PhD, Kazuhiko Nakao, MD, PhD,Department of Gastroenterology and Hepatology, Nagasaki Uni-versity Hospital, Nagasaki, Japanhttp://dx.doi.org/doi:10.1016/j.gie.2012.02.047CommentaryMCL is a B-cell lymphoma derived from a subset of naive pregerminal center cells localized in primary lymph follicles or in themantle region of secondary lymph follicles. Most cases of MCL are associated with a chromosomal translocation (chromo-somes 11 and 14) that results in overexpression of cyclin D1, a protein that plays a key role in cell cycle regulation andprogression of cells from the G1 phase to the S phase. MCL represents up to 10% of all non-Hodgkin lymphomas. The typicalpatient is a Caucasian man in his 60s. The disease typically presents late with fever, night sweats, weight loss, fatigue, lymph-adenopathy,andhepatosplenomegaly;somepatientsnoticemassesintheirskin,breast,orneck.TreatmentofMCLisdifficult,and relatively few patients have a complete response. Disease progression is often relentless, with a survival of usually lessthan 5years. As for lymphomatous polyposis, this entity is rare, seen in only about 5% of intestinal lymphomas. Lymphomatouspolyposis occurs from esophagus to rectum, and most cases are due to mantle cell lymphoma; less commonly, the lymphoma is amucosa-associated lymphoid tissue lymphoma. Although the word “mantle” has many meanings, it usually has a positive conno-tation when used as a descriptor of people; not in this case. This lymphoma carries a destiny of grim prognosis within its mantle.Lawrence J. Brandt, MDAssociate Editor for Focal PointsPoached egg appearance in intestinal amebiasisA 35-year-old man was admitted with a history of fever,diarrhea, and lower abdominal pain of 15 days’ duration.There was no history of rectal bleeding. On physical ex-amination, he was found to have right lower quadranttenderness. US of the abdomen showed only mild irregu-lar thickening of the cecum and ascending colon; the otherintraabdominal organs were normal, and there were noenlarged lymph nodes. Basic laboratory tests showed nor-mal results except for hemoglobin, 12.8 g/dL; and TLC13,500 cells/mm3(80% polymorphonuclear leukocytes).The results of liver biochemical tests were normal, exceptfor the albumin level, 3.4g/dL. Colonoscopy revealed thatin the cecum and ascending colon, there were multiplelarge irregular ulcers with a white slough and yellowish necrotic material on the top of the white slough, giving a“poached egg” appearance (A, B). The intervening mu-cosa was edematous and boggy. The remainder of thecolon was normal as far as the rectum, where otherpoached egg lesions were seen. On the basis of our pre-vious experience, an endoscopic diagnosis of intestinalamebiasis was made. Biopsy specimens were taken fromthe lesion,which revealed ulcerated mucosa with multipletrophozoites ofEntamoeba histolytica(C). The patient wastreated with intravenous metronidazole, and over the follow-ing 3 days his fever, diarrhea, and abdominal pain improvedsignificantly. Four weeks later, US showed decreased thick-ening of the colon, and colonoscopy documented healing ofthe previously seen ulcers. Now, 8 months after his initialpresentation, the patient is asymptomatic.","archive":"Pubmed","container-title":"Gastrointestinal endoscopy","DOI":"10.1016/j.gie.2012.03.171","ISSN":"0016-5107","issue":"1","page":"189-90","title":"Poached egg appearance in intestinal amebiasis.","volume":"76","author":[{"family":"Upadhyay","given":"Rajesh"},{"family":"Gupta","given":"Nitin"},{"family":"Gogia","given":"Pratibha"},{"family":"Chandra","given":"Subhash"}],"issued":{"date-parts":[["2012",7,1]]}}},{"id":1372,"uris":["http://zotero.org/groups/2497994/items/V2S8BC8N",["http://zotero.org/groups/2497994/items/V2S8BC8N"]],"itemData":{"id":1372,"type":"article-journal","abstract":"We present a case of colitis in a young male in the Western Cape, while progressing through the ambit of establishing a definitive diagnosis. We would like to highlight the value of microscopy which led to the specific diagnosis and subsequent directed treatment. Consent was obtained from the patient prior to publication.Copyright © 2019 In House Publications. All rights reserved.","container-title":"South African Gastroenterology Review","ISSN":"1812-1659","issue":"2","journalAbbreviation":"S. Afr. Gastroenterol. Rev.","language":"English","note":"publisher-place: South Africa\npublisher: In House Publications (E-mail: inhouse@iafrica.com)","page":"27-29","title":"The value of microscopy in the diagnosis of colitis","volume":"17","author":[{"literal":"Kahn T."},{"literal":"Locketz M."},{"literal":"Thomson S."}],"issued":{"date-parts":[["2019"]]}}},{"id":1269,"uris":["http://zotero.org/groups/2497994/items/XNNFEXTN",["http://zotero.org/groups/2497994/items/XNNFEXTN"]],"itemData":{"id":1269,"type":"article-journal","abstract":"Amoebiasis is a common intestinal protozoan infection due to Entamoeba histolytica. In India, the prevalence of the disease varies from 2% to 67%.[1] Acute Fulminant Colitis is a rare complication of intestinal amebiasis. Life threatening lower Gastrointestinal bleed is very rare presentation of amebiasis. Here, we are presenting a case of severe lower GI bleed proved to be caused by amebiasis along with extra intestinal complications.Copyright © 2017 Annals of Tropical Medicine and Public Health  Published by Wolters Kluwer - Medknow.","container-title":"Annals of Tropical Medicine and Public Health","DOI":"10.4103/1755-6783.205554","ISSN":"1755-6783","issue":"1","journalAbbreviation":"Ann. Trop. Med. Public Health","language":"English","note":"publisher-place: India\npublisher: Medknow Publications (B9, Kanara Business Centre, off Link Road, Ghatkopar (E), Mumbai 400 075, India)","page":"244-246","title":"Intestinal amebiasis presenting as life threatening lower GI bleed-A rare presentation","volume":"10","author":[{"literal":"Dogra V.K."},{"literal":"Gupta D."},{"literal":"Kashyap R."},{"literal":"Nand L."},{"literal":"Sondhi S."}],"issued":{"date-parts":[["2017"]]}}}],"schema":"https://github.com/citation-style-language/schema/raw/master/csl-citation.json"} </w:instrText>
            </w:r>
            <w:r w:rsidRPr="00D11245">
              <w:rPr>
                <w:rFonts w:cstheme="minorHAnsi"/>
                <w:color w:val="000000" w:themeColor="text1"/>
                <w:highlight w:val="yellow"/>
              </w:rPr>
              <w:fldChar w:fldCharType="separate"/>
            </w:r>
            <w:r w:rsidR="009C3E63" w:rsidRPr="00D11245">
              <w:rPr>
                <w:rFonts w:ascii="Calibri" w:hAnsi="Calibri" w:cs="Calibri"/>
                <w:color w:val="000000" w:themeColor="text1"/>
                <w:vertAlign w:val="superscript"/>
              </w:rPr>
              <w:t>4,46,55,60,63,68</w:t>
            </w:r>
            <w:r w:rsidRPr="00D11245">
              <w:rPr>
                <w:rFonts w:cstheme="minorHAnsi"/>
                <w:color w:val="000000" w:themeColor="text1"/>
                <w:highlight w:val="yellow"/>
              </w:rPr>
              <w:fldChar w:fldCharType="end"/>
            </w:r>
          </w:p>
        </w:tc>
        <w:tc>
          <w:tcPr>
            <w:tcW w:w="1592" w:type="dxa"/>
            <w:shd w:val="clear" w:color="auto" w:fill="auto"/>
          </w:tcPr>
          <w:p w14:paraId="1622602A" w14:textId="77777777" w:rsidR="00803397" w:rsidRPr="00D11245" w:rsidRDefault="00803397" w:rsidP="00B57622">
            <w:pPr>
              <w:jc w:val="both"/>
              <w:rPr>
                <w:rFonts w:cstheme="minorHAnsi"/>
                <w:color w:val="000000" w:themeColor="text1"/>
              </w:rPr>
            </w:pPr>
            <w:r w:rsidRPr="00D11245">
              <w:rPr>
                <w:rFonts w:cstheme="minorHAnsi"/>
                <w:color w:val="000000" w:themeColor="text1"/>
              </w:rPr>
              <w:t xml:space="preserve">Less common </w:t>
            </w:r>
          </w:p>
        </w:tc>
        <w:tc>
          <w:tcPr>
            <w:tcW w:w="816" w:type="dxa"/>
          </w:tcPr>
          <w:p w14:paraId="3FCFF297" w14:textId="77777777" w:rsidR="00803397" w:rsidRPr="00D11245" w:rsidRDefault="00803397" w:rsidP="00B57622">
            <w:pPr>
              <w:jc w:val="both"/>
              <w:rPr>
                <w:rFonts w:cstheme="minorHAnsi"/>
                <w:color w:val="000000" w:themeColor="text1"/>
              </w:rPr>
            </w:pPr>
            <w:r w:rsidRPr="00D11245">
              <w:rPr>
                <w:rFonts w:cstheme="minorHAnsi"/>
                <w:color w:val="000000" w:themeColor="text1"/>
              </w:rPr>
              <w:t>&lt;40%</w:t>
            </w:r>
          </w:p>
        </w:tc>
      </w:tr>
      <w:tr w:rsidR="00D11245" w:rsidRPr="00D11245" w14:paraId="68F37773" w14:textId="77777777" w:rsidTr="00803397">
        <w:trPr>
          <w:jc w:val="center"/>
        </w:trPr>
        <w:tc>
          <w:tcPr>
            <w:tcW w:w="3468" w:type="dxa"/>
            <w:shd w:val="clear" w:color="auto" w:fill="DEEAF6" w:themeFill="accent5" w:themeFillTint="33"/>
          </w:tcPr>
          <w:p w14:paraId="53F5A4EB" w14:textId="77777777" w:rsidR="00803397" w:rsidRPr="00D11245" w:rsidRDefault="00803397" w:rsidP="00B57622">
            <w:pPr>
              <w:jc w:val="both"/>
              <w:rPr>
                <w:rFonts w:cstheme="minorHAnsi"/>
                <w:b/>
                <w:bCs/>
                <w:color w:val="000000" w:themeColor="text1"/>
              </w:rPr>
            </w:pPr>
            <w:r w:rsidRPr="00D11245">
              <w:rPr>
                <w:rFonts w:cstheme="minorHAnsi"/>
                <w:b/>
                <w:bCs/>
                <w:color w:val="000000" w:themeColor="text1"/>
              </w:rPr>
              <w:t>Weight loss</w:t>
            </w:r>
          </w:p>
          <w:p w14:paraId="4A327B01" w14:textId="4E7469A6" w:rsidR="00803397" w:rsidRPr="00D11245" w:rsidRDefault="00803397" w:rsidP="00B57622">
            <w:pPr>
              <w:jc w:val="both"/>
              <w:rPr>
                <w:rFonts w:cstheme="minorHAnsi"/>
                <w:b/>
                <w:bCs/>
                <w:color w:val="000000" w:themeColor="text1"/>
              </w:rPr>
            </w:pPr>
            <w:r w:rsidRPr="00D11245">
              <w:rPr>
                <w:rFonts w:cstheme="minorHAnsi"/>
                <w:color w:val="000000" w:themeColor="text1"/>
                <w:highlight w:val="yellow"/>
              </w:rPr>
              <w:fldChar w:fldCharType="begin"/>
            </w:r>
            <w:r w:rsidR="009C3E63" w:rsidRPr="00D11245">
              <w:rPr>
                <w:rFonts w:cstheme="minorHAnsi"/>
                <w:color w:val="000000" w:themeColor="text1"/>
                <w:highlight w:val="yellow"/>
              </w:rPr>
              <w:instrText xml:space="preserve"> ADDIN ZOTERO_ITEM CSL_CITATION {"citationID":"jabmYoXI","properties":{"formattedCitation":"\\super 4,31,54,59\\nosupersub{}","plainCitation":"4,31,54,59","noteIndex":0},"citationItems":[{"id":2848,"uris":["http://zotero.org/groups/2497994/items/4CQVJEEC",["http://zotero.org/groups/2497994/items/4CQVJEEC"]],"itemData":{"id":2848,"type":"article-journal","abstract":"&lt;h2&gt;Summary&lt;/h2&gt;&lt;p&gt;Amoebiasis is the second leading cause of death from parasitic disease worldwide. The causative protozoan parasite, &lt;i&gt;Entamoeba histolytica&lt;/i&gt;, is a potent pathogen. Secreting proteinases that dissolve host tissues, killing host cells on contact, and engulfing red blood cells, &lt;i&gt;E histolytica&lt;/i&gt; trophozoites invade the intestinal mucosa, causing amoebic colitis. In some cases amoebas breach the mucosal barrier and travel through the portal circulation to the liver, where they cause abscesses consisting of a few &lt;i&gt;E histolytica&lt;/i&gt; trophozoites surrounding dead and dying hepatocytes and liquefied cellular debris. Amoebic liver abscesses grow inexorably and, at one time, were almost always fatal, but now even large abscesses can be cured by one dose of antibiotic. Evidence that what we thought was a single species based on morphology is, in fact, two genetically distinct species—now termed &lt;i&gt;Entamoeba histolytica&lt;/i&gt; (the pathogen) and &lt;i&gt;Entamoeba dispar&lt;/i&gt; (a commensal)—has turned conventional wisdom about the epidemiology and diagnosis of amoebiasis upside down. New models of disease have linked &lt;i&gt;E histolytica&lt;/i&gt; induction of intestinal inflammation and hepatocyte programmed cell death to the pathogenesis of amoebic colitis and amoebic liver abscess.&lt;/p&gt;","container-title":"The Lancet","DOI":"10.1016/S0140-6736(03)12830-9","ISSN":"0140-6736, 1474-547X","issue":"9362","journalAbbreviation":"The Lancet","language":"English","note":"PMID: 12660071","page":"1025-1034","source":"www.thelancet.com","title":"Amoebiasis","volume":"361","author":[{"family":"Stanley","given":"Samuel L."}],"issued":{"date-parts":[["2003",3,22]]}}},{"id":1899,"uris":["http://zotero.org/groups/2497994/items/WRZSZ6VD",["http://zotero.org/groups/2497994/items/WRZSZ6VD"]],"itemData":{"id":1899,"type":"article-journal","abstract":"Background Amoebic colitis is the most frequent clinical manifestation of invasive intestinal infection due to Entamoeba histolytica and a common cause of diarrhoea worldwide. Since higher transmission rates are usually related to poor health and exposure to unhygienic conditions, cases reported in Europe usually involve immigrants and international travellers. The goal of this study was to characterise both the clinical and the epidemiological features of a European population diagnosed with amoebic colitis and then to evaluate the diagnostic tools and therapeutic options applied. Methods and results This was a retrospective observational study in which data from all patients diagnosed with amoebic colitis attending at the International Health Units of two tertiary referral hospitals, Germans Trias i Pujol University Hospital (Badalona, North Barcelona Metropolitan Area) and Vall d'Hebron University Hospital (Barcelona city) between 2007 and 2017 were analysed. During the study period 50 patients were diagnosed with amoebic colitis. Thirty-six (72%) were men, and immigrants accounted for 46% of all cases. Antecedents of any international travel were reported for 28 (56%), the most frequent destinations having been the Indian subcontinent, South and Central America and sub-Saharan Africa. Preexisting pathological conditions or any kind of immunosuppression were identified in 29 (58%) patients; of these, 13 (26%) had HIV infection-all of them men who have sex with men-and 5 (10%) had inflammatory bowel disease. Diarrhoea, abdominal pain and dysentery were the most frequently recorded symptoms of invasive amoebae. Diagnosis was made through microbiological study in 45 (90%) and/or histological identification of amoebae in colon biopsies in 10 (20%). After treatment with metronidazole (82%) or tinidazole (8%), all patients had good outcomes. Post-acute intraluminal treatment was indicated in 28 (56%). Conclusions Amoebic colitis should be suspected in patients with diarrhoea and compatible epidemiological risk factors (immigration, travelling abroad or men who have sex with men), especially if some degree of immunosuppression concurs. These risk factors must be taken into account in any diagnostic approach to inflammatory bowel disease (IBD), and active searches for stool parasites should be performed in such cases to rule out misdiagnosis or simultaneous amoebic infection. Treatment should include intraluminal anti-amoebic treatment in order to avoid relapse and prevent further spread of the disease.Copyright © 2019 Roure et al. This is an open access article distributed under the terms of the Creative Commons Attribution License, which permits unrestricted use, distribution, and reproduction in any medium, provided the original author and source are credited.","container-title":"PLoS ONE","DOI":"10.1371/journal.pone.0212791","ISSN":"1932-6203 (electronic)","issue":"2","journalAbbreviation":"PLoS ONE","language":"English","note":"publisher-place: United States\npublisher: Public Library of Science (E-mail: plos@plos.org)","page":"e0212791","title":"Approach to amoebic colitis: Epidemiological, clinical and diagnostic considerations in a non-endemic context (Barcelona, 2007-2017)","volume":"14","author":[{"literal":"Roure S."},{"literal":"Valerio L."},{"literal":"Soldevila L."},{"literal":"Salvador F."},{"literal":"Fernandez-Rivas G."},{"literal":"Sulleiro E."},{"literal":"Manosa M."},{"literal":"Sopena N."},{"literal":"Mate J.L."},{"literal":"Clotet B."}],"issued":{"date-parts":[["2019"]]}}},{"id":2833,"uris":["http://zotero.org/groups/2497994/items/IZQVRVIQ",["http://zotero.org/groups/2497994/items/IZQVRVIQ"]],"itemData":{"id":2833,"type":"article-journal","abstract":"This article has no abstract; the first 100 words appear below.\n\nTo the Editor: Haque et al. (April 17 issue)1 mention that amebic liver abscesses are usually solitary lesions in the right lobe. We believe that the classic description of amebic liver abscess needs to be modified, however, since many variants exist. In a sonographic evaluation of 212 patients, 34 (16 percent) had multiple abscesses, 75 (35 percent) had an abscess in the left lobe, and the remaining 103 (49 percent) had a solitary abscess in the right lobe.2 We also do not agree with Haque et al. that a liver abscess greater than 5 cm in diameter is an indication . . .","container-title":"N Engl J Med 2003; 348:1565-1573","DOI":"10.1056/NEJMra022710","title":"Amebiasis","title-short":"Haque R, Huston CD, Hughes M, Houpt E, Petri WA Jr. Amebiasis. N Engl J Med. 2003;348(16):1565-1573. doi:10.1056/NEJMra022710","URL":"https://www.nejm.org/doi/10.1056/NEJMra022710?url_ver=Z39.88-2003&amp;rfr_id=ori%3Arid%3Acrossref.org&amp;rfr_dat=cr_pub++0pubmed","author":[{"family":"Haque","given":"Rashidul"}]}},{"id":753,"uris":["http://zotero.org/groups/2497994/items/NM353MPR",["http://zotero.org/groups/2497994/items/NM353MPR"]],"itemData":{"id":753,"type":"article-journal","abstract":"We present a case of amoebic colitis, misdiagnosed as inflammatory bowel disease and treated with corticosteroids, leading to severe necrotizing enterocolitis. We review the literature on the epidemiology, pathogenesis, diagnosis, and treatment of amoebic dysentery, with special emphasis on the association between immunosuppressive treatment and the development of severe invasive amoebiasis.","language":"eng","title":"Misdiagnosed amoebic colitis leading to severe dysentery and necrotizing colitis-Report of a case and review of the literature","URL":"https://pure.au.dk/portal/da/publications/misdiagnosed-amoebic-colitis-leading-to-severe-dysentery-and-necrotizing-colitisreport-of-a-case-and-review-of-the-literature(bb3eba3f-12cf-4068-b98d-833c085fefc1).html","author":[{"family":"Mogensen","given":"Trine H"},{"family":"Christiansen","given":"Jens J"},{"family":"Eivindson","given":"Martin V"},{"family":"Larsen","given":"Carsten S"},{"literal":"JOUR"}],"issued":{"date-parts":[["2014"]]}}}],"schema":"https://github.com/citation-style-language/schema/raw/master/csl-citation.json"} </w:instrText>
            </w:r>
            <w:r w:rsidRPr="00D11245">
              <w:rPr>
                <w:rFonts w:cstheme="minorHAnsi"/>
                <w:color w:val="000000" w:themeColor="text1"/>
                <w:highlight w:val="yellow"/>
              </w:rPr>
              <w:fldChar w:fldCharType="separate"/>
            </w:r>
            <w:r w:rsidR="009C3E63" w:rsidRPr="00D11245">
              <w:rPr>
                <w:rFonts w:ascii="Calibri" w:hAnsi="Calibri" w:cs="Calibri"/>
                <w:color w:val="000000" w:themeColor="text1"/>
                <w:vertAlign w:val="superscript"/>
              </w:rPr>
              <w:t>4,31,54,59</w:t>
            </w:r>
            <w:r w:rsidRPr="00D11245">
              <w:rPr>
                <w:rFonts w:cstheme="minorHAnsi"/>
                <w:color w:val="000000" w:themeColor="text1"/>
                <w:highlight w:val="yellow"/>
              </w:rPr>
              <w:fldChar w:fldCharType="end"/>
            </w:r>
          </w:p>
        </w:tc>
        <w:tc>
          <w:tcPr>
            <w:tcW w:w="1592" w:type="dxa"/>
            <w:shd w:val="clear" w:color="auto" w:fill="auto"/>
          </w:tcPr>
          <w:p w14:paraId="0DA5BAF8" w14:textId="77777777" w:rsidR="00803397" w:rsidRPr="00D11245" w:rsidRDefault="00803397" w:rsidP="00B57622">
            <w:pPr>
              <w:jc w:val="both"/>
              <w:rPr>
                <w:rFonts w:cstheme="minorHAnsi"/>
                <w:color w:val="000000" w:themeColor="text1"/>
              </w:rPr>
            </w:pPr>
            <w:r w:rsidRPr="00D11245">
              <w:rPr>
                <w:rFonts w:cstheme="minorHAnsi"/>
                <w:color w:val="000000" w:themeColor="text1"/>
              </w:rPr>
              <w:t xml:space="preserve">Uncommon </w:t>
            </w:r>
          </w:p>
        </w:tc>
        <w:tc>
          <w:tcPr>
            <w:tcW w:w="816" w:type="dxa"/>
          </w:tcPr>
          <w:p w14:paraId="2A027B43" w14:textId="77777777" w:rsidR="00803397" w:rsidRPr="00D11245" w:rsidRDefault="00803397" w:rsidP="00B57622">
            <w:pPr>
              <w:jc w:val="both"/>
              <w:rPr>
                <w:rFonts w:cstheme="minorHAnsi"/>
                <w:color w:val="000000" w:themeColor="text1"/>
              </w:rPr>
            </w:pPr>
            <w:r w:rsidRPr="00D11245">
              <w:rPr>
                <w:rFonts w:cstheme="minorHAnsi"/>
                <w:color w:val="000000" w:themeColor="text1"/>
              </w:rPr>
              <w:t>&lt;25%</w:t>
            </w:r>
          </w:p>
        </w:tc>
      </w:tr>
      <w:tr w:rsidR="00D11245" w:rsidRPr="00D11245" w14:paraId="1035A59A" w14:textId="77777777" w:rsidTr="00803397">
        <w:trPr>
          <w:jc w:val="center"/>
        </w:trPr>
        <w:tc>
          <w:tcPr>
            <w:tcW w:w="3468" w:type="dxa"/>
            <w:shd w:val="clear" w:color="auto" w:fill="DEEAF6" w:themeFill="accent5" w:themeFillTint="33"/>
          </w:tcPr>
          <w:p w14:paraId="00BE8F89" w14:textId="77777777" w:rsidR="00803397" w:rsidRPr="00D11245" w:rsidRDefault="00803397" w:rsidP="00B57622">
            <w:pPr>
              <w:jc w:val="both"/>
              <w:rPr>
                <w:rFonts w:cstheme="minorHAnsi"/>
                <w:b/>
                <w:bCs/>
                <w:color w:val="000000" w:themeColor="text1"/>
              </w:rPr>
            </w:pPr>
            <w:r w:rsidRPr="00D11245">
              <w:rPr>
                <w:rFonts w:cstheme="minorHAnsi"/>
                <w:b/>
                <w:bCs/>
                <w:color w:val="000000" w:themeColor="text1"/>
              </w:rPr>
              <w:t>Rectal bleeding without diarrhoea</w:t>
            </w:r>
          </w:p>
          <w:p w14:paraId="5F3A5915" w14:textId="5E50CFC2" w:rsidR="00803397" w:rsidRPr="00D11245" w:rsidRDefault="00803397" w:rsidP="00B57622">
            <w:pPr>
              <w:jc w:val="both"/>
              <w:rPr>
                <w:rFonts w:cstheme="minorHAnsi"/>
                <w:b/>
                <w:bCs/>
                <w:color w:val="000000" w:themeColor="text1"/>
              </w:rPr>
            </w:pPr>
            <w:r w:rsidRPr="00D11245">
              <w:rPr>
                <w:rFonts w:cstheme="minorHAnsi"/>
                <w:color w:val="000000" w:themeColor="text1"/>
                <w:highlight w:val="yellow"/>
              </w:rPr>
              <w:fldChar w:fldCharType="begin"/>
            </w:r>
            <w:r w:rsidR="009C3E63" w:rsidRPr="00D11245">
              <w:rPr>
                <w:rFonts w:cstheme="minorHAnsi"/>
                <w:color w:val="000000" w:themeColor="text1"/>
                <w:highlight w:val="yellow"/>
              </w:rPr>
              <w:instrText xml:space="preserve"> ADDIN ZOTERO_ITEM CSL_CITATION {"citationID":"QPUm4F5p","properties":{"formattedCitation":"\\super 46,56,68\\uc0\\u8211{}75\\nosupersub{}","plainCitation":"46,56,68–75","noteIndex":0},"citationItems":[{"id":1668,"uris":["http://zotero.org/groups/2497994/items/W4YPB75U",["http://zotero.org/groups/2497994/items/W4YPB75U"]],"itemData":{"id":1668,"type":"article-journal","abstract":"BACKGROUND: Invasive amebiasis is not frequently seen in the United States. It is associated with considerable morbidity in patients residing in or traveling to endemic areas. We report a case series of patients with amebic colitis in a United States-Mexico border city to alert physicians to the varied clinical manifestations., CASE PRESENTATION: Nine patients were diagnosed with amebic colitis. Mean age was 56 (38-83), 6 were males, and all were Hispanic. Common symptoms were diarrhea (56 %), hematochezia (33 %) and abdominal bloating (11 %). The diagnosis of amebic colitis was established in the following ways: 8 patients by colonoscopy with biopsy, 1 by surgery for colonic obstruction. The diagnosis of amebic colitis was confirmed in 8 patients (89 %) by amebic trophozoites present in histopathologic sections. One patient was diagnosed with amebic colitis based upon clinical symptoms, colitis on colonoscopy and visualization of amebic trophozoites on stool examination. In the 8 patients in whom colonoscopy was done, 6 (75 %) had inflammation with rectosigmoid involvement and 5 (62.5 %) had ulcerations. Infection resolved after treatment with metronidazole in most patients; however, one patient developed a liver abscess and another had a colonic perforation and later developed a liver abscess., CONCLUSION: The occurrence of amebic colitis in this United States-Mexico border city hospital population was low, but in some cases potentially life-threatening. Physicians should be alert to the less common presentations of amebic colitis, such as overt gastrointestinal bleeding, exacerbation of inflammatory bowel disease, and the incidental finding of association with colon cancer, or a surgical abdomen. Rectosigmoid involvement was typically found on colonoscopy.","container-title":"BMC research notes","DOI":"10.1186/s13104-015-1787-3","ISSN":"1756-0500 (electronic)","issue":"(Fleming) Department of Internal Medicine, Texas Tech University Health Sciences Center, 4800 Alberta Ave, El Paso, TX, 79905, USA. rfleming5006@sbcglobal.net","journalAbbreviation":"BMC Res Notes","language":"English","note":"publisher-place: United Kingdom","page":"781","title":"Clinical manifestations and endoscopic findings of amebic colitis in a United States-Mexico border city: a case series","volume":"8","author":[{"literal":"Fleming R."},{"literal":"Cooper C.J."},{"literal":"Ramirez-Vega R."},{"literal":"Huerta-Alardin A."},{"literal":"Boman D."},{"literal":"Zuckerman M.J."}],"issued":{"date-parts":[["2015"]]}}},{"id":2868,"uris":["http://zotero.org/groups/2497994/items/UJ3F9SZ5",["http://zotero.org/groups/2497994/items/UJ3F9SZ5"]],"itemData":{"id":2868,"type":"article-journal","abstract":"Invasive amebiasis is common worldwide, but infrequently observed in the United States. It is associated with considerable morbidity in patients residing in or traveling to endemic areas. We review the clinical and endoscopic manifestations of amebic colitis to alert physicians to the varied clinical manifestations of this potentially life-threatening disease. Copyright ©Most patients present with watery or bloody diarrhea. Less common presentations of amebic colitis include abdominal pain, overt gastrointestinal bleeding, exacerbation of inflammatory bowel disease, or the incidental association with colon cancer. Amebic liver abscesses are the most frequent complication. Rectosigmoid involvement may be found on colonoscopy; however, most case series have reported that the cecum is the most commonly involved site, followed by the ascending colon. Endoscopic evaluation should be used to assist in the diagnosis, with attention to the observation of colonic inflammation, ulceration, and amebic trophozoites on histopathological examination.","archive":"Pubmed","container-title":"Southern medical journal","DOI":"10.14423/SMJ.0000000000000370","ISSN":"0038-4348","issue":"11","page":"676-81","title":"Varied Clinical Manifestations of Amebic Colitis.","volume":"108","author":[{"family":"Cooper","given":"Chad J"},{"family":"Fleming","given":"Rhonda"},{"family":"Boman","given":"Darius A"},{"family":"Zuckerman","given":"Marc J"}],"issued":{"date-parts":[["2015",11,1]]}}},{"id":1269,"uris":["http://zotero.org/groups/2497994/items/XNNFEXTN",["http://zotero.org/groups/2497994/items/XNNFEXTN"]],"itemData":{"id":1269,"type":"article-journal","abstract":"Amoebiasis is a common intestinal protozoan infection due to Entamoeba histolytica. In India, the prevalence of the disease varies from 2% to 67%.[1] Acute Fulminant Colitis is a rare complication of intestinal amebiasis. Life threatening lower Gastrointestinal bleed is very rare presentation of amebiasis. Here, we are presenting a case of severe lower GI bleed proved to be caused by amebiasis along with extra intestinal complications.Copyright © 2017 Annals of Tropical Medicine and Public Health  Published by Wolters Kluwer - Medknow.","container-title":"Annals of Tropical Medicine and Public Health","DOI":"10.4103/1755-6783.205554","ISSN":"1755-6783","issue":"1","journalAbbreviation":"Ann. Trop. Med. Public Health","language":"English","note":"publisher-place: India\npublisher: Medknow Publications (B9, Kanara Business Centre, off Link Road, Ghatkopar (E), Mumbai 400 075, India)","page":"244-246","title":"Intestinal amebiasis presenting as life threatening lower GI bleed-A rare presentation","volume":"10","author":[{"literal":"Dogra V.K."},{"literal":"Gupta D."},{"literal":"Kashyap R."},{"literal":"Nand L."},{"literal":"Sondhi S."}],"issued":{"date-parts":[["2017"]]}}},{"id":1778,"uris":["http://zotero.org/groups/2497994/items/TLX7CRWW",["http://zotero.org/groups/2497994/items/TLX7CRWW"]],"itemData":{"id":1778,"type":"article-journal","abstract":"We report a case of Entamoeba histolytica infection in a young man who presented with cerebral infarction and shortly after admission developed bloody diarrhea with fever. A rapid diagnosis of severe E. histolytica colitis was established through the use of a multiplex polymerase chain reaction enteropathogen stool panel. This result was unexpected in a patient native to the United States without known risk factors for amebiasis and negative stool microscopy examination for ova and parasites. Rapid diagnosis allowed prompt initiation of appropriate anti-amebic therapy and ultimately a good outcome in a condition that otherwise carries high morbidity and fatality.Copyright © 2019 by The American Society of Tropical Medicine and Hygiene.","container-title":"American Journal of Tropical Medicine and Hygiene","DOI":"10.4269/ajtmh.19-0237","ISSN":"0002-9637","issue":"6","journalAbbreviation":"Am. J. Trop. Med. Hyg.","language":"English","note":"publisher-place: United States\npublisher: American Society of Tropical Medicine and Hygiene (111 Deer Lake Road, Suite 100,Deerfield, Illinois 60015, United States)","page":"1380-1383","title":"Case report: Lower gastrointestinal bleeding due to Entamoeba histolytica detected early by multiplex PCR: Case report and review of the laboratory diagnosis of amebiasis","volume":"101","author":[{"literal":"Madden G.R."},{"literal":"Shirley D.-A."},{"literal":"Townsend G."},{"literal":"Moonah S."}],"issued":{"date-parts":[["2019"]]}}},{"id":1316,"uris":["http://zotero.org/groups/2497994/items/7VZF2YSG",["http://zotero.org/groups/2497994/items/7VZF2YSG"]],"itemData":{"id":1316,"type":"article-journal","container-title":"International Journal of Colorectal Disease","DOI":"10.1007/s00384-009-0824-x","ISSN":"0179-1958","issue":"4","journalAbbreviation":"Int. J. Colorectal Dis.","language":"English","note":"publisher-place: Germany\npublisher: Springer Verlag (Tiergartenstrasse 17, Heidelberg D-69121, Germany)","page":"535-537","title":"Fulminant amebic colitis with lower GI bleed with liver abscess","volume":"25","author":[{"literal":"Atif Khan M."},{"literal":"Verma G.R."},{"literal":"Lokesh H.M."}],"issued":{"date-parts":[["2010"]]}}},{"id":200,"uris":["http://zotero.org/groups/2497994/items/4BI74L88",["http://zotero.org/groups/2497994/items/4BI74L88"]],"itemData":{"id":200,"type":"article-journal","abstract":"Acute fulminant necrotizing amebic colitis rarely presents with massive lifethreatening lower gastrointestinal bleeding without diarrhea. Diagnosis is difficult as colonoscopy is suboptimal due to active bleeding, stool testing is often negative and a positive serology cannot confirm the diagnosis. We herein report a case of a 39-year-old male who presented with profuse bleeding per rectum, without associated significant antecedent history of fever or diarrhea. Colonoscopy was inconclusive as active bleeding obscured the vision. Computed tomography of abdomen revealed non-specific thickening of the caecum. Emergency laparotomy with right hemicolectomy and temporary ileostomy was performed. Microscopic examination of colonic mucosa revealed Entamoeba histolytica trophozoites with erythrophagocytosis suggestive of fulminant amebic colitis. Intravenous metronidazole was given subsequently and patient recovered completely. Ileocolonic anastomosis was done after closing the ileostomy three months later. This case highlights this exceedingly rare presentation of fulminant amebic colitis which poses a diagnostic challenge and can be life threatening without early surgical intervention. © Journal of the Association of Physicians of India 2011.","archive":"Pubmed","container-title":"The Journal of the Association of Physicians of India","ISSN":"0004-5772","issue":"4","page":"79-81","title":"Massive Lower Gastrointestinal Bleeding Due to Fulminant Necrotizing Amebic Colitis: A Diagnostic and Therapeutic Challenge.","volume":"67","author":[{"family":"Chandnani","given":"Sanjay"},{"family":"Udgirkar","given":"Suhas"},{"family":"Jain","given":"Samit S"},{"family":"Sonthalia","given":"Nikhil"},{"family":"Contractor","given":"Qais"},{"family":"Rathi","given":"Pravin M"},{"family":"Chapekar","given":"Anirudh"}],"issued":{"date-parts":[["2019",4,1]]}}},{"id":1356,"uris":["http://zotero.org/groups/2497994/items/B53A42PH",["http://zotero.org/groups/2497994/items/B53A42PH"]],"itemData":{"id":1356,"type":"article-journal","container-title":"Gastrointestinal Endoscopy","DOI":"10.1016/j.gie.2018.04.2345","ISSN":"0016-5107","issue":"3","journalAbbreviation":"Gastrointest. Endosc.","language":"English","note":"publisher-place: United States\npublisher: Mosby Inc. (E-mail: customerservice@mosby.com)","page":"565-566","title":"Unexpected amebic colitis presenting with rectal bleeding and perforation after biopsy","volume":"88","author":[{"literal":"de Leijer J.H."},{"literal":"Tan A.C.I.T.L."},{"literal":"Mulder B."},{"literal":"Zomer S.F."}],"issued":{"date-parts":[["2018"]]}}},{"id":1334,"uris":["http://zotero.org/groups/2497994/items/CW6W9D6D",["http://zotero.org/groups/2497994/items/CW6W9D6D"]],"itemData":{"id":1334,"type":"article-journal","abstract":"A 54-year-old man with diarrhea and hematochezia for 2 months was referred to our department. A total colonoscopy revealed amoebic colitis caused by Entamoeba histolytica. Concurrently, a submucosal tumor-like yellowish hemispheric polypoid lesion was incidentally detected in the rectum. We speculated that the lesion was a NET, which could be cured by endoscopic treatment. However, histopathological assessment of a biopsy specimen unexpectedly revealed a well- or moderately differentiated adenocarcinoma. After treatment of the amoebic colitis, endoscopic ultrasound revealed a low, hetero-echoic, 6-mm-diameter lesion mainly in the submucosal layer. We performed surgical resection because the invasion was estimated to be to the deeper submucosal layer. Histopathological assessment of the surgically resected specimen revealed a focal lesion of a well-differentiated adenocarcinoma in the granulation tissue of the submucosal layer. In cases accompanied by amoebic colitis, a tumor's initial gross type might change. Diagnostic endoscopic resection could be acceptable in such cases.Copyright © 2020, Japanese Society of Gastroenterology.","container-title":"Clinical Journal of Gastroenterology","DOI":"10.1007/s12328-019-01088-1","ISSN":"1865-7257","issue":"(Ito, Ono, Maejima, Hosaka, Umeki, Sato, Wakasugi) Department of Gastroenterology, Chiba-Nishi General Hospital, 1-107, Kanegasaku, Matsudo, Chiba 270-2251, Japan","journalAbbreviation":"Clin. J. Gastroenterol.","language":"English","note":"publisher-place: Japan\npublisher: Springer","title":"A case of a rectal adenocarcinoma mimicking a neuroendocrine tumor in the background mucosa of amoebic colitis","URL":"http://www.springer.com/medicine/internal/journal/12328?cm_mmc=AD-_-FTA-_-CLM1805-_-0","author":[{"literal":"Ito S."},{"literal":"Ono S."},{"literal":"Kobayashi A."},{"literal":"Maejima K."},{"literal":"Hosaka S."},{"literal":"Umeki K."},{"literal":"Sato S.-I."},{"literal":"Wakasugi S."},{"literal":"Ogata K."}],"issued":{"date-parts":[["2020"]]}}},{"id":554,"uris":["http://zotero.org/groups/2497994/items/TWMENVZP",["http://zotero.org/groups/2497994/items/TWMENVZP"]],"itemData":{"id":554,"type":"article-journal","abstract":"A 66-year-old Japanese male with a history of a rectal ulcer and rectovesical fistula following brachytherapy and radiotherapy for prostate cancer, who had undergone colostomy and vesicotomy presented with a painful peristomal ulcer of approximately 5 x 2.5cm adjacent to the direction of 6 o'clock of the stoma in his left lower abdomen. Although he was admitted to be treated with intravenous antibiotics and topical debridement, the ulcer was rapidly increasing. In the laboratory findings, WBC was 12,400/μL, CRP was 16.9 mg/dL, ESR was 105mm in the first hour. Contrast enhanced CT images showed a wide high density area of skin and subcutaneous tissue around the stoma and dillitation of the transverse and descending colon. Colonoscopy showed furred profound ulcers in the rectum. A biopsy from the ulcer floor submitted to histopathology showed necrotic tissue with a mixed inflammatory infiltrates mainly composed of neutrophils and lymphocytes in the dermis. We suspected pyoderma gangrenosum with an inflammatory bowel disease in the beginning. Although he was started on oral prednisolone 60 mg daily, the ulcer did not respond to treatment. Additional methylprednisolone pulse therapy, intravenous cyclosporine and granulocytapheresis were also ineffective. A biopsy specimen from the skin ulcer margin showed erythrophagocytosis by trophozoites of amebae which were identified on PAS stained slides. The PCR method and stool examination showed positive for Entamoeba histolytica (E. histolytica), but serum antibodies were negative. Within two weeks of treatment with oral metronidazole 2,250 mg/day and topical metronidazole ointment, resolution of the ulcer was observed, then the prednisolone dosage was tapered. A split-thickness skin graft was used to cover the ulcer with a successful result. Even though we originally misdiagnosed this case, we finally reached a diagnosis of amebiasis. It is important to take account of amebiasis in the differential diagnosis of intractable ulcers which can be contaminated by feces.","archive":"Pubmed","container-title":"Kansenshogaku zasshi. The Journal of the Japanese Association for Infectious Diseases","DOI":"10.11150/kansenshogakuzasshi.90.73","ISSN":"0387-5911","issue":"1","page":"73-6","title":"[A Case of Peristomal Cutaneous Ulcer Following Amebic Colitis Caused by Entamoeba histolytica].","volume":"90","author":[{"family":"Sasaki","given":"Yu"},{"family":"Yoshida","given":"Tetsuya"},{"family":"Suzuki","given":"Jun"},{"family":"Kobayashi","given":"Seiki"},{"family":"Sato","given":"Tomotaka"}],"issued":{"date-parts":[["2016",1,1]]}}},{"id":2217,"uris":["http://zotero.org/groups/2497994/items/4XHPIC7L",["http://zotero.org/groups/2497994/items/4XHPIC7L"]],"itemData":{"id":2217,"type":"article-journal","abstract":"Entamoeba histolytica has been rarely reported as superadded infection over carcinomatous growth on rectal brushings. We present a case of 68-year-old male who presented with abdominal pain and bleeding per rectum who was found to have an ulceroproliferative growth on sigmoidoscopy. Rectal brushings revealed coexistence of E. histolytica with malignant cells of adenocarcinoma. No organism was detected on biopsy of the tumor, which also showed adenocarcinoma, because of possible surface colonization of the tumor by Entamoeba. This case highlights the role of rectal brushings in detecting superadded infection in a case where both brushings and biopsy were performed. It is always important to report infection superadded on malignancies for optimum management of the patients.","container-title":"Journal of Laboratory Physicians","DOI":"10.4103/JLP.JLP_129_17","ISSN":"0974-2727","issue":"2","note":"WOS:000434843400025","page":"251-254","title":"Entamoeba histolytica: A surprising coexistence with adenocarcinoma - Never brush aside brushings for biopsy","volume":"10","author":[{"family":"Goel","given":"Palvi"},{"family":"Tyagi","given":"Ruchita"},{"family":"Kaur","given":"Gursheen"},{"family":"Garg","given":"Bhavna"},{"family":"Selhi","given":"Pavneet Kaur"},{"family":"Kaur","given":"Harpreet"},{"family":"Mehta","given":"Varun"},{"family":"Sood","given":"Neena"}],"issued":{"date-parts":[["2018",6]]}}}],"schema":"https://github.com/citation-style-language/schema/raw/master/csl-citation.json"} </w:instrText>
            </w:r>
            <w:r w:rsidRPr="00D11245">
              <w:rPr>
                <w:rFonts w:cstheme="minorHAnsi"/>
                <w:color w:val="000000" w:themeColor="text1"/>
                <w:highlight w:val="yellow"/>
              </w:rPr>
              <w:fldChar w:fldCharType="separate"/>
            </w:r>
            <w:r w:rsidR="009C3E63" w:rsidRPr="00D11245">
              <w:rPr>
                <w:rFonts w:ascii="Calibri" w:hAnsi="Calibri" w:cs="Calibri"/>
                <w:color w:val="000000" w:themeColor="text1"/>
                <w:vertAlign w:val="superscript"/>
              </w:rPr>
              <w:t>46,56,68–75</w:t>
            </w:r>
            <w:r w:rsidRPr="00D11245">
              <w:rPr>
                <w:rFonts w:cstheme="minorHAnsi"/>
                <w:color w:val="000000" w:themeColor="text1"/>
                <w:highlight w:val="yellow"/>
              </w:rPr>
              <w:fldChar w:fldCharType="end"/>
            </w:r>
          </w:p>
        </w:tc>
        <w:tc>
          <w:tcPr>
            <w:tcW w:w="2408" w:type="dxa"/>
            <w:gridSpan w:val="2"/>
            <w:shd w:val="clear" w:color="auto" w:fill="auto"/>
          </w:tcPr>
          <w:p w14:paraId="5C786074" w14:textId="77777777" w:rsidR="00803397" w:rsidRPr="00D11245" w:rsidRDefault="00803397" w:rsidP="00B57622">
            <w:pPr>
              <w:jc w:val="center"/>
              <w:rPr>
                <w:rFonts w:cstheme="minorHAnsi"/>
                <w:color w:val="000000" w:themeColor="text1"/>
                <w:highlight w:val="yellow"/>
              </w:rPr>
            </w:pPr>
            <w:r w:rsidRPr="00D11245">
              <w:rPr>
                <w:rFonts w:cstheme="minorHAnsi"/>
                <w:color w:val="000000" w:themeColor="text1"/>
              </w:rPr>
              <w:t>Rare</w:t>
            </w:r>
          </w:p>
        </w:tc>
      </w:tr>
      <w:tr w:rsidR="00D11245" w:rsidRPr="00D11245" w14:paraId="6787C08C" w14:textId="77777777" w:rsidTr="00803397">
        <w:trPr>
          <w:jc w:val="center"/>
        </w:trPr>
        <w:tc>
          <w:tcPr>
            <w:tcW w:w="3468" w:type="dxa"/>
            <w:shd w:val="clear" w:color="auto" w:fill="DEEAF6" w:themeFill="accent5" w:themeFillTint="33"/>
          </w:tcPr>
          <w:p w14:paraId="0C1B8A11" w14:textId="77777777" w:rsidR="00803397" w:rsidRPr="00D11245" w:rsidRDefault="00803397" w:rsidP="00B57622">
            <w:pPr>
              <w:jc w:val="both"/>
              <w:rPr>
                <w:rFonts w:cstheme="minorHAnsi"/>
                <w:b/>
                <w:bCs/>
                <w:color w:val="000000" w:themeColor="text1"/>
              </w:rPr>
            </w:pPr>
            <w:r w:rsidRPr="00D11245">
              <w:rPr>
                <w:rFonts w:cstheme="minorHAnsi"/>
                <w:b/>
                <w:bCs/>
                <w:color w:val="000000" w:themeColor="text1"/>
              </w:rPr>
              <w:t>Abdominal mass (amoeboma)</w:t>
            </w:r>
          </w:p>
          <w:p w14:paraId="751EC262" w14:textId="27201ACE" w:rsidR="00803397" w:rsidRPr="00D11245" w:rsidRDefault="00803397" w:rsidP="00B57622">
            <w:pPr>
              <w:jc w:val="both"/>
              <w:rPr>
                <w:rFonts w:cstheme="minorHAnsi"/>
                <w:b/>
                <w:bCs/>
                <w:color w:val="000000" w:themeColor="text1"/>
              </w:rPr>
            </w:pPr>
            <w:r w:rsidRPr="00D11245">
              <w:rPr>
                <w:rFonts w:cstheme="minorHAnsi"/>
                <w:color w:val="000000" w:themeColor="text1"/>
                <w:highlight w:val="yellow"/>
              </w:rPr>
              <w:fldChar w:fldCharType="begin"/>
            </w:r>
            <w:r w:rsidR="009C3E63" w:rsidRPr="00D11245">
              <w:rPr>
                <w:rFonts w:cstheme="minorHAnsi"/>
                <w:color w:val="000000" w:themeColor="text1"/>
                <w:highlight w:val="yellow"/>
              </w:rPr>
              <w:instrText xml:space="preserve"> ADDIN ZOTERO_ITEM CSL_CITATION {"citationID":"O7SuQylK","properties":{"formattedCitation":"\\super 29,76\\nosupersub{}","plainCitation":"29,76","noteIndex":0},"citationItems":[{"id":2200,"uris":["http://zotero.org/groups/2497994/items/ZIQK79Q3",["http://zotero.org/groups/2497994/items/ZIQK79Q3"]],"itemData":{"id":2200,"type":"article-journal","abstract":"Entamoeba histolytica is the responsible parasite of amoebiasis and remains one of the top three parasitic causes of mortality worldwide. With increased travel and emigration to developed countries, infection is becoming more common in nonendemic areas. Although the majority of individuals infected with E. histolytica remain asymptomatic, some present with amoebic colitis and disseminated disease. As more is learned about its pathogenesis and the host's immune response, the potential for developing a vaccine holds promise. This narrative review outlines the current knowledge regarding E. histolytica and E. dispar and insight in the development of a vaccine.Copyright © 2018 Micaella Kantor et al.","container-title":"Canadian Journal of Gastroenterology and Hepatology","DOI":"10.1155/2018/4601420","ISSN":"2291-2789","issue":"(Kantor, Abrantes, Estevez, Schiller, Torrent, Gascon, Hernandez) Kendall Regional Medical Center, Miami, FL, United States","journalAbbreviation":"Can. J. Gastroenterol. Hepatol.","language":"English","note":"publisher-place: United States\npublisher: Hindawi Limited (410 Park Avenue, 15th Floor, 287 pmb, New York NY 10022, United States)","page":"4601420","title":"Entamoeba Histolytica: Updates in Clinical Manifestation, Pathogenesis, and Vaccine Development","volume":"2018","author":[{"literal":"Kantor M."},{"literal":"Abrantes A."},{"literal":"Estevez A."},{"literal":"Schiller A."},{"literal":"Torrent J."},{"literal":"Gascon J."},{"literal":"Hernandez R."},{"literal":"Ochner C."}],"issued":{"date-parts":[["2018"]]}}},{"id":2831,"uris":["http://zotero.org/groups/2497994/items/T7N6CKHE",["http://zotero.org/groups/2497994/items/T7N6CKHE"]],"itemData":{"id":2831,"type":"article-journal","abstract":"This case report of a patient who immigrated\nfrom an endemic region on\nimmunosuppressive therapy with the\nsurprising finding of ameboma illustrates\nthe need to consider it in the differential\ndiagnosis of colonic masses in the appropriate\nclinical context.","container-title":"American Journal of Gastroenterology","DOI":"10.1038/s41395-018-0363-6","ISSN":"0002-9270","issue":"1","journalAbbreviation":"Am. J. Gastroenterol.","language":"English","note":"publisher-place: United Kingdom\npublisher: Wolters Kluwer Health (E-mail: michael.richards@wolterskluwer.com)","page":"180-181","title":"An Unexpected Colonic Mass","volume":"114","author":[{"literal":"Li A.A."},{"literal":"Cholankeril G."},{"literal":"Berry G.J."},{"literal":"Fernandez-Becker N."}],"issued":{"date-parts":[["2019"]]}}}],"schema":"https://github.com/citation-style-language/schema/raw/master/csl-citation.json"} </w:instrText>
            </w:r>
            <w:r w:rsidRPr="00D11245">
              <w:rPr>
                <w:rFonts w:cstheme="minorHAnsi"/>
                <w:color w:val="000000" w:themeColor="text1"/>
                <w:highlight w:val="yellow"/>
              </w:rPr>
              <w:fldChar w:fldCharType="separate"/>
            </w:r>
            <w:r w:rsidR="009C3E63" w:rsidRPr="00D11245">
              <w:rPr>
                <w:rFonts w:ascii="Calibri" w:hAnsi="Calibri" w:cs="Calibri"/>
                <w:color w:val="000000" w:themeColor="text1"/>
                <w:vertAlign w:val="superscript"/>
              </w:rPr>
              <w:t>29,76</w:t>
            </w:r>
            <w:r w:rsidRPr="00D11245">
              <w:rPr>
                <w:rFonts w:cstheme="minorHAnsi"/>
                <w:color w:val="000000" w:themeColor="text1"/>
                <w:highlight w:val="yellow"/>
              </w:rPr>
              <w:fldChar w:fldCharType="end"/>
            </w:r>
          </w:p>
        </w:tc>
        <w:tc>
          <w:tcPr>
            <w:tcW w:w="2408" w:type="dxa"/>
            <w:gridSpan w:val="2"/>
            <w:shd w:val="clear" w:color="auto" w:fill="auto"/>
          </w:tcPr>
          <w:p w14:paraId="381427B5" w14:textId="77777777" w:rsidR="00803397" w:rsidRPr="00D11245" w:rsidRDefault="00803397" w:rsidP="00B57622">
            <w:pPr>
              <w:jc w:val="center"/>
              <w:rPr>
                <w:rFonts w:cstheme="minorHAnsi"/>
                <w:color w:val="000000" w:themeColor="text1"/>
                <w:highlight w:val="yellow"/>
              </w:rPr>
            </w:pPr>
            <w:r w:rsidRPr="00D11245">
              <w:rPr>
                <w:rFonts w:cstheme="minorHAnsi"/>
                <w:color w:val="000000" w:themeColor="text1"/>
              </w:rPr>
              <w:t>Rare</w:t>
            </w:r>
          </w:p>
        </w:tc>
      </w:tr>
    </w:tbl>
    <w:p w14:paraId="4016D37D" w14:textId="77777777" w:rsidR="00DC4A23" w:rsidRPr="00D11245" w:rsidRDefault="00DC4A23" w:rsidP="00DC4A23">
      <w:pPr>
        <w:jc w:val="both"/>
        <w:rPr>
          <w:rFonts w:cs="Arial"/>
          <w:color w:val="000000" w:themeColor="text1"/>
        </w:rPr>
      </w:pPr>
    </w:p>
    <w:p w14:paraId="46BC4A7C" w14:textId="3DAFB9EF" w:rsidR="00DC4A23" w:rsidRPr="00D11245" w:rsidRDefault="00DC4A23" w:rsidP="00DC4A23">
      <w:pPr>
        <w:jc w:val="both"/>
        <w:rPr>
          <w:rFonts w:ascii="Calibri" w:hAnsi="Calibri" w:cs="Calibri"/>
          <w:color w:val="000000" w:themeColor="text1"/>
          <w:sz w:val="24"/>
          <w:szCs w:val="24"/>
        </w:rPr>
      </w:pPr>
      <w:r w:rsidRPr="00D11245">
        <w:rPr>
          <w:rFonts w:cs="Arial"/>
          <w:color w:val="000000" w:themeColor="text1"/>
          <w:sz w:val="24"/>
          <w:szCs w:val="24"/>
        </w:rPr>
        <w:t>Physical examination may be unremarkable</w:t>
      </w:r>
      <w:r w:rsidR="00A9500D" w:rsidRPr="00D11245">
        <w:rPr>
          <w:rFonts w:cs="Arial"/>
          <w:color w:val="000000" w:themeColor="text1"/>
          <w:sz w:val="24"/>
          <w:szCs w:val="24"/>
        </w:rPr>
        <w:t>,</w:t>
      </w:r>
      <w:r w:rsidRPr="00D11245">
        <w:rPr>
          <w:rFonts w:cs="Arial"/>
          <w:color w:val="000000" w:themeColor="text1"/>
          <w:sz w:val="24"/>
          <w:szCs w:val="24"/>
        </w:rPr>
        <w:t xml:space="preserve"> or may include abdominal tenderness (67%), distension (33%), and very rarely a palpable abdominal mass</w:t>
      </w:r>
      <w:r w:rsidR="00A735DD" w:rsidRPr="00D11245">
        <w:rPr>
          <w:rFonts w:cs="Arial"/>
          <w:color w:val="000000" w:themeColor="text1"/>
          <w:sz w:val="24"/>
          <w:szCs w:val="24"/>
        </w:rPr>
        <w:t xml:space="preserve"> known as</w:t>
      </w:r>
      <w:r w:rsidR="00613E9D" w:rsidRPr="00D11245">
        <w:rPr>
          <w:rFonts w:cs="Arial"/>
          <w:color w:val="000000" w:themeColor="text1"/>
          <w:sz w:val="24"/>
          <w:szCs w:val="24"/>
        </w:rPr>
        <w:t xml:space="preserve"> </w:t>
      </w:r>
      <w:r w:rsidRPr="00D11245">
        <w:rPr>
          <w:rFonts w:cs="Arial"/>
          <w:color w:val="000000" w:themeColor="text1"/>
          <w:sz w:val="24"/>
          <w:szCs w:val="24"/>
        </w:rPr>
        <w:t>an</w:t>
      </w:r>
      <w:r w:rsidR="003B705E" w:rsidRPr="00D11245">
        <w:rPr>
          <w:rFonts w:cs="Arial"/>
          <w:color w:val="000000" w:themeColor="text1"/>
          <w:sz w:val="24"/>
          <w:szCs w:val="24"/>
        </w:rPr>
        <w:t xml:space="preserve"> </w:t>
      </w:r>
      <w:r w:rsidRPr="00D11245">
        <w:rPr>
          <w:rFonts w:cs="Arial"/>
          <w:color w:val="000000" w:themeColor="text1"/>
          <w:sz w:val="24"/>
          <w:szCs w:val="24"/>
        </w:rPr>
        <w:t>amoeboma</w:t>
      </w:r>
      <w:r w:rsidR="003B705E" w:rsidRPr="00D11245">
        <w:rPr>
          <w:rFonts w:cs="Arial"/>
          <w:color w:val="000000" w:themeColor="text1"/>
          <w:sz w:val="24"/>
          <w:szCs w:val="24"/>
        </w:rPr>
        <w:t>. This</w:t>
      </w:r>
      <w:r w:rsidRPr="00D11245">
        <w:rPr>
          <w:rFonts w:cs="Arial"/>
          <w:color w:val="000000" w:themeColor="text1"/>
          <w:sz w:val="24"/>
          <w:szCs w:val="24"/>
        </w:rPr>
        <w:t xml:space="preserve"> is a fibro</w:t>
      </w:r>
      <w:r w:rsidR="00A735DD" w:rsidRPr="00D11245">
        <w:rPr>
          <w:rFonts w:cs="Arial"/>
          <w:color w:val="000000" w:themeColor="text1"/>
          <w:sz w:val="24"/>
          <w:szCs w:val="24"/>
        </w:rPr>
        <w:t>-</w:t>
      </w:r>
      <w:r w:rsidRPr="00D11245">
        <w:rPr>
          <w:rFonts w:cs="Arial"/>
          <w:color w:val="000000" w:themeColor="text1"/>
          <w:sz w:val="24"/>
          <w:szCs w:val="24"/>
        </w:rPr>
        <w:t>inflammatory mass representing chronic infection, typically in the caecum</w:t>
      </w:r>
      <w:r w:rsidR="00A735DD" w:rsidRPr="00D11245">
        <w:rPr>
          <w:rFonts w:cs="Arial"/>
          <w:color w:val="000000" w:themeColor="text1"/>
          <w:sz w:val="24"/>
          <w:szCs w:val="24"/>
        </w:rPr>
        <w:t xml:space="preserve"> or </w:t>
      </w:r>
      <w:r w:rsidRPr="00D11245">
        <w:rPr>
          <w:rFonts w:cs="Arial"/>
          <w:color w:val="000000" w:themeColor="text1"/>
          <w:sz w:val="24"/>
          <w:szCs w:val="24"/>
        </w:rPr>
        <w:t xml:space="preserve">ascending colon and palpated in the right iliac </w:t>
      </w:r>
      <w:r w:rsidRPr="00D11245">
        <w:rPr>
          <w:rFonts w:ascii="Calibri" w:hAnsi="Calibri" w:cs="Calibri"/>
          <w:color w:val="000000" w:themeColor="text1"/>
          <w:sz w:val="24"/>
          <w:szCs w:val="24"/>
        </w:rPr>
        <w:t>fossa</w:t>
      </w:r>
      <w:r w:rsidR="008E5C98" w:rsidRPr="00D11245">
        <w:rPr>
          <w:rFonts w:ascii="Calibri" w:hAnsi="Calibri" w:cs="Calibri"/>
          <w:color w:val="000000" w:themeColor="text1"/>
          <w:sz w:val="24"/>
          <w:szCs w:val="24"/>
        </w:rPr>
        <w:t xml:space="preserve"> and can resemble a phlegmon occurring in Crohn’s disease</w:t>
      </w:r>
      <w:r w:rsidRPr="00D11245">
        <w:rPr>
          <w:rFonts w:ascii="Calibri" w:hAnsi="Calibri" w:cs="Calibri"/>
          <w:color w:val="000000" w:themeColor="text1"/>
          <w:sz w:val="24"/>
          <w:szCs w:val="24"/>
        </w:rPr>
        <w:t xml:space="preserve"> </w:t>
      </w:r>
      <w:r w:rsidR="0097725F" w:rsidRPr="00D11245">
        <w:rPr>
          <w:rFonts w:ascii="Calibri" w:hAnsi="Calibri" w:cs="Calibri"/>
          <w:color w:val="000000" w:themeColor="text1"/>
          <w:sz w:val="24"/>
          <w:szCs w:val="24"/>
        </w:rPr>
        <w:fldChar w:fldCharType="begin"/>
      </w:r>
      <w:r w:rsidR="009C3E63" w:rsidRPr="00D11245">
        <w:rPr>
          <w:rFonts w:ascii="Calibri" w:hAnsi="Calibri" w:cs="Calibri"/>
          <w:color w:val="000000" w:themeColor="text1"/>
          <w:sz w:val="24"/>
          <w:szCs w:val="24"/>
        </w:rPr>
        <w:instrText xml:space="preserve"> ADDIN ZOTERO_ITEM CSL_CITATION {"citationID":"EVinWYSW","properties":{"formattedCitation":"\\super 46\\nosupersub{}","plainCitation":"46","noteIndex":0},"citationItems":[{"id":1668,"uris":["http://zotero.org/groups/2497994/items/W4YPB75U",["http://zotero.org/groups/2497994/items/W4YPB75U"]],"itemData":{"id":1668,"type":"article-journal","abstract":"BACKGROUND: Invasive amebiasis is not frequently seen in the United States. It is associated with considerable morbidity in patients residing in or traveling to endemic areas. We report a case series of patients with amebic colitis in a United States-Mexico border city to alert physicians to the varied clinical manifestations., CASE PRESENTATION: Nine patients were diagnosed with amebic colitis. Mean age was 56 (38-83), 6 were males, and all were Hispanic. Common symptoms were diarrhea (56 %), hematochezia (33 %) and abdominal bloating (11 %). The diagnosis of amebic colitis was established in the following ways: 8 patients by colonoscopy with biopsy, 1 by surgery for colonic obstruction. The diagnosis of amebic colitis was confirmed in 8 patients (89 %) by amebic trophozoites present in histopathologic sections. One patient was diagnosed with amebic colitis based upon clinical symptoms, colitis on colonoscopy and visualization of amebic trophozoites on stool examination. In the 8 patients in whom colonoscopy was done, 6 (75 %) had inflammation with rectosigmoid involvement and 5 (62.5 %) had ulcerations. Infection resolved after treatment with metronidazole in most patients; however, one patient developed a liver abscess and another had a colonic perforation and later developed a liver abscess., CONCLUSION: The occurrence of amebic colitis in this United States-Mexico border city hospital population was low, but in some cases potentially life-threatening. Physicians should be alert to the less common presentations of amebic colitis, such as overt gastrointestinal bleeding, exacerbation of inflammatory bowel disease, and the incidental finding of association with colon cancer, or a surgical abdomen. Rectosigmoid involvement was typically found on colonoscopy.","container-title":"BMC research notes","DOI":"10.1186/s13104-015-1787-3","ISSN":"1756-0500 (electronic)","issue":"(Fleming) Department of Internal Medicine, Texas Tech University Health Sciences Center, 4800 Alberta Ave, El Paso, TX, 79905, USA. rfleming5006@sbcglobal.net","journalAbbreviation":"BMC Res Notes","language":"English","note":"publisher-place: United Kingdom","page":"781","title":"Clinical manifestations and endoscopic findings of amebic colitis in a United States-Mexico border city: a case series","volume":"8","author":[{"literal":"Fleming R."},{"literal":"Cooper C.J."},{"literal":"Ramirez-Vega R."},{"literal":"Huerta-Alardin A."},{"literal":"Boman D."},{"literal":"Zuckerman M.J."}],"issued":{"date-parts":[["2015"]]}}}],"schema":"https://github.com/citation-style-language/schema/raw/master/csl-citation.json"} </w:instrText>
      </w:r>
      <w:r w:rsidR="0097725F" w:rsidRPr="00D11245">
        <w:rPr>
          <w:rFonts w:ascii="Calibri" w:hAnsi="Calibri" w:cs="Calibri"/>
          <w:color w:val="000000" w:themeColor="text1"/>
          <w:sz w:val="24"/>
          <w:szCs w:val="24"/>
        </w:rPr>
        <w:fldChar w:fldCharType="separate"/>
      </w:r>
      <w:r w:rsidR="009C3E63" w:rsidRPr="00D11245">
        <w:rPr>
          <w:rFonts w:ascii="Calibri" w:hAnsi="Calibri" w:cs="Calibri"/>
          <w:color w:val="000000" w:themeColor="text1"/>
          <w:kern w:val="0"/>
          <w:sz w:val="24"/>
          <w:vertAlign w:val="superscript"/>
        </w:rPr>
        <w:t>46</w:t>
      </w:r>
      <w:r w:rsidR="0097725F" w:rsidRPr="00D11245">
        <w:rPr>
          <w:rFonts w:ascii="Calibri" w:hAnsi="Calibri" w:cs="Calibri"/>
          <w:color w:val="000000" w:themeColor="text1"/>
          <w:sz w:val="24"/>
          <w:szCs w:val="24"/>
        </w:rPr>
        <w:fldChar w:fldCharType="end"/>
      </w:r>
      <w:r w:rsidR="0097725F" w:rsidRPr="00D11245">
        <w:rPr>
          <w:rFonts w:ascii="Calibri" w:hAnsi="Calibri" w:cs="Calibri"/>
          <w:color w:val="000000" w:themeColor="text1"/>
          <w:sz w:val="24"/>
          <w:szCs w:val="24"/>
        </w:rPr>
        <w:t>.</w:t>
      </w:r>
      <w:r w:rsidRPr="00D11245">
        <w:rPr>
          <w:rFonts w:ascii="Calibri" w:hAnsi="Calibri" w:cs="Calibri"/>
          <w:color w:val="000000" w:themeColor="text1"/>
          <w:sz w:val="24"/>
          <w:szCs w:val="24"/>
        </w:rPr>
        <w:t xml:space="preserve"> </w:t>
      </w:r>
      <w:r w:rsidR="00EC569F" w:rsidRPr="00D11245">
        <w:rPr>
          <w:rFonts w:ascii="Calibri" w:hAnsi="Calibri" w:cs="Calibri"/>
          <w:color w:val="000000" w:themeColor="text1"/>
          <w:sz w:val="24"/>
          <w:szCs w:val="24"/>
        </w:rPr>
        <w:t>P</w:t>
      </w:r>
      <w:r w:rsidRPr="00D11245">
        <w:rPr>
          <w:rFonts w:ascii="Calibri" w:hAnsi="Calibri" w:cs="Calibri"/>
          <w:color w:val="000000" w:themeColor="text1"/>
          <w:sz w:val="24"/>
          <w:szCs w:val="24"/>
        </w:rPr>
        <w:t>rogress</w:t>
      </w:r>
      <w:r w:rsidR="008E5C98" w:rsidRPr="00D11245">
        <w:rPr>
          <w:rFonts w:ascii="Calibri" w:hAnsi="Calibri" w:cs="Calibri"/>
          <w:color w:val="000000" w:themeColor="text1"/>
          <w:sz w:val="24"/>
          <w:szCs w:val="24"/>
        </w:rPr>
        <w:t>ion</w:t>
      </w:r>
      <w:r w:rsidRPr="00D11245">
        <w:rPr>
          <w:rFonts w:ascii="Calibri" w:hAnsi="Calibri" w:cs="Calibri"/>
          <w:color w:val="000000" w:themeColor="text1"/>
          <w:sz w:val="24"/>
          <w:szCs w:val="24"/>
        </w:rPr>
        <w:t xml:space="preserve"> </w:t>
      </w:r>
      <w:r w:rsidR="00EC569F" w:rsidRPr="00D11245">
        <w:rPr>
          <w:rFonts w:ascii="Calibri" w:hAnsi="Calibri" w:cs="Calibri"/>
          <w:color w:val="000000" w:themeColor="text1"/>
          <w:sz w:val="24"/>
          <w:szCs w:val="24"/>
        </w:rPr>
        <w:t xml:space="preserve">of dysentery </w:t>
      </w:r>
      <w:r w:rsidRPr="00D11245">
        <w:rPr>
          <w:rFonts w:ascii="Calibri" w:hAnsi="Calibri" w:cs="Calibri"/>
          <w:color w:val="000000" w:themeColor="text1"/>
          <w:sz w:val="24"/>
          <w:szCs w:val="24"/>
        </w:rPr>
        <w:t>to a necrotising or fulminant colitis</w:t>
      </w:r>
      <w:r w:rsidR="008E5C98" w:rsidRPr="00D11245">
        <w:rPr>
          <w:rFonts w:ascii="Calibri" w:hAnsi="Calibri" w:cs="Calibri"/>
          <w:color w:val="000000" w:themeColor="text1"/>
          <w:sz w:val="24"/>
          <w:szCs w:val="24"/>
        </w:rPr>
        <w:t xml:space="preserve"> occurs in 0.5%</w:t>
      </w:r>
      <w:r w:rsidRPr="00D11245">
        <w:rPr>
          <w:rFonts w:ascii="Calibri" w:hAnsi="Calibri" w:cs="Calibri"/>
          <w:color w:val="000000" w:themeColor="text1"/>
          <w:sz w:val="24"/>
          <w:szCs w:val="24"/>
        </w:rPr>
        <w:t xml:space="preserve"> </w:t>
      </w:r>
      <w:r w:rsidR="0097725F" w:rsidRPr="00D11245">
        <w:rPr>
          <w:rFonts w:ascii="Calibri" w:hAnsi="Calibri" w:cs="Calibri"/>
          <w:color w:val="000000" w:themeColor="text1"/>
          <w:sz w:val="24"/>
          <w:szCs w:val="24"/>
          <w:highlight w:val="green"/>
        </w:rPr>
        <w:fldChar w:fldCharType="begin"/>
      </w:r>
      <w:r w:rsidR="009C3E63" w:rsidRPr="00D11245">
        <w:rPr>
          <w:rFonts w:ascii="Calibri" w:hAnsi="Calibri" w:cs="Calibri"/>
          <w:color w:val="000000" w:themeColor="text1"/>
          <w:sz w:val="24"/>
          <w:szCs w:val="24"/>
          <w:highlight w:val="green"/>
        </w:rPr>
        <w:instrText xml:space="preserve"> ADDIN ZOTERO_ITEM CSL_CITATION {"citationID":"1WJJNul8","properties":{"formattedCitation":"\\super 45,70,71,77\\uc0\\u8211{}85\\nosupersub{}","plainCitation":"45,70,71,77–85","noteIndex":0},"citationItems":[{"id":1316,"uris":["http://zotero.org/groups/2497994/items/7VZF2YSG",["http://zotero.org/groups/2497994/items/7VZF2YSG"]],"itemData":{"id":1316,"type":"article-journal","container-title":"International Journal of Colorectal Disease","DOI":"10.1007/s00384-009-0824-x","ISSN":"0179-1958","issue":"4","journalAbbreviation":"Int. J. Colorectal Dis.","language":"English","note":"publisher-place: Germany\npublisher: Springer Verlag (Tiergartenstrasse 17, Heidelberg D-69121, Germany)","page":"535-537","title":"Fulminant amebic colitis with lower GI bleed with liver abscess","volume":"25","author":[{"literal":"Atif Khan M."},{"literal":"Verma G.R."},{"literal":"Lokesh H.M."}],"issued":{"date-parts":[["2010"]]}}},{"id":200,"uris":["http://zotero.org/groups/2497994/items/4BI74L88",["http://zotero.org/groups/2497994/items/4BI74L88"]],"itemData":{"id":200,"type":"article-journal","abstract":"Acute fulminant necrotizing amebic colitis rarely presents with massive lifethreatening lower gastrointestinal bleeding without diarrhea. Diagnosis is difficult as colonoscopy is suboptimal due to active bleeding, stool testing is often negative and a positive serology cannot confirm the diagnosis. We herein report a case of a 39-year-old male who presented with profuse bleeding per rectum, without associated significant antecedent history of fever or diarrhea. Colonoscopy was inconclusive as active bleeding obscured the vision. Computed tomography of abdomen revealed non-specific thickening of the caecum. Emergency laparotomy with right hemicolectomy and temporary ileostomy was performed. Microscopic examination of colonic mucosa revealed Entamoeba histolytica trophozoites with erythrophagocytosis suggestive of fulminant amebic colitis. Intravenous metronidazole was given subsequently and patient recovered completely. Ileocolonic anastomosis was done after closing the ileostomy three months later. This case highlights this exceedingly rare presentation of fulminant amebic colitis which poses a diagnostic challenge and can be life threatening without early surgical intervention. © Journal of the Association of Physicians of India 2011.","archive":"Pubmed","container-title":"The Journal of the Association of Physicians of India","ISSN":"0004-5772","issue":"4","page":"79-81","title":"Massive Lower Gastrointestinal Bleeding Due to Fulminant Necrotizing Amebic Colitis: A Diagnostic and Therapeutic Challenge.","volume":"67","author":[{"family":"Chandnani","given":"Sanjay"},{"family":"Udgirkar","given":"Suhas"},{"family":"Jain","given":"Samit S"},{"family":"Sonthalia","given":"Nikhil"},{"family":"Contractor","given":"Qais"},{"family":"Rathi","given":"Pravin M"},{"family":"Chapekar","given":"Anirudh"}],"issued":{"date-parts":[["2019",4,1]]}}},{"id":640,"uris":["http://zotero.org/groups/2497994/items/EBC8DCWF",["http://zotero.org/groups/2497994/items/EBC8DCWF"]],"itemData":{"id":640,"type":"article-journal","abstract":"Diarrhoea is a common presenting complaint to the Acute Medical Unit. We report a case of acute fulminant necrotizing amebic colitis in a 73 year old man with no recent travel history preceding his admission. Such cases are often difficult to diagnose and hence associated with a high mortality, unless treated promptly and appropriately. This case report highlights the importance of early diagnosis and prompt initiation of treatment. © 2011 Rila Publications Ltd.","container-title":"Acute Medicine","ISSN":"1747-4884","issue":"3","journalAbbreviation":"Acute Med.","language":"English","note":"publisher-place: United Kingdom\npublisher: Rila Publications Ltd (73 Newman Street, London W1A 4PG, United Kingdom)","page":"145-148","title":"Acute fulminant necrotizing amoebic colitis: A potentially fatal cause of diarrhoea on the Acute Medical Unit","volume":"10","author":[{"literal":"Desai P."},{"literal":"Sivaramakrishnan N."}],"issued":{"date-parts":[["2011"]]}}},{"id":1456,"uris":["http://zotero.org/groups/2497994/items/Q2648TVC",["http://zotero.org/groups/2497994/items/Q2648TVC"]],"itemData":{"id":1456,"type":"article-journal","abstract":"Background: Toxic or fulminant colitis due to Entamoeba histolytica infrequently presents but is very serious. Unfortunately, there are numerous contradictory factors related to mortality. Method(s): We analyzed several cases of E. histolytica infection to determine the factors related to mortality. We included patients &gt;15 years of age who were histopathologically diagnosed with amoebic toxic colitis and treated from January 2000 through December 2006. We evaluated demographic, clinical, laboratorial, surgical, and histopathological characteristics. Result(s): We examined 24 patients and recorded 12 deaths (50%). Twenty patients underwent surgery within a mean time of 24 hours (range: 8-120 hours). Tenesmus and intestinal perforation were determined to be statistically significant (P&lt;0.05) by univariate analysis. Three models of logistic regression were able to determine three statistically significant factors that affected mortality: (1) tenesmus and a lymphocyte count &lt;1.5 x 103 cell/ml; 2) depth of invasion beyond the mucosa and a lymphocyte count &lt;1.5 x 103 cell/ml; 3) time spent with symptoms and perforation. Conclusion(s): The mortality rate determined in this study is similar to previously reported series. A low lymphocyte count, significant depth of invasion, and intestinal perforation were determined to be the factors related to increased mortality, while tenesmus and limited amount of time spent with symptoms were associated with survival. Quick diagnosis and appropriate treatment are important factors that reduce mortality. © W. S. Maney &amp; Son Ltd 2012.","container-title":"Pathogens and Global Health","DOI":"10.1179/2047773212Y.0000000019","ISSN":"2047-7724","issue":"4","journalAbbreviation":"Pathog. Global Health","language":"English","note":"publisher-place: United States\npublisher: Maney Publishing (Suite 1C, Joseph's Well, Hanover Walk, Leeds LS3 1AB, United Kingdom)","page":"245-248","title":"Amoebic toxic colitis: Analysis of factors related to mortality","volume":"106","author":[{"literal":"Ortiz-Castillo F."},{"literal":"Enrique Salinas-Aragon L."},{"literal":"Sanchez-Aguilar M."},{"literal":"Humberto Tapia-Perez J."},{"literal":"Sanchez-Reyna M."},{"literal":"Pierdant-Perez M."},{"literal":"Juan Sanchez-Rodriguez J."},{"literal":"Francisco Hernandez-Sierra J."}],"issued":{"date-parts":[["2012"]]}}},{"id":546,"uris":["http://zotero.org/groups/2497994/items/VEPYZB2K",["http://zotero.org/groups/2497994/items/VEPYZB2K"]],"itemData":{"id":546,"type":"article-journal","archive":"Pubmed","container-title":"Journal of clinical microbiology","DOI":"10.1128/JCM.01704-17","ISSN":"0095-1137","issue":"8","title":"Closing The Brief Case: A Rare Case of Invasive Amebiasis Requiring Emergency Subtotal Colectomy in an HIV-Positive Man.","URL":"https://mednar.com/mednar/desktop/en/service/link/track?redirectUrl=https%3A%2F%2Fwww.ncbi.nlm.nih.gov%2Fpubmed%2F30049806&amp;collectionCode=MEDNAR-PUBMED&amp;searchId=a306b45a-fe57-44a9-a61d-d954bc95ebdb&amp;type=RESULT&amp;signature=390f865764a519d7919387f3af9e962f5e702841a1ef8fbf4200361412743ebb","volume":"56","author":[{"family":"Wingfield","given":"Tom"},{"family":"Ball","given":"Robert"},{"family":"Woolley","given":"Stephen D"},{"family":"Campbell","given":"Fiona"},{"family":"Heath","given":"Richard M"},{"family":"Beeching","given":"Nick J"},{"family":"Turtle","given":"Lance"}],"issued":{"date-parts":[["2018",8,1]]}}},{"id":846,"uris":["http://zotero.org/groups/2497994/items/8VRNQLBL",["http://zotero.org/groups/2497994/items/8VRNQLBL"]],"itemData":{"id":846,"type":"article-journal","container-title":"Clinical infectious diseases : an official publication of the Infectious Diseases Society of America","DOI":"10.1093/cid/cir621","ISSN":"1537-6591","issue":"9","journalAbbreviation":"Clin Infect Dis","note":"publisher-place: United States\nKenyon, Chris. Department of Medicine, GF Jooste Hospital, Mannenberg, Cape Town, South Africa.","page":"914-2","title":"Bowel \"infarction\" in a postpartum patient.","volume":"53","author":[{"family":"Kenyon","given":"Chris"},{"family":"Otto","given":"Marco"}],"issued":{"date-parts":[["2011"]]}}},{"id":2121,"uris":["http://zotero.org/groups/2497994/items/JK5ZBKXS",["http://zotero.org/groups/2497994/items/JK5ZBKXS"]],"itemData":{"id":2121,"type":"article-journal","abstract":"Perforated necrotising amoebic colitis associated with intestinal histoplasmosis has rarely been reported in an immunocompetent individual. Radiology and preoperative features are non-specific and requires histopathological examination for a definitive diagnosis. Hence, this condition needs to be considered in the differential diagnosis of complicated infective colitis. Copyright © 2013 BMJ Publishing Group. All rights reserved.","container-title":"BMJ Case Reports","DOI":"10.1136/bcr-2013-009059","ISSN":"1757-790X (electronic)","issue":"(Badyal, Vaiphei) Department of Histopathology, PGIMER, Chandigarh, India","journalAbbreviation":"BMJ Case Rep.","language":"English","note":"publisher-place: United Kingdom\npublisher: BMJ Publishing Group (Tavistock Square, London WC1H 9JR, United Kingdom)","page":"009059","title":"Diffuse perforated necrotising amoebic colitis with histoplasmosis in an immunocompetent individual presenting as an acute abdomen","author":[{"literal":"Badyal R.K."},{"literal":"Gupta R."},{"literal":"Vaiphei K."}],"issued":{"date-parts":[["2013"]]}}},{"id":1317,"uris":["http://zotero.org/groups/2497994/items/PJFXVFD4",["http://zotero.org/groups/2497994/items/PJFXVFD4"]],"itemData":{"id":1317,"type":"article-journal","abstract":"We present a case of fulminant amebic colitis in a human immunodeficiency virus (HIV)-infected homosexual man. The patient developed colonic perforation over a short time despite empirical therapy with metronidazole, and underwent right hemicolectomy. Amebic colitis was pathologically diagnosed by identifying invasive trophozoites of Entamoeba in a surgical specimen. Amebic colitis is one of the important differential diagnoses of acute abdomen in HIV-infected patients and/or homosexual men, especially in East Asia. Although fulminant amebic colitis is a rare manifestation of amebiasis, early diagnosis and treatment are thought to be important to improve the outcome of this highly fatal complication. © 2011 The Japanese Society of Internal Medicine.","container-title":"Internal Medicine","DOI":"10.2169/internalmedicine.50.5411","ISSN":"0918-2918","issue":"22","journalAbbreviation":"Intern. Med.","language":"English","note":"publisher-place: Japan\npublisher: Japanese Society of Internal Medicine (34-3, 3-chome, Hongo, Bunkyo-ku, Tokyo 113, Japan)","page":"2851-2854","title":"Fulminant amebic colitis in an HIV-infected homosexual man","volume":"50","author":[{"literal":"Ishioka H."},{"literal":"Umezawa M."},{"literal":"Hatakeyama S."}],"issued":{"date-parts":[["2011"]]}}},{"id":2131,"uris":["http://zotero.org/groups/2497994/items/AE578UEH",["http://zotero.org/groups/2497994/items/AE578UEH"]],"itemData":{"id":2131,"type":"article-journal","container-title":"Clinical gastroenterology and hepatology : the official clinical practice journal of the American Gastroenterological Association","DOI":"10.1016/j.cgh.2012.06.035","ISSN":"1542-7714","issue":"11","journalAbbreviation":"Clin Gastroenterol Hepatol","note":"publisher-place: United States\nKawazoe, Akihito. Department of Gastroenterology and Hepatology, National Center for Global Health and Medicine, Tokyo, Japan.","page":"e91","title":"Fulminant amebic colitis with an atypical clinical presentation successfully treated by metronidazole.","volume":"10","author":[{"family":"Kawazoe","given":"Akihito"},{"family":"Nagata","given":"Naoyoshi"}],"issued":{"date-parts":[["2012"]]}}},{"id":2133,"uris":["http://zotero.org/groups/2497994/items/N6A527NX",["http://zotero.org/groups/2497994/items/N6A527NX"]],"itemData":{"id":2133,"type":"article-journal","collection-title":"[Comment in: ANZ J Surg. 2019 Jun;89(6):786-787; PMID: 31179627 [https://www.ncbi.nlm.nih.gov/pubmed/31179627]]","container-title":"ANZ journal of surgery","DOI":"10.1111/ans.14975","ISSN":"1445-2197","issue":"1-2","journalAbbreviation":"ANZ J Surg","note":"publisher-place: Australia\nMorris, Paul D. Department of Colorectal Surgery, Royal Prince Alfred Hospital, Sydney, New South Wales, Australia.\nLee, Daniel. Department of Colorectal Surgery, Royal Prince Alfred Hospital, Sydney, New South Wales, Australia.\nChung, Kimberley Kuen-Yee. Tissue Pathology and Diagnostic Oncology, Royal Prince Alfred Hospital, Sydney, New South Wales, Australia.\nShin, Joo-Shik. Tissue Pathology and Diagnostic Oncology, Royal Prince Alfred Hospital, Sydney, New South Wales, Australia.\nByrne, Christopher. Department of Colorectal Surgery, Royal Prince Alfred Hospital, Sydney, New South Wales, Australia.\nByrne, Christopher. Sydney Medical School, The University of Sydney, Sydney, New South Wales, Australia.","page":"E50","title":"Fulminant amoebic colitis and septic shock in a returning traveller.","volume":"89","author":[{"family":"Morris","given":"Paul D"},{"family":"Lee","given":"Daniel"},{"family":"Chung","given":"Kimberley Kuen-Yee"},{"family":"Shin","given":"Joo-Shik"},{"family":"Byrne","given":"Christopher"}],"issued":{"date-parts":[["2019"]]}}},{"id":1126,"uris":["http://zotero.org/groups/2497994/items/D587VUJY",["http://zotero.org/groups/2497994/items/D587VUJY"]],"itemData":{"id":1126,"type":"article-journal","abstract":"Fulminant necrotising amoebic colitis is a complication of untreated amoebiasis. This is seen in mainly low-income countries. It has a high mortality rate and is difficult to diagnose. We present an extremely rare case of fulminant necrotising amoebic colitis that caused diagnostic confusion in mimicking an acute abdomen, presumably caused by a perforated duodenal ulcer.Copyright © 2015, Malaysian Medical Association. All rights reserved.","container-title":"Medical Journal of Malaysia","ISSN":"0300-5283","issue":"6","journalAbbreviation":"Med. J. Malays.","language":"English","note":"publisher-place: Malaysia\npublisher: Malaysian Medical Association (E-mail: mma@tm.net.my)","page":"365-366","title":"Fulminant necrotising amoebic colitis: A diagnostic conundrum","volume":"70","author":[{"literal":"Arvind M."},{"literal":"Nijhar J.S."},{"literal":"Ramasamy P."}],"issued":{"date-parts":[["2015"]]}}},{"id":79,"uris":["http://zotero.org/groups/2497994/items/742R7JHV",["http://zotero.org/groups/2497994/items/742R7JHV"]],"itemData":{"id":79,"type":"article-journal","abstract":"PMID:30049805","archive":"PubMed Central","container-title":"Journal of Clinical Microbiology","DOI":"10.1128/JCM.01703-17","ISSN":"0095-1137","issue":"8","title":"The Brief Case: A Rare Case of Invasive Amebiasis Requiring Emergency Subtotal Colectomy in an HIV-Positive Man","URL":"https://mednar.com/mednar/desktop/en/service/link/track?redirectUrl=https%3A%2F%2Fwww.pubmedcentral.nih.gov%2Farticlerender.fcgi%3Ftool%3Dpmcentrez%26artid%3D6062808%26rendertype%3Dabstract&amp;collectionCode=MEDNAR-PMC&amp;searchId=a306b45a-fe57-44a9-a61d-d954bc95ebdb&amp;type=RESULT&amp;signature=a7eebb0a492a64b0bc09b1bed3024f347c6bec9d093cb66a160a0d40e60b96fb","volume":"56","issued":{"date-parts":[["2018",7,26]]}}}],"schema":"https://github.com/citation-style-language/schema/raw/master/csl-citation.json"} </w:instrText>
      </w:r>
      <w:r w:rsidR="0097725F" w:rsidRPr="00D11245">
        <w:rPr>
          <w:rFonts w:ascii="Calibri" w:hAnsi="Calibri" w:cs="Calibri"/>
          <w:color w:val="000000" w:themeColor="text1"/>
          <w:sz w:val="24"/>
          <w:szCs w:val="24"/>
          <w:highlight w:val="green"/>
        </w:rPr>
        <w:fldChar w:fldCharType="separate"/>
      </w:r>
      <w:r w:rsidR="009C3E63" w:rsidRPr="00D11245">
        <w:rPr>
          <w:rFonts w:ascii="Calibri" w:hAnsi="Calibri" w:cs="Calibri"/>
          <w:color w:val="000000" w:themeColor="text1"/>
          <w:kern w:val="0"/>
          <w:sz w:val="24"/>
          <w:vertAlign w:val="superscript"/>
        </w:rPr>
        <w:t>45,70,71,77–85</w:t>
      </w:r>
      <w:r w:rsidR="0097725F" w:rsidRPr="00D11245">
        <w:rPr>
          <w:rFonts w:ascii="Calibri" w:hAnsi="Calibri" w:cs="Calibri"/>
          <w:color w:val="000000" w:themeColor="text1"/>
          <w:sz w:val="24"/>
          <w:szCs w:val="24"/>
          <w:highlight w:val="green"/>
        </w:rPr>
        <w:fldChar w:fldCharType="end"/>
      </w:r>
      <w:r w:rsidRPr="00D11245">
        <w:rPr>
          <w:rFonts w:ascii="Calibri" w:hAnsi="Calibri" w:cs="Calibri"/>
          <w:color w:val="000000" w:themeColor="text1"/>
          <w:sz w:val="24"/>
          <w:szCs w:val="24"/>
        </w:rPr>
        <w:t xml:space="preserve">. These patients </w:t>
      </w:r>
      <w:r w:rsidR="008E5C98" w:rsidRPr="00D11245">
        <w:rPr>
          <w:rFonts w:ascii="Calibri" w:hAnsi="Calibri" w:cs="Calibri"/>
          <w:color w:val="000000" w:themeColor="text1"/>
          <w:sz w:val="24"/>
          <w:szCs w:val="24"/>
        </w:rPr>
        <w:t>are</w:t>
      </w:r>
      <w:r w:rsidRPr="00D11245">
        <w:rPr>
          <w:rFonts w:ascii="Calibri" w:hAnsi="Calibri" w:cs="Calibri"/>
          <w:color w:val="000000" w:themeColor="text1"/>
          <w:sz w:val="24"/>
          <w:szCs w:val="24"/>
        </w:rPr>
        <w:t xml:space="preserve"> typically very unwell with fever, bloody diarrhoea, vomiting, and abdominal pain with rebound tenderness </w:t>
      </w:r>
      <w:r w:rsidR="0097725F" w:rsidRPr="00D11245">
        <w:rPr>
          <w:rFonts w:ascii="Calibri" w:hAnsi="Calibri" w:cs="Calibri"/>
          <w:color w:val="000000" w:themeColor="text1"/>
          <w:sz w:val="24"/>
          <w:szCs w:val="24"/>
          <w:highlight w:val="green"/>
        </w:rPr>
        <w:fldChar w:fldCharType="begin"/>
      </w:r>
      <w:r w:rsidR="009C3E63" w:rsidRPr="00D11245">
        <w:rPr>
          <w:rFonts w:ascii="Calibri" w:hAnsi="Calibri" w:cs="Calibri"/>
          <w:color w:val="000000" w:themeColor="text1"/>
          <w:sz w:val="24"/>
          <w:szCs w:val="24"/>
          <w:highlight w:val="green"/>
        </w:rPr>
        <w:instrText xml:space="preserve"> ADDIN ZOTERO_ITEM CSL_CITATION {"citationID":"3HNfX6GG","properties":{"formattedCitation":"\\super 54,86\\nosupersub{}","plainCitation":"54,86","noteIndex":0},"citationItems":[{"id":2833,"uris":["http://zotero.org/groups/2497994/items/IZQVRVIQ",["http://zotero.org/groups/2497994/items/IZQVRVIQ"]],"itemData":{"id":2833,"type":"article-journal","abstract":"This article has no abstract; the first 100 words appear below.\n\nTo the Editor: Haque et al. (April 17 issue)1 mention that amebic liver abscesses are usually solitary lesions in the right lobe. We believe that the classic description of amebic liver abscess needs to be modified, however, since many variants exist. In a sonographic evaluation of 212 patients, 34 (16 percent) had multiple abscesses, 75 (35 percent) had an abscess in the left lobe, and the remaining 103 (49 percent) had a solitary abscess in the right lobe.2 We also do not agree with Haque et al. that a liver abscess greater than 5 cm in diameter is an indication . . .","container-title":"N Engl J Med 2003; 348:1565-1573","DOI":"10.1056/NEJMra022710","title":"Amebiasis","title-short":"Haque R, Huston CD, Hughes M, Houpt E, Petri WA Jr. Amebiasis. N Engl J Med. 2003;348(16):1565-1573. doi:10.1056/NEJMra022710","URL":"https://www.nejm.org/doi/10.1056/NEJMra022710?url_ver=Z39.88-2003&amp;rfr_id=ori%3Arid%3Acrossref.org&amp;rfr_dat=cr_pub++0pubmed","author":[{"family":"Haque","given":"Rashidul"}]}},{"id":1127,"uris":["http://zotero.org/groups/2497994/items/NMIEYVVN",["http://zotero.org/groups/2497994/items/NMIEYVVN"]],"itemData":{"id":1127,"type":"article-journal","abstract":"Aims To review the clinical and pathological factors associated with fulminant amoebic colitis (FAC) requiring colonic resection and its outcome. Methods We retrospectively identified adult patients admitted to our centre between June 2007 and December 2011 with FAC who underwent colonic resection and were diagnosed with amoebic colitis based on the presence of trophozoites on histological examination. The clinical details were extracted from the medical notes and correlated with the pathological findings. Results Thirty patients (18 men and 12 women) met the inclusion criteria. Their mean age was 50.1 years (range 21-89). The most frequent symptoms were abdominal pain, vomiting and fever. More than half the patients (16/30) had underlying conditions associated with immunosuppression including diabetes mellitus and tuberculosis. Pathological investigation of colonic resections showed predominantly right-sided involvement with geographic colonic ulcers covered with a creamywhite pseudomembrane, perforations, gangrenous changes, amoeboma and lesions mimicking inflammatory bowel disease. All showed basophilic dirty necrosis with abundant nuclear debris and amoebic trophozoites on histological examination. 21/30 patients (70%) had involvement beyond the caecum. 17/30 patients (57%) died. Those with involvement beyond the caecum were more likely to die (15/21, 71.4%) than those with less extensive disease. Conclusions FAC presents as acute abdomen and can mimic appendicitis, ischaemic bowel disease, tuberculosis and malignancy. Comorbidities causing immunosuppression frequently associated. Mortality remains high despite surgery, so FAC should be suspected in every case of acute abdomen with colonic perforation if associated with typical gross and microscopic findings and a history of stay in an endemic area.Copyright © 2015, BMJ Publishing Group. All rights reserved.","container-title":"Postgraduate Medical Journal","DOI":"10.1136/postgradmedj-2014-132597","ISSN":"0032-5473","issue":"1074","journalAbbreviation":"Postgrad. Med. J.","language":"English","note":"publisher-place: United Kingdom\npublisher: BMJ Publishing Group (E-mail: subscriptions@bmjgroup.com)","page":"200-205","title":"Fulminant amoebic colitis: A clinicopathological study of 30 cases","volume":"91","author":[{"literal":"Chaturvedi R."},{"literal":"Gupte P.A."},{"literal":"Joshi A.S."}],"issued":{"date-parts":[["2015"]]}}}],"schema":"https://github.com/citation-style-language/schema/raw/master/csl-citation.json"} </w:instrText>
      </w:r>
      <w:r w:rsidR="0097725F" w:rsidRPr="00D11245">
        <w:rPr>
          <w:rFonts w:ascii="Calibri" w:hAnsi="Calibri" w:cs="Calibri"/>
          <w:color w:val="000000" w:themeColor="text1"/>
          <w:sz w:val="24"/>
          <w:szCs w:val="24"/>
          <w:highlight w:val="green"/>
        </w:rPr>
        <w:fldChar w:fldCharType="separate"/>
      </w:r>
      <w:r w:rsidR="009C3E63" w:rsidRPr="00D11245">
        <w:rPr>
          <w:rFonts w:ascii="Calibri" w:hAnsi="Calibri" w:cs="Calibri"/>
          <w:color w:val="000000" w:themeColor="text1"/>
          <w:kern w:val="0"/>
          <w:sz w:val="24"/>
          <w:vertAlign w:val="superscript"/>
        </w:rPr>
        <w:t>54,86</w:t>
      </w:r>
      <w:r w:rsidR="0097725F" w:rsidRPr="00D11245">
        <w:rPr>
          <w:rFonts w:ascii="Calibri" w:hAnsi="Calibri" w:cs="Calibri"/>
          <w:color w:val="000000" w:themeColor="text1"/>
          <w:sz w:val="24"/>
          <w:szCs w:val="24"/>
          <w:highlight w:val="green"/>
        </w:rPr>
        <w:fldChar w:fldCharType="end"/>
      </w:r>
      <w:r w:rsidRPr="00D11245">
        <w:rPr>
          <w:rFonts w:ascii="Calibri" w:hAnsi="Calibri" w:cs="Calibri"/>
          <w:color w:val="000000" w:themeColor="text1"/>
          <w:sz w:val="24"/>
          <w:szCs w:val="24"/>
        </w:rPr>
        <w:t xml:space="preserve">. </w:t>
      </w:r>
      <w:r w:rsidR="00A735DD" w:rsidRPr="00D11245">
        <w:rPr>
          <w:rFonts w:ascii="Calibri" w:hAnsi="Calibri" w:cs="Calibri"/>
          <w:color w:val="000000" w:themeColor="text1"/>
          <w:sz w:val="24"/>
          <w:szCs w:val="24"/>
        </w:rPr>
        <w:t>Three quarters</w:t>
      </w:r>
      <w:r w:rsidRPr="00D11245">
        <w:rPr>
          <w:rFonts w:ascii="Calibri" w:hAnsi="Calibri" w:cs="Calibri"/>
          <w:color w:val="000000" w:themeColor="text1"/>
          <w:sz w:val="24"/>
          <w:szCs w:val="24"/>
        </w:rPr>
        <w:t xml:space="preserve"> of </w:t>
      </w:r>
      <w:r w:rsidR="00803397" w:rsidRPr="00D11245">
        <w:rPr>
          <w:rFonts w:ascii="Calibri" w:hAnsi="Calibri" w:cs="Calibri"/>
          <w:color w:val="000000" w:themeColor="text1"/>
          <w:sz w:val="24"/>
          <w:szCs w:val="24"/>
        </w:rPr>
        <w:t xml:space="preserve">patients with </w:t>
      </w:r>
      <w:r w:rsidRPr="00D11245">
        <w:rPr>
          <w:rFonts w:ascii="Calibri" w:hAnsi="Calibri" w:cs="Calibri"/>
          <w:color w:val="000000" w:themeColor="text1"/>
          <w:sz w:val="24"/>
          <w:szCs w:val="24"/>
        </w:rPr>
        <w:t xml:space="preserve">fulminant amoebic colitis will develop toxic megacolon or perforation </w:t>
      </w:r>
      <w:r w:rsidR="0097725F" w:rsidRPr="00D11245">
        <w:rPr>
          <w:rFonts w:ascii="Calibri" w:hAnsi="Calibri" w:cs="Calibri"/>
          <w:color w:val="000000" w:themeColor="text1"/>
          <w:sz w:val="24"/>
          <w:szCs w:val="24"/>
          <w:highlight w:val="green"/>
        </w:rPr>
        <w:fldChar w:fldCharType="begin"/>
      </w:r>
      <w:r w:rsidR="0097725F" w:rsidRPr="00D11245">
        <w:rPr>
          <w:rFonts w:ascii="Calibri" w:hAnsi="Calibri" w:cs="Calibri"/>
          <w:color w:val="000000" w:themeColor="text1"/>
          <w:sz w:val="24"/>
          <w:szCs w:val="24"/>
          <w:highlight w:val="green"/>
        </w:rPr>
        <w:instrText xml:space="preserve"> ADDIN ZOTERO_ITEM CSL_CITATION {"citationID":"Sfp34JoJ","properties":{"formattedCitation":"\\super 4\\nosupersub{}","plainCitation":"4","noteIndex":0},"citationItems":[{"id":2848,"uris":["http://zotero.org/groups/2497994/items/4CQVJEEC",["http://zotero.org/groups/2497994/items/4CQVJEEC"]],"itemData":{"id":2848,"type":"article-journal","abstract":"&lt;h2&gt;Summary&lt;/h2&gt;&lt;p&gt;Amoebiasis is the second leading cause of death from parasitic disease worldwide. The causative protozoan parasite, &lt;i&gt;Entamoeba histolytica&lt;/i&gt;, is a potent pathogen. Secreting proteinases that dissolve host tissues, killing host cells on contact, and engulfing red blood cells, &lt;i&gt;E histolytica&lt;/i&gt; trophozoites invade the intestinal mucosa, causing amoebic colitis. In some cases amoebas breach the mucosal barrier and travel through the portal circulation to the liver, where they cause abscesses consisting of a few &lt;i&gt;E histolytica&lt;/i&gt; trophozoites surrounding dead and dying hepatocytes and liquefied cellular debris. Amoebic liver abscesses grow inexorably and, at one time, were almost always fatal, but now even large abscesses can be cured by one dose of antibiotic. Evidence that what we thought was a single species based on morphology is, in fact, two genetically distinct species—now termed &lt;i&gt;Entamoeba histolytica&lt;/i&gt; (the pathogen) and &lt;i&gt;Entamoeba dispar&lt;/i&gt; (a commensal)—has turned conventional wisdom about the epidemiology and diagnosis of amoebiasis upside down. New models of disease have linked &lt;i&gt;E histolytica&lt;/i&gt; induction of intestinal inflammation and hepatocyte programmed cell death to the pathogenesis of amoebic colitis and amoebic liver abscess.&lt;/p&gt;","container-title":"The Lancet","DOI":"10.1016/S0140-6736(03)12830-9","ISSN":"0140-6736, 1474-547X","issue":"9362","journalAbbreviation":"The Lancet","language":"English","note":"PMID: 12660071","page":"1025-1034","source":"www.thelancet.com","title":"Amoebiasis","volume":"361","author":[{"family":"Stanley","given":"Samuel L."}],"issued":{"date-parts":[["2003",3,22]]}}}],"schema":"https://github.com/citation-style-language/schema/raw/master/csl-citation.json"} </w:instrText>
      </w:r>
      <w:r w:rsidR="0097725F" w:rsidRPr="00D11245">
        <w:rPr>
          <w:rFonts w:ascii="Calibri" w:hAnsi="Calibri" w:cs="Calibri"/>
          <w:color w:val="000000" w:themeColor="text1"/>
          <w:sz w:val="24"/>
          <w:szCs w:val="24"/>
          <w:highlight w:val="green"/>
        </w:rPr>
        <w:fldChar w:fldCharType="separate"/>
      </w:r>
      <w:r w:rsidR="0097725F" w:rsidRPr="00D11245">
        <w:rPr>
          <w:rFonts w:ascii="Calibri" w:hAnsi="Calibri" w:cs="Calibri"/>
          <w:color w:val="000000" w:themeColor="text1"/>
          <w:kern w:val="0"/>
          <w:sz w:val="24"/>
          <w:szCs w:val="24"/>
          <w:vertAlign w:val="superscript"/>
        </w:rPr>
        <w:t>4</w:t>
      </w:r>
      <w:r w:rsidR="0097725F" w:rsidRPr="00D11245">
        <w:rPr>
          <w:rFonts w:ascii="Calibri" w:hAnsi="Calibri" w:cs="Calibri"/>
          <w:color w:val="000000" w:themeColor="text1"/>
          <w:sz w:val="24"/>
          <w:szCs w:val="24"/>
          <w:highlight w:val="green"/>
        </w:rPr>
        <w:fldChar w:fldCharType="end"/>
      </w:r>
      <w:r w:rsidR="00803397" w:rsidRPr="00D11245">
        <w:rPr>
          <w:rFonts w:ascii="Calibri" w:hAnsi="Calibri" w:cs="Calibri"/>
          <w:color w:val="000000" w:themeColor="text1"/>
          <w:sz w:val="24"/>
          <w:szCs w:val="24"/>
        </w:rPr>
        <w:t>,</w:t>
      </w:r>
      <w:r w:rsidRPr="00D11245">
        <w:rPr>
          <w:rFonts w:ascii="Calibri" w:hAnsi="Calibri" w:cs="Calibri"/>
          <w:color w:val="000000" w:themeColor="text1"/>
          <w:sz w:val="24"/>
          <w:szCs w:val="24"/>
        </w:rPr>
        <w:t xml:space="preserve"> </w:t>
      </w:r>
      <w:r w:rsidR="00803397" w:rsidRPr="00D11245">
        <w:rPr>
          <w:rFonts w:ascii="Calibri" w:hAnsi="Calibri" w:cs="Calibri"/>
          <w:color w:val="000000" w:themeColor="text1"/>
          <w:sz w:val="24"/>
          <w:szCs w:val="24"/>
        </w:rPr>
        <w:t>with a mortality rate of 40%</w:t>
      </w:r>
      <w:r w:rsidRPr="00D11245">
        <w:rPr>
          <w:rFonts w:ascii="Calibri" w:hAnsi="Calibri" w:cs="Calibri"/>
          <w:color w:val="000000" w:themeColor="text1"/>
          <w:sz w:val="24"/>
          <w:szCs w:val="24"/>
        </w:rPr>
        <w:t xml:space="preserve"> </w:t>
      </w:r>
      <w:r w:rsidR="0097725F" w:rsidRPr="00D11245">
        <w:rPr>
          <w:rFonts w:ascii="Calibri" w:hAnsi="Calibri" w:cs="Calibri"/>
          <w:color w:val="000000" w:themeColor="text1"/>
          <w:sz w:val="24"/>
          <w:szCs w:val="24"/>
        </w:rPr>
        <w:fldChar w:fldCharType="begin"/>
      </w:r>
      <w:r w:rsidR="009C3E63" w:rsidRPr="00D11245">
        <w:rPr>
          <w:rFonts w:ascii="Calibri" w:hAnsi="Calibri" w:cs="Calibri"/>
          <w:color w:val="000000" w:themeColor="text1"/>
          <w:sz w:val="24"/>
          <w:szCs w:val="24"/>
        </w:rPr>
        <w:instrText xml:space="preserve"> ADDIN ZOTERO_ITEM CSL_CITATION {"citationID":"AXbceXQp","properties":{"formattedCitation":"\\super 54\\nosupersub{}","plainCitation":"54","noteIndex":0},"citationItems":[{"id":2833,"uris":["http://zotero.org/groups/2497994/items/IZQVRVIQ",["http://zotero.org/groups/2497994/items/IZQVRVIQ"]],"itemData":{"id":2833,"type":"article-journal","abstract":"This article has no abstract; the first 100 words appear below.\n\nTo the Editor: Haque et al. (April 17 issue)1 mention that amebic liver abscesses are usually solitary lesions in the right lobe. We believe that the classic description of amebic liver abscess needs to be modified, however, since many variants exist. In a sonographic evaluation of 212 patients, 34 (16 percent) had multiple abscesses, 75 (35 percent) had an abscess in the left lobe, and the remaining 103 (49 percent) had a solitary abscess in the right lobe.2 We also do not agree with Haque et al. that a liver abscess greater than 5 cm in diameter is an indication . . .","container-title":"N Engl J Med 2003; 348:1565-1573","DOI":"10.1056/NEJMra022710","title":"Amebiasis","title-short":"Haque R, Huston CD, Hughes M, Houpt E, Petri WA Jr. Amebiasis. N Engl J Med. 2003;348(16):1565-1573. doi:10.1056/NEJMra022710","URL":"https://www.nejm.org/doi/10.1056/NEJMra022710?url_ver=Z39.88-2003&amp;rfr_id=ori%3Arid%3Acrossref.org&amp;rfr_dat=cr_pub++0pubmed","author":[{"family":"Haque","given":"Rashidul"}]}}],"schema":"https://github.com/citation-style-language/schema/raw/master/csl-citation.json"} </w:instrText>
      </w:r>
      <w:r w:rsidR="0097725F" w:rsidRPr="00D11245">
        <w:rPr>
          <w:rFonts w:ascii="Calibri" w:hAnsi="Calibri" w:cs="Calibri"/>
          <w:color w:val="000000" w:themeColor="text1"/>
          <w:sz w:val="24"/>
          <w:szCs w:val="24"/>
        </w:rPr>
        <w:fldChar w:fldCharType="separate"/>
      </w:r>
      <w:r w:rsidR="009C3E63" w:rsidRPr="00D11245">
        <w:rPr>
          <w:rFonts w:ascii="Calibri" w:hAnsi="Calibri" w:cs="Calibri"/>
          <w:color w:val="000000" w:themeColor="text1"/>
          <w:kern w:val="0"/>
          <w:sz w:val="24"/>
          <w:vertAlign w:val="superscript"/>
        </w:rPr>
        <w:t>54</w:t>
      </w:r>
      <w:r w:rsidR="0097725F" w:rsidRPr="00D11245">
        <w:rPr>
          <w:rFonts w:ascii="Calibri" w:hAnsi="Calibri" w:cs="Calibri"/>
          <w:color w:val="000000" w:themeColor="text1"/>
          <w:sz w:val="24"/>
          <w:szCs w:val="24"/>
        </w:rPr>
        <w:fldChar w:fldCharType="end"/>
      </w:r>
      <w:r w:rsidRPr="00D11245">
        <w:rPr>
          <w:rFonts w:ascii="Calibri" w:hAnsi="Calibri" w:cs="Calibri"/>
          <w:color w:val="000000" w:themeColor="text1"/>
          <w:sz w:val="24"/>
          <w:szCs w:val="24"/>
        </w:rPr>
        <w:t xml:space="preserve">, </w:t>
      </w:r>
      <w:r w:rsidR="00803397" w:rsidRPr="00D11245">
        <w:rPr>
          <w:rFonts w:ascii="Calibri" w:hAnsi="Calibri" w:cs="Calibri"/>
          <w:color w:val="000000" w:themeColor="text1"/>
          <w:sz w:val="24"/>
          <w:szCs w:val="24"/>
        </w:rPr>
        <w:t xml:space="preserve">and </w:t>
      </w:r>
      <w:r w:rsidRPr="00D11245">
        <w:rPr>
          <w:rFonts w:ascii="Calibri" w:hAnsi="Calibri" w:cs="Calibri"/>
          <w:color w:val="000000" w:themeColor="text1"/>
          <w:sz w:val="24"/>
          <w:szCs w:val="24"/>
        </w:rPr>
        <w:t xml:space="preserve">the risk </w:t>
      </w:r>
      <w:r w:rsidR="00A735DD" w:rsidRPr="00D11245">
        <w:rPr>
          <w:rFonts w:ascii="Calibri" w:hAnsi="Calibri" w:cs="Calibri"/>
          <w:color w:val="000000" w:themeColor="text1"/>
          <w:sz w:val="24"/>
          <w:szCs w:val="24"/>
        </w:rPr>
        <w:t>is</w:t>
      </w:r>
      <w:r w:rsidRPr="00D11245">
        <w:rPr>
          <w:rFonts w:ascii="Calibri" w:hAnsi="Calibri" w:cs="Calibri"/>
          <w:color w:val="000000" w:themeColor="text1"/>
          <w:sz w:val="24"/>
          <w:szCs w:val="24"/>
        </w:rPr>
        <w:t xml:space="preserve"> greate</w:t>
      </w:r>
      <w:r w:rsidR="00A735DD" w:rsidRPr="00D11245">
        <w:rPr>
          <w:rFonts w:ascii="Calibri" w:hAnsi="Calibri" w:cs="Calibri"/>
          <w:color w:val="000000" w:themeColor="text1"/>
          <w:sz w:val="24"/>
          <w:szCs w:val="24"/>
        </w:rPr>
        <w:t>st</w:t>
      </w:r>
      <w:r w:rsidRPr="00D11245">
        <w:rPr>
          <w:rFonts w:ascii="Calibri" w:hAnsi="Calibri" w:cs="Calibri"/>
          <w:color w:val="000000" w:themeColor="text1"/>
          <w:sz w:val="24"/>
          <w:szCs w:val="24"/>
        </w:rPr>
        <w:t xml:space="preserve"> in immunocompromised, alcoholic</w:t>
      </w:r>
      <w:r w:rsidR="00F82A28" w:rsidRPr="00D11245">
        <w:rPr>
          <w:rFonts w:ascii="Calibri" w:hAnsi="Calibri" w:cs="Calibri"/>
          <w:color w:val="000000" w:themeColor="text1"/>
          <w:sz w:val="24"/>
          <w:szCs w:val="24"/>
        </w:rPr>
        <w:t>,</w:t>
      </w:r>
      <w:r w:rsidR="003B705E" w:rsidRPr="00D11245">
        <w:rPr>
          <w:rFonts w:ascii="Calibri" w:hAnsi="Calibri" w:cs="Calibri"/>
          <w:color w:val="000000" w:themeColor="text1"/>
          <w:sz w:val="24"/>
          <w:szCs w:val="24"/>
        </w:rPr>
        <w:t xml:space="preserve"> </w:t>
      </w:r>
      <w:r w:rsidRPr="00D11245">
        <w:rPr>
          <w:rFonts w:ascii="Calibri" w:hAnsi="Calibri" w:cs="Calibri"/>
          <w:color w:val="000000" w:themeColor="text1"/>
          <w:sz w:val="24"/>
          <w:szCs w:val="24"/>
        </w:rPr>
        <w:t xml:space="preserve">diabetic </w:t>
      </w:r>
      <w:r w:rsidR="00803397" w:rsidRPr="00D11245">
        <w:rPr>
          <w:rFonts w:ascii="Calibri" w:hAnsi="Calibri" w:cs="Calibri"/>
          <w:color w:val="000000" w:themeColor="text1"/>
          <w:sz w:val="24"/>
          <w:szCs w:val="24"/>
        </w:rPr>
        <w:t xml:space="preserve">or pregnant </w:t>
      </w:r>
      <w:r w:rsidRPr="00D11245">
        <w:rPr>
          <w:rFonts w:ascii="Calibri" w:hAnsi="Calibri" w:cs="Calibri"/>
          <w:color w:val="000000" w:themeColor="text1"/>
          <w:sz w:val="24"/>
          <w:szCs w:val="24"/>
        </w:rPr>
        <w:t xml:space="preserve">patients </w:t>
      </w:r>
      <w:r w:rsidR="0097725F" w:rsidRPr="00D11245">
        <w:rPr>
          <w:rFonts w:ascii="Calibri" w:hAnsi="Calibri" w:cs="Calibri"/>
          <w:color w:val="000000" w:themeColor="text1"/>
          <w:sz w:val="24"/>
          <w:szCs w:val="24"/>
          <w:highlight w:val="green"/>
        </w:rPr>
        <w:fldChar w:fldCharType="begin"/>
      </w:r>
      <w:r w:rsidR="009C3E63" w:rsidRPr="00D11245">
        <w:rPr>
          <w:rFonts w:ascii="Calibri" w:hAnsi="Calibri" w:cs="Calibri"/>
          <w:color w:val="000000" w:themeColor="text1"/>
          <w:sz w:val="24"/>
          <w:szCs w:val="24"/>
          <w:highlight w:val="green"/>
        </w:rPr>
        <w:instrText xml:space="preserve"> ADDIN ZOTERO_ITEM CSL_CITATION {"citationID":"as0EdTUu","properties":{"formattedCitation":"\\super 86\\nosupersub{}","plainCitation":"86","noteIndex":0},"citationItems":[{"id":1127,"uris":["http://zotero.org/groups/2497994/items/NMIEYVVN",["http://zotero.org/groups/2497994/items/NMIEYVVN"]],"itemData":{"id":1127,"type":"article-journal","abstract":"Aims To review the clinical and pathological factors associated with fulminant amoebic colitis (FAC) requiring colonic resection and its outcome. Methods We retrospectively identified adult patients admitted to our centre between June 2007 and December 2011 with FAC who underwent colonic resection and were diagnosed with amoebic colitis based on the presence of trophozoites on histological examination. The clinical details were extracted from the medical notes and correlated with the pathological findings. Results Thirty patients (18 men and 12 women) met the inclusion criteria. Their mean age was 50.1 years (range 21-89). The most frequent symptoms were abdominal pain, vomiting and fever. More than half the patients (16/30) had underlying conditions associated with immunosuppression including diabetes mellitus and tuberculosis. Pathological investigation of colonic resections showed predominantly right-sided involvement with geographic colonic ulcers covered with a creamywhite pseudomembrane, perforations, gangrenous changes, amoeboma and lesions mimicking inflammatory bowel disease. All showed basophilic dirty necrosis with abundant nuclear debris and amoebic trophozoites on histological examination. 21/30 patients (70%) had involvement beyond the caecum. 17/30 patients (57%) died. Those with involvement beyond the caecum were more likely to die (15/21, 71.4%) than those with less extensive disease. Conclusions FAC presents as acute abdomen and can mimic appendicitis, ischaemic bowel disease, tuberculosis and malignancy. Comorbidities causing immunosuppression frequently associated. Mortality remains high despite surgery, so FAC should be suspected in every case of acute abdomen with colonic perforation if associated with typical gross and microscopic findings and a history of stay in an endemic area.Copyright © 2015, BMJ Publishing Group. All rights reserved.","container-title":"Postgraduate Medical Journal","DOI":"10.1136/postgradmedj-2014-132597","ISSN":"0032-5473","issue":"1074","journalAbbreviation":"Postgrad. Med. J.","language":"English","note":"publisher-place: United Kingdom\npublisher: BMJ Publishing Group (E-mail: subscriptions@bmjgroup.com)","page":"200-205","title":"Fulminant amoebic colitis: A clinicopathological study of 30 cases","volume":"91","author":[{"literal":"Chaturvedi R."},{"literal":"Gupte P.A."},{"literal":"Joshi A.S."}],"issued":{"date-parts":[["2015"]]}}}],"schema":"https://github.com/citation-style-language/schema/raw/master/csl-citation.json"} </w:instrText>
      </w:r>
      <w:r w:rsidR="0097725F" w:rsidRPr="00D11245">
        <w:rPr>
          <w:rFonts w:ascii="Calibri" w:hAnsi="Calibri" w:cs="Calibri"/>
          <w:color w:val="000000" w:themeColor="text1"/>
          <w:sz w:val="24"/>
          <w:szCs w:val="24"/>
          <w:highlight w:val="green"/>
        </w:rPr>
        <w:fldChar w:fldCharType="separate"/>
      </w:r>
      <w:r w:rsidR="009C3E63" w:rsidRPr="00D11245">
        <w:rPr>
          <w:rFonts w:ascii="Calibri" w:hAnsi="Calibri" w:cs="Calibri"/>
          <w:color w:val="000000" w:themeColor="text1"/>
          <w:kern w:val="0"/>
          <w:sz w:val="24"/>
          <w:vertAlign w:val="superscript"/>
        </w:rPr>
        <w:t>86</w:t>
      </w:r>
      <w:r w:rsidR="0097725F" w:rsidRPr="00D11245">
        <w:rPr>
          <w:rFonts w:ascii="Calibri" w:hAnsi="Calibri" w:cs="Calibri"/>
          <w:color w:val="000000" w:themeColor="text1"/>
          <w:sz w:val="24"/>
          <w:szCs w:val="24"/>
          <w:highlight w:val="green"/>
        </w:rPr>
        <w:fldChar w:fldCharType="end"/>
      </w:r>
      <w:r w:rsidRPr="00D11245">
        <w:rPr>
          <w:rFonts w:ascii="Calibri" w:hAnsi="Calibri" w:cs="Calibri"/>
          <w:color w:val="000000" w:themeColor="text1"/>
          <w:sz w:val="24"/>
          <w:szCs w:val="24"/>
        </w:rPr>
        <w:t xml:space="preserve">. </w:t>
      </w:r>
    </w:p>
    <w:p w14:paraId="120397B6" w14:textId="7E024860" w:rsidR="0097725F" w:rsidRPr="00D11245" w:rsidRDefault="00DC4A23" w:rsidP="00DC4A23">
      <w:pPr>
        <w:jc w:val="both"/>
        <w:rPr>
          <w:rFonts w:ascii="Calibri" w:hAnsi="Calibri" w:cs="Calibri"/>
          <w:color w:val="000000" w:themeColor="text1"/>
          <w:sz w:val="24"/>
          <w:szCs w:val="24"/>
        </w:rPr>
      </w:pPr>
      <w:r w:rsidRPr="00D11245">
        <w:rPr>
          <w:rFonts w:ascii="Calibri" w:hAnsi="Calibri" w:cs="Calibri"/>
          <w:color w:val="000000" w:themeColor="text1"/>
          <w:sz w:val="24"/>
          <w:szCs w:val="24"/>
        </w:rPr>
        <w:t xml:space="preserve">There are over 50 case reports published in the last 10 years of atypical colonic presentations, which despite being extremely rare warrant awareness. These </w:t>
      </w:r>
      <w:r w:rsidR="00A735DD" w:rsidRPr="00D11245">
        <w:rPr>
          <w:rFonts w:ascii="Calibri" w:hAnsi="Calibri" w:cs="Calibri"/>
          <w:color w:val="000000" w:themeColor="text1"/>
          <w:sz w:val="24"/>
          <w:szCs w:val="24"/>
        </w:rPr>
        <w:t>include</w:t>
      </w:r>
      <w:r w:rsidRPr="00D11245">
        <w:rPr>
          <w:rFonts w:ascii="Calibri" w:hAnsi="Calibri" w:cs="Calibri"/>
          <w:color w:val="000000" w:themeColor="text1"/>
          <w:sz w:val="24"/>
          <w:szCs w:val="24"/>
        </w:rPr>
        <w:t xml:space="preserve"> amoebic appendicitis </w:t>
      </w:r>
      <w:r w:rsidR="0097725F" w:rsidRPr="00D11245">
        <w:rPr>
          <w:rFonts w:ascii="Calibri" w:hAnsi="Calibri" w:cs="Calibri"/>
          <w:color w:val="000000" w:themeColor="text1"/>
          <w:sz w:val="24"/>
          <w:szCs w:val="24"/>
        </w:rPr>
        <w:fldChar w:fldCharType="begin"/>
      </w:r>
      <w:r w:rsidR="009C3E63" w:rsidRPr="00D11245">
        <w:rPr>
          <w:rFonts w:ascii="Calibri" w:hAnsi="Calibri" w:cs="Calibri"/>
          <w:color w:val="000000" w:themeColor="text1"/>
          <w:sz w:val="24"/>
          <w:szCs w:val="24"/>
        </w:rPr>
        <w:instrText xml:space="preserve"> ADDIN ZOTERO_ITEM CSL_CITATION {"citationID":"rjyHBT7t","properties":{"formattedCitation":"\\super 87\\uc0\\u8211{}93\\nosupersub{}","plainCitation":"87–93","noteIndex":0},"citationItems":[{"id":1654,"uris":["http://zotero.org/groups/2497994/items/EJPPBGQZ",["http://zotero.org/groups/2497994/items/EJPPBGQZ"]],"itemData":{"id":1654,"type":"article-journal","abstract":"Acute appendicitis of amebic origin is considered a rare cause of acute appendicitis. We report a case of amebic appendicitis presenting with fever, severe pain in the right lower quadrant of the abdomen and rebound tenderness. Lab investigations revealed neutrophilic leukocytosis. The patient underwent appendectomy. Histopathological examination revealed numerous Entameba histolytica trophozoites in the mucosa of the appendix. Acute appendicitis of amebic origin does not appear frequently. Appendicular amebiasis can give the clinical features of acute appendicitis and should be treated accordingly.","container-title":"Indian Journal of Pathology and Microbiology","DOI":"10.4103/0377-4929.72080","ISSN":"0377-4929","issue":"4","journalAbbreviation":"Indian J. Pathol. Microbiol.","language":"English","note":"publisher-place: India\npublisher: Medknow Publications and Media Pvt. Ltd (B9, Kanara Business Centre, off Link Road, Ghatkopar (E), Mumbai 400 075, India)","page":"767-768","title":"Acute amebic appendicitis: Report of a rare case","volume":"53","author":[{"literal":"Singh N.G."},{"literal":"Rifat Mannan A.A.S."},{"literal":"Kahvic M."}],"issued":{"date-parts":[["2010"]]}}},{"id":499,"uris":["http://zotero.org/groups/2497994/items/HY7HFL8D",["http://zotero.org/groups/2497994/items/HY7HFL8D"]],"itemData":{"id":499,"type":"article-journal","abstract":"Acute appendicitis is a common cause of acute pain abdomen. Amoebic infestation is still a rare cause of acute appendicitis. Herein, we report a rare case of amoebic appendicitis in a young female, who presented to emergency department with pain abdomen, fever and vomiting along with rebound tenderness. Laboratory investigation revealed leukocytosis and mild eosinophilia. Histopathological examination showed numerous trophozoites of Entameba histolytica in the ulcerated mucosa of the appendix. The present case report aims to highlight this rare cause of appendicitis which should be treated appropriately to prevent further complication.Copyright © 2018, Journal of Clinical and Diagnostic Research. All rights reserved.","container-title":"Journal of Clinical and Diagnostic Research","DOI":"10.7860/JCDR/2018/32029.11236","ISSN":"2249-782X","issue":"3","journalAbbreviation":"J. Clin. Diagn. Res.","language":"English","note":"publisher-place: India\npublisher: Journal of Clinical and Diagnostic Research (No 3, 1/9 Roop Nagar,GT Karnal Road, Delhi 110007, India)","page":"ED01-ED02","title":"Acute amoebic appendicitis: A rare case report","volume":"12","author":[{"literal":"Kishore M."},{"literal":"Chauhan D.S."},{"literal":"Rahar S."},{"literal":"Singh S."}],"issued":{"date-parts":[["2018"]]}}},{"id":1522,"uris":["http://zotero.org/groups/2497994/items/MFC58553",["http://zotero.org/groups/2497994/items/MFC58553"]],"itemData":{"id":1522,"type":"article-journal","abstract":"INTRODUCTION Outside of these high-risk regions, acute amebic appendicitis is considerably rarer and the mortality rate is much higher than with non-amebic appendicitis. PRESENTATION OF CASE A 31-year-old woman presented with fever and right lower abdominal pain with no history of traveling abroad or sexual infection. Computed tomography revealed a dilated appendix and thickened cecal and ascending colon walls. She underwent an appendectomy for appendicitis. Owing to a lack of symptom resolution, we performed a pathologic examination of the appendix again that revealed multiple Entamoeba histolytica trophozoites; the serum amebic antibody was positive. She was treated postoperatively with metronidazole for amebiasis and discharged on postoperative day 12. DISCUSSION The mortality rate and frequency of severe postoperative intraabdominal complications were higher in the Japanese literature (1995-2013) (25% and 33%, respectively) than in other developed countries (3.3% and 19.4%, respectively). Japan is a low-risk area for amebiasis; many physicians fail to consider amebiasis in the differential diagnosis of acute abdomen. It is important to conduct further examinations, including those for amebiasis, when appendectomy does not resolve acute appendicitis. CONCLUSION We report a case of acute amebic appendicitis in a 31-year-old woman and review the ages at presentation, causative factors, treatments, and outcomes of 11 cases reported in Japan between 1995 and 2013.Copyright © 2014 The Authors. Published by Elsevier Ltd.","container-title":"International Journal of Surgery Case Reports","DOI":"10.1016/j.ijscr.2014.10.035","ISSN":"2210-2612","issue":"12","journalAbbreviation":"Int. J. Surg. Case Rep.","language":"English","note":"publisher-place: United Kingdom\npublisher: Elsevier Ltd","page":"1054-1057","title":"Amebiasis presenting as acute appendicitis: Report of a case and review of Japanese literature","volume":"5","author":[{"literal":"Ito D."},{"literal":"Hata S."},{"literal":"Seiichiro S."},{"literal":"Kobayashi K."},{"literal":"Teruya M."},{"literal":"Kaminishi M."}],"issued":{"date-parts":[["2014"]]}}},{"id":1520,"uris":["http://zotero.org/groups/2497994/items/2YSGEVNS",["http://zotero.org/groups/2497994/items/2YSGEVNS"]],"itemData":{"id":1520,"type":"article-journal","abstract":"Acute appendicitis is one of the most common abdominal emergencies, even though most cases of appendicitis will be due to obstruction of the appendiceal lumen, in rare occasions and mostly due to poor sanitary conditions a parasitic infection may cause appendicitis. Entamoeba histolytica is a common parasite and has a broad clinical spectrum from an asymptomatic disease to a life-threatening condition. In rare occasions, trophozoites can invade the appendiceal wall causing appendicitis. Preoperative diagnosis of acute amebic appendicitis is usually difficult, yet surgical treatment as in non-amebic appendicitis is the treatment of choice. However, due to the increased rate of postoperative complications associated with acute amebic appendicitis, a course of nitroimidazoles, and increased awareness in basic sanitary measures is usually recommended. We present a case of a 29-year-old woman, she presented with abdominal pain and appendicitis was suspected. After successful surgery, pathology confirmed acute amebic appendicitis.","container-title":"Journal of Surgical Case Reports","DOI":"10.1093/jscr/rjz076","ISSN":"2042-8812","issue":"3","note":"WOS:000462860100020","page":"rjz076","title":"Amebiasis, a rare cause of acute appendicitis","author":[{"family":"Herrera","given":"Glenda C."},{"family":"Herrera","given":"Amilcar C."},{"family":"Ponton","given":"Patricia"},{"family":"Alejandro Molina","given":"Gabriel"},{"family":"Eduardo Constante","given":"Jonathan"},{"family":"Alejandro Delgado","given":"Jhony"}],"issued":{"date-parts":[["2019",3]]}}},{"id":495,"uris":["http://zotero.org/groups/2497994/items/SNN242BJ",["http://zotero.org/groups/2497994/items/SNN242BJ"]],"itemData":{"id":495,"type":"article-journal","abstract":"We report a case of amoebic appendicitis without colitis symptoms. Acute appendicitis is commonly encountered by gastroenterologists in their daily practice. The number of cases of amoebiasis increases annually in Japan, and is thought to be associated with an increase in sexually transmitted disease or travel to endemic areas. However, acute amoebic appendicitis is rare and the prognosis is very poor compared to nonamoebic appendicitis. In our case, appendectomy was performed immediately after onset, and the patient was discharged without complications. It is difficult to differentiate between amoebic and nonamoebic appendicitis preoperatively, and the possibility of amoebic appendicitis should be kept in mind.Copyright © 2016, Tokai University School of Medicine. All rights reserved.","container-title":"Tokai Journal of Experimental and Clinical Medicine","ISSN":"0385-0005","issue":"4","journalAbbreviation":"Tokai J. Exp. Clin. Med.","language":"English","note":"publisher-place: Japan\npublisher: Tokai University School of Medicine","page":"227-229","title":"Amoebiasis presenting as acute appendicitis","volume":"41","author":[{"literal":"Ichikawa H."},{"literal":"Imai J."},{"literal":"Mizukami H."},{"literal":"Uda S."},{"literal":"Yamamoto S."},{"literal":"Nomura E."},{"literal":"Tajiri T."},{"literal":"Watanabe N."},{"literal":"Makuuchi H."}],"issued":{"date-parts":[["2016"]]}}},{"id":2853,"uris":["http://zotero.org/groups/2497994/items/2ZBE83SP",["http://zotero.org/groups/2497994/items/2ZBE83SP"]],"itemData":{"id":2853,"type":"article-journal","abstract":"No Abstract","language":"eng","note":"publisher: Health and Medical Publishing Group","title":"Amoebiasis presenting as acute appendicitis","URL":"https://www.ajol.info/index.php/samj/article/view/187361","author":[{"family":"Norwich","given":"I"},{"literal":"JOUR"}],"issued":{"date-parts":[["2019"]]}}},{"id":2893,"uris":["http://zotero.org/groups/2497994/items/MGU99KJ7",["http://zotero.org/groups/2497994/items/MGU99KJ7"]],"itemData":{"id":2893,"type":"article-journal","abstract":"Underestimated Amoebic Appendicitis among HIV-1-Infected Individuals in Japan Entamoeba histolytica is not a common causative agent of acute appendicitis. However, amoebic appendicitis can sometimes be severe and life threatening, mainly due to a lack of awareness. Also, its frequency, clinical features, and pathogenesis remain unclear. The study subjects were HIV-1-infected individuals who presented with acute appendicitis and later underwent appendectomy at our hospital between 1996 and 2014. Formalin-fixed paraffin-embedded preserved appendix specimens were reexamined by periodic acid-Schiff (PAS) staining and PCR to identify undiagnosed amoebic appendicitis. Appendectomies were performed in 57 patients with acute appendicitis. The seroprevalence of E. histolytica was 33% (14/43) from the available stored sera. Based on the medical records, only 3 cases were clinically diagnosed as amoebic appendicitis, including 2 diagnosed at the time of appendectomy and 1 case diagnosed by rereview of the appendix after the development of postoperative complications. Retrospective analyses using PAS staining and PCR identified 3 and 3 more cases, respectively. Thus, E. histolytica infection was confirmed in 9 cases (15.8%) in the present study. Apart from a significantly higher leukocyte count in E. histolytica-positive patients than in negative patients (median, 13,760 versus 10,385 cells/μl, respectively, P = 0.02), there were no other differences in the clinical features of the PCR-positive and -negative groups. In conclusion, E. histolytica infection was confirmed in 9 (15.8%) of the appendicitis cases. However, only 3, including one diagnosed after intestinal perforation, were diagnosed before the present analyses. These results strongly suggest there is frequently a failure to detect trophozoites in routine examination, resulting in an underestimation of the incidence of amoebic appendicitis.Copyright © 2016 Kobayashi et al.","container-title":"Journal of clinical microbiology","DOI":"10.1128/JCM.01757-16","issue":"1","page":"313-320","title":"Underestimated Amoebic Appendicitis among HIV-1-Infected Individuals in Japan","volume":"55","author":[{"literal":"Taiichiro Kobayashi"},{"literal":"Koji Watanabe"},{"literal":"Hideaki Yano"},{"literal":"Yukinori Murata"},{"literal":"Toru Igari"},{"literal":"Kumiko Nakada-Tsukui"},{"literal":"Kenji Yagita"},{"literal":"Tomoyoshi Nozaki"},{"literal":"Mitsuo Kaku"},{"literal":"Kunihisa Tsukada"},{"literal":"Hiroyuki Gatanaga"},{"literal":"Yoshimi Kikuchi"},{"literal":"Shinichi Oka"}],"issued":{"date-parts":[["2016",12]]}}}],"schema":"https://github.com/citation-style-language/schema/raw/master/csl-citation.json"} </w:instrText>
      </w:r>
      <w:r w:rsidR="0097725F" w:rsidRPr="00D11245">
        <w:rPr>
          <w:rFonts w:ascii="Calibri" w:hAnsi="Calibri" w:cs="Calibri"/>
          <w:color w:val="000000" w:themeColor="text1"/>
          <w:sz w:val="24"/>
          <w:szCs w:val="24"/>
        </w:rPr>
        <w:fldChar w:fldCharType="separate"/>
      </w:r>
      <w:r w:rsidR="009C3E63" w:rsidRPr="00D11245">
        <w:rPr>
          <w:rFonts w:ascii="Calibri" w:hAnsi="Calibri" w:cs="Calibri"/>
          <w:color w:val="000000" w:themeColor="text1"/>
          <w:kern w:val="0"/>
          <w:sz w:val="24"/>
          <w:vertAlign w:val="superscript"/>
        </w:rPr>
        <w:t>87–93</w:t>
      </w:r>
      <w:r w:rsidR="0097725F" w:rsidRPr="00D11245">
        <w:rPr>
          <w:rFonts w:ascii="Calibri" w:hAnsi="Calibri" w:cs="Calibri"/>
          <w:color w:val="000000" w:themeColor="text1"/>
          <w:sz w:val="24"/>
          <w:szCs w:val="24"/>
        </w:rPr>
        <w:fldChar w:fldCharType="end"/>
      </w:r>
      <w:r w:rsidRPr="00D11245">
        <w:rPr>
          <w:rFonts w:ascii="Calibri" w:hAnsi="Calibri" w:cs="Calibri"/>
          <w:color w:val="000000" w:themeColor="text1"/>
          <w:sz w:val="24"/>
          <w:szCs w:val="24"/>
        </w:rPr>
        <w:t xml:space="preserve">, peristomal ulceration </w:t>
      </w:r>
      <w:r w:rsidR="0097725F" w:rsidRPr="00D11245">
        <w:rPr>
          <w:rFonts w:ascii="Calibri" w:hAnsi="Calibri" w:cs="Calibri"/>
          <w:color w:val="000000" w:themeColor="text1"/>
          <w:sz w:val="24"/>
          <w:szCs w:val="24"/>
        </w:rPr>
        <w:fldChar w:fldCharType="begin"/>
      </w:r>
      <w:r w:rsidR="009C3E63" w:rsidRPr="00D11245">
        <w:rPr>
          <w:rFonts w:ascii="Calibri" w:hAnsi="Calibri" w:cs="Calibri"/>
          <w:color w:val="000000" w:themeColor="text1"/>
          <w:sz w:val="24"/>
          <w:szCs w:val="24"/>
        </w:rPr>
        <w:instrText xml:space="preserve"> ADDIN ZOTERO_ITEM CSL_CITATION {"citationID":"jn9cf4ZI","properties":{"formattedCitation":"\\super 74\\nosupersub{}","plainCitation":"74","noteIndex":0},"citationItems":[{"id":554,"uris":["http://zotero.org/groups/2497994/items/TWMENVZP",["http://zotero.org/groups/2497994/items/TWMENVZP"]],"itemData":{"id":554,"type":"article-journal","abstract":"A 66-year-old Japanese male with a history of a rectal ulcer and rectovesical fistula following brachytherapy and radiotherapy for prostate cancer, who had undergone colostomy and vesicotomy presented with a painful peristomal ulcer of approximately 5 x 2.5cm adjacent to the direction of 6 o'clock of the stoma in his left lower abdomen. Although he was admitted to be treated with intravenous antibiotics and topical debridement, the ulcer was rapidly increasing. In the laboratory findings, WBC was 12,400/μL, CRP was 16.9 mg/dL, ESR was 105mm in the first hour. Contrast enhanced CT images showed a wide high density area of skin and subcutaneous tissue around the stoma and dillitation of the transverse and descending colon. Colonoscopy showed furred profound ulcers in the rectum. A biopsy from the ulcer floor submitted to histopathology showed necrotic tissue with a mixed inflammatory infiltrates mainly composed of neutrophils and lymphocytes in the dermis. We suspected pyoderma gangrenosum with an inflammatory bowel disease in the beginning. Although he was started on oral prednisolone 60 mg daily, the ulcer did not respond to treatment. Additional methylprednisolone pulse therapy, intravenous cyclosporine and granulocytapheresis were also ineffective. A biopsy specimen from the skin ulcer margin showed erythrophagocytosis by trophozoites of amebae which were identified on PAS stained slides. The PCR method and stool examination showed positive for Entamoeba histolytica (E. histolytica), but serum antibodies were negative. Within two weeks of treatment with oral metronidazole 2,250 mg/day and topical metronidazole ointment, resolution of the ulcer was observed, then the prednisolone dosage was tapered. A split-thickness skin graft was used to cover the ulcer with a successful result. Even though we originally misdiagnosed this case, we finally reached a diagnosis of amebiasis. It is important to take account of amebiasis in the differential diagnosis of intractable ulcers which can be contaminated by feces.","archive":"Pubmed","container-title":"Kansenshogaku zasshi. The Journal of the Japanese Association for Infectious Diseases","DOI":"10.11150/kansenshogakuzasshi.90.73","ISSN":"0387-5911","issue":"1","page":"73-6","title":"[A Case of Peristomal Cutaneous Ulcer Following Amebic Colitis Caused by Entamoeba histolytica].","volume":"90","author":[{"family":"Sasaki","given":"Yu"},{"family":"Yoshida","given":"Tetsuya"},{"family":"Suzuki","given":"Jun"},{"family":"Kobayashi","given":"Seiki"},{"family":"Sato","given":"Tomotaka"}],"issued":{"date-parts":[["2016",1,1]]}}}],"schema":"https://github.com/citation-style-language/schema/raw/master/csl-citation.json"} </w:instrText>
      </w:r>
      <w:r w:rsidR="0097725F" w:rsidRPr="00D11245">
        <w:rPr>
          <w:rFonts w:ascii="Calibri" w:hAnsi="Calibri" w:cs="Calibri"/>
          <w:color w:val="000000" w:themeColor="text1"/>
          <w:sz w:val="24"/>
          <w:szCs w:val="24"/>
        </w:rPr>
        <w:fldChar w:fldCharType="separate"/>
      </w:r>
      <w:r w:rsidR="009C3E63" w:rsidRPr="00D11245">
        <w:rPr>
          <w:rFonts w:ascii="Calibri" w:hAnsi="Calibri" w:cs="Calibri"/>
          <w:color w:val="000000" w:themeColor="text1"/>
          <w:kern w:val="0"/>
          <w:sz w:val="24"/>
          <w:vertAlign w:val="superscript"/>
        </w:rPr>
        <w:t>74</w:t>
      </w:r>
      <w:r w:rsidR="0097725F" w:rsidRPr="00D11245">
        <w:rPr>
          <w:rFonts w:ascii="Calibri" w:hAnsi="Calibri" w:cs="Calibri"/>
          <w:color w:val="000000" w:themeColor="text1"/>
          <w:sz w:val="24"/>
          <w:szCs w:val="24"/>
        </w:rPr>
        <w:fldChar w:fldCharType="end"/>
      </w:r>
      <w:r w:rsidRPr="00D11245">
        <w:rPr>
          <w:rFonts w:ascii="Calibri" w:hAnsi="Calibri" w:cs="Calibri"/>
          <w:color w:val="000000" w:themeColor="text1"/>
          <w:sz w:val="24"/>
          <w:szCs w:val="24"/>
        </w:rPr>
        <w:t xml:space="preserve">, large bowel obstruction </w:t>
      </w:r>
      <w:r w:rsidR="0097725F" w:rsidRPr="00D11245">
        <w:rPr>
          <w:rFonts w:ascii="Calibri" w:hAnsi="Calibri" w:cs="Calibri"/>
          <w:color w:val="000000" w:themeColor="text1"/>
          <w:sz w:val="24"/>
          <w:szCs w:val="24"/>
        </w:rPr>
        <w:fldChar w:fldCharType="begin"/>
      </w:r>
      <w:r w:rsidR="009C3E63" w:rsidRPr="00D11245">
        <w:rPr>
          <w:rFonts w:ascii="Calibri" w:hAnsi="Calibri" w:cs="Calibri"/>
          <w:color w:val="000000" w:themeColor="text1"/>
          <w:sz w:val="24"/>
          <w:szCs w:val="24"/>
        </w:rPr>
        <w:instrText xml:space="preserve"> ADDIN ZOTERO_ITEM CSL_CITATION {"citationID":"XBrrIkW9","properties":{"formattedCitation":"\\super 33,66\\nosupersub{}","plainCitation":"33,66","noteIndex":0},"citationItems":[{"id":274,"uris":["http://zotero.org/groups/2497994/items/KR6GIRTU",["http://zotero.org/groups/2497994/items/KR6GIRTU"]],"itemData":{"id":274,"type":"article-journal","abstract":"Introduction: Entamoeba histolytica is a well-known cause of infectious colitis, it has a worldwide distribution. Presentation ranges from mild diarrhea to occasionally frank dysentery and may spread to involve extra intestinal sites such as the liver, lung, and other organs, in the form of amebic abscesses. Case presentation: Herein, we report a case of amebic pseudotumor wherein the diagnosis was revealed after 2 months of diarrhea. Discussion(s): Colonic amebiasis, may rarely form a segmental mass called amebic pseudotumor in patient untreated or inadequately treated during the course of proven amebic colitis. Due to the rarity of colonic amoebic pseudo tumor it is usually discovered incidentally during surgical interventions. However if discovered earlier it responds well to medical treatment and usually resolves within few weeks. Conclusion(s): So surgical intervention is reserved for complications of this entity manifested by fulminant colitis or colonic perforation.Copyright © 2019 The Authors","container-title":"International Journal of Surgery Case Reports","DOI":"10.1016/j.ijscr.2019.04.046","ISSN":"2210-2612","issue":"(Chahine, Baghdady, EL Kary, El Khoury, Chouillard, Chouillard) Department of Minimally Invasive Surgery, Poissy Saint Germain Medical Center, Poissy, France","journalAbbreviation":"Int. J. Surg. Case Rep.","language":"English","note":"publisher-place: United Kingdom\npublisher: Elsevier Ltd","page":"1-3","title":"Complete resolution of obstructive colonic amebic pseudotumor with conservative treatment: A case report and literature review","volume":"59","author":[{"literal":"Chahine E."},{"literal":"Baghdady R."},{"literal":"Chahine C."},{"literal":"Doghman G."},{"literal":"EL Kary N."},{"literal":"El Khoury L."},{"literal":"Safa K."},{"literal":"Chouillard M.-A."},{"literal":"Chouillard E."}],"issued":{"date-parts":[["2019"]]}}},{"id":629,"uris":["http://zotero.org/groups/2497994/items/C5YZQLQH",["http://zotero.org/groups/2497994/items/C5YZQLQH"]],"itemData":{"id":629,"type":"article-journal","abstract":"Entamoeba histolytica infection can lead to colitis, peri-colic abscess, ameboma, perforation and rarely colonic stricture. Amebic colitis is usually managed with medical management and rarely needs surgical management. We hereby report a case of colonic amebiasis, presenting as a stricture in transverse colon, mimicking malignancy, and managed successfully.Copyright © 2018 Tropical Parasitology.","container-title":"Tropical Parasitology","DOI":"10.4103/tp.TP_40_18","ISSN":"2229-5070","issue":"2","journalAbbreviation":"Trop. Parasitol.","language":"English","note":"publisher-place: India\npublisher: Wolters Kluwer Medknow Publications (B9, Kanara Business Centre, off Link Road, Ghatkopar (E), Mumbai 400 075, India)","page":"98-100","title":"Amebic colonic stricture: An unusual presentation","volume":"8","author":[{"literal":"Varshney V.K."},{"literal":"Soni S.C."},{"literal":"Yadav T."},{"literal":"Puranik A."},{"literal":"Elhence P."}],"issued":{"date-parts":[["2018"]]}}}],"schema":"https://github.com/citation-style-language/schema/raw/master/csl-citation.json"} </w:instrText>
      </w:r>
      <w:r w:rsidR="0097725F" w:rsidRPr="00D11245">
        <w:rPr>
          <w:rFonts w:ascii="Calibri" w:hAnsi="Calibri" w:cs="Calibri"/>
          <w:color w:val="000000" w:themeColor="text1"/>
          <w:sz w:val="24"/>
          <w:szCs w:val="24"/>
        </w:rPr>
        <w:fldChar w:fldCharType="separate"/>
      </w:r>
      <w:r w:rsidR="009C3E63" w:rsidRPr="00D11245">
        <w:rPr>
          <w:rFonts w:ascii="Calibri" w:hAnsi="Calibri" w:cs="Calibri"/>
          <w:color w:val="000000" w:themeColor="text1"/>
          <w:kern w:val="0"/>
          <w:sz w:val="24"/>
          <w:vertAlign w:val="superscript"/>
        </w:rPr>
        <w:t>33,66</w:t>
      </w:r>
      <w:r w:rsidR="0097725F" w:rsidRPr="00D11245">
        <w:rPr>
          <w:rFonts w:ascii="Calibri" w:hAnsi="Calibri" w:cs="Calibri"/>
          <w:color w:val="000000" w:themeColor="text1"/>
          <w:sz w:val="24"/>
          <w:szCs w:val="24"/>
        </w:rPr>
        <w:fldChar w:fldCharType="end"/>
      </w:r>
      <w:r w:rsidRPr="00D11245">
        <w:rPr>
          <w:rFonts w:ascii="Calibri" w:hAnsi="Calibri" w:cs="Calibri"/>
          <w:color w:val="000000" w:themeColor="text1"/>
          <w:sz w:val="24"/>
          <w:szCs w:val="24"/>
        </w:rPr>
        <w:t xml:space="preserve">, </w:t>
      </w:r>
      <w:r w:rsidR="00EE1A52" w:rsidRPr="00D11245">
        <w:rPr>
          <w:rFonts w:ascii="Calibri" w:hAnsi="Calibri" w:cs="Calibri"/>
          <w:color w:val="000000" w:themeColor="text1"/>
          <w:sz w:val="24"/>
          <w:szCs w:val="24"/>
        </w:rPr>
        <w:t>gallbladder infiltration</w:t>
      </w:r>
      <w:r w:rsidR="000B7187" w:rsidRPr="00D11245">
        <w:rPr>
          <w:rFonts w:ascii="Calibri" w:hAnsi="Calibri" w:cs="Calibri"/>
          <w:color w:val="000000" w:themeColor="text1"/>
          <w:sz w:val="24"/>
          <w:szCs w:val="24"/>
        </w:rPr>
        <w:t xml:space="preserve"> </w:t>
      </w:r>
      <w:r w:rsidR="0097725F" w:rsidRPr="00D11245">
        <w:rPr>
          <w:rFonts w:ascii="Calibri" w:hAnsi="Calibri" w:cs="Calibri"/>
          <w:color w:val="000000" w:themeColor="text1"/>
          <w:sz w:val="24"/>
          <w:szCs w:val="24"/>
        </w:rPr>
        <w:fldChar w:fldCharType="begin"/>
      </w:r>
      <w:r w:rsidR="009C3E63" w:rsidRPr="00D11245">
        <w:rPr>
          <w:rFonts w:ascii="Calibri" w:hAnsi="Calibri" w:cs="Calibri"/>
          <w:color w:val="000000" w:themeColor="text1"/>
          <w:sz w:val="24"/>
          <w:szCs w:val="24"/>
        </w:rPr>
        <w:instrText xml:space="preserve"> ADDIN ZOTERO_ITEM CSL_CITATION {"citationID":"vwJrqbsz","properties":{"formattedCitation":"\\super 94\\nosupersub{}","plainCitation":"94","noteIndex":0},"citationItems":[{"id":16729,"uris":["http://zotero.org/groups/2497994/items/35K2QSIN"],"itemData":{"id":16729,"type":"article-journal","container-title":"International Journal of Surgery Case Reports","DOI":"10.1016/j.ijscr.2023.108656","ISSN":"22102612","journalAbbreviation":"International Journal of Surgery Case Reports","language":"en","page":"108656","source":"DOI.org (Crossref)","title":"Amoeboma of the gallbladder mimicking a cholangiocarcinoma: A case report","title-short":"Amoeboma of the gallbladder mimicking a cholangiocarcinoma","volume":"110","author":[{"family":"Ouadi","given":"Yacine"},{"family":"Hammami","given":"Mahdi"},{"family":"Frikha","given":"Wassim"},{"family":"Kamoun","given":"Heifa"},{"family":"Fterich","given":"Fadhel"},{"family":"Kacem","given":"Montasser Jameleddine"}],"issued":{"date-parts":[["2023",9]]}}}],"schema":"https://github.com/citation-style-language/schema/raw/master/csl-citation.json"} </w:instrText>
      </w:r>
      <w:r w:rsidR="0097725F" w:rsidRPr="00D11245">
        <w:rPr>
          <w:rFonts w:ascii="Calibri" w:hAnsi="Calibri" w:cs="Calibri"/>
          <w:color w:val="000000" w:themeColor="text1"/>
          <w:sz w:val="24"/>
          <w:szCs w:val="24"/>
        </w:rPr>
        <w:fldChar w:fldCharType="separate"/>
      </w:r>
      <w:r w:rsidR="009C3E63" w:rsidRPr="00D11245">
        <w:rPr>
          <w:rFonts w:ascii="Calibri" w:hAnsi="Calibri" w:cs="Calibri"/>
          <w:color w:val="000000" w:themeColor="text1"/>
          <w:kern w:val="0"/>
          <w:sz w:val="24"/>
          <w:vertAlign w:val="superscript"/>
        </w:rPr>
        <w:t>94</w:t>
      </w:r>
      <w:r w:rsidR="0097725F" w:rsidRPr="00D11245">
        <w:rPr>
          <w:rFonts w:ascii="Calibri" w:hAnsi="Calibri" w:cs="Calibri"/>
          <w:color w:val="000000" w:themeColor="text1"/>
          <w:sz w:val="24"/>
          <w:szCs w:val="24"/>
        </w:rPr>
        <w:fldChar w:fldCharType="end"/>
      </w:r>
      <w:r w:rsidR="00EE1A52" w:rsidRPr="00D11245">
        <w:rPr>
          <w:rFonts w:ascii="Calibri" w:hAnsi="Calibri" w:cs="Calibri"/>
          <w:color w:val="000000" w:themeColor="text1"/>
          <w:sz w:val="24"/>
          <w:szCs w:val="24"/>
        </w:rPr>
        <w:t xml:space="preserve">, </w:t>
      </w:r>
      <w:r w:rsidRPr="00D11245">
        <w:rPr>
          <w:rFonts w:ascii="Calibri" w:hAnsi="Calibri" w:cs="Calibri"/>
          <w:color w:val="000000" w:themeColor="text1"/>
          <w:sz w:val="24"/>
          <w:szCs w:val="24"/>
        </w:rPr>
        <w:t xml:space="preserve">perianal ulceration/fistulation </w:t>
      </w:r>
      <w:r w:rsidR="0097725F" w:rsidRPr="00D11245">
        <w:rPr>
          <w:rFonts w:ascii="Calibri" w:hAnsi="Calibri" w:cs="Calibri"/>
          <w:color w:val="000000" w:themeColor="text1"/>
          <w:sz w:val="24"/>
          <w:szCs w:val="24"/>
          <w:highlight w:val="yellow"/>
        </w:rPr>
        <w:fldChar w:fldCharType="begin"/>
      </w:r>
      <w:r w:rsidR="009C3E63" w:rsidRPr="00D11245">
        <w:rPr>
          <w:rFonts w:ascii="Calibri" w:hAnsi="Calibri" w:cs="Calibri"/>
          <w:color w:val="000000" w:themeColor="text1"/>
          <w:sz w:val="24"/>
          <w:szCs w:val="24"/>
          <w:highlight w:val="yellow"/>
        </w:rPr>
        <w:instrText xml:space="preserve"> ADDIN ZOTERO_ITEM CSL_CITATION {"citationID":"V5p3j0lS","properties":{"formattedCitation":"\\super 30,95,96\\nosupersub{}","plainCitation":"30,95,96","noteIndex":0},"citationItems":[{"id":1241,"uris":["http://zotero.org/groups/2497994/items/YNH7QVVR",["http://zotero.org/groups/2497994/items/YNH7QVVR"]],"itemData":{"id":1241,"type":"article-journal","container-title":"JAAD Case Reports","DOI":"10.1016/j.jdcr.2017.07.020","ISSN":"2352-5126 (electronic)","issue":"6","journalAbbreviation":"JAAD Case Rep.","language":"English","note":"publisher-place: United States\npublisher: Elsevier Inc","page":"553-555","title":"Massive perianal ulceration: Entamoeba histolytica and Candida albicans co-infection","volume":"3","author":[{"literal":"Davis M.J."},{"literal":"Templeton S.F."},{"literal":"Dickensheets D.L."},{"literal":"Gross A.S."}],"issued":{"date-parts":[["2017"]]}}},{"id":1579,"uris":["http://zotero.org/groups/2497994/items/QUFW6258",["http://zotero.org/groups/2497994/items/QUFW6258"]],"itemData":{"id":1579,"type":"article-journal","container-title":"Journal of Experimental and Clinical Medicine(Taiwan)","DOI":"10.1016/j.jecm.2013.10.004","ISSN":"1878-3317","issue":"6","journalAbbreviation":"J. Exp. Clin. Med.","language":"English","note":"publisher-place: Taiwan (Republic of China)\npublisher: Elsevier Taiwan LLC (96 Chung Shan North Road, Section 2, Taipei, Taiwan (Republic of China))","page":"237-238","title":"Perianal fistula caused by intestinal invasive amebiasis in a male patient with AIDS","volume":"5","author":[{"literal":"Takahashi T."},{"literal":"Iwamoto A."}],"issued":{"date-parts":[["2013"]]}}},{"id":493,"uris":["http://zotero.org/groups/2497994/items/5V427ZJR",["http://zotero.org/groups/2497994/items/5V427ZJR"]],"itemData":{"id":493,"type":"article-journal","abstract":"A 67-year-old gentleman underwent fistulectomy for low trans-sphincteric anal fistula along with curettage for an associated abscess extending proximally for half a centimeter into the intersphincteric plane. The roof of the cavity became clearly visible after satisfactory culmination of the surgical procedure. Histopathological examination of the fistulous tract and the curetted granulation tissue revealed presence of multiple trophozoites of Entamoeba histolytica exhibiting erythrophagocytosis in the background of mixed inflammatory infiltrate. This case report provides the outlook that yields the novel insight into the possible role of Entamoeba histolytica in the pathogenesis and persistence of the fistulous tract.","container-title":"Acta medica Indonesiana","ISSN":"0125-9326","issue":"2","journalAbbreviation":"Acta Med Indones","language":"English","note":"publisher-place: Indonesia","page":"131-133","title":"Amoebic anal fistula: new insight into an old disease","volume":"46","author":[{"literal":"Agrawal V."},{"literal":"Garg P.K."},{"literal":"Jain B.K."},{"literal":"Mishra K."},{"literal":"Mohanty D."}],"issued":{"date-parts":[["2014"]]}}}],"schema":"https://github.com/citation-style-language/schema/raw/master/csl-citation.json"} </w:instrText>
      </w:r>
      <w:r w:rsidR="0097725F" w:rsidRPr="00D11245">
        <w:rPr>
          <w:rFonts w:ascii="Calibri" w:hAnsi="Calibri" w:cs="Calibri"/>
          <w:color w:val="000000" w:themeColor="text1"/>
          <w:sz w:val="24"/>
          <w:szCs w:val="24"/>
          <w:highlight w:val="yellow"/>
        </w:rPr>
        <w:fldChar w:fldCharType="separate"/>
      </w:r>
      <w:r w:rsidR="009C3E63" w:rsidRPr="00D11245">
        <w:rPr>
          <w:rFonts w:ascii="Calibri" w:hAnsi="Calibri" w:cs="Calibri"/>
          <w:color w:val="000000" w:themeColor="text1"/>
          <w:kern w:val="0"/>
          <w:sz w:val="24"/>
          <w:vertAlign w:val="superscript"/>
        </w:rPr>
        <w:t>30,95,96</w:t>
      </w:r>
      <w:r w:rsidR="0097725F" w:rsidRPr="00D11245">
        <w:rPr>
          <w:rFonts w:ascii="Calibri" w:hAnsi="Calibri" w:cs="Calibri"/>
          <w:color w:val="000000" w:themeColor="text1"/>
          <w:sz w:val="24"/>
          <w:szCs w:val="24"/>
          <w:highlight w:val="yellow"/>
        </w:rPr>
        <w:fldChar w:fldCharType="end"/>
      </w:r>
      <w:r w:rsidRPr="00D11245">
        <w:rPr>
          <w:rFonts w:ascii="Calibri" w:hAnsi="Calibri" w:cs="Calibri"/>
          <w:color w:val="000000" w:themeColor="text1"/>
          <w:sz w:val="24"/>
          <w:szCs w:val="24"/>
        </w:rPr>
        <w:t xml:space="preserve">, enteric fistulae </w:t>
      </w:r>
      <w:r w:rsidR="0097725F" w:rsidRPr="00D11245">
        <w:rPr>
          <w:rFonts w:ascii="Calibri" w:hAnsi="Calibri" w:cs="Calibri"/>
          <w:color w:val="000000" w:themeColor="text1"/>
          <w:sz w:val="24"/>
          <w:szCs w:val="24"/>
          <w:highlight w:val="yellow"/>
        </w:rPr>
        <w:fldChar w:fldCharType="begin"/>
      </w:r>
      <w:r w:rsidR="009C3E63" w:rsidRPr="00D11245">
        <w:rPr>
          <w:rFonts w:ascii="Calibri" w:hAnsi="Calibri" w:cs="Calibri"/>
          <w:color w:val="000000" w:themeColor="text1"/>
          <w:sz w:val="24"/>
          <w:szCs w:val="24"/>
          <w:highlight w:val="yellow"/>
        </w:rPr>
        <w:instrText xml:space="preserve"> ADDIN ZOTERO_ITEM CSL_CITATION {"citationID":"KOHRIk2C","properties":{"formattedCitation":"\\super 95,97,98\\nosupersub{}","plainCitation":"95,97,98","noteIndex":0},"citationItems":[{"id":1579,"uris":["http://zotero.org/groups/2497994/items/QUFW6258",["http://zotero.org/groups/2497994/items/QUFW6258"]],"itemData":{"id":1579,"type":"article-journal","container-title":"Journal of Experimental and Clinical Medicine(Taiwan)","DOI":"10.1016/j.jecm.2013.10.004","ISSN":"1878-3317","issue":"6","journalAbbreviation":"J. Exp. Clin. Med.","language":"English","note":"publisher-place: Taiwan (Republic of China)\npublisher: Elsevier Taiwan LLC (96 Chung Shan North Road, Section 2, Taipei, Taiwan (Republic of China))","page":"237-238","title":"Perianal fistula caused by intestinal invasive amebiasis in a male patient with AIDS","volume":"5","author":[{"literal":"Takahashi T."},{"literal":"Iwamoto A."}],"issued":{"date-parts":[["2013"]]}}},{"id":1671,"uris":["http://zotero.org/groups/2497994/items/MNH2PWG9",["http://zotero.org/groups/2497994/items/MNH2PWG9"]],"itemData":{"id":1671,"type":"article-journal","abstract":"Here we present an interesting and extremely rare case of a 66 year old male who developed a colocutaneous fistula secondary to amoebiasis. The patient presented with an acute history of right lower abdominal pain, weight loss and a palpable mass. A CT scan demonstrated a fluid filled cavity in the right iliac fossa consistent with an appendiceal abscess which was drained under radiological guidance. However, following drainage his symptoms remained requiring open surgical drainage, and a controlled caecostomy was performed due to a small caecal perforation. Despite appropriate conservative therapy he failed to progress, and developed localised sepsis in the right iliac fossa with a colocutaneous fistula, requiring a formal right hemicolectomy. The histological examination confirmed the presence of abundant trophozoites of Entamoeba histolytica.","language":"en","title":"Colocutaneous fistula secondary to amoebiasis","URL":"http://www.ncbi.nlm.nih.gov/pmc/articles/PMC3199675","author":[{"family":"Jones","given":"Owain P."},{"family":"Murphy","given":"John A."},{"family":"Hamid","given":"Bushra N."},{"family":"Vimalachandran","given":"Dale"}],"issued":{"date-parts":[["2010"]]}}},{"id":757,"uris":["http://zotero.org/groups/2497994/items/DFXCKZXJ",["http://zotero.org/groups/2497994/items/DFXCKZXJ"]],"itemData":{"id":757,"type":"article-journal","abstract":"Click on the link to view.","language":"eng","note":"publisher: Health and Medical Publishing Group","title":"INTERNAL INTESTINAL FISTULAE CAUSED BY AMOEBIASIS","URL":"https://www.ajol.info/index.php/samj/article/view/177195","author":[{"family":"Dinner","given":"M"},{"literal":"JOUR"}],"issued":{"date-parts":[["2018"]]}}}],"schema":"https://github.com/citation-style-language/schema/raw/master/csl-citation.json"} </w:instrText>
      </w:r>
      <w:r w:rsidR="0097725F" w:rsidRPr="00D11245">
        <w:rPr>
          <w:rFonts w:ascii="Calibri" w:hAnsi="Calibri" w:cs="Calibri"/>
          <w:color w:val="000000" w:themeColor="text1"/>
          <w:sz w:val="24"/>
          <w:szCs w:val="24"/>
          <w:highlight w:val="yellow"/>
        </w:rPr>
        <w:fldChar w:fldCharType="separate"/>
      </w:r>
      <w:r w:rsidR="009C3E63" w:rsidRPr="00D11245">
        <w:rPr>
          <w:rFonts w:ascii="Calibri" w:hAnsi="Calibri" w:cs="Calibri"/>
          <w:color w:val="000000" w:themeColor="text1"/>
          <w:kern w:val="0"/>
          <w:sz w:val="24"/>
          <w:vertAlign w:val="superscript"/>
        </w:rPr>
        <w:t>95,97,98</w:t>
      </w:r>
      <w:r w:rsidR="0097725F" w:rsidRPr="00D11245">
        <w:rPr>
          <w:rFonts w:ascii="Calibri" w:hAnsi="Calibri" w:cs="Calibri"/>
          <w:color w:val="000000" w:themeColor="text1"/>
          <w:sz w:val="24"/>
          <w:szCs w:val="24"/>
          <w:highlight w:val="yellow"/>
        </w:rPr>
        <w:fldChar w:fldCharType="end"/>
      </w:r>
      <w:r w:rsidRPr="00D11245">
        <w:rPr>
          <w:rFonts w:ascii="Calibri" w:hAnsi="Calibri" w:cs="Calibri"/>
          <w:color w:val="000000" w:themeColor="text1"/>
          <w:sz w:val="24"/>
          <w:szCs w:val="24"/>
        </w:rPr>
        <w:t xml:space="preserve">, and infection residing within </w:t>
      </w:r>
      <w:r w:rsidR="0097725F" w:rsidRPr="00D11245">
        <w:rPr>
          <w:rFonts w:ascii="Calibri" w:hAnsi="Calibri" w:cs="Calibri"/>
          <w:color w:val="000000" w:themeColor="text1"/>
          <w:sz w:val="24"/>
          <w:szCs w:val="24"/>
        </w:rPr>
        <w:fldChar w:fldCharType="begin"/>
      </w:r>
      <w:r w:rsidR="009C3E63" w:rsidRPr="00D11245">
        <w:rPr>
          <w:rFonts w:ascii="Calibri" w:hAnsi="Calibri" w:cs="Calibri"/>
          <w:color w:val="000000" w:themeColor="text1"/>
          <w:sz w:val="24"/>
          <w:szCs w:val="24"/>
        </w:rPr>
        <w:instrText xml:space="preserve"> ADDIN ZOTERO_ITEM CSL_CITATION {"citationID":"1Dcvcv4F","properties":{"formattedCitation":"\\super 56,75,89,99\\uc0\\u8211{}101\\nosupersub{}","plainCitation":"56,75,89,99–101","noteIndex":0},"citationItems":[{"id":2868,"uris":["http://zotero.org/groups/2497994/items/UJ3F9SZ5",["http://zotero.org/groups/2497994/items/UJ3F9SZ5"]],"itemData":{"id":2868,"type":"article-journal","abstract":"Invasive amebiasis is common worldwide, but infrequently observed in the United States. It is associated with considerable morbidity in patients residing in or traveling to endemic areas. We review the clinical and endoscopic manifestations of amebic colitis to alert physicians to the varied clinical manifestations of this potentially life-threatening disease. Copyright ©Most patients present with watery or bloody diarrhea. Less common presentations of amebic colitis include abdominal pain, overt gastrointestinal bleeding, exacerbation of inflammatory bowel disease, or the incidental association with colon cancer. Amebic liver abscesses are the most frequent complication. Rectosigmoid involvement may be found on colonoscopy; however, most case series have reported that the cecum is the most commonly involved site, followed by the ascending colon. Endoscopic evaluation should be used to assist in the diagnosis, with attention to the observation of colonic inflammation, ulceration, and amebic trophozoites on histopathological examination.","archive":"Pubmed","container-title":"Southern medical journal","DOI":"10.14423/SMJ.0000000000000370","ISSN":"0038-4348","issue":"11","page":"676-81","title":"Varied Clinical Manifestations of Amebic Colitis.","volume":"108","author":[{"family":"Cooper","given":"Chad J"},{"family":"Fleming","given":"Rhonda"},{"family":"Boman","given":"Darius A"},{"family":"Zuckerman","given":"Marc J"}],"issued":{"date-parts":[["2015",11,1]]}}},{"id":2217,"uris":["http://zotero.org/groups/2497994/items/4XHPIC7L",["http://zotero.org/groups/2497994/items/4XHPIC7L"]],"itemData":{"id":2217,"type":"article-journal","abstract":"Entamoeba histolytica has been rarely reported as superadded infection over carcinomatous growth on rectal brushings. We present a case of 68-year-old male who presented with abdominal pain and bleeding per rectum who was found to have an ulceroproliferative growth on sigmoidoscopy. Rectal brushings revealed coexistence of E. histolytica with malignant cells of adenocarcinoma. No organism was detected on biopsy of the tumor, which also showed adenocarcinoma, because of possible surface colonization of the tumor by Entamoeba. This case highlights the role of rectal brushings in detecting superadded infection in a case where both brushings and biopsy were performed. It is always important to report infection superadded on malignancies for optimum management of the patients.","container-title":"Journal of Laboratory Physicians","DOI":"10.4103/JLP.JLP_129_17","ISSN":"0974-2727","issue":"2","note":"WOS:000434843400025","page":"251-254","title":"Entamoeba histolytica: A surprising coexistence with adenocarcinoma - Never brush aside brushings for biopsy","volume":"10","author":[{"family":"Goel","given":"Palvi"},{"family":"Tyagi","given":"Ruchita"},{"family":"Kaur","given":"Gursheen"},{"family":"Garg","given":"Bhavna"},{"family":"Selhi","given":"Pavneet Kaur"},{"family":"Kaur","given":"Harpreet"},{"family":"Mehta","given":"Varun"},{"family":"Sood","given":"Neena"}],"issued":{"date-parts":[["2018",6]]}}},{"id":1522,"uris":["http://zotero.org/groups/2497994/items/MFC58553",["http://zotero.org/groups/2497994/items/MFC58553"]],"itemData":{"id":1522,"type":"article-journal","abstract":"INTRODUCTION Outside of these high-risk regions, acute amebic appendicitis is considerably rarer and the mortality rate is much higher than with non-amebic appendicitis. PRESENTATION OF CASE A 31-year-old woman presented with fever and right lower abdominal pain with no history of traveling abroad or sexual infection. Computed tomography revealed a dilated appendix and thickened cecal and ascending colon walls. She underwent an appendectomy for appendicitis. Owing to a lack of symptom resolution, we performed a pathologic examination of the appendix again that revealed multiple Entamoeba histolytica trophozoites; the serum amebic antibody was positive. She was treated postoperatively with metronidazole for amebiasis and discharged on postoperative day 12. DISCUSSION The mortality rate and frequency of severe postoperative intraabdominal complications were higher in the Japanese literature (1995-2013) (25% and 33%, respectively) than in other developed countries (3.3% and 19.4%, respectively). Japan is a low-risk area for amebiasis; many physicians fail to consider amebiasis in the differential diagnosis of acute abdomen. It is important to conduct further examinations, including those for amebiasis, when appendectomy does not resolve acute appendicitis. CONCLUSION We report a case of acute amebic appendicitis in a 31-year-old woman and review the ages at presentation, causative factors, treatments, and outcomes of 11 cases reported in Japan between 1995 and 2013.Copyright © 2014 The Authors. Published by Elsevier Ltd.","container-title":"International Journal of Surgery Case Reports","DOI":"10.1016/j.ijscr.2014.10.035","ISSN":"2210-2612","issue":"12","journalAbbreviation":"Int. J. Surg. Case Rep.","language":"English","note":"publisher-place: United Kingdom\npublisher: Elsevier Ltd","page":"1054-1057","title":"Amebiasis presenting as acute appendicitis: Report of a case and review of Japanese literature","volume":"5","author":[{"literal":"Ito D."},{"literal":"Hata S."},{"literal":"Seiichiro S."},{"literal":"Kobayashi K."},{"literal":"Teruya M."},{"literal":"Kaminishi M."}],"issued":{"date-parts":[["2014"]]}}},{"id":545,"uris":["http://zotero.org/groups/2497994/items/RI3VIPVJ",["http://zotero.org/groups/2497994/items/RI3VIPVJ"]],"itemData":{"id":545,"type":"article-journal","abstract":"Colonic ameboma is a rare inflammatory pseudo-tumor of the colon that can mimic cancer development. This case was located in the cecum and appeared malignant from a macroscopic view. Accordingly a right hemicolectomy was performed, followed by an end-to-side ileocolic anastomosis. The pathology study enabled us to correct the diagnosis and affirm its amebic origin.","archive":"Pubmed","container-title":"Medecine et sante tropicales","DOI":"10.1684/mst.2013.0186","ISSN":"2261-3684","issue":"3","page":"274-5","title":"[Colonic amoebiasis simulating a cecal tumor: case report].","volume":"23","author":[{"family":"Ayari","given":"H"},{"family":"Rebii","given":"S"},{"family":"Ghariani","given":"W"},{"family":"Daghfous","given":"A"},{"family":"Hasni","given":"R"},{"family":"Rehaiem","given":"R"},{"family":"Rezgui-Marhoul","given":"L"},{"family":"Zoghlami","given":"A"}],"issued":{"date-parts":[["2013",1,1]]}}},{"id":2006,"uris":["http://zotero.org/groups/2497994/items/7F2A8SRT",["http://zotero.org/groups/2497994/items/7F2A8SRT"]],"itemData":{"id":2006,"type":"article-journal","abstract":"Amebiasis is uncommon in developed countries. Several case reports in the literature emphasize that both the presenting symptoms and the radiological findings of colonic amebiasis closely resemble more common conditions, such as idiopathic inflammatory bowel disease and gastro-intestinal malignancy. We describe a unique case of colonic amebiasis (amebomas) coexisting with signet-ring cell carcinoma of the ileocecal valve, the cecum and the appendix. Endoscopically, the ulcerated tumor was indistinguishable from the ulcerations and pseudotumors (amebomas) detected in the ascending colon. Histological examination of biopsy specimens revealed the pathognomonic features of protozoa with ingested erythrocytes in combination with signet-ring cell infiltration. The author concludes that amebiasis may not only mimic carcinoma but, rarely, may coexist with carcinoma in the same patient. Clinicians and pathologists should be aware of this possibility in order not to delay diagnosis and treatment of malignant disease. PMID:27688666","archive":"PubMed Central","container-title":"World Journal of Gastroenterology","DOI":"10.3748/wjg.v22.i36.8234","ISSN":"1007-9327","issue":"36","page":"8234-8234","title":"Diagnosis of colonic amebiasis and coexisting signet-ring cell carcinoma in intestinal biopsy","volume":"22","author":[{"family":"Grosse","given":"Alexandra"}],"issued":{"date-parts":[["2016",9,28]]}}},{"id":772,"uris":["http://zotero.org/groups/2497994/items/JC6AHM2K",["http://zotero.org/groups/2497994/items/JC6AHM2K"]],"itemData":{"id":772,"type":"article-journal","abstract":"Entamoeba histolytica infections of the gastrointestinal tract are common in the developing world. Only two isolated cases of colonic amoebiasis with colon carcinoma have been described in literature. Here, we describe unique series of four cases showing coexistence of Entamoeba trophozoites with colon cancer. The organisms were demonstrated by Periodic acid Schiff (PAS) stain, which highlighted the trophozoites. Three of the patients were treated with metronidazole and two underwent subsequent resection and adjuvant chemoradiotherapy. Importance of diagnosing coinfection lies in view of immunocompromised state of the cancer patients, most of whom also receive adjuvant chemotherapy and radiotherapy. In such a scenario, if Entamoeba coinfection is not treated, it may lead to complications such as spread of organisms to the brain, liver, lungs and pericardium. The series emphasizes that a high index of suspicion for co-existing parasites is needed in colon cancers, especially in endemic countries.","language":"eng","note":"publisher: Advanced Research Publications","title":"Entamoeba Histolytica Infesting Colonic Malignancy: First Series of Four Cases","URL":"https://medical.adrpublications.in/index.php/Journal-Pathology-LabMeds/article/view/1763","author":[{"family":"Gupta","given":"Priyanka"},{"family":"Sahay","given":"Ayushi"},{"family":"Ramadwar","given":"Mukta"},{"family":"Saklani","given":"Avanish"}],"issued":{"date-parts":[["2018"]]}}}],"schema":"https://github.com/citation-style-language/schema/raw/master/csl-citation.json"} </w:instrText>
      </w:r>
      <w:r w:rsidR="0097725F" w:rsidRPr="00D11245">
        <w:rPr>
          <w:rFonts w:ascii="Calibri" w:hAnsi="Calibri" w:cs="Calibri"/>
          <w:color w:val="000000" w:themeColor="text1"/>
          <w:sz w:val="24"/>
          <w:szCs w:val="24"/>
        </w:rPr>
        <w:fldChar w:fldCharType="separate"/>
      </w:r>
      <w:r w:rsidR="009C3E63" w:rsidRPr="00D11245">
        <w:rPr>
          <w:rFonts w:ascii="Calibri" w:hAnsi="Calibri" w:cs="Calibri"/>
          <w:color w:val="000000" w:themeColor="text1"/>
          <w:kern w:val="0"/>
          <w:sz w:val="24"/>
          <w:vertAlign w:val="superscript"/>
        </w:rPr>
        <w:t>56,75,89,99–101</w:t>
      </w:r>
      <w:r w:rsidR="0097725F" w:rsidRPr="00D11245">
        <w:rPr>
          <w:rFonts w:ascii="Calibri" w:hAnsi="Calibri" w:cs="Calibri"/>
          <w:color w:val="000000" w:themeColor="text1"/>
          <w:sz w:val="24"/>
          <w:szCs w:val="24"/>
        </w:rPr>
        <w:fldChar w:fldCharType="end"/>
      </w:r>
      <w:r w:rsidRPr="00D11245">
        <w:rPr>
          <w:rFonts w:ascii="Calibri" w:hAnsi="Calibri" w:cs="Calibri"/>
          <w:color w:val="000000" w:themeColor="text1"/>
          <w:sz w:val="24"/>
          <w:szCs w:val="24"/>
        </w:rPr>
        <w:t xml:space="preserve"> or appearances mimicking colorectal adenocarcinoma </w:t>
      </w:r>
      <w:r w:rsidR="0097725F" w:rsidRPr="00D11245">
        <w:rPr>
          <w:rFonts w:ascii="Calibri" w:hAnsi="Calibri" w:cs="Calibri"/>
          <w:color w:val="000000" w:themeColor="text1"/>
          <w:sz w:val="24"/>
          <w:szCs w:val="24"/>
          <w:highlight w:val="yellow"/>
        </w:rPr>
        <w:fldChar w:fldCharType="begin"/>
      </w:r>
      <w:r w:rsidR="009C3E63" w:rsidRPr="00D11245">
        <w:rPr>
          <w:rFonts w:ascii="Calibri" w:hAnsi="Calibri" w:cs="Calibri"/>
          <w:color w:val="000000" w:themeColor="text1"/>
          <w:sz w:val="24"/>
          <w:szCs w:val="24"/>
          <w:highlight w:val="yellow"/>
        </w:rPr>
        <w:instrText xml:space="preserve"> ADDIN ZOTERO_ITEM CSL_CITATION {"citationID":"MM0qk1QP","properties":{"formattedCitation":"\\super 33,57,76,102\\uc0\\u8211{}109\\nosupersub{}","plainCitation":"33,57,76,102–109","noteIndex":0},"citationItems":[{"id":274,"uris":["http://zotero.org/groups/2497994/items/KR6GIRTU",["http://zotero.org/groups/2497994/items/KR6GIRTU"]],"itemData":{"id":274,"type":"article-journal","abstract":"Introduction: Entamoeba histolytica is a well-known cause of infectious colitis, it has a worldwide distribution. Presentation ranges from mild diarrhea to occasionally frank dysentery and may spread to involve extra intestinal sites such as the liver, lung, and other organs, in the form of amebic abscesses. Case presentation: Herein, we report a case of amebic pseudotumor wherein the diagnosis was revealed after 2 months of diarrhea. Discussion(s): Colonic amebiasis, may rarely form a segmental mass called amebic pseudotumor in patient untreated or inadequately treated during the course of proven amebic colitis. Due to the rarity of colonic amoebic pseudo tumor it is usually discovered incidentally during surgical interventions. However if discovered earlier it responds well to medical treatment and usually resolves within few weeks. Conclusion(s): So surgical intervention is reserved for complications of this entity manifested by fulminant colitis or colonic perforation.Copyright © 2019 The Authors","container-title":"International Journal of Surgery Case Reports","DOI":"10.1016/j.ijscr.2019.04.046","ISSN":"2210-2612","issue":"(Chahine, Baghdady, EL Kary, El Khoury, Chouillard, Chouillard) Department of Minimally Invasive Surgery, Poissy Saint Germain Medical Center, Poissy, France","journalAbbreviation":"Int. J. Surg. Case Rep.","language":"English","note":"publisher-place: United Kingdom\npublisher: Elsevier Ltd","page":"1-3","title":"Complete resolution of obstructive colonic amebic pseudotumor with conservative treatment: A case report and literature review","volume":"59","author":[{"literal":"Chahine E."},{"literal":"Baghdady R."},{"literal":"Chahine C."},{"literal":"Doghman G."},{"literal":"EL Kary N."},{"literal":"El Khoury L."},{"literal":"Safa K."},{"literal":"Chouillard M.-A."},{"literal":"Chouillard E."}],"issued":{"date-parts":[["2019"]]}}},{"id":500,"uris":["http://zotero.org/groups/2497994/items/N6ZDBPSJ",["http://zotero.org/groups/2497994/items/N6ZDBPSJ"]],"itemData":{"id":500,"type":"article-journal","abstract":"A 50-year-old patient was admitted to our department after developing severe abdominal cramps, watery diarrhea and fever, during four days whilst travelling abroad. Imaging identified a mass in the ascending colon with simultaneous liver lesions. Initially a diagnosis of metastatic colorectal cancer was suggested, however colonoscopy showed a large lesion with a central ulcer and surrounding inflammation in the ascending colon. Biopsies confirmed our clinical suspicion of amoebic colitis, complicated by development of an amoeboma and simultaneous liver abscesses. Amoeboma formation is a rare complication of amoebiasis, however a simultaneous presentation with liver abscesses, amoebic colitis and an amoeboma might even be less frequent. Despite its rarity physicians should maintain a high index of suspicion of patients presenting with synchronous liver and colon lesions, especially as travel to endemic areas has increased.Copyright © 2019, Universa Press. All rights reserved.","container-title":"Acta Gastro-Enterologica Belgica","ISSN":"1784-3227","issue":"4","journalAbbreviation":"Acta Gastro-Enterol. Belg.","language":"English","note":"publisher-place: Belgium\npublisher: Universa Press (E-mail: deprez@gaen.ucl.ac.be)","page":"539-541","title":"A case of amoebic colitis with amoeboma and simultaneous liver abscesses. A diagnosis by colonoscopy","volume":"82","author":[{"literal":"Bronswijk M."},{"literal":"Van Gool S."}],"issued":{"date-parts":[["2019"]]}}},{"id":2831,"uris":["http://zotero.org/groups/2497994/items/T7N6CKHE",["http://zotero.org/groups/2497994/items/T7N6CKHE"]],"itemData":{"id":2831,"type":"article-journal","abstract":"This case report of a patient who immigrated\nfrom an endemic region on\nimmunosuppressive therapy with the\nsurprising finding of ameboma illustrates\nthe need to consider it in the differential\ndiagnosis of colonic masses in the appropriate\nclinical context.","container-title":"American Journal of Gastroenterology","DOI":"10.1038/s41395-018-0363-6","ISSN":"0002-9270","issue":"1","journalAbbreviation":"Am. J. Gastroenterol.","language":"English","note":"publisher-place: United Kingdom\npublisher: Wolters Kluwer Health (E-mail: michael.richards@wolterskluwer.com)","page":"180-181","title":"An Unexpected Colonic Mass","volume":"114","author":[{"literal":"Li A.A."},{"literal":"Cholankeril G."},{"literal":"Berry G.J."},{"literal":"Fernandez-Becker N."}],"issued":{"date-parts":[["2019"]]}}},{"id":1449,"uris":["http://zotero.org/groups/2497994/items/HWMZKPSJ",["http://zotero.org/groups/2497994/items/HWMZKPSJ"]],"itemData":{"id":1449,"type":"article-journal","abstract":"Introduction: Amoebiasis is the third most frequent cause of mortality after malaria and schistosomiasis. In developed countries, amebiasis is also seen in migrants who have travelled to endemic areas. The factors responsible for its progression from intestinal amebiasis to an amebic liver abscess are not fully understood. Case presentation: A 54-year-old man presented with abdominal pain, fever and diarrhoea. Laparotomy confirmed an inflammatory mass involving the right colon, and he underwent a right hemicolectomy. He later developed abdominal distenstion due to an amoebic liver abscess and died from secondary nosocomial bacterial infection and surgical complications. Conclusion(s): Amoeboma is an uncommon manifestation of amoebiasis, and can mimic both carcinoma and inflammatory bowel disease; so, distinguishing between these two conditions is the key to providing appropriate therapy. Hepatic amoebiasis is the most common extraintestinal disease of invasive amoebiasis. This clinical report presents a case of an uncommon parasitic disease in Saudi Arabia and discusses the difficulties encountered while attempting to establish the correct diagnosis. Hence, a high index of suspicion is crucial for diagnosing Entamoeba histolytica to avoid unnecessary surgery and further complications.Copyright © 2016 The Authors.","container-title":"JMM Case Reports","DOI":"10.1099/jmmcr.0.005032","ISSN":"2053-3721 (electronic)","issue":"3","journalAbbreviation":"JMM Case Rep.","language":"English","note":"publisher-place: United Kingdom\npublisher: Microbiology Society","title":"Amoeboma in a Saudi resident: A case report","URL":"http://www.microbiologyresearch.org/docserver/fulltext/jmmcr/3/3/jmmcr005032.pdf?expires=1473236607&amp;id=id&amp;accname=guest&amp;checksum=A132273F7E5840548139A3B5AD8942FB","volume":"3","author":[{"literal":"Al Rehily S."},{"literal":"Kaki R."},{"literal":"Al Ghamdi F."},{"literal":"El-Hossary D."}],"issued":{"date-parts":[["2016"]]}}},{"id":881,"uris":["http://zotero.org/groups/2497994/items/724E62EQ",["http://zotero.org/groups/2497994/items/724E62EQ"]],"itemData":{"id":881,"type":"article-journal","abstract":"Entamoeba histolytica is a major cause of diarrhea in the developing countries and it can present with a wide range of gastrointestinal symptoms depending on the phase of the infection. We describe a case of 65-year-old male patient presented with abdominal pain and vomiting. On the clinical and radiological examination provisional diagnosis of colonic carcinoma was suspected. After resection of perforated caecal growth, histopathological sections showed numerous trophozoites of E. histolytica in a background of abundant necrosis. This case revealed differentiation between amoeboma and carcinoma is critical.","container-title":"Tropical parasitology","DOI":"10.4103/2229-5070.138542","ISSN":"2229-5070","issue":"2","journalAbbreviation":"Trop. parasitol.","note":"publisher-place: India\nSaha, Kaushik. Department of Pathology, Murshidabad Medical College and Hospital, Berhampore, Murshidabad, West Bengal, India.\nSengupta, Moumita. Department of Pathology, Institute of Post Graduate Medical Education and Research, Kolkata, West Bengal, India.\nMitra, Sumit. Department of Pathology, Institute of Post Graduate Medical Education and Research, Kolkata, West Bengal, India.\nRay, Suchandra. Department of Pathology, Institute of Post Graduate Medical Education and Research, Kolkata, West Bengal, India.","page":"122-4","title":"Amoeboma of colon mimicking colonic carcinoma.","volume":"4","author":[{"family":"Saha","given":"Kaushik"},{"family":"Sengupta","given":"Moumita"},{"family":"Mitra","given":"Sumit"},{"family":"Ray","given":"Suchandra"}],"issued":{"date-parts":[["2014"]]}}},{"id":1447,"uris":["http://zotero.org/groups/2497994/items/IM4P5KDB",["http://zotero.org/groups/2497994/items/IM4P5KDB"]],"itemData":{"id":1447,"type":"article-journal","abstract":"Amoeboma is a rare manifestation of intestinal amoebiasis. More than 90% of patients with intestinal amoebiasis have a history of diarrhoea. This report describes the case of a 60-year-old patient who presented with a right iliac fossa (RIF) mass with normal bowel habits and was eventually diagnosed with an amoeboma. In developing countries, a traditional differential diagnosis for an RIF mass is an amoeboma, but its incidence is declining. Hence this treatable condition is often overlooked in the differential diagnosis of an RIF mass. This case report emphasises that amoeboma still exists and should be considered in a patient with an RIF mass. Figure wall Copyright 2014 BMJ Publishing Group. All rights reserved.","container-title":"BMJ Case Reports","DOI":"10.1136/bcr-2013-202616","ISSN":"1757-790X (electronic)","issue":"(Boopathy, Alexander) Department of Gastroenterology, Pondicherry Institute of Medical Sciences, Pondicherry, India","journalAbbreviation":"BMJ Case Rep.","language":"English","note":"publisher-place: United Kingdom\npublisher: BMJ Publishing Group (E-mail: subscriptions@bmjgroup.com)","title":"Amoeboma: Resurfacing of a vanishing illness","URL":"http://casereports.bmj.com/content/2014/bcr-2013-202616.full.pdf+html?sid=a7a7c4ee-ca93-430c-a609-be06e055e134","author":[{"literal":"Boopathy V."},{"literal":"Alexander T."},{"literal":"Balasubramanian P."},{"literal":"Phansalkar M."}],"issued":{"date-parts":[["2014"]]}}},{"id":866,"uris":["http://zotero.org/groups/2497994/items/RNHGGTW8",["http://zotero.org/groups/2497994/items/RNHGGTW8"]],"itemData":{"id":866,"type":"article-journal","abstract":"Intestinal Entamoeba Histolytica infection in the UK is rare but it can lead to colitis, abscess formation, colonic perforation and rarely amoeboma. Although most patients are asymptomatic, it can present with a wide range of gastrointestinal symptoms depending on the phase of the infection. We present a case of amoebic colitis that caused diagnostic uncertainty by mimicking a colonic carcinoma. Copyright © JSCR.","container-title":"Journal of surgical case reports","DOI":"10.1093/jscr/2011.11.1","ISSN":"2042-8812","issue":"11","journalAbbreviation":"J. surg. case rep.","note":"publisher-place: England\nSinharay, R. Queen Elizabeth II Hospital, Welwyn Garden City, UK.\nAtkin, Gk. Queen Elizabeth II Hospital, Welwyn Garden City, UK.\nMohamid, W. Queen Elizabeth II Hospital, Welwyn Garden City, UK.\nReay-Jones, N. Queen Elizabeth II Hospital, Welwyn Garden City, UK.","page":"1","title":"Caecal amoebic colitis mimicking a colorectal cancer.","volume":"2011","author":[{"family":"Sinharay","given":"R"},{"family":"Atkin","given":"Gk"},{"family":"Mohamid","given":"W"},{"family":"Reay-Jones","given":"N"}],"issued":{"date-parts":[["2011"]]}}},{"id":1422,"uris":["http://zotero.org/groups/2497994/items/BVSXQLMM",["http://zotero.org/groups/2497994/items/BVSXQLMM"]],"itemData":{"id":1422,"type":"article-journal","abstract":"Amebic colitis is common in tropics, usually presenting with variable and non-specific symptoms. Amebomas occur rarely, usually in cecum and ascending colon, when they can masquerade as colon carcinoma. This report describes the case of a 27-year-old male who presented with right abdominal mass. Radiological examination prompted us to the differential diagnosis of ameboma and he was treated with metronidazole and broad-spectrum antibiotics for two weeks. Amebic colitis should be considered as a possible diagnosis when dealing with right-sided abdominal mass. © 2010 Anuj Mishra et al.","container-title":"Libyan Journal of Medicine","DOI":"10.3402/ljm.v5i0.4630","ISSN":"1993-2820","issue":"1","journalAbbreviation":"Libyan J. Med.","language":"English","note":"publisher-place: Libyan Arab Jamahiriya\npublisher: Co-Action Publishing (Haeggebyholmsvaegen 5, Haeggeby 74694, Sweden)","page":"1-3","title":"Right abdominal mass: Keep an open mind","volume":"5","author":[{"literal":"Mishra A."},{"literal":"Azzabi M."},{"literal":"Hamadto M."},{"literal":"Mishra J."},{"literal":"Bugren S."},{"literal":"Hresha W."},{"literal":"Addalla S."},{"literal":"Ehtuish E.F."}],"issued":{"date-parts":[["2010"]]}}},{"id":1411,"uris":["http://zotero.org/groups/2497994/items/PRHNAIDD",["http://zotero.org/groups/2497994/items/PRHNAIDD"]],"itemData":{"id":1411,"type":"article-journal","container-title":"Journal of Infection and Public Health","DOI":"10.1016/j.jiph.2015.10.014","ISSN":"1876-0341","issue":"3","journalAbbreviation":"J. Infect. Public Health","language":"English","note":"publisher-place: United Kingdom\npublisher: Elsevier Ltd","page":"356-357","title":"Simultaneous occurrence of amoebic liver abscess and cecal ameboma","volume":"9","author":[{"literal":"Rodrigues G."}],"issued":{"date-parts":[["2016"]]}}},{"id":2631,"uris":["http://zotero.org/groups/2497994/items/5726K8E8",["http://zotero.org/groups/2497994/items/5726K8E8"]],"itemData":{"id":2631,"type":"article-journal","container-title":"Journal of clinical oncology : official journal of the American Society of Clinical Oncology","DOI":"10.1200/JCO.2011.36.1238","ISSN":"1527-7755","issue":"31","journalAbbreviation":"J Clin Oncol","note":"publisher-place: United States\nTakashima, Mari. Sumitomo Hospital, Osaka, Japan.","page":"e769-71","title":"Synchronous tumor with diffuse large B-cell lymphoma and ameboma.","volume":"29","author":[{"family":"Takashima","given":"Mari"},{"family":"Kakimoto","given":"Tsunayuki"},{"family":"Saito","given":"Hideaki"},{"family":"Misaki","given":"Sayaka"},{"family":"Onishi","given":"Yoshiki"},{"family":"Kasugai","given":"Tsutomu"},{"family":"Akuta","given":"Keigo"},{"family":"Kasahara","given":"Hidenori"},{"family":"Yamamoto","given":"Kazutaka"},{"family":"Doi","given":"Yukiko"},{"family":"Ujiie","given":"Hidetoshi"},{"family":"Sugahara","given":"Hiroyuki"},{"family":"Hoshida","given":"Yoshihiko"},{"family":"Sakoda","given":"Hiroto"}],"issued":{"date-parts":[["2011"]]}}},{"id":1138,"uris":["http://zotero.org/groups/2497994/items/WPF684TS",["http://zotero.org/groups/2497994/items/WPF684TS"]],"itemData":{"id":1138,"type":"article-journal","abstract":"We report a rare case of huge amebic intra-abdominal tumor with asymptomatic amebic colitis. This appears to represent the first report of amebic intra-abdominal tumor. A 31-year-old woman presented to a local doctor with only a sensation of abdominal fullness. Abdominal computed tomography (CT) showed a huge intra-abdominal tumor in the left abdominal cavity, and she was referred to our hospital. Colonofiberscopy for detailed examination showed multiple slight, discrete ulcers in the cecum. Ameboid trophozoites were identified from biopsy specimens, and asymptomatic amebic colitis was diagnosed. Oral metronidazole (MTZ) was administered at 1500 mg/day for 10 days. CT 14 days after starting MTZ showed no change in the intra-abdominal tumor, and resection of the tumor was therefore performed. Pathological examination revealed Entamoeba histolytica with engulfed erythrocytes complicated by hemorrhagic cyst. If an intra-abdominal tumor is present and colitis is observed, amebic intra-abdominal tumor should be considered among the differential diagnoses.","container-title":"Surgical case reports","DOI":"10.1186/s40792-015-0053-1","ISSN":"2198-7793","issue":"1","journalAbbreviation":"Surg Case Rep","note":"publisher-place: Germany\nHigami, Shigeo. Department of Emergency and Critical Care, Tokai University Hachioji Hospital, 1838 Ishikawa-machi, Hachioji Tokyo, 192-0032 Japan.\nNomura, Eiji. Department of Gastroenterological and General Surgery, Tokai University Hachioji Hospital, 1838 Ishikawa-machi, Hachioji Tokyo, 192-0032 Japan.\nYamazaki, Masashi. Department of Gastroenterological and General Surgery, Tokai University Hachioji Hospital, 1838 Ishikawa-machi, Hachioji Tokyo, 192-0032 Japan.\nMorita, Seiji. Department of Emergency and Critical Care Medicine, Tokai University School of Medicine, 143 Shimokasuya, Isehara, Kanagawa 259-1193 Japan.\nNoguchi, Wataru. Department of Emergency and Critical Care, Tokai University Hachioji Hospital, 1838 Ishikawa-machi, Hachioji Tokyo, 192-0032 Japan.\nUda, Shuji. Department of Gastroenterological and General Surgery, Tokai University Hachioji Hospital, 1838 Ishikawa-machi, Hachioji Tokyo, 192-0032 Japan.\nHara, Hitoshi. Department of Gastroenterological and General Surgery, Tokai University Hachioji Hospital, 1838 Ishikawa-machi, Hachioji Tokyo, 192-0032 Japan.\nYamamoto, Soichiro. Department of Gastroenterological and General Surgery, Tokai University Hachioji Hospital, 1838 Ishikawa-machi, Hachioji Tokyo, 192-0032 Japan.\nHasegawa, Sayuri. Department of Gastroenterological and General Surgery, Tokai University Hachioji Hospital, 1838 Ishikawa-machi, Hachioji Tokyo, 192-0032 Japan.\nTobita, Kosuke. Department of Gastroenterological and General Surgery, Tokai University Hachioji Hospital, 1838 Ishikawa-machi, Hachioji Tokyo, 192-0032 Japan.\nTajiri, Takuma. Department of Pathology, Tokai University Hachioji Hospital, 1838 Ishikawa-machi, Hachioji Tokyo, 192-0032 Japan.\nMukai, Masaya. Department of Gastroenterological and General Surgery, Tokai University Hachioji Hospital, 1838 Ishikawa-machi, Hachioji Tokyo, 192-0032 Japan.\nInokuchi, Sadaki. Department of Emergency and Critical Care Medicine, Tokai University School of Medicine, 143 Shimokasuya, Isehara, Kanagawa 259-1193 Japan.\nMakuuchi, Hiroyasu. Department of Gastroenterological and General Surgery, Tokai University Hachioji Hospital, 1838 Ishikawa-machi, Hachioji Tokyo, 192-0032 Japan.","page":"48","title":"The first case of huge amebic intra-abdominal tumor with asymptomatic amebic colitis.","volume":"1","author":[{"family":"Higami","given":"Shigeo"},{"family":"Nomura","given":"Eiji"},{"family":"Yamazaki","given":"Masashi"},{"family":"Morita","given":"Seiji"},{"family":"Noguchi","given":"Wataru"},{"family":"Uda","given":"Shuji"},{"family":"Hara","given":"Hitoshi"},{"family":"Yamamoto","given":"Soichiro"},{"family":"Hasegawa","given":"Sayuri"},{"family":"Tobita","given":"Kosuke"},{"family":"Tajiri","given":"Takuma"},{"family":"Mukai","given":"Masaya"},{"family":"Inokuchi","given":"Sadaki"},{"family":"Makuuchi","given":"Hiroyasu"}],"issued":{"date-parts":[["2015"]]}}}],"schema":"https://github.com/citation-style-language/schema/raw/master/csl-citation.json"} </w:instrText>
      </w:r>
      <w:r w:rsidR="0097725F" w:rsidRPr="00D11245">
        <w:rPr>
          <w:rFonts w:ascii="Calibri" w:hAnsi="Calibri" w:cs="Calibri"/>
          <w:color w:val="000000" w:themeColor="text1"/>
          <w:sz w:val="24"/>
          <w:szCs w:val="24"/>
          <w:highlight w:val="yellow"/>
        </w:rPr>
        <w:fldChar w:fldCharType="separate"/>
      </w:r>
      <w:r w:rsidR="009C3E63" w:rsidRPr="00D11245">
        <w:rPr>
          <w:rFonts w:ascii="Calibri" w:hAnsi="Calibri" w:cs="Calibri"/>
          <w:color w:val="000000" w:themeColor="text1"/>
          <w:kern w:val="0"/>
          <w:sz w:val="24"/>
          <w:vertAlign w:val="superscript"/>
        </w:rPr>
        <w:t>33,57,76,102–109</w:t>
      </w:r>
      <w:r w:rsidR="0097725F" w:rsidRPr="00D11245">
        <w:rPr>
          <w:rFonts w:ascii="Calibri" w:hAnsi="Calibri" w:cs="Calibri"/>
          <w:color w:val="000000" w:themeColor="text1"/>
          <w:sz w:val="24"/>
          <w:szCs w:val="24"/>
          <w:highlight w:val="yellow"/>
        </w:rPr>
        <w:fldChar w:fldCharType="end"/>
      </w:r>
      <w:r w:rsidRPr="00D11245">
        <w:rPr>
          <w:rFonts w:ascii="Calibri" w:hAnsi="Calibri" w:cs="Calibri"/>
          <w:color w:val="000000" w:themeColor="text1"/>
          <w:sz w:val="24"/>
          <w:szCs w:val="24"/>
        </w:rPr>
        <w:t>.</w:t>
      </w:r>
    </w:p>
    <w:p w14:paraId="2F9F170F" w14:textId="79998801" w:rsidR="00DC4A23" w:rsidRPr="00D11245" w:rsidRDefault="00DC4A23" w:rsidP="00DC4A23">
      <w:pPr>
        <w:jc w:val="both"/>
        <w:rPr>
          <w:rFonts w:cs="Arial"/>
          <w:b/>
          <w:bCs/>
          <w:color w:val="000000" w:themeColor="text1"/>
          <w:sz w:val="24"/>
          <w:szCs w:val="24"/>
          <w:u w:val="single"/>
        </w:rPr>
      </w:pPr>
      <w:r w:rsidRPr="00D11245">
        <w:rPr>
          <w:rFonts w:cs="Arial"/>
          <w:b/>
          <w:bCs/>
          <w:color w:val="000000" w:themeColor="text1"/>
          <w:sz w:val="24"/>
          <w:szCs w:val="24"/>
          <w:u w:val="single"/>
        </w:rPr>
        <w:t>Amoebic liver abscess</w:t>
      </w:r>
    </w:p>
    <w:p w14:paraId="0544647B" w14:textId="53B4AFDC" w:rsidR="00DC4A23" w:rsidRPr="00D11245" w:rsidRDefault="00DC4A23" w:rsidP="00DC4A23">
      <w:pPr>
        <w:jc w:val="both"/>
        <w:rPr>
          <w:rFonts w:cs="Arial"/>
          <w:color w:val="000000" w:themeColor="text1"/>
          <w:sz w:val="24"/>
          <w:szCs w:val="24"/>
        </w:rPr>
      </w:pPr>
      <w:r w:rsidRPr="00D11245">
        <w:rPr>
          <w:rFonts w:cs="Arial"/>
          <w:color w:val="000000" w:themeColor="text1"/>
          <w:sz w:val="24"/>
          <w:szCs w:val="24"/>
        </w:rPr>
        <w:t xml:space="preserve">Amoebic liver abscess (ALA) formation is the most common extra-intestinal manifestation of amoebiasis, affecting 1% of infected individuals </w:t>
      </w:r>
      <w:r w:rsidR="006564F8" w:rsidRPr="00D11245">
        <w:rPr>
          <w:rFonts w:cs="Arial"/>
          <w:color w:val="000000" w:themeColor="text1"/>
          <w:sz w:val="24"/>
          <w:szCs w:val="24"/>
        </w:rPr>
        <w:fldChar w:fldCharType="begin"/>
      </w:r>
      <w:r w:rsidR="004E524B" w:rsidRPr="00D11245">
        <w:rPr>
          <w:rFonts w:cs="Arial"/>
          <w:color w:val="000000" w:themeColor="text1"/>
          <w:sz w:val="24"/>
          <w:szCs w:val="24"/>
        </w:rPr>
        <w:instrText xml:space="preserve"> ADDIN ZOTERO_ITEM CSL_CITATION {"citationID":"YsTdULvJ","properties":{"formattedCitation":"\\super 4\\nosupersub{}","plainCitation":"4","noteIndex":0},"citationItems":[{"id":2848,"uris":["http://zotero.org/groups/2497994/items/4CQVJEEC",["http://zotero.org/groups/2497994/items/4CQVJEEC"]],"itemData":{"id":2848,"type":"article-journal","abstract":"&lt;h2&gt;Summary&lt;/h2&gt;&lt;p&gt;Amoebiasis is the second leading cause of death from parasitic disease worldwide. The causative protozoan parasite, &lt;i&gt;Entamoeba histolytica&lt;/i&gt;, is a potent pathogen. Secreting proteinases that dissolve host tissues, killing host cells on contact, and engulfing red blood cells, &lt;i&gt;E histolytica&lt;/i&gt; trophozoites invade the intestinal mucosa, causing amoebic colitis. In some cases amoebas breach the mucosal barrier and travel through the portal circulation to the liver, where they cause abscesses consisting of a few &lt;i&gt;E histolytica&lt;/i&gt; trophozoites surrounding dead and dying hepatocytes and liquefied cellular debris. Amoebic liver abscesses grow inexorably and, at one time, were almost always fatal, but now even large abscesses can be cured by one dose of antibiotic. Evidence that what we thought was a single species based on morphology is, in fact, two genetically distinct species—now termed &lt;i&gt;Entamoeba histolytica&lt;/i&gt; (the pathogen) and &lt;i&gt;Entamoeba dispar&lt;/i&gt; (a commensal)—has turned conventional wisdom about the epidemiology and diagnosis of amoebiasis upside down. New models of disease have linked &lt;i&gt;E histolytica&lt;/i&gt; induction of intestinal inflammation and hepatocyte programmed cell death to the pathogenesis of amoebic colitis and amoebic liver abscess.&lt;/p&gt;","container-title":"The Lancet","DOI":"10.1016/S0140-6736(03)12830-9","ISSN":"0140-6736, 1474-547X","issue":"9362","journalAbbreviation":"The Lancet","language":"English","note":"PMID: 12660071","page":"1025-1034","source":"www.thelancet.com","title":"Amoebiasis","volume":"361","author":[{"family":"Stanley","given":"Samuel L."}],"issued":{"date-parts":[["2003",3,22]]}}}],"schema":"https://github.com/citation-style-language/schema/raw/master/csl-citation.json"} </w:instrText>
      </w:r>
      <w:r w:rsidR="006564F8" w:rsidRPr="00D11245">
        <w:rPr>
          <w:rFonts w:cs="Arial"/>
          <w:color w:val="000000" w:themeColor="text1"/>
          <w:sz w:val="24"/>
          <w:szCs w:val="24"/>
        </w:rPr>
        <w:fldChar w:fldCharType="separate"/>
      </w:r>
      <w:r w:rsidR="004E524B" w:rsidRPr="00D11245">
        <w:rPr>
          <w:rFonts w:ascii="Calibri" w:hAnsi="Calibri" w:cs="Calibri"/>
          <w:color w:val="000000" w:themeColor="text1"/>
          <w:kern w:val="0"/>
          <w:sz w:val="24"/>
          <w:szCs w:val="24"/>
          <w:vertAlign w:val="superscript"/>
        </w:rPr>
        <w:t>4</w:t>
      </w:r>
      <w:r w:rsidR="006564F8" w:rsidRPr="00D11245">
        <w:rPr>
          <w:rFonts w:cs="Arial"/>
          <w:color w:val="000000" w:themeColor="text1"/>
          <w:sz w:val="24"/>
          <w:szCs w:val="24"/>
        </w:rPr>
        <w:fldChar w:fldCharType="end"/>
      </w:r>
      <w:r w:rsidRPr="00D11245">
        <w:rPr>
          <w:rFonts w:cs="Arial"/>
          <w:color w:val="000000" w:themeColor="text1"/>
          <w:sz w:val="24"/>
          <w:szCs w:val="24"/>
        </w:rPr>
        <w:t xml:space="preserve">. On reaching the liver, </w:t>
      </w:r>
      <w:r w:rsidRPr="00D11245">
        <w:rPr>
          <w:rFonts w:cs="Arial"/>
          <w:i/>
          <w:iCs/>
          <w:color w:val="000000" w:themeColor="text1"/>
          <w:sz w:val="24"/>
          <w:szCs w:val="24"/>
        </w:rPr>
        <w:t>E. histolytica</w:t>
      </w:r>
      <w:r w:rsidRPr="00D11245">
        <w:rPr>
          <w:rFonts w:cs="Arial"/>
          <w:color w:val="000000" w:themeColor="text1"/>
          <w:sz w:val="24"/>
          <w:szCs w:val="24"/>
        </w:rPr>
        <w:t xml:space="preserve"> generates an inflammatory reaction which causes hepatocyte necrosis, characteristically leading to the formation of a single</w:t>
      </w:r>
      <w:r w:rsidR="00FF76E4" w:rsidRPr="00D11245">
        <w:rPr>
          <w:rFonts w:cs="Arial"/>
          <w:color w:val="000000" w:themeColor="text1"/>
          <w:sz w:val="24"/>
          <w:szCs w:val="24"/>
        </w:rPr>
        <w:t>,</w:t>
      </w:r>
      <w:r w:rsidRPr="00D11245">
        <w:rPr>
          <w:rFonts w:cs="Arial"/>
          <w:color w:val="000000" w:themeColor="text1"/>
          <w:sz w:val="24"/>
          <w:szCs w:val="24"/>
        </w:rPr>
        <w:t xml:space="preserve"> well circumscribed abscess with a rim of connective tissue and containing brown so called “anchovy sauce” pus of dead hepatocytes, a few trophozoites </w:t>
      </w:r>
      <w:r w:rsidR="00A735DD" w:rsidRPr="00D11245">
        <w:rPr>
          <w:rFonts w:cs="Arial"/>
          <w:color w:val="000000" w:themeColor="text1"/>
          <w:sz w:val="24"/>
          <w:szCs w:val="24"/>
        </w:rPr>
        <w:t>and inflammatory</w:t>
      </w:r>
      <w:r w:rsidRPr="00D11245">
        <w:rPr>
          <w:rFonts w:cs="Arial"/>
          <w:color w:val="000000" w:themeColor="text1"/>
          <w:sz w:val="24"/>
          <w:szCs w:val="24"/>
        </w:rPr>
        <w:t xml:space="preserve"> cells </w:t>
      </w:r>
      <w:r w:rsidR="006564F8" w:rsidRPr="00D11245">
        <w:rPr>
          <w:rFonts w:cs="Arial"/>
          <w:color w:val="000000" w:themeColor="text1"/>
          <w:sz w:val="24"/>
          <w:szCs w:val="24"/>
        </w:rPr>
        <w:fldChar w:fldCharType="begin"/>
      </w:r>
      <w:r w:rsidR="009C3E63" w:rsidRPr="00D11245">
        <w:rPr>
          <w:rFonts w:cs="Arial"/>
          <w:color w:val="000000" w:themeColor="text1"/>
          <w:sz w:val="24"/>
          <w:szCs w:val="24"/>
        </w:rPr>
        <w:instrText xml:space="preserve"> ADDIN ZOTERO_ITEM CSL_CITATION {"citationID":"3bGeecAr","properties":{"formattedCitation":"\\super 110\\nosupersub{}","plainCitation":"110","noteIndex":0},"citationItems":[{"id":1688,"uris":["http://zotero.org/groups/2497994/items/GISH798W"],"itemData":{"id":1688,"type":"article-journal","abstract":"Amoebic liver abscess (ALA) is an uncommon but potentially life-threatening complication of infection with the protozoan parasite Entamoeba histolytica. E histolytica is widely distributed throughout the tropics and subtropics, causing up to 40 million infections annually. The parasite is transmitted via the fecal-oral route, and once it establishes itself in the colon, it has the propensity to invade the mucosa, leading to ulceration and colitis, and to disseminate to distant extraintestinal sites, the most common of which is the liver. The authors provide a topical review of ALA and summarize clinical data from a series of 29 patients with ALA presenting to seven hospitals in Toronto, Ontario, a nonendemic setting, over 30 years.","container-title":"Canadian Journal of Gastroenterology and Hepatology","DOI":"10.1155/2012/852835","ISSN":"2291-2789","issue":"10","note":"WOS:000309763200013","page":"729-733","title":"A review of amoebic liver abscess for clinicians in a nonendemic setting","volume":"26","author":[{"family":"Wuerz","given":"Terry"},{"family":"Kane","given":"Jennifer B."},{"family":"Boggild","given":"Andrea K."},{"family":"Krajden","given":"Sigmund"},{"family":"Keystone","given":"Jay S."},{"family":"Fuksa","given":"Milan"},{"family":"Kain","given":"Kevin C."},{"family":"Warren","given":"Ralph"},{"family":"Kempston","given":"John"},{"family":"Anderson","given":"Joe"}],"issued":{"date-parts":[["2012",10]]}}}],"schema":"https://github.com/citation-style-language/schema/raw/master/csl-citation.json"} </w:instrText>
      </w:r>
      <w:r w:rsidR="006564F8" w:rsidRPr="00D11245">
        <w:rPr>
          <w:rFonts w:cs="Arial"/>
          <w:color w:val="000000" w:themeColor="text1"/>
          <w:sz w:val="24"/>
          <w:szCs w:val="24"/>
        </w:rPr>
        <w:fldChar w:fldCharType="separate"/>
      </w:r>
      <w:r w:rsidR="009C3E63" w:rsidRPr="00D11245">
        <w:rPr>
          <w:rFonts w:ascii="Calibri" w:hAnsi="Calibri" w:cs="Calibri"/>
          <w:color w:val="000000" w:themeColor="text1"/>
          <w:kern w:val="0"/>
          <w:sz w:val="24"/>
          <w:vertAlign w:val="superscript"/>
        </w:rPr>
        <w:t>110</w:t>
      </w:r>
      <w:r w:rsidR="006564F8" w:rsidRPr="00D11245">
        <w:rPr>
          <w:rFonts w:cs="Arial"/>
          <w:color w:val="000000" w:themeColor="text1"/>
          <w:sz w:val="24"/>
          <w:szCs w:val="24"/>
        </w:rPr>
        <w:fldChar w:fldCharType="end"/>
      </w:r>
      <w:r w:rsidRPr="00D11245">
        <w:rPr>
          <w:rFonts w:cs="Arial"/>
          <w:color w:val="000000" w:themeColor="text1"/>
          <w:sz w:val="24"/>
          <w:szCs w:val="24"/>
        </w:rPr>
        <w:t xml:space="preserve">. </w:t>
      </w:r>
    </w:p>
    <w:p w14:paraId="2BCF87D8" w14:textId="6C3A8575" w:rsidR="00DC4A23" w:rsidRPr="00D11245" w:rsidRDefault="00DC4A23" w:rsidP="00DC4A23">
      <w:pPr>
        <w:jc w:val="both"/>
        <w:rPr>
          <w:rFonts w:ascii="Calibri" w:hAnsi="Calibri" w:cs="Calibri"/>
          <w:color w:val="000000" w:themeColor="text1"/>
          <w:sz w:val="24"/>
          <w:szCs w:val="24"/>
        </w:rPr>
      </w:pPr>
      <w:r w:rsidRPr="00D11245">
        <w:rPr>
          <w:rFonts w:cs="Arial"/>
          <w:color w:val="000000" w:themeColor="text1"/>
          <w:sz w:val="24"/>
          <w:szCs w:val="24"/>
        </w:rPr>
        <w:t xml:space="preserve">There is significant variability in the onset of symptoms, which </w:t>
      </w:r>
      <w:r w:rsidR="00A735DD" w:rsidRPr="00D11245">
        <w:rPr>
          <w:rFonts w:cs="Arial"/>
          <w:color w:val="000000" w:themeColor="text1"/>
          <w:sz w:val="24"/>
          <w:szCs w:val="24"/>
        </w:rPr>
        <w:t xml:space="preserve">usually </w:t>
      </w:r>
      <w:r w:rsidRPr="00D11245">
        <w:rPr>
          <w:rFonts w:cs="Arial"/>
          <w:color w:val="000000" w:themeColor="text1"/>
          <w:sz w:val="24"/>
          <w:szCs w:val="24"/>
        </w:rPr>
        <w:t>occur within 8-20 weeks (median 12</w:t>
      </w:r>
      <w:r w:rsidR="00D46A11" w:rsidRPr="00D11245">
        <w:rPr>
          <w:rFonts w:cs="Arial"/>
          <w:color w:val="000000" w:themeColor="text1"/>
          <w:sz w:val="24"/>
          <w:szCs w:val="24"/>
        </w:rPr>
        <w:t xml:space="preserve"> </w:t>
      </w:r>
      <w:r w:rsidRPr="00D11245">
        <w:rPr>
          <w:rFonts w:cs="Arial"/>
          <w:color w:val="000000" w:themeColor="text1"/>
          <w:sz w:val="24"/>
          <w:szCs w:val="24"/>
        </w:rPr>
        <w:t xml:space="preserve">weeks) </w:t>
      </w:r>
      <w:r w:rsidR="00D46A11" w:rsidRPr="00D11245">
        <w:rPr>
          <w:rFonts w:cs="Arial"/>
          <w:color w:val="000000" w:themeColor="text1"/>
          <w:sz w:val="24"/>
          <w:szCs w:val="24"/>
        </w:rPr>
        <w:t>after</w:t>
      </w:r>
      <w:r w:rsidRPr="00D11245">
        <w:rPr>
          <w:rFonts w:cs="Arial"/>
          <w:color w:val="000000" w:themeColor="text1"/>
          <w:sz w:val="24"/>
          <w:szCs w:val="24"/>
        </w:rPr>
        <w:t xml:space="preserve"> travel to an endemic region </w:t>
      </w:r>
      <w:r w:rsidR="006564F8" w:rsidRPr="00D11245">
        <w:rPr>
          <w:rFonts w:cs="Arial"/>
          <w:color w:val="000000" w:themeColor="text1"/>
          <w:sz w:val="24"/>
          <w:szCs w:val="24"/>
        </w:rPr>
        <w:fldChar w:fldCharType="begin"/>
      </w:r>
      <w:r w:rsidR="009C3E63" w:rsidRPr="00D11245">
        <w:rPr>
          <w:rFonts w:cs="Arial"/>
          <w:color w:val="000000" w:themeColor="text1"/>
          <w:sz w:val="24"/>
          <w:szCs w:val="24"/>
        </w:rPr>
        <w:instrText xml:space="preserve"> ADDIN ZOTERO_ITEM CSL_CITATION {"citationID":"SMOOApxf","properties":{"formattedCitation":"\\super 6,110,111\\nosupersub{}","plainCitation":"6,110,111","noteIndex":0},"citationItems":[{"id":1684,"uris":["http://zotero.org/groups/2497994/items/8XTEUHWF",["http://zotero.org/groups/2497994/items/8XTEUHWF"]],"itemData":{"id":1684,"type":"article-journal","abstract":"Amebiasis, due to the pathogenic parasite Entamoeba histolytica, is a leading cause of diarrhea globally. Largely an infection of impoverished communities in developing countries, amebiasis has emerged as an important infection among returning travelers, immigrants, and men who have sex with men residing in developed countries. Severe cases can be associated with high case fatality. Polymerase chain reaction-based diagnosis is increasingly available but remains underutilized. Nitroimidazoles are currently recommended for treatment, but new drug development to treat parasitic agents is a high priority. Amebiasis should be considered before corticosteroid therapy to decrease complications. There is no effective vaccine, so prevention focuses on sanitation and access to clean water. Further understanding of parasite biology and pathogenesis will advance future targeted therapeutic and preventative strategies.Copyright © The Author(s) 2018. Published by Oxford University Press on behalf of Infectious Diseases Society of America.","container-title":"Open Forum Infectious Diseases","DOI":"10.1093/ofid/ofy161","ISSN":"2328-8957 (electronic)","issue":"7","journalAbbreviation":"Open Forum Infect. Dis.","language":"English","note":"publisher-place: United States\npublisher: Oxford University Press (E-mail: info@idsociety.org)","page":"ofy161","title":"A review of the global burden, new diagnostics, and current Therapeutics for amebiasis","volume":"5","author":[{"literal":"Shirley D.T."},{"literal":"Farr L."},{"literal":"Watanabe K."},{"literal":"Moonah S."}],"issued":{"date-parts":[["2018"]]}}},{"id":1688,"uris":["http://zotero.org/groups/2497994/items/GISH798W"],"itemData":{"id":1688,"type":"article-journal","abstract":"Amoebic liver abscess (ALA) is an uncommon but potentially life-threatening complication of infection with the protozoan parasite Entamoeba histolytica. E histolytica is widely distributed throughout the tropics and subtropics, causing up to 40 million infections annually. The parasite is transmitted via the fecal-oral route, and once it establishes itself in the colon, it has the propensity to invade the mucosa, leading to ulceration and colitis, and to disseminate to distant extraintestinal sites, the most common of which is the liver. The authors provide a topical review of ALA and summarize clinical data from a series of 29 patients with ALA presenting to seven hospitals in Toronto, Ontario, a nonendemic setting, over 30 years.","container-title":"Canadian Journal of Gastroenterology and Hepatology","DOI":"10.1155/2012/852835","ISSN":"2291-2789","issue":"10","note":"WOS:000309763200013","page":"729-733","title":"A review of amoebic liver abscess for clinicians in a nonendemic setting","volume":"26","author":[{"family":"Wuerz","given":"Terry"},{"family":"Kane","given":"Jennifer B."},{"family":"Boggild","given":"Andrea K."},{"family":"Krajden","given":"Sigmund"},{"family":"Keystone","given":"Jay S."},{"family":"Fuksa","given":"Milan"},{"family":"Kain","given":"Kevin C."},{"family":"Warren","given":"Ralph"},{"family":"Kempston","given":"John"},{"family":"Anderson","given":"Joe"}],"issued":{"date-parts":[["2012",10]]}}},{"id":399,"uris":["http://zotero.org/groups/2497994/items/LHCZQU7R"],"itemData":{"id":399,"type":"article-journal","abstract":"Introduction: Amebic liver abscess (ALA) is the most common extraintestinal manifestation of Entamoeba histolytica. Because of highly varied presentations, accurate diagnosis of ALA is difficult. Hence, early and correct diagnosis of ALA is essential to avoid serious complications. Materials and Methods: The study was carried out in 64 cases of ALA admitted to the Surgery Department of MGM Medical College and Hospital, Jamshedpur, between March 2012 and April 2016. All the cases with confirmed diagnosis of ALA were included in this study. Results: Sixty-four cases of ALA were studied over a 4-year period with a male to female ratio of 9.6:1. The age ranged from 15 to 65 years (mean age 35 years). There were 58 males (90.63%) and 6 females (09.37%). Age group of 31 to 40 years showed the highest incidence of ALA consisting of 43.75% cases. Pain was located most commonly in the right hypochondrium in 44 (68.75%) patients, fever observed in 50 cases (90.63%), and coincident diarrhea in 40.62% patients. Solitary abscess cavity was found in 59 (92.18%) cases. The right lobe of the liver was involved in 55 (85.93%) patients. In this study, 40 patients (62.5%) were chronic alcoholics. Pleuropulmonary complications such as right atelectasis and pleural effusion due to ALA were the most common complications found in 22 patients (34.37%). This was followed by intraperitoneal rupture of abscess in 15 patients (23.43%). Other complications were jaundice in 12 cases, ascites in 10 cases, subphrenic abscess in 3, and intrapleural rupture in 2 patients. Conclusion: ALA has highly varied clinical presentation. The typical features of ALA which include pain, fever, and tender hepatomegaly are non-specific. A high index of clinical suspicion in patients from an endemic area and low socioeconomic class combined with ultrasonography, ultrasound-guided aspiration, and computerized tomography scan will improve the diagnostic accuracy to reduce catastrophic complication as a result of delayed diagnosis.","container-title":"International Journal of Scientific Study","DOI":"10.17354/ijss/2016/623","ISSN":"2321-6379","issue":"9","note":"WOS:000408754400019","page":"99-102","title":"Amebic Liver Abscess: Varied Presentation and Management Update","volume":"4","author":[{"family":"Sinha","given":"Milind Kumar"}],"issued":{"date-parts":[["2016",12]]}}}],"schema":"https://github.com/citation-style-language/schema/raw/master/csl-citation.json"} </w:instrText>
      </w:r>
      <w:r w:rsidR="006564F8" w:rsidRPr="00D11245">
        <w:rPr>
          <w:rFonts w:cs="Arial"/>
          <w:color w:val="000000" w:themeColor="text1"/>
          <w:sz w:val="24"/>
          <w:szCs w:val="24"/>
        </w:rPr>
        <w:fldChar w:fldCharType="separate"/>
      </w:r>
      <w:r w:rsidR="009C3E63" w:rsidRPr="00D11245">
        <w:rPr>
          <w:rFonts w:ascii="Calibri" w:hAnsi="Calibri" w:cs="Calibri"/>
          <w:color w:val="000000" w:themeColor="text1"/>
          <w:kern w:val="0"/>
          <w:sz w:val="24"/>
          <w:vertAlign w:val="superscript"/>
        </w:rPr>
        <w:t>6,110,111</w:t>
      </w:r>
      <w:r w:rsidR="006564F8" w:rsidRPr="00D11245">
        <w:rPr>
          <w:rFonts w:cs="Arial"/>
          <w:color w:val="000000" w:themeColor="text1"/>
          <w:sz w:val="24"/>
          <w:szCs w:val="24"/>
        </w:rPr>
        <w:fldChar w:fldCharType="end"/>
      </w:r>
      <w:r w:rsidRPr="00D11245">
        <w:rPr>
          <w:rFonts w:cs="Arial"/>
          <w:color w:val="000000" w:themeColor="text1"/>
          <w:sz w:val="24"/>
          <w:szCs w:val="24"/>
        </w:rPr>
        <w:t xml:space="preserve">, although there have been case reports of ALA development after more than 20 years </w:t>
      </w:r>
      <w:r w:rsidR="006564F8" w:rsidRPr="00D11245">
        <w:rPr>
          <w:rFonts w:cs="Arial"/>
          <w:color w:val="000000" w:themeColor="text1"/>
          <w:sz w:val="24"/>
          <w:szCs w:val="24"/>
        </w:rPr>
        <w:fldChar w:fldCharType="begin"/>
      </w:r>
      <w:r w:rsidR="009C3E63" w:rsidRPr="00D11245">
        <w:rPr>
          <w:rFonts w:cs="Arial"/>
          <w:color w:val="000000" w:themeColor="text1"/>
          <w:sz w:val="24"/>
          <w:szCs w:val="24"/>
        </w:rPr>
        <w:instrText xml:space="preserve"> ADDIN ZOTERO_ITEM CSL_CITATION {"citationID":"TmHru5Tj","properties":{"formattedCitation":"\\super 112\\uc0\\u8211{}114\\nosupersub{}","plainCitation":"112–114","noteIndex":0},"citationItems":[{"id":2176,"uris":["http://zotero.org/groups/2497994/items/4A6FUML6"],"itemData":{"id":2176,"type":"article-journal","abstract":"A 72-year-old man consulted in November 2012 for abdominal pain in the right upper quadrant. The patient had a history of suspected hepatic amebiasis treated in Senegal in 1985 and has not traveled to endemic areas since 1990. Abdominal CT scan revealed a liver abscess. At first, no parasitological tests were performed and the patient was treated with broad-spectrum antibiotics. Only after failure of this therapy, serology and PCR performed after liver abscess puncture established the diagnosis of hepatic amebiasis. The patient was treated with metronidazole and tiliquinol-tilbroquinol. Amebic liver abscess is the most frequent extra-intestinal manifestation. Hepatic amebiasis 22 years after the last visit to an endemic area is exceptional and raises questions on the mechanisms of latency and recurrence of these intestinal protozoan parasites.","container-title":"Parasite","DOI":"10.1051/parasite/2015020","ISSN":"1252-607X","note":"WOS:000356514600001","page":"30","title":"First case of amebic liver abscess 22 years after the first occurrence","volume":"22","author":[{"family":"Nespola","given":"Benoit"},{"family":"Betz","given":"Valerie"},{"family":"Brunet","given":"Julie"},{"family":"Gagnard","given":"Jean-Charles"},{"family":"Krummel","given":"Yves"},{"family":"Hansmann","given":"Yves"},{"family":"Hannedouche","given":"Thierry"},{"family":"Christmann","given":"Daniel"},{"family":"Pfaff","given":"Alexander W."},{"family":"Filisetti","given":"Denis"},{"family":"Pesson","given":"Bernard"},{"family":"Abou-Bacar","given":"Ahmed"},{"family":"Candolfi","given":"Ermanno"}],"issued":{"date-parts":[["2015",6,18]]}}},{"id":417,"uris":["http://zotero.org/groups/2497994/items/N5QBYDUQ"],"itemData":{"id":417,"type":"article-journal","container-title":"Clinical Microbiology Newsletter","DOI":"10.1016/j.clinmicnews.2012.06.002","ISSN":"0196-4399","issue":"13","journalAbbreviation":"Clin. Microbiol. Newsl.","language":"English","note":"publisher-place: United States\npublisher: Elsevier Inc. (360 Park Avenue South, New York NY 10010, United States)","page":"106-107","title":"Delayed Diagnosis of Amoebiasis","volume":"34","author":[{"literal":"Patel T.R."},{"literal":"Grams D."},{"literal":"Alrabaa S."},{"literal":"Sinnott J."}],"issued":{"date-parts":[["2012"]]}}},{"id":1508,"uris":["http://zotero.org/groups/2497994/items/URNQYZNA"],"itemData":{"id":1508,"type":"article-journal","abstract":"Amebic liver abscess (ALA) is endemic in developing countries. The epidemiology and clinical characteristics of the disease in developing countries are well described. Travelers from nonendemic countries can serve as a model for the natural history of ALA. Currently, the available literature on travelers is limited. This is a retrospective observational study on Israeli travelers diagnosed with ALA. Data regarding travel history, clinical presentation, imaging, and treatment were collected and analyzed. Among 6,867 ill returning Israeli travelers, amebiasis was diagnosed in 53 travelers (0.77%), of whom 14 were with ALA (0.2%). Twelve ALA cases (86%) had an exposure in the Indian subcontinent. The male to female ratio was 1:1, with no significant clinical differences between the sexes. The average lag period between exposure and onset of symptoms was 17.1 months. The lack of male predominance and the prolonged lag period may imply that behavioral factors are pivotal in the development of ALA. Larger case series of travelers are required. PMID:26928829","archive":"PubMed Central","container-title":"The American Journal of Tropical Medicine and Hygiene","DOI":"10.4269/ajtmh.15-0576","ISSN":"0002-9637","issue":"5","page":"1015-1015","title":"Amebic Liver Abscess in Israeli Travelers: A Retrospective Study","volume":"94","author":[{"family":"Lachish","given":"Tamar"},{"family":"Wieder-Finesod","given":"Anat"},{"family":"Schwartz","given":"Eli"}],"issued":{"date-parts":[["2016",5,4]]}}}],"schema":"https://github.com/citation-style-language/schema/raw/master/csl-citation.json"} </w:instrText>
      </w:r>
      <w:r w:rsidR="006564F8" w:rsidRPr="00D11245">
        <w:rPr>
          <w:rFonts w:cs="Arial"/>
          <w:color w:val="000000" w:themeColor="text1"/>
          <w:sz w:val="24"/>
          <w:szCs w:val="24"/>
        </w:rPr>
        <w:fldChar w:fldCharType="separate"/>
      </w:r>
      <w:r w:rsidR="009C3E63" w:rsidRPr="00D11245">
        <w:rPr>
          <w:rFonts w:ascii="Calibri" w:hAnsi="Calibri" w:cs="Calibri"/>
          <w:color w:val="000000" w:themeColor="text1"/>
          <w:kern w:val="0"/>
          <w:sz w:val="24"/>
          <w:vertAlign w:val="superscript"/>
        </w:rPr>
        <w:t>112–114</w:t>
      </w:r>
      <w:r w:rsidR="006564F8" w:rsidRPr="00D11245">
        <w:rPr>
          <w:rFonts w:cs="Arial"/>
          <w:color w:val="000000" w:themeColor="text1"/>
          <w:sz w:val="24"/>
          <w:szCs w:val="24"/>
        </w:rPr>
        <w:fldChar w:fldCharType="end"/>
      </w:r>
      <w:r w:rsidRPr="00D11245">
        <w:rPr>
          <w:rFonts w:cs="Arial"/>
          <w:color w:val="000000" w:themeColor="text1"/>
          <w:sz w:val="24"/>
          <w:szCs w:val="24"/>
        </w:rPr>
        <w:t xml:space="preserve">, highlighting the importance of a obtaining a detailed travel history. Symptoms include fever and </w:t>
      </w:r>
      <w:r w:rsidR="00A735DD" w:rsidRPr="00D11245">
        <w:rPr>
          <w:rFonts w:cs="Arial"/>
          <w:color w:val="000000" w:themeColor="text1"/>
          <w:sz w:val="24"/>
          <w:szCs w:val="24"/>
        </w:rPr>
        <w:t xml:space="preserve">a </w:t>
      </w:r>
      <w:r w:rsidRPr="00D11245">
        <w:rPr>
          <w:rFonts w:cs="Arial"/>
          <w:color w:val="000000" w:themeColor="text1"/>
          <w:sz w:val="24"/>
          <w:szCs w:val="24"/>
        </w:rPr>
        <w:t xml:space="preserve">dull or aching right upper quadrant pain, which may radiate to the epigastrium, chest, or shoulder </w:t>
      </w:r>
      <w:r w:rsidR="006564F8" w:rsidRPr="00D11245">
        <w:rPr>
          <w:rFonts w:cs="Arial"/>
          <w:color w:val="000000" w:themeColor="text1"/>
          <w:sz w:val="24"/>
          <w:szCs w:val="24"/>
        </w:rPr>
        <w:fldChar w:fldCharType="begin"/>
      </w:r>
      <w:r w:rsidR="009C3E63" w:rsidRPr="00D11245">
        <w:rPr>
          <w:rFonts w:cs="Arial"/>
          <w:color w:val="000000" w:themeColor="text1"/>
          <w:sz w:val="24"/>
          <w:szCs w:val="24"/>
        </w:rPr>
        <w:instrText xml:space="preserve"> ADDIN ZOTERO_ITEM CSL_CITATION {"citationID":"oglTgUBo","properties":{"formattedCitation":"\\super 110\\nosupersub{}","plainCitation":"110","noteIndex":0},"citationItems":[{"id":1688,"uris":["http://zotero.org/groups/2497994/items/GISH798W"],"itemData":{"id":1688,"type":"article-journal","abstract":"Amoebic liver abscess (ALA) is an uncommon but potentially life-threatening complication of infection with the protozoan parasite Entamoeba histolytica. E histolytica is widely distributed throughout the tropics and subtropics, causing up to 40 million infections annually. The parasite is transmitted via the fecal-oral route, and once it establishes itself in the colon, it has the propensity to invade the mucosa, leading to ulceration and colitis, and to disseminate to distant extraintestinal sites, the most common of which is the liver. The authors provide a topical review of ALA and summarize clinical data from a series of 29 patients with ALA presenting to seven hospitals in Toronto, Ontario, a nonendemic setting, over 30 years.","container-title":"Canadian Journal of Gastroenterology and Hepatology","DOI":"10.1155/2012/852835","ISSN":"2291-2789","issue":"10","note":"WOS:000309763200013","page":"729-733","title":"A review of amoebic liver abscess for clinicians in a nonendemic setting","volume":"26","author":[{"family":"Wuerz","given":"Terry"},{"family":"Kane","given":"Jennifer B."},{"family":"Boggild","given":"Andrea K."},{"family":"Krajden","given":"Sigmund"},{"family":"Keystone","given":"Jay S."},{"family":"Fuksa","given":"Milan"},{"family":"Kain","given":"Kevin C."},{"family":"Warren","given":"Ralph"},{"family":"Kempston","given":"John"},{"family":"Anderson","given":"Joe"}],"issued":{"date-parts":[["2012",10]]}}}],"schema":"https://github.com/citation-style-language/schema/raw/master/csl-citation.json"} </w:instrText>
      </w:r>
      <w:r w:rsidR="006564F8" w:rsidRPr="00D11245">
        <w:rPr>
          <w:rFonts w:cs="Arial"/>
          <w:color w:val="000000" w:themeColor="text1"/>
          <w:sz w:val="24"/>
          <w:szCs w:val="24"/>
        </w:rPr>
        <w:fldChar w:fldCharType="separate"/>
      </w:r>
      <w:r w:rsidR="009C3E63" w:rsidRPr="00D11245">
        <w:rPr>
          <w:rFonts w:ascii="Calibri" w:hAnsi="Calibri" w:cs="Calibri"/>
          <w:color w:val="000000" w:themeColor="text1"/>
          <w:kern w:val="0"/>
          <w:sz w:val="24"/>
          <w:vertAlign w:val="superscript"/>
        </w:rPr>
        <w:t>110</w:t>
      </w:r>
      <w:r w:rsidR="006564F8" w:rsidRPr="00D11245">
        <w:rPr>
          <w:rFonts w:cs="Arial"/>
          <w:color w:val="000000" w:themeColor="text1"/>
          <w:sz w:val="24"/>
          <w:szCs w:val="24"/>
        </w:rPr>
        <w:fldChar w:fldCharType="end"/>
      </w:r>
      <w:r w:rsidRPr="00D11245">
        <w:rPr>
          <w:rFonts w:cs="Arial"/>
          <w:color w:val="000000" w:themeColor="text1"/>
          <w:sz w:val="24"/>
          <w:szCs w:val="24"/>
        </w:rPr>
        <w:t xml:space="preserve">. Cough and right sided pleural pain may be present when the abscess </w:t>
      </w:r>
      <w:r w:rsidR="00D46A11" w:rsidRPr="00D11245">
        <w:rPr>
          <w:rFonts w:cs="Arial"/>
          <w:color w:val="000000" w:themeColor="text1"/>
          <w:sz w:val="24"/>
          <w:szCs w:val="24"/>
        </w:rPr>
        <w:t>abuts the</w:t>
      </w:r>
      <w:r w:rsidRPr="00D11245">
        <w:rPr>
          <w:rFonts w:cs="Arial"/>
          <w:color w:val="000000" w:themeColor="text1"/>
          <w:sz w:val="24"/>
          <w:szCs w:val="24"/>
        </w:rPr>
        <w:t xml:space="preserve"> diaphragm</w:t>
      </w:r>
      <w:r w:rsidR="003B705E" w:rsidRPr="00D11245">
        <w:rPr>
          <w:rFonts w:cs="Arial"/>
          <w:color w:val="000000" w:themeColor="text1"/>
          <w:sz w:val="24"/>
          <w:szCs w:val="24"/>
        </w:rPr>
        <w:t>;</w:t>
      </w:r>
      <w:r w:rsidRPr="00D11245">
        <w:rPr>
          <w:rFonts w:cs="Arial"/>
          <w:color w:val="000000" w:themeColor="text1"/>
          <w:sz w:val="24"/>
          <w:szCs w:val="24"/>
        </w:rPr>
        <w:t xml:space="preserve"> jaundice is uncommon and should raise suspicion </w:t>
      </w:r>
      <w:r w:rsidR="005D4A1C" w:rsidRPr="00D11245">
        <w:rPr>
          <w:rFonts w:cs="Arial"/>
          <w:color w:val="000000" w:themeColor="text1"/>
          <w:sz w:val="24"/>
          <w:szCs w:val="24"/>
        </w:rPr>
        <w:t xml:space="preserve">of </w:t>
      </w:r>
      <w:r w:rsidR="00A735DD" w:rsidRPr="00D11245">
        <w:rPr>
          <w:rFonts w:cs="Arial"/>
          <w:color w:val="000000" w:themeColor="text1"/>
          <w:sz w:val="24"/>
          <w:szCs w:val="24"/>
        </w:rPr>
        <w:t xml:space="preserve">an </w:t>
      </w:r>
      <w:r w:rsidR="005D4A1C" w:rsidRPr="00D11245">
        <w:rPr>
          <w:rFonts w:cs="Arial"/>
          <w:color w:val="000000" w:themeColor="text1"/>
          <w:sz w:val="24"/>
          <w:szCs w:val="24"/>
        </w:rPr>
        <w:t xml:space="preserve">alternative aetiology, </w:t>
      </w:r>
      <w:r w:rsidR="00D46A11" w:rsidRPr="00D11245">
        <w:rPr>
          <w:rFonts w:cs="Arial"/>
          <w:color w:val="000000" w:themeColor="text1"/>
          <w:sz w:val="24"/>
          <w:szCs w:val="24"/>
        </w:rPr>
        <w:t>particularly if</w:t>
      </w:r>
      <w:r w:rsidRPr="00D11245">
        <w:rPr>
          <w:rFonts w:cs="Arial"/>
          <w:color w:val="000000" w:themeColor="text1"/>
          <w:sz w:val="24"/>
          <w:szCs w:val="24"/>
        </w:rPr>
        <w:t xml:space="preserve"> multiple </w:t>
      </w:r>
      <w:r w:rsidRPr="00D11245">
        <w:rPr>
          <w:rFonts w:cs="Arial"/>
          <w:color w:val="000000" w:themeColor="text1"/>
          <w:sz w:val="24"/>
          <w:szCs w:val="24"/>
        </w:rPr>
        <w:lastRenderedPageBreak/>
        <w:t>abscesses</w:t>
      </w:r>
      <w:r w:rsidR="005D4A1C" w:rsidRPr="00D11245">
        <w:rPr>
          <w:rFonts w:cs="Arial"/>
          <w:color w:val="000000" w:themeColor="text1"/>
          <w:sz w:val="24"/>
          <w:szCs w:val="24"/>
        </w:rPr>
        <w:t xml:space="preserve"> are present</w:t>
      </w:r>
      <w:r w:rsidR="00D46A11" w:rsidRPr="00D11245">
        <w:rPr>
          <w:rFonts w:cs="Arial"/>
          <w:color w:val="000000" w:themeColor="text1"/>
          <w:sz w:val="24"/>
          <w:szCs w:val="24"/>
        </w:rPr>
        <w:t>.</w:t>
      </w:r>
      <w:r w:rsidRPr="00D11245">
        <w:rPr>
          <w:rFonts w:cs="Arial"/>
          <w:color w:val="000000" w:themeColor="text1"/>
          <w:sz w:val="24"/>
          <w:szCs w:val="24"/>
        </w:rPr>
        <w:t xml:space="preserve"> Only 38% of patient</w:t>
      </w:r>
      <w:r w:rsidR="00D46A11" w:rsidRPr="00D11245">
        <w:rPr>
          <w:rFonts w:cs="Arial"/>
          <w:color w:val="000000" w:themeColor="text1"/>
          <w:sz w:val="24"/>
          <w:szCs w:val="24"/>
        </w:rPr>
        <w:t>s</w:t>
      </w:r>
      <w:r w:rsidRPr="00D11245">
        <w:rPr>
          <w:rFonts w:cs="Arial"/>
          <w:color w:val="000000" w:themeColor="text1"/>
          <w:sz w:val="24"/>
          <w:szCs w:val="24"/>
        </w:rPr>
        <w:t xml:space="preserve"> report concomitant diarrhoea </w:t>
      </w:r>
      <w:r w:rsidR="006564F8" w:rsidRPr="00D11245">
        <w:rPr>
          <w:rFonts w:cs="Arial"/>
          <w:color w:val="000000" w:themeColor="text1"/>
          <w:sz w:val="24"/>
          <w:szCs w:val="24"/>
        </w:rPr>
        <w:fldChar w:fldCharType="begin"/>
      </w:r>
      <w:r w:rsidR="009C3E63" w:rsidRPr="00D11245">
        <w:rPr>
          <w:rFonts w:cs="Arial"/>
          <w:color w:val="000000" w:themeColor="text1"/>
          <w:sz w:val="24"/>
          <w:szCs w:val="24"/>
        </w:rPr>
        <w:instrText xml:space="preserve"> ADDIN ZOTERO_ITEM CSL_CITATION {"citationID":"hUsKcEI6","properties":{"formattedCitation":"\\super 110\\nosupersub{}","plainCitation":"110","noteIndex":0},"citationItems":[{"id":1688,"uris":["http://zotero.org/groups/2497994/items/GISH798W"],"itemData":{"id":1688,"type":"article-journal","abstract":"Amoebic liver abscess (ALA) is an uncommon but potentially life-threatening complication of infection with the protozoan parasite Entamoeba histolytica. E histolytica is widely distributed throughout the tropics and subtropics, causing up to 40 million infections annually. The parasite is transmitted via the fecal-oral route, and once it establishes itself in the colon, it has the propensity to invade the mucosa, leading to ulceration and colitis, and to disseminate to distant extraintestinal sites, the most common of which is the liver. The authors provide a topical review of ALA and summarize clinical data from a series of 29 patients with ALA presenting to seven hospitals in Toronto, Ontario, a nonendemic setting, over 30 years.","container-title":"Canadian Journal of Gastroenterology and Hepatology","DOI":"10.1155/2012/852835","ISSN":"2291-2789","issue":"10","note":"WOS:000309763200013","page":"729-733","title":"A review of amoebic liver abscess for clinicians in a nonendemic setting","volume":"26","author":[{"family":"Wuerz","given":"Terry"},{"family":"Kane","given":"Jennifer B."},{"family":"Boggild","given":"Andrea K."},{"family":"Krajden","given":"Sigmund"},{"family":"Keystone","given":"Jay S."},{"family":"Fuksa","given":"Milan"},{"family":"Kain","given":"Kevin C."},{"family":"Warren","given":"Ralph"},{"family":"Kempston","given":"John"},{"family":"Anderson","given":"Joe"}],"issued":{"date-parts":[["2012",10]]}}}],"schema":"https://github.com/citation-style-language/schema/raw/master/csl-citation.json"} </w:instrText>
      </w:r>
      <w:r w:rsidR="006564F8" w:rsidRPr="00D11245">
        <w:rPr>
          <w:rFonts w:cs="Arial"/>
          <w:color w:val="000000" w:themeColor="text1"/>
          <w:sz w:val="24"/>
          <w:szCs w:val="24"/>
        </w:rPr>
        <w:fldChar w:fldCharType="separate"/>
      </w:r>
      <w:r w:rsidR="009C3E63" w:rsidRPr="00D11245">
        <w:rPr>
          <w:rFonts w:ascii="Calibri" w:hAnsi="Calibri" w:cs="Calibri"/>
          <w:color w:val="000000" w:themeColor="text1"/>
          <w:kern w:val="0"/>
          <w:sz w:val="24"/>
          <w:vertAlign w:val="superscript"/>
        </w:rPr>
        <w:t>110</w:t>
      </w:r>
      <w:r w:rsidR="006564F8" w:rsidRPr="00D11245">
        <w:rPr>
          <w:rFonts w:cs="Arial"/>
          <w:color w:val="000000" w:themeColor="text1"/>
          <w:sz w:val="24"/>
          <w:szCs w:val="24"/>
        </w:rPr>
        <w:fldChar w:fldCharType="end"/>
      </w:r>
      <w:r w:rsidRPr="00D11245">
        <w:rPr>
          <w:rFonts w:cs="Arial"/>
          <w:color w:val="000000" w:themeColor="text1"/>
          <w:sz w:val="24"/>
          <w:szCs w:val="24"/>
        </w:rPr>
        <w:t xml:space="preserve">, and others may report a resolved dysenteric syndrome, </w:t>
      </w:r>
      <w:r w:rsidR="007634B4" w:rsidRPr="00D11245">
        <w:rPr>
          <w:rFonts w:cs="Arial"/>
          <w:color w:val="000000" w:themeColor="text1"/>
          <w:sz w:val="24"/>
          <w:szCs w:val="24"/>
        </w:rPr>
        <w:t xml:space="preserve">but </w:t>
      </w:r>
      <w:r w:rsidRPr="00D11245">
        <w:rPr>
          <w:rFonts w:cs="Arial"/>
          <w:color w:val="000000" w:themeColor="text1"/>
          <w:sz w:val="24"/>
          <w:szCs w:val="24"/>
        </w:rPr>
        <w:t xml:space="preserve">the majority will not have concurrent amoebic colitis with their ALA </w:t>
      </w:r>
      <w:r w:rsidR="006564F8" w:rsidRPr="00D11245">
        <w:rPr>
          <w:rFonts w:cs="Arial"/>
          <w:color w:val="000000" w:themeColor="text1"/>
          <w:sz w:val="24"/>
          <w:szCs w:val="24"/>
        </w:rPr>
        <w:fldChar w:fldCharType="begin"/>
      </w:r>
      <w:r w:rsidR="009C3E63" w:rsidRPr="00D11245">
        <w:rPr>
          <w:rFonts w:cs="Arial"/>
          <w:color w:val="000000" w:themeColor="text1"/>
          <w:sz w:val="24"/>
          <w:szCs w:val="24"/>
        </w:rPr>
        <w:instrText xml:space="preserve"> ADDIN ZOTERO_ITEM CSL_CITATION {"citationID":"U7vPEjmq","properties":{"formattedCitation":"\\super 115\\nosupersub{}","plainCitation":"115","noteIndex":0},"citationItems":[{"id":2882,"uris":["http://zotero.org/groups/2497994/items/PRV65LKJ"],"itemData":{"id":2882,"type":"article-journal","abstract":"Amoebiasis, an enteric protozoan disease caused by Entamoeba histolytica, is a public health problem in many developing countries, causing up to 100,000 fatal cases annually. Detection of the pathogenic E. histolytica and its differentiation from the non-pathogenic Entamoeba spp. play a crucial role in the clinical management of patients. Laboratory diagnosis of intestinal amoebiasis in developing countries still relies on labour-intensive and insensitive methods involving staining of stool sample and microscopy. Newer and more sensitive methods include a variety of antigen detection ELISAs and rapid tests; however, their diagnostic sensitivity and specificity seem to vary between studies, and some tests do not distinguish among the Entamoeba species. Molecular detection techniques are highly sensitive and specific and isothermal amplification approaches may be developed into field-applicable tests; however, cost is still a barrier for their use as a routine laboratory test method in most endemic areas. Laboratory diagnosis of extraintestinal amoebiasis faces challenges of lack of definitive detection of current infection and commercially available point-of-care tests. For both types of amoebiasis, there is still a need for highly sensitive and specific tests that are rapid and cost-effective for use in developing countries where the disease is prevalent. In recent years, new molecules of diagnostic value are being discovered and new tests developed. The advances in 'omics' technologies are enabling discoveries of new biomarkers that may help distinguish between different infection stages.","archive":"Pubmed","container-title":"European journal of clinical microbiology &amp; infectious diseases : official publication of the European Society of Clinical Microbiology","DOI":"10.1007/s10096-018-3379-3","ISSN":"0934-9723","issue":"1","page":"15-38","title":"Update on laboratory diagnosis of amoebiasis.","volume":"38","author":[{"family":"Saidin","given":"Syazwan"},{"family":"Othman","given":"Nurulhasanah"},{"family":"Noordin","given":"Rahmah"}],"issued":{"date-parts":[["2019",1,1]]}}}],"schema":"https://github.com/citation-style-language/schema/raw/master/csl-citation.json"} </w:instrText>
      </w:r>
      <w:r w:rsidR="006564F8" w:rsidRPr="00D11245">
        <w:rPr>
          <w:rFonts w:cs="Arial"/>
          <w:color w:val="000000" w:themeColor="text1"/>
          <w:sz w:val="24"/>
          <w:szCs w:val="24"/>
        </w:rPr>
        <w:fldChar w:fldCharType="separate"/>
      </w:r>
      <w:r w:rsidR="009C3E63" w:rsidRPr="00D11245">
        <w:rPr>
          <w:rFonts w:ascii="Calibri" w:hAnsi="Calibri" w:cs="Calibri"/>
          <w:color w:val="000000" w:themeColor="text1"/>
          <w:kern w:val="0"/>
          <w:sz w:val="24"/>
          <w:vertAlign w:val="superscript"/>
        </w:rPr>
        <w:t>115</w:t>
      </w:r>
      <w:r w:rsidR="006564F8" w:rsidRPr="00D11245">
        <w:rPr>
          <w:rFonts w:cs="Arial"/>
          <w:color w:val="000000" w:themeColor="text1"/>
          <w:sz w:val="24"/>
          <w:szCs w:val="24"/>
        </w:rPr>
        <w:fldChar w:fldCharType="end"/>
      </w:r>
      <w:r w:rsidRPr="00D11245">
        <w:rPr>
          <w:rFonts w:cs="Arial"/>
          <w:color w:val="000000" w:themeColor="text1"/>
          <w:sz w:val="24"/>
          <w:szCs w:val="24"/>
        </w:rPr>
        <w:t xml:space="preserve">. </w:t>
      </w:r>
      <w:r w:rsidRPr="00D11245">
        <w:rPr>
          <w:rFonts w:ascii="Calibri" w:hAnsi="Calibri" w:cs="Calibri"/>
          <w:color w:val="000000" w:themeColor="text1"/>
          <w:sz w:val="24"/>
          <w:szCs w:val="24"/>
        </w:rPr>
        <w:t xml:space="preserve">Physical examination usually demonstrates tenderness over the liver and hepatomegaly in about 50% of cases </w:t>
      </w:r>
      <w:r w:rsidR="006564F8" w:rsidRPr="00D11245">
        <w:rPr>
          <w:rFonts w:ascii="Calibri" w:hAnsi="Calibri" w:cs="Calibri"/>
          <w:color w:val="000000" w:themeColor="text1"/>
          <w:sz w:val="24"/>
          <w:szCs w:val="24"/>
        </w:rPr>
        <w:fldChar w:fldCharType="begin"/>
      </w:r>
      <w:r w:rsidR="009C3E63" w:rsidRPr="00D11245">
        <w:rPr>
          <w:rFonts w:ascii="Calibri" w:hAnsi="Calibri" w:cs="Calibri"/>
          <w:color w:val="000000" w:themeColor="text1"/>
          <w:sz w:val="24"/>
          <w:szCs w:val="24"/>
        </w:rPr>
        <w:instrText xml:space="preserve"> ADDIN ZOTERO_ITEM CSL_CITATION {"citationID":"cgXgiq6s","properties":{"formattedCitation":"\\super 4,6,29,116\\nosupersub{}","plainCitation":"4,6,29,116","noteIndex":0},"citationItems":[{"id":2848,"uris":["http://zotero.org/groups/2497994/items/4CQVJEEC",["http://zotero.org/groups/2497994/items/4CQVJEEC"]],"itemData":{"id":2848,"type":"article-journal","abstract":"&lt;h2&gt;Summary&lt;/h2&gt;&lt;p&gt;Amoebiasis is the second leading cause of death from parasitic disease worldwide. The causative protozoan parasite, &lt;i&gt;Entamoeba histolytica&lt;/i&gt;, is a potent pathogen. Secreting proteinases that dissolve host tissues, killing host cells on contact, and engulfing red blood cells, &lt;i&gt;E histolytica&lt;/i&gt; trophozoites invade the intestinal mucosa, causing amoebic colitis. In some cases amoebas breach the mucosal barrier and travel through the portal circulation to the liver, where they cause abscesses consisting of a few &lt;i&gt;E histolytica&lt;/i&gt; trophozoites surrounding dead and dying hepatocytes and liquefied cellular debris. Amoebic liver abscesses grow inexorably and, at one time, were almost always fatal, but now even large abscesses can be cured by one dose of antibiotic. Evidence that what we thought was a single species based on morphology is, in fact, two genetically distinct species—now termed &lt;i&gt;Entamoeba histolytica&lt;/i&gt; (the pathogen) and &lt;i&gt;Entamoeba dispar&lt;/i&gt; (a commensal)—has turned conventional wisdom about the epidemiology and diagnosis of amoebiasis upside down. New models of disease have linked &lt;i&gt;E histolytica&lt;/i&gt; induction of intestinal inflammation and hepatocyte programmed cell death to the pathogenesis of amoebic colitis and amoebic liver abscess.&lt;/p&gt;","container-title":"The Lancet","DOI":"10.1016/S0140-6736(03)12830-9","ISSN":"0140-6736, 1474-547X","issue":"9362","journalAbbreviation":"The Lancet","language":"English","note":"PMID: 12660071","page":"1025-1034","source":"www.thelancet.com","title":"Amoebiasis","volume":"361","author":[{"family":"Stanley","given":"Samuel L."}],"issued":{"date-parts":[["2003",3,22]]}}},{"id":1684,"uris":["http://zotero.org/groups/2497994/items/8XTEUHWF",["http://zotero.org/groups/2497994/items/8XTEUHWF"]],"itemData":{"id":1684,"type":"article-journal","abstract":"Amebiasis, due to the pathogenic parasite Entamoeba histolytica, is a leading cause of diarrhea globally. Largely an infection of impoverished communities in developing countries, amebiasis has emerged as an important infection among returning travelers, immigrants, and men who have sex with men residing in developed countries. Severe cases can be associated with high case fatality. Polymerase chain reaction-based diagnosis is increasingly available but remains underutilized. Nitroimidazoles are currently recommended for treatment, but new drug development to treat parasitic agents is a high priority. Amebiasis should be considered before corticosteroid therapy to decrease complications. There is no effective vaccine, so prevention focuses on sanitation and access to clean water. Further understanding of parasite biology and pathogenesis will advance future targeted therapeutic and preventative strategies.Copyright © The Author(s) 2018. Published by Oxford University Press on behalf of Infectious Diseases Society of America.","container-title":"Open Forum Infectious Diseases","DOI":"10.1093/ofid/ofy161","ISSN":"2328-8957 (electronic)","issue":"7","journalAbbreviation":"Open Forum Infect. Dis.","language":"English","note":"publisher-place: United States\npublisher: Oxford University Press (E-mail: info@idsociety.org)","page":"ofy161","title":"A review of the global burden, new diagnostics, and current Therapeutics for amebiasis","volume":"5","author":[{"literal":"Shirley D.T."},{"literal":"Farr L."},{"literal":"Watanabe K."},{"literal":"Moonah S."}],"issued":{"date-parts":[["2018"]]}}},{"id":2200,"uris":["http://zotero.org/groups/2497994/items/ZIQK79Q3",["http://zotero.org/groups/2497994/items/ZIQK79Q3"]],"itemData":{"id":2200,"type":"article-journal","abstract":"Entamoeba histolytica is the responsible parasite of amoebiasis and remains one of the top three parasitic causes of mortality worldwide. With increased travel and emigration to developed countries, infection is becoming more common in nonendemic areas. Although the majority of individuals infected with E. histolytica remain asymptomatic, some present with amoebic colitis and disseminated disease. As more is learned about its pathogenesis and the host's immune response, the potential for developing a vaccine holds promise. This narrative review outlines the current knowledge regarding E. histolytica and E. dispar and insight in the development of a vaccine.Copyright © 2018 Micaella Kantor et al.","container-title":"Canadian Journal of Gastroenterology and Hepatology","DOI":"10.1155/2018/4601420","ISSN":"2291-2789","issue":"(Kantor, Abrantes, Estevez, Schiller, Torrent, Gascon, Hernandez) Kendall Regional Medical Center, Miami, FL, United States","journalAbbreviation":"Can. J. Gastroenterol. Hepatol.","language":"English","note":"publisher-place: United States\npublisher: Hindawi Limited (410 Park Avenue, 15th Floor, 287 pmb, New York NY 10022, United States)","page":"4601420","title":"Entamoeba Histolytica: Updates in Clinical Manifestation, Pathogenesis, and Vaccine Development","volume":"2018","author":[{"literal":"Kantor M."},{"literal":"Abrantes A."},{"literal":"Estevez A."},{"literal":"Schiller A."},{"literal":"Torrent J."},{"literal":"Gascon J."},{"literal":"Hernandez R."},{"literal":"Ochner C."}],"issued":{"date-parts":[["2018"]]}}},{"id":821,"uris":["http://zotero.org/groups/2497994/items/YHQWUARC"],"itemData":{"id":821,"type":"thesis","abstract":"INTRODUCTION: Liver abscess continues to be a major diagnostic and therapeutic challenge to the medical fraternity. It is a life threatening and a potentially serious condition if left untreated. Therefore, it is very important for prompt diagnosis and appropriate management at the earliest. The two common types of liver abscess encountered are amoebic liver abscess and pyogenic liver abscess. Amoebiasis is a common infestation in developing countries due to poor sanitary facilities. It affects about 10% of the population all over the world. Amoebic liver abscess is the commonest extra intestinal manifestation of amoebiasis. It affects about 3-9% of victims. India is an endemic zone for amoebic liver abscess. It may present as acute abdomen requiring emergency laparotomy. Spontaneous intraperitoneal rupture, extra and retroperitoneal rupture and intrathoracic rupture are frequently seen in liver abscess. Delay in diagnosis may lead to rupture of liver abscess which may increase the morbidity as well as mortality. AIM OF THE STUDY: The aim of this prospective study is 1. To study the incidence and etiology of liver abscess. 2. To evaluate the clinical features of liver abscess. 3. To evaluate the management and prognosis in liver abscess. SUBJECTS AND METHODS: This study was conducted in Government Mohan Kumaramangalam Medical College Hospital, Salem from June’ 2010 to November’ 2012. CASE SELECTION: The study population consists of patients admitted in General Surgery wards of Government Mohan Kumaramangalam Medical College Hospital, Salem with features suggestive of Liver Abscess. INCLUSION CRITERIA: Patients admitted in General Surgery wards of Government Mohan Kumaramangalam Medical College Hospital, Salem confirmed to be of liver abscess. EXCLUSION CRITERIA: 1. Hydatid cyst of Liver, 2. Solid masses of the Liver, 3. Primary and Secondary malignancy of Liver. A total of 99 cases satisfying the inclusion criteria were recruited in the study. RESULTS: A master chart shown in Appendix-iii is designed for the data collected during the study period and various epidemiological and statistical details are analyzed and the results calculated with graphs and charts at appropriate places for better understanding. CONCLUSIONS: Liver abscess constitutes 0.29% of total surgical ward hospitalizations per year. Liver abscess was more commonly seen in the age group of 41-50 years. Male predominance 97.9% was seen in liver abscess. Nearly two thirds of cases of liver abscess had a history of alcohol intake. Majority of liver abscess were amoebic and nearly 10% were pyogenic. Eschericia coli was the commonest organism causing pyogenic liver abscess. Abdominal pain was the commonest symptom of liver abscess followed by abdominal distension and fever. Right hypochondrial tenderness and intercostal tenderness were the common clinical signs in liver abscess. There was a predominant involvement of the right lobe of the liver. Percutaneous aspiration of abscess with anti amoebic and antibiotics forms the mainstay of treatment. Percutaneous catheter drainage is method of choice in failed aspiration and laprascopic drainage or laparotomy and drainage is indicated in ruptured liver abscess.","language":"en","title":"A Prospective Study on Incidence, Etiopathogenesis, Clinical Presentation, Management and Prognosis of Liver Abscess","URL":"http://repository-tnmgrmu.ac.in/12467/","author":[{"family":"Banurekha","given":"R"}],"issued":{"date-parts":[["2013"]]}}}],"schema":"https://github.com/citation-style-language/schema/raw/master/csl-citation.json"} </w:instrText>
      </w:r>
      <w:r w:rsidR="006564F8" w:rsidRPr="00D11245">
        <w:rPr>
          <w:rFonts w:ascii="Calibri" w:hAnsi="Calibri" w:cs="Calibri"/>
          <w:color w:val="000000" w:themeColor="text1"/>
          <w:sz w:val="24"/>
          <w:szCs w:val="24"/>
        </w:rPr>
        <w:fldChar w:fldCharType="separate"/>
      </w:r>
      <w:r w:rsidR="009C3E63" w:rsidRPr="00D11245">
        <w:rPr>
          <w:rFonts w:ascii="Calibri" w:hAnsi="Calibri" w:cs="Calibri"/>
          <w:color w:val="000000" w:themeColor="text1"/>
          <w:kern w:val="0"/>
          <w:sz w:val="24"/>
          <w:vertAlign w:val="superscript"/>
        </w:rPr>
        <w:t>4,6,29,116</w:t>
      </w:r>
      <w:r w:rsidR="006564F8" w:rsidRPr="00D11245">
        <w:rPr>
          <w:rFonts w:ascii="Calibri" w:hAnsi="Calibri" w:cs="Calibri"/>
          <w:color w:val="000000" w:themeColor="text1"/>
          <w:sz w:val="24"/>
          <w:szCs w:val="24"/>
        </w:rPr>
        <w:fldChar w:fldCharType="end"/>
      </w:r>
      <w:r w:rsidRPr="00D11245">
        <w:rPr>
          <w:rFonts w:ascii="Calibri" w:hAnsi="Calibri" w:cs="Calibri"/>
          <w:color w:val="000000" w:themeColor="text1"/>
          <w:sz w:val="24"/>
          <w:szCs w:val="24"/>
        </w:rPr>
        <w:t>. A more chronic</w:t>
      </w:r>
      <w:r w:rsidR="0005255E" w:rsidRPr="00D11245">
        <w:rPr>
          <w:rFonts w:ascii="Calibri" w:hAnsi="Calibri" w:cs="Calibri"/>
          <w:color w:val="000000" w:themeColor="text1"/>
          <w:sz w:val="24"/>
          <w:szCs w:val="24"/>
        </w:rPr>
        <w:t>,</w:t>
      </w:r>
      <w:r w:rsidRPr="00D11245">
        <w:rPr>
          <w:rFonts w:ascii="Calibri" w:hAnsi="Calibri" w:cs="Calibri"/>
          <w:color w:val="000000" w:themeColor="text1"/>
          <w:sz w:val="24"/>
          <w:szCs w:val="24"/>
        </w:rPr>
        <w:t xml:space="preserve"> subtle </w:t>
      </w:r>
      <w:r w:rsidR="00606998" w:rsidRPr="00D11245">
        <w:rPr>
          <w:rFonts w:ascii="Calibri" w:hAnsi="Calibri" w:cs="Calibri"/>
          <w:color w:val="000000" w:themeColor="text1"/>
          <w:sz w:val="24"/>
          <w:szCs w:val="24"/>
        </w:rPr>
        <w:t>presentation</w:t>
      </w:r>
      <w:r w:rsidR="00613E9D" w:rsidRPr="00D11245">
        <w:rPr>
          <w:rFonts w:ascii="Calibri" w:hAnsi="Calibri" w:cs="Calibri"/>
          <w:color w:val="000000" w:themeColor="text1"/>
          <w:sz w:val="24"/>
          <w:szCs w:val="24"/>
        </w:rPr>
        <w:t xml:space="preserve"> </w:t>
      </w:r>
      <w:r w:rsidR="00606998" w:rsidRPr="00D11245">
        <w:rPr>
          <w:rFonts w:ascii="Calibri" w:hAnsi="Calibri" w:cs="Calibri"/>
          <w:color w:val="000000" w:themeColor="text1"/>
          <w:sz w:val="24"/>
          <w:szCs w:val="24"/>
        </w:rPr>
        <w:t>has</w:t>
      </w:r>
      <w:r w:rsidR="00077428" w:rsidRPr="00D11245">
        <w:rPr>
          <w:rFonts w:ascii="Calibri" w:hAnsi="Calibri" w:cs="Calibri"/>
          <w:color w:val="000000" w:themeColor="text1"/>
          <w:sz w:val="24"/>
          <w:szCs w:val="24"/>
        </w:rPr>
        <w:t xml:space="preserve"> also</w:t>
      </w:r>
      <w:r w:rsidRPr="00D11245">
        <w:rPr>
          <w:rFonts w:ascii="Calibri" w:hAnsi="Calibri" w:cs="Calibri"/>
          <w:color w:val="000000" w:themeColor="text1"/>
          <w:sz w:val="24"/>
          <w:szCs w:val="24"/>
        </w:rPr>
        <w:t xml:space="preserve"> been reported with symptoms of fever, weight loss and abdominal pain </w:t>
      </w:r>
      <w:r w:rsidR="00D46A11" w:rsidRPr="00D11245">
        <w:rPr>
          <w:rFonts w:ascii="Calibri" w:hAnsi="Calibri" w:cs="Calibri"/>
          <w:color w:val="000000" w:themeColor="text1"/>
          <w:sz w:val="24"/>
          <w:szCs w:val="24"/>
        </w:rPr>
        <w:t xml:space="preserve">developing over </w:t>
      </w:r>
      <w:r w:rsidRPr="00D11245">
        <w:rPr>
          <w:rFonts w:ascii="Calibri" w:hAnsi="Calibri" w:cs="Calibri"/>
          <w:color w:val="000000" w:themeColor="text1"/>
          <w:sz w:val="24"/>
          <w:szCs w:val="24"/>
        </w:rPr>
        <w:t xml:space="preserve">months </w:t>
      </w:r>
      <w:r w:rsidR="006564F8" w:rsidRPr="00D11245">
        <w:rPr>
          <w:rFonts w:ascii="Calibri" w:hAnsi="Calibri" w:cs="Calibri"/>
          <w:color w:val="000000" w:themeColor="text1"/>
          <w:sz w:val="24"/>
          <w:szCs w:val="24"/>
        </w:rPr>
        <w:fldChar w:fldCharType="begin"/>
      </w:r>
      <w:r w:rsidR="009C3E63" w:rsidRPr="00D11245">
        <w:rPr>
          <w:rFonts w:ascii="Calibri" w:hAnsi="Calibri" w:cs="Calibri"/>
          <w:color w:val="000000" w:themeColor="text1"/>
          <w:sz w:val="24"/>
          <w:szCs w:val="24"/>
        </w:rPr>
        <w:instrText xml:space="preserve"> ADDIN ZOTERO_ITEM CSL_CITATION {"citationID":"TdTu5TYr","properties":{"formattedCitation":"\\super 110\\nosupersub{}","plainCitation":"110","noteIndex":0},"citationItems":[{"id":1688,"uris":["http://zotero.org/groups/2497994/items/GISH798W"],"itemData":{"id":1688,"type":"article-journal","abstract":"Amoebic liver abscess (ALA) is an uncommon but potentially life-threatening complication of infection with the protozoan parasite Entamoeba histolytica. E histolytica is widely distributed throughout the tropics and subtropics, causing up to 40 million infections annually. The parasite is transmitted via the fecal-oral route, and once it establishes itself in the colon, it has the propensity to invade the mucosa, leading to ulceration and colitis, and to disseminate to distant extraintestinal sites, the most common of which is the liver. The authors provide a topical review of ALA and summarize clinical data from a series of 29 patients with ALA presenting to seven hospitals in Toronto, Ontario, a nonendemic setting, over 30 years.","container-title":"Canadian Journal of Gastroenterology and Hepatology","DOI":"10.1155/2012/852835","ISSN":"2291-2789","issue":"10","note":"WOS:000309763200013","page":"729-733","title":"A review of amoebic liver abscess for clinicians in a nonendemic setting","volume":"26","author":[{"family":"Wuerz","given":"Terry"},{"family":"Kane","given":"Jennifer B."},{"family":"Boggild","given":"Andrea K."},{"family":"Krajden","given":"Sigmund"},{"family":"Keystone","given":"Jay S."},{"family":"Fuksa","given":"Milan"},{"family":"Kain","given":"Kevin C."},{"family":"Warren","given":"Ralph"},{"family":"Kempston","given":"John"},{"family":"Anderson","given":"Joe"}],"issued":{"date-parts":[["2012",10]]}}}],"schema":"https://github.com/citation-style-language/schema/raw/master/csl-citation.json"} </w:instrText>
      </w:r>
      <w:r w:rsidR="006564F8" w:rsidRPr="00D11245">
        <w:rPr>
          <w:rFonts w:ascii="Calibri" w:hAnsi="Calibri" w:cs="Calibri"/>
          <w:color w:val="000000" w:themeColor="text1"/>
          <w:sz w:val="24"/>
          <w:szCs w:val="24"/>
        </w:rPr>
        <w:fldChar w:fldCharType="separate"/>
      </w:r>
      <w:r w:rsidR="009C3E63" w:rsidRPr="00D11245">
        <w:rPr>
          <w:rFonts w:ascii="Calibri" w:hAnsi="Calibri" w:cs="Calibri"/>
          <w:color w:val="000000" w:themeColor="text1"/>
          <w:kern w:val="0"/>
          <w:sz w:val="24"/>
          <w:vertAlign w:val="superscript"/>
        </w:rPr>
        <w:t>110</w:t>
      </w:r>
      <w:r w:rsidR="006564F8" w:rsidRPr="00D11245">
        <w:rPr>
          <w:rFonts w:ascii="Calibri" w:hAnsi="Calibri" w:cs="Calibri"/>
          <w:color w:val="000000" w:themeColor="text1"/>
          <w:sz w:val="24"/>
          <w:szCs w:val="24"/>
        </w:rPr>
        <w:fldChar w:fldCharType="end"/>
      </w:r>
      <w:r w:rsidR="00E318FF" w:rsidRPr="00D11245">
        <w:rPr>
          <w:rFonts w:ascii="Calibri" w:hAnsi="Calibri" w:cs="Calibri"/>
          <w:color w:val="000000" w:themeColor="text1"/>
          <w:sz w:val="24"/>
          <w:szCs w:val="24"/>
        </w:rPr>
        <w:t xml:space="preserve"> and</w:t>
      </w:r>
      <w:r w:rsidR="00A33EAE" w:rsidRPr="00D11245">
        <w:rPr>
          <w:rFonts w:ascii="Calibri" w:hAnsi="Calibri" w:cs="Calibri"/>
          <w:color w:val="000000" w:themeColor="text1"/>
          <w:sz w:val="24"/>
          <w:szCs w:val="24"/>
        </w:rPr>
        <w:t xml:space="preserve"> </w:t>
      </w:r>
      <w:r w:rsidR="00B67DEC" w:rsidRPr="00D11245">
        <w:rPr>
          <w:rFonts w:ascii="Calibri" w:hAnsi="Calibri" w:cs="Calibri"/>
          <w:color w:val="000000" w:themeColor="text1"/>
          <w:sz w:val="24"/>
          <w:szCs w:val="24"/>
        </w:rPr>
        <w:t>r</w:t>
      </w:r>
      <w:r w:rsidRPr="00D11245">
        <w:rPr>
          <w:rFonts w:ascii="Calibri" w:hAnsi="Calibri" w:cs="Calibri"/>
          <w:color w:val="000000" w:themeColor="text1"/>
          <w:sz w:val="24"/>
          <w:szCs w:val="24"/>
        </w:rPr>
        <w:t>ecurrence of the disease over many years</w:t>
      </w:r>
      <w:r w:rsidR="00A33EAE" w:rsidRPr="00D11245">
        <w:rPr>
          <w:rFonts w:ascii="Calibri" w:hAnsi="Calibri" w:cs="Calibri"/>
          <w:color w:val="000000" w:themeColor="text1"/>
          <w:sz w:val="24"/>
          <w:szCs w:val="24"/>
        </w:rPr>
        <w:t>,</w:t>
      </w:r>
      <w:r w:rsidRPr="00D11245">
        <w:rPr>
          <w:rFonts w:ascii="Calibri" w:hAnsi="Calibri" w:cs="Calibri"/>
          <w:color w:val="000000" w:themeColor="text1"/>
          <w:sz w:val="24"/>
          <w:szCs w:val="24"/>
        </w:rPr>
        <w:t xml:space="preserve"> despite appropriate treatment</w:t>
      </w:r>
      <w:r w:rsidR="00077428" w:rsidRPr="00D11245">
        <w:rPr>
          <w:rFonts w:ascii="Calibri" w:hAnsi="Calibri" w:cs="Calibri"/>
          <w:color w:val="000000" w:themeColor="text1"/>
          <w:sz w:val="24"/>
          <w:szCs w:val="24"/>
        </w:rPr>
        <w:t>,</w:t>
      </w:r>
      <w:r w:rsidRPr="00D11245">
        <w:rPr>
          <w:rFonts w:ascii="Calibri" w:hAnsi="Calibri" w:cs="Calibri"/>
          <w:color w:val="000000" w:themeColor="text1"/>
          <w:sz w:val="24"/>
          <w:szCs w:val="24"/>
        </w:rPr>
        <w:t xml:space="preserve"> </w:t>
      </w:r>
      <w:r w:rsidR="00077428" w:rsidRPr="00D11245">
        <w:rPr>
          <w:rFonts w:ascii="Calibri" w:hAnsi="Calibri" w:cs="Calibri"/>
          <w:color w:val="000000" w:themeColor="text1"/>
          <w:sz w:val="24"/>
          <w:szCs w:val="24"/>
        </w:rPr>
        <w:t>may rarely occur</w:t>
      </w:r>
      <w:r w:rsidR="006564F8" w:rsidRPr="00D11245">
        <w:rPr>
          <w:rFonts w:ascii="Calibri" w:hAnsi="Calibri" w:cs="Calibri"/>
          <w:color w:val="000000" w:themeColor="text1"/>
          <w:sz w:val="24"/>
          <w:szCs w:val="24"/>
        </w:rPr>
        <w:t xml:space="preserve"> </w:t>
      </w:r>
      <w:r w:rsidR="006564F8" w:rsidRPr="00D11245">
        <w:rPr>
          <w:rFonts w:ascii="Calibri" w:hAnsi="Calibri" w:cs="Calibri"/>
          <w:color w:val="000000" w:themeColor="text1"/>
          <w:sz w:val="24"/>
          <w:szCs w:val="24"/>
        </w:rPr>
        <w:fldChar w:fldCharType="begin"/>
      </w:r>
      <w:r w:rsidR="009C3E63" w:rsidRPr="00D11245">
        <w:rPr>
          <w:rFonts w:ascii="Calibri" w:hAnsi="Calibri" w:cs="Calibri"/>
          <w:color w:val="000000" w:themeColor="text1"/>
          <w:sz w:val="24"/>
          <w:szCs w:val="24"/>
        </w:rPr>
        <w:instrText xml:space="preserve"> ADDIN ZOTERO_ITEM CSL_CITATION {"citationID":"mW4QsSRQ","properties":{"formattedCitation":"\\super 117\\nosupersub{}","plainCitation":"117","noteIndex":0},"citationItems":[{"id":1151,"uris":["http://zotero.org/groups/2497994/items/C3GM9WEK"],"itemData":{"id":1151,"type":"article-journal","abstract":"Recurrence of amebic liver abscess is uncommon. We report a 62-year-old man presenting with amebic liver abscess thrice in last 5 years.","container-title":"Indian journal of gastroenterology : official journal of the Indian Society of Gastroenterology","DOI":"10.1007/s12664-012-0210-4","ISSN":"0975-0711","issue":"5","journalAbbreviation":"Indian J Gastroenterol","note":"publisher-place: India\nSingal, Dinesh Kumar. Department of Gastroenterology, Pushpawati Singhania Research Institute for Liver, Renal and Digestive Diseases, Press Enclave Marg, Sheikh Sarai, Phase II, Delhi, 110 017, India. dineshsingal64@gmail.com","page":"271-3","title":"Recurrent amebic liver abscess.","volume":"31","author":[{"family":"Singal","given":"Dinesh Kumar"},{"family":"Mittal","given":"Amit"},{"family":"Prakash","given":"Anukalp"}],"issued":{"date-parts":[["2012"]]}}}],"schema":"https://github.com/citation-style-language/schema/raw/master/csl-citation.json"} </w:instrText>
      </w:r>
      <w:r w:rsidR="006564F8" w:rsidRPr="00D11245">
        <w:rPr>
          <w:rFonts w:ascii="Calibri" w:hAnsi="Calibri" w:cs="Calibri"/>
          <w:color w:val="000000" w:themeColor="text1"/>
          <w:sz w:val="24"/>
          <w:szCs w:val="24"/>
        </w:rPr>
        <w:fldChar w:fldCharType="separate"/>
      </w:r>
      <w:r w:rsidR="009C3E63" w:rsidRPr="00D11245">
        <w:rPr>
          <w:rFonts w:ascii="Calibri" w:hAnsi="Calibri" w:cs="Calibri"/>
          <w:color w:val="000000" w:themeColor="text1"/>
          <w:kern w:val="0"/>
          <w:sz w:val="24"/>
          <w:vertAlign w:val="superscript"/>
        </w:rPr>
        <w:t>117</w:t>
      </w:r>
      <w:r w:rsidR="006564F8" w:rsidRPr="00D11245">
        <w:rPr>
          <w:rFonts w:ascii="Calibri" w:hAnsi="Calibri" w:cs="Calibri"/>
          <w:color w:val="000000" w:themeColor="text1"/>
          <w:sz w:val="24"/>
          <w:szCs w:val="24"/>
        </w:rPr>
        <w:fldChar w:fldCharType="end"/>
      </w:r>
      <w:r w:rsidRPr="00D11245">
        <w:rPr>
          <w:rFonts w:ascii="Calibri" w:hAnsi="Calibri" w:cs="Calibri"/>
          <w:color w:val="000000" w:themeColor="text1"/>
          <w:sz w:val="24"/>
          <w:szCs w:val="24"/>
        </w:rPr>
        <w:t>.</w:t>
      </w:r>
    </w:p>
    <w:p w14:paraId="1FAF8242" w14:textId="601BA7D5" w:rsidR="00DC4A23" w:rsidRPr="00D11245" w:rsidRDefault="00DC4A23" w:rsidP="002B5C3E">
      <w:pPr>
        <w:jc w:val="both"/>
        <w:rPr>
          <w:rFonts w:ascii="Calibri" w:hAnsi="Calibri" w:cs="Calibri"/>
          <w:color w:val="000000" w:themeColor="text1"/>
          <w:sz w:val="24"/>
          <w:szCs w:val="24"/>
        </w:rPr>
      </w:pPr>
      <w:r w:rsidRPr="00D11245">
        <w:rPr>
          <w:rFonts w:ascii="Calibri" w:hAnsi="Calibri" w:cs="Calibri"/>
          <w:color w:val="000000" w:themeColor="text1"/>
          <w:sz w:val="24"/>
          <w:szCs w:val="24"/>
        </w:rPr>
        <w:t>ALA was once a uniformly progressive and fatal disease</w:t>
      </w:r>
      <w:r w:rsidR="000F2033" w:rsidRPr="00D11245">
        <w:rPr>
          <w:rFonts w:ascii="Calibri" w:hAnsi="Calibri" w:cs="Calibri"/>
          <w:color w:val="000000" w:themeColor="text1"/>
          <w:sz w:val="24"/>
          <w:szCs w:val="24"/>
        </w:rPr>
        <w:t>,</w:t>
      </w:r>
      <w:r w:rsidRPr="00D11245">
        <w:rPr>
          <w:rFonts w:ascii="Calibri" w:hAnsi="Calibri" w:cs="Calibri"/>
          <w:color w:val="000000" w:themeColor="text1"/>
          <w:sz w:val="24"/>
          <w:szCs w:val="24"/>
        </w:rPr>
        <w:t xml:space="preserve"> but the introduction of effective medical treatment has reduced its mortality rate to 1-3% in uncomplicated cases </w:t>
      </w:r>
      <w:r w:rsidR="006564F8" w:rsidRPr="00D11245">
        <w:rPr>
          <w:rFonts w:ascii="Calibri" w:hAnsi="Calibri" w:cs="Calibri"/>
          <w:color w:val="000000" w:themeColor="text1"/>
          <w:sz w:val="24"/>
          <w:szCs w:val="24"/>
        </w:rPr>
        <w:fldChar w:fldCharType="begin"/>
      </w:r>
      <w:r w:rsidR="004E524B" w:rsidRPr="00D11245">
        <w:rPr>
          <w:rFonts w:ascii="Calibri" w:hAnsi="Calibri" w:cs="Calibri"/>
          <w:color w:val="000000" w:themeColor="text1"/>
          <w:sz w:val="24"/>
          <w:szCs w:val="24"/>
        </w:rPr>
        <w:instrText xml:space="preserve"> ADDIN ZOTERO_ITEM CSL_CITATION {"citationID":"4w1FsTKv","properties":{"formattedCitation":"\\super 4\\nosupersub{}","plainCitation":"4","noteIndex":0},"citationItems":[{"id":2848,"uris":["http://zotero.org/groups/2497994/items/4CQVJEEC",["http://zotero.org/groups/2497994/items/4CQVJEEC"]],"itemData":{"id":2848,"type":"article-journal","abstract":"&lt;h2&gt;Summary&lt;/h2&gt;&lt;p&gt;Amoebiasis is the second leading cause of death from parasitic disease worldwide. The causative protozoan parasite, &lt;i&gt;Entamoeba histolytica&lt;/i&gt;, is a potent pathogen. Secreting proteinases that dissolve host tissues, killing host cells on contact, and engulfing red blood cells, &lt;i&gt;E histolytica&lt;/i&gt; trophozoites invade the intestinal mucosa, causing amoebic colitis. In some cases amoebas breach the mucosal barrier and travel through the portal circulation to the liver, where they cause abscesses consisting of a few &lt;i&gt;E histolytica&lt;/i&gt; trophozoites surrounding dead and dying hepatocytes and liquefied cellular debris. Amoebic liver abscesses grow inexorably and, at one time, were almost always fatal, but now even large abscesses can be cured by one dose of antibiotic. Evidence that what we thought was a single species based on morphology is, in fact, two genetically distinct species—now termed &lt;i&gt;Entamoeba histolytica&lt;/i&gt; (the pathogen) and &lt;i&gt;Entamoeba dispar&lt;/i&gt; (a commensal)—has turned conventional wisdom about the epidemiology and diagnosis of amoebiasis upside down. New models of disease have linked &lt;i&gt;E histolytica&lt;/i&gt; induction of intestinal inflammation and hepatocyte programmed cell death to the pathogenesis of amoebic colitis and amoebic liver abscess.&lt;/p&gt;","container-title":"The Lancet","DOI":"10.1016/S0140-6736(03)12830-9","ISSN":"0140-6736, 1474-547X","issue":"9362","journalAbbreviation":"The Lancet","language":"English","note":"PMID: 12660071","page":"1025-1034","source":"www.thelancet.com","title":"Amoebiasis","volume":"361","author":[{"family":"Stanley","given":"Samuel L."}],"issued":{"date-parts":[["2003",3,22]]}}}],"schema":"https://github.com/citation-style-language/schema/raw/master/csl-citation.json"} </w:instrText>
      </w:r>
      <w:r w:rsidR="006564F8" w:rsidRPr="00D11245">
        <w:rPr>
          <w:rFonts w:ascii="Calibri" w:hAnsi="Calibri" w:cs="Calibri"/>
          <w:color w:val="000000" w:themeColor="text1"/>
          <w:sz w:val="24"/>
          <w:szCs w:val="24"/>
        </w:rPr>
        <w:fldChar w:fldCharType="separate"/>
      </w:r>
      <w:r w:rsidR="004E524B" w:rsidRPr="00D11245">
        <w:rPr>
          <w:rFonts w:ascii="Calibri" w:hAnsi="Calibri" w:cs="Calibri"/>
          <w:color w:val="000000" w:themeColor="text1"/>
          <w:kern w:val="0"/>
          <w:sz w:val="24"/>
          <w:szCs w:val="24"/>
          <w:vertAlign w:val="superscript"/>
        </w:rPr>
        <w:t>4</w:t>
      </w:r>
      <w:r w:rsidR="006564F8" w:rsidRPr="00D11245">
        <w:rPr>
          <w:rFonts w:ascii="Calibri" w:hAnsi="Calibri" w:cs="Calibri"/>
          <w:color w:val="000000" w:themeColor="text1"/>
          <w:sz w:val="24"/>
          <w:szCs w:val="24"/>
        </w:rPr>
        <w:fldChar w:fldCharType="end"/>
      </w:r>
      <w:r w:rsidRPr="00D11245">
        <w:rPr>
          <w:rFonts w:ascii="Calibri" w:hAnsi="Calibri" w:cs="Calibri"/>
          <w:color w:val="000000" w:themeColor="text1"/>
          <w:sz w:val="24"/>
          <w:szCs w:val="24"/>
        </w:rPr>
        <w:t xml:space="preserve">. Prognostic markers for increased mortality include the presence of encephalopathy, hyperbilirubinemia, hypoalbuminemia and increased abscess size </w:t>
      </w:r>
      <w:r w:rsidR="006564F8" w:rsidRPr="00D11245">
        <w:rPr>
          <w:rFonts w:ascii="Calibri" w:hAnsi="Calibri" w:cs="Calibri"/>
          <w:color w:val="000000" w:themeColor="text1"/>
          <w:sz w:val="24"/>
          <w:szCs w:val="24"/>
        </w:rPr>
        <w:fldChar w:fldCharType="begin"/>
      </w:r>
      <w:r w:rsidR="009C3E63" w:rsidRPr="00D11245">
        <w:rPr>
          <w:rFonts w:ascii="Calibri" w:hAnsi="Calibri" w:cs="Calibri"/>
          <w:color w:val="000000" w:themeColor="text1"/>
          <w:sz w:val="24"/>
          <w:szCs w:val="24"/>
        </w:rPr>
        <w:instrText xml:space="preserve"> ADDIN ZOTERO_ITEM CSL_CITATION {"citationID":"ACkHpHmQ","properties":{"formattedCitation":"\\super 118\\nosupersub{}","plainCitation":"118","noteIndex":0},"citationItems":[{"id":550,"uris":["http://zotero.org/groups/2497994/items/2RCD4HUH"],"itemData":{"id":550,"type":"article-journal","abstract":"PMID:31040985","archive":"PubMed Central","container-title":"Clinical Liver Disease","DOI":"10.1002/cld.488","ISSN":"2046-2484","issue":"2","page":"41-41","title":"Amebic liver abscess","volume":"6","author":[{"family":"Anesi","given":"Judith A."},{"family":"Gluckman","given":"Stephen"}],"issued":{"date-parts":[["2015",8,24]]}}}],"schema":"https://github.com/citation-style-language/schema/raw/master/csl-citation.json"} </w:instrText>
      </w:r>
      <w:r w:rsidR="006564F8" w:rsidRPr="00D11245">
        <w:rPr>
          <w:rFonts w:ascii="Calibri" w:hAnsi="Calibri" w:cs="Calibri"/>
          <w:color w:val="000000" w:themeColor="text1"/>
          <w:sz w:val="24"/>
          <w:szCs w:val="24"/>
        </w:rPr>
        <w:fldChar w:fldCharType="separate"/>
      </w:r>
      <w:r w:rsidR="009C3E63" w:rsidRPr="00D11245">
        <w:rPr>
          <w:rFonts w:ascii="Calibri" w:hAnsi="Calibri" w:cs="Calibri"/>
          <w:color w:val="000000" w:themeColor="text1"/>
          <w:kern w:val="0"/>
          <w:sz w:val="24"/>
          <w:vertAlign w:val="superscript"/>
        </w:rPr>
        <w:t>118</w:t>
      </w:r>
      <w:r w:rsidR="006564F8" w:rsidRPr="00D11245">
        <w:rPr>
          <w:rFonts w:ascii="Calibri" w:hAnsi="Calibri" w:cs="Calibri"/>
          <w:color w:val="000000" w:themeColor="text1"/>
          <w:sz w:val="24"/>
          <w:szCs w:val="24"/>
        </w:rPr>
        <w:fldChar w:fldCharType="end"/>
      </w:r>
      <w:r w:rsidRPr="00D11245">
        <w:rPr>
          <w:rFonts w:ascii="Calibri" w:hAnsi="Calibri" w:cs="Calibri"/>
          <w:color w:val="000000" w:themeColor="text1"/>
          <w:sz w:val="24"/>
          <w:szCs w:val="24"/>
        </w:rPr>
        <w:t>. Other rare extra-intestinal manifestation</w:t>
      </w:r>
      <w:r w:rsidR="004919B7" w:rsidRPr="00D11245">
        <w:rPr>
          <w:rFonts w:ascii="Calibri" w:hAnsi="Calibri" w:cs="Calibri"/>
          <w:color w:val="000000" w:themeColor="text1"/>
          <w:sz w:val="24"/>
          <w:szCs w:val="24"/>
        </w:rPr>
        <w:t>s</w:t>
      </w:r>
      <w:r w:rsidRPr="00D11245">
        <w:rPr>
          <w:rFonts w:ascii="Calibri" w:hAnsi="Calibri" w:cs="Calibri"/>
          <w:color w:val="000000" w:themeColor="text1"/>
          <w:sz w:val="24"/>
          <w:szCs w:val="24"/>
        </w:rPr>
        <w:t xml:space="preserve"> may occur</w:t>
      </w:r>
      <w:r w:rsidR="005A12D5" w:rsidRPr="00D11245">
        <w:rPr>
          <w:rFonts w:ascii="Calibri" w:hAnsi="Calibri" w:cs="Calibri"/>
          <w:color w:val="000000" w:themeColor="text1"/>
          <w:sz w:val="24"/>
          <w:szCs w:val="24"/>
        </w:rPr>
        <w:t>,</w:t>
      </w:r>
      <w:r w:rsidRPr="00D11245">
        <w:rPr>
          <w:rFonts w:ascii="Calibri" w:hAnsi="Calibri" w:cs="Calibri"/>
          <w:color w:val="000000" w:themeColor="text1"/>
          <w:sz w:val="24"/>
          <w:szCs w:val="24"/>
        </w:rPr>
        <w:t xml:space="preserve"> </w:t>
      </w:r>
      <w:r w:rsidR="000F2033" w:rsidRPr="00D11245">
        <w:rPr>
          <w:rFonts w:ascii="Calibri" w:hAnsi="Calibri" w:cs="Calibri"/>
          <w:color w:val="000000" w:themeColor="text1"/>
          <w:sz w:val="24"/>
          <w:szCs w:val="24"/>
        </w:rPr>
        <w:t>as</w:t>
      </w:r>
      <w:r w:rsidRPr="00D11245">
        <w:rPr>
          <w:rFonts w:ascii="Calibri" w:hAnsi="Calibri" w:cs="Calibri"/>
          <w:color w:val="000000" w:themeColor="text1"/>
          <w:sz w:val="24"/>
          <w:szCs w:val="24"/>
        </w:rPr>
        <w:t xml:space="preserve"> described in </w:t>
      </w:r>
      <w:r w:rsidR="003C1D42" w:rsidRPr="00D11245">
        <w:rPr>
          <w:rFonts w:ascii="Calibri" w:hAnsi="Calibri" w:cs="Calibri"/>
          <w:color w:val="000000" w:themeColor="text1"/>
          <w:sz w:val="24"/>
          <w:szCs w:val="24"/>
        </w:rPr>
        <w:t>T</w:t>
      </w:r>
      <w:r w:rsidRPr="00D11245">
        <w:rPr>
          <w:rFonts w:ascii="Calibri" w:hAnsi="Calibri" w:cs="Calibri"/>
          <w:color w:val="000000" w:themeColor="text1"/>
          <w:sz w:val="24"/>
          <w:szCs w:val="24"/>
        </w:rPr>
        <w:t>able 2.</w:t>
      </w:r>
    </w:p>
    <w:tbl>
      <w:tblPr>
        <w:tblStyle w:val="TableGrid"/>
        <w:tblpPr w:leftFromText="180" w:rightFromText="180" w:vertAnchor="text" w:horzAnchor="margin" w:tblpY="1"/>
        <w:tblW w:w="5343" w:type="pct"/>
        <w:tblLayout w:type="fixed"/>
        <w:tblLook w:val="04A0" w:firstRow="1" w:lastRow="0" w:firstColumn="1" w:lastColumn="0" w:noHBand="0" w:noVBand="1"/>
      </w:tblPr>
      <w:tblGrid>
        <w:gridCol w:w="1362"/>
        <w:gridCol w:w="2530"/>
        <w:gridCol w:w="2915"/>
        <w:gridCol w:w="2827"/>
      </w:tblGrid>
      <w:tr w:rsidR="00D11245" w:rsidRPr="00D11245" w14:paraId="2AC11259" w14:textId="77777777" w:rsidTr="004E2862">
        <w:tc>
          <w:tcPr>
            <w:tcW w:w="5000" w:type="pct"/>
            <w:gridSpan w:val="4"/>
            <w:shd w:val="clear" w:color="auto" w:fill="BDD6EE" w:themeFill="accent5" w:themeFillTint="66"/>
          </w:tcPr>
          <w:p w14:paraId="127B999F" w14:textId="4B65FF9A" w:rsidR="00DC4A23" w:rsidRPr="00D11245" w:rsidRDefault="003C1D42" w:rsidP="00DC4A23">
            <w:pPr>
              <w:jc w:val="both"/>
              <w:rPr>
                <w:rFonts w:ascii="Calibri" w:hAnsi="Calibri" w:cs="Calibri"/>
                <w:b/>
                <w:bCs/>
                <w:color w:val="000000" w:themeColor="text1"/>
              </w:rPr>
            </w:pPr>
            <w:r w:rsidRPr="00D11245">
              <w:rPr>
                <w:rFonts w:ascii="Calibri" w:hAnsi="Calibri" w:cs="Calibri"/>
                <w:b/>
                <w:bCs/>
                <w:color w:val="000000" w:themeColor="text1"/>
              </w:rPr>
              <w:t xml:space="preserve">Table 2: </w:t>
            </w:r>
            <w:r w:rsidR="00DC4A23" w:rsidRPr="00D11245">
              <w:rPr>
                <w:rFonts w:ascii="Calibri" w:hAnsi="Calibri" w:cs="Calibri"/>
                <w:b/>
                <w:bCs/>
                <w:color w:val="000000" w:themeColor="text1"/>
              </w:rPr>
              <w:t xml:space="preserve">Rare extra-intestinal manifestations of </w:t>
            </w:r>
            <w:r w:rsidR="00DC4A23" w:rsidRPr="00D11245">
              <w:rPr>
                <w:rFonts w:ascii="Calibri" w:hAnsi="Calibri" w:cs="Calibri"/>
                <w:b/>
                <w:bCs/>
                <w:i/>
                <w:iCs/>
                <w:color w:val="000000" w:themeColor="text1"/>
              </w:rPr>
              <w:t>E. histolytica</w:t>
            </w:r>
            <w:r w:rsidR="00DC4A23" w:rsidRPr="00D11245">
              <w:rPr>
                <w:rFonts w:ascii="Calibri" w:hAnsi="Calibri" w:cs="Calibri"/>
                <w:b/>
                <w:bCs/>
                <w:color w:val="000000" w:themeColor="text1"/>
              </w:rPr>
              <w:t xml:space="preserve"> infection</w:t>
            </w:r>
          </w:p>
        </w:tc>
      </w:tr>
      <w:tr w:rsidR="00D11245" w:rsidRPr="00D11245" w14:paraId="10A125B0" w14:textId="77777777" w:rsidTr="004E2862">
        <w:tc>
          <w:tcPr>
            <w:tcW w:w="707" w:type="pct"/>
            <w:shd w:val="clear" w:color="auto" w:fill="BDD6EE" w:themeFill="accent5" w:themeFillTint="66"/>
          </w:tcPr>
          <w:p w14:paraId="4BE9B2E7" w14:textId="77777777" w:rsidR="004E2862" w:rsidRPr="00D11245" w:rsidRDefault="004E2862" w:rsidP="00DC4A23">
            <w:pPr>
              <w:jc w:val="both"/>
              <w:rPr>
                <w:rFonts w:ascii="Calibri" w:hAnsi="Calibri" w:cs="Calibri"/>
                <w:b/>
                <w:bCs/>
                <w:color w:val="000000" w:themeColor="text1"/>
                <w:sz w:val="20"/>
                <w:szCs w:val="20"/>
              </w:rPr>
            </w:pPr>
            <w:r w:rsidRPr="00D11245">
              <w:rPr>
                <w:rFonts w:ascii="Calibri" w:hAnsi="Calibri" w:cs="Calibri"/>
                <w:b/>
                <w:bCs/>
                <w:color w:val="000000" w:themeColor="text1"/>
                <w:sz w:val="20"/>
                <w:szCs w:val="20"/>
              </w:rPr>
              <w:t>Site</w:t>
            </w:r>
          </w:p>
        </w:tc>
        <w:tc>
          <w:tcPr>
            <w:tcW w:w="1313" w:type="pct"/>
            <w:shd w:val="clear" w:color="auto" w:fill="BDD6EE" w:themeFill="accent5" w:themeFillTint="66"/>
          </w:tcPr>
          <w:p w14:paraId="5F812833" w14:textId="77777777" w:rsidR="004E2862" w:rsidRPr="00D11245" w:rsidRDefault="004E2862" w:rsidP="00DC4A23">
            <w:pPr>
              <w:jc w:val="both"/>
              <w:rPr>
                <w:rFonts w:ascii="Calibri" w:hAnsi="Calibri" w:cs="Calibri"/>
                <w:b/>
                <w:bCs/>
                <w:color w:val="000000" w:themeColor="text1"/>
                <w:sz w:val="20"/>
                <w:szCs w:val="20"/>
              </w:rPr>
            </w:pPr>
            <w:r w:rsidRPr="00D11245">
              <w:rPr>
                <w:rFonts w:ascii="Calibri" w:hAnsi="Calibri" w:cs="Calibri"/>
                <w:b/>
                <w:bCs/>
                <w:color w:val="000000" w:themeColor="text1"/>
                <w:sz w:val="20"/>
                <w:szCs w:val="20"/>
              </w:rPr>
              <w:t>Risk</w:t>
            </w:r>
          </w:p>
        </w:tc>
        <w:tc>
          <w:tcPr>
            <w:tcW w:w="1513" w:type="pct"/>
            <w:shd w:val="clear" w:color="auto" w:fill="BDD6EE" w:themeFill="accent5" w:themeFillTint="66"/>
          </w:tcPr>
          <w:p w14:paraId="78F01606" w14:textId="77777777" w:rsidR="004E2862" w:rsidRPr="00D11245" w:rsidRDefault="004E2862" w:rsidP="00DC4A23">
            <w:pPr>
              <w:jc w:val="both"/>
              <w:rPr>
                <w:rFonts w:ascii="Calibri" w:hAnsi="Calibri" w:cs="Calibri"/>
                <w:b/>
                <w:bCs/>
                <w:color w:val="000000" w:themeColor="text1"/>
                <w:sz w:val="20"/>
                <w:szCs w:val="20"/>
              </w:rPr>
            </w:pPr>
            <w:r w:rsidRPr="00D11245">
              <w:rPr>
                <w:rFonts w:ascii="Calibri" w:hAnsi="Calibri" w:cs="Calibri"/>
                <w:b/>
                <w:bCs/>
                <w:color w:val="000000" w:themeColor="text1"/>
                <w:sz w:val="20"/>
                <w:szCs w:val="20"/>
              </w:rPr>
              <w:t>Clinical features</w:t>
            </w:r>
          </w:p>
        </w:tc>
        <w:tc>
          <w:tcPr>
            <w:tcW w:w="1467" w:type="pct"/>
            <w:shd w:val="clear" w:color="auto" w:fill="BDD6EE" w:themeFill="accent5" w:themeFillTint="66"/>
          </w:tcPr>
          <w:p w14:paraId="2D89DACB" w14:textId="77777777" w:rsidR="004E2862" w:rsidRPr="00D11245" w:rsidRDefault="004E2862" w:rsidP="00DC4A23">
            <w:pPr>
              <w:jc w:val="both"/>
              <w:rPr>
                <w:rFonts w:ascii="Calibri" w:hAnsi="Calibri" w:cs="Calibri"/>
                <w:b/>
                <w:bCs/>
                <w:color w:val="000000" w:themeColor="text1"/>
                <w:sz w:val="20"/>
                <w:szCs w:val="20"/>
              </w:rPr>
            </w:pPr>
            <w:r w:rsidRPr="00D11245">
              <w:rPr>
                <w:rFonts w:ascii="Calibri" w:hAnsi="Calibri" w:cs="Calibri"/>
                <w:b/>
                <w:bCs/>
                <w:color w:val="000000" w:themeColor="text1"/>
                <w:sz w:val="20"/>
                <w:szCs w:val="20"/>
              </w:rPr>
              <w:t>Prognosis</w:t>
            </w:r>
          </w:p>
        </w:tc>
      </w:tr>
      <w:tr w:rsidR="00D11245" w:rsidRPr="00D11245" w14:paraId="16B12417" w14:textId="77777777" w:rsidTr="004E2862">
        <w:tc>
          <w:tcPr>
            <w:tcW w:w="707" w:type="pct"/>
            <w:shd w:val="clear" w:color="auto" w:fill="DEEAF6" w:themeFill="accent5" w:themeFillTint="33"/>
          </w:tcPr>
          <w:p w14:paraId="231C455F" w14:textId="77777777" w:rsidR="004E2862" w:rsidRPr="00D11245" w:rsidRDefault="004E2862" w:rsidP="00DC4A23">
            <w:pPr>
              <w:rPr>
                <w:rFonts w:ascii="Calibri" w:hAnsi="Calibri" w:cs="Calibri"/>
                <w:b/>
                <w:bCs/>
                <w:color w:val="000000" w:themeColor="text1"/>
                <w:sz w:val="20"/>
                <w:szCs w:val="20"/>
              </w:rPr>
            </w:pPr>
            <w:r w:rsidRPr="00D11245">
              <w:rPr>
                <w:rFonts w:ascii="Calibri" w:hAnsi="Calibri" w:cs="Calibri"/>
                <w:b/>
                <w:bCs/>
                <w:color w:val="000000" w:themeColor="text1"/>
                <w:sz w:val="20"/>
                <w:szCs w:val="20"/>
              </w:rPr>
              <w:t>Pulmonary</w:t>
            </w:r>
          </w:p>
          <w:p w14:paraId="112F9174" w14:textId="109897E4" w:rsidR="004E2862" w:rsidRPr="00D11245" w:rsidRDefault="004E2862" w:rsidP="00DC4A23">
            <w:pPr>
              <w:rPr>
                <w:rFonts w:ascii="Calibri" w:hAnsi="Calibri" w:cs="Calibri"/>
                <w:b/>
                <w:bCs/>
                <w:color w:val="000000" w:themeColor="text1"/>
                <w:sz w:val="20"/>
                <w:szCs w:val="20"/>
              </w:rPr>
            </w:pPr>
            <w:r w:rsidRPr="00D11245">
              <w:rPr>
                <w:rFonts w:ascii="Calibri" w:hAnsi="Calibri" w:cs="Calibri"/>
                <w:color w:val="000000" w:themeColor="text1"/>
                <w:sz w:val="20"/>
                <w:szCs w:val="20"/>
              </w:rPr>
              <w:fldChar w:fldCharType="begin"/>
            </w:r>
            <w:r w:rsidR="009C3E63" w:rsidRPr="00D11245">
              <w:rPr>
                <w:rFonts w:ascii="Calibri" w:hAnsi="Calibri" w:cs="Calibri"/>
                <w:color w:val="000000" w:themeColor="text1"/>
                <w:sz w:val="20"/>
                <w:szCs w:val="20"/>
              </w:rPr>
              <w:instrText xml:space="preserve"> ADDIN ZOTERO_ITEM CSL_CITATION {"citationID":"98ODgByG","properties":{"formattedCitation":"\\super 119\\uc0\\u8211{}122\\nosupersub{}","plainCitation":"119–122","noteIndex":0},"citationItems":[{"id":1942,"uris":["http://zotero.org/groups/2497994/items/5M3CTE9A"],"itemData":{"id":1942,"type":"article-journal","abstract":"Pleuropulmonary amebiasis is an uncommon complication of Entamoeba histolytica infection. It typically occurs in endemic regions including Central and South America, Africa and the Indian subcontinent. The case of a previously healthy US Army male stationed in Liberia with an acute onset of fevers, abdominal pain and bloody diarrhea is presented. He developed a productive cough with pleuritic chest pain and imaging revealed multiple liver abscesses, with rupture through the diaphragm causing a large right pleural empyema. A positive Entamoeba histolytica serum antibody and pleural fluid antigen confirmed the diagnosis. Surgical drainage of the pleural empyema and medical treatment with antiparasitics were necessary for symptom and disease resolution. © 2010 by The Southern Medical Association.","container-title":"Southern Medical Journal","DOI":"10.1097/SMJ.0b013e3181c0afc1","ISSN":"0038-4348","issue":"2","journalAbbreviation":"South. Med. J.","language":"English","note":"publisher-place: United States\npublisher: Lippincott Williams and Wilkins (530 Walnut Street,P O Box 327, Philadelphia PA 19106-3621, United States)","page":"165-168","title":"Dyspnea and dysentery: A case report of pleuropulmonary amebiasis","volume":"103","author":[{"literal":"Shrestha M."},{"literal":"Shah A."},{"literal":"Lettieri C."}],"issued":{"date-parts":[["2010"]]}}},{"id":1433,"uris":["http://zotero.org/groups/2497994/items/39UMBUV2"],"itemData":{"id":1433,"type":"article-journal","abstract":"A 32-year-old male patient presented with haemoptysis in the background of high-grade fever for 3 weeks. Chest examination and x-ray were suggestive of right-sided moderate pleural effusion. On finding tender hepatomegaly in abdominal examination, an ultrasonography of abdomen was performed which was suggestive of ruptured hepatic abscess. Cytological examination of both sputum and aspirate from hepatic abscess showed neutrophilic debris mixed with red blood cells. The serological test for antibody to Entamoeba histolytica was positive. Computerised tomography-guided trans-tracheal fistulogram demonstrated presence of hepato-bronchial fistula. Our case responded to conservative management. Follow-up ultrasonography after 6 months showed total abolition of abscess cavity and sealing of bronchial connection. Amoebic liver abscess complicating into hepato-bronchial fistula is thought to be an obsolete entity in contemporary world. But possibility of amoebic liver abscess should be kept in mind while managing a patient of haemoptysis in appropriate clinical setting in endemic areas. Copyright 2012 BMJ Publishing Group. All rights reserved.","container-title":"BMJ Case Reports","DOI":"10.1136/bcr-2012-006751","ISSN":"1757-790X (electronic)","issue":"(Talukdar, Mukherjee, Khanra, Saha) Department of General Medicine, Medical College, Kolkata, West Bengal, India","journalAbbreviation":"BMJ Case Rep.","language":"English","note":"publisher-place: United Kingdom\npublisher: BMJ Publishing Group (Tavistock Square, London WC1H 9JR, United Kingdom)","title":"An unusual cause of haemoptysis: A diagnostic challenge for clinicians","URL":"http://casereports.bmj.com/content/2012/bcr-2012-006751.full.pdf+html?sid=3b29937b-b6e0-458a-ad6c-860f11a740cb","author":[{"literal":"Talukdar A."},{"literal":"Mukherjee K."},{"literal":"Khanra D."},{"literal":"Saha M."}],"issued":{"date-parts":[["2012"]]}}},{"id":307,"uris":["http://zotero.org/groups/2497994/items/AUPCVLJL"],"itemData":{"id":307,"type":"article-journal","abstract":"Amoebiasis is a worldwide parasitic infection although it is more prevalent in the subtropical and tropical countries. Extraintestinal amoebic infections currently have been reported in increased numbers of male homosexuals and immunocompromised patients. Here, we present an interesting case of a 27-year-old homosexual man with pleural empyema secondary to rupture of amoebic liver abscess. Using chest tube and percutaneous liver abscess drainage, the patient was treated with metronidazole followed by iodoquinol. His general condition improved dramatically. After one-year of follow-up, there was no evidence of relapse on plain chest radiography and abdominal CT scan.","container-title":"Internal Medicine","DOI":"10.2169/internalmedicine.51.6368","ISSN":"0918-2918","issue":"5","note":"WOS:000302555200005","page":"471-474","title":"Pleural Empyema Secondary to Rupture of Amoebic Liver Abscess","volume":"51","author":[{"family":"Chang","given":"Huai-Ren"},{"family":"Lee","given":"Jen-Jyh"},{"family":"Lin","given":"Chih-Bin"}],"issued":{"date-parts":[["2012"]]}}},{"id":1175,"uris":["http://zotero.org/groups/2497994/items/Q7S4E4HX"],"itemData":{"id":1175,"type":"article-journal","abstract":"BACKGROUND: Parasitic infections are still a significant health problem in rural areas in developing countries including Iran. There is no recent population-based data about the prevalence of human intestinal parasites in most rural areas of Iran. The current study aimed to determine the prevalence of intestinal protozoan infection in inhabitants of rural areas of Boyer-Ahmad district, Southwestern Iran., METHODS: A total of 1025 stool samples were collected from the inhabitant of 50 randomly selected villages in Boyer-Ahmad Township. The stool samples were evaluated by parasitological methods including, direct wet-mounting, formalin ethyl acetate concentration, zinc sulfate floatation, and Trichrome permanent stain for detection of protozoan infections. Diarrheic samples were further evaluated with a modified Ziehl-Neelsen staining method for detection of coccidian parasites., RESULTS: The prevalence of both pathogenic and nonpathogenic intestinal parasites in the population was 37.5% (385 out of 1025 cases), some individual with multiple infections. Giardia lamblia was detected in 179 (17.46%), Blastocystis hominis in 182 (17.76%), Entamoeba histolytica/dispar in 9 (0.87%), Endolimax nana in 216 (21.07%), Entamoeba coli in 151 (14.73%), Ioedamoeba butschlii in 45 (4.39%), Chillomastix mesnili in 22 (2.14%), Trichomonas hominis in 2 (0.19%) and Dientamoeba fragillis in 2 (0.19%) of cases. Multivariate logistic regression revealed significant associations between protozoan infection (pathogenic protozoa) and contact with animals (OR yes/no = 2.22, p &lt; 0.001) and educational status (OR higher/illiterate = 0.40, P = 0.01)., CONCLUSION: Findings of this study demonstrated that protozoan infection rate in rural areas of southwestern Iran is still high and remained as a challenging health problem in these areas.","container-title":"BMC infectious diseases","ISSN":"1471-2334","issue":"1","journalAbbreviation":"BMC Infect Dis","note":"publisher-place: England\nSarkari, Bahador. Basic Sciences in Infectious Diseases Research Center, Shiraz University of Medical Sciences, Shiraz, Iran.\nSarkari, Bahador. Department of Parasitology and Mycology, School of Medicine, Shiraz University of Medical Sciences, Shiraz, Iran.\nHosseini, Ghasem. Basic Sciences in Infectious Diseases Research Center, Shiraz University of Medical Sciences, Shiraz, Iran.\nMotazedian, Mohammad Hossein. Department of Parasitology and Mycology, School of Medicine, Shiraz University of Medical Sciences, Shiraz, Iran.\nFararouei, Mohammad. Department of Epidemiology, School of Health, Shiraz University of Medical Sciences, Shiraz, Iran.\nMoshfe, Abdolali. Cellular and Molecular Research Center, Yasuj University of Medical Sciences, Yasuj, Iran. amoshfea@yahoo.com.","page":"703","title":"Prevalence and risk factors of intestinal protozoan infections: a population-based study in rural areas of Boyer-Ahmad district, Southwestern Iran.","volume":"16","author":[{"family":"Sarkari","given":"Bahador"},{"family":"Hosseini","given":"Ghasem"},{"family":"Motazedian","given":"Mohammad Hossein"},{"family":"Fararouei","given":"Mohammad"},{"family":"Moshfe","given":"Abdolali"}],"issued":{"date-parts":[["2016"]]}}}],"schema":"https://github.com/citation-style-language/schema/raw/master/csl-citation.json"} </w:instrText>
            </w:r>
            <w:r w:rsidRPr="00D11245">
              <w:rPr>
                <w:rFonts w:ascii="Calibri" w:hAnsi="Calibri" w:cs="Calibri"/>
                <w:color w:val="000000" w:themeColor="text1"/>
                <w:sz w:val="20"/>
                <w:szCs w:val="20"/>
              </w:rPr>
              <w:fldChar w:fldCharType="separate"/>
            </w:r>
            <w:r w:rsidR="009C3E63" w:rsidRPr="00D11245">
              <w:rPr>
                <w:rFonts w:ascii="Calibri" w:hAnsi="Calibri" w:cs="Calibri"/>
                <w:color w:val="000000" w:themeColor="text1"/>
                <w:sz w:val="20"/>
                <w:szCs w:val="20"/>
                <w:vertAlign w:val="superscript"/>
              </w:rPr>
              <w:t>119–122</w:t>
            </w:r>
            <w:r w:rsidRPr="00D11245">
              <w:rPr>
                <w:rFonts w:ascii="Calibri" w:hAnsi="Calibri" w:cs="Calibri"/>
                <w:color w:val="000000" w:themeColor="text1"/>
                <w:sz w:val="20"/>
                <w:szCs w:val="20"/>
              </w:rPr>
              <w:fldChar w:fldCharType="end"/>
            </w:r>
          </w:p>
        </w:tc>
        <w:tc>
          <w:tcPr>
            <w:tcW w:w="1313" w:type="pct"/>
          </w:tcPr>
          <w:p w14:paraId="68EBD1AD" w14:textId="2A899CAF" w:rsidR="004E2862" w:rsidRPr="00D11245" w:rsidRDefault="004E2862" w:rsidP="00DC4A23">
            <w:pPr>
              <w:pStyle w:val="ListParagraph"/>
              <w:numPr>
                <w:ilvl w:val="0"/>
                <w:numId w:val="3"/>
              </w:numPr>
              <w:spacing w:line="240" w:lineRule="auto"/>
              <w:rPr>
                <w:rFonts w:ascii="Calibri" w:hAnsi="Calibri" w:cs="Calibri"/>
                <w:color w:val="000000" w:themeColor="text1"/>
                <w:sz w:val="20"/>
                <w:szCs w:val="20"/>
              </w:rPr>
            </w:pPr>
            <w:r w:rsidRPr="00D11245">
              <w:rPr>
                <w:rFonts w:ascii="Calibri" w:hAnsi="Calibri" w:cs="Calibri"/>
                <w:color w:val="000000" w:themeColor="text1"/>
                <w:sz w:val="20"/>
                <w:szCs w:val="20"/>
              </w:rPr>
              <w:t>Accounts for 2-3% of extraintestinal manifestations</w:t>
            </w:r>
          </w:p>
          <w:p w14:paraId="39D7BF14" w14:textId="77777777" w:rsidR="004E2862" w:rsidRPr="00D11245" w:rsidRDefault="004E2862" w:rsidP="00DC4A23">
            <w:pPr>
              <w:pStyle w:val="ListParagraph"/>
              <w:numPr>
                <w:ilvl w:val="0"/>
                <w:numId w:val="3"/>
              </w:numPr>
              <w:spacing w:line="240" w:lineRule="auto"/>
              <w:rPr>
                <w:rFonts w:ascii="Calibri" w:hAnsi="Calibri" w:cs="Calibri"/>
                <w:color w:val="000000" w:themeColor="text1"/>
                <w:sz w:val="20"/>
                <w:szCs w:val="20"/>
              </w:rPr>
            </w:pPr>
            <w:r w:rsidRPr="00D11245">
              <w:rPr>
                <w:rFonts w:ascii="Calibri" w:hAnsi="Calibri" w:cs="Calibri"/>
                <w:color w:val="000000" w:themeColor="text1"/>
                <w:sz w:val="20"/>
                <w:szCs w:val="20"/>
              </w:rPr>
              <w:t>More common when ALA, especially if ruptured</w:t>
            </w:r>
          </w:p>
          <w:p w14:paraId="24CA24F4" w14:textId="1954AC44" w:rsidR="004E2862" w:rsidRPr="00D11245" w:rsidRDefault="004E2862" w:rsidP="00606998">
            <w:pPr>
              <w:pStyle w:val="ListParagraph"/>
              <w:numPr>
                <w:ilvl w:val="0"/>
                <w:numId w:val="3"/>
              </w:numPr>
              <w:spacing w:line="240" w:lineRule="auto"/>
              <w:rPr>
                <w:rFonts w:ascii="Calibri" w:hAnsi="Calibri" w:cs="Calibri"/>
                <w:color w:val="000000" w:themeColor="text1"/>
                <w:sz w:val="20"/>
                <w:szCs w:val="20"/>
              </w:rPr>
            </w:pPr>
            <w:r w:rsidRPr="00D11245">
              <w:rPr>
                <w:rFonts w:ascii="Calibri" w:hAnsi="Calibri" w:cs="Calibri"/>
                <w:color w:val="000000" w:themeColor="text1"/>
                <w:sz w:val="20"/>
                <w:szCs w:val="20"/>
              </w:rPr>
              <w:t>Occurs by haematogenous or lymphatic spread</w:t>
            </w:r>
          </w:p>
        </w:tc>
        <w:tc>
          <w:tcPr>
            <w:tcW w:w="1513" w:type="pct"/>
          </w:tcPr>
          <w:p w14:paraId="79F87170" w14:textId="77777777" w:rsidR="004E2862" w:rsidRPr="00D11245" w:rsidRDefault="004E2862" w:rsidP="00DC4A23">
            <w:pPr>
              <w:pStyle w:val="ListParagraph"/>
              <w:numPr>
                <w:ilvl w:val="0"/>
                <w:numId w:val="3"/>
              </w:numPr>
              <w:spacing w:line="240" w:lineRule="auto"/>
              <w:rPr>
                <w:rFonts w:ascii="Calibri" w:hAnsi="Calibri" w:cs="Calibri"/>
                <w:color w:val="000000" w:themeColor="text1"/>
                <w:sz w:val="20"/>
                <w:szCs w:val="20"/>
              </w:rPr>
            </w:pPr>
            <w:r w:rsidRPr="00D11245">
              <w:rPr>
                <w:rFonts w:ascii="Calibri" w:hAnsi="Calibri" w:cs="Calibri"/>
                <w:color w:val="000000" w:themeColor="text1"/>
                <w:sz w:val="20"/>
                <w:szCs w:val="20"/>
              </w:rPr>
              <w:t xml:space="preserve">Cough </w:t>
            </w:r>
          </w:p>
          <w:p w14:paraId="4B24DCDC" w14:textId="6611F3E9" w:rsidR="004E2862" w:rsidRPr="00D11245" w:rsidRDefault="004E2862" w:rsidP="00DC4A23">
            <w:pPr>
              <w:pStyle w:val="ListParagraph"/>
              <w:numPr>
                <w:ilvl w:val="0"/>
                <w:numId w:val="3"/>
              </w:numPr>
              <w:spacing w:line="240" w:lineRule="auto"/>
              <w:rPr>
                <w:rFonts w:ascii="Calibri" w:hAnsi="Calibri" w:cs="Calibri"/>
                <w:color w:val="000000" w:themeColor="text1"/>
                <w:sz w:val="20"/>
                <w:szCs w:val="20"/>
              </w:rPr>
            </w:pPr>
            <w:r w:rsidRPr="00D11245">
              <w:rPr>
                <w:rFonts w:ascii="Calibri" w:hAnsi="Calibri" w:cs="Calibri"/>
                <w:color w:val="000000" w:themeColor="text1"/>
                <w:sz w:val="20"/>
                <w:szCs w:val="20"/>
              </w:rPr>
              <w:t>“Anchovy paste” sputum</w:t>
            </w:r>
          </w:p>
          <w:p w14:paraId="6039B179" w14:textId="77777777" w:rsidR="004E2862" w:rsidRPr="00D11245" w:rsidRDefault="004E2862" w:rsidP="00DC4A23">
            <w:pPr>
              <w:pStyle w:val="ListParagraph"/>
              <w:numPr>
                <w:ilvl w:val="0"/>
                <w:numId w:val="3"/>
              </w:numPr>
              <w:spacing w:line="240" w:lineRule="auto"/>
              <w:rPr>
                <w:rFonts w:ascii="Calibri" w:hAnsi="Calibri" w:cs="Calibri"/>
                <w:color w:val="000000" w:themeColor="text1"/>
                <w:sz w:val="20"/>
                <w:szCs w:val="20"/>
              </w:rPr>
            </w:pPr>
            <w:r w:rsidRPr="00D11245">
              <w:rPr>
                <w:rFonts w:ascii="Calibri" w:hAnsi="Calibri" w:cs="Calibri"/>
                <w:color w:val="000000" w:themeColor="text1"/>
                <w:sz w:val="20"/>
                <w:szCs w:val="20"/>
              </w:rPr>
              <w:t>Haemoptysis</w:t>
            </w:r>
          </w:p>
          <w:p w14:paraId="205A48B9" w14:textId="77777777" w:rsidR="004E2862" w:rsidRPr="00D11245" w:rsidRDefault="004E2862" w:rsidP="00DC4A23">
            <w:pPr>
              <w:pStyle w:val="ListParagraph"/>
              <w:numPr>
                <w:ilvl w:val="0"/>
                <w:numId w:val="3"/>
              </w:numPr>
              <w:spacing w:line="240" w:lineRule="auto"/>
              <w:rPr>
                <w:rFonts w:ascii="Calibri" w:hAnsi="Calibri" w:cs="Calibri"/>
                <w:color w:val="000000" w:themeColor="text1"/>
                <w:sz w:val="20"/>
                <w:szCs w:val="20"/>
              </w:rPr>
            </w:pPr>
            <w:r w:rsidRPr="00D11245">
              <w:rPr>
                <w:rFonts w:ascii="Calibri" w:hAnsi="Calibri" w:cs="Calibri"/>
                <w:color w:val="000000" w:themeColor="text1"/>
                <w:sz w:val="20"/>
                <w:szCs w:val="20"/>
              </w:rPr>
              <w:t>Dyspnoea</w:t>
            </w:r>
          </w:p>
          <w:p w14:paraId="42A4ABE9" w14:textId="77777777" w:rsidR="004E2862" w:rsidRPr="00D11245" w:rsidRDefault="004E2862" w:rsidP="00DC4A23">
            <w:pPr>
              <w:pStyle w:val="ListParagraph"/>
              <w:numPr>
                <w:ilvl w:val="0"/>
                <w:numId w:val="3"/>
              </w:numPr>
              <w:spacing w:line="240" w:lineRule="auto"/>
              <w:rPr>
                <w:rFonts w:ascii="Calibri" w:hAnsi="Calibri" w:cs="Calibri"/>
                <w:color w:val="000000" w:themeColor="text1"/>
                <w:sz w:val="20"/>
                <w:szCs w:val="20"/>
              </w:rPr>
            </w:pPr>
            <w:r w:rsidRPr="00D11245">
              <w:rPr>
                <w:rFonts w:ascii="Calibri" w:hAnsi="Calibri" w:cs="Calibri"/>
                <w:color w:val="000000" w:themeColor="text1"/>
                <w:sz w:val="20"/>
                <w:szCs w:val="20"/>
              </w:rPr>
              <w:t>Pleuritic chest pain</w:t>
            </w:r>
          </w:p>
        </w:tc>
        <w:tc>
          <w:tcPr>
            <w:tcW w:w="1467" w:type="pct"/>
          </w:tcPr>
          <w:p w14:paraId="4263E728" w14:textId="77777777" w:rsidR="004E2862" w:rsidRPr="00D11245" w:rsidRDefault="004E2862" w:rsidP="00DC4A23">
            <w:pPr>
              <w:pStyle w:val="ListParagraph"/>
              <w:numPr>
                <w:ilvl w:val="0"/>
                <w:numId w:val="3"/>
              </w:numPr>
              <w:spacing w:line="240" w:lineRule="auto"/>
              <w:rPr>
                <w:rFonts w:ascii="Calibri" w:hAnsi="Calibri" w:cs="Calibri"/>
                <w:color w:val="000000" w:themeColor="text1"/>
                <w:sz w:val="20"/>
                <w:szCs w:val="20"/>
              </w:rPr>
            </w:pPr>
            <w:r w:rsidRPr="00D11245">
              <w:rPr>
                <w:rFonts w:ascii="Calibri" w:hAnsi="Calibri" w:cs="Calibri"/>
                <w:color w:val="000000" w:themeColor="text1"/>
                <w:sz w:val="20"/>
                <w:szCs w:val="20"/>
              </w:rPr>
              <w:t>Radiology may show elevated right hemidiaphragm and consolidation.</w:t>
            </w:r>
          </w:p>
          <w:p w14:paraId="0DA7B763" w14:textId="77777777" w:rsidR="004E2862" w:rsidRPr="00D11245" w:rsidRDefault="004E2862" w:rsidP="00DC4A23">
            <w:pPr>
              <w:pStyle w:val="ListParagraph"/>
              <w:numPr>
                <w:ilvl w:val="0"/>
                <w:numId w:val="3"/>
              </w:numPr>
              <w:spacing w:line="240" w:lineRule="auto"/>
              <w:rPr>
                <w:rFonts w:ascii="Calibri" w:hAnsi="Calibri" w:cs="Calibri"/>
                <w:color w:val="000000" w:themeColor="text1"/>
                <w:sz w:val="20"/>
                <w:szCs w:val="20"/>
              </w:rPr>
            </w:pPr>
            <w:r w:rsidRPr="00D11245">
              <w:rPr>
                <w:rFonts w:ascii="Calibri" w:hAnsi="Calibri" w:cs="Calibri"/>
                <w:color w:val="000000" w:themeColor="text1"/>
                <w:sz w:val="20"/>
                <w:szCs w:val="20"/>
              </w:rPr>
              <w:t>Mortality of &gt;16%</w:t>
            </w:r>
          </w:p>
          <w:p w14:paraId="7632F9DF" w14:textId="77777777" w:rsidR="004E2862" w:rsidRPr="00D11245" w:rsidRDefault="004E2862" w:rsidP="00DC4A23">
            <w:pPr>
              <w:pStyle w:val="ListParagraph"/>
              <w:numPr>
                <w:ilvl w:val="0"/>
                <w:numId w:val="3"/>
              </w:numPr>
              <w:spacing w:line="240" w:lineRule="auto"/>
              <w:rPr>
                <w:rFonts w:ascii="Calibri" w:hAnsi="Calibri" w:cs="Calibri"/>
                <w:color w:val="000000" w:themeColor="text1"/>
                <w:sz w:val="20"/>
                <w:szCs w:val="20"/>
              </w:rPr>
            </w:pPr>
            <w:r w:rsidRPr="00D11245">
              <w:rPr>
                <w:rFonts w:ascii="Calibri" w:hAnsi="Calibri" w:cs="Calibri"/>
                <w:color w:val="000000" w:themeColor="text1"/>
                <w:sz w:val="20"/>
                <w:szCs w:val="20"/>
              </w:rPr>
              <w:t>Most respond rapidly to treatment as per ALA</w:t>
            </w:r>
          </w:p>
        </w:tc>
      </w:tr>
      <w:tr w:rsidR="00D11245" w:rsidRPr="00D11245" w14:paraId="64C390AC" w14:textId="77777777" w:rsidTr="004E2862">
        <w:tc>
          <w:tcPr>
            <w:tcW w:w="707" w:type="pct"/>
            <w:shd w:val="clear" w:color="auto" w:fill="DEEAF6" w:themeFill="accent5" w:themeFillTint="33"/>
          </w:tcPr>
          <w:p w14:paraId="0F776F82" w14:textId="77777777" w:rsidR="004E2862" w:rsidRPr="00D11245" w:rsidRDefault="004E2862" w:rsidP="00DC4A23">
            <w:pPr>
              <w:rPr>
                <w:rFonts w:ascii="Calibri" w:hAnsi="Calibri" w:cs="Calibri"/>
                <w:b/>
                <w:bCs/>
                <w:color w:val="000000" w:themeColor="text1"/>
                <w:sz w:val="20"/>
                <w:szCs w:val="20"/>
              </w:rPr>
            </w:pPr>
            <w:r w:rsidRPr="00D11245">
              <w:rPr>
                <w:rFonts w:ascii="Calibri" w:hAnsi="Calibri" w:cs="Calibri"/>
                <w:b/>
                <w:bCs/>
                <w:color w:val="000000" w:themeColor="text1"/>
                <w:sz w:val="20"/>
                <w:szCs w:val="20"/>
              </w:rPr>
              <w:t>Pericardial</w:t>
            </w:r>
          </w:p>
          <w:p w14:paraId="24C24D17" w14:textId="05164AE1" w:rsidR="004E2862" w:rsidRPr="00D11245" w:rsidRDefault="004E2862" w:rsidP="00DC4A23">
            <w:pPr>
              <w:rPr>
                <w:rFonts w:ascii="Calibri" w:hAnsi="Calibri" w:cs="Calibri"/>
                <w:b/>
                <w:bCs/>
                <w:color w:val="000000" w:themeColor="text1"/>
                <w:sz w:val="20"/>
                <w:szCs w:val="20"/>
              </w:rPr>
            </w:pPr>
            <w:r w:rsidRPr="00D11245">
              <w:rPr>
                <w:rFonts w:ascii="Calibri" w:hAnsi="Calibri" w:cs="Calibri"/>
                <w:b/>
                <w:bCs/>
                <w:color w:val="000000" w:themeColor="text1"/>
                <w:sz w:val="20"/>
                <w:szCs w:val="20"/>
              </w:rPr>
              <w:fldChar w:fldCharType="begin"/>
            </w:r>
            <w:r w:rsidR="009C3E63" w:rsidRPr="00D11245">
              <w:rPr>
                <w:rFonts w:ascii="Calibri" w:hAnsi="Calibri" w:cs="Calibri"/>
                <w:b/>
                <w:bCs/>
                <w:color w:val="000000" w:themeColor="text1"/>
                <w:sz w:val="20"/>
                <w:szCs w:val="20"/>
              </w:rPr>
              <w:instrText xml:space="preserve"> ADDIN ZOTERO_ITEM CSL_CITATION {"citationID":"54kSVw0T","properties":{"formattedCitation":"\\super 123,124\\nosupersub{}","plainCitation":"123,124","noteIndex":0},"citationItems":[{"id":465,"uris":["http://zotero.org/groups/2497994/items/NIG2IY2B"],"itemData":{"id":465,"type":"article-journal","abstract":"A 38 year old gentleman presented with fever and right hypochondrial pain. On further evaluation he was detected to have an amoebic liver abscess (ALA) in the right lobe of the liver. The abscess yielded anchovy sauce pus on percutaneous drainage. Following the percutaneous drainage the patient developed tachycardia. Electrocardiogram revealed atrial flutter with rapid ventricular rate and ST elevation in all leads suggestive of pericarditis. The atrial flutter was reverted to sinus rhythm by cardioversion. The patient then had an uncomplicated convalescence. Amoebic pericarditis, though rare, is a serious complication of amoebic liver abscess. Pericardial complications are usually seen with left lobe liver abscess due to its proximity. Both pericarditis and cardiac arrhythmias due to amoebic liver abscess especially from right lobe are very rare.","container-title":"Medical Journal of Malaysia","ISSN":"0300-5283","issue":"5","journalAbbreviation":"Med. J. Malays.","language":"English","note":"publisher-place: Malaysia\npublisher: Malaysian Medical Association (124 Jalan Pahang, P.O. Box S-20, Kuala Lumpur 53000, Malaysia)","page":"499-500","title":"Atrial flutter and pericarditis - A rare complication of right lobe amoebic liver abscess","volume":"66","author":[{"literal":"Murali A."},{"literal":"Balu K."},{"literal":"Paari V."},{"literal":"Rajendiran G."}],"issued":{"date-parts":[["2011"]]}}},{"id":2823,"uris":["http://zotero.org/groups/2497994/items/EIPMJBNZ"],"itemData":{"id":2823,"type":"article-journal","abstract":"A 25-year-old male admitted with fever, chills and pain in the\nupper abdomen for 1 month. Physical examination revealed\nmild epigastric tenderness. The remainder of the examination\nwas unremarkable. Laboratory investigation revealed peripheral\nleucocytosis (21 700 per mm3), conjugated hyperbilirubinaemia\n(total, 6.78 mg/dl; conjugated, 3.66 mg/dl), elevated liver\ntransaminases (alanine aminotransferase, 2117 IU/l; aspartate\naminotransferase, 1393 IU/l) and normal alkaline phosphatase.\nAbdominal computed tomography showed an abscess of\n 5  6 cm in the left lobe of the liver (Figure 1A). About 100 ml of\nreddish-brown pus was obtained on ultrasound-guided percutaneous\ndrainage, and intravenous metronidazole was started.\nHowever, the next day the patient developed sudden onset\ndyspnoea, hypotension, muffled heart sounds and engorged\nneck veins. Transthoracic echocardiography revealed massive\npericardial effusion with tamponade. Therapeutic pericardiocentesis\nwith percutaneous pigtail catheter placement\nobtained about 500 ml of reddish-brown pus (Figure 1B and C).Amoebic serology was positive, and polymerase chain reaction\ntesting of the pericardial tissue showed Entamoeba histolytica.\nGiven non-resolving pericardial pus, the patient subsequently\nunderwent surgical pericardiotomy. He gradually improved\nand discharged on oral luminal amoebicide diloxanide. At 1-\nyear follow up, he remained asymptomatic with normal\nechocardiography.","container-title":"QJM","DOI":"10.1093/qjmed/hcz062","ISSN":"1460-2725","issue":"9","journalAbbreviation":"QJM","language":"English","note":"publisher-place: United Kingdom\npublisher: Oxford University Press","page":"709-710","title":"Amoebic cardiac tamponade","volume":"112","author":[{"literal":"Agarwal A."},{"literal":"Soni S."},{"literal":"Chaudhary A."},{"literal":"Pannu A.K."},{"literal":"Bhalla A."},{"literal":"Suri V."},{"literal":"Kumari S."}],"issued":{"date-parts":[["2019"]]}}}],"schema":"https://github.com/citation-style-language/schema/raw/master/csl-citation.json"} </w:instrText>
            </w:r>
            <w:r w:rsidRPr="00D11245">
              <w:rPr>
                <w:rFonts w:ascii="Calibri" w:hAnsi="Calibri" w:cs="Calibri"/>
                <w:b/>
                <w:bCs/>
                <w:color w:val="000000" w:themeColor="text1"/>
                <w:sz w:val="20"/>
                <w:szCs w:val="20"/>
              </w:rPr>
              <w:fldChar w:fldCharType="separate"/>
            </w:r>
            <w:r w:rsidR="009C3E63" w:rsidRPr="00D11245">
              <w:rPr>
                <w:rFonts w:ascii="Calibri" w:hAnsi="Calibri" w:cs="Calibri"/>
                <w:color w:val="000000" w:themeColor="text1"/>
                <w:sz w:val="20"/>
                <w:szCs w:val="20"/>
                <w:vertAlign w:val="superscript"/>
              </w:rPr>
              <w:t>123,124</w:t>
            </w:r>
            <w:r w:rsidRPr="00D11245">
              <w:rPr>
                <w:rFonts w:ascii="Calibri" w:hAnsi="Calibri" w:cs="Calibri"/>
                <w:b/>
                <w:bCs/>
                <w:color w:val="000000" w:themeColor="text1"/>
                <w:sz w:val="20"/>
                <w:szCs w:val="20"/>
              </w:rPr>
              <w:fldChar w:fldCharType="end"/>
            </w:r>
          </w:p>
        </w:tc>
        <w:tc>
          <w:tcPr>
            <w:tcW w:w="1313" w:type="pct"/>
          </w:tcPr>
          <w:p w14:paraId="4D1430D0" w14:textId="77777777" w:rsidR="004E2862" w:rsidRPr="00D11245" w:rsidRDefault="004E2862" w:rsidP="00DC4A23">
            <w:pPr>
              <w:pStyle w:val="ListParagraph"/>
              <w:numPr>
                <w:ilvl w:val="0"/>
                <w:numId w:val="4"/>
              </w:numPr>
              <w:spacing w:line="240" w:lineRule="auto"/>
              <w:rPr>
                <w:rFonts w:ascii="Calibri" w:hAnsi="Calibri" w:cs="Calibri"/>
                <w:color w:val="000000" w:themeColor="text1"/>
                <w:sz w:val="20"/>
                <w:szCs w:val="20"/>
              </w:rPr>
            </w:pPr>
            <w:r w:rsidRPr="00D11245">
              <w:rPr>
                <w:rFonts w:ascii="Calibri" w:hAnsi="Calibri" w:cs="Calibri"/>
                <w:color w:val="000000" w:themeColor="text1"/>
                <w:sz w:val="20"/>
                <w:szCs w:val="20"/>
              </w:rPr>
              <w:t>Very rare</w:t>
            </w:r>
          </w:p>
          <w:p w14:paraId="1AA18404" w14:textId="77777777" w:rsidR="004E2862" w:rsidRPr="00D11245" w:rsidRDefault="004E2862" w:rsidP="00DC4A23">
            <w:pPr>
              <w:pStyle w:val="ListParagraph"/>
              <w:numPr>
                <w:ilvl w:val="0"/>
                <w:numId w:val="4"/>
              </w:numPr>
              <w:spacing w:line="240" w:lineRule="auto"/>
              <w:rPr>
                <w:rFonts w:ascii="Calibri" w:hAnsi="Calibri" w:cs="Calibri"/>
                <w:color w:val="000000" w:themeColor="text1"/>
                <w:sz w:val="20"/>
                <w:szCs w:val="20"/>
              </w:rPr>
            </w:pPr>
            <w:r w:rsidRPr="00D11245">
              <w:rPr>
                <w:rFonts w:ascii="Calibri" w:hAnsi="Calibri" w:cs="Calibri"/>
                <w:color w:val="000000" w:themeColor="text1"/>
                <w:sz w:val="20"/>
                <w:szCs w:val="20"/>
              </w:rPr>
              <w:t>More common when ALA in left hepatic lobe that ruptures</w:t>
            </w:r>
          </w:p>
        </w:tc>
        <w:tc>
          <w:tcPr>
            <w:tcW w:w="1513" w:type="pct"/>
          </w:tcPr>
          <w:p w14:paraId="415248DF" w14:textId="77777777" w:rsidR="004E2862" w:rsidRPr="00D11245" w:rsidRDefault="004E2862" w:rsidP="00DC4A23">
            <w:pPr>
              <w:pStyle w:val="ListParagraph"/>
              <w:numPr>
                <w:ilvl w:val="0"/>
                <w:numId w:val="4"/>
              </w:numPr>
              <w:spacing w:line="240" w:lineRule="auto"/>
              <w:rPr>
                <w:rFonts w:ascii="Calibri" w:hAnsi="Calibri" w:cs="Calibri"/>
                <w:b/>
                <w:bCs/>
                <w:color w:val="000000" w:themeColor="text1"/>
                <w:sz w:val="20"/>
                <w:szCs w:val="20"/>
              </w:rPr>
            </w:pPr>
            <w:r w:rsidRPr="00D11245">
              <w:rPr>
                <w:rFonts w:ascii="Calibri" w:hAnsi="Calibri" w:cs="Calibri"/>
                <w:color w:val="000000" w:themeColor="text1"/>
                <w:sz w:val="20"/>
                <w:szCs w:val="20"/>
              </w:rPr>
              <w:t>Chest pain</w:t>
            </w:r>
          </w:p>
          <w:p w14:paraId="0CC26E6D" w14:textId="77777777" w:rsidR="004E2862" w:rsidRPr="00D11245" w:rsidRDefault="004E2862" w:rsidP="00DC4A23">
            <w:pPr>
              <w:pStyle w:val="ListParagraph"/>
              <w:numPr>
                <w:ilvl w:val="0"/>
                <w:numId w:val="4"/>
              </w:numPr>
              <w:spacing w:line="240" w:lineRule="auto"/>
              <w:rPr>
                <w:rFonts w:ascii="Calibri" w:hAnsi="Calibri" w:cs="Calibri"/>
                <w:b/>
                <w:bCs/>
                <w:color w:val="000000" w:themeColor="text1"/>
                <w:sz w:val="20"/>
                <w:szCs w:val="20"/>
              </w:rPr>
            </w:pPr>
            <w:r w:rsidRPr="00D11245">
              <w:rPr>
                <w:rFonts w:ascii="Calibri" w:hAnsi="Calibri" w:cs="Calibri"/>
                <w:color w:val="000000" w:themeColor="text1"/>
                <w:sz w:val="20"/>
                <w:szCs w:val="20"/>
              </w:rPr>
              <w:t>Pericardial effusion</w:t>
            </w:r>
          </w:p>
          <w:p w14:paraId="1A131627" w14:textId="77777777" w:rsidR="004E2862" w:rsidRPr="00D11245" w:rsidRDefault="004E2862" w:rsidP="00DC4A23">
            <w:pPr>
              <w:pStyle w:val="ListParagraph"/>
              <w:numPr>
                <w:ilvl w:val="0"/>
                <w:numId w:val="4"/>
              </w:numPr>
              <w:spacing w:line="240" w:lineRule="auto"/>
              <w:rPr>
                <w:rFonts w:ascii="Calibri" w:hAnsi="Calibri" w:cs="Calibri"/>
                <w:b/>
                <w:bCs/>
                <w:color w:val="000000" w:themeColor="text1"/>
                <w:sz w:val="20"/>
                <w:szCs w:val="20"/>
              </w:rPr>
            </w:pPr>
            <w:r w:rsidRPr="00D11245">
              <w:rPr>
                <w:rFonts w:ascii="Calibri" w:hAnsi="Calibri" w:cs="Calibri"/>
                <w:color w:val="000000" w:themeColor="text1"/>
                <w:sz w:val="20"/>
                <w:szCs w:val="20"/>
              </w:rPr>
              <w:t>Acute/constrictive pericarditis</w:t>
            </w:r>
          </w:p>
          <w:p w14:paraId="6945A5BD" w14:textId="77777777" w:rsidR="004E2862" w:rsidRPr="00D11245" w:rsidRDefault="004E2862" w:rsidP="00DC4A23">
            <w:pPr>
              <w:pStyle w:val="ListParagraph"/>
              <w:numPr>
                <w:ilvl w:val="0"/>
                <w:numId w:val="4"/>
              </w:numPr>
              <w:spacing w:line="240" w:lineRule="auto"/>
              <w:rPr>
                <w:rFonts w:ascii="Calibri" w:hAnsi="Calibri" w:cs="Calibri"/>
                <w:b/>
                <w:bCs/>
                <w:color w:val="000000" w:themeColor="text1"/>
                <w:sz w:val="20"/>
                <w:szCs w:val="20"/>
              </w:rPr>
            </w:pPr>
            <w:r w:rsidRPr="00D11245">
              <w:rPr>
                <w:rFonts w:ascii="Calibri" w:hAnsi="Calibri" w:cs="Calibri"/>
                <w:color w:val="000000" w:themeColor="text1"/>
                <w:sz w:val="20"/>
                <w:szCs w:val="20"/>
              </w:rPr>
              <w:t>Cardiac tamponade</w:t>
            </w:r>
          </w:p>
          <w:p w14:paraId="2FF4401E" w14:textId="77777777" w:rsidR="004E2862" w:rsidRPr="00D11245" w:rsidRDefault="004E2862" w:rsidP="00DC4A23">
            <w:pPr>
              <w:pStyle w:val="ListParagraph"/>
              <w:numPr>
                <w:ilvl w:val="0"/>
                <w:numId w:val="4"/>
              </w:numPr>
              <w:spacing w:line="240" w:lineRule="auto"/>
              <w:rPr>
                <w:rFonts w:ascii="Calibri" w:hAnsi="Calibri" w:cs="Calibri"/>
                <w:b/>
                <w:bCs/>
                <w:color w:val="000000" w:themeColor="text1"/>
                <w:sz w:val="20"/>
                <w:szCs w:val="20"/>
              </w:rPr>
            </w:pPr>
            <w:r w:rsidRPr="00D11245">
              <w:rPr>
                <w:rFonts w:ascii="Calibri" w:hAnsi="Calibri" w:cs="Calibri"/>
                <w:color w:val="000000" w:themeColor="text1"/>
                <w:sz w:val="20"/>
                <w:szCs w:val="20"/>
              </w:rPr>
              <w:t>Congestive cardiac failure</w:t>
            </w:r>
          </w:p>
        </w:tc>
        <w:tc>
          <w:tcPr>
            <w:tcW w:w="1467" w:type="pct"/>
          </w:tcPr>
          <w:p w14:paraId="484C8D6C" w14:textId="77777777" w:rsidR="004E2862" w:rsidRPr="00D11245" w:rsidRDefault="004E2862" w:rsidP="00DC4A23">
            <w:pPr>
              <w:pStyle w:val="ListParagraph"/>
              <w:numPr>
                <w:ilvl w:val="0"/>
                <w:numId w:val="4"/>
              </w:numPr>
              <w:spacing w:line="240" w:lineRule="auto"/>
              <w:rPr>
                <w:rFonts w:ascii="Calibri" w:hAnsi="Calibri" w:cs="Calibri"/>
                <w:b/>
                <w:bCs/>
                <w:color w:val="000000" w:themeColor="text1"/>
                <w:sz w:val="20"/>
                <w:szCs w:val="20"/>
              </w:rPr>
            </w:pPr>
            <w:r w:rsidRPr="00D11245">
              <w:rPr>
                <w:rFonts w:ascii="Calibri" w:hAnsi="Calibri" w:cs="Calibri"/>
                <w:color w:val="000000" w:themeColor="text1"/>
                <w:sz w:val="20"/>
                <w:szCs w:val="20"/>
              </w:rPr>
              <w:t>Left sided ALA drainage is recommended</w:t>
            </w:r>
          </w:p>
          <w:p w14:paraId="3BDA4FDC" w14:textId="77777777" w:rsidR="004E2862" w:rsidRPr="00D11245" w:rsidRDefault="004E2862" w:rsidP="00DC4A23">
            <w:pPr>
              <w:pStyle w:val="ListParagraph"/>
              <w:numPr>
                <w:ilvl w:val="0"/>
                <w:numId w:val="4"/>
              </w:numPr>
              <w:spacing w:line="240" w:lineRule="auto"/>
              <w:rPr>
                <w:rFonts w:ascii="Calibri" w:hAnsi="Calibri" w:cs="Calibri"/>
                <w:b/>
                <w:bCs/>
                <w:color w:val="000000" w:themeColor="text1"/>
                <w:sz w:val="20"/>
                <w:szCs w:val="20"/>
              </w:rPr>
            </w:pPr>
            <w:r w:rsidRPr="00D11245">
              <w:rPr>
                <w:rFonts w:ascii="Calibri" w:hAnsi="Calibri" w:cs="Calibri"/>
                <w:color w:val="000000" w:themeColor="text1"/>
                <w:sz w:val="20"/>
                <w:szCs w:val="20"/>
              </w:rPr>
              <w:t xml:space="preserve">Pericardiocentesis is recommended </w:t>
            </w:r>
          </w:p>
        </w:tc>
      </w:tr>
      <w:tr w:rsidR="00D11245" w:rsidRPr="00D11245" w14:paraId="2C3EC1F2" w14:textId="77777777" w:rsidTr="004E2862">
        <w:tc>
          <w:tcPr>
            <w:tcW w:w="707" w:type="pct"/>
            <w:shd w:val="clear" w:color="auto" w:fill="DEEAF6" w:themeFill="accent5" w:themeFillTint="33"/>
          </w:tcPr>
          <w:p w14:paraId="27287A60" w14:textId="77777777" w:rsidR="004E2862" w:rsidRPr="00D11245" w:rsidRDefault="004E2862" w:rsidP="00DC4A23">
            <w:pPr>
              <w:jc w:val="both"/>
              <w:rPr>
                <w:rFonts w:ascii="Calibri" w:hAnsi="Calibri" w:cs="Calibri"/>
                <w:b/>
                <w:bCs/>
                <w:color w:val="000000" w:themeColor="text1"/>
                <w:sz w:val="20"/>
                <w:szCs w:val="20"/>
              </w:rPr>
            </w:pPr>
            <w:r w:rsidRPr="00D11245">
              <w:rPr>
                <w:rFonts w:ascii="Calibri" w:hAnsi="Calibri" w:cs="Calibri"/>
                <w:b/>
                <w:bCs/>
                <w:color w:val="000000" w:themeColor="text1"/>
                <w:sz w:val="20"/>
                <w:szCs w:val="20"/>
              </w:rPr>
              <w:t>Neurological</w:t>
            </w:r>
          </w:p>
          <w:p w14:paraId="3D920348" w14:textId="6DD0A8D3" w:rsidR="004E2862" w:rsidRPr="00D11245" w:rsidRDefault="004E2862" w:rsidP="00DC4A23">
            <w:pPr>
              <w:jc w:val="both"/>
              <w:rPr>
                <w:rFonts w:ascii="Calibri" w:hAnsi="Calibri" w:cs="Calibri"/>
                <w:b/>
                <w:bCs/>
                <w:color w:val="000000" w:themeColor="text1"/>
                <w:sz w:val="20"/>
                <w:szCs w:val="20"/>
              </w:rPr>
            </w:pPr>
            <w:r w:rsidRPr="00D11245">
              <w:rPr>
                <w:rFonts w:ascii="Calibri" w:hAnsi="Calibri" w:cs="Calibri"/>
                <w:b/>
                <w:bCs/>
                <w:color w:val="000000" w:themeColor="text1"/>
                <w:sz w:val="20"/>
                <w:szCs w:val="20"/>
              </w:rPr>
              <w:fldChar w:fldCharType="begin"/>
            </w:r>
            <w:r w:rsidR="009C3E63" w:rsidRPr="00D11245">
              <w:rPr>
                <w:rFonts w:ascii="Calibri" w:hAnsi="Calibri" w:cs="Calibri"/>
                <w:b/>
                <w:bCs/>
                <w:color w:val="000000" w:themeColor="text1"/>
                <w:sz w:val="20"/>
                <w:szCs w:val="20"/>
              </w:rPr>
              <w:instrText xml:space="preserve"> ADDIN ZOTERO_ITEM CSL_CITATION {"citationID":"CqDGMePX","properties":{"formattedCitation":"\\super 125\\uc0\\u8211{}127\\nosupersub{}","plainCitation":"125–127","noteIndex":0},"citationItems":[{"id":817,"uris":["http://zotero.org/groups/2497994/items/PL9C533Y"],"itemData":{"id":817,"type":"article-journal","abstract":"Amoebiasis is defined as infection with Entamoeba histolytica, which enters the body through feco – oral route after consumption of food or water contaminated by cysts. We present a rare case of amoebic brain abscess in a 45 years old patient who came with headache, fever and right sided weakness for 15 days. He was emperically being treated for tuberculosis. As Entamoeba was not suspected, no serological or microbiological investigations for the same were done. Histopathological examination of abscess sent after frontal lobectomy revealed trophozoites of Entamoeba histolytica. Demonstration of trophozoites of Entamoeba on histopathology sections was a surprising finding which clinched the diagnosis in this case. Amoebic brain abscess should be considered as differential diagnosis in all patients who present with signs &amp; symptoms of central nervous system involvement in endemic areas. Early diagnosis and aggressive management with metronidazole is imperative to limit the morbidity and prevent the mortality.","language":"eng","note":"publisher: Pacific Group of e-Journals (PaGe)","title":"Amoebic Cerebral Abscess: Still A Diagnostic Dilemma with Fatal Outcome","URL":"https://www.pacificejournals.com/journal/index.php/apalm/article/view/2370","author":[{"family":"Jindal","given":"Akriti"},{"family":"Tyagi","given":"Ruchita"},{"family":"Garg","given":"Avantika"},{"family":"Kaur","given":"Gursheen"},{"family":"Chaudhary","given":"Ashwani Kumar"},{"family":"Singh","given":"Gagandeep"},{"family":"Kaur","given":"Harpreet"},{"literal":"JOUR"}],"issued":{"date-parts":[["2019"]]}}},{"id":1752,"uris":["http://zotero.org/groups/2497994/items/TRM6ZQUS"],"itemData":{"id":1752,"type":"article-journal","abstract":"Although amebic brain abscess is a rare form of invasive amebiasis, when present, it is frequently lethal. This disorder always begins with the infection of the colon by Entamoeba histolytica trophozoites, which then travel to extra-intestinal tissues through the bloodstream. Amebic brain abscesses are produced when trophozoites invade the central nervous system. Computerized axial tomography scans can be used to diagnose the presence or absence of a brain abscess with a certainty of 100%. However, this diagnostic tool does not reveal the etiological agent of disease. By analyzing the clinical case of a patient that died due to untimely treatment of this malady, the present study aims to identify a diagnostic tool that can give a precise determination of the etiological agent and therefore permit adequate and opportune treatment. Currently, diagnosis of amebic brain abscess is often done by identification of the ameba in a biopsy or autopsy. By immunohistochemistry and immunofluorescence with specific antibodies, we identified the existence of E. histolytica, which presents proteins similar to Naegleria fowleri in its membrane. © Springer-Verlag 2011.","container-title":"Parasitology Research","DOI":"10.1007/s00436-011-2617-8","ISSN":"0932-0113","issue":"3","journalAbbreviation":"Parasitol. Res.","language":"English","note":"publisher-place: Germany\npublisher: Springer Verlag (Tiergartenstrasse 17, Heidelberg D-69121, Germany)","page":"1291-1296","title":"Clinical case of cerebral amebiasis caused by E. histolytica","volume":"110","author":[{"literal":"Maldonado-Barrera C.A."},{"literal":"Campos-Esparza M.D.R."},{"literal":"Munoz-Fernandez L."},{"literal":"Victoria-Hernandez J.A."},{"literal":"Campos-Rodriguez R."},{"literal":"Talamas-Rohana P."},{"literal":"Ventura-Juarez J."}],"issued":{"date-parts":[["2012"]]}}},{"id":2062,"uris":["http://zotero.org/groups/2497994/items/KZX76SN8"],"itemData":{"id":2062,"type":"article-journal","abstract":"Brain abscess due to Entamoeba histolytica is most commonly seen in a small percentage of patients who also have an amebic liver abscess. The typical patient is a young man who after treatment for liver abscess with apparent improvement develops symptoms and signs of central nervous system involvement. The average age of the patient is 30 years, and common presentations include headache, vomiting, and altered mental status. Signs of amebic brain abscess include most commonly meningeal signs, facial nerve (VII) palsy, motor paralysis, and seizure. Most patients have abnormal cerebrospinal fluid although there is no special or characteristic abnormality. Diagnosis is by serology and PCR of brain abscess aspirate or CSF and treatment is with metronidazole. © 2013 Elsevier B.V.","container-title":"Handbook of Clinical Neurology","DOI":"10.1016/B978-0-444-53490-3.00009-1","ISSN":"0072-9752","issue":"(Petri) Department of Medicine, University of Virginia, Charlottesville, VA, United States","journalAbbreviation":"Handb. Clin. Neurol.","language":"English","note":"publisher-place: Netherlands\npublisher: Elsevier (P.O. Box 211, Amsterdam 1000 AE, Netherlands)","page":"147-152","title":"Entamoeba histolytica brain abscess","volume":"114","author":[{"literal":"Petri W.A."},{"literal":"Haque R."}],"issued":{"date-parts":[["2013"]]}}}],"schema":"https://github.com/citation-style-language/schema/raw/master/csl-citation.json"} </w:instrText>
            </w:r>
            <w:r w:rsidRPr="00D11245">
              <w:rPr>
                <w:rFonts w:ascii="Calibri" w:hAnsi="Calibri" w:cs="Calibri"/>
                <w:b/>
                <w:bCs/>
                <w:color w:val="000000" w:themeColor="text1"/>
                <w:sz w:val="20"/>
                <w:szCs w:val="20"/>
              </w:rPr>
              <w:fldChar w:fldCharType="separate"/>
            </w:r>
            <w:r w:rsidR="009C3E63" w:rsidRPr="00D11245">
              <w:rPr>
                <w:rFonts w:ascii="Calibri" w:hAnsi="Calibri" w:cs="Calibri"/>
                <w:color w:val="000000" w:themeColor="text1"/>
                <w:sz w:val="20"/>
                <w:szCs w:val="20"/>
                <w:vertAlign w:val="superscript"/>
              </w:rPr>
              <w:t>125–127</w:t>
            </w:r>
            <w:r w:rsidRPr="00D11245">
              <w:rPr>
                <w:rFonts w:ascii="Calibri" w:hAnsi="Calibri" w:cs="Calibri"/>
                <w:b/>
                <w:bCs/>
                <w:color w:val="000000" w:themeColor="text1"/>
                <w:sz w:val="20"/>
                <w:szCs w:val="20"/>
              </w:rPr>
              <w:fldChar w:fldCharType="end"/>
            </w:r>
          </w:p>
        </w:tc>
        <w:tc>
          <w:tcPr>
            <w:tcW w:w="1313" w:type="pct"/>
          </w:tcPr>
          <w:p w14:paraId="2594B11B" w14:textId="77777777" w:rsidR="004E2862" w:rsidRPr="00D11245" w:rsidRDefault="004E2862" w:rsidP="00DC4A23">
            <w:pPr>
              <w:pStyle w:val="ListParagraph"/>
              <w:numPr>
                <w:ilvl w:val="0"/>
                <w:numId w:val="6"/>
              </w:numPr>
              <w:spacing w:line="240" w:lineRule="auto"/>
              <w:jc w:val="both"/>
              <w:rPr>
                <w:rFonts w:ascii="Calibri" w:hAnsi="Calibri" w:cs="Calibri"/>
                <w:b/>
                <w:bCs/>
                <w:color w:val="000000" w:themeColor="text1"/>
                <w:sz w:val="20"/>
                <w:szCs w:val="20"/>
              </w:rPr>
            </w:pPr>
            <w:r w:rsidRPr="00D11245">
              <w:rPr>
                <w:rFonts w:ascii="Calibri" w:hAnsi="Calibri" w:cs="Calibri"/>
                <w:color w:val="000000" w:themeColor="text1"/>
                <w:sz w:val="20"/>
                <w:szCs w:val="20"/>
              </w:rPr>
              <w:t>Very rare</w:t>
            </w:r>
          </w:p>
          <w:p w14:paraId="545B2B61" w14:textId="77777777" w:rsidR="004E2862" w:rsidRPr="00D11245" w:rsidRDefault="004E2862" w:rsidP="00DC4A23">
            <w:pPr>
              <w:pStyle w:val="ListParagraph"/>
              <w:numPr>
                <w:ilvl w:val="0"/>
                <w:numId w:val="6"/>
              </w:numPr>
              <w:spacing w:line="240" w:lineRule="auto"/>
              <w:jc w:val="both"/>
              <w:rPr>
                <w:rFonts w:ascii="Calibri" w:hAnsi="Calibri" w:cs="Calibri"/>
                <w:b/>
                <w:bCs/>
                <w:color w:val="000000" w:themeColor="text1"/>
                <w:sz w:val="20"/>
                <w:szCs w:val="20"/>
              </w:rPr>
            </w:pPr>
            <w:r w:rsidRPr="00D11245">
              <w:rPr>
                <w:rFonts w:ascii="Calibri" w:hAnsi="Calibri" w:cs="Calibri"/>
                <w:color w:val="000000" w:themeColor="text1"/>
                <w:sz w:val="20"/>
                <w:szCs w:val="20"/>
              </w:rPr>
              <w:t>Always concomitant ALA</w:t>
            </w:r>
          </w:p>
          <w:p w14:paraId="489C0885" w14:textId="0DFEB60D" w:rsidR="004E2862" w:rsidRPr="00D11245" w:rsidRDefault="004E2862" w:rsidP="00DC4A23">
            <w:pPr>
              <w:pStyle w:val="ListParagraph"/>
              <w:numPr>
                <w:ilvl w:val="0"/>
                <w:numId w:val="6"/>
              </w:numPr>
              <w:spacing w:line="240" w:lineRule="auto"/>
              <w:jc w:val="both"/>
              <w:rPr>
                <w:rFonts w:ascii="Calibri" w:hAnsi="Calibri" w:cs="Calibri"/>
                <w:b/>
                <w:bCs/>
                <w:color w:val="000000" w:themeColor="text1"/>
                <w:sz w:val="20"/>
                <w:szCs w:val="20"/>
              </w:rPr>
            </w:pPr>
            <w:r w:rsidRPr="00D11245">
              <w:rPr>
                <w:rFonts w:ascii="Calibri" w:hAnsi="Calibri" w:cs="Calibri"/>
                <w:color w:val="000000" w:themeColor="text1"/>
                <w:sz w:val="20"/>
                <w:szCs w:val="20"/>
              </w:rPr>
              <w:t xml:space="preserve">Brain abscesses may be single or multiple </w:t>
            </w:r>
          </w:p>
        </w:tc>
        <w:tc>
          <w:tcPr>
            <w:tcW w:w="1513" w:type="pct"/>
          </w:tcPr>
          <w:p w14:paraId="24FFBFD1" w14:textId="77777777" w:rsidR="004E2862" w:rsidRPr="00D11245" w:rsidRDefault="004E2862" w:rsidP="00DC4A23">
            <w:pPr>
              <w:pStyle w:val="ListParagraph"/>
              <w:numPr>
                <w:ilvl w:val="0"/>
                <w:numId w:val="5"/>
              </w:numPr>
              <w:spacing w:line="240" w:lineRule="auto"/>
              <w:jc w:val="both"/>
              <w:rPr>
                <w:rFonts w:ascii="Calibri" w:hAnsi="Calibri" w:cs="Calibri"/>
                <w:b/>
                <w:bCs/>
                <w:color w:val="000000" w:themeColor="text1"/>
                <w:sz w:val="20"/>
                <w:szCs w:val="20"/>
              </w:rPr>
            </w:pPr>
            <w:r w:rsidRPr="00D11245">
              <w:rPr>
                <w:rFonts w:ascii="Calibri" w:hAnsi="Calibri" w:cs="Calibri"/>
                <w:color w:val="000000" w:themeColor="text1"/>
                <w:sz w:val="20"/>
                <w:szCs w:val="20"/>
              </w:rPr>
              <w:t>Brain abscess</w:t>
            </w:r>
          </w:p>
          <w:p w14:paraId="026E852E" w14:textId="214F8AC1" w:rsidR="004E2862" w:rsidRPr="00D11245" w:rsidRDefault="004E2862" w:rsidP="00DC4A23">
            <w:pPr>
              <w:pStyle w:val="ListParagraph"/>
              <w:numPr>
                <w:ilvl w:val="0"/>
                <w:numId w:val="5"/>
              </w:numPr>
              <w:spacing w:line="240" w:lineRule="auto"/>
              <w:jc w:val="both"/>
              <w:rPr>
                <w:rFonts w:ascii="Calibri" w:hAnsi="Calibri" w:cs="Calibri"/>
                <w:b/>
                <w:bCs/>
                <w:color w:val="000000" w:themeColor="text1"/>
                <w:sz w:val="20"/>
                <w:szCs w:val="20"/>
              </w:rPr>
            </w:pPr>
            <w:r w:rsidRPr="00D11245">
              <w:rPr>
                <w:rFonts w:ascii="Calibri" w:hAnsi="Calibri" w:cs="Calibri"/>
                <w:color w:val="000000" w:themeColor="text1"/>
                <w:sz w:val="20"/>
                <w:szCs w:val="20"/>
              </w:rPr>
              <w:t>Meningoencephalitis</w:t>
            </w:r>
          </w:p>
          <w:p w14:paraId="64F7D76D" w14:textId="77777777" w:rsidR="004E2862" w:rsidRPr="00D11245" w:rsidRDefault="004E2862" w:rsidP="00DC4A23">
            <w:pPr>
              <w:pStyle w:val="ListParagraph"/>
              <w:numPr>
                <w:ilvl w:val="0"/>
                <w:numId w:val="5"/>
              </w:numPr>
              <w:spacing w:line="240" w:lineRule="auto"/>
              <w:jc w:val="both"/>
              <w:rPr>
                <w:rFonts w:ascii="Calibri" w:hAnsi="Calibri" w:cs="Calibri"/>
                <w:b/>
                <w:bCs/>
                <w:color w:val="000000" w:themeColor="text1"/>
                <w:sz w:val="20"/>
                <w:szCs w:val="20"/>
              </w:rPr>
            </w:pPr>
            <w:r w:rsidRPr="00D11245">
              <w:rPr>
                <w:rFonts w:ascii="Calibri" w:hAnsi="Calibri" w:cs="Calibri"/>
                <w:color w:val="000000" w:themeColor="text1"/>
                <w:sz w:val="20"/>
                <w:szCs w:val="20"/>
              </w:rPr>
              <w:t>Headache</w:t>
            </w:r>
          </w:p>
          <w:p w14:paraId="131066C4" w14:textId="77777777" w:rsidR="004E2862" w:rsidRPr="00D11245" w:rsidRDefault="004E2862" w:rsidP="00DC4A23">
            <w:pPr>
              <w:pStyle w:val="ListParagraph"/>
              <w:numPr>
                <w:ilvl w:val="0"/>
                <w:numId w:val="5"/>
              </w:numPr>
              <w:spacing w:line="240" w:lineRule="auto"/>
              <w:jc w:val="both"/>
              <w:rPr>
                <w:rFonts w:ascii="Calibri" w:hAnsi="Calibri" w:cs="Calibri"/>
                <w:b/>
                <w:bCs/>
                <w:color w:val="000000" w:themeColor="text1"/>
                <w:sz w:val="20"/>
                <w:szCs w:val="20"/>
              </w:rPr>
            </w:pPr>
            <w:r w:rsidRPr="00D11245">
              <w:rPr>
                <w:rFonts w:ascii="Calibri" w:hAnsi="Calibri" w:cs="Calibri"/>
                <w:color w:val="000000" w:themeColor="text1"/>
                <w:sz w:val="20"/>
                <w:szCs w:val="20"/>
              </w:rPr>
              <w:t>Vomiting</w:t>
            </w:r>
          </w:p>
          <w:p w14:paraId="77432279" w14:textId="77777777" w:rsidR="004E2862" w:rsidRPr="00D11245" w:rsidRDefault="004E2862" w:rsidP="00DC4A23">
            <w:pPr>
              <w:pStyle w:val="ListParagraph"/>
              <w:numPr>
                <w:ilvl w:val="0"/>
                <w:numId w:val="5"/>
              </w:numPr>
              <w:spacing w:line="240" w:lineRule="auto"/>
              <w:jc w:val="both"/>
              <w:rPr>
                <w:rFonts w:ascii="Calibri" w:hAnsi="Calibri" w:cs="Calibri"/>
                <w:b/>
                <w:bCs/>
                <w:color w:val="000000" w:themeColor="text1"/>
                <w:sz w:val="20"/>
                <w:szCs w:val="20"/>
              </w:rPr>
            </w:pPr>
            <w:r w:rsidRPr="00D11245">
              <w:rPr>
                <w:rFonts w:ascii="Calibri" w:hAnsi="Calibri" w:cs="Calibri"/>
                <w:color w:val="000000" w:themeColor="text1"/>
                <w:sz w:val="20"/>
                <w:szCs w:val="20"/>
              </w:rPr>
              <w:t>Impaired mental status</w:t>
            </w:r>
          </w:p>
          <w:p w14:paraId="658E81C7" w14:textId="77777777" w:rsidR="004E2862" w:rsidRPr="00D11245" w:rsidRDefault="004E2862" w:rsidP="00DC4A23">
            <w:pPr>
              <w:pStyle w:val="ListParagraph"/>
              <w:numPr>
                <w:ilvl w:val="0"/>
                <w:numId w:val="5"/>
              </w:numPr>
              <w:spacing w:line="240" w:lineRule="auto"/>
              <w:jc w:val="both"/>
              <w:rPr>
                <w:rFonts w:ascii="Calibri" w:hAnsi="Calibri" w:cs="Calibri"/>
                <w:b/>
                <w:bCs/>
                <w:color w:val="000000" w:themeColor="text1"/>
                <w:sz w:val="20"/>
                <w:szCs w:val="20"/>
              </w:rPr>
            </w:pPr>
            <w:r w:rsidRPr="00D11245">
              <w:rPr>
                <w:rFonts w:ascii="Calibri" w:hAnsi="Calibri" w:cs="Calibri"/>
                <w:color w:val="000000" w:themeColor="text1"/>
                <w:sz w:val="20"/>
                <w:szCs w:val="20"/>
              </w:rPr>
              <w:t>Focal neurological signs</w:t>
            </w:r>
          </w:p>
        </w:tc>
        <w:tc>
          <w:tcPr>
            <w:tcW w:w="1467" w:type="pct"/>
          </w:tcPr>
          <w:p w14:paraId="27159905" w14:textId="77777777" w:rsidR="004E2862" w:rsidRPr="00D11245" w:rsidRDefault="004E2862" w:rsidP="00DC4A23">
            <w:pPr>
              <w:pStyle w:val="ListParagraph"/>
              <w:numPr>
                <w:ilvl w:val="0"/>
                <w:numId w:val="5"/>
              </w:numPr>
              <w:spacing w:line="240" w:lineRule="auto"/>
              <w:jc w:val="both"/>
              <w:rPr>
                <w:rFonts w:ascii="Calibri" w:hAnsi="Calibri" w:cs="Calibri"/>
                <w:b/>
                <w:bCs/>
                <w:color w:val="000000" w:themeColor="text1"/>
                <w:sz w:val="20"/>
                <w:szCs w:val="20"/>
              </w:rPr>
            </w:pPr>
            <w:r w:rsidRPr="00D11245">
              <w:rPr>
                <w:rFonts w:ascii="Calibri" w:hAnsi="Calibri" w:cs="Calibri"/>
                <w:color w:val="000000" w:themeColor="text1"/>
                <w:sz w:val="20"/>
                <w:szCs w:val="20"/>
              </w:rPr>
              <w:t>Fatal if not diagnosed early</w:t>
            </w:r>
          </w:p>
          <w:p w14:paraId="029C139C" w14:textId="028C9291" w:rsidR="004E2862" w:rsidRPr="00D11245" w:rsidRDefault="004E2862" w:rsidP="00DC4A23">
            <w:pPr>
              <w:pStyle w:val="ListParagraph"/>
              <w:numPr>
                <w:ilvl w:val="0"/>
                <w:numId w:val="5"/>
              </w:numPr>
              <w:spacing w:line="240" w:lineRule="auto"/>
              <w:jc w:val="both"/>
              <w:rPr>
                <w:rFonts w:ascii="Calibri" w:hAnsi="Calibri" w:cs="Calibri"/>
                <w:b/>
                <w:bCs/>
                <w:color w:val="000000" w:themeColor="text1"/>
                <w:sz w:val="20"/>
                <w:szCs w:val="20"/>
              </w:rPr>
            </w:pPr>
            <w:r w:rsidRPr="00D11245">
              <w:rPr>
                <w:rFonts w:ascii="Calibri" w:hAnsi="Calibri" w:cs="Calibri"/>
                <w:color w:val="000000" w:themeColor="text1"/>
                <w:sz w:val="20"/>
                <w:szCs w:val="20"/>
              </w:rPr>
              <w:t>CT findings non-specific</w:t>
            </w:r>
          </w:p>
          <w:p w14:paraId="38A90364" w14:textId="58BAA5B8" w:rsidR="004E2862" w:rsidRPr="00D11245" w:rsidRDefault="004E2862" w:rsidP="00DC4A23">
            <w:pPr>
              <w:pStyle w:val="ListParagraph"/>
              <w:numPr>
                <w:ilvl w:val="0"/>
                <w:numId w:val="5"/>
              </w:numPr>
              <w:spacing w:line="240" w:lineRule="auto"/>
              <w:jc w:val="both"/>
              <w:rPr>
                <w:rFonts w:ascii="Calibri" w:hAnsi="Calibri" w:cs="Calibri"/>
                <w:b/>
                <w:bCs/>
                <w:color w:val="000000" w:themeColor="text1"/>
                <w:sz w:val="20"/>
                <w:szCs w:val="20"/>
              </w:rPr>
            </w:pPr>
            <w:r w:rsidRPr="00D11245">
              <w:rPr>
                <w:rFonts w:ascii="Calibri" w:hAnsi="Calibri" w:cs="Calibri"/>
                <w:color w:val="000000" w:themeColor="text1"/>
                <w:sz w:val="20"/>
                <w:szCs w:val="20"/>
              </w:rPr>
              <w:t>Longer treatment durations required, up to 8 weeks</w:t>
            </w:r>
          </w:p>
          <w:p w14:paraId="46F3E441" w14:textId="77777777" w:rsidR="004E2862" w:rsidRPr="00D11245" w:rsidRDefault="004E2862" w:rsidP="00DC4A23">
            <w:pPr>
              <w:pStyle w:val="ListParagraph"/>
              <w:numPr>
                <w:ilvl w:val="0"/>
                <w:numId w:val="5"/>
              </w:numPr>
              <w:spacing w:line="240" w:lineRule="auto"/>
              <w:jc w:val="both"/>
              <w:rPr>
                <w:rFonts w:ascii="Calibri" w:hAnsi="Calibri" w:cs="Calibri"/>
                <w:b/>
                <w:bCs/>
                <w:color w:val="000000" w:themeColor="text1"/>
                <w:sz w:val="20"/>
                <w:szCs w:val="20"/>
              </w:rPr>
            </w:pPr>
            <w:r w:rsidRPr="00D11245">
              <w:rPr>
                <w:rFonts w:ascii="Calibri" w:hAnsi="Calibri" w:cs="Calibri"/>
                <w:color w:val="000000" w:themeColor="text1"/>
                <w:sz w:val="20"/>
                <w:szCs w:val="20"/>
              </w:rPr>
              <w:t>Surgical evacuation may be required</w:t>
            </w:r>
          </w:p>
        </w:tc>
      </w:tr>
      <w:tr w:rsidR="00D11245" w:rsidRPr="00D11245" w14:paraId="6DC89066" w14:textId="77777777" w:rsidTr="004E2862">
        <w:tc>
          <w:tcPr>
            <w:tcW w:w="707" w:type="pct"/>
            <w:shd w:val="clear" w:color="auto" w:fill="DEEAF6" w:themeFill="accent5" w:themeFillTint="33"/>
          </w:tcPr>
          <w:p w14:paraId="7EA329BE" w14:textId="77777777" w:rsidR="004E2862" w:rsidRPr="00D11245" w:rsidRDefault="004E2862" w:rsidP="00DC4A23">
            <w:pPr>
              <w:jc w:val="both"/>
              <w:rPr>
                <w:rFonts w:ascii="Calibri" w:hAnsi="Calibri" w:cs="Calibri"/>
                <w:b/>
                <w:bCs/>
                <w:color w:val="000000" w:themeColor="text1"/>
                <w:sz w:val="20"/>
                <w:szCs w:val="20"/>
              </w:rPr>
            </w:pPr>
            <w:r w:rsidRPr="00D11245">
              <w:rPr>
                <w:rFonts w:ascii="Calibri" w:hAnsi="Calibri" w:cs="Calibri"/>
                <w:b/>
                <w:bCs/>
                <w:color w:val="000000" w:themeColor="text1"/>
                <w:sz w:val="20"/>
                <w:szCs w:val="20"/>
              </w:rPr>
              <w:t>Cutaneous</w:t>
            </w:r>
          </w:p>
          <w:p w14:paraId="7B492746" w14:textId="3F3FA3A4" w:rsidR="004E2862" w:rsidRPr="00D11245" w:rsidRDefault="004E2862" w:rsidP="00DC4A23">
            <w:pPr>
              <w:jc w:val="both"/>
              <w:rPr>
                <w:rFonts w:ascii="Calibri" w:hAnsi="Calibri" w:cs="Calibri"/>
                <w:b/>
                <w:bCs/>
                <w:color w:val="000000" w:themeColor="text1"/>
                <w:sz w:val="20"/>
                <w:szCs w:val="20"/>
              </w:rPr>
            </w:pPr>
            <w:r w:rsidRPr="00D11245">
              <w:rPr>
                <w:rFonts w:ascii="Calibri" w:hAnsi="Calibri" w:cs="Calibri"/>
                <w:b/>
                <w:bCs/>
                <w:color w:val="000000" w:themeColor="text1"/>
                <w:sz w:val="20"/>
                <w:szCs w:val="20"/>
              </w:rPr>
              <w:fldChar w:fldCharType="begin"/>
            </w:r>
            <w:r w:rsidR="009C3E63" w:rsidRPr="00D11245">
              <w:rPr>
                <w:rFonts w:ascii="Calibri" w:hAnsi="Calibri" w:cs="Calibri"/>
                <w:b/>
                <w:bCs/>
                <w:color w:val="000000" w:themeColor="text1"/>
                <w:sz w:val="20"/>
                <w:szCs w:val="20"/>
              </w:rPr>
              <w:instrText xml:space="preserve"> ADDIN ZOTERO_ITEM CSL_CITATION {"citationID":"ZJWMh7RU","properties":{"formattedCitation":"\\super 30,128\\nosupersub{}","plainCitation":"30,128","noteIndex":0},"citationItems":[{"id":1241,"uris":["http://zotero.org/groups/2497994/items/YNH7QVVR",["http://zotero.org/groups/2497994/items/YNH7QVVR"]],"itemData":{"id":1241,"type":"article-journal","container-title":"JAAD Case Reports","DOI":"10.1016/j.jdcr.2017.07.020","ISSN":"2352-5126 (electronic)","issue":"6","journalAbbreviation":"JAAD Case Rep.","language":"English","note":"publisher-place: United States\npublisher: Elsevier Inc","page":"553-555","title":"Massive perianal ulceration: Entamoeba histolytica and Candida albicans co-infection","volume":"3","author":[{"literal":"Davis M.J."},{"literal":"Templeton S.F."},{"literal":"Dickensheets D.L."},{"literal":"Gross A.S."}],"issued":{"date-parts":[["2017"]]}}},{"id":1487,"uris":["http://zotero.org/groups/2497994/items/KC9UH7UQ"],"itemData":{"id":1487,"type":"article-journal","abstract":"Amoebiasis cutis is a rare manifestation of Entamoeba histolytica, primarily an intestinal pathogen, which occurs as a complication of amoebic dysentery. Primary cutaneous amoebiasis occurs from contamination of pre-existing wounds. A high degree of clinical suspicion and demonstration of trophozoites from lesions are important for making an early diagnosis lest these patients should suffer significant morbidity. A HIV-negative and otherwise healthy 40-year-old man presented with a well-defined, indurated, painful, progressively enlarging plaque with overlying ulcers and pus discharging sinuses involving buttocks, perianal/perineal area and part of the left thigh of 3 years' duration. A wide array of investigations was unhelpful but demonstration of Entamoeba histolytica trophozoites in wet-drop preparation from the ulcer margin was diagnostic. The trophozoites were also visualized both in H&amp;E and periodic acid Schiff-stained histological sections. Resolution of lesion was observed 2 weeks after treatment with oral metronidazole 800 mg three times a day and wound care. © 2010 The Australasian College of Dermatologists.","container-title":"Australasian Journal of Dermatology","DOI":"10.1111/j.1440-0960.2009.00594.x","ISSN":"0004-8380","issue":"1","journalAbbreviation":"Australas. J. Dermatol.","language":"English","note":"publisher-place: Australia\npublisher: Blackwell Publishing (550 Swanston Street, Carlton South VIC 3053, Australia)","page":"52-55","title":"Amoebiasis cutis: Clinical suspicion is the key to early diagnosis","volume":"51","author":[{"literal":"Verma G.K."},{"literal":"Sharma N.L."},{"literal":"Shanker V."},{"literal":"Mahajan V.K."},{"literal":"Kaushik R."},{"literal":"Verma S."},{"literal":"Jindal N."}],"issued":{"date-parts":[["2010"]]}}}],"schema":"https://github.com/citation-style-language/schema/raw/master/csl-citation.json"} </w:instrText>
            </w:r>
            <w:r w:rsidRPr="00D11245">
              <w:rPr>
                <w:rFonts w:ascii="Calibri" w:hAnsi="Calibri" w:cs="Calibri"/>
                <w:b/>
                <w:bCs/>
                <w:color w:val="000000" w:themeColor="text1"/>
                <w:sz w:val="20"/>
                <w:szCs w:val="20"/>
              </w:rPr>
              <w:fldChar w:fldCharType="separate"/>
            </w:r>
            <w:r w:rsidR="009C3E63" w:rsidRPr="00D11245">
              <w:rPr>
                <w:rFonts w:ascii="Calibri" w:hAnsi="Calibri" w:cs="Calibri"/>
                <w:color w:val="000000" w:themeColor="text1"/>
                <w:sz w:val="20"/>
                <w:szCs w:val="20"/>
                <w:vertAlign w:val="superscript"/>
              </w:rPr>
              <w:t>30,128</w:t>
            </w:r>
            <w:r w:rsidRPr="00D11245">
              <w:rPr>
                <w:rFonts w:ascii="Calibri" w:hAnsi="Calibri" w:cs="Calibri"/>
                <w:b/>
                <w:bCs/>
                <w:color w:val="000000" w:themeColor="text1"/>
                <w:sz w:val="20"/>
                <w:szCs w:val="20"/>
              </w:rPr>
              <w:fldChar w:fldCharType="end"/>
            </w:r>
          </w:p>
          <w:p w14:paraId="54854D24" w14:textId="46D28FEF" w:rsidR="004E2862" w:rsidRPr="00D11245" w:rsidRDefault="004E2862" w:rsidP="00DC4A23">
            <w:pPr>
              <w:jc w:val="both"/>
              <w:rPr>
                <w:rFonts w:ascii="Calibri" w:hAnsi="Calibri" w:cs="Calibri"/>
                <w:b/>
                <w:bCs/>
                <w:color w:val="000000" w:themeColor="text1"/>
                <w:sz w:val="20"/>
                <w:szCs w:val="20"/>
              </w:rPr>
            </w:pPr>
          </w:p>
        </w:tc>
        <w:tc>
          <w:tcPr>
            <w:tcW w:w="1313" w:type="pct"/>
          </w:tcPr>
          <w:p w14:paraId="18ED464E" w14:textId="77777777" w:rsidR="004E2862" w:rsidRPr="00D11245" w:rsidRDefault="004E2862" w:rsidP="00DC4A23">
            <w:pPr>
              <w:pStyle w:val="ListParagraph"/>
              <w:numPr>
                <w:ilvl w:val="0"/>
                <w:numId w:val="6"/>
              </w:numPr>
              <w:spacing w:line="240" w:lineRule="auto"/>
              <w:jc w:val="both"/>
              <w:rPr>
                <w:rFonts w:ascii="Calibri" w:hAnsi="Calibri" w:cs="Calibri"/>
                <w:color w:val="000000" w:themeColor="text1"/>
                <w:sz w:val="20"/>
                <w:szCs w:val="20"/>
              </w:rPr>
            </w:pPr>
            <w:r w:rsidRPr="00D11245">
              <w:rPr>
                <w:rFonts w:ascii="Calibri" w:hAnsi="Calibri" w:cs="Calibri"/>
                <w:color w:val="000000" w:themeColor="text1"/>
                <w:sz w:val="20"/>
                <w:szCs w:val="20"/>
              </w:rPr>
              <w:t>Very rare</w:t>
            </w:r>
          </w:p>
          <w:p w14:paraId="61AEEB36" w14:textId="0F77B8B8" w:rsidR="004E2862" w:rsidRPr="00D11245" w:rsidRDefault="004E2862" w:rsidP="00DC4A23">
            <w:pPr>
              <w:pStyle w:val="ListParagraph"/>
              <w:numPr>
                <w:ilvl w:val="0"/>
                <w:numId w:val="6"/>
              </w:numPr>
              <w:spacing w:line="240" w:lineRule="auto"/>
              <w:jc w:val="both"/>
              <w:rPr>
                <w:rFonts w:ascii="Calibri" w:hAnsi="Calibri" w:cs="Calibri"/>
                <w:color w:val="000000" w:themeColor="text1"/>
                <w:sz w:val="20"/>
                <w:szCs w:val="20"/>
              </w:rPr>
            </w:pPr>
            <w:r w:rsidRPr="00D11245">
              <w:rPr>
                <w:rFonts w:ascii="Calibri" w:hAnsi="Calibri" w:cs="Calibri"/>
                <w:color w:val="000000" w:themeColor="text1"/>
                <w:sz w:val="20"/>
                <w:szCs w:val="20"/>
              </w:rPr>
              <w:t xml:space="preserve">May occur in isolation or with </w:t>
            </w:r>
            <w:proofErr w:type="gramStart"/>
            <w:r w:rsidRPr="00D11245">
              <w:rPr>
                <w:rFonts w:ascii="Calibri" w:hAnsi="Calibri" w:cs="Calibri"/>
                <w:color w:val="000000" w:themeColor="text1"/>
                <w:sz w:val="20"/>
                <w:szCs w:val="20"/>
              </w:rPr>
              <w:t>other</w:t>
            </w:r>
            <w:proofErr w:type="gramEnd"/>
            <w:r w:rsidRPr="00D11245">
              <w:rPr>
                <w:rFonts w:ascii="Calibri" w:hAnsi="Calibri" w:cs="Calibri"/>
                <w:color w:val="000000" w:themeColor="text1"/>
                <w:sz w:val="20"/>
                <w:szCs w:val="20"/>
              </w:rPr>
              <w:t xml:space="preserve"> organ</w:t>
            </w:r>
          </w:p>
          <w:p w14:paraId="0E825E65" w14:textId="77777777" w:rsidR="004E2862" w:rsidRPr="00D11245" w:rsidRDefault="004E2862" w:rsidP="00DC4A23">
            <w:pPr>
              <w:pStyle w:val="ListParagraph"/>
              <w:numPr>
                <w:ilvl w:val="0"/>
                <w:numId w:val="6"/>
              </w:numPr>
              <w:spacing w:line="240" w:lineRule="auto"/>
              <w:jc w:val="both"/>
              <w:rPr>
                <w:rFonts w:ascii="Calibri" w:hAnsi="Calibri" w:cs="Calibri"/>
                <w:color w:val="000000" w:themeColor="text1"/>
                <w:sz w:val="20"/>
                <w:szCs w:val="20"/>
              </w:rPr>
            </w:pPr>
            <w:r w:rsidRPr="00D11245">
              <w:rPr>
                <w:rFonts w:ascii="Calibri" w:hAnsi="Calibri" w:cs="Calibri"/>
                <w:color w:val="000000" w:themeColor="text1"/>
                <w:sz w:val="20"/>
                <w:szCs w:val="20"/>
              </w:rPr>
              <w:t xml:space="preserve">Risk from poor perianal hygiene and sexual transmission </w:t>
            </w:r>
          </w:p>
        </w:tc>
        <w:tc>
          <w:tcPr>
            <w:tcW w:w="1513" w:type="pct"/>
            <w:shd w:val="clear" w:color="auto" w:fill="auto"/>
          </w:tcPr>
          <w:p w14:paraId="3A6C121F" w14:textId="0D0575C1" w:rsidR="004E2862" w:rsidRPr="00D11245" w:rsidRDefault="004E2862" w:rsidP="00DC4A23">
            <w:pPr>
              <w:pStyle w:val="ListParagraph"/>
              <w:numPr>
                <w:ilvl w:val="0"/>
                <w:numId w:val="5"/>
              </w:numPr>
              <w:spacing w:line="240" w:lineRule="auto"/>
              <w:jc w:val="both"/>
              <w:rPr>
                <w:rFonts w:ascii="Calibri" w:hAnsi="Calibri" w:cs="Calibri"/>
                <w:color w:val="000000" w:themeColor="text1"/>
                <w:sz w:val="20"/>
                <w:szCs w:val="20"/>
              </w:rPr>
            </w:pPr>
            <w:r w:rsidRPr="00D11245">
              <w:rPr>
                <w:rFonts w:ascii="Calibri" w:hAnsi="Calibri" w:cs="Calibri"/>
                <w:color w:val="000000" w:themeColor="text1"/>
                <w:sz w:val="20"/>
                <w:szCs w:val="20"/>
              </w:rPr>
              <w:t>Painful perianal ulceration</w:t>
            </w:r>
          </w:p>
          <w:p w14:paraId="5F000966" w14:textId="34ADF9B3" w:rsidR="004E2862" w:rsidRPr="00D11245" w:rsidRDefault="004E2862" w:rsidP="00DC4A23">
            <w:pPr>
              <w:pStyle w:val="ListParagraph"/>
              <w:numPr>
                <w:ilvl w:val="0"/>
                <w:numId w:val="5"/>
              </w:numPr>
              <w:spacing w:line="240" w:lineRule="auto"/>
              <w:jc w:val="both"/>
              <w:rPr>
                <w:rFonts w:ascii="Calibri" w:hAnsi="Calibri" w:cs="Calibri"/>
                <w:color w:val="000000" w:themeColor="text1"/>
                <w:sz w:val="20"/>
                <w:szCs w:val="20"/>
              </w:rPr>
            </w:pPr>
            <w:r w:rsidRPr="00D11245">
              <w:rPr>
                <w:rFonts w:ascii="Calibri" w:hAnsi="Calibri" w:cs="Calibri"/>
                <w:color w:val="000000" w:themeColor="text1"/>
                <w:sz w:val="20"/>
                <w:szCs w:val="20"/>
              </w:rPr>
              <w:t>Single or multiple erythematous ulcers with well demarcated elevated edges</w:t>
            </w:r>
          </w:p>
        </w:tc>
        <w:tc>
          <w:tcPr>
            <w:tcW w:w="1467" w:type="pct"/>
          </w:tcPr>
          <w:p w14:paraId="1F757B9A" w14:textId="77777777" w:rsidR="004E2862" w:rsidRPr="00D11245" w:rsidRDefault="004E2862" w:rsidP="00DC4A23">
            <w:pPr>
              <w:pStyle w:val="ListParagraph"/>
              <w:numPr>
                <w:ilvl w:val="0"/>
                <w:numId w:val="5"/>
              </w:numPr>
              <w:spacing w:line="240" w:lineRule="auto"/>
              <w:jc w:val="both"/>
              <w:rPr>
                <w:rFonts w:ascii="Calibri" w:hAnsi="Calibri" w:cs="Calibri"/>
                <w:color w:val="000000" w:themeColor="text1"/>
                <w:sz w:val="20"/>
                <w:szCs w:val="20"/>
              </w:rPr>
            </w:pPr>
            <w:r w:rsidRPr="00D11245">
              <w:rPr>
                <w:rFonts w:ascii="Calibri" w:hAnsi="Calibri" w:cs="Calibri"/>
                <w:color w:val="000000" w:themeColor="text1"/>
                <w:sz w:val="20"/>
                <w:szCs w:val="20"/>
              </w:rPr>
              <w:t>Trophozoites may be isolated from ulcer exudate or by scraping ulcer edge</w:t>
            </w:r>
          </w:p>
          <w:p w14:paraId="79138BD9" w14:textId="0CF274F4" w:rsidR="004E2862" w:rsidRPr="00D11245" w:rsidRDefault="004E2862" w:rsidP="00DC4A23">
            <w:pPr>
              <w:pStyle w:val="ListParagraph"/>
              <w:numPr>
                <w:ilvl w:val="0"/>
                <w:numId w:val="5"/>
              </w:numPr>
              <w:spacing w:line="240" w:lineRule="auto"/>
              <w:jc w:val="both"/>
              <w:rPr>
                <w:rFonts w:ascii="Calibri" w:hAnsi="Calibri" w:cs="Calibri"/>
                <w:color w:val="000000" w:themeColor="text1"/>
                <w:sz w:val="20"/>
                <w:szCs w:val="20"/>
              </w:rPr>
            </w:pPr>
            <w:r w:rsidRPr="00D11245">
              <w:rPr>
                <w:rFonts w:ascii="Calibri" w:hAnsi="Calibri" w:cs="Calibri"/>
                <w:color w:val="000000" w:themeColor="text1"/>
                <w:sz w:val="20"/>
                <w:szCs w:val="20"/>
              </w:rPr>
              <w:t>extensive spread may require reconstructive surgery</w:t>
            </w:r>
          </w:p>
        </w:tc>
      </w:tr>
      <w:tr w:rsidR="00D11245" w:rsidRPr="00D11245" w14:paraId="286DF3F1" w14:textId="77777777" w:rsidTr="004E2862">
        <w:tc>
          <w:tcPr>
            <w:tcW w:w="707" w:type="pct"/>
            <w:shd w:val="clear" w:color="auto" w:fill="DEEAF6" w:themeFill="accent5" w:themeFillTint="33"/>
          </w:tcPr>
          <w:p w14:paraId="69AB975D" w14:textId="77777777" w:rsidR="004E2862" w:rsidRPr="00D11245" w:rsidRDefault="004E2862" w:rsidP="00DC4A23">
            <w:pPr>
              <w:jc w:val="both"/>
              <w:rPr>
                <w:rFonts w:ascii="Calibri" w:hAnsi="Calibri" w:cs="Calibri"/>
                <w:b/>
                <w:bCs/>
                <w:color w:val="000000" w:themeColor="text1"/>
                <w:sz w:val="20"/>
                <w:szCs w:val="20"/>
              </w:rPr>
            </w:pPr>
            <w:r w:rsidRPr="00D11245">
              <w:rPr>
                <w:rFonts w:ascii="Calibri" w:hAnsi="Calibri" w:cs="Calibri"/>
                <w:b/>
                <w:bCs/>
                <w:color w:val="000000" w:themeColor="text1"/>
                <w:sz w:val="20"/>
                <w:szCs w:val="20"/>
              </w:rPr>
              <w:t>Genital</w:t>
            </w:r>
          </w:p>
          <w:p w14:paraId="425885C7" w14:textId="3C37CF1A" w:rsidR="004E2862" w:rsidRPr="00D11245" w:rsidRDefault="004E2862" w:rsidP="00DC4A23">
            <w:pPr>
              <w:jc w:val="both"/>
              <w:rPr>
                <w:rFonts w:ascii="Calibri" w:hAnsi="Calibri" w:cs="Calibri"/>
                <w:b/>
                <w:bCs/>
                <w:color w:val="000000" w:themeColor="text1"/>
                <w:sz w:val="20"/>
                <w:szCs w:val="20"/>
              </w:rPr>
            </w:pPr>
            <w:r w:rsidRPr="00D11245">
              <w:rPr>
                <w:rFonts w:ascii="Calibri" w:hAnsi="Calibri" w:cs="Calibri"/>
                <w:b/>
                <w:bCs/>
                <w:color w:val="000000" w:themeColor="text1"/>
                <w:sz w:val="20"/>
                <w:szCs w:val="20"/>
              </w:rPr>
              <w:fldChar w:fldCharType="begin"/>
            </w:r>
            <w:r w:rsidR="009C3E63" w:rsidRPr="00D11245">
              <w:rPr>
                <w:rFonts w:ascii="Calibri" w:hAnsi="Calibri" w:cs="Calibri"/>
                <w:b/>
                <w:bCs/>
                <w:color w:val="000000" w:themeColor="text1"/>
                <w:sz w:val="20"/>
                <w:szCs w:val="20"/>
              </w:rPr>
              <w:instrText xml:space="preserve"> ADDIN ZOTERO_ITEM CSL_CITATION {"citationID":"9fkdNWFM","properties":{"formattedCitation":"\\super 37,42,43,129\\uc0\\u8211{}132\\nosupersub{}","plainCitation":"37,42,43,129–132","noteIndex":0},"citationItems":[{"id":2040,"uris":["http://zotero.org/groups/2497994/items/SSLZ668D",["http://zotero.org/groups/2497994/items/SSLZ668D"]],"itemData":{"id":2040,"type":"article-journal","abstract":"Entamoeba histolytica infection (amoebiasis) is the second leading cause of death from parasitic diseases. Epidemiological studies from developed countries have reported an increasing prevalence of amoebiasis and of invasive infections, such as amoebic colitis, among men who have sex with men (MSM) who engage in oral-anal sex. Although most infections with E histolytica are asymptomatic, clinical manifestations of invasive amoebiasis mainly include amoebic colitis and amoebic liver abscess, which are associated with substantial morbidity and medical cost. Laboratory diagnosis of amoebiasis should be based on detection of E histolytica by use of tests with high sensitivity and specificity, such as specific amoebic-antigen or PCR-based assays. Microscopy used in routine clinical laboratories is not sensitive or specific enough for detection of E histolytica. Metronidazole or tinidazole remains the mainstay of treatment for invasive amoebiasis, followed by treatment with luminal agents to prevent relapse and transmission of E histolytica to sexual partners or close contacts. Copyright © 2012 Elsevier Ltd. All rights reserved.","archive":"Pubmed","container-title":"The Lancet. Infectious diseases","DOI":"10.1016/S1473-3099(12)70147-0","ISSN":"1473-3099","issue":"9","page":"729-36","title":"Entamoeba histolytica infection in men who have sex with men.","volume":"12","author":[{"family":"Hung","given":"Chien-Ching"},{"family":"Chang","given":"Sui-Yuan"},{"family":"Ji","given":"Dar-Der"}],"issued":{"date-parts":[["2012",9,1]]}}},{"id":1437,"uris":["http://zotero.org/groups/2497994/items/QF4E8FKL",["http://zotero.org/groups/2497994/items/QF4E8FKL"]],"itemData":{"id":1437,"type":"article-journal","abstract":"Entamoeba histolytica is a cosmopolitan pathogenic parasite. It is spread via the feco-oral route and, to a lesser extent, via sexual intercourse. We report a case of hepatic and intestinal amoebiasis in a 67-year-old man who had never travelled to an endemic area. Abdominal CT investigations detected two liver abscesses and chronic colitis. Positive amoebic serology and a positive PCR test for E. histolytica in the hepatic liquid and faeces confirmed the diagnosis. Curative metronidazole and tiliquinol-tilbroquinol were administered successfully. The patient had been contaminated through heterosexual intercourse with his healthy French female partner who was a carrier of the parasite. Though unusual, amoebiasis as a result of sexual transmission should be considered in non-endemic areas in people who have never travelled abroad, particularly in the presence of clinical symptoms such as liver abscesses or chronic diarrhoea.","language":"en","note":"publisher: BMJ Publishing Group","title":"An underestimated sexually transmitted infection: amoebiasis","URL":"http://www.ncbi.nlm.nih.gov/pmc/articles/PMC6536245/","author":[{"family":"Billet","given":"Anne Claire"},{"family":"Salmon Rousseau","given":"Arnaud"},{"family":"Piroth","given":"Lionel"},{"family":"Martins","given":"Capucine"}],"issued":{"date-parts":[["2019"]]}}},{"id":2614,"uris":["http://zotero.org/groups/2497994/items/2KQVRSAX",["http://zotero.org/groups/2497994/items/2KQVRSAX"]],"itemData":{"id":2614,"type":"article-journal","abstract":"Introduction: In industrialized countries, amebiasis usually occurs in migrants and travelers returning from areas where the disease is endemic, primarily by ingestion of contaminated food or water. Person-to-person transmission can occur, mainly by fecal-oral contact, but sexual transmission has also been described [1,3-5]. Presentation of case: We report a man with Entamoeba histolytica colitis and a large liver abscess (16.5 x 14 cm) in Portugal, who had no relevant travel history and whose only risk factor was his heterosexual partner. The abscess required drainage of 1950 mL of \"chocolate-milk\" purulent fluid, with rapid symptomatic improvement. The diagnosis was established by real-time reverse transcription PCR for Entamoeba histolytica in the liver aspirate, with positive IgG antibodies. He received a total of 16 days of ceftriaxone and metronidazole followed by 7 days of paromomycin. Conclusion: As enteric infections may be sexually transmitted, in industrialized countries, even in the absence of travel, sexual history should not be neglected. (C) 2019 The Authors. Published by Elsevier Ltd.","container-title":"Idcases","DOI":"10.1016/j.idcr.2019.e00592","ISSN":"2214-2509","note":"WOS:000504677900054","page":"e00592","title":"Nontravel-related invasive Entamoeba histolytica infection with probable heterosexual transmission","volume":"18","author":[{"family":"Valdoleiros","given":"Sofia R.","non-dropping-particle":"de"},{"family":"Carvalho","given":"Joao Abranches"},{"family":"Goncalves","given":"Celina"},{"family":"Vasconcelos","given":"Olga"},{"family":"Sarmento-Castro","given":"Rui"}],"issued":{"date-parts":[["2019"]]}}},{"id":2667,"uris":["http://zotero.org/groups/2497994/items/LX4TSQUB"],"itemData":{"id":2667,"type":"article-journal","abstract":"&lt;sec&gt;&lt;st&gt;Objectives&lt;/st&gt; Four cases of penile amoebiasis (PA) presenting as genital ulceration seen among men who practiced unprotected insertive anal intercourse in Tehran are described. &lt;/sec&gt; &lt;sec&gt;&lt;st&gt;Methods&lt;/st&gt; PA was confirmed by observation of motile trophozoites of Entamoeba histolytica from lesions examined by wet mount microscopy. &lt;/sec&gt; &lt;sec&gt;&lt;st&gt;Results&lt;/st&gt; Ulcers were solitary, painful, irregular, discharging and increasing in size. Three heterosexuals and one bisexual had practised insertive anal intercourse in the 2&amp;emsp14;weeks before diagnosis. Bilateral inguinal lymphadenitis occurred in one case. Direct examination of lesions was positive for the presence of amoebic trophozoites. Complete resolution occurred after treatment with oral metronidazole 800&amp;emsp14;mg three times daily for 7–10&amp;emsp14;days. &lt;/sec&gt; &lt;sec&gt;&lt;st&gt;Conclusions&lt;/st&gt; Clinicians need to be aware of cutaneous amoebiasis in sexually active men who practice unprotected insertive anal sex where intestinal amoebiasis is endemic. Wet mount microscopy is a rapid and useful diagnostic test. &lt;/sec&gt;","language":"en","note":"publisher: BMJ Publishing Group Ltd","title":"Sexually transmitted penile amoebiasis in Iran: a case series","URL":"http://sti.bmj.com/cgi/content/short/88/8/585","author":[{"family":"Abdolrasouli","given":"Alireza"},{"family":"Vries","given":"Henry J C","non-dropping-particle":"de"},{"family":"Hemmati","given":"Yahya"},{"family":"Roushan","given":"Azita"},{"family":"Hart","given":"Jason"},{"family":"Waugh","given":"Michael Anthony"}],"issued":{"date-parts":[["2012"]]}}},{"id":2705,"uris":["http://zotero.org/groups/2497994/items/7HYRPY33"],"itemData":{"id":2705,"type":"article-journal","abstract":"The majority of amoeba infection are asymptomatic, but clinically intestinal amoebiasis or extra intestinal amoebiasis may result. Genital amoebiasis is very rare manifestation of extra intestial amoebiasis, but a case of amoebic scrotal abscess, seen in Surabaya. The invasive form of Entamoeba histolytica trophozoite was seen in Giemsa stained aspirate of the abscess. In case of an abscess bacteria are primarly considered, but the case presented here shows that amoeba can be the cause, although very rarely. Thus when bacteriological diagnostics are negative amoeba should be considered, especially in case of brown-reddish colored and foul smelling pus.","archive":"Pubmed","container-title":"Tropical biomedicine","ISSN":"0127-5720","issue":"3","page":"494-6","title":"Scrotal abscess, a rare case of extra intestinal amoebiasis.","volume":"32","author":[{"family":"Prasetyo","given":"R H"}],"issued":{"date-parts":[["2015",9,1]]}}},{"id":4751,"uris":["http://zotero.org/users/6594463/items/JAGK6QBN"],"itemData":{"id":4751,"type":"article-journal","abstract":"Abstract\nLuminal distensibility measurement has demonstrated relevance to various disease processes, though its effects on clinical decision-making have been less well understood. This study aims to characterize the clinical impact of impedance planimetry measurement as well as the learning curve associated with its use in the esophagus. A single provider performed distensibility measurement in conjunction with upper endoscopy for a variety of clinical indications with the functional lumen imaging probe (FLIP) over a period of 21 months. Procedural data were prospectively collected and, along with medical records, retrospectively reviewed. Seventy-three procedures (70 patients) underwent esophageal distensibility measurement over the timeline of this study. The most common procedural indications were known or suspected achalasia (32.9%), dysphagia with connective tissue disease (13.7%), eosinophilic esophagitis (12.3%), and dysphagia with prior fundoplication (9.6%). FLIP results independently led to a change in management in 29 (39.7%) cases and supported a change in management in an additional 15 (20.5%) cases. The most common change in management was a new or amended therapeutic procedure (79.5%). Procedural time added by distensibility measurement was greater among earlier cases than among later cases. The median time added overall was 5 minutes and 46 seconds. Procedural time added varied significantly by procedural indication, but changes in management did not. Distensibility measurement added meaningful diagnostic information that impacted therapeutic decision-making in the majority of cases in which it was performed. Procedural time added by this modality is typically modest and decreases with experience.\n\nKeywords: EndoFlip; achalasia; dysphagia; hiatal hernia; impedance planimetry.","container-title":"Diseases of the Esophagus","DOI":"10.1093/dote/dox038","ISSN":"1120-8694, 1442-2050","issue":"8","language":"en","page":"1-8","source":"DOI.org (Crossref)","title":"Esophageal distensibility measurement: impact on clinical management and procedure length","title-short":"Esophageal distensibility measurement","volume":"30","author":[{"family":"Ahuja","given":"N. K."},{"family":"Agnihotri","given":"A."},{"family":"Lynch","given":"K. L."},{"family":"Hoo-Fatt","given":"D."},{"family":"Onyimba","given":"F."},{"family":"McKnight","given":"M."},{"family":"Okeke","given":"F. C."},{"family":"Garcia","given":"P."},{"family":"Dhalla","given":"S."},{"family":"Stein","given":"E."},{"family":"Pasricha","given":"P. J."},{"family":"Clarke","given":"J. O."}],"issued":{"date-parts":[["2017",8]]}}},{"id":1471,"uris":["http://zotero.org/groups/2497994/items/N2JRACKK"],"itemData":{"id":1471,"type":"article-journal","abstract":"Amoebiasis of the uterine cervix is an extremely rare entity, and presentation as fibroid uterus has not been reported, to the best of our knowledge in our extensive search of the English literature. It can clinically simulate cervical malignancy by virtue of surface papillomatous and overall ulcerated and necrotic appearance. We present a case of amoebic infection of the cervix in a 45-year-old female which was suspected to be a posterior wall fibroid with degeneration until a histopathological examination of the surgical specimen revealed the presence of Entamoeba histolytica trophozoites. The patient recovered after surgery and antiamoebic therapy. © 2012.","container-title":"Journal of Microbiology, Immunology and Infection","DOI":"10.1016/j.jmii.2012.03.010","ISSN":"1684-1182","issue":"4","journalAbbreviation":"J. Microbiol. Immunol. Infect.","language":"English","note":"publisher-place: United Kingdom\npublisher: Elsevier Ltd","page":"354-357","title":"Amoebic cervicitis mimicking posterior wall fibroid: A rare presentation","volume":"47","author":[{"literal":"Mukherjee S."},{"literal":"Nagarsenkar A."},{"literal":"Chandra S."},{"literal":"Sahasrabhojanee M."},{"literal":"Sawant D."}],"issued":{"date-parts":[["2014"]]}}}],"schema":"https://github.com/citation-style-language/schema/raw/master/csl-citation.json"} </w:instrText>
            </w:r>
            <w:r w:rsidRPr="00D11245">
              <w:rPr>
                <w:rFonts w:ascii="Calibri" w:hAnsi="Calibri" w:cs="Calibri"/>
                <w:b/>
                <w:bCs/>
                <w:color w:val="000000" w:themeColor="text1"/>
                <w:sz w:val="20"/>
                <w:szCs w:val="20"/>
              </w:rPr>
              <w:fldChar w:fldCharType="separate"/>
            </w:r>
            <w:r w:rsidR="009C3E63" w:rsidRPr="00D11245">
              <w:rPr>
                <w:rFonts w:ascii="Calibri" w:hAnsi="Calibri" w:cs="Calibri"/>
                <w:color w:val="000000" w:themeColor="text1"/>
                <w:sz w:val="20"/>
                <w:szCs w:val="20"/>
                <w:vertAlign w:val="superscript"/>
              </w:rPr>
              <w:t>37,42,43,129–132</w:t>
            </w:r>
            <w:r w:rsidRPr="00D11245">
              <w:rPr>
                <w:rFonts w:ascii="Calibri" w:hAnsi="Calibri" w:cs="Calibri"/>
                <w:b/>
                <w:bCs/>
                <w:color w:val="000000" w:themeColor="text1"/>
                <w:sz w:val="20"/>
                <w:szCs w:val="20"/>
              </w:rPr>
              <w:fldChar w:fldCharType="end"/>
            </w:r>
          </w:p>
        </w:tc>
        <w:tc>
          <w:tcPr>
            <w:tcW w:w="1313" w:type="pct"/>
          </w:tcPr>
          <w:p w14:paraId="5910EC59" w14:textId="77777777" w:rsidR="004E2862" w:rsidRPr="00D11245" w:rsidRDefault="004E2862" w:rsidP="00DC4A23">
            <w:pPr>
              <w:pStyle w:val="ListParagraph"/>
              <w:numPr>
                <w:ilvl w:val="0"/>
                <w:numId w:val="6"/>
              </w:numPr>
              <w:spacing w:line="240" w:lineRule="auto"/>
              <w:jc w:val="both"/>
              <w:rPr>
                <w:rFonts w:ascii="Calibri" w:hAnsi="Calibri" w:cs="Calibri"/>
                <w:color w:val="000000" w:themeColor="text1"/>
                <w:sz w:val="20"/>
                <w:szCs w:val="20"/>
              </w:rPr>
            </w:pPr>
            <w:r w:rsidRPr="00D11245">
              <w:rPr>
                <w:rFonts w:ascii="Calibri" w:hAnsi="Calibri" w:cs="Calibri"/>
                <w:color w:val="000000" w:themeColor="text1"/>
                <w:sz w:val="20"/>
                <w:szCs w:val="20"/>
              </w:rPr>
              <w:t>Very rare</w:t>
            </w:r>
          </w:p>
          <w:p w14:paraId="57CEBF0F" w14:textId="6C55801E" w:rsidR="004E2862" w:rsidRPr="00D11245" w:rsidRDefault="004E2862" w:rsidP="00DC4A23">
            <w:pPr>
              <w:pStyle w:val="ListParagraph"/>
              <w:numPr>
                <w:ilvl w:val="0"/>
                <w:numId w:val="6"/>
              </w:numPr>
              <w:spacing w:line="240" w:lineRule="auto"/>
              <w:jc w:val="both"/>
              <w:rPr>
                <w:rFonts w:ascii="Calibri" w:hAnsi="Calibri" w:cs="Calibri"/>
                <w:color w:val="000000" w:themeColor="text1"/>
                <w:sz w:val="20"/>
                <w:szCs w:val="20"/>
              </w:rPr>
            </w:pPr>
            <w:r w:rsidRPr="00D11245">
              <w:rPr>
                <w:rFonts w:ascii="Calibri" w:hAnsi="Calibri" w:cs="Calibri"/>
                <w:color w:val="000000" w:themeColor="text1"/>
                <w:sz w:val="20"/>
                <w:szCs w:val="20"/>
              </w:rPr>
              <w:t>risk factor anal sex</w:t>
            </w:r>
          </w:p>
        </w:tc>
        <w:tc>
          <w:tcPr>
            <w:tcW w:w="1513" w:type="pct"/>
          </w:tcPr>
          <w:p w14:paraId="18A86FDA" w14:textId="7050F543" w:rsidR="004E2862" w:rsidRPr="00D11245" w:rsidRDefault="004E2862" w:rsidP="00151E73">
            <w:pPr>
              <w:pStyle w:val="ListParagraph"/>
              <w:numPr>
                <w:ilvl w:val="0"/>
                <w:numId w:val="5"/>
              </w:numPr>
              <w:spacing w:line="240" w:lineRule="auto"/>
              <w:jc w:val="both"/>
              <w:rPr>
                <w:rFonts w:ascii="Calibri" w:hAnsi="Calibri" w:cs="Calibri"/>
                <w:color w:val="000000" w:themeColor="text1"/>
                <w:sz w:val="20"/>
                <w:szCs w:val="20"/>
              </w:rPr>
            </w:pPr>
            <w:r w:rsidRPr="00D11245">
              <w:rPr>
                <w:rFonts w:ascii="Calibri" w:hAnsi="Calibri" w:cs="Calibri"/>
                <w:color w:val="000000" w:themeColor="text1"/>
                <w:sz w:val="20"/>
                <w:szCs w:val="20"/>
              </w:rPr>
              <w:t>Penile, vaginal and cervical ulcers</w:t>
            </w:r>
          </w:p>
          <w:p w14:paraId="17F58E2C" w14:textId="791778CB" w:rsidR="004E2862" w:rsidRPr="00D11245" w:rsidRDefault="004E2862" w:rsidP="00DC4A23">
            <w:pPr>
              <w:pStyle w:val="ListParagraph"/>
              <w:numPr>
                <w:ilvl w:val="0"/>
                <w:numId w:val="5"/>
              </w:numPr>
              <w:spacing w:line="240" w:lineRule="auto"/>
              <w:jc w:val="both"/>
              <w:rPr>
                <w:rFonts w:ascii="Calibri" w:hAnsi="Calibri" w:cs="Calibri"/>
                <w:color w:val="000000" w:themeColor="text1"/>
                <w:sz w:val="20"/>
                <w:szCs w:val="20"/>
              </w:rPr>
            </w:pPr>
            <w:r w:rsidRPr="00D11245">
              <w:rPr>
                <w:rFonts w:ascii="Calibri" w:hAnsi="Calibri" w:cs="Calibri"/>
                <w:color w:val="000000" w:themeColor="text1"/>
                <w:sz w:val="20"/>
                <w:szCs w:val="20"/>
              </w:rPr>
              <w:t>Foul smelling vaginal discharge</w:t>
            </w:r>
          </w:p>
        </w:tc>
        <w:tc>
          <w:tcPr>
            <w:tcW w:w="1467" w:type="pct"/>
          </w:tcPr>
          <w:p w14:paraId="5A83F788" w14:textId="3030EFCA" w:rsidR="004E2862" w:rsidRPr="00D11245" w:rsidRDefault="004E2862" w:rsidP="00DC4A23">
            <w:pPr>
              <w:pStyle w:val="ListParagraph"/>
              <w:numPr>
                <w:ilvl w:val="0"/>
                <w:numId w:val="5"/>
              </w:numPr>
              <w:spacing w:line="240" w:lineRule="auto"/>
              <w:jc w:val="both"/>
              <w:rPr>
                <w:rFonts w:ascii="Calibri" w:hAnsi="Calibri" w:cs="Calibri"/>
                <w:color w:val="000000" w:themeColor="text1"/>
                <w:sz w:val="20"/>
                <w:szCs w:val="20"/>
              </w:rPr>
            </w:pPr>
            <w:r w:rsidRPr="00D11245">
              <w:rPr>
                <w:rFonts w:ascii="Calibri" w:hAnsi="Calibri" w:cs="Calibri"/>
                <w:color w:val="000000" w:themeColor="text1"/>
                <w:sz w:val="20"/>
                <w:szCs w:val="20"/>
              </w:rPr>
              <w:t>Treatment as per other forms</w:t>
            </w:r>
          </w:p>
          <w:p w14:paraId="425BF7CA" w14:textId="2AE35F9A" w:rsidR="004E2862" w:rsidRPr="00D11245" w:rsidRDefault="004E2862" w:rsidP="00DC4A23">
            <w:pPr>
              <w:pStyle w:val="ListParagraph"/>
              <w:numPr>
                <w:ilvl w:val="0"/>
                <w:numId w:val="5"/>
              </w:numPr>
              <w:spacing w:line="240" w:lineRule="auto"/>
              <w:jc w:val="both"/>
              <w:rPr>
                <w:rFonts w:ascii="Calibri" w:hAnsi="Calibri" w:cs="Calibri"/>
                <w:color w:val="000000" w:themeColor="text1"/>
                <w:sz w:val="20"/>
                <w:szCs w:val="20"/>
              </w:rPr>
            </w:pPr>
            <w:r w:rsidRPr="00D11245">
              <w:rPr>
                <w:rFonts w:ascii="Calibri" w:hAnsi="Calibri" w:cs="Calibri"/>
                <w:color w:val="000000" w:themeColor="text1"/>
                <w:sz w:val="20"/>
                <w:szCs w:val="20"/>
              </w:rPr>
              <w:t xml:space="preserve"> Trace and treat sexual partner </w:t>
            </w:r>
          </w:p>
        </w:tc>
      </w:tr>
    </w:tbl>
    <w:p w14:paraId="6705E0B1" w14:textId="6C60E6B2" w:rsidR="00066EBF" w:rsidRPr="00D11245" w:rsidRDefault="00066EBF">
      <w:pPr>
        <w:rPr>
          <w:rFonts w:ascii="Calibri" w:hAnsi="Calibri" w:cs="Calibri"/>
          <w:b/>
          <w:bCs/>
          <w:color w:val="000000" w:themeColor="text1"/>
        </w:rPr>
      </w:pPr>
    </w:p>
    <w:p w14:paraId="15C06278" w14:textId="77777777" w:rsidR="00473F0E" w:rsidRPr="00D11245" w:rsidRDefault="00473F0E">
      <w:pPr>
        <w:rPr>
          <w:rFonts w:ascii="Calibri" w:hAnsi="Calibri" w:cs="Calibri"/>
          <w:b/>
          <w:bCs/>
          <w:color w:val="000000" w:themeColor="text1"/>
        </w:rPr>
      </w:pPr>
    </w:p>
    <w:p w14:paraId="3D42ACF6" w14:textId="77777777" w:rsidR="00473F0E" w:rsidRPr="00D11245" w:rsidRDefault="00473F0E">
      <w:pPr>
        <w:rPr>
          <w:rFonts w:ascii="Calibri" w:hAnsi="Calibri" w:cs="Calibri"/>
          <w:b/>
          <w:bCs/>
          <w:color w:val="000000" w:themeColor="text1"/>
        </w:rPr>
      </w:pPr>
    </w:p>
    <w:p w14:paraId="1B6915EA" w14:textId="5F234473" w:rsidR="001D4B07" w:rsidRPr="00D11245" w:rsidRDefault="00C33A2A" w:rsidP="00B81A81">
      <w:pPr>
        <w:jc w:val="both"/>
        <w:rPr>
          <w:rFonts w:ascii="Calibri" w:hAnsi="Calibri" w:cs="Calibri"/>
          <w:b/>
          <w:bCs/>
          <w:color w:val="000000" w:themeColor="text1"/>
          <w:sz w:val="24"/>
          <w:szCs w:val="24"/>
          <w:u w:val="single"/>
        </w:rPr>
      </w:pPr>
      <w:r w:rsidRPr="00D11245">
        <w:rPr>
          <w:rFonts w:ascii="Calibri" w:hAnsi="Calibri" w:cs="Calibri"/>
          <w:b/>
          <w:bCs/>
          <w:color w:val="000000" w:themeColor="text1"/>
          <w:sz w:val="24"/>
          <w:szCs w:val="24"/>
          <w:u w:val="single"/>
        </w:rPr>
        <w:lastRenderedPageBreak/>
        <w:t xml:space="preserve">Laboratory </w:t>
      </w:r>
      <w:r w:rsidR="001D4B07" w:rsidRPr="00D11245">
        <w:rPr>
          <w:rFonts w:ascii="Calibri" w:hAnsi="Calibri" w:cs="Calibri"/>
          <w:b/>
          <w:bCs/>
          <w:color w:val="000000" w:themeColor="text1"/>
          <w:sz w:val="24"/>
          <w:szCs w:val="24"/>
          <w:u w:val="single"/>
        </w:rPr>
        <w:t>Diagnosis</w:t>
      </w:r>
    </w:p>
    <w:p w14:paraId="7F761CFF" w14:textId="72EA8D56" w:rsidR="00B55D00" w:rsidRPr="00D11245" w:rsidRDefault="00512BC6" w:rsidP="00B81A81">
      <w:pPr>
        <w:jc w:val="both"/>
        <w:rPr>
          <w:rFonts w:ascii="Calibri" w:hAnsi="Calibri" w:cs="Calibri"/>
          <w:color w:val="000000" w:themeColor="text1"/>
          <w:sz w:val="24"/>
          <w:szCs w:val="24"/>
        </w:rPr>
      </w:pPr>
      <w:r w:rsidRPr="00D11245">
        <w:rPr>
          <w:rFonts w:ascii="Calibri" w:hAnsi="Calibri" w:cs="Calibri"/>
          <w:color w:val="000000" w:themeColor="text1"/>
          <w:sz w:val="24"/>
          <w:szCs w:val="24"/>
        </w:rPr>
        <w:t xml:space="preserve">Diagnostic </w:t>
      </w:r>
      <w:r w:rsidR="00C63CFF" w:rsidRPr="00D11245">
        <w:rPr>
          <w:rFonts w:ascii="Calibri" w:hAnsi="Calibri" w:cs="Calibri"/>
          <w:color w:val="000000" w:themeColor="text1"/>
          <w:sz w:val="24"/>
          <w:szCs w:val="24"/>
        </w:rPr>
        <w:t xml:space="preserve">methods </w:t>
      </w:r>
      <w:r w:rsidRPr="00D11245">
        <w:rPr>
          <w:rFonts w:ascii="Calibri" w:hAnsi="Calibri" w:cs="Calibri"/>
          <w:color w:val="000000" w:themeColor="text1"/>
          <w:sz w:val="24"/>
          <w:szCs w:val="24"/>
        </w:rPr>
        <w:t>comprise</w:t>
      </w:r>
      <w:r w:rsidR="006133B0" w:rsidRPr="00D11245">
        <w:rPr>
          <w:rFonts w:ascii="Calibri" w:hAnsi="Calibri" w:cs="Calibri"/>
          <w:color w:val="000000" w:themeColor="text1"/>
          <w:sz w:val="24"/>
          <w:szCs w:val="24"/>
        </w:rPr>
        <w:t xml:space="preserve"> </w:t>
      </w:r>
      <w:r w:rsidR="00B5354E" w:rsidRPr="00D11245">
        <w:rPr>
          <w:rFonts w:ascii="Calibri" w:hAnsi="Calibri" w:cs="Calibri"/>
          <w:color w:val="000000" w:themeColor="text1"/>
          <w:sz w:val="24"/>
          <w:szCs w:val="24"/>
        </w:rPr>
        <w:t>faecal microsc</w:t>
      </w:r>
      <w:r w:rsidR="00C1631C" w:rsidRPr="00D11245">
        <w:rPr>
          <w:rFonts w:ascii="Calibri" w:hAnsi="Calibri" w:cs="Calibri"/>
          <w:color w:val="000000" w:themeColor="text1"/>
          <w:sz w:val="24"/>
          <w:szCs w:val="24"/>
        </w:rPr>
        <w:t>opy</w:t>
      </w:r>
      <w:r w:rsidR="006133B0" w:rsidRPr="00D11245">
        <w:rPr>
          <w:rFonts w:ascii="Calibri" w:hAnsi="Calibri" w:cs="Calibri"/>
          <w:color w:val="000000" w:themeColor="text1"/>
          <w:sz w:val="24"/>
          <w:szCs w:val="24"/>
        </w:rPr>
        <w:t xml:space="preserve">, </w:t>
      </w:r>
      <w:r w:rsidR="001B76A6" w:rsidRPr="00D11245">
        <w:rPr>
          <w:rFonts w:ascii="Calibri" w:hAnsi="Calibri" w:cs="Calibri"/>
          <w:color w:val="000000" w:themeColor="text1"/>
          <w:sz w:val="24"/>
          <w:szCs w:val="24"/>
        </w:rPr>
        <w:t>microscopy of rectal scrapes</w:t>
      </w:r>
      <w:r w:rsidR="00495E1F" w:rsidRPr="00D11245">
        <w:rPr>
          <w:rFonts w:ascii="Calibri" w:hAnsi="Calibri" w:cs="Calibri"/>
          <w:color w:val="000000" w:themeColor="text1"/>
          <w:sz w:val="24"/>
          <w:szCs w:val="24"/>
        </w:rPr>
        <w:t xml:space="preserve">, </w:t>
      </w:r>
      <w:r w:rsidR="0099384A" w:rsidRPr="00D11245">
        <w:rPr>
          <w:rFonts w:ascii="Calibri" w:hAnsi="Calibri" w:cs="Calibri"/>
          <w:color w:val="000000" w:themeColor="text1"/>
          <w:sz w:val="24"/>
          <w:szCs w:val="24"/>
        </w:rPr>
        <w:t>serolog</w:t>
      </w:r>
      <w:r w:rsidR="00C1631C" w:rsidRPr="00D11245">
        <w:rPr>
          <w:rFonts w:ascii="Calibri" w:hAnsi="Calibri" w:cs="Calibri"/>
          <w:color w:val="000000" w:themeColor="text1"/>
          <w:sz w:val="24"/>
          <w:szCs w:val="24"/>
        </w:rPr>
        <w:t>y</w:t>
      </w:r>
      <w:r w:rsidR="0099384A" w:rsidRPr="00D11245">
        <w:rPr>
          <w:rFonts w:ascii="Calibri" w:hAnsi="Calibri" w:cs="Calibri"/>
          <w:color w:val="000000" w:themeColor="text1"/>
          <w:sz w:val="24"/>
          <w:szCs w:val="24"/>
        </w:rPr>
        <w:t xml:space="preserve">, </w:t>
      </w:r>
      <w:r w:rsidR="00D46A11" w:rsidRPr="00D11245">
        <w:rPr>
          <w:rFonts w:ascii="Calibri" w:hAnsi="Calibri" w:cs="Calibri"/>
          <w:color w:val="000000" w:themeColor="text1"/>
          <w:sz w:val="24"/>
          <w:szCs w:val="24"/>
        </w:rPr>
        <w:t>histopatholog</w:t>
      </w:r>
      <w:r w:rsidR="00C63CFF" w:rsidRPr="00D11245">
        <w:rPr>
          <w:rFonts w:ascii="Calibri" w:hAnsi="Calibri" w:cs="Calibri"/>
          <w:color w:val="000000" w:themeColor="text1"/>
          <w:sz w:val="24"/>
          <w:szCs w:val="24"/>
        </w:rPr>
        <w:t xml:space="preserve">y </w:t>
      </w:r>
      <w:r w:rsidR="006133B0" w:rsidRPr="00D11245">
        <w:rPr>
          <w:rFonts w:ascii="Calibri" w:hAnsi="Calibri" w:cs="Calibri"/>
          <w:color w:val="000000" w:themeColor="text1"/>
          <w:sz w:val="24"/>
          <w:szCs w:val="24"/>
        </w:rPr>
        <w:t xml:space="preserve">and </w:t>
      </w:r>
      <w:r w:rsidR="00C63CFF" w:rsidRPr="00D11245">
        <w:rPr>
          <w:rFonts w:ascii="Calibri" w:hAnsi="Calibri" w:cs="Calibri"/>
          <w:color w:val="000000" w:themeColor="text1"/>
          <w:sz w:val="24"/>
          <w:szCs w:val="24"/>
        </w:rPr>
        <w:t>nucle</w:t>
      </w:r>
      <w:r w:rsidR="004F60B9" w:rsidRPr="00D11245">
        <w:rPr>
          <w:rFonts w:ascii="Calibri" w:hAnsi="Calibri" w:cs="Calibri"/>
          <w:color w:val="000000" w:themeColor="text1"/>
          <w:sz w:val="24"/>
          <w:szCs w:val="24"/>
        </w:rPr>
        <w:t>ic acid detection</w:t>
      </w:r>
      <w:r w:rsidR="006133B0" w:rsidRPr="00D11245">
        <w:rPr>
          <w:rFonts w:ascii="Calibri" w:hAnsi="Calibri" w:cs="Calibri"/>
          <w:color w:val="000000" w:themeColor="text1"/>
          <w:sz w:val="24"/>
          <w:szCs w:val="24"/>
        </w:rPr>
        <w:t xml:space="preserve">, </w:t>
      </w:r>
      <w:r w:rsidR="00D41058" w:rsidRPr="00D11245">
        <w:rPr>
          <w:rFonts w:ascii="Calibri" w:hAnsi="Calibri" w:cs="Calibri"/>
          <w:color w:val="000000" w:themeColor="text1"/>
          <w:sz w:val="24"/>
          <w:szCs w:val="24"/>
        </w:rPr>
        <w:t xml:space="preserve">in support of </w:t>
      </w:r>
      <w:r w:rsidR="0099384A" w:rsidRPr="00D11245">
        <w:rPr>
          <w:rFonts w:ascii="Calibri" w:hAnsi="Calibri" w:cs="Calibri"/>
          <w:color w:val="000000" w:themeColor="text1"/>
          <w:sz w:val="24"/>
          <w:szCs w:val="24"/>
        </w:rPr>
        <w:t>clinical history, endoscop</w:t>
      </w:r>
      <w:r w:rsidRPr="00D11245">
        <w:rPr>
          <w:rFonts w:ascii="Calibri" w:hAnsi="Calibri" w:cs="Calibri"/>
          <w:color w:val="000000" w:themeColor="text1"/>
          <w:sz w:val="24"/>
          <w:szCs w:val="24"/>
        </w:rPr>
        <w:t xml:space="preserve">ic </w:t>
      </w:r>
      <w:r w:rsidR="0099384A" w:rsidRPr="00D11245">
        <w:rPr>
          <w:rFonts w:ascii="Calibri" w:hAnsi="Calibri" w:cs="Calibri"/>
          <w:color w:val="000000" w:themeColor="text1"/>
          <w:sz w:val="24"/>
          <w:szCs w:val="24"/>
        </w:rPr>
        <w:t xml:space="preserve">and radiological findings. Differentiating </w:t>
      </w:r>
      <w:r w:rsidR="0099384A" w:rsidRPr="00D11245">
        <w:rPr>
          <w:rFonts w:ascii="Calibri" w:hAnsi="Calibri" w:cs="Calibri"/>
          <w:i/>
          <w:iCs/>
          <w:color w:val="000000" w:themeColor="text1"/>
          <w:sz w:val="24"/>
          <w:szCs w:val="24"/>
        </w:rPr>
        <w:t>E. histolytica</w:t>
      </w:r>
      <w:r w:rsidR="0099384A" w:rsidRPr="00D11245">
        <w:rPr>
          <w:rFonts w:ascii="Calibri" w:hAnsi="Calibri" w:cs="Calibri"/>
          <w:color w:val="000000" w:themeColor="text1"/>
          <w:sz w:val="24"/>
          <w:szCs w:val="24"/>
        </w:rPr>
        <w:t xml:space="preserve"> from </w:t>
      </w:r>
      <w:r w:rsidR="00C3026F" w:rsidRPr="00D11245">
        <w:rPr>
          <w:rFonts w:ascii="Calibri" w:hAnsi="Calibri" w:cs="Calibri"/>
          <w:color w:val="000000" w:themeColor="text1"/>
          <w:sz w:val="24"/>
          <w:szCs w:val="24"/>
        </w:rPr>
        <w:t xml:space="preserve">the </w:t>
      </w:r>
      <w:r w:rsidR="0099384A" w:rsidRPr="00D11245">
        <w:rPr>
          <w:rFonts w:ascii="Calibri" w:hAnsi="Calibri" w:cs="Calibri"/>
          <w:color w:val="000000" w:themeColor="text1"/>
          <w:sz w:val="24"/>
          <w:szCs w:val="24"/>
        </w:rPr>
        <w:t xml:space="preserve">non-pathogenic </w:t>
      </w:r>
      <w:r w:rsidR="0099384A" w:rsidRPr="00D11245">
        <w:rPr>
          <w:rFonts w:ascii="Calibri" w:hAnsi="Calibri" w:cs="Calibri"/>
          <w:i/>
          <w:iCs/>
          <w:color w:val="000000" w:themeColor="text1"/>
          <w:sz w:val="24"/>
          <w:szCs w:val="24"/>
        </w:rPr>
        <w:t>E. dispar</w:t>
      </w:r>
      <w:r w:rsidR="0099384A" w:rsidRPr="00D11245">
        <w:rPr>
          <w:rFonts w:ascii="Calibri" w:hAnsi="Calibri" w:cs="Calibri"/>
          <w:color w:val="000000" w:themeColor="text1"/>
          <w:sz w:val="24"/>
          <w:szCs w:val="24"/>
        </w:rPr>
        <w:t xml:space="preserve"> is </w:t>
      </w:r>
      <w:r w:rsidR="00C3026F" w:rsidRPr="00D11245">
        <w:rPr>
          <w:rFonts w:ascii="Calibri" w:hAnsi="Calibri" w:cs="Calibri"/>
          <w:color w:val="000000" w:themeColor="text1"/>
          <w:sz w:val="24"/>
          <w:szCs w:val="24"/>
        </w:rPr>
        <w:t xml:space="preserve">essential </w:t>
      </w:r>
      <w:r w:rsidR="00F1016B" w:rsidRPr="00D11245">
        <w:rPr>
          <w:rFonts w:ascii="Calibri" w:hAnsi="Calibri" w:cs="Calibri"/>
          <w:color w:val="000000" w:themeColor="text1"/>
          <w:sz w:val="24"/>
          <w:szCs w:val="24"/>
        </w:rPr>
        <w:t xml:space="preserve">for accurate diagnosis and </w:t>
      </w:r>
      <w:r w:rsidR="00E71289" w:rsidRPr="00D11245">
        <w:rPr>
          <w:rFonts w:ascii="Calibri" w:hAnsi="Calibri" w:cs="Calibri"/>
          <w:color w:val="000000" w:themeColor="text1"/>
          <w:sz w:val="24"/>
          <w:szCs w:val="24"/>
        </w:rPr>
        <w:t xml:space="preserve">initiation of appropriate </w:t>
      </w:r>
      <w:r w:rsidR="00F1016B" w:rsidRPr="00D11245">
        <w:rPr>
          <w:rFonts w:ascii="Calibri" w:hAnsi="Calibri" w:cs="Calibri"/>
          <w:color w:val="000000" w:themeColor="text1"/>
          <w:sz w:val="24"/>
          <w:szCs w:val="24"/>
        </w:rPr>
        <w:t xml:space="preserve">treatment. </w:t>
      </w:r>
      <w:r w:rsidR="00D46A11" w:rsidRPr="00D11245">
        <w:rPr>
          <w:rFonts w:ascii="Calibri" w:hAnsi="Calibri" w:cs="Calibri"/>
          <w:color w:val="000000" w:themeColor="text1"/>
          <w:sz w:val="24"/>
          <w:szCs w:val="24"/>
        </w:rPr>
        <w:t xml:space="preserve">See </w:t>
      </w:r>
      <w:r w:rsidR="003C1D42" w:rsidRPr="00D11245">
        <w:rPr>
          <w:rFonts w:ascii="Calibri" w:hAnsi="Calibri" w:cs="Calibri"/>
          <w:color w:val="000000" w:themeColor="text1"/>
          <w:sz w:val="24"/>
          <w:szCs w:val="24"/>
        </w:rPr>
        <w:t>T</w:t>
      </w:r>
      <w:r w:rsidR="00D46A11" w:rsidRPr="00D11245">
        <w:rPr>
          <w:rFonts w:ascii="Calibri" w:hAnsi="Calibri" w:cs="Calibri"/>
          <w:color w:val="000000" w:themeColor="text1"/>
          <w:sz w:val="24"/>
          <w:szCs w:val="24"/>
        </w:rPr>
        <w:t xml:space="preserve">able </w:t>
      </w:r>
      <w:r w:rsidR="003C1D42" w:rsidRPr="00D11245">
        <w:rPr>
          <w:rFonts w:ascii="Calibri" w:hAnsi="Calibri" w:cs="Calibri"/>
          <w:color w:val="000000" w:themeColor="text1"/>
          <w:sz w:val="24"/>
          <w:szCs w:val="24"/>
        </w:rPr>
        <w:t xml:space="preserve">3 </w:t>
      </w:r>
      <w:r w:rsidR="00D46A11" w:rsidRPr="00D11245">
        <w:rPr>
          <w:rFonts w:ascii="Calibri" w:hAnsi="Calibri" w:cs="Calibri"/>
          <w:color w:val="000000" w:themeColor="text1"/>
          <w:sz w:val="24"/>
          <w:szCs w:val="24"/>
        </w:rPr>
        <w:t>for summary of diagnostic approaches.</w:t>
      </w:r>
    </w:p>
    <w:p w14:paraId="71615F53" w14:textId="6F0D070D" w:rsidR="00EE4EB1" w:rsidRPr="00D11245" w:rsidRDefault="00F1016B" w:rsidP="00B81A81">
      <w:pPr>
        <w:jc w:val="both"/>
        <w:rPr>
          <w:rFonts w:ascii="Calibri" w:hAnsi="Calibri" w:cs="Calibri"/>
          <w:color w:val="000000" w:themeColor="text1"/>
          <w:sz w:val="24"/>
          <w:szCs w:val="24"/>
        </w:rPr>
      </w:pPr>
      <w:r w:rsidRPr="00D11245">
        <w:rPr>
          <w:rFonts w:ascii="Calibri" w:hAnsi="Calibri" w:cs="Calibri"/>
          <w:color w:val="000000" w:themeColor="text1"/>
          <w:sz w:val="24"/>
          <w:szCs w:val="24"/>
        </w:rPr>
        <w:t xml:space="preserve">Light </w:t>
      </w:r>
      <w:r w:rsidR="00B55D00" w:rsidRPr="00D11245">
        <w:rPr>
          <w:rFonts w:ascii="Calibri" w:hAnsi="Calibri" w:cs="Calibri"/>
          <w:color w:val="000000" w:themeColor="text1"/>
          <w:sz w:val="24"/>
          <w:szCs w:val="24"/>
        </w:rPr>
        <w:t xml:space="preserve">microscopy </w:t>
      </w:r>
      <w:r w:rsidRPr="00D11245">
        <w:rPr>
          <w:rFonts w:ascii="Calibri" w:hAnsi="Calibri" w:cs="Calibri"/>
          <w:color w:val="000000" w:themeColor="text1"/>
          <w:sz w:val="24"/>
          <w:szCs w:val="24"/>
        </w:rPr>
        <w:t xml:space="preserve">of </w:t>
      </w:r>
      <w:r w:rsidR="00C85890" w:rsidRPr="00D11245">
        <w:rPr>
          <w:rFonts w:ascii="Calibri" w:hAnsi="Calibri" w:cs="Calibri"/>
          <w:color w:val="000000" w:themeColor="text1"/>
          <w:sz w:val="24"/>
          <w:szCs w:val="24"/>
        </w:rPr>
        <w:t xml:space="preserve">a fresh </w:t>
      </w:r>
      <w:r w:rsidRPr="00D11245">
        <w:rPr>
          <w:rFonts w:ascii="Calibri" w:hAnsi="Calibri" w:cs="Calibri"/>
          <w:color w:val="000000" w:themeColor="text1"/>
          <w:sz w:val="24"/>
          <w:szCs w:val="24"/>
        </w:rPr>
        <w:t xml:space="preserve">stool </w:t>
      </w:r>
      <w:r w:rsidR="00B55D00" w:rsidRPr="00D11245">
        <w:rPr>
          <w:rFonts w:ascii="Calibri" w:hAnsi="Calibri" w:cs="Calibri"/>
          <w:color w:val="000000" w:themeColor="text1"/>
          <w:sz w:val="24"/>
          <w:szCs w:val="24"/>
        </w:rPr>
        <w:t>is widely available</w:t>
      </w:r>
      <w:r w:rsidRPr="00D11245">
        <w:rPr>
          <w:rFonts w:ascii="Calibri" w:hAnsi="Calibri" w:cs="Calibri"/>
          <w:color w:val="000000" w:themeColor="text1"/>
          <w:sz w:val="24"/>
          <w:szCs w:val="24"/>
        </w:rPr>
        <w:t xml:space="preserve">, </w:t>
      </w:r>
      <w:r w:rsidR="00D46A11" w:rsidRPr="00D11245">
        <w:rPr>
          <w:rFonts w:ascii="Calibri" w:hAnsi="Calibri" w:cs="Calibri"/>
          <w:color w:val="000000" w:themeColor="text1"/>
          <w:sz w:val="24"/>
          <w:szCs w:val="24"/>
        </w:rPr>
        <w:t>inexpensive</w:t>
      </w:r>
      <w:r w:rsidR="00ED0370" w:rsidRPr="00D11245">
        <w:rPr>
          <w:rFonts w:ascii="Calibri" w:hAnsi="Calibri" w:cs="Calibri"/>
          <w:color w:val="000000" w:themeColor="text1"/>
          <w:sz w:val="24"/>
          <w:szCs w:val="24"/>
        </w:rPr>
        <w:t xml:space="preserve">, quick, </w:t>
      </w:r>
      <w:r w:rsidR="00B55D00" w:rsidRPr="00D11245">
        <w:rPr>
          <w:rFonts w:ascii="Calibri" w:hAnsi="Calibri" w:cs="Calibri"/>
          <w:color w:val="000000" w:themeColor="text1"/>
          <w:sz w:val="24"/>
          <w:szCs w:val="24"/>
        </w:rPr>
        <w:t xml:space="preserve">can visualise </w:t>
      </w:r>
      <w:r w:rsidR="00ED0370" w:rsidRPr="00D11245">
        <w:rPr>
          <w:rFonts w:ascii="Calibri" w:hAnsi="Calibri" w:cs="Calibri"/>
          <w:color w:val="000000" w:themeColor="text1"/>
          <w:sz w:val="24"/>
          <w:szCs w:val="24"/>
        </w:rPr>
        <w:t xml:space="preserve">both </w:t>
      </w:r>
      <w:r w:rsidR="00B55D00" w:rsidRPr="00D11245">
        <w:rPr>
          <w:rFonts w:ascii="Calibri" w:hAnsi="Calibri" w:cs="Calibri"/>
          <w:color w:val="000000" w:themeColor="text1"/>
          <w:sz w:val="24"/>
          <w:szCs w:val="24"/>
        </w:rPr>
        <w:t>cysts and trophozoites</w:t>
      </w:r>
      <w:r w:rsidR="002D70EC" w:rsidRPr="00D11245">
        <w:rPr>
          <w:rFonts w:ascii="Calibri" w:hAnsi="Calibri" w:cs="Calibri"/>
          <w:color w:val="000000" w:themeColor="text1"/>
          <w:sz w:val="24"/>
          <w:szCs w:val="24"/>
        </w:rPr>
        <w:t>,</w:t>
      </w:r>
      <w:r w:rsidR="00B55D00" w:rsidRPr="00D11245">
        <w:rPr>
          <w:rFonts w:ascii="Calibri" w:hAnsi="Calibri" w:cs="Calibri"/>
          <w:color w:val="000000" w:themeColor="text1"/>
          <w:sz w:val="24"/>
          <w:szCs w:val="24"/>
        </w:rPr>
        <w:t xml:space="preserve"> and </w:t>
      </w:r>
      <w:r w:rsidR="00512BC6" w:rsidRPr="00D11245">
        <w:rPr>
          <w:rFonts w:ascii="Calibri" w:hAnsi="Calibri" w:cs="Calibri"/>
          <w:color w:val="000000" w:themeColor="text1"/>
          <w:sz w:val="24"/>
          <w:szCs w:val="24"/>
        </w:rPr>
        <w:t xml:space="preserve">is in common </w:t>
      </w:r>
      <w:r w:rsidR="00B55D00" w:rsidRPr="00D11245">
        <w:rPr>
          <w:rFonts w:ascii="Calibri" w:hAnsi="Calibri" w:cs="Calibri"/>
          <w:color w:val="000000" w:themeColor="text1"/>
          <w:sz w:val="24"/>
          <w:szCs w:val="24"/>
        </w:rPr>
        <w:t xml:space="preserve">use in </w:t>
      </w:r>
      <w:r w:rsidR="00D46A11" w:rsidRPr="00D11245">
        <w:rPr>
          <w:rFonts w:ascii="Calibri" w:hAnsi="Calibri" w:cs="Calibri"/>
          <w:color w:val="000000" w:themeColor="text1"/>
          <w:sz w:val="24"/>
          <w:szCs w:val="24"/>
        </w:rPr>
        <w:t>LIC</w:t>
      </w:r>
      <w:r w:rsidR="00B55D00" w:rsidRPr="00D11245">
        <w:rPr>
          <w:rFonts w:ascii="Calibri" w:hAnsi="Calibri" w:cs="Calibri"/>
          <w:color w:val="000000" w:themeColor="text1"/>
          <w:sz w:val="24"/>
          <w:szCs w:val="24"/>
        </w:rPr>
        <w:t xml:space="preserve">. </w:t>
      </w:r>
      <w:r w:rsidR="00455BE7" w:rsidRPr="00D11245">
        <w:rPr>
          <w:rFonts w:ascii="Calibri" w:hAnsi="Calibri" w:cs="Calibri"/>
          <w:color w:val="000000" w:themeColor="text1"/>
          <w:sz w:val="24"/>
          <w:szCs w:val="24"/>
        </w:rPr>
        <w:t xml:space="preserve">Whilst cysts may be seen in both solid and loose stool, trophozoites will </w:t>
      </w:r>
      <w:r w:rsidR="00512BC6" w:rsidRPr="00D11245">
        <w:rPr>
          <w:rFonts w:ascii="Calibri" w:hAnsi="Calibri" w:cs="Calibri"/>
          <w:color w:val="000000" w:themeColor="text1"/>
          <w:sz w:val="24"/>
          <w:szCs w:val="24"/>
        </w:rPr>
        <w:t xml:space="preserve">usually </w:t>
      </w:r>
      <w:r w:rsidR="00455BE7" w:rsidRPr="00D11245">
        <w:rPr>
          <w:rFonts w:ascii="Calibri" w:hAnsi="Calibri" w:cs="Calibri"/>
          <w:color w:val="000000" w:themeColor="text1"/>
          <w:sz w:val="24"/>
          <w:szCs w:val="24"/>
        </w:rPr>
        <w:t xml:space="preserve">only be seen </w:t>
      </w:r>
      <w:r w:rsidR="00F97D1C" w:rsidRPr="00D11245">
        <w:rPr>
          <w:rFonts w:ascii="Calibri" w:hAnsi="Calibri" w:cs="Calibri"/>
          <w:color w:val="000000" w:themeColor="text1"/>
          <w:sz w:val="24"/>
          <w:szCs w:val="24"/>
        </w:rPr>
        <w:t>in a loose ‘hot stool’ (a stool which is examined as soon as its produced, ideally within 20 minutes)</w:t>
      </w:r>
      <w:r w:rsidR="001D14AE" w:rsidRPr="00D11245">
        <w:rPr>
          <w:rFonts w:ascii="Calibri" w:hAnsi="Calibri" w:cs="Calibri"/>
          <w:color w:val="000000" w:themeColor="text1"/>
          <w:sz w:val="24"/>
          <w:szCs w:val="24"/>
        </w:rPr>
        <w:t>.</w:t>
      </w:r>
      <w:r w:rsidR="00455BE7" w:rsidRPr="00D11245">
        <w:rPr>
          <w:rFonts w:ascii="Calibri" w:hAnsi="Calibri" w:cs="Calibri"/>
          <w:color w:val="000000" w:themeColor="text1"/>
          <w:sz w:val="24"/>
          <w:szCs w:val="24"/>
        </w:rPr>
        <w:t xml:space="preserve"> </w:t>
      </w:r>
      <w:r w:rsidR="00D1570A" w:rsidRPr="00D11245">
        <w:rPr>
          <w:rFonts w:ascii="Calibri" w:hAnsi="Calibri" w:cs="Calibri"/>
          <w:color w:val="000000" w:themeColor="text1"/>
          <w:sz w:val="24"/>
          <w:szCs w:val="24"/>
        </w:rPr>
        <w:t>S</w:t>
      </w:r>
      <w:r w:rsidR="00455BE7" w:rsidRPr="00D11245">
        <w:rPr>
          <w:rFonts w:ascii="Calibri" w:hAnsi="Calibri" w:cs="Calibri"/>
          <w:color w:val="000000" w:themeColor="text1"/>
          <w:sz w:val="24"/>
          <w:szCs w:val="24"/>
        </w:rPr>
        <w:t>taining</w:t>
      </w:r>
      <w:r w:rsidR="00D566F3" w:rsidRPr="00D11245">
        <w:rPr>
          <w:rFonts w:ascii="Calibri" w:hAnsi="Calibri" w:cs="Calibri"/>
          <w:color w:val="000000" w:themeColor="text1"/>
          <w:sz w:val="24"/>
          <w:szCs w:val="24"/>
        </w:rPr>
        <w:t xml:space="preserve"> of a fixed faecal smear</w:t>
      </w:r>
      <w:r w:rsidR="00455BE7" w:rsidRPr="00D11245">
        <w:rPr>
          <w:rFonts w:ascii="Calibri" w:hAnsi="Calibri" w:cs="Calibri"/>
          <w:color w:val="000000" w:themeColor="text1"/>
          <w:sz w:val="24"/>
          <w:szCs w:val="24"/>
        </w:rPr>
        <w:t xml:space="preserve">, for example with iron </w:t>
      </w:r>
      <w:r w:rsidR="00512BC6" w:rsidRPr="00D11245">
        <w:rPr>
          <w:rFonts w:ascii="Calibri" w:hAnsi="Calibri" w:cs="Calibri"/>
          <w:color w:val="000000" w:themeColor="text1"/>
          <w:sz w:val="24"/>
          <w:szCs w:val="24"/>
        </w:rPr>
        <w:t>haematoxylin</w:t>
      </w:r>
      <w:r w:rsidR="00455BE7" w:rsidRPr="00D11245">
        <w:rPr>
          <w:rFonts w:ascii="Calibri" w:hAnsi="Calibri" w:cs="Calibri"/>
          <w:color w:val="000000" w:themeColor="text1"/>
          <w:sz w:val="24"/>
          <w:szCs w:val="24"/>
        </w:rPr>
        <w:t xml:space="preserve">, will enable </w:t>
      </w:r>
      <w:r w:rsidR="00ED0370" w:rsidRPr="00D11245">
        <w:rPr>
          <w:rFonts w:ascii="Calibri" w:hAnsi="Calibri" w:cs="Calibri"/>
          <w:color w:val="000000" w:themeColor="text1"/>
          <w:sz w:val="24"/>
          <w:szCs w:val="24"/>
        </w:rPr>
        <w:t xml:space="preserve">more </w:t>
      </w:r>
      <w:r w:rsidR="00E94C28" w:rsidRPr="00D11245">
        <w:rPr>
          <w:rFonts w:ascii="Calibri" w:hAnsi="Calibri" w:cs="Calibri"/>
          <w:color w:val="000000" w:themeColor="text1"/>
          <w:sz w:val="24"/>
          <w:szCs w:val="24"/>
        </w:rPr>
        <w:t xml:space="preserve">detailed demonstration </w:t>
      </w:r>
      <w:r w:rsidR="00455BE7" w:rsidRPr="00D11245">
        <w:rPr>
          <w:rFonts w:ascii="Calibri" w:hAnsi="Calibri" w:cs="Calibri"/>
          <w:color w:val="000000" w:themeColor="text1"/>
          <w:sz w:val="24"/>
          <w:szCs w:val="24"/>
        </w:rPr>
        <w:t>of morphology</w:t>
      </w:r>
      <w:r w:rsidR="00D1570A" w:rsidRPr="00D11245">
        <w:rPr>
          <w:rFonts w:ascii="Calibri" w:hAnsi="Calibri" w:cs="Calibri"/>
          <w:color w:val="000000" w:themeColor="text1"/>
          <w:sz w:val="24"/>
          <w:szCs w:val="24"/>
        </w:rPr>
        <w:t>, especially the nucleus</w:t>
      </w:r>
      <w:r w:rsidR="00E94C28" w:rsidRPr="00D11245">
        <w:rPr>
          <w:rFonts w:ascii="Calibri" w:hAnsi="Calibri" w:cs="Calibri"/>
          <w:color w:val="000000" w:themeColor="text1"/>
          <w:sz w:val="24"/>
          <w:szCs w:val="24"/>
        </w:rPr>
        <w:t>.</w:t>
      </w:r>
      <w:r w:rsidRPr="00D11245">
        <w:rPr>
          <w:rFonts w:ascii="Calibri" w:hAnsi="Calibri" w:cs="Calibri"/>
          <w:color w:val="000000" w:themeColor="text1"/>
          <w:sz w:val="24"/>
          <w:szCs w:val="24"/>
        </w:rPr>
        <w:t xml:space="preserve"> </w:t>
      </w:r>
      <w:r w:rsidR="00512BC6" w:rsidRPr="00D11245">
        <w:rPr>
          <w:rFonts w:ascii="Calibri" w:hAnsi="Calibri" w:cs="Calibri"/>
          <w:color w:val="000000" w:themeColor="text1"/>
          <w:sz w:val="24"/>
          <w:szCs w:val="24"/>
        </w:rPr>
        <w:t>M</w:t>
      </w:r>
      <w:r w:rsidRPr="00D11245">
        <w:rPr>
          <w:rFonts w:ascii="Calibri" w:hAnsi="Calibri" w:cs="Calibri"/>
          <w:color w:val="000000" w:themeColor="text1"/>
          <w:sz w:val="24"/>
          <w:szCs w:val="24"/>
        </w:rPr>
        <w:t xml:space="preserve">icroscopy may </w:t>
      </w:r>
      <w:r w:rsidR="00512BC6" w:rsidRPr="00D11245">
        <w:rPr>
          <w:rFonts w:ascii="Calibri" w:hAnsi="Calibri" w:cs="Calibri"/>
          <w:color w:val="000000" w:themeColor="text1"/>
          <w:sz w:val="24"/>
          <w:szCs w:val="24"/>
        </w:rPr>
        <w:t xml:space="preserve">identify </w:t>
      </w:r>
      <w:r w:rsidRPr="00D11245">
        <w:rPr>
          <w:rFonts w:ascii="Calibri" w:hAnsi="Calibri" w:cs="Calibri"/>
          <w:color w:val="000000" w:themeColor="text1"/>
          <w:sz w:val="24"/>
          <w:szCs w:val="24"/>
        </w:rPr>
        <w:t>ingested erythrocytes within the trophozoite</w:t>
      </w:r>
      <w:r w:rsidR="00087C01" w:rsidRPr="00D11245">
        <w:rPr>
          <w:rFonts w:ascii="Calibri" w:hAnsi="Calibri" w:cs="Calibri"/>
          <w:color w:val="000000" w:themeColor="text1"/>
          <w:sz w:val="24"/>
          <w:szCs w:val="24"/>
        </w:rPr>
        <w:t>, confirming</w:t>
      </w:r>
      <w:r w:rsidRPr="00D11245">
        <w:rPr>
          <w:rFonts w:ascii="Calibri" w:hAnsi="Calibri" w:cs="Calibri"/>
          <w:color w:val="000000" w:themeColor="text1"/>
          <w:sz w:val="24"/>
          <w:szCs w:val="24"/>
        </w:rPr>
        <w:t xml:space="preserve"> infection by </w:t>
      </w:r>
      <w:r w:rsidRPr="00D11245">
        <w:rPr>
          <w:rFonts w:ascii="Calibri" w:hAnsi="Calibri" w:cs="Calibri"/>
          <w:i/>
          <w:iCs/>
          <w:color w:val="000000" w:themeColor="text1"/>
          <w:sz w:val="24"/>
          <w:szCs w:val="24"/>
        </w:rPr>
        <w:t xml:space="preserve">E. </w:t>
      </w:r>
      <w:bookmarkStart w:id="1" w:name="_Hlk161409629"/>
      <w:r w:rsidRPr="00D11245">
        <w:rPr>
          <w:rFonts w:ascii="Calibri" w:hAnsi="Calibri" w:cs="Calibri"/>
          <w:i/>
          <w:iCs/>
          <w:color w:val="000000" w:themeColor="text1"/>
          <w:sz w:val="24"/>
          <w:szCs w:val="24"/>
        </w:rPr>
        <w:t>histolytica</w:t>
      </w:r>
      <w:bookmarkEnd w:id="1"/>
      <w:r w:rsidR="00512BC6" w:rsidRPr="00D11245">
        <w:rPr>
          <w:rFonts w:ascii="Calibri" w:hAnsi="Calibri" w:cs="Calibri"/>
          <w:i/>
          <w:iCs/>
          <w:color w:val="000000" w:themeColor="text1"/>
          <w:sz w:val="24"/>
          <w:szCs w:val="24"/>
        </w:rPr>
        <w:t>.</w:t>
      </w:r>
      <w:r w:rsidRPr="00D11245">
        <w:rPr>
          <w:rFonts w:ascii="Calibri" w:hAnsi="Calibri" w:cs="Calibri"/>
          <w:color w:val="000000" w:themeColor="text1"/>
          <w:sz w:val="24"/>
          <w:szCs w:val="24"/>
        </w:rPr>
        <w:t xml:space="preserve"> </w:t>
      </w:r>
      <w:r w:rsidR="00512BC6" w:rsidRPr="00D11245">
        <w:rPr>
          <w:rFonts w:ascii="Calibri" w:hAnsi="Calibri" w:cs="Calibri"/>
          <w:color w:val="000000" w:themeColor="text1"/>
          <w:sz w:val="24"/>
          <w:szCs w:val="24"/>
        </w:rPr>
        <w:t>However</w:t>
      </w:r>
      <w:r w:rsidR="00C31BCD" w:rsidRPr="00D11245">
        <w:rPr>
          <w:rFonts w:ascii="Calibri" w:hAnsi="Calibri" w:cs="Calibri"/>
          <w:color w:val="000000" w:themeColor="text1"/>
          <w:sz w:val="24"/>
          <w:szCs w:val="24"/>
        </w:rPr>
        <w:t>,</w:t>
      </w:r>
      <w:r w:rsidR="00512BC6" w:rsidRPr="00D11245">
        <w:rPr>
          <w:rFonts w:ascii="Calibri" w:hAnsi="Calibri" w:cs="Calibri"/>
          <w:color w:val="000000" w:themeColor="text1"/>
          <w:sz w:val="24"/>
          <w:szCs w:val="24"/>
        </w:rPr>
        <w:t xml:space="preserve"> it is impossible </w:t>
      </w:r>
      <w:r w:rsidR="00C31BCD" w:rsidRPr="00D11245">
        <w:rPr>
          <w:rFonts w:ascii="Calibri" w:hAnsi="Calibri" w:cs="Calibri"/>
          <w:color w:val="000000" w:themeColor="text1"/>
          <w:sz w:val="24"/>
          <w:szCs w:val="24"/>
        </w:rPr>
        <w:t xml:space="preserve">for </w:t>
      </w:r>
      <w:r w:rsidR="00512BC6" w:rsidRPr="00D11245">
        <w:rPr>
          <w:rFonts w:ascii="Calibri" w:hAnsi="Calibri" w:cs="Calibri"/>
          <w:color w:val="000000" w:themeColor="text1"/>
          <w:sz w:val="24"/>
          <w:szCs w:val="24"/>
        </w:rPr>
        <w:t>morpholog</w:t>
      </w:r>
      <w:r w:rsidR="008D4FDB" w:rsidRPr="00D11245">
        <w:rPr>
          <w:rFonts w:ascii="Calibri" w:hAnsi="Calibri" w:cs="Calibri"/>
          <w:color w:val="000000" w:themeColor="text1"/>
          <w:sz w:val="24"/>
          <w:szCs w:val="24"/>
        </w:rPr>
        <w:t>y</w:t>
      </w:r>
      <w:r w:rsidR="00512BC6" w:rsidRPr="00D11245">
        <w:rPr>
          <w:rFonts w:ascii="Calibri" w:hAnsi="Calibri" w:cs="Calibri"/>
          <w:color w:val="000000" w:themeColor="text1"/>
          <w:sz w:val="24"/>
          <w:szCs w:val="24"/>
        </w:rPr>
        <w:t xml:space="preserve"> </w:t>
      </w:r>
      <w:r w:rsidR="008D4FDB" w:rsidRPr="00D11245">
        <w:rPr>
          <w:rFonts w:ascii="Calibri" w:hAnsi="Calibri" w:cs="Calibri"/>
          <w:color w:val="000000" w:themeColor="text1"/>
          <w:sz w:val="24"/>
          <w:szCs w:val="24"/>
        </w:rPr>
        <w:t xml:space="preserve">to </w:t>
      </w:r>
      <w:r w:rsidR="00512BC6" w:rsidRPr="00D11245">
        <w:rPr>
          <w:rFonts w:ascii="Calibri" w:hAnsi="Calibri" w:cs="Calibri"/>
          <w:color w:val="000000" w:themeColor="text1"/>
          <w:sz w:val="24"/>
          <w:szCs w:val="24"/>
        </w:rPr>
        <w:t>distinguish</w:t>
      </w:r>
      <w:r w:rsidR="00F806CC" w:rsidRPr="00D11245">
        <w:rPr>
          <w:rFonts w:ascii="Calibri" w:hAnsi="Calibri" w:cs="Calibri"/>
          <w:color w:val="000000" w:themeColor="text1"/>
          <w:sz w:val="24"/>
          <w:szCs w:val="24"/>
        </w:rPr>
        <w:t xml:space="preserve"> </w:t>
      </w:r>
      <w:r w:rsidR="00512BC6" w:rsidRPr="00D11245">
        <w:rPr>
          <w:rFonts w:ascii="Calibri" w:hAnsi="Calibri" w:cs="Calibri"/>
          <w:i/>
          <w:iCs/>
          <w:color w:val="000000" w:themeColor="text1"/>
          <w:sz w:val="24"/>
          <w:szCs w:val="24"/>
        </w:rPr>
        <w:t>E.</w:t>
      </w:r>
      <w:r w:rsidR="00512BC6" w:rsidRPr="00D11245">
        <w:rPr>
          <w:rFonts w:ascii="Calibri" w:hAnsi="Calibri" w:cs="Calibri"/>
          <w:color w:val="000000" w:themeColor="text1"/>
          <w:sz w:val="24"/>
          <w:szCs w:val="24"/>
        </w:rPr>
        <w:t xml:space="preserve"> </w:t>
      </w:r>
      <w:r w:rsidR="00512BC6" w:rsidRPr="00D11245">
        <w:rPr>
          <w:rFonts w:ascii="Calibri" w:hAnsi="Calibri" w:cs="Calibri"/>
          <w:i/>
          <w:iCs/>
          <w:color w:val="000000" w:themeColor="text1"/>
          <w:sz w:val="24"/>
          <w:szCs w:val="24"/>
        </w:rPr>
        <w:t>histolytica</w:t>
      </w:r>
      <w:r w:rsidR="00512BC6" w:rsidRPr="00D11245" w:rsidDel="00512BC6">
        <w:rPr>
          <w:rFonts w:ascii="Calibri" w:hAnsi="Calibri" w:cs="Calibri"/>
          <w:color w:val="000000" w:themeColor="text1"/>
          <w:sz w:val="24"/>
          <w:szCs w:val="24"/>
        </w:rPr>
        <w:t xml:space="preserve"> </w:t>
      </w:r>
      <w:r w:rsidR="00512BC6" w:rsidRPr="00D11245">
        <w:rPr>
          <w:rFonts w:ascii="Calibri" w:hAnsi="Calibri" w:cs="Calibri"/>
          <w:color w:val="000000" w:themeColor="text1"/>
          <w:sz w:val="24"/>
          <w:szCs w:val="24"/>
        </w:rPr>
        <w:t>cysts from</w:t>
      </w:r>
      <w:r w:rsidRPr="00D11245">
        <w:rPr>
          <w:rFonts w:ascii="Calibri" w:hAnsi="Calibri" w:cs="Calibri"/>
          <w:color w:val="000000" w:themeColor="text1"/>
          <w:sz w:val="24"/>
          <w:szCs w:val="24"/>
        </w:rPr>
        <w:t xml:space="preserve"> </w:t>
      </w:r>
      <w:r w:rsidR="008D4FDB" w:rsidRPr="00D11245">
        <w:rPr>
          <w:rFonts w:ascii="Calibri" w:hAnsi="Calibri" w:cs="Calibri"/>
          <w:color w:val="000000" w:themeColor="text1"/>
          <w:sz w:val="24"/>
          <w:szCs w:val="24"/>
        </w:rPr>
        <w:t xml:space="preserve">those of </w:t>
      </w:r>
      <w:r w:rsidR="00512BC6" w:rsidRPr="00D11245">
        <w:rPr>
          <w:rFonts w:ascii="Calibri" w:hAnsi="Calibri" w:cs="Calibri"/>
          <w:color w:val="000000" w:themeColor="text1"/>
          <w:sz w:val="24"/>
          <w:szCs w:val="24"/>
        </w:rPr>
        <w:t>non-pathogenic</w:t>
      </w:r>
      <w:r w:rsidR="00D46A11" w:rsidRPr="00D11245">
        <w:rPr>
          <w:rFonts w:ascii="Calibri" w:hAnsi="Calibri" w:cs="Calibri"/>
          <w:color w:val="000000" w:themeColor="text1"/>
          <w:sz w:val="24"/>
          <w:szCs w:val="24"/>
        </w:rPr>
        <w:t xml:space="preserve"> species like</w:t>
      </w:r>
      <w:r w:rsidR="00512BC6" w:rsidRPr="00D11245">
        <w:rPr>
          <w:rFonts w:ascii="Calibri" w:hAnsi="Calibri" w:cs="Calibri"/>
          <w:color w:val="000000" w:themeColor="text1"/>
          <w:sz w:val="24"/>
          <w:szCs w:val="24"/>
        </w:rPr>
        <w:t xml:space="preserve"> </w:t>
      </w:r>
      <w:r w:rsidRPr="00D11245">
        <w:rPr>
          <w:rFonts w:ascii="Calibri" w:hAnsi="Calibri" w:cs="Calibri"/>
          <w:i/>
          <w:iCs/>
          <w:color w:val="000000" w:themeColor="text1"/>
          <w:sz w:val="24"/>
          <w:szCs w:val="24"/>
        </w:rPr>
        <w:t>E. dispar</w:t>
      </w:r>
      <w:r w:rsidRPr="00D11245">
        <w:rPr>
          <w:rFonts w:ascii="Calibri" w:hAnsi="Calibri" w:cs="Calibri"/>
          <w:color w:val="000000" w:themeColor="text1"/>
          <w:sz w:val="24"/>
          <w:szCs w:val="24"/>
        </w:rPr>
        <w:t xml:space="preserve"> </w:t>
      </w:r>
      <w:r w:rsidR="00512BC6" w:rsidRPr="00D11245">
        <w:rPr>
          <w:rFonts w:ascii="Calibri" w:hAnsi="Calibri" w:cs="Calibri"/>
          <w:color w:val="000000" w:themeColor="text1"/>
          <w:sz w:val="24"/>
          <w:szCs w:val="24"/>
        </w:rPr>
        <w:t xml:space="preserve">or </w:t>
      </w:r>
      <w:r w:rsidRPr="00D11245">
        <w:rPr>
          <w:rFonts w:ascii="Calibri" w:hAnsi="Calibri" w:cs="Calibri"/>
          <w:i/>
          <w:iCs/>
          <w:color w:val="000000" w:themeColor="text1"/>
          <w:sz w:val="24"/>
          <w:szCs w:val="24"/>
        </w:rPr>
        <w:t>E. moskovskii</w:t>
      </w:r>
      <w:r w:rsidR="00927BF7" w:rsidRPr="00D11245">
        <w:rPr>
          <w:rFonts w:ascii="Calibri" w:hAnsi="Calibri" w:cs="Calibri"/>
          <w:color w:val="000000" w:themeColor="text1"/>
          <w:sz w:val="24"/>
          <w:szCs w:val="24"/>
        </w:rPr>
        <w:t xml:space="preserve"> </w:t>
      </w:r>
      <w:r w:rsidR="00927BF7" w:rsidRPr="00D11245">
        <w:rPr>
          <w:rFonts w:ascii="Calibri" w:hAnsi="Calibri" w:cs="Calibri"/>
          <w:color w:val="000000" w:themeColor="text1"/>
          <w:sz w:val="24"/>
          <w:szCs w:val="24"/>
        </w:rPr>
        <w:fldChar w:fldCharType="begin"/>
      </w:r>
      <w:r w:rsidR="009C3E63" w:rsidRPr="00D11245">
        <w:rPr>
          <w:rFonts w:ascii="Calibri" w:hAnsi="Calibri" w:cs="Calibri"/>
          <w:color w:val="000000" w:themeColor="text1"/>
          <w:sz w:val="24"/>
          <w:szCs w:val="24"/>
        </w:rPr>
        <w:instrText xml:space="preserve"> ADDIN ZOTERO_ITEM CSL_CITATION {"citationID":"4DlP5gwj","properties":{"formattedCitation":"\\super 115\\nosupersub{}","plainCitation":"115","noteIndex":0},"citationItems":[{"id":2882,"uris":["http://zotero.org/groups/2497994/items/PRV65LKJ"],"itemData":{"id":2882,"type":"article-journal","abstract":"Amoebiasis, an enteric protozoan disease caused by Entamoeba histolytica, is a public health problem in many developing countries, causing up to 100,000 fatal cases annually. Detection of the pathogenic E. histolytica and its differentiation from the non-pathogenic Entamoeba spp. play a crucial role in the clinical management of patients. Laboratory diagnosis of intestinal amoebiasis in developing countries still relies on labour-intensive and insensitive methods involving staining of stool sample and microscopy. Newer and more sensitive methods include a variety of antigen detection ELISAs and rapid tests; however, their diagnostic sensitivity and specificity seem to vary between studies, and some tests do not distinguish among the Entamoeba species. Molecular detection techniques are highly sensitive and specific and isothermal amplification approaches may be developed into field-applicable tests; however, cost is still a barrier for their use as a routine laboratory test method in most endemic areas. Laboratory diagnosis of extraintestinal amoebiasis faces challenges of lack of definitive detection of current infection and commercially available point-of-care tests. For both types of amoebiasis, there is still a need for highly sensitive and specific tests that are rapid and cost-effective for use in developing countries where the disease is prevalent. In recent years, new molecules of diagnostic value are being discovered and new tests developed. The advances in 'omics' technologies are enabling discoveries of new biomarkers that may help distinguish between different infection stages.","archive":"Pubmed","container-title":"European journal of clinical microbiology &amp; infectious diseases : official publication of the European Society of Clinical Microbiology","DOI":"10.1007/s10096-018-3379-3","ISSN":"0934-9723","issue":"1","page":"15-38","title":"Update on laboratory diagnosis of amoebiasis.","volume":"38","author":[{"family":"Saidin","given":"Syazwan"},{"family":"Othman","given":"Nurulhasanah"},{"family":"Noordin","given":"Rahmah"}],"issued":{"date-parts":[["2019",1,1]]}}}],"schema":"https://github.com/citation-style-language/schema/raw/master/csl-citation.json"} </w:instrText>
      </w:r>
      <w:r w:rsidR="00927BF7" w:rsidRPr="00D11245">
        <w:rPr>
          <w:rFonts w:ascii="Calibri" w:hAnsi="Calibri" w:cs="Calibri"/>
          <w:color w:val="000000" w:themeColor="text1"/>
          <w:sz w:val="24"/>
          <w:szCs w:val="24"/>
        </w:rPr>
        <w:fldChar w:fldCharType="separate"/>
      </w:r>
      <w:r w:rsidR="009C3E63" w:rsidRPr="00D11245">
        <w:rPr>
          <w:rFonts w:ascii="Calibri" w:hAnsi="Calibri" w:cs="Calibri"/>
          <w:color w:val="000000" w:themeColor="text1"/>
          <w:kern w:val="0"/>
          <w:sz w:val="24"/>
          <w:vertAlign w:val="superscript"/>
        </w:rPr>
        <w:t>115</w:t>
      </w:r>
      <w:r w:rsidR="00927BF7" w:rsidRPr="00D11245">
        <w:rPr>
          <w:rFonts w:ascii="Calibri" w:hAnsi="Calibri" w:cs="Calibri"/>
          <w:color w:val="000000" w:themeColor="text1"/>
          <w:sz w:val="24"/>
          <w:szCs w:val="24"/>
        </w:rPr>
        <w:fldChar w:fldCharType="end"/>
      </w:r>
      <w:r w:rsidRPr="00D11245">
        <w:rPr>
          <w:rFonts w:ascii="Calibri" w:hAnsi="Calibri" w:cs="Calibri"/>
          <w:color w:val="000000" w:themeColor="text1"/>
          <w:sz w:val="24"/>
          <w:szCs w:val="24"/>
        </w:rPr>
        <w:t xml:space="preserve">. </w:t>
      </w:r>
    </w:p>
    <w:p w14:paraId="557B026E" w14:textId="666EBBA9" w:rsidR="00B55D00" w:rsidRPr="00D11245" w:rsidRDefault="00972FB5" w:rsidP="00B81A81">
      <w:pPr>
        <w:jc w:val="both"/>
        <w:rPr>
          <w:rFonts w:ascii="Calibri" w:hAnsi="Calibri" w:cs="Calibri"/>
          <w:color w:val="000000" w:themeColor="text1"/>
          <w:sz w:val="24"/>
          <w:szCs w:val="24"/>
        </w:rPr>
      </w:pPr>
      <w:r w:rsidRPr="00D11245">
        <w:rPr>
          <w:rFonts w:ascii="Calibri" w:hAnsi="Calibri" w:cs="Calibri"/>
          <w:color w:val="000000" w:themeColor="text1"/>
          <w:sz w:val="24"/>
          <w:szCs w:val="24"/>
        </w:rPr>
        <w:t xml:space="preserve">Differentiation between </w:t>
      </w:r>
      <w:r w:rsidRPr="00D11245">
        <w:rPr>
          <w:rFonts w:ascii="Calibri" w:hAnsi="Calibri" w:cs="Calibri"/>
          <w:i/>
          <w:iCs/>
          <w:color w:val="000000" w:themeColor="text1"/>
          <w:sz w:val="24"/>
          <w:szCs w:val="24"/>
        </w:rPr>
        <w:t>E. histolytica</w:t>
      </w:r>
      <w:r w:rsidRPr="00D11245">
        <w:rPr>
          <w:rFonts w:ascii="Calibri" w:hAnsi="Calibri" w:cs="Calibri"/>
          <w:color w:val="000000" w:themeColor="text1"/>
          <w:sz w:val="24"/>
          <w:szCs w:val="24"/>
        </w:rPr>
        <w:t xml:space="preserve"> and </w:t>
      </w:r>
      <w:r w:rsidRPr="00D11245">
        <w:rPr>
          <w:rFonts w:ascii="Calibri" w:hAnsi="Calibri" w:cs="Calibri"/>
          <w:i/>
          <w:iCs/>
          <w:color w:val="000000" w:themeColor="text1"/>
          <w:sz w:val="24"/>
          <w:szCs w:val="24"/>
        </w:rPr>
        <w:t>E. dispar</w:t>
      </w:r>
      <w:r w:rsidRPr="00D11245">
        <w:rPr>
          <w:rFonts w:ascii="Calibri" w:hAnsi="Calibri" w:cs="Calibri"/>
          <w:color w:val="000000" w:themeColor="text1"/>
          <w:sz w:val="24"/>
          <w:szCs w:val="24"/>
        </w:rPr>
        <w:t xml:space="preserve"> can be made </w:t>
      </w:r>
      <w:r w:rsidR="00512BC6" w:rsidRPr="00D11245">
        <w:rPr>
          <w:rFonts w:ascii="Calibri" w:hAnsi="Calibri" w:cs="Calibri"/>
          <w:color w:val="000000" w:themeColor="text1"/>
          <w:sz w:val="24"/>
          <w:szCs w:val="24"/>
        </w:rPr>
        <w:t>by</w:t>
      </w:r>
      <w:r w:rsidRPr="00D11245">
        <w:rPr>
          <w:rFonts w:ascii="Calibri" w:hAnsi="Calibri" w:cs="Calibri"/>
          <w:color w:val="000000" w:themeColor="text1"/>
          <w:sz w:val="24"/>
          <w:szCs w:val="24"/>
        </w:rPr>
        <w:t xml:space="preserve"> isoenzyme</w:t>
      </w:r>
      <w:r w:rsidR="00512BC6" w:rsidRPr="00D11245">
        <w:rPr>
          <w:rFonts w:ascii="Calibri" w:hAnsi="Calibri" w:cs="Calibri"/>
          <w:color w:val="000000" w:themeColor="text1"/>
          <w:sz w:val="24"/>
          <w:szCs w:val="24"/>
        </w:rPr>
        <w:t xml:space="preserve"> analysis</w:t>
      </w:r>
      <w:r w:rsidRPr="00D11245">
        <w:rPr>
          <w:rFonts w:ascii="Calibri" w:hAnsi="Calibri" w:cs="Calibri"/>
          <w:color w:val="000000" w:themeColor="text1"/>
          <w:sz w:val="24"/>
          <w:szCs w:val="24"/>
        </w:rPr>
        <w:t xml:space="preserve"> </w:t>
      </w:r>
      <w:r w:rsidR="00D46A11" w:rsidRPr="00D11245">
        <w:rPr>
          <w:rFonts w:ascii="Calibri" w:hAnsi="Calibri" w:cs="Calibri"/>
          <w:color w:val="000000" w:themeColor="text1"/>
          <w:sz w:val="24"/>
          <w:szCs w:val="24"/>
        </w:rPr>
        <w:t xml:space="preserve">by </w:t>
      </w:r>
      <w:r w:rsidR="001F3B61" w:rsidRPr="00D11245">
        <w:rPr>
          <w:rFonts w:ascii="Calibri" w:hAnsi="Calibri" w:cs="Calibri"/>
          <w:color w:val="000000" w:themeColor="text1"/>
          <w:sz w:val="24"/>
          <w:szCs w:val="24"/>
        </w:rPr>
        <w:t xml:space="preserve">starch gel electrophoresis </w:t>
      </w:r>
      <w:r w:rsidRPr="00D11245">
        <w:rPr>
          <w:rFonts w:ascii="Calibri" w:hAnsi="Calibri" w:cs="Calibri"/>
          <w:color w:val="000000" w:themeColor="text1"/>
          <w:sz w:val="24"/>
          <w:szCs w:val="24"/>
        </w:rPr>
        <w:t>of culture</w:t>
      </w:r>
      <w:r w:rsidR="008D4FDB" w:rsidRPr="00D11245">
        <w:rPr>
          <w:rFonts w:ascii="Calibri" w:hAnsi="Calibri" w:cs="Calibri"/>
          <w:color w:val="000000" w:themeColor="text1"/>
          <w:sz w:val="24"/>
          <w:szCs w:val="24"/>
        </w:rPr>
        <w:t>d</w:t>
      </w:r>
      <w:r w:rsidR="00512BC6" w:rsidRPr="00D11245">
        <w:rPr>
          <w:rFonts w:ascii="Calibri" w:hAnsi="Calibri" w:cs="Calibri"/>
          <w:color w:val="000000" w:themeColor="text1"/>
          <w:sz w:val="24"/>
          <w:szCs w:val="24"/>
        </w:rPr>
        <w:t xml:space="preserve"> </w:t>
      </w:r>
      <w:r w:rsidRPr="00D11245">
        <w:rPr>
          <w:rFonts w:ascii="Calibri" w:hAnsi="Calibri" w:cs="Calibri"/>
          <w:color w:val="000000" w:themeColor="text1"/>
          <w:sz w:val="24"/>
          <w:szCs w:val="24"/>
        </w:rPr>
        <w:t>amoeb</w:t>
      </w:r>
      <w:r w:rsidR="009C64F7" w:rsidRPr="00D11245">
        <w:rPr>
          <w:rFonts w:ascii="Calibri" w:hAnsi="Calibri" w:cs="Calibri"/>
          <w:color w:val="000000" w:themeColor="text1"/>
          <w:sz w:val="24"/>
          <w:szCs w:val="24"/>
        </w:rPr>
        <w:t>ic</w:t>
      </w:r>
      <w:r w:rsidRPr="00D11245">
        <w:rPr>
          <w:rFonts w:ascii="Calibri" w:hAnsi="Calibri" w:cs="Calibri"/>
          <w:color w:val="000000" w:themeColor="text1"/>
          <w:sz w:val="24"/>
          <w:szCs w:val="24"/>
        </w:rPr>
        <w:t xml:space="preserve"> trophozoites</w:t>
      </w:r>
      <w:r w:rsidR="001F3B61" w:rsidRPr="00D11245">
        <w:rPr>
          <w:rFonts w:ascii="Calibri" w:hAnsi="Calibri" w:cs="Calibri"/>
          <w:color w:val="000000" w:themeColor="text1"/>
          <w:sz w:val="24"/>
          <w:szCs w:val="24"/>
        </w:rPr>
        <w:t xml:space="preserve">. </w:t>
      </w:r>
      <w:r w:rsidR="00CC701A" w:rsidRPr="00D11245">
        <w:rPr>
          <w:rFonts w:ascii="Calibri" w:hAnsi="Calibri" w:cs="Calibri"/>
          <w:color w:val="000000" w:themeColor="text1"/>
          <w:sz w:val="24"/>
          <w:szCs w:val="24"/>
        </w:rPr>
        <w:t>However, c</w:t>
      </w:r>
      <w:r w:rsidR="005B2195" w:rsidRPr="00D11245">
        <w:rPr>
          <w:rFonts w:ascii="Calibri" w:hAnsi="Calibri" w:cs="Calibri"/>
          <w:color w:val="000000" w:themeColor="text1"/>
          <w:sz w:val="24"/>
          <w:szCs w:val="24"/>
        </w:rPr>
        <w:t>ultur</w:t>
      </w:r>
      <w:r w:rsidR="00512BC6" w:rsidRPr="00D11245">
        <w:rPr>
          <w:rFonts w:ascii="Calibri" w:hAnsi="Calibri" w:cs="Calibri"/>
          <w:color w:val="000000" w:themeColor="text1"/>
          <w:sz w:val="24"/>
          <w:szCs w:val="24"/>
        </w:rPr>
        <w:t>e</w:t>
      </w:r>
      <w:r w:rsidR="005B2195" w:rsidRPr="00D11245">
        <w:rPr>
          <w:rFonts w:ascii="Calibri" w:hAnsi="Calibri" w:cs="Calibri"/>
          <w:color w:val="000000" w:themeColor="text1"/>
          <w:sz w:val="24"/>
          <w:szCs w:val="24"/>
        </w:rPr>
        <w:t xml:space="preserve"> </w:t>
      </w:r>
      <w:r w:rsidR="001F3B61" w:rsidRPr="00D11245">
        <w:rPr>
          <w:rFonts w:ascii="Calibri" w:hAnsi="Calibri" w:cs="Calibri"/>
          <w:color w:val="000000" w:themeColor="text1"/>
          <w:sz w:val="24"/>
          <w:szCs w:val="24"/>
        </w:rPr>
        <w:t>is time consuming, requiring up to 10 days</w:t>
      </w:r>
      <w:r w:rsidR="00CC701A" w:rsidRPr="00D11245">
        <w:rPr>
          <w:rFonts w:ascii="Calibri" w:hAnsi="Calibri" w:cs="Calibri"/>
          <w:color w:val="000000" w:themeColor="text1"/>
          <w:sz w:val="24"/>
          <w:szCs w:val="24"/>
        </w:rPr>
        <w:t>’</w:t>
      </w:r>
      <w:r w:rsidR="00512BC6" w:rsidRPr="00D11245">
        <w:rPr>
          <w:rFonts w:ascii="Calibri" w:hAnsi="Calibri" w:cs="Calibri"/>
          <w:color w:val="000000" w:themeColor="text1"/>
          <w:sz w:val="24"/>
          <w:szCs w:val="24"/>
        </w:rPr>
        <w:t xml:space="preserve"> incubation</w:t>
      </w:r>
      <w:r w:rsidR="001F3B61" w:rsidRPr="00D11245">
        <w:rPr>
          <w:rFonts w:ascii="Calibri" w:hAnsi="Calibri" w:cs="Calibri"/>
          <w:color w:val="000000" w:themeColor="text1"/>
          <w:sz w:val="24"/>
          <w:szCs w:val="24"/>
        </w:rPr>
        <w:t xml:space="preserve">, </w:t>
      </w:r>
      <w:r w:rsidR="005B2195" w:rsidRPr="00D11245">
        <w:rPr>
          <w:rFonts w:ascii="Calibri" w:hAnsi="Calibri" w:cs="Calibri"/>
          <w:color w:val="000000" w:themeColor="text1"/>
          <w:sz w:val="24"/>
          <w:szCs w:val="24"/>
        </w:rPr>
        <w:t xml:space="preserve">and </w:t>
      </w:r>
      <w:r w:rsidR="001F3B61" w:rsidRPr="00D11245">
        <w:rPr>
          <w:rFonts w:ascii="Calibri" w:hAnsi="Calibri" w:cs="Calibri"/>
          <w:color w:val="000000" w:themeColor="text1"/>
          <w:sz w:val="24"/>
          <w:szCs w:val="24"/>
        </w:rPr>
        <w:t>only successful 50-70%</w:t>
      </w:r>
      <w:r w:rsidR="005B2195" w:rsidRPr="00D11245">
        <w:rPr>
          <w:rFonts w:ascii="Calibri" w:hAnsi="Calibri" w:cs="Calibri"/>
          <w:color w:val="000000" w:themeColor="text1"/>
          <w:sz w:val="24"/>
          <w:szCs w:val="24"/>
        </w:rPr>
        <w:t xml:space="preserve"> of the time</w:t>
      </w:r>
      <w:r w:rsidR="001F3B61" w:rsidRPr="00D11245">
        <w:rPr>
          <w:rFonts w:ascii="Calibri" w:hAnsi="Calibri" w:cs="Calibri"/>
          <w:color w:val="000000" w:themeColor="text1"/>
          <w:sz w:val="24"/>
          <w:szCs w:val="24"/>
        </w:rPr>
        <w:t xml:space="preserve">, </w:t>
      </w:r>
      <w:r w:rsidR="00DE55C6" w:rsidRPr="00D11245">
        <w:rPr>
          <w:rFonts w:ascii="Calibri" w:hAnsi="Calibri" w:cs="Calibri"/>
          <w:color w:val="000000" w:themeColor="text1"/>
          <w:sz w:val="24"/>
          <w:szCs w:val="24"/>
        </w:rPr>
        <w:t xml:space="preserve">so </w:t>
      </w:r>
      <w:r w:rsidR="00CF3F94" w:rsidRPr="00D11245">
        <w:rPr>
          <w:rFonts w:ascii="Calibri" w:hAnsi="Calibri" w:cs="Calibri"/>
          <w:color w:val="000000" w:themeColor="text1"/>
          <w:sz w:val="24"/>
          <w:szCs w:val="24"/>
        </w:rPr>
        <w:t>these techniques are not</w:t>
      </w:r>
      <w:r w:rsidR="00D46A11" w:rsidRPr="00D11245">
        <w:rPr>
          <w:rFonts w:ascii="Calibri" w:hAnsi="Calibri" w:cs="Calibri"/>
          <w:color w:val="000000" w:themeColor="text1"/>
          <w:sz w:val="24"/>
          <w:szCs w:val="24"/>
        </w:rPr>
        <w:t xml:space="preserve"> </w:t>
      </w:r>
      <w:r w:rsidR="003F7258" w:rsidRPr="00D11245">
        <w:rPr>
          <w:rFonts w:ascii="Calibri" w:hAnsi="Calibri" w:cs="Calibri"/>
          <w:color w:val="000000" w:themeColor="text1"/>
          <w:sz w:val="24"/>
          <w:szCs w:val="24"/>
        </w:rPr>
        <w:t>used in</w:t>
      </w:r>
      <w:r w:rsidR="001F3B61" w:rsidRPr="00D11245">
        <w:rPr>
          <w:rFonts w:ascii="Calibri" w:hAnsi="Calibri" w:cs="Calibri"/>
          <w:color w:val="000000" w:themeColor="text1"/>
          <w:sz w:val="24"/>
          <w:szCs w:val="24"/>
        </w:rPr>
        <w:t xml:space="preserve"> routine </w:t>
      </w:r>
      <w:r w:rsidR="00D46A11" w:rsidRPr="00D11245">
        <w:rPr>
          <w:rFonts w:ascii="Calibri" w:hAnsi="Calibri" w:cs="Calibri"/>
          <w:color w:val="000000" w:themeColor="text1"/>
          <w:sz w:val="24"/>
          <w:szCs w:val="24"/>
        </w:rPr>
        <w:t xml:space="preserve">clinical </w:t>
      </w:r>
      <w:r w:rsidR="001F3B61" w:rsidRPr="00D11245">
        <w:rPr>
          <w:rFonts w:ascii="Calibri" w:hAnsi="Calibri" w:cs="Calibri"/>
          <w:color w:val="000000" w:themeColor="text1"/>
          <w:sz w:val="24"/>
          <w:szCs w:val="24"/>
        </w:rPr>
        <w:t>practice</w:t>
      </w:r>
      <w:r w:rsidR="005B2195" w:rsidRPr="00D11245">
        <w:rPr>
          <w:rFonts w:ascii="Calibri" w:hAnsi="Calibri" w:cs="Calibri"/>
          <w:color w:val="000000" w:themeColor="text1"/>
          <w:sz w:val="24"/>
          <w:szCs w:val="24"/>
        </w:rPr>
        <w:t xml:space="preserve"> </w:t>
      </w:r>
      <w:bookmarkStart w:id="2" w:name="_Hlk165455033"/>
      <w:r w:rsidR="00927BF7" w:rsidRPr="00D11245">
        <w:rPr>
          <w:rFonts w:ascii="Calibri" w:hAnsi="Calibri" w:cs="Calibri"/>
          <w:color w:val="000000" w:themeColor="text1"/>
          <w:sz w:val="24"/>
          <w:szCs w:val="24"/>
        </w:rPr>
        <w:fldChar w:fldCharType="begin"/>
      </w:r>
      <w:r w:rsidR="009C3E63" w:rsidRPr="00D11245">
        <w:rPr>
          <w:rFonts w:ascii="Calibri" w:hAnsi="Calibri" w:cs="Calibri"/>
          <w:color w:val="000000" w:themeColor="text1"/>
          <w:sz w:val="24"/>
          <w:szCs w:val="24"/>
        </w:rPr>
        <w:instrText xml:space="preserve"> ADDIN ZOTERO_ITEM CSL_CITATION {"citationID":"bP1Jwg3v","properties":{"formattedCitation":"\\super 115\\nosupersub{}","plainCitation":"115","noteIndex":0},"citationItems":[{"id":2882,"uris":["http://zotero.org/groups/2497994/items/PRV65LKJ"],"itemData":{"id":2882,"type":"article-journal","abstract":"Amoebiasis, an enteric protozoan disease caused by Entamoeba histolytica, is a public health problem in many developing countries, causing up to 100,000 fatal cases annually. Detection of the pathogenic E. histolytica and its differentiation from the non-pathogenic Entamoeba spp. play a crucial role in the clinical management of patients. Laboratory diagnosis of intestinal amoebiasis in developing countries still relies on labour-intensive and insensitive methods involving staining of stool sample and microscopy. Newer and more sensitive methods include a variety of antigen detection ELISAs and rapid tests; however, their diagnostic sensitivity and specificity seem to vary between studies, and some tests do not distinguish among the Entamoeba species. Molecular detection techniques are highly sensitive and specific and isothermal amplification approaches may be developed into field-applicable tests; however, cost is still a barrier for their use as a routine laboratory test method in most endemic areas. Laboratory diagnosis of extraintestinal amoebiasis faces challenges of lack of definitive detection of current infection and commercially available point-of-care tests. For both types of amoebiasis, there is still a need for highly sensitive and specific tests that are rapid and cost-effective for use in developing countries where the disease is prevalent. In recent years, new molecules of diagnostic value are being discovered and new tests developed. The advances in 'omics' technologies are enabling discoveries of new biomarkers that may help distinguish between different infection stages.","archive":"Pubmed","container-title":"European journal of clinical microbiology &amp; infectious diseases : official publication of the European Society of Clinical Microbiology","DOI":"10.1007/s10096-018-3379-3","ISSN":"0934-9723","issue":"1","page":"15-38","title":"Update on laboratory diagnosis of amoebiasis.","volume":"38","author":[{"family":"Saidin","given":"Syazwan"},{"family":"Othman","given":"Nurulhasanah"},{"family":"Noordin","given":"Rahmah"}],"issued":{"date-parts":[["2019",1,1]]}}}],"schema":"https://github.com/citation-style-language/schema/raw/master/csl-citation.json"} </w:instrText>
      </w:r>
      <w:r w:rsidR="00927BF7" w:rsidRPr="00D11245">
        <w:rPr>
          <w:rFonts w:ascii="Calibri" w:hAnsi="Calibri" w:cs="Calibri"/>
          <w:color w:val="000000" w:themeColor="text1"/>
          <w:sz w:val="24"/>
          <w:szCs w:val="24"/>
        </w:rPr>
        <w:fldChar w:fldCharType="separate"/>
      </w:r>
      <w:r w:rsidR="009C3E63" w:rsidRPr="00D11245">
        <w:rPr>
          <w:rFonts w:ascii="Calibri" w:hAnsi="Calibri" w:cs="Calibri"/>
          <w:color w:val="000000" w:themeColor="text1"/>
          <w:kern w:val="0"/>
          <w:sz w:val="24"/>
          <w:vertAlign w:val="superscript"/>
        </w:rPr>
        <w:t>115</w:t>
      </w:r>
      <w:r w:rsidR="00927BF7" w:rsidRPr="00D11245">
        <w:rPr>
          <w:rFonts w:ascii="Calibri" w:hAnsi="Calibri" w:cs="Calibri"/>
          <w:color w:val="000000" w:themeColor="text1"/>
          <w:sz w:val="24"/>
          <w:szCs w:val="24"/>
        </w:rPr>
        <w:fldChar w:fldCharType="end"/>
      </w:r>
      <w:bookmarkEnd w:id="2"/>
      <w:r w:rsidR="001F3B61" w:rsidRPr="00D11245">
        <w:rPr>
          <w:rFonts w:ascii="Calibri" w:hAnsi="Calibri" w:cs="Calibri"/>
          <w:color w:val="000000" w:themeColor="text1"/>
          <w:sz w:val="24"/>
          <w:szCs w:val="24"/>
        </w:rPr>
        <w:t xml:space="preserve">. </w:t>
      </w:r>
    </w:p>
    <w:p w14:paraId="3503A92B" w14:textId="56EBBABF" w:rsidR="00E71289" w:rsidRPr="00D11245" w:rsidRDefault="00C04983" w:rsidP="00B81A81">
      <w:pPr>
        <w:jc w:val="both"/>
        <w:rPr>
          <w:rFonts w:ascii="Calibri" w:hAnsi="Calibri" w:cs="Calibri"/>
          <w:color w:val="000000" w:themeColor="text1"/>
          <w:sz w:val="24"/>
          <w:szCs w:val="24"/>
        </w:rPr>
      </w:pPr>
      <w:r w:rsidRPr="00D11245">
        <w:rPr>
          <w:rFonts w:ascii="Calibri" w:hAnsi="Calibri" w:cs="Calibri"/>
          <w:color w:val="000000" w:themeColor="text1"/>
          <w:sz w:val="24"/>
          <w:szCs w:val="24"/>
        </w:rPr>
        <w:t>A</w:t>
      </w:r>
      <w:r w:rsidR="00E71289" w:rsidRPr="00D11245">
        <w:rPr>
          <w:rFonts w:ascii="Calibri" w:hAnsi="Calibri" w:cs="Calibri"/>
          <w:color w:val="000000" w:themeColor="text1"/>
          <w:sz w:val="24"/>
          <w:szCs w:val="24"/>
        </w:rPr>
        <w:t>ntigen detection using ELISA (enzyme linked immunosorbent assay) is a simple and readily available technique, using</w:t>
      </w:r>
      <w:r w:rsidR="00CF3F94" w:rsidRPr="00D11245">
        <w:rPr>
          <w:rFonts w:ascii="Calibri" w:hAnsi="Calibri" w:cs="Calibri"/>
          <w:color w:val="000000" w:themeColor="text1"/>
          <w:sz w:val="24"/>
          <w:szCs w:val="24"/>
        </w:rPr>
        <w:t xml:space="preserve"> a </w:t>
      </w:r>
      <w:r w:rsidR="00E71289" w:rsidRPr="00D11245">
        <w:rPr>
          <w:rFonts w:ascii="Calibri" w:hAnsi="Calibri" w:cs="Calibri"/>
          <w:color w:val="000000" w:themeColor="text1"/>
          <w:sz w:val="24"/>
          <w:szCs w:val="24"/>
        </w:rPr>
        <w:t>monoclonal antibod</w:t>
      </w:r>
      <w:r w:rsidR="00CF3F94" w:rsidRPr="00D11245">
        <w:rPr>
          <w:rFonts w:ascii="Calibri" w:hAnsi="Calibri" w:cs="Calibri"/>
          <w:color w:val="000000" w:themeColor="text1"/>
          <w:sz w:val="24"/>
          <w:szCs w:val="24"/>
        </w:rPr>
        <w:t>y</w:t>
      </w:r>
      <w:r w:rsidR="00E71289" w:rsidRPr="00D11245">
        <w:rPr>
          <w:rFonts w:ascii="Calibri" w:hAnsi="Calibri" w:cs="Calibri"/>
          <w:color w:val="000000" w:themeColor="text1"/>
          <w:sz w:val="24"/>
          <w:szCs w:val="24"/>
        </w:rPr>
        <w:t xml:space="preserve"> to </w:t>
      </w:r>
      <w:r w:rsidR="00E71289" w:rsidRPr="00D11245">
        <w:rPr>
          <w:rFonts w:ascii="Calibri" w:hAnsi="Calibri" w:cs="Calibri"/>
          <w:i/>
          <w:iCs/>
          <w:color w:val="000000" w:themeColor="text1"/>
          <w:sz w:val="24"/>
          <w:szCs w:val="24"/>
        </w:rPr>
        <w:t>E. hist</w:t>
      </w:r>
      <w:r w:rsidR="00942AF6" w:rsidRPr="00D11245">
        <w:rPr>
          <w:rFonts w:ascii="Calibri" w:hAnsi="Calibri" w:cs="Calibri"/>
          <w:i/>
          <w:iCs/>
          <w:color w:val="000000" w:themeColor="text1"/>
          <w:sz w:val="24"/>
          <w:szCs w:val="24"/>
        </w:rPr>
        <w:t>o</w:t>
      </w:r>
      <w:r w:rsidR="00E71289" w:rsidRPr="00D11245">
        <w:rPr>
          <w:rFonts w:ascii="Calibri" w:hAnsi="Calibri" w:cs="Calibri"/>
          <w:i/>
          <w:iCs/>
          <w:color w:val="000000" w:themeColor="text1"/>
          <w:sz w:val="24"/>
          <w:szCs w:val="24"/>
        </w:rPr>
        <w:t>lytica</w:t>
      </w:r>
      <w:r w:rsidR="00E71289" w:rsidRPr="00D11245">
        <w:rPr>
          <w:rFonts w:ascii="Calibri" w:hAnsi="Calibri" w:cs="Calibri"/>
          <w:color w:val="000000" w:themeColor="text1"/>
          <w:sz w:val="24"/>
          <w:szCs w:val="24"/>
        </w:rPr>
        <w:t xml:space="preserve"> Gal/GalNAc</w:t>
      </w:r>
      <w:r w:rsidR="00942AF6" w:rsidRPr="00D11245">
        <w:rPr>
          <w:rFonts w:ascii="Calibri" w:hAnsi="Calibri" w:cs="Calibri"/>
          <w:color w:val="000000" w:themeColor="text1"/>
          <w:sz w:val="24"/>
          <w:szCs w:val="24"/>
        </w:rPr>
        <w:t xml:space="preserve"> </w:t>
      </w:r>
      <w:r w:rsidR="00CF3F94" w:rsidRPr="00D11245">
        <w:rPr>
          <w:rFonts w:ascii="Calibri" w:hAnsi="Calibri" w:cs="Calibri"/>
          <w:color w:val="000000" w:themeColor="text1"/>
          <w:sz w:val="24"/>
          <w:szCs w:val="24"/>
        </w:rPr>
        <w:t>lectin in stool</w:t>
      </w:r>
      <w:r w:rsidR="00942AF6" w:rsidRPr="00D11245">
        <w:rPr>
          <w:rFonts w:ascii="Calibri" w:hAnsi="Calibri" w:cs="Calibri"/>
          <w:color w:val="000000" w:themeColor="text1"/>
          <w:sz w:val="24"/>
          <w:szCs w:val="24"/>
        </w:rPr>
        <w:t xml:space="preserve"> </w:t>
      </w:r>
      <w:r w:rsidR="00776E6B" w:rsidRPr="00D11245">
        <w:rPr>
          <w:rFonts w:ascii="Calibri" w:hAnsi="Calibri" w:cs="Calibri"/>
          <w:color w:val="000000" w:themeColor="text1"/>
          <w:sz w:val="24"/>
          <w:szCs w:val="24"/>
        </w:rPr>
        <w:t xml:space="preserve">samples </w:t>
      </w:r>
      <w:r w:rsidR="00942AF6" w:rsidRPr="00D11245">
        <w:rPr>
          <w:rFonts w:ascii="Calibri" w:hAnsi="Calibri" w:cs="Calibri"/>
          <w:color w:val="000000" w:themeColor="text1"/>
          <w:sz w:val="24"/>
          <w:szCs w:val="24"/>
        </w:rPr>
        <w:t xml:space="preserve">and </w:t>
      </w:r>
      <w:r w:rsidR="00EB4B76" w:rsidRPr="00D11245">
        <w:rPr>
          <w:rFonts w:ascii="Calibri" w:hAnsi="Calibri" w:cs="Calibri"/>
          <w:color w:val="000000" w:themeColor="text1"/>
          <w:sz w:val="24"/>
          <w:szCs w:val="24"/>
        </w:rPr>
        <w:t xml:space="preserve">liver abscess aspirate. There are several </w:t>
      </w:r>
      <w:r w:rsidR="00C70D8C" w:rsidRPr="00D11245">
        <w:rPr>
          <w:rFonts w:ascii="Calibri" w:hAnsi="Calibri" w:cs="Calibri"/>
          <w:color w:val="000000" w:themeColor="text1"/>
          <w:sz w:val="24"/>
          <w:szCs w:val="24"/>
        </w:rPr>
        <w:t xml:space="preserve">commercially available </w:t>
      </w:r>
      <w:r w:rsidR="00EB4B76" w:rsidRPr="00D11245">
        <w:rPr>
          <w:rFonts w:ascii="Calibri" w:hAnsi="Calibri" w:cs="Calibri"/>
          <w:color w:val="000000" w:themeColor="text1"/>
          <w:sz w:val="24"/>
          <w:szCs w:val="24"/>
        </w:rPr>
        <w:t xml:space="preserve">laboratory kits available, with </w:t>
      </w:r>
      <w:r w:rsidR="00CF3F94" w:rsidRPr="00D11245">
        <w:rPr>
          <w:rFonts w:ascii="Calibri" w:hAnsi="Calibri" w:cs="Calibri"/>
          <w:color w:val="000000" w:themeColor="text1"/>
          <w:sz w:val="24"/>
          <w:szCs w:val="24"/>
        </w:rPr>
        <w:t xml:space="preserve">reported </w:t>
      </w:r>
      <w:r w:rsidR="00EB4B76" w:rsidRPr="00D11245">
        <w:rPr>
          <w:rFonts w:ascii="Calibri" w:hAnsi="Calibri" w:cs="Calibri"/>
          <w:color w:val="000000" w:themeColor="text1"/>
          <w:sz w:val="24"/>
          <w:szCs w:val="24"/>
        </w:rPr>
        <w:t>sensitivit</w:t>
      </w:r>
      <w:r w:rsidR="00C70D8C" w:rsidRPr="00D11245">
        <w:rPr>
          <w:rFonts w:ascii="Calibri" w:hAnsi="Calibri" w:cs="Calibri"/>
          <w:color w:val="000000" w:themeColor="text1"/>
          <w:sz w:val="24"/>
          <w:szCs w:val="24"/>
        </w:rPr>
        <w:t>ies</w:t>
      </w:r>
      <w:r w:rsidR="00EB4B76" w:rsidRPr="00D11245">
        <w:rPr>
          <w:rFonts w:ascii="Calibri" w:hAnsi="Calibri" w:cs="Calibri"/>
          <w:color w:val="000000" w:themeColor="text1"/>
          <w:sz w:val="24"/>
          <w:szCs w:val="24"/>
        </w:rPr>
        <w:t xml:space="preserve"> and specificit</w:t>
      </w:r>
      <w:r w:rsidR="00C70D8C" w:rsidRPr="00D11245">
        <w:rPr>
          <w:rFonts w:ascii="Calibri" w:hAnsi="Calibri" w:cs="Calibri"/>
          <w:color w:val="000000" w:themeColor="text1"/>
          <w:sz w:val="24"/>
          <w:szCs w:val="24"/>
        </w:rPr>
        <w:t>ies of</w:t>
      </w:r>
      <w:r w:rsidR="00EB4B76" w:rsidRPr="00D11245">
        <w:rPr>
          <w:rFonts w:ascii="Calibri" w:hAnsi="Calibri" w:cs="Calibri"/>
          <w:color w:val="000000" w:themeColor="text1"/>
          <w:sz w:val="24"/>
          <w:szCs w:val="24"/>
        </w:rPr>
        <w:t xml:space="preserve"> over 80%</w:t>
      </w:r>
      <w:r w:rsidR="00515C1D" w:rsidRPr="00D11245">
        <w:rPr>
          <w:rFonts w:ascii="Calibri" w:hAnsi="Calibri" w:cs="Calibri"/>
          <w:color w:val="000000" w:themeColor="text1"/>
          <w:sz w:val="24"/>
          <w:szCs w:val="24"/>
        </w:rPr>
        <w:t xml:space="preserve"> </w:t>
      </w:r>
      <w:r w:rsidR="00927BF7" w:rsidRPr="00D11245">
        <w:rPr>
          <w:rFonts w:ascii="Calibri" w:hAnsi="Calibri" w:cs="Calibri"/>
          <w:color w:val="000000" w:themeColor="text1"/>
          <w:sz w:val="24"/>
          <w:szCs w:val="24"/>
        </w:rPr>
        <w:fldChar w:fldCharType="begin"/>
      </w:r>
      <w:r w:rsidR="009C3E63" w:rsidRPr="00D11245">
        <w:rPr>
          <w:rFonts w:ascii="Calibri" w:hAnsi="Calibri" w:cs="Calibri"/>
          <w:color w:val="000000" w:themeColor="text1"/>
          <w:sz w:val="24"/>
          <w:szCs w:val="24"/>
        </w:rPr>
        <w:instrText xml:space="preserve"> ADDIN ZOTERO_ITEM CSL_CITATION {"citationID":"YdH8BGac","properties":{"formattedCitation":"\\super 133\\nosupersub{}","plainCitation":"133","noteIndex":0},"citationItems":[{"id":16686,"uris":["http://zotero.org/groups/2497994/items/RS2LPVYF"],"itemData":{"id":16686,"type":"article-journal","abstract":"A noninvasive diagnostic test for amebic liver abscess is needed, because amebic and bacterial abscesses appear identical on ultrasound or computer tomography and because it is rarely possible to identify\n              Entamoeba histolytica\n              in stool specimens from patients with amebic liver abscess. Here we report a method of detection in serum of circulating\n              E. histolytica\n              Gal/GalNAc lectin to diagnose amebic liver abscess, which was used in patients from Dhaka, Bangladesh. The TechLab\n              E. histolytica\n              II test (which differentiates the true pathogen\n              E. histolytica\n              from\n              Entamoeba dispar\n              ) detected Gal/GalNAc lectin in the sera of 22 of 23 (96%) amebic liver abscess patients tested prior to treatment with the antiamebic drug metronidazole and 0 of 70 (0%) controls. After 1 week of treatment with metronidazole, 9 of 11 (82%) patients became serum lectin antigen negative. The sensitivity of the\n              E. histolytica\n              II antigen detection test for intestinal infection was also evaluated. Antigen detection identified\n              E. histolytica\n              infection in 50 samples from 1,164 asymptomatic preschool children aged 2 to 5 years, including 16 of 16 (100%) culture-positive specimens. PCR analysis of stool specimens was used to confirm that most antigen-positive but culture-negative specimens were true-positive: PCR identified parasite DNA in 27 of 34 (79%) of the antigen-positive, culture-negative stool specimens. Antigen detection was a more sensitive test for infection than antilectin antibodies, which were detected in only 76 of 98 (78%) amebic liver abscess patients and in 26 of 50 (52%) patients with intestinal infection. We conclude that the TechLab\n              E. histolytica\n              II kit is a sensitive means to diagnose hepatic and intestinal amebiasis prior to the institution of metronidazole treatment.","container-title":"Journal of Clinical Microbiology","DOI":"10.1128/JCM.38.9.3235-3239.2000","ISSN":"1098-660X, 0095-1137","issue":"9","language":"en","page":"3235-3239","source":"DOI.org (Crossref)","title":"Diagnosis of Amebic Liver Abscess and Intestinal Infection with the TechLab Entamoeba histolytica II Antigen Detection and Antibody Tests","volume":"38","author":[{"family":"Haque","given":"Rashidul"},{"family":"Mollah","given":"Nasir Uddin"},{"family":"Ali","given":"Ibne Karim M."},{"family":"Alam","given":"Khorshed"},{"family":"Eubanks","given":"Aleida"},{"family":"Lyerly","given":"David"},{"family":"Petri","given":"William A."}],"issued":{"date-parts":[["2000"]]}}}],"schema":"https://github.com/citation-style-language/schema/raw/master/csl-citation.json"} </w:instrText>
      </w:r>
      <w:r w:rsidR="00927BF7" w:rsidRPr="00D11245">
        <w:rPr>
          <w:rFonts w:ascii="Calibri" w:hAnsi="Calibri" w:cs="Calibri"/>
          <w:color w:val="000000" w:themeColor="text1"/>
          <w:sz w:val="24"/>
          <w:szCs w:val="24"/>
        </w:rPr>
        <w:fldChar w:fldCharType="separate"/>
      </w:r>
      <w:r w:rsidR="009C3E63" w:rsidRPr="00D11245">
        <w:rPr>
          <w:rFonts w:ascii="Calibri" w:hAnsi="Calibri" w:cs="Calibri"/>
          <w:color w:val="000000" w:themeColor="text1"/>
          <w:kern w:val="0"/>
          <w:sz w:val="24"/>
          <w:vertAlign w:val="superscript"/>
        </w:rPr>
        <w:t>133</w:t>
      </w:r>
      <w:r w:rsidR="00927BF7" w:rsidRPr="00D11245">
        <w:rPr>
          <w:rFonts w:ascii="Calibri" w:hAnsi="Calibri" w:cs="Calibri"/>
          <w:color w:val="000000" w:themeColor="text1"/>
          <w:sz w:val="24"/>
          <w:szCs w:val="24"/>
        </w:rPr>
        <w:fldChar w:fldCharType="end"/>
      </w:r>
      <w:r w:rsidR="00515C1D" w:rsidRPr="00D11245">
        <w:rPr>
          <w:rFonts w:ascii="Calibri" w:hAnsi="Calibri" w:cs="Calibri"/>
          <w:color w:val="000000" w:themeColor="text1"/>
          <w:sz w:val="24"/>
          <w:szCs w:val="24"/>
        </w:rPr>
        <w:t xml:space="preserve">. </w:t>
      </w:r>
    </w:p>
    <w:p w14:paraId="5BE700A2" w14:textId="6E09F213" w:rsidR="00340712" w:rsidRPr="00D11245" w:rsidRDefault="00B91C91" w:rsidP="00B81A81">
      <w:pPr>
        <w:jc w:val="both"/>
        <w:rPr>
          <w:rFonts w:ascii="Calibri" w:hAnsi="Calibri" w:cs="Calibri"/>
          <w:color w:val="000000" w:themeColor="text1"/>
          <w:sz w:val="24"/>
          <w:szCs w:val="24"/>
        </w:rPr>
      </w:pPr>
      <w:r w:rsidRPr="00D11245">
        <w:rPr>
          <w:rFonts w:ascii="Calibri" w:hAnsi="Calibri" w:cs="Calibri"/>
          <w:color w:val="000000" w:themeColor="text1"/>
          <w:sz w:val="24"/>
          <w:szCs w:val="24"/>
        </w:rPr>
        <w:t>Molecular approaches are now</w:t>
      </w:r>
      <w:r w:rsidR="00942AF6" w:rsidRPr="00D11245">
        <w:rPr>
          <w:rFonts w:ascii="Calibri" w:hAnsi="Calibri" w:cs="Calibri"/>
          <w:color w:val="000000" w:themeColor="text1"/>
          <w:sz w:val="24"/>
          <w:szCs w:val="24"/>
        </w:rPr>
        <w:t xml:space="preserve"> at the</w:t>
      </w:r>
      <w:r w:rsidRPr="00D11245">
        <w:rPr>
          <w:rFonts w:ascii="Calibri" w:hAnsi="Calibri" w:cs="Calibri"/>
          <w:color w:val="000000" w:themeColor="text1"/>
          <w:sz w:val="24"/>
          <w:szCs w:val="24"/>
        </w:rPr>
        <w:t xml:space="preserve"> forefront in diagnosis and include </w:t>
      </w:r>
      <w:r w:rsidR="00C70D8C" w:rsidRPr="00D11245">
        <w:rPr>
          <w:rFonts w:ascii="Calibri" w:hAnsi="Calibri" w:cs="Calibri"/>
          <w:color w:val="000000" w:themeColor="text1"/>
          <w:sz w:val="24"/>
          <w:szCs w:val="24"/>
        </w:rPr>
        <w:t>DNA amplification tests</w:t>
      </w:r>
      <w:r w:rsidR="00942AF6" w:rsidRPr="00D11245">
        <w:rPr>
          <w:rFonts w:ascii="Calibri" w:hAnsi="Calibri" w:cs="Calibri"/>
          <w:color w:val="000000" w:themeColor="text1"/>
          <w:sz w:val="24"/>
          <w:szCs w:val="24"/>
        </w:rPr>
        <w:t xml:space="preserve">, </w:t>
      </w:r>
      <w:r w:rsidR="00077428" w:rsidRPr="00D11245">
        <w:rPr>
          <w:rFonts w:ascii="Calibri" w:hAnsi="Calibri" w:cs="Calibri"/>
          <w:color w:val="000000" w:themeColor="text1"/>
          <w:sz w:val="24"/>
          <w:szCs w:val="24"/>
        </w:rPr>
        <w:t>using PCR</w:t>
      </w:r>
      <w:r w:rsidR="00C70D8C" w:rsidRPr="00D11245">
        <w:rPr>
          <w:rFonts w:ascii="Calibri" w:hAnsi="Calibri" w:cs="Calibri"/>
          <w:color w:val="000000" w:themeColor="text1"/>
          <w:sz w:val="24"/>
          <w:szCs w:val="24"/>
        </w:rPr>
        <w:t xml:space="preserve"> (polymerase chain reaction)</w:t>
      </w:r>
      <w:r w:rsidRPr="00D11245">
        <w:rPr>
          <w:rFonts w:ascii="Calibri" w:hAnsi="Calibri" w:cs="Calibri"/>
          <w:color w:val="000000" w:themeColor="text1"/>
          <w:sz w:val="24"/>
          <w:szCs w:val="24"/>
        </w:rPr>
        <w:t xml:space="preserve"> and LAMP (loop-mediated isothermal amplification)</w:t>
      </w:r>
      <w:r w:rsidR="00FF360E" w:rsidRPr="00D11245">
        <w:rPr>
          <w:rFonts w:ascii="Calibri" w:hAnsi="Calibri" w:cs="Calibri"/>
          <w:color w:val="000000" w:themeColor="text1"/>
          <w:sz w:val="24"/>
          <w:szCs w:val="24"/>
        </w:rPr>
        <w:t xml:space="preserve"> </w:t>
      </w:r>
      <w:r w:rsidR="00942AF6" w:rsidRPr="00D11245">
        <w:rPr>
          <w:rFonts w:ascii="Calibri" w:hAnsi="Calibri" w:cs="Calibri"/>
          <w:color w:val="000000" w:themeColor="text1"/>
          <w:sz w:val="24"/>
          <w:szCs w:val="24"/>
        </w:rPr>
        <w:t>techniques</w:t>
      </w:r>
      <w:r w:rsidRPr="00D11245">
        <w:rPr>
          <w:rFonts w:ascii="Calibri" w:hAnsi="Calibri" w:cs="Calibri"/>
          <w:color w:val="000000" w:themeColor="text1"/>
          <w:sz w:val="24"/>
          <w:szCs w:val="24"/>
        </w:rPr>
        <w:t xml:space="preserve">. </w:t>
      </w:r>
      <w:r w:rsidR="00942AF6" w:rsidRPr="00D11245">
        <w:rPr>
          <w:rFonts w:ascii="Calibri" w:hAnsi="Calibri" w:cs="Calibri"/>
          <w:color w:val="000000" w:themeColor="text1"/>
          <w:sz w:val="24"/>
          <w:szCs w:val="24"/>
        </w:rPr>
        <w:t>T</w:t>
      </w:r>
      <w:r w:rsidRPr="00D11245">
        <w:rPr>
          <w:rFonts w:ascii="Calibri" w:hAnsi="Calibri" w:cs="Calibri"/>
          <w:color w:val="000000" w:themeColor="text1"/>
          <w:sz w:val="24"/>
          <w:szCs w:val="24"/>
        </w:rPr>
        <w:t xml:space="preserve">hese </w:t>
      </w:r>
      <w:r w:rsidR="00942AF6" w:rsidRPr="00D11245">
        <w:rPr>
          <w:rFonts w:ascii="Calibri" w:hAnsi="Calibri" w:cs="Calibri"/>
          <w:color w:val="000000" w:themeColor="text1"/>
          <w:sz w:val="24"/>
          <w:szCs w:val="24"/>
        </w:rPr>
        <w:t xml:space="preserve">are </w:t>
      </w:r>
      <w:r w:rsidRPr="00D11245">
        <w:rPr>
          <w:rFonts w:ascii="Calibri" w:hAnsi="Calibri" w:cs="Calibri"/>
          <w:color w:val="000000" w:themeColor="text1"/>
          <w:sz w:val="24"/>
          <w:szCs w:val="24"/>
        </w:rPr>
        <w:t>performed on stool</w:t>
      </w:r>
      <w:r w:rsidR="006717B1" w:rsidRPr="00D11245">
        <w:rPr>
          <w:rFonts w:ascii="Calibri" w:hAnsi="Calibri" w:cs="Calibri"/>
          <w:color w:val="000000" w:themeColor="text1"/>
          <w:sz w:val="24"/>
          <w:szCs w:val="24"/>
        </w:rPr>
        <w:t xml:space="preserve"> </w:t>
      </w:r>
      <w:r w:rsidR="009F4539" w:rsidRPr="00D11245">
        <w:rPr>
          <w:rFonts w:ascii="Calibri" w:hAnsi="Calibri" w:cs="Calibri"/>
          <w:color w:val="000000" w:themeColor="text1"/>
          <w:sz w:val="24"/>
          <w:szCs w:val="24"/>
        </w:rPr>
        <w:t xml:space="preserve">samples </w:t>
      </w:r>
      <w:r w:rsidR="006717B1" w:rsidRPr="00D11245">
        <w:rPr>
          <w:rFonts w:ascii="Calibri" w:hAnsi="Calibri" w:cs="Calibri"/>
          <w:color w:val="000000" w:themeColor="text1"/>
          <w:sz w:val="24"/>
          <w:szCs w:val="24"/>
        </w:rPr>
        <w:t xml:space="preserve">or </w:t>
      </w:r>
      <w:r w:rsidRPr="00D11245">
        <w:rPr>
          <w:rFonts w:ascii="Calibri" w:hAnsi="Calibri" w:cs="Calibri"/>
          <w:color w:val="000000" w:themeColor="text1"/>
          <w:sz w:val="24"/>
          <w:szCs w:val="24"/>
        </w:rPr>
        <w:t xml:space="preserve">liver abscess </w:t>
      </w:r>
      <w:r w:rsidR="00077428" w:rsidRPr="00D11245">
        <w:rPr>
          <w:rFonts w:ascii="Calibri" w:hAnsi="Calibri" w:cs="Calibri"/>
          <w:color w:val="000000" w:themeColor="text1"/>
          <w:sz w:val="24"/>
          <w:szCs w:val="24"/>
        </w:rPr>
        <w:t>aspirate and</w:t>
      </w:r>
      <w:r w:rsidRPr="00D11245">
        <w:rPr>
          <w:rFonts w:ascii="Calibri" w:hAnsi="Calibri" w:cs="Calibri"/>
          <w:color w:val="000000" w:themeColor="text1"/>
          <w:sz w:val="24"/>
          <w:szCs w:val="24"/>
        </w:rPr>
        <w:t xml:space="preserve"> can accurately differentiate </w:t>
      </w:r>
      <w:r w:rsidRPr="00D11245">
        <w:rPr>
          <w:rFonts w:ascii="Calibri" w:hAnsi="Calibri" w:cs="Calibri"/>
          <w:i/>
          <w:iCs/>
          <w:color w:val="000000" w:themeColor="text1"/>
          <w:sz w:val="24"/>
          <w:szCs w:val="24"/>
        </w:rPr>
        <w:t>E</w:t>
      </w:r>
      <w:r w:rsidR="00927BF7" w:rsidRPr="00D11245">
        <w:rPr>
          <w:rFonts w:ascii="Calibri" w:hAnsi="Calibri" w:cs="Calibri"/>
          <w:i/>
          <w:iCs/>
          <w:color w:val="000000" w:themeColor="text1"/>
          <w:sz w:val="24"/>
          <w:szCs w:val="24"/>
        </w:rPr>
        <w:t>.</w:t>
      </w:r>
      <w:r w:rsidRPr="00D11245">
        <w:rPr>
          <w:rFonts w:ascii="Calibri" w:hAnsi="Calibri" w:cs="Calibri"/>
          <w:color w:val="000000" w:themeColor="text1"/>
          <w:sz w:val="24"/>
          <w:szCs w:val="24"/>
        </w:rPr>
        <w:t xml:space="preserve"> </w:t>
      </w:r>
      <w:r w:rsidR="00942AF6" w:rsidRPr="00D11245">
        <w:rPr>
          <w:rFonts w:ascii="Calibri" w:hAnsi="Calibri" w:cs="Calibri"/>
          <w:i/>
          <w:color w:val="000000" w:themeColor="text1"/>
          <w:sz w:val="24"/>
          <w:szCs w:val="24"/>
        </w:rPr>
        <w:t>histolytica</w:t>
      </w:r>
      <w:r w:rsidR="00942AF6" w:rsidRPr="00D11245">
        <w:rPr>
          <w:rFonts w:ascii="Calibri" w:hAnsi="Calibri" w:cs="Calibri"/>
          <w:color w:val="000000" w:themeColor="text1"/>
          <w:sz w:val="24"/>
          <w:szCs w:val="24"/>
        </w:rPr>
        <w:t xml:space="preserve"> from non-pathogenic </w:t>
      </w:r>
      <w:r w:rsidRPr="00D11245">
        <w:rPr>
          <w:rFonts w:ascii="Calibri" w:hAnsi="Calibri" w:cs="Calibri"/>
          <w:color w:val="000000" w:themeColor="text1"/>
          <w:sz w:val="24"/>
          <w:szCs w:val="24"/>
        </w:rPr>
        <w:t>species</w:t>
      </w:r>
      <w:r w:rsidR="00B54FD6" w:rsidRPr="00D11245">
        <w:rPr>
          <w:rFonts w:ascii="Calibri" w:hAnsi="Calibri" w:cs="Calibri"/>
          <w:color w:val="000000" w:themeColor="text1"/>
          <w:sz w:val="24"/>
          <w:szCs w:val="24"/>
        </w:rPr>
        <w:t xml:space="preserve">. </w:t>
      </w:r>
      <w:r w:rsidR="007C6171" w:rsidRPr="00D11245">
        <w:rPr>
          <w:rFonts w:ascii="Calibri" w:hAnsi="Calibri" w:cs="Calibri"/>
          <w:color w:val="000000" w:themeColor="text1"/>
          <w:sz w:val="24"/>
          <w:szCs w:val="24"/>
        </w:rPr>
        <w:t xml:space="preserve">Available </w:t>
      </w:r>
      <w:r w:rsidR="00B54FD6" w:rsidRPr="00D11245">
        <w:rPr>
          <w:rFonts w:ascii="Calibri" w:hAnsi="Calibri" w:cs="Calibri"/>
          <w:color w:val="000000" w:themeColor="text1"/>
          <w:sz w:val="24"/>
          <w:szCs w:val="24"/>
        </w:rPr>
        <w:t xml:space="preserve">PCR techniques </w:t>
      </w:r>
      <w:r w:rsidR="007C6171" w:rsidRPr="00D11245">
        <w:rPr>
          <w:rFonts w:ascii="Calibri" w:hAnsi="Calibri" w:cs="Calibri"/>
          <w:color w:val="000000" w:themeColor="text1"/>
          <w:sz w:val="24"/>
          <w:szCs w:val="24"/>
        </w:rPr>
        <w:t>include</w:t>
      </w:r>
      <w:r w:rsidR="00B54FD6" w:rsidRPr="00D11245">
        <w:rPr>
          <w:rFonts w:ascii="Calibri" w:hAnsi="Calibri" w:cs="Calibri"/>
          <w:color w:val="000000" w:themeColor="text1"/>
          <w:sz w:val="24"/>
          <w:szCs w:val="24"/>
        </w:rPr>
        <w:t xml:space="preserve"> conventional, nested, multiplex, </w:t>
      </w:r>
      <w:r w:rsidR="009F4539" w:rsidRPr="00D11245">
        <w:rPr>
          <w:rFonts w:ascii="Calibri" w:hAnsi="Calibri" w:cs="Calibri"/>
          <w:color w:val="000000" w:themeColor="text1"/>
          <w:sz w:val="24"/>
          <w:szCs w:val="24"/>
        </w:rPr>
        <w:t xml:space="preserve">and </w:t>
      </w:r>
      <w:r w:rsidR="00B54FD6" w:rsidRPr="00D11245">
        <w:rPr>
          <w:rFonts w:ascii="Calibri" w:hAnsi="Calibri" w:cs="Calibri"/>
          <w:color w:val="000000" w:themeColor="text1"/>
          <w:sz w:val="24"/>
          <w:szCs w:val="24"/>
        </w:rPr>
        <w:t>real-time</w:t>
      </w:r>
      <w:r w:rsidR="007E1A6A" w:rsidRPr="00D11245">
        <w:rPr>
          <w:rFonts w:ascii="Calibri" w:hAnsi="Calibri" w:cs="Calibri"/>
          <w:color w:val="000000" w:themeColor="text1"/>
          <w:sz w:val="24"/>
          <w:szCs w:val="24"/>
        </w:rPr>
        <w:t>,</w:t>
      </w:r>
      <w:r w:rsidR="00B54FD6" w:rsidRPr="00D11245">
        <w:rPr>
          <w:rFonts w:ascii="Calibri" w:hAnsi="Calibri" w:cs="Calibri"/>
          <w:color w:val="000000" w:themeColor="text1"/>
          <w:sz w:val="24"/>
          <w:szCs w:val="24"/>
        </w:rPr>
        <w:t xml:space="preserve"> </w:t>
      </w:r>
      <w:r w:rsidR="00CF3F94" w:rsidRPr="00D11245">
        <w:rPr>
          <w:rFonts w:ascii="Calibri" w:hAnsi="Calibri" w:cs="Calibri"/>
          <w:color w:val="000000" w:themeColor="text1"/>
          <w:sz w:val="24"/>
          <w:szCs w:val="24"/>
        </w:rPr>
        <w:t>and target</w:t>
      </w:r>
      <w:r w:rsidR="00B54FD6" w:rsidRPr="00D11245">
        <w:rPr>
          <w:rFonts w:ascii="Calibri" w:hAnsi="Calibri" w:cs="Calibri"/>
          <w:color w:val="000000" w:themeColor="text1"/>
          <w:sz w:val="24"/>
          <w:szCs w:val="24"/>
        </w:rPr>
        <w:t xml:space="preserve"> </w:t>
      </w:r>
      <w:r w:rsidRPr="00D11245">
        <w:rPr>
          <w:rFonts w:ascii="Calibri" w:hAnsi="Calibri" w:cs="Calibri"/>
          <w:color w:val="000000" w:themeColor="text1"/>
          <w:sz w:val="24"/>
          <w:szCs w:val="24"/>
        </w:rPr>
        <w:t xml:space="preserve">a </w:t>
      </w:r>
      <w:r w:rsidR="00942AF6" w:rsidRPr="00D11245">
        <w:rPr>
          <w:rFonts w:ascii="Calibri" w:hAnsi="Calibri" w:cs="Calibri"/>
          <w:color w:val="000000" w:themeColor="text1"/>
          <w:sz w:val="24"/>
          <w:szCs w:val="24"/>
        </w:rPr>
        <w:t>range</w:t>
      </w:r>
      <w:r w:rsidRPr="00D11245">
        <w:rPr>
          <w:rFonts w:ascii="Calibri" w:hAnsi="Calibri" w:cs="Calibri"/>
          <w:color w:val="000000" w:themeColor="text1"/>
          <w:sz w:val="24"/>
          <w:szCs w:val="24"/>
        </w:rPr>
        <w:t xml:space="preserve"> of specific genes, such as haemolysin gene (HLY6), which has up to 100% sensitivity and specificity </w:t>
      </w:r>
      <w:r w:rsidR="0057113F" w:rsidRPr="00D11245">
        <w:rPr>
          <w:rFonts w:ascii="Calibri" w:hAnsi="Calibri" w:cs="Calibri"/>
          <w:color w:val="000000" w:themeColor="text1"/>
          <w:sz w:val="24"/>
          <w:szCs w:val="24"/>
        </w:rPr>
        <w:t xml:space="preserve">on </w:t>
      </w:r>
      <w:r w:rsidRPr="00D11245">
        <w:rPr>
          <w:rFonts w:ascii="Calibri" w:hAnsi="Calibri" w:cs="Calibri"/>
          <w:color w:val="000000" w:themeColor="text1"/>
          <w:sz w:val="24"/>
          <w:szCs w:val="24"/>
        </w:rPr>
        <w:t>stool sample</w:t>
      </w:r>
      <w:r w:rsidR="00B54FD6" w:rsidRPr="00D11245">
        <w:rPr>
          <w:rFonts w:ascii="Calibri" w:hAnsi="Calibri" w:cs="Calibri"/>
          <w:color w:val="000000" w:themeColor="text1"/>
          <w:sz w:val="24"/>
          <w:szCs w:val="24"/>
        </w:rPr>
        <w:t xml:space="preserve">s. </w:t>
      </w:r>
      <w:r w:rsidR="00835804" w:rsidRPr="00D11245">
        <w:rPr>
          <w:rFonts w:ascii="Calibri" w:hAnsi="Calibri" w:cs="Calibri"/>
          <w:color w:val="000000" w:themeColor="text1"/>
          <w:sz w:val="24"/>
          <w:szCs w:val="24"/>
        </w:rPr>
        <w:t>Real-time multiplex</w:t>
      </w:r>
      <w:r w:rsidR="006717B1" w:rsidRPr="00D11245">
        <w:rPr>
          <w:rFonts w:ascii="Calibri" w:hAnsi="Calibri" w:cs="Calibri"/>
          <w:color w:val="000000" w:themeColor="text1"/>
          <w:sz w:val="24"/>
          <w:szCs w:val="24"/>
        </w:rPr>
        <w:t xml:space="preserve"> stool</w:t>
      </w:r>
      <w:r w:rsidR="00835804" w:rsidRPr="00D11245">
        <w:rPr>
          <w:rFonts w:ascii="Calibri" w:hAnsi="Calibri" w:cs="Calibri"/>
          <w:color w:val="000000" w:themeColor="text1"/>
          <w:sz w:val="24"/>
          <w:szCs w:val="24"/>
        </w:rPr>
        <w:t xml:space="preserve"> PCR is </w:t>
      </w:r>
      <w:r w:rsidR="00340712" w:rsidRPr="00D11245">
        <w:rPr>
          <w:rFonts w:ascii="Calibri" w:hAnsi="Calibri" w:cs="Calibri"/>
          <w:color w:val="000000" w:themeColor="text1"/>
          <w:sz w:val="24"/>
          <w:szCs w:val="24"/>
        </w:rPr>
        <w:t xml:space="preserve">now commonplace </w:t>
      </w:r>
      <w:r w:rsidR="00835804" w:rsidRPr="00D11245">
        <w:rPr>
          <w:rFonts w:ascii="Calibri" w:hAnsi="Calibri" w:cs="Calibri"/>
          <w:color w:val="000000" w:themeColor="text1"/>
          <w:sz w:val="24"/>
          <w:szCs w:val="24"/>
        </w:rPr>
        <w:t xml:space="preserve">in </w:t>
      </w:r>
      <w:r w:rsidR="00942AF6" w:rsidRPr="00D11245">
        <w:rPr>
          <w:rFonts w:ascii="Calibri" w:hAnsi="Calibri" w:cs="Calibri"/>
          <w:color w:val="000000" w:themeColor="text1"/>
          <w:sz w:val="24"/>
          <w:szCs w:val="24"/>
        </w:rPr>
        <w:t>HIC</w:t>
      </w:r>
      <w:r w:rsidR="00835804" w:rsidRPr="00D11245">
        <w:rPr>
          <w:rFonts w:ascii="Calibri" w:hAnsi="Calibri" w:cs="Calibri"/>
          <w:color w:val="000000" w:themeColor="text1"/>
          <w:sz w:val="24"/>
          <w:szCs w:val="24"/>
        </w:rPr>
        <w:t xml:space="preserve"> </w:t>
      </w:r>
      <w:r w:rsidR="00340712" w:rsidRPr="00D11245">
        <w:rPr>
          <w:rFonts w:ascii="Calibri" w:hAnsi="Calibri" w:cs="Calibri"/>
          <w:color w:val="000000" w:themeColor="text1"/>
          <w:sz w:val="24"/>
          <w:szCs w:val="24"/>
        </w:rPr>
        <w:t>and although costly</w:t>
      </w:r>
      <w:r w:rsidR="008D63FA" w:rsidRPr="00D11245">
        <w:rPr>
          <w:rFonts w:ascii="Calibri" w:hAnsi="Calibri" w:cs="Calibri"/>
          <w:color w:val="000000" w:themeColor="text1"/>
          <w:sz w:val="24"/>
          <w:szCs w:val="24"/>
        </w:rPr>
        <w:t>,</w:t>
      </w:r>
      <w:r w:rsidR="00340712" w:rsidRPr="00D11245">
        <w:rPr>
          <w:rFonts w:ascii="Calibri" w:hAnsi="Calibri" w:cs="Calibri"/>
          <w:color w:val="000000" w:themeColor="text1"/>
          <w:sz w:val="24"/>
          <w:szCs w:val="24"/>
        </w:rPr>
        <w:t xml:space="preserve"> has the </w:t>
      </w:r>
      <w:r w:rsidR="00835804" w:rsidRPr="00D11245">
        <w:rPr>
          <w:rFonts w:ascii="Calibri" w:hAnsi="Calibri" w:cs="Calibri"/>
          <w:color w:val="000000" w:themeColor="text1"/>
          <w:sz w:val="24"/>
          <w:szCs w:val="24"/>
        </w:rPr>
        <w:t xml:space="preserve">major advantage </w:t>
      </w:r>
      <w:r w:rsidR="00340712" w:rsidRPr="00D11245">
        <w:rPr>
          <w:rFonts w:ascii="Calibri" w:hAnsi="Calibri" w:cs="Calibri"/>
          <w:color w:val="000000" w:themeColor="text1"/>
          <w:sz w:val="24"/>
          <w:szCs w:val="24"/>
        </w:rPr>
        <w:t xml:space="preserve">of </w:t>
      </w:r>
      <w:r w:rsidR="00942AF6" w:rsidRPr="00D11245">
        <w:rPr>
          <w:rFonts w:ascii="Calibri" w:hAnsi="Calibri" w:cs="Calibri"/>
          <w:color w:val="000000" w:themeColor="text1"/>
          <w:sz w:val="24"/>
          <w:szCs w:val="24"/>
        </w:rPr>
        <w:t xml:space="preserve">being able to </w:t>
      </w:r>
      <w:r w:rsidR="00835804" w:rsidRPr="00D11245">
        <w:rPr>
          <w:rFonts w:ascii="Calibri" w:hAnsi="Calibri" w:cs="Calibri"/>
          <w:color w:val="000000" w:themeColor="text1"/>
          <w:sz w:val="24"/>
          <w:szCs w:val="24"/>
        </w:rPr>
        <w:t xml:space="preserve">detect </w:t>
      </w:r>
      <w:r w:rsidR="006717B1" w:rsidRPr="00D11245">
        <w:rPr>
          <w:rFonts w:ascii="Calibri" w:hAnsi="Calibri" w:cs="Calibri"/>
          <w:color w:val="000000" w:themeColor="text1"/>
          <w:sz w:val="24"/>
          <w:szCs w:val="24"/>
        </w:rPr>
        <w:t>a wide panel</w:t>
      </w:r>
      <w:r w:rsidR="00835804" w:rsidRPr="00D11245">
        <w:rPr>
          <w:rFonts w:ascii="Calibri" w:hAnsi="Calibri" w:cs="Calibri"/>
          <w:color w:val="000000" w:themeColor="text1"/>
          <w:sz w:val="24"/>
          <w:szCs w:val="24"/>
        </w:rPr>
        <w:t xml:space="preserve"> </w:t>
      </w:r>
      <w:r w:rsidR="006717B1" w:rsidRPr="00D11245">
        <w:rPr>
          <w:rFonts w:ascii="Calibri" w:hAnsi="Calibri" w:cs="Calibri"/>
          <w:color w:val="000000" w:themeColor="text1"/>
          <w:sz w:val="24"/>
          <w:szCs w:val="24"/>
        </w:rPr>
        <w:t xml:space="preserve">of intestinal </w:t>
      </w:r>
      <w:r w:rsidR="00835804" w:rsidRPr="00D11245">
        <w:rPr>
          <w:rFonts w:ascii="Calibri" w:hAnsi="Calibri" w:cs="Calibri"/>
          <w:color w:val="000000" w:themeColor="text1"/>
          <w:sz w:val="24"/>
          <w:szCs w:val="24"/>
        </w:rPr>
        <w:t>pathogens</w:t>
      </w:r>
      <w:r w:rsidR="00340712" w:rsidRPr="00D11245">
        <w:rPr>
          <w:rFonts w:ascii="Calibri" w:hAnsi="Calibri" w:cs="Calibri"/>
          <w:color w:val="000000" w:themeColor="text1"/>
          <w:sz w:val="24"/>
          <w:szCs w:val="24"/>
        </w:rPr>
        <w:t>.</w:t>
      </w:r>
      <w:r w:rsidR="00942AF6" w:rsidRPr="00D11245">
        <w:rPr>
          <w:rFonts w:ascii="Calibri" w:hAnsi="Calibri" w:cs="Calibri"/>
          <w:color w:val="000000" w:themeColor="text1"/>
          <w:sz w:val="24"/>
          <w:szCs w:val="24"/>
        </w:rPr>
        <w:t xml:space="preserve"> In</w:t>
      </w:r>
      <w:r w:rsidR="00835804" w:rsidRPr="00D11245">
        <w:rPr>
          <w:rFonts w:ascii="Calibri" w:hAnsi="Calibri" w:cs="Calibri"/>
          <w:color w:val="000000" w:themeColor="text1"/>
          <w:sz w:val="24"/>
          <w:szCs w:val="24"/>
        </w:rPr>
        <w:t xml:space="preserve"> the UK</w:t>
      </w:r>
      <w:r w:rsidR="008D63FA" w:rsidRPr="00D11245">
        <w:rPr>
          <w:rFonts w:ascii="Calibri" w:hAnsi="Calibri" w:cs="Calibri"/>
          <w:color w:val="000000" w:themeColor="text1"/>
          <w:sz w:val="24"/>
          <w:szCs w:val="24"/>
        </w:rPr>
        <w:t>,</w:t>
      </w:r>
      <w:r w:rsidR="00835804" w:rsidRPr="00D11245">
        <w:rPr>
          <w:rFonts w:ascii="Calibri" w:hAnsi="Calibri" w:cs="Calibri"/>
          <w:color w:val="000000" w:themeColor="text1"/>
          <w:sz w:val="24"/>
          <w:szCs w:val="24"/>
        </w:rPr>
        <w:t xml:space="preserve"> </w:t>
      </w:r>
      <w:r w:rsidR="00C04983" w:rsidRPr="00D11245">
        <w:rPr>
          <w:rFonts w:ascii="Calibri" w:hAnsi="Calibri" w:cs="Calibri"/>
          <w:color w:val="000000" w:themeColor="text1"/>
          <w:sz w:val="24"/>
          <w:szCs w:val="24"/>
        </w:rPr>
        <w:t>s</w:t>
      </w:r>
      <w:r w:rsidR="006717B1" w:rsidRPr="00D11245">
        <w:rPr>
          <w:rFonts w:ascii="Calibri" w:hAnsi="Calibri" w:cs="Calibri"/>
          <w:color w:val="000000" w:themeColor="text1"/>
          <w:sz w:val="24"/>
          <w:szCs w:val="24"/>
        </w:rPr>
        <w:t xml:space="preserve">tool PCR enteric panels do not </w:t>
      </w:r>
      <w:r w:rsidR="008D63FA" w:rsidRPr="00D11245">
        <w:rPr>
          <w:rFonts w:ascii="Calibri" w:hAnsi="Calibri" w:cs="Calibri"/>
          <w:color w:val="000000" w:themeColor="text1"/>
          <w:sz w:val="24"/>
          <w:szCs w:val="24"/>
        </w:rPr>
        <w:t xml:space="preserve">always </w:t>
      </w:r>
      <w:r w:rsidR="006717B1" w:rsidRPr="00D11245">
        <w:rPr>
          <w:rFonts w:ascii="Calibri" w:hAnsi="Calibri" w:cs="Calibri"/>
          <w:color w:val="000000" w:themeColor="text1"/>
          <w:sz w:val="24"/>
          <w:szCs w:val="24"/>
        </w:rPr>
        <w:t xml:space="preserve">include </w:t>
      </w:r>
      <w:r w:rsidR="00835804" w:rsidRPr="00D11245">
        <w:rPr>
          <w:rFonts w:ascii="Calibri" w:hAnsi="Calibri" w:cs="Calibri"/>
          <w:i/>
          <w:iCs/>
          <w:color w:val="000000" w:themeColor="text1"/>
          <w:sz w:val="24"/>
          <w:szCs w:val="24"/>
        </w:rPr>
        <w:t>E. histolytica</w:t>
      </w:r>
      <w:r w:rsidR="00340712" w:rsidRPr="00D11245">
        <w:rPr>
          <w:rFonts w:ascii="Calibri" w:hAnsi="Calibri" w:cs="Calibri"/>
          <w:color w:val="000000" w:themeColor="text1"/>
          <w:sz w:val="24"/>
          <w:szCs w:val="24"/>
        </w:rPr>
        <w:t xml:space="preserve">, and </w:t>
      </w:r>
      <w:r w:rsidR="006717B1" w:rsidRPr="00D11245">
        <w:rPr>
          <w:rFonts w:ascii="Calibri" w:hAnsi="Calibri" w:cs="Calibri"/>
          <w:color w:val="000000" w:themeColor="text1"/>
          <w:sz w:val="24"/>
          <w:szCs w:val="24"/>
        </w:rPr>
        <w:t>therefore</w:t>
      </w:r>
      <w:r w:rsidR="00340712" w:rsidRPr="00D11245">
        <w:rPr>
          <w:rFonts w:ascii="Calibri" w:hAnsi="Calibri" w:cs="Calibri"/>
          <w:color w:val="000000" w:themeColor="text1"/>
          <w:sz w:val="24"/>
          <w:szCs w:val="24"/>
        </w:rPr>
        <w:t xml:space="preserve"> </w:t>
      </w:r>
      <w:r w:rsidR="00971FB6" w:rsidRPr="00D11245">
        <w:rPr>
          <w:rFonts w:ascii="Calibri" w:hAnsi="Calibri" w:cs="Calibri"/>
          <w:color w:val="000000" w:themeColor="text1"/>
          <w:sz w:val="24"/>
          <w:szCs w:val="24"/>
        </w:rPr>
        <w:t xml:space="preserve">may </w:t>
      </w:r>
      <w:r w:rsidR="00340712" w:rsidRPr="00D11245">
        <w:rPr>
          <w:rFonts w:ascii="Calibri" w:hAnsi="Calibri" w:cs="Calibri"/>
          <w:color w:val="000000" w:themeColor="text1"/>
          <w:sz w:val="24"/>
          <w:szCs w:val="24"/>
        </w:rPr>
        <w:t>require</w:t>
      </w:r>
      <w:r w:rsidR="006717B1" w:rsidRPr="00D11245">
        <w:rPr>
          <w:rFonts w:ascii="Calibri" w:hAnsi="Calibri" w:cs="Calibri"/>
          <w:color w:val="000000" w:themeColor="text1"/>
          <w:sz w:val="24"/>
          <w:szCs w:val="24"/>
        </w:rPr>
        <w:t xml:space="preserve"> a</w:t>
      </w:r>
      <w:r w:rsidR="00340712" w:rsidRPr="00D11245">
        <w:rPr>
          <w:rFonts w:ascii="Calibri" w:hAnsi="Calibri" w:cs="Calibri"/>
          <w:color w:val="000000" w:themeColor="text1"/>
          <w:sz w:val="24"/>
          <w:szCs w:val="24"/>
        </w:rPr>
        <w:t xml:space="preserve"> specific request</w:t>
      </w:r>
      <w:r w:rsidR="006717B1" w:rsidRPr="00D11245">
        <w:rPr>
          <w:rFonts w:ascii="Calibri" w:hAnsi="Calibri" w:cs="Calibri"/>
          <w:color w:val="000000" w:themeColor="text1"/>
          <w:sz w:val="24"/>
          <w:szCs w:val="24"/>
        </w:rPr>
        <w:t xml:space="preserve"> to use a dedicated </w:t>
      </w:r>
      <w:r w:rsidR="006717B1" w:rsidRPr="00D11245">
        <w:rPr>
          <w:rFonts w:ascii="Calibri" w:hAnsi="Calibri" w:cs="Calibri"/>
          <w:i/>
          <w:iCs/>
          <w:color w:val="000000" w:themeColor="text1"/>
          <w:sz w:val="24"/>
          <w:szCs w:val="24"/>
        </w:rPr>
        <w:t>E. histolytica</w:t>
      </w:r>
      <w:r w:rsidR="006717B1" w:rsidRPr="00D11245">
        <w:rPr>
          <w:rFonts w:ascii="Calibri" w:hAnsi="Calibri" w:cs="Calibri"/>
          <w:color w:val="000000" w:themeColor="text1"/>
          <w:sz w:val="24"/>
          <w:szCs w:val="24"/>
        </w:rPr>
        <w:t xml:space="preserve"> stool PCR assay</w:t>
      </w:r>
      <w:r w:rsidR="00C04983" w:rsidRPr="00D11245">
        <w:rPr>
          <w:rFonts w:ascii="Calibri" w:hAnsi="Calibri" w:cs="Calibri"/>
          <w:color w:val="000000" w:themeColor="text1"/>
          <w:sz w:val="24"/>
          <w:szCs w:val="24"/>
        </w:rPr>
        <w:t>,</w:t>
      </w:r>
      <w:r w:rsidR="006717B1" w:rsidRPr="00D11245">
        <w:rPr>
          <w:rFonts w:ascii="Calibri" w:hAnsi="Calibri" w:cs="Calibri"/>
          <w:color w:val="000000" w:themeColor="text1"/>
          <w:sz w:val="24"/>
          <w:szCs w:val="24"/>
        </w:rPr>
        <w:t xml:space="preserve"> which is not widely </w:t>
      </w:r>
      <w:r w:rsidR="00942AF6" w:rsidRPr="00D11245">
        <w:rPr>
          <w:rFonts w:ascii="Calibri" w:hAnsi="Calibri" w:cs="Calibri"/>
          <w:color w:val="000000" w:themeColor="text1"/>
          <w:sz w:val="24"/>
          <w:szCs w:val="24"/>
        </w:rPr>
        <w:t xml:space="preserve">available </w:t>
      </w:r>
      <w:r w:rsidR="006717B1" w:rsidRPr="00D11245">
        <w:rPr>
          <w:rFonts w:ascii="Calibri" w:hAnsi="Calibri" w:cs="Calibri"/>
          <w:color w:val="000000" w:themeColor="text1"/>
          <w:sz w:val="24"/>
          <w:szCs w:val="24"/>
        </w:rPr>
        <w:t>in all labs and may</w:t>
      </w:r>
      <w:r w:rsidR="00C04983" w:rsidRPr="00D11245">
        <w:rPr>
          <w:rFonts w:ascii="Calibri" w:hAnsi="Calibri" w:cs="Calibri"/>
          <w:color w:val="000000" w:themeColor="text1"/>
          <w:sz w:val="24"/>
          <w:szCs w:val="24"/>
        </w:rPr>
        <w:t xml:space="preserve"> </w:t>
      </w:r>
      <w:r w:rsidR="00971FB6" w:rsidRPr="00D11245">
        <w:rPr>
          <w:rFonts w:ascii="Calibri" w:hAnsi="Calibri" w:cs="Calibri"/>
          <w:color w:val="000000" w:themeColor="text1"/>
          <w:sz w:val="24"/>
          <w:szCs w:val="24"/>
        </w:rPr>
        <w:t xml:space="preserve">need </w:t>
      </w:r>
      <w:r w:rsidR="006717B1" w:rsidRPr="00D11245">
        <w:rPr>
          <w:rFonts w:ascii="Calibri" w:hAnsi="Calibri" w:cs="Calibri"/>
          <w:color w:val="000000" w:themeColor="text1"/>
          <w:sz w:val="24"/>
          <w:szCs w:val="24"/>
        </w:rPr>
        <w:t xml:space="preserve">samples to be forwarded to </w:t>
      </w:r>
      <w:r w:rsidR="00942AF6" w:rsidRPr="00D11245">
        <w:rPr>
          <w:rFonts w:ascii="Calibri" w:hAnsi="Calibri" w:cs="Calibri"/>
          <w:color w:val="000000" w:themeColor="text1"/>
          <w:sz w:val="24"/>
          <w:szCs w:val="24"/>
        </w:rPr>
        <w:t>regional</w:t>
      </w:r>
      <w:r w:rsidR="006717B1" w:rsidRPr="00D11245">
        <w:rPr>
          <w:rFonts w:ascii="Calibri" w:hAnsi="Calibri" w:cs="Calibri"/>
          <w:color w:val="000000" w:themeColor="text1"/>
          <w:sz w:val="24"/>
          <w:szCs w:val="24"/>
        </w:rPr>
        <w:t xml:space="preserve"> lab</w:t>
      </w:r>
      <w:r w:rsidR="00F97D1C" w:rsidRPr="00D11245">
        <w:rPr>
          <w:rFonts w:ascii="Calibri" w:hAnsi="Calibri" w:cs="Calibri"/>
          <w:color w:val="000000" w:themeColor="text1"/>
          <w:sz w:val="24"/>
          <w:szCs w:val="24"/>
        </w:rPr>
        <w:t>oratorie</w:t>
      </w:r>
      <w:r w:rsidR="006717B1" w:rsidRPr="00D11245">
        <w:rPr>
          <w:rFonts w:ascii="Calibri" w:hAnsi="Calibri" w:cs="Calibri"/>
          <w:color w:val="000000" w:themeColor="text1"/>
          <w:sz w:val="24"/>
          <w:szCs w:val="24"/>
        </w:rPr>
        <w:t>s</w:t>
      </w:r>
      <w:r w:rsidR="00312550" w:rsidRPr="00D11245">
        <w:rPr>
          <w:rFonts w:ascii="Calibri" w:hAnsi="Calibri" w:cs="Calibri"/>
          <w:color w:val="000000" w:themeColor="text1"/>
          <w:sz w:val="24"/>
          <w:szCs w:val="24"/>
        </w:rPr>
        <w:t xml:space="preserve">. </w:t>
      </w:r>
    </w:p>
    <w:p w14:paraId="2CCF5F1D" w14:textId="53E83E44" w:rsidR="00C70D8C" w:rsidRPr="00D11245" w:rsidRDefault="00340712" w:rsidP="00B81A81">
      <w:pPr>
        <w:jc w:val="both"/>
        <w:rPr>
          <w:rFonts w:ascii="Calibri" w:hAnsi="Calibri" w:cs="Calibri"/>
          <w:color w:val="000000" w:themeColor="text1"/>
          <w:sz w:val="24"/>
          <w:szCs w:val="24"/>
        </w:rPr>
      </w:pPr>
      <w:r w:rsidRPr="00D11245">
        <w:rPr>
          <w:rFonts w:ascii="Calibri" w:hAnsi="Calibri" w:cs="Calibri"/>
          <w:color w:val="000000" w:themeColor="text1"/>
          <w:sz w:val="24"/>
          <w:szCs w:val="24"/>
        </w:rPr>
        <w:t xml:space="preserve">Point of care </w:t>
      </w:r>
      <w:r w:rsidR="00900B89" w:rsidRPr="00D11245">
        <w:rPr>
          <w:rFonts w:ascii="Calibri" w:hAnsi="Calibri" w:cs="Calibri"/>
          <w:color w:val="000000" w:themeColor="text1"/>
          <w:sz w:val="24"/>
          <w:szCs w:val="24"/>
        </w:rPr>
        <w:t xml:space="preserve">stool </w:t>
      </w:r>
      <w:r w:rsidRPr="00D11245">
        <w:rPr>
          <w:rFonts w:ascii="Calibri" w:hAnsi="Calibri" w:cs="Calibri"/>
          <w:color w:val="000000" w:themeColor="text1"/>
          <w:sz w:val="24"/>
          <w:szCs w:val="24"/>
        </w:rPr>
        <w:t xml:space="preserve">testing </w:t>
      </w:r>
      <w:r w:rsidR="006717B1" w:rsidRPr="00D11245">
        <w:rPr>
          <w:rFonts w:ascii="Calibri" w:hAnsi="Calibri" w:cs="Calibri"/>
          <w:color w:val="000000" w:themeColor="text1"/>
          <w:sz w:val="24"/>
          <w:szCs w:val="24"/>
        </w:rPr>
        <w:t xml:space="preserve">potentially </w:t>
      </w:r>
      <w:r w:rsidRPr="00D11245">
        <w:rPr>
          <w:rFonts w:ascii="Calibri" w:hAnsi="Calibri" w:cs="Calibri"/>
          <w:color w:val="000000" w:themeColor="text1"/>
          <w:sz w:val="24"/>
          <w:szCs w:val="24"/>
        </w:rPr>
        <w:t>allows for rapid diagnosis and does not involve expensive laboratory equipment</w:t>
      </w:r>
      <w:r w:rsidR="00D24006" w:rsidRPr="00D11245">
        <w:rPr>
          <w:rFonts w:ascii="Calibri" w:hAnsi="Calibri" w:cs="Calibri"/>
          <w:color w:val="000000" w:themeColor="text1"/>
          <w:sz w:val="24"/>
          <w:szCs w:val="24"/>
        </w:rPr>
        <w:t>, so</w:t>
      </w:r>
      <w:r w:rsidRPr="00D11245">
        <w:rPr>
          <w:rFonts w:ascii="Calibri" w:hAnsi="Calibri" w:cs="Calibri"/>
          <w:color w:val="000000" w:themeColor="text1"/>
          <w:sz w:val="24"/>
          <w:szCs w:val="24"/>
        </w:rPr>
        <w:t xml:space="preserve"> may be </w:t>
      </w:r>
      <w:r w:rsidR="00942AF6" w:rsidRPr="00D11245">
        <w:rPr>
          <w:rFonts w:ascii="Calibri" w:hAnsi="Calibri" w:cs="Calibri"/>
          <w:color w:val="000000" w:themeColor="text1"/>
          <w:sz w:val="24"/>
          <w:szCs w:val="24"/>
        </w:rPr>
        <w:t>an option in LIC</w:t>
      </w:r>
      <w:r w:rsidRPr="00D11245">
        <w:rPr>
          <w:rFonts w:ascii="Calibri" w:hAnsi="Calibri" w:cs="Calibri"/>
          <w:color w:val="000000" w:themeColor="text1"/>
          <w:sz w:val="24"/>
          <w:szCs w:val="24"/>
        </w:rPr>
        <w:t xml:space="preserve">. There </w:t>
      </w:r>
      <w:r w:rsidR="00234540" w:rsidRPr="00D11245">
        <w:rPr>
          <w:rFonts w:ascii="Calibri" w:hAnsi="Calibri" w:cs="Calibri"/>
          <w:color w:val="000000" w:themeColor="text1"/>
          <w:sz w:val="24"/>
          <w:szCs w:val="24"/>
        </w:rPr>
        <w:t>is</w:t>
      </w:r>
      <w:r w:rsidRPr="00D11245">
        <w:rPr>
          <w:rFonts w:ascii="Calibri" w:hAnsi="Calibri" w:cs="Calibri"/>
          <w:color w:val="000000" w:themeColor="text1"/>
          <w:sz w:val="24"/>
          <w:szCs w:val="24"/>
        </w:rPr>
        <w:t xml:space="preserve"> a</w:t>
      </w:r>
      <w:r w:rsidR="00942AF6" w:rsidRPr="00D11245">
        <w:rPr>
          <w:rFonts w:ascii="Calibri" w:hAnsi="Calibri" w:cs="Calibri"/>
          <w:color w:val="000000" w:themeColor="text1"/>
          <w:sz w:val="24"/>
          <w:szCs w:val="24"/>
        </w:rPr>
        <w:t xml:space="preserve"> range of</w:t>
      </w:r>
      <w:r w:rsidRPr="00D11245">
        <w:rPr>
          <w:rFonts w:ascii="Calibri" w:hAnsi="Calibri" w:cs="Calibri"/>
          <w:color w:val="000000" w:themeColor="text1"/>
          <w:sz w:val="24"/>
          <w:szCs w:val="24"/>
        </w:rPr>
        <w:t xml:space="preserve"> commercially available kits available, </w:t>
      </w:r>
      <w:r w:rsidR="00942AF6" w:rsidRPr="00D11245">
        <w:rPr>
          <w:rFonts w:ascii="Calibri" w:hAnsi="Calibri" w:cs="Calibri"/>
          <w:color w:val="000000" w:themeColor="text1"/>
          <w:sz w:val="24"/>
          <w:szCs w:val="24"/>
        </w:rPr>
        <w:t xml:space="preserve">however they have </w:t>
      </w:r>
      <w:r w:rsidR="000310C8" w:rsidRPr="00D11245">
        <w:rPr>
          <w:rFonts w:ascii="Calibri" w:hAnsi="Calibri" w:cs="Calibri"/>
          <w:color w:val="000000" w:themeColor="text1"/>
          <w:sz w:val="24"/>
          <w:szCs w:val="24"/>
        </w:rPr>
        <w:t>lower</w:t>
      </w:r>
      <w:r w:rsidR="00900B89" w:rsidRPr="00D11245">
        <w:rPr>
          <w:rFonts w:ascii="Calibri" w:hAnsi="Calibri" w:cs="Calibri"/>
          <w:color w:val="000000" w:themeColor="text1"/>
          <w:sz w:val="24"/>
          <w:szCs w:val="24"/>
        </w:rPr>
        <w:t xml:space="preserve"> sensitivity and specificity and cannot </w:t>
      </w:r>
      <w:r w:rsidRPr="00D11245">
        <w:rPr>
          <w:rFonts w:ascii="Calibri" w:hAnsi="Calibri" w:cs="Calibri"/>
          <w:color w:val="000000" w:themeColor="text1"/>
          <w:sz w:val="24"/>
          <w:szCs w:val="24"/>
        </w:rPr>
        <w:t xml:space="preserve">reliably differentiate </w:t>
      </w:r>
      <w:r w:rsidRPr="00D11245">
        <w:rPr>
          <w:rFonts w:ascii="Calibri" w:hAnsi="Calibri" w:cs="Calibri"/>
          <w:i/>
          <w:iCs/>
          <w:color w:val="000000" w:themeColor="text1"/>
          <w:sz w:val="24"/>
          <w:szCs w:val="24"/>
        </w:rPr>
        <w:t>Entamoeba</w:t>
      </w:r>
      <w:r w:rsidRPr="00D11245">
        <w:rPr>
          <w:rFonts w:ascii="Calibri" w:hAnsi="Calibri" w:cs="Calibri"/>
          <w:color w:val="000000" w:themeColor="text1"/>
          <w:sz w:val="24"/>
          <w:szCs w:val="24"/>
        </w:rPr>
        <w:t xml:space="preserve"> species</w:t>
      </w:r>
      <w:r w:rsidR="00900B89" w:rsidRPr="00D11245">
        <w:rPr>
          <w:rFonts w:ascii="Calibri" w:hAnsi="Calibri" w:cs="Calibri"/>
          <w:color w:val="000000" w:themeColor="text1"/>
          <w:sz w:val="24"/>
          <w:szCs w:val="24"/>
        </w:rPr>
        <w:t xml:space="preserve">. </w:t>
      </w:r>
    </w:p>
    <w:p w14:paraId="007BCA8C" w14:textId="566B2F1F" w:rsidR="00900B89" w:rsidRPr="00D11245" w:rsidRDefault="00A86591" w:rsidP="00C33A2A">
      <w:pPr>
        <w:jc w:val="both"/>
        <w:rPr>
          <w:rFonts w:ascii="Calibri" w:hAnsi="Calibri" w:cs="Calibri"/>
          <w:color w:val="000000" w:themeColor="text1"/>
          <w:sz w:val="24"/>
          <w:szCs w:val="24"/>
        </w:rPr>
      </w:pPr>
      <w:r w:rsidRPr="00D11245">
        <w:rPr>
          <w:rFonts w:ascii="Calibri" w:hAnsi="Calibri" w:cs="Calibri"/>
          <w:color w:val="000000" w:themeColor="text1"/>
          <w:sz w:val="24"/>
          <w:szCs w:val="24"/>
        </w:rPr>
        <w:t>A</w:t>
      </w:r>
      <w:r w:rsidR="00D61803" w:rsidRPr="00D11245">
        <w:rPr>
          <w:rFonts w:ascii="Calibri" w:hAnsi="Calibri" w:cs="Calibri"/>
          <w:color w:val="000000" w:themeColor="text1"/>
          <w:sz w:val="24"/>
          <w:szCs w:val="24"/>
        </w:rPr>
        <w:t>ntibody detection tests</w:t>
      </w:r>
      <w:r w:rsidR="00FE2C4F" w:rsidRPr="00D11245">
        <w:rPr>
          <w:rFonts w:ascii="Calibri" w:hAnsi="Calibri" w:cs="Calibri"/>
          <w:color w:val="000000" w:themeColor="text1"/>
          <w:sz w:val="24"/>
          <w:szCs w:val="24"/>
        </w:rPr>
        <w:t xml:space="preserve"> measure </w:t>
      </w:r>
      <w:r w:rsidRPr="00D11245">
        <w:rPr>
          <w:rFonts w:ascii="Calibri" w:hAnsi="Calibri" w:cs="Calibri"/>
          <w:color w:val="000000" w:themeColor="text1"/>
          <w:sz w:val="24"/>
          <w:szCs w:val="24"/>
        </w:rPr>
        <w:t xml:space="preserve">IgG </w:t>
      </w:r>
      <w:r w:rsidR="00FE2C4F" w:rsidRPr="00D11245">
        <w:rPr>
          <w:rFonts w:ascii="Calibri" w:hAnsi="Calibri" w:cs="Calibri"/>
          <w:color w:val="000000" w:themeColor="text1"/>
          <w:sz w:val="24"/>
          <w:szCs w:val="24"/>
        </w:rPr>
        <w:t>antibody levels in response to trophozoite antigen and</w:t>
      </w:r>
      <w:r w:rsidR="00D61803" w:rsidRPr="00D11245">
        <w:rPr>
          <w:rFonts w:ascii="Calibri" w:hAnsi="Calibri" w:cs="Calibri"/>
          <w:color w:val="000000" w:themeColor="text1"/>
          <w:sz w:val="24"/>
          <w:szCs w:val="24"/>
        </w:rPr>
        <w:t xml:space="preserve"> may yield positive results within </w:t>
      </w:r>
      <w:r w:rsidR="0013791B" w:rsidRPr="00D11245">
        <w:rPr>
          <w:rFonts w:ascii="Calibri" w:hAnsi="Calibri" w:cs="Calibri"/>
          <w:color w:val="000000" w:themeColor="text1"/>
          <w:sz w:val="24"/>
          <w:szCs w:val="24"/>
        </w:rPr>
        <w:t>7-14</w:t>
      </w:r>
      <w:r w:rsidR="00D61803" w:rsidRPr="00D11245">
        <w:rPr>
          <w:rFonts w:ascii="Calibri" w:hAnsi="Calibri" w:cs="Calibri"/>
          <w:color w:val="000000" w:themeColor="text1"/>
          <w:sz w:val="24"/>
          <w:szCs w:val="24"/>
        </w:rPr>
        <w:t xml:space="preserve"> days of </w:t>
      </w:r>
      <w:r w:rsidR="0013791B" w:rsidRPr="00D11245">
        <w:rPr>
          <w:rFonts w:ascii="Calibri" w:hAnsi="Calibri" w:cs="Calibri"/>
          <w:color w:val="000000" w:themeColor="text1"/>
          <w:sz w:val="24"/>
          <w:szCs w:val="24"/>
        </w:rPr>
        <w:t xml:space="preserve">symptom onset for both intestinal disease and </w:t>
      </w:r>
      <w:r w:rsidR="00B81A81" w:rsidRPr="00D11245">
        <w:rPr>
          <w:rFonts w:ascii="Calibri" w:hAnsi="Calibri" w:cs="Calibri"/>
          <w:color w:val="000000" w:themeColor="text1"/>
          <w:sz w:val="24"/>
          <w:szCs w:val="24"/>
        </w:rPr>
        <w:lastRenderedPageBreak/>
        <w:t xml:space="preserve">liver </w:t>
      </w:r>
      <w:r w:rsidR="0013791B" w:rsidRPr="00D11245">
        <w:rPr>
          <w:rFonts w:ascii="Calibri" w:hAnsi="Calibri" w:cs="Calibri"/>
          <w:color w:val="000000" w:themeColor="text1"/>
          <w:sz w:val="24"/>
          <w:szCs w:val="24"/>
        </w:rPr>
        <w:t>abscess</w:t>
      </w:r>
      <w:r w:rsidR="00FE2C4F" w:rsidRPr="00D11245">
        <w:rPr>
          <w:rFonts w:ascii="Calibri" w:hAnsi="Calibri" w:cs="Calibri"/>
          <w:color w:val="000000" w:themeColor="text1"/>
          <w:sz w:val="24"/>
          <w:szCs w:val="24"/>
        </w:rPr>
        <w:t xml:space="preserve">. </w:t>
      </w:r>
      <w:r w:rsidR="006717B1" w:rsidRPr="00D11245">
        <w:rPr>
          <w:rFonts w:ascii="Calibri" w:hAnsi="Calibri" w:cs="Calibri"/>
          <w:color w:val="000000" w:themeColor="text1"/>
          <w:sz w:val="24"/>
          <w:szCs w:val="24"/>
        </w:rPr>
        <w:t>V</w:t>
      </w:r>
      <w:r w:rsidR="00FE2C4F" w:rsidRPr="00D11245">
        <w:rPr>
          <w:rFonts w:ascii="Calibri" w:hAnsi="Calibri" w:cs="Calibri"/>
          <w:color w:val="000000" w:themeColor="text1"/>
          <w:sz w:val="24"/>
          <w:szCs w:val="24"/>
        </w:rPr>
        <w:t xml:space="preserve">arious </w:t>
      </w:r>
      <w:r w:rsidR="00D61803" w:rsidRPr="00D11245">
        <w:rPr>
          <w:rFonts w:ascii="Calibri" w:hAnsi="Calibri" w:cs="Calibri"/>
          <w:color w:val="000000" w:themeColor="text1"/>
          <w:sz w:val="24"/>
          <w:szCs w:val="24"/>
        </w:rPr>
        <w:t>methods</w:t>
      </w:r>
      <w:r w:rsidR="00EE4EB1" w:rsidRPr="00D11245">
        <w:rPr>
          <w:rFonts w:ascii="Calibri" w:hAnsi="Calibri" w:cs="Calibri"/>
          <w:color w:val="000000" w:themeColor="text1"/>
          <w:sz w:val="24"/>
          <w:szCs w:val="24"/>
        </w:rPr>
        <w:t xml:space="preserve"> </w:t>
      </w:r>
      <w:r w:rsidR="006717B1" w:rsidRPr="00D11245">
        <w:rPr>
          <w:rFonts w:ascii="Calibri" w:hAnsi="Calibri" w:cs="Calibri"/>
          <w:color w:val="000000" w:themeColor="text1"/>
          <w:sz w:val="24"/>
          <w:szCs w:val="24"/>
        </w:rPr>
        <w:t>are employed</w:t>
      </w:r>
      <w:r w:rsidR="00FE2C4F" w:rsidRPr="00D11245">
        <w:rPr>
          <w:rFonts w:ascii="Calibri" w:hAnsi="Calibri" w:cs="Calibri"/>
          <w:color w:val="000000" w:themeColor="text1"/>
          <w:sz w:val="24"/>
          <w:szCs w:val="24"/>
        </w:rPr>
        <w:t xml:space="preserve">, of which </w:t>
      </w:r>
      <w:r w:rsidR="00D61803" w:rsidRPr="00D11245">
        <w:rPr>
          <w:rFonts w:ascii="Calibri" w:hAnsi="Calibri" w:cs="Calibri"/>
          <w:color w:val="000000" w:themeColor="text1"/>
          <w:sz w:val="24"/>
          <w:szCs w:val="24"/>
        </w:rPr>
        <w:t>ELISA</w:t>
      </w:r>
      <w:r w:rsidR="00FE2C4F" w:rsidRPr="00D11245">
        <w:rPr>
          <w:rFonts w:ascii="Calibri" w:hAnsi="Calibri" w:cs="Calibri"/>
          <w:color w:val="000000" w:themeColor="text1"/>
          <w:sz w:val="24"/>
          <w:szCs w:val="24"/>
        </w:rPr>
        <w:t xml:space="preserve"> is most </w:t>
      </w:r>
      <w:r w:rsidR="006717B1" w:rsidRPr="00D11245">
        <w:rPr>
          <w:rFonts w:ascii="Calibri" w:hAnsi="Calibri" w:cs="Calibri"/>
          <w:color w:val="000000" w:themeColor="text1"/>
          <w:sz w:val="24"/>
          <w:szCs w:val="24"/>
        </w:rPr>
        <w:t>commonly available</w:t>
      </w:r>
      <w:r w:rsidR="00FE2C4F" w:rsidRPr="00D11245">
        <w:rPr>
          <w:rFonts w:ascii="Calibri" w:hAnsi="Calibri" w:cs="Calibri"/>
          <w:color w:val="000000" w:themeColor="text1"/>
          <w:sz w:val="24"/>
          <w:szCs w:val="24"/>
        </w:rPr>
        <w:t xml:space="preserve"> with sensitivity and specificity of over 95% </w:t>
      </w:r>
      <w:r w:rsidR="00DA5F42" w:rsidRPr="00D11245">
        <w:rPr>
          <w:rFonts w:ascii="Calibri" w:hAnsi="Calibri" w:cs="Calibri"/>
          <w:color w:val="000000" w:themeColor="text1"/>
          <w:sz w:val="24"/>
          <w:szCs w:val="24"/>
        </w:rPr>
        <w:t xml:space="preserve">for liver abscess </w:t>
      </w:r>
      <w:r w:rsidR="006717B1" w:rsidRPr="00D11245">
        <w:rPr>
          <w:rFonts w:ascii="Calibri" w:hAnsi="Calibri" w:cs="Calibri"/>
          <w:color w:val="000000" w:themeColor="text1"/>
          <w:sz w:val="24"/>
          <w:szCs w:val="24"/>
        </w:rPr>
        <w:t>and is useful in non-endemic regions where prior exposure is unlikely</w:t>
      </w:r>
      <w:r w:rsidR="00FE2C4F" w:rsidRPr="00D11245">
        <w:rPr>
          <w:rFonts w:ascii="Calibri" w:hAnsi="Calibri" w:cs="Calibri"/>
          <w:color w:val="000000" w:themeColor="text1"/>
          <w:sz w:val="24"/>
          <w:szCs w:val="24"/>
        </w:rPr>
        <w:t xml:space="preserve">. </w:t>
      </w:r>
      <w:r w:rsidR="00D03840" w:rsidRPr="00D11245">
        <w:rPr>
          <w:rFonts w:ascii="Calibri" w:hAnsi="Calibri" w:cs="Calibri"/>
          <w:color w:val="000000" w:themeColor="text1"/>
          <w:sz w:val="24"/>
          <w:szCs w:val="24"/>
        </w:rPr>
        <w:t>Where availabl</w:t>
      </w:r>
      <w:r w:rsidR="001761D2" w:rsidRPr="00D11245">
        <w:rPr>
          <w:rFonts w:ascii="Calibri" w:hAnsi="Calibri" w:cs="Calibri"/>
          <w:color w:val="000000" w:themeColor="text1"/>
          <w:sz w:val="24"/>
          <w:szCs w:val="24"/>
        </w:rPr>
        <w:t>e, t</w:t>
      </w:r>
      <w:r w:rsidR="00052D84" w:rsidRPr="00D11245">
        <w:rPr>
          <w:rFonts w:ascii="Calibri" w:hAnsi="Calibri" w:cs="Calibri"/>
          <w:color w:val="000000" w:themeColor="text1"/>
          <w:sz w:val="24"/>
          <w:szCs w:val="24"/>
        </w:rPr>
        <w:t xml:space="preserve">he amoebic fluorescent </w:t>
      </w:r>
      <w:r w:rsidR="00BF7415" w:rsidRPr="00D11245">
        <w:rPr>
          <w:rFonts w:ascii="Calibri" w:hAnsi="Calibri" w:cs="Calibri"/>
          <w:color w:val="000000" w:themeColor="text1"/>
          <w:sz w:val="24"/>
          <w:szCs w:val="24"/>
        </w:rPr>
        <w:t>antibody test (IFAT)</w:t>
      </w:r>
      <w:r w:rsidR="00D86F12" w:rsidRPr="00D11245">
        <w:rPr>
          <w:rFonts w:ascii="Calibri" w:hAnsi="Calibri" w:cs="Calibri"/>
          <w:color w:val="000000" w:themeColor="text1"/>
          <w:sz w:val="24"/>
          <w:szCs w:val="24"/>
        </w:rPr>
        <w:t xml:space="preserve"> with the cellulose </w:t>
      </w:r>
      <w:r w:rsidR="00B237AA" w:rsidRPr="00D11245">
        <w:rPr>
          <w:rFonts w:ascii="Calibri" w:hAnsi="Calibri" w:cs="Calibri"/>
          <w:color w:val="000000" w:themeColor="text1"/>
          <w:sz w:val="24"/>
          <w:szCs w:val="24"/>
        </w:rPr>
        <w:t>acetate precipitin test (CAP)</w:t>
      </w:r>
      <w:r w:rsidR="00D03840" w:rsidRPr="00D11245">
        <w:rPr>
          <w:rFonts w:ascii="Calibri" w:hAnsi="Calibri" w:cs="Calibri"/>
          <w:color w:val="000000" w:themeColor="text1"/>
          <w:sz w:val="24"/>
          <w:szCs w:val="24"/>
        </w:rPr>
        <w:t xml:space="preserve"> as a confirmatory assay</w:t>
      </w:r>
      <w:r w:rsidR="001761D2" w:rsidRPr="00D11245">
        <w:rPr>
          <w:rFonts w:ascii="Calibri" w:hAnsi="Calibri" w:cs="Calibri"/>
          <w:color w:val="000000" w:themeColor="text1"/>
          <w:sz w:val="24"/>
          <w:szCs w:val="24"/>
        </w:rPr>
        <w:t>,</w:t>
      </w:r>
      <w:r w:rsidR="00D03840" w:rsidRPr="00D11245">
        <w:rPr>
          <w:rFonts w:ascii="Calibri" w:hAnsi="Calibri" w:cs="Calibri"/>
          <w:color w:val="000000" w:themeColor="text1"/>
          <w:sz w:val="24"/>
          <w:szCs w:val="24"/>
        </w:rPr>
        <w:t xml:space="preserve"> is an alternative.</w:t>
      </w:r>
      <w:r w:rsidR="00B237AA" w:rsidRPr="00D11245">
        <w:rPr>
          <w:rFonts w:ascii="Calibri" w:hAnsi="Calibri" w:cs="Calibri"/>
          <w:color w:val="000000" w:themeColor="text1"/>
          <w:sz w:val="24"/>
          <w:szCs w:val="24"/>
        </w:rPr>
        <w:t xml:space="preserve"> </w:t>
      </w:r>
      <w:r w:rsidR="001761D2" w:rsidRPr="00D11245">
        <w:rPr>
          <w:rFonts w:ascii="Calibri" w:hAnsi="Calibri" w:cs="Calibri"/>
          <w:color w:val="000000" w:themeColor="text1"/>
          <w:sz w:val="24"/>
          <w:szCs w:val="24"/>
        </w:rPr>
        <w:t>I</w:t>
      </w:r>
      <w:r w:rsidR="00813C7E" w:rsidRPr="00D11245">
        <w:rPr>
          <w:rFonts w:ascii="Calibri" w:hAnsi="Calibri" w:cs="Calibri"/>
          <w:color w:val="000000" w:themeColor="text1"/>
          <w:sz w:val="24"/>
          <w:szCs w:val="24"/>
        </w:rPr>
        <w:t xml:space="preserve">mportantly for gastroenterology practice, </w:t>
      </w:r>
      <w:r w:rsidR="0041230A" w:rsidRPr="00D11245">
        <w:rPr>
          <w:rFonts w:ascii="Calibri" w:hAnsi="Calibri" w:cs="Calibri"/>
          <w:color w:val="000000" w:themeColor="text1"/>
          <w:sz w:val="24"/>
          <w:szCs w:val="24"/>
        </w:rPr>
        <w:t>sensitivity</w:t>
      </w:r>
      <w:r w:rsidR="001A6638" w:rsidRPr="00D11245">
        <w:rPr>
          <w:rFonts w:ascii="Calibri" w:hAnsi="Calibri" w:cs="Calibri"/>
          <w:color w:val="000000" w:themeColor="text1"/>
          <w:sz w:val="24"/>
          <w:szCs w:val="24"/>
        </w:rPr>
        <w:t xml:space="preserve"> of </w:t>
      </w:r>
      <w:r w:rsidR="00C4672F" w:rsidRPr="00D11245">
        <w:rPr>
          <w:rFonts w:ascii="Calibri" w:hAnsi="Calibri" w:cs="Calibri"/>
          <w:color w:val="000000" w:themeColor="text1"/>
          <w:sz w:val="24"/>
          <w:szCs w:val="24"/>
        </w:rPr>
        <w:t xml:space="preserve">antibody detection is only around 60% </w:t>
      </w:r>
      <w:r w:rsidR="003D1EB9" w:rsidRPr="00D11245">
        <w:rPr>
          <w:rFonts w:ascii="Calibri" w:hAnsi="Calibri" w:cs="Calibri"/>
          <w:color w:val="000000" w:themeColor="text1"/>
          <w:sz w:val="24"/>
          <w:szCs w:val="24"/>
        </w:rPr>
        <w:t>in invasive intestinal amoebiasis. Amoebic serology</w:t>
      </w:r>
      <w:r w:rsidR="00EE4EB1" w:rsidRPr="00D11245">
        <w:rPr>
          <w:rFonts w:ascii="Calibri" w:hAnsi="Calibri" w:cs="Calibri"/>
          <w:color w:val="000000" w:themeColor="text1"/>
          <w:sz w:val="24"/>
          <w:szCs w:val="24"/>
        </w:rPr>
        <w:t xml:space="preserve"> can remain positive for several years after infection</w:t>
      </w:r>
      <w:r w:rsidR="00F441DC" w:rsidRPr="00D11245">
        <w:rPr>
          <w:rFonts w:ascii="Calibri" w:hAnsi="Calibri" w:cs="Calibri"/>
          <w:color w:val="000000" w:themeColor="text1"/>
          <w:sz w:val="24"/>
          <w:szCs w:val="24"/>
        </w:rPr>
        <w:t xml:space="preserve"> </w:t>
      </w:r>
      <w:r w:rsidR="006717B1" w:rsidRPr="00D11245">
        <w:rPr>
          <w:rFonts w:ascii="Calibri" w:hAnsi="Calibri" w:cs="Calibri"/>
          <w:color w:val="000000" w:themeColor="text1"/>
          <w:sz w:val="24"/>
          <w:szCs w:val="24"/>
        </w:rPr>
        <w:t xml:space="preserve">and thus </w:t>
      </w:r>
      <w:r w:rsidR="003566D7" w:rsidRPr="00D11245">
        <w:rPr>
          <w:rFonts w:ascii="Calibri" w:hAnsi="Calibri" w:cs="Calibri"/>
          <w:color w:val="000000" w:themeColor="text1"/>
          <w:sz w:val="24"/>
          <w:szCs w:val="24"/>
        </w:rPr>
        <w:t xml:space="preserve">is </w:t>
      </w:r>
      <w:r w:rsidR="006717B1" w:rsidRPr="00D11245">
        <w:rPr>
          <w:rFonts w:ascii="Calibri" w:hAnsi="Calibri" w:cs="Calibri"/>
          <w:color w:val="000000" w:themeColor="text1"/>
          <w:sz w:val="24"/>
          <w:szCs w:val="24"/>
        </w:rPr>
        <w:t xml:space="preserve">not suitable for use in endemic regions. </w:t>
      </w:r>
      <w:r w:rsidR="0013791B" w:rsidRPr="00D11245">
        <w:rPr>
          <w:rFonts w:ascii="Calibri" w:hAnsi="Calibri" w:cs="Calibri"/>
          <w:color w:val="000000" w:themeColor="text1"/>
          <w:sz w:val="24"/>
          <w:szCs w:val="24"/>
        </w:rPr>
        <w:t xml:space="preserve">Microscopy of liver abscess pus is unhelpful, showing cellular </w:t>
      </w:r>
      <w:r w:rsidR="00077428" w:rsidRPr="00D11245">
        <w:rPr>
          <w:rFonts w:ascii="Calibri" w:hAnsi="Calibri" w:cs="Calibri"/>
          <w:color w:val="000000" w:themeColor="text1"/>
          <w:sz w:val="24"/>
          <w:szCs w:val="24"/>
        </w:rPr>
        <w:t>debris, and</w:t>
      </w:r>
      <w:r w:rsidR="00565D5C" w:rsidRPr="00D11245">
        <w:rPr>
          <w:rFonts w:ascii="Calibri" w:hAnsi="Calibri" w:cs="Calibri"/>
          <w:color w:val="000000" w:themeColor="text1"/>
          <w:sz w:val="24"/>
          <w:szCs w:val="24"/>
        </w:rPr>
        <w:t xml:space="preserve"> </w:t>
      </w:r>
      <w:r w:rsidR="00077428" w:rsidRPr="00D11245">
        <w:rPr>
          <w:rFonts w:ascii="Calibri" w:hAnsi="Calibri" w:cs="Calibri"/>
          <w:color w:val="000000" w:themeColor="text1"/>
          <w:sz w:val="24"/>
          <w:szCs w:val="24"/>
        </w:rPr>
        <w:t xml:space="preserve">it is not a sensitive method for diagnosis since </w:t>
      </w:r>
      <w:r w:rsidR="0013791B" w:rsidRPr="00D11245">
        <w:rPr>
          <w:rFonts w:ascii="Calibri" w:hAnsi="Calibri" w:cs="Calibri"/>
          <w:color w:val="000000" w:themeColor="text1"/>
          <w:sz w:val="24"/>
          <w:szCs w:val="24"/>
        </w:rPr>
        <w:t xml:space="preserve">trophozoites </w:t>
      </w:r>
      <w:r w:rsidR="00565D5C" w:rsidRPr="00D11245">
        <w:rPr>
          <w:rFonts w:ascii="Calibri" w:hAnsi="Calibri" w:cs="Calibri"/>
          <w:color w:val="000000" w:themeColor="text1"/>
          <w:sz w:val="24"/>
          <w:szCs w:val="24"/>
        </w:rPr>
        <w:t xml:space="preserve">are </w:t>
      </w:r>
      <w:r w:rsidR="0013791B" w:rsidRPr="00D11245">
        <w:rPr>
          <w:rFonts w:ascii="Calibri" w:hAnsi="Calibri" w:cs="Calibri"/>
          <w:color w:val="000000" w:themeColor="text1"/>
          <w:sz w:val="24"/>
          <w:szCs w:val="24"/>
        </w:rPr>
        <w:t>seen</w:t>
      </w:r>
      <w:r w:rsidR="004545ED" w:rsidRPr="00D11245">
        <w:rPr>
          <w:rFonts w:ascii="Calibri" w:hAnsi="Calibri" w:cs="Calibri"/>
          <w:color w:val="000000" w:themeColor="text1"/>
          <w:sz w:val="24"/>
          <w:szCs w:val="24"/>
        </w:rPr>
        <w:t xml:space="preserve"> in less than</w:t>
      </w:r>
      <w:r w:rsidR="00234540" w:rsidRPr="00D11245">
        <w:rPr>
          <w:rFonts w:ascii="Calibri" w:hAnsi="Calibri" w:cs="Calibri"/>
          <w:color w:val="000000" w:themeColor="text1"/>
          <w:sz w:val="24"/>
          <w:szCs w:val="24"/>
        </w:rPr>
        <w:t xml:space="preserve"> </w:t>
      </w:r>
      <w:r w:rsidR="0013791B" w:rsidRPr="00D11245">
        <w:rPr>
          <w:rFonts w:ascii="Calibri" w:hAnsi="Calibri" w:cs="Calibri"/>
          <w:color w:val="000000" w:themeColor="text1"/>
          <w:sz w:val="24"/>
          <w:szCs w:val="24"/>
        </w:rPr>
        <w:t>20% of cases</w:t>
      </w:r>
      <w:r w:rsidR="00077428" w:rsidRPr="00D11245">
        <w:rPr>
          <w:rFonts w:ascii="Calibri" w:hAnsi="Calibri" w:cs="Calibri"/>
          <w:color w:val="000000" w:themeColor="text1"/>
          <w:sz w:val="24"/>
          <w:szCs w:val="24"/>
        </w:rPr>
        <w:t>.</w:t>
      </w:r>
      <w:r w:rsidR="0013791B" w:rsidRPr="00D11245">
        <w:rPr>
          <w:rFonts w:ascii="Calibri" w:hAnsi="Calibri" w:cs="Calibri"/>
          <w:color w:val="000000" w:themeColor="text1"/>
          <w:sz w:val="24"/>
          <w:szCs w:val="24"/>
        </w:rPr>
        <w:t xml:space="preserve"> Molecular techniques such as PCR can </w:t>
      </w:r>
      <w:r w:rsidR="00077428" w:rsidRPr="00D11245">
        <w:rPr>
          <w:rFonts w:ascii="Calibri" w:hAnsi="Calibri" w:cs="Calibri"/>
          <w:color w:val="000000" w:themeColor="text1"/>
          <w:sz w:val="24"/>
          <w:szCs w:val="24"/>
        </w:rPr>
        <w:t xml:space="preserve">also </w:t>
      </w:r>
      <w:r w:rsidR="0013791B" w:rsidRPr="00D11245">
        <w:rPr>
          <w:rFonts w:ascii="Calibri" w:hAnsi="Calibri" w:cs="Calibri"/>
          <w:color w:val="000000" w:themeColor="text1"/>
          <w:sz w:val="24"/>
          <w:szCs w:val="24"/>
        </w:rPr>
        <w:t>be performed on a</w:t>
      </w:r>
      <w:r w:rsidR="004545ED" w:rsidRPr="00D11245">
        <w:rPr>
          <w:rFonts w:ascii="Calibri" w:hAnsi="Calibri" w:cs="Calibri"/>
          <w:color w:val="000000" w:themeColor="text1"/>
          <w:sz w:val="24"/>
          <w:szCs w:val="24"/>
        </w:rPr>
        <w:t>spirated</w:t>
      </w:r>
      <w:r w:rsidR="0013791B" w:rsidRPr="00D11245">
        <w:rPr>
          <w:rFonts w:ascii="Calibri" w:hAnsi="Calibri" w:cs="Calibri"/>
          <w:color w:val="000000" w:themeColor="text1"/>
          <w:sz w:val="24"/>
          <w:szCs w:val="24"/>
        </w:rPr>
        <w:t xml:space="preserve"> pus</w:t>
      </w:r>
      <w:r w:rsidR="00701024" w:rsidRPr="00D11245">
        <w:rPr>
          <w:rFonts w:ascii="Calibri" w:hAnsi="Calibri" w:cs="Calibri"/>
          <w:color w:val="000000" w:themeColor="text1"/>
          <w:sz w:val="24"/>
          <w:szCs w:val="24"/>
        </w:rPr>
        <w:t>.</w:t>
      </w:r>
    </w:p>
    <w:p w14:paraId="6E73C123" w14:textId="234DB135" w:rsidR="00F97D1C" w:rsidRPr="00D11245" w:rsidRDefault="00F97D1C" w:rsidP="00120561">
      <w:pPr>
        <w:jc w:val="both"/>
        <w:rPr>
          <w:rFonts w:ascii="Calibri" w:hAnsi="Calibri" w:cs="Calibri"/>
          <w:color w:val="000000" w:themeColor="text1"/>
        </w:rPr>
      </w:pPr>
      <w:r w:rsidRPr="00D11245">
        <w:rPr>
          <w:rFonts w:ascii="Calibri" w:hAnsi="Calibri" w:cs="Calibri"/>
          <w:color w:val="000000" w:themeColor="text1"/>
        </w:rPr>
        <w:t xml:space="preserve">It is </w:t>
      </w:r>
      <w:r w:rsidR="001173C2" w:rsidRPr="00D11245">
        <w:rPr>
          <w:rFonts w:ascii="Calibri" w:hAnsi="Calibri" w:cs="Calibri"/>
          <w:color w:val="000000" w:themeColor="text1"/>
        </w:rPr>
        <w:t>very important</w:t>
      </w:r>
      <w:r w:rsidRPr="00D11245">
        <w:rPr>
          <w:rFonts w:ascii="Calibri" w:hAnsi="Calibri" w:cs="Calibri"/>
          <w:color w:val="000000" w:themeColor="text1"/>
        </w:rPr>
        <w:t xml:space="preserve"> to rule out </w:t>
      </w:r>
      <w:r w:rsidRPr="00D11245">
        <w:rPr>
          <w:rFonts w:ascii="Calibri" w:hAnsi="Calibri" w:cs="Calibri"/>
          <w:i/>
          <w:iCs/>
          <w:color w:val="000000" w:themeColor="text1"/>
        </w:rPr>
        <w:t>E. histolytica</w:t>
      </w:r>
      <w:r w:rsidRPr="00D11245">
        <w:rPr>
          <w:rFonts w:ascii="Calibri" w:hAnsi="Calibri" w:cs="Calibri"/>
          <w:color w:val="000000" w:themeColor="text1"/>
        </w:rPr>
        <w:t xml:space="preserve"> infection in all patients with a new or suspected diagnosis of IBD prior to starting immunosuppressi</w:t>
      </w:r>
      <w:r w:rsidR="00120561" w:rsidRPr="00D11245">
        <w:rPr>
          <w:rFonts w:ascii="Calibri" w:hAnsi="Calibri" w:cs="Calibri"/>
          <w:color w:val="000000" w:themeColor="text1"/>
        </w:rPr>
        <w:t>ve therapies</w:t>
      </w:r>
      <w:r w:rsidRPr="00D11245">
        <w:rPr>
          <w:rFonts w:ascii="Calibri" w:hAnsi="Calibri" w:cs="Calibri"/>
          <w:color w:val="000000" w:themeColor="text1"/>
        </w:rPr>
        <w:t xml:space="preserve">. </w:t>
      </w:r>
      <w:r w:rsidR="00F32B49" w:rsidRPr="00D11245">
        <w:rPr>
          <w:rFonts w:ascii="Calibri" w:hAnsi="Calibri" w:cs="Calibri"/>
          <w:color w:val="000000" w:themeColor="text1"/>
        </w:rPr>
        <w:t xml:space="preserve">Where immunosuppression for IBD has to commence urgently and cannot be delayed, testing of a stool by amoebic PCR should be prioritised and treatment reviewed in the light of the result. </w:t>
      </w:r>
      <w:r w:rsidRPr="00D11245">
        <w:rPr>
          <w:rFonts w:ascii="Calibri" w:hAnsi="Calibri" w:cs="Calibri"/>
          <w:color w:val="000000" w:themeColor="text1"/>
        </w:rPr>
        <w:t xml:space="preserve">The most reliable diagnostic test to rule out active infection is to test a single stool for </w:t>
      </w:r>
      <w:r w:rsidRPr="00D11245">
        <w:rPr>
          <w:rFonts w:ascii="Calibri" w:hAnsi="Calibri" w:cs="Calibri"/>
          <w:i/>
          <w:iCs/>
          <w:color w:val="000000" w:themeColor="text1"/>
        </w:rPr>
        <w:t>E. histolytica</w:t>
      </w:r>
      <w:r w:rsidRPr="00D11245">
        <w:rPr>
          <w:rFonts w:ascii="Calibri" w:hAnsi="Calibri" w:cs="Calibri"/>
          <w:color w:val="000000" w:themeColor="text1"/>
        </w:rPr>
        <w:t xml:space="preserve"> using PCR</w:t>
      </w:r>
      <w:r w:rsidR="00801EBC" w:rsidRPr="00D11245">
        <w:rPr>
          <w:rFonts w:ascii="Calibri" w:hAnsi="Calibri" w:cs="Calibri"/>
          <w:color w:val="000000" w:themeColor="text1"/>
        </w:rPr>
        <w:t>,</w:t>
      </w:r>
      <w:r w:rsidRPr="00D11245">
        <w:rPr>
          <w:color w:val="000000" w:themeColor="text1"/>
        </w:rPr>
        <w:t xml:space="preserve"> </w:t>
      </w:r>
      <w:r w:rsidRPr="00D11245">
        <w:rPr>
          <w:rFonts w:ascii="Calibri" w:hAnsi="Calibri" w:cs="Calibri"/>
          <w:color w:val="000000" w:themeColor="text1"/>
        </w:rPr>
        <w:t>either as a standalone test or in a pan</w:t>
      </w:r>
      <w:r w:rsidR="00120561" w:rsidRPr="00D11245">
        <w:rPr>
          <w:rFonts w:ascii="Calibri" w:hAnsi="Calibri" w:cs="Calibri"/>
          <w:color w:val="000000" w:themeColor="text1"/>
        </w:rPr>
        <w:t>-</w:t>
      </w:r>
      <w:r w:rsidRPr="00D11245">
        <w:rPr>
          <w:rFonts w:ascii="Calibri" w:hAnsi="Calibri" w:cs="Calibri"/>
          <w:color w:val="000000" w:themeColor="text1"/>
        </w:rPr>
        <w:t>enteric panel.</w:t>
      </w:r>
      <w:r w:rsidR="00D63C2D" w:rsidRPr="00D11245">
        <w:rPr>
          <w:rFonts w:ascii="Calibri" w:hAnsi="Calibri" w:cs="Calibri"/>
          <w:color w:val="000000" w:themeColor="text1"/>
        </w:rPr>
        <w:t xml:space="preserve">  </w:t>
      </w:r>
      <w:r w:rsidR="00D63C2D" w:rsidRPr="00D11245">
        <w:rPr>
          <w:color w:val="000000" w:themeColor="text1"/>
        </w:rPr>
        <w:t>Furthermore, a careful travel history should be obtained, since development of disease may post-date initial infection by years.</w:t>
      </w:r>
      <w:r w:rsidRPr="00D11245">
        <w:rPr>
          <w:rFonts w:ascii="Calibri" w:hAnsi="Calibri" w:cs="Calibri"/>
          <w:color w:val="000000" w:themeColor="text1"/>
        </w:rPr>
        <w:t xml:space="preserve"> </w:t>
      </w:r>
      <w:r w:rsidR="00D63C2D" w:rsidRPr="00D11245">
        <w:rPr>
          <w:rFonts w:ascii="Calibri" w:hAnsi="Calibri" w:cs="Calibri"/>
          <w:color w:val="000000" w:themeColor="text1"/>
        </w:rPr>
        <w:t>Additional</w:t>
      </w:r>
      <w:r w:rsidRPr="00D11245">
        <w:rPr>
          <w:rFonts w:ascii="Calibri" w:hAnsi="Calibri" w:cs="Calibri"/>
          <w:color w:val="000000" w:themeColor="text1"/>
        </w:rPr>
        <w:t xml:space="preserve"> confirmation of the diagnosis can be done by examining the histology of intestinal biopsies (see section on Histopathology) in cases where PCR is not available.</w:t>
      </w:r>
      <w:r w:rsidR="00D63C2D" w:rsidRPr="00D11245">
        <w:rPr>
          <w:rFonts w:ascii="Calibri" w:hAnsi="Calibri" w:cs="Calibri"/>
          <w:color w:val="000000" w:themeColor="text1"/>
        </w:rPr>
        <w:t xml:space="preserve"> </w:t>
      </w:r>
    </w:p>
    <w:p w14:paraId="377E5512" w14:textId="296E82D5" w:rsidR="006220DE" w:rsidRPr="00D11245" w:rsidRDefault="00F97D1C" w:rsidP="00C33A2A">
      <w:pPr>
        <w:jc w:val="both"/>
        <w:rPr>
          <w:rFonts w:ascii="Calibri" w:hAnsi="Calibri" w:cs="Calibri"/>
          <w:color w:val="000000" w:themeColor="text1"/>
        </w:rPr>
        <w:sectPr w:rsidR="006220DE" w:rsidRPr="00D11245" w:rsidSect="00634883">
          <w:pgSz w:w="11906" w:h="16838"/>
          <w:pgMar w:top="1440" w:right="1440" w:bottom="1440" w:left="1440" w:header="708" w:footer="708" w:gutter="0"/>
          <w:cols w:space="708"/>
          <w:docGrid w:linePitch="360"/>
        </w:sectPr>
      </w:pPr>
      <w:r w:rsidRPr="00D11245">
        <w:rPr>
          <w:rFonts w:ascii="Calibri" w:hAnsi="Calibri" w:cs="Calibri"/>
          <w:color w:val="000000" w:themeColor="text1"/>
        </w:rPr>
        <w:t xml:space="preserve">Where available, a full exposure history (travel, sexual contact, clinical reason to suspect amoebic colitis or new diagnosis of IBD) should be provided with the faecal sample, which may otherwise risk rejection by the laboratory, and contact with the microbiology team is recommended to arrange a ‘hot stool’ examination if there is a strong index of suspicion. </w:t>
      </w:r>
      <w:r w:rsidR="006220DE" w:rsidRPr="00D11245">
        <w:rPr>
          <w:rFonts w:ascii="Calibri" w:hAnsi="Calibri" w:cs="Calibri"/>
          <w:color w:val="000000" w:themeColor="text1"/>
        </w:rPr>
        <w:br w:type="page"/>
      </w:r>
    </w:p>
    <w:p w14:paraId="0F566AA0" w14:textId="77777777" w:rsidR="003F7258" w:rsidRPr="00D11245" w:rsidRDefault="003F7258" w:rsidP="00C33A2A">
      <w:pPr>
        <w:jc w:val="both"/>
        <w:rPr>
          <w:rFonts w:ascii="Calibri" w:hAnsi="Calibri" w:cs="Calibri"/>
          <w:color w:val="000000" w:themeColor="text1"/>
        </w:rPr>
      </w:pPr>
    </w:p>
    <w:tbl>
      <w:tblPr>
        <w:tblStyle w:val="TableGrid"/>
        <w:tblpPr w:leftFromText="180" w:rightFromText="180" w:vertAnchor="text" w:horzAnchor="margin" w:tblpY="126"/>
        <w:tblW w:w="5068" w:type="pct"/>
        <w:tblLook w:val="04A0" w:firstRow="1" w:lastRow="0" w:firstColumn="1" w:lastColumn="0" w:noHBand="0" w:noVBand="1"/>
      </w:tblPr>
      <w:tblGrid>
        <w:gridCol w:w="1612"/>
        <w:gridCol w:w="1608"/>
        <w:gridCol w:w="2757"/>
        <w:gridCol w:w="1400"/>
        <w:gridCol w:w="1482"/>
        <w:gridCol w:w="2794"/>
        <w:gridCol w:w="2485"/>
      </w:tblGrid>
      <w:tr w:rsidR="00D11245" w:rsidRPr="00D11245" w14:paraId="57846162" w14:textId="77777777" w:rsidTr="004C2AFC">
        <w:tc>
          <w:tcPr>
            <w:tcW w:w="5000" w:type="pct"/>
            <w:gridSpan w:val="7"/>
            <w:shd w:val="clear" w:color="auto" w:fill="BDD6EE" w:themeFill="accent5" w:themeFillTint="66"/>
          </w:tcPr>
          <w:p w14:paraId="701E5A8A" w14:textId="25114F89" w:rsidR="006220DE" w:rsidRPr="00D11245" w:rsidRDefault="003C1D42" w:rsidP="00B57622">
            <w:pPr>
              <w:rPr>
                <w:rFonts w:ascii="Calibri" w:hAnsi="Calibri" w:cs="Calibri"/>
                <w:b/>
                <w:bCs/>
                <w:color w:val="000000" w:themeColor="text1"/>
              </w:rPr>
            </w:pPr>
            <w:r w:rsidRPr="00D11245">
              <w:rPr>
                <w:rFonts w:ascii="Calibri" w:hAnsi="Calibri" w:cs="Calibri"/>
                <w:b/>
                <w:bCs/>
                <w:color w:val="000000" w:themeColor="text1"/>
              </w:rPr>
              <w:t xml:space="preserve">Table 3: </w:t>
            </w:r>
            <w:r w:rsidR="006220DE" w:rsidRPr="00D11245">
              <w:rPr>
                <w:rFonts w:ascii="Calibri" w:hAnsi="Calibri" w:cs="Calibri"/>
                <w:b/>
                <w:bCs/>
                <w:color w:val="000000" w:themeColor="text1"/>
              </w:rPr>
              <w:t xml:space="preserve">Laboratory Testing for </w:t>
            </w:r>
            <w:r w:rsidR="006220DE" w:rsidRPr="00D11245">
              <w:rPr>
                <w:rFonts w:ascii="Calibri" w:hAnsi="Calibri" w:cs="Calibri"/>
                <w:b/>
                <w:bCs/>
                <w:i/>
                <w:iCs/>
                <w:color w:val="000000" w:themeColor="text1"/>
              </w:rPr>
              <w:t>E. histolytica</w:t>
            </w:r>
            <w:r w:rsidR="006220DE" w:rsidRPr="00D11245">
              <w:rPr>
                <w:rFonts w:ascii="Calibri" w:hAnsi="Calibri" w:cs="Calibri"/>
                <w:b/>
                <w:bCs/>
                <w:color w:val="000000" w:themeColor="text1"/>
              </w:rPr>
              <w:t xml:space="preserve"> </w:t>
            </w:r>
          </w:p>
        </w:tc>
      </w:tr>
      <w:tr w:rsidR="00D11245" w:rsidRPr="00D11245" w14:paraId="5E3D2CB7" w14:textId="77777777" w:rsidTr="00D064E6">
        <w:tc>
          <w:tcPr>
            <w:tcW w:w="570" w:type="pct"/>
            <w:shd w:val="clear" w:color="auto" w:fill="BDD6EE" w:themeFill="accent5" w:themeFillTint="66"/>
          </w:tcPr>
          <w:p w14:paraId="0C98D32F" w14:textId="77777777" w:rsidR="006220DE" w:rsidRPr="00D11245" w:rsidRDefault="006220DE" w:rsidP="00B57622">
            <w:pPr>
              <w:rPr>
                <w:rFonts w:ascii="Calibri" w:hAnsi="Calibri" w:cs="Calibri"/>
                <w:color w:val="000000" w:themeColor="text1"/>
              </w:rPr>
            </w:pPr>
          </w:p>
        </w:tc>
        <w:tc>
          <w:tcPr>
            <w:tcW w:w="569" w:type="pct"/>
            <w:shd w:val="clear" w:color="auto" w:fill="BDD6EE" w:themeFill="accent5" w:themeFillTint="66"/>
          </w:tcPr>
          <w:p w14:paraId="5DEA58BC" w14:textId="77777777" w:rsidR="006220DE" w:rsidRPr="00D11245" w:rsidRDefault="006220DE" w:rsidP="00B57622">
            <w:pPr>
              <w:rPr>
                <w:rFonts w:ascii="Calibri" w:hAnsi="Calibri" w:cs="Calibri"/>
                <w:b/>
                <w:bCs/>
                <w:color w:val="000000" w:themeColor="text1"/>
              </w:rPr>
            </w:pPr>
            <w:r w:rsidRPr="00D11245">
              <w:rPr>
                <w:rFonts w:ascii="Calibri" w:hAnsi="Calibri" w:cs="Calibri"/>
                <w:b/>
                <w:bCs/>
                <w:color w:val="000000" w:themeColor="text1"/>
              </w:rPr>
              <w:t>Specimen</w:t>
            </w:r>
          </w:p>
        </w:tc>
        <w:tc>
          <w:tcPr>
            <w:tcW w:w="975" w:type="pct"/>
            <w:shd w:val="clear" w:color="auto" w:fill="BDD6EE" w:themeFill="accent5" w:themeFillTint="66"/>
          </w:tcPr>
          <w:p w14:paraId="025B1A03" w14:textId="77777777" w:rsidR="006220DE" w:rsidRPr="00D11245" w:rsidRDefault="006220DE" w:rsidP="00B57622">
            <w:pPr>
              <w:rPr>
                <w:rFonts w:ascii="Calibri" w:hAnsi="Calibri" w:cs="Calibri"/>
                <w:b/>
                <w:bCs/>
                <w:color w:val="000000" w:themeColor="text1"/>
              </w:rPr>
            </w:pPr>
            <w:r w:rsidRPr="00D11245">
              <w:rPr>
                <w:rFonts w:ascii="Calibri" w:hAnsi="Calibri" w:cs="Calibri"/>
                <w:b/>
                <w:bCs/>
                <w:color w:val="000000" w:themeColor="text1"/>
              </w:rPr>
              <w:t>Details</w:t>
            </w:r>
          </w:p>
        </w:tc>
        <w:tc>
          <w:tcPr>
            <w:tcW w:w="495" w:type="pct"/>
            <w:shd w:val="clear" w:color="auto" w:fill="BDD6EE" w:themeFill="accent5" w:themeFillTint="66"/>
          </w:tcPr>
          <w:p w14:paraId="068ED92B" w14:textId="583D1225" w:rsidR="006220DE" w:rsidRPr="00D11245" w:rsidRDefault="006220DE" w:rsidP="00B57622">
            <w:pPr>
              <w:rPr>
                <w:rFonts w:ascii="Calibri" w:hAnsi="Calibri" w:cs="Calibri"/>
                <w:b/>
                <w:bCs/>
                <w:color w:val="000000" w:themeColor="text1"/>
              </w:rPr>
            </w:pPr>
            <w:r w:rsidRPr="00D11245">
              <w:rPr>
                <w:rFonts w:ascii="Calibri" w:hAnsi="Calibri" w:cs="Calibri"/>
                <w:b/>
                <w:bCs/>
                <w:color w:val="000000" w:themeColor="text1"/>
              </w:rPr>
              <w:t>Sensitivity</w:t>
            </w:r>
          </w:p>
        </w:tc>
        <w:tc>
          <w:tcPr>
            <w:tcW w:w="524" w:type="pct"/>
            <w:shd w:val="clear" w:color="auto" w:fill="BDD6EE" w:themeFill="accent5" w:themeFillTint="66"/>
          </w:tcPr>
          <w:p w14:paraId="735AE49A" w14:textId="21CFF062" w:rsidR="006220DE" w:rsidRPr="00D11245" w:rsidRDefault="006220DE" w:rsidP="00B57622">
            <w:pPr>
              <w:rPr>
                <w:rFonts w:ascii="Calibri" w:hAnsi="Calibri" w:cs="Calibri"/>
                <w:b/>
                <w:bCs/>
                <w:color w:val="000000" w:themeColor="text1"/>
              </w:rPr>
            </w:pPr>
            <w:r w:rsidRPr="00D11245">
              <w:rPr>
                <w:rFonts w:ascii="Calibri" w:hAnsi="Calibri" w:cs="Calibri"/>
                <w:b/>
                <w:bCs/>
                <w:color w:val="000000" w:themeColor="text1"/>
              </w:rPr>
              <w:t>Specificity</w:t>
            </w:r>
          </w:p>
        </w:tc>
        <w:tc>
          <w:tcPr>
            <w:tcW w:w="988" w:type="pct"/>
            <w:shd w:val="clear" w:color="auto" w:fill="BDD6EE" w:themeFill="accent5" w:themeFillTint="66"/>
          </w:tcPr>
          <w:p w14:paraId="7C01A646" w14:textId="1189ED22" w:rsidR="006220DE" w:rsidRPr="00D11245" w:rsidRDefault="006220DE" w:rsidP="00B57622">
            <w:pPr>
              <w:rPr>
                <w:rFonts w:ascii="Calibri" w:hAnsi="Calibri" w:cs="Calibri"/>
                <w:b/>
                <w:bCs/>
                <w:color w:val="000000" w:themeColor="text1"/>
              </w:rPr>
            </w:pPr>
            <w:r w:rsidRPr="00D11245">
              <w:rPr>
                <w:rFonts w:ascii="Calibri" w:hAnsi="Calibri" w:cs="Calibri"/>
                <w:b/>
                <w:bCs/>
                <w:color w:val="000000" w:themeColor="text1"/>
              </w:rPr>
              <w:t>Pros</w:t>
            </w:r>
          </w:p>
        </w:tc>
        <w:tc>
          <w:tcPr>
            <w:tcW w:w="879" w:type="pct"/>
            <w:shd w:val="clear" w:color="auto" w:fill="BDD6EE" w:themeFill="accent5" w:themeFillTint="66"/>
          </w:tcPr>
          <w:p w14:paraId="6654CCAE" w14:textId="77777777" w:rsidR="006220DE" w:rsidRPr="00D11245" w:rsidRDefault="006220DE" w:rsidP="00B57622">
            <w:pPr>
              <w:rPr>
                <w:rFonts w:ascii="Calibri" w:hAnsi="Calibri" w:cs="Calibri"/>
                <w:b/>
                <w:bCs/>
                <w:color w:val="000000" w:themeColor="text1"/>
              </w:rPr>
            </w:pPr>
            <w:r w:rsidRPr="00D11245">
              <w:rPr>
                <w:rFonts w:ascii="Calibri" w:hAnsi="Calibri" w:cs="Calibri"/>
                <w:b/>
                <w:bCs/>
                <w:color w:val="000000" w:themeColor="text1"/>
              </w:rPr>
              <w:t>Cons</w:t>
            </w:r>
          </w:p>
        </w:tc>
      </w:tr>
      <w:tr w:rsidR="00D11245" w:rsidRPr="00D11245" w14:paraId="4AE5945F" w14:textId="77777777" w:rsidTr="00D064E6">
        <w:tc>
          <w:tcPr>
            <w:tcW w:w="570" w:type="pct"/>
            <w:shd w:val="clear" w:color="auto" w:fill="DEEAF6" w:themeFill="accent5" w:themeFillTint="33"/>
          </w:tcPr>
          <w:p w14:paraId="6BE94BD5" w14:textId="77777777" w:rsidR="006220DE" w:rsidRPr="00D11245" w:rsidRDefault="006220DE" w:rsidP="00B57622">
            <w:pPr>
              <w:rPr>
                <w:rFonts w:ascii="Calibri" w:hAnsi="Calibri" w:cs="Calibri"/>
                <w:b/>
                <w:bCs/>
                <w:color w:val="000000" w:themeColor="text1"/>
              </w:rPr>
            </w:pPr>
            <w:r w:rsidRPr="00D11245">
              <w:rPr>
                <w:rFonts w:ascii="Calibri" w:hAnsi="Calibri" w:cs="Calibri"/>
                <w:b/>
                <w:bCs/>
                <w:color w:val="000000" w:themeColor="text1"/>
              </w:rPr>
              <w:t>Light Microscopy</w:t>
            </w:r>
          </w:p>
        </w:tc>
        <w:tc>
          <w:tcPr>
            <w:tcW w:w="569" w:type="pct"/>
          </w:tcPr>
          <w:p w14:paraId="700F2509" w14:textId="77777777" w:rsidR="006220DE" w:rsidRPr="00D11245" w:rsidRDefault="006220DE" w:rsidP="004C2AFC">
            <w:pPr>
              <w:rPr>
                <w:rFonts w:ascii="Calibri" w:hAnsi="Calibri" w:cs="Calibri"/>
                <w:color w:val="000000" w:themeColor="text1"/>
              </w:rPr>
            </w:pPr>
            <w:r w:rsidRPr="00D11245">
              <w:rPr>
                <w:rFonts w:ascii="Calibri" w:hAnsi="Calibri" w:cs="Calibri"/>
                <w:color w:val="000000" w:themeColor="text1"/>
              </w:rPr>
              <w:t>Stool</w:t>
            </w:r>
          </w:p>
          <w:p w14:paraId="1AC9C4B7" w14:textId="77777777" w:rsidR="004C2AFC" w:rsidRPr="00D11245" w:rsidRDefault="004C2AFC" w:rsidP="004C2AFC">
            <w:pPr>
              <w:rPr>
                <w:rFonts w:ascii="Calibri" w:hAnsi="Calibri" w:cs="Calibri"/>
                <w:color w:val="000000" w:themeColor="text1"/>
              </w:rPr>
            </w:pPr>
          </w:p>
          <w:p w14:paraId="100CB173" w14:textId="3D3EE842" w:rsidR="006220DE" w:rsidRPr="00D11245" w:rsidRDefault="006220DE" w:rsidP="004C2AFC">
            <w:pPr>
              <w:rPr>
                <w:rFonts w:ascii="Calibri" w:hAnsi="Calibri" w:cs="Calibri"/>
                <w:color w:val="000000" w:themeColor="text1"/>
              </w:rPr>
            </w:pPr>
          </w:p>
        </w:tc>
        <w:tc>
          <w:tcPr>
            <w:tcW w:w="975" w:type="pct"/>
          </w:tcPr>
          <w:p w14:paraId="7AD7775E" w14:textId="237BA189" w:rsidR="00120561" w:rsidRPr="00D11245" w:rsidRDefault="00120561" w:rsidP="00120561">
            <w:pPr>
              <w:rPr>
                <w:rFonts w:ascii="Calibri" w:hAnsi="Calibri" w:cs="Calibri"/>
                <w:color w:val="000000" w:themeColor="text1"/>
              </w:rPr>
            </w:pPr>
            <w:r w:rsidRPr="00D11245">
              <w:rPr>
                <w:rFonts w:ascii="Calibri" w:hAnsi="Calibri" w:cs="Calibri"/>
                <w:color w:val="000000" w:themeColor="text1"/>
              </w:rPr>
              <w:t xml:space="preserve">Can visualise cysts but cannot differentiate </w:t>
            </w:r>
            <w:r w:rsidRPr="00D11245">
              <w:rPr>
                <w:rFonts w:ascii="Calibri" w:hAnsi="Calibri" w:cs="Calibri"/>
                <w:i/>
                <w:iCs/>
                <w:color w:val="000000" w:themeColor="text1"/>
              </w:rPr>
              <w:t>E. histolytica</w:t>
            </w:r>
            <w:r w:rsidRPr="00D11245">
              <w:rPr>
                <w:rFonts w:ascii="Calibri" w:hAnsi="Calibri" w:cs="Calibri"/>
                <w:color w:val="000000" w:themeColor="text1"/>
              </w:rPr>
              <w:t xml:space="preserve"> from non-pathogenic cysts.</w:t>
            </w:r>
          </w:p>
          <w:p w14:paraId="520040E6" w14:textId="5050F82A" w:rsidR="006220DE" w:rsidRPr="00D11245" w:rsidRDefault="00120561" w:rsidP="00120561">
            <w:pPr>
              <w:rPr>
                <w:rFonts w:ascii="Calibri" w:hAnsi="Calibri" w:cs="Calibri"/>
                <w:color w:val="000000" w:themeColor="text1"/>
              </w:rPr>
            </w:pPr>
            <w:r w:rsidRPr="00D11245">
              <w:rPr>
                <w:rFonts w:ascii="Calibri" w:hAnsi="Calibri" w:cs="Calibri"/>
                <w:color w:val="000000" w:themeColor="text1"/>
              </w:rPr>
              <w:t>May visualise trophozoites in ‘hot stool’ (stool examined as soon as its produced)</w:t>
            </w:r>
          </w:p>
        </w:tc>
        <w:tc>
          <w:tcPr>
            <w:tcW w:w="495" w:type="pct"/>
          </w:tcPr>
          <w:p w14:paraId="4CFA1614" w14:textId="66F090DF" w:rsidR="006220DE" w:rsidRPr="00D11245" w:rsidRDefault="006220DE" w:rsidP="004C2AFC">
            <w:pPr>
              <w:rPr>
                <w:rFonts w:ascii="Calibri" w:hAnsi="Calibri" w:cs="Calibri"/>
                <w:color w:val="000000" w:themeColor="text1"/>
              </w:rPr>
            </w:pPr>
            <w:r w:rsidRPr="00D11245">
              <w:rPr>
                <w:rFonts w:ascii="Calibri" w:hAnsi="Calibri" w:cs="Calibri"/>
                <w:color w:val="000000" w:themeColor="text1"/>
              </w:rPr>
              <w:t xml:space="preserve">&lt;60% </w:t>
            </w:r>
            <w:r w:rsidR="00980118" w:rsidRPr="00D11245">
              <w:rPr>
                <w:rFonts w:ascii="Calibri" w:hAnsi="Calibri" w:cs="Calibri"/>
                <w:color w:val="000000" w:themeColor="text1"/>
              </w:rPr>
              <w:fldChar w:fldCharType="begin"/>
            </w:r>
            <w:r w:rsidR="00980118" w:rsidRPr="00D11245">
              <w:rPr>
                <w:rFonts w:ascii="Calibri" w:hAnsi="Calibri" w:cs="Calibri"/>
                <w:color w:val="000000" w:themeColor="text1"/>
              </w:rPr>
              <w:instrText xml:space="preserve"> ADDIN ZOTERO_ITEM CSL_CITATION {"citationID":"IuNZU6Kq","properties":{"formattedCitation":"\\super 6\\nosupersub{}","plainCitation":"6","noteIndex":0},"citationItems":[{"id":1684,"uris":["http://zotero.org/groups/2497994/items/8XTEUHWF",["http://zotero.org/groups/2497994/items/8XTEUHWF"]],"itemData":{"id":1684,"type":"article-journal","abstract":"Amebiasis, due to the pathogenic parasite Entamoeba histolytica, is a leading cause of diarrhea globally. Largely an infection of impoverished communities in developing countries, amebiasis has emerged as an important infection among returning travelers, immigrants, and men who have sex with men residing in developed countries. Severe cases can be associated with high case fatality. Polymerase chain reaction-based diagnosis is increasingly available but remains underutilized. Nitroimidazoles are currently recommended for treatment, but new drug development to treat parasitic agents is a high priority. Amebiasis should be considered before corticosteroid therapy to decrease complications. There is no effective vaccine, so prevention focuses on sanitation and access to clean water. Further understanding of parasite biology and pathogenesis will advance future targeted therapeutic and preventative strategies.Copyright © The Author(s) 2018. Published by Oxford University Press on behalf of Infectious Diseases Society of America.","container-title":"Open Forum Infectious Diseases","DOI":"10.1093/ofid/ofy161","ISSN":"2328-8957 (electronic)","issue":"7","journalAbbreviation":"Open Forum Infect. Dis.","language":"English","note":"publisher-place: United States\npublisher: Oxford University Press (E-mail: info@idsociety.org)","page":"ofy161","title":"A review of the global burden, new diagnostics, and current Therapeutics for amebiasis","volume":"5","author":[{"literal":"Shirley D.T."},{"literal":"Farr L."},{"literal":"Watanabe K."},{"literal":"Moonah S."}],"issued":{"date-parts":[["2018"]]}}}],"schema":"https://github.com/citation-style-language/schema/raw/master/csl-citation.json"} </w:instrText>
            </w:r>
            <w:r w:rsidR="00980118" w:rsidRPr="00D11245">
              <w:rPr>
                <w:rFonts w:ascii="Calibri" w:hAnsi="Calibri" w:cs="Calibri"/>
                <w:color w:val="000000" w:themeColor="text1"/>
              </w:rPr>
              <w:fldChar w:fldCharType="separate"/>
            </w:r>
            <w:r w:rsidR="00980118" w:rsidRPr="00D11245">
              <w:rPr>
                <w:rFonts w:ascii="Calibri" w:hAnsi="Calibri" w:cs="Calibri"/>
                <w:color w:val="000000" w:themeColor="text1"/>
                <w:vertAlign w:val="superscript"/>
              </w:rPr>
              <w:t>6</w:t>
            </w:r>
            <w:r w:rsidR="00980118" w:rsidRPr="00D11245">
              <w:rPr>
                <w:rFonts w:ascii="Calibri" w:hAnsi="Calibri" w:cs="Calibri"/>
                <w:color w:val="000000" w:themeColor="text1"/>
              </w:rPr>
              <w:fldChar w:fldCharType="end"/>
            </w:r>
          </w:p>
        </w:tc>
        <w:tc>
          <w:tcPr>
            <w:tcW w:w="524" w:type="pct"/>
          </w:tcPr>
          <w:p w14:paraId="167B7DBC" w14:textId="63023971" w:rsidR="006220DE" w:rsidRPr="00D11245" w:rsidRDefault="003E1491" w:rsidP="004C2AFC">
            <w:pPr>
              <w:rPr>
                <w:rFonts w:ascii="Calibri" w:hAnsi="Calibri" w:cs="Calibri"/>
                <w:color w:val="000000" w:themeColor="text1"/>
              </w:rPr>
            </w:pPr>
            <w:r w:rsidRPr="00D11245">
              <w:rPr>
                <w:rFonts w:ascii="Calibri" w:hAnsi="Calibri" w:cs="Calibri"/>
                <w:color w:val="000000" w:themeColor="text1"/>
              </w:rPr>
              <w:t xml:space="preserve">95% </w:t>
            </w:r>
            <w:r w:rsidR="00980118" w:rsidRPr="00D11245">
              <w:rPr>
                <w:rFonts w:ascii="Calibri" w:hAnsi="Calibri" w:cs="Calibri"/>
                <w:color w:val="000000" w:themeColor="text1"/>
              </w:rPr>
              <w:fldChar w:fldCharType="begin"/>
            </w:r>
            <w:r w:rsidR="009C3E63" w:rsidRPr="00D11245">
              <w:rPr>
                <w:rFonts w:ascii="Calibri" w:hAnsi="Calibri" w:cs="Calibri"/>
                <w:color w:val="000000" w:themeColor="text1"/>
              </w:rPr>
              <w:instrText xml:space="preserve"> ADDIN ZOTERO_ITEM CSL_CITATION {"citationID":"aTl3ydbc","properties":{"formattedCitation":"\\super 134\\nosupersub{}","plainCitation":"134","noteIndex":0},"citationItems":[{"id":16726,"uris":["http://zotero.org/groups/2497994/items/ZRLTMD7K"],"itemData":{"id":16726,"type":"article-journal","container-title":"Tropical Parasitology","DOI":"10.4103/2229-5070.138547","ISSN":"2229-5070","issue":"2","journalAbbreviation":"Trop Parasitol","language":"en","page":"136","source":"DOI.org (Crossref)","title":"Microscopy versus enzyme linked immunosorbent assay test for detection of Entamoeba histolytica infection in stool samples","volume":"4","author":[{"family":"Mohanty","given":"Srujana"},{"family":"Sharma","given":"Nisha"},{"family":"Deb","given":"Monorama"}],"issued":{"date-parts":[["2014"]]}}}],"schema":"https://github.com/citation-style-language/schema/raw/master/csl-citation.json"} </w:instrText>
            </w:r>
            <w:r w:rsidR="00980118" w:rsidRPr="00D11245">
              <w:rPr>
                <w:rFonts w:ascii="Calibri" w:hAnsi="Calibri" w:cs="Calibri"/>
                <w:color w:val="000000" w:themeColor="text1"/>
              </w:rPr>
              <w:fldChar w:fldCharType="separate"/>
            </w:r>
            <w:r w:rsidR="009C3E63" w:rsidRPr="00D11245">
              <w:rPr>
                <w:rFonts w:ascii="Calibri" w:hAnsi="Calibri" w:cs="Calibri"/>
                <w:color w:val="000000" w:themeColor="text1"/>
                <w:vertAlign w:val="superscript"/>
              </w:rPr>
              <w:t>134</w:t>
            </w:r>
            <w:r w:rsidR="00980118" w:rsidRPr="00D11245">
              <w:rPr>
                <w:rFonts w:ascii="Calibri" w:hAnsi="Calibri" w:cs="Calibri"/>
                <w:color w:val="000000" w:themeColor="text1"/>
              </w:rPr>
              <w:fldChar w:fldCharType="end"/>
            </w:r>
          </w:p>
        </w:tc>
        <w:tc>
          <w:tcPr>
            <w:tcW w:w="988" w:type="pct"/>
          </w:tcPr>
          <w:p w14:paraId="6EC69344" w14:textId="0100CB14" w:rsidR="006220DE" w:rsidRPr="00D11245" w:rsidRDefault="006220DE" w:rsidP="004C2AFC">
            <w:pPr>
              <w:rPr>
                <w:rFonts w:ascii="Calibri" w:hAnsi="Calibri" w:cs="Calibri"/>
                <w:color w:val="000000" w:themeColor="text1"/>
              </w:rPr>
            </w:pPr>
            <w:r w:rsidRPr="00D11245">
              <w:rPr>
                <w:rFonts w:ascii="Calibri" w:hAnsi="Calibri" w:cs="Calibri"/>
                <w:color w:val="000000" w:themeColor="text1"/>
              </w:rPr>
              <w:t>Cheap</w:t>
            </w:r>
          </w:p>
          <w:p w14:paraId="072B8724" w14:textId="77777777" w:rsidR="006220DE" w:rsidRPr="00D11245" w:rsidRDefault="006220DE" w:rsidP="004C2AFC">
            <w:pPr>
              <w:rPr>
                <w:rFonts w:ascii="Calibri" w:hAnsi="Calibri" w:cs="Calibri"/>
                <w:color w:val="000000" w:themeColor="text1"/>
              </w:rPr>
            </w:pPr>
            <w:r w:rsidRPr="00D11245">
              <w:rPr>
                <w:rFonts w:ascii="Calibri" w:hAnsi="Calibri" w:cs="Calibri"/>
                <w:color w:val="000000" w:themeColor="text1"/>
              </w:rPr>
              <w:t>Widely available</w:t>
            </w:r>
          </w:p>
          <w:p w14:paraId="530C7E21" w14:textId="4C27D322" w:rsidR="006220DE" w:rsidRPr="00D11245" w:rsidRDefault="006220DE" w:rsidP="004C2AFC">
            <w:pPr>
              <w:rPr>
                <w:rFonts w:ascii="Calibri" w:hAnsi="Calibri" w:cs="Calibri"/>
                <w:color w:val="000000" w:themeColor="text1"/>
              </w:rPr>
            </w:pPr>
            <w:r w:rsidRPr="00D11245">
              <w:rPr>
                <w:rFonts w:ascii="Calibri" w:hAnsi="Calibri" w:cs="Calibri"/>
                <w:color w:val="000000" w:themeColor="text1"/>
              </w:rPr>
              <w:t xml:space="preserve">Can screen for other parasites </w:t>
            </w:r>
          </w:p>
        </w:tc>
        <w:tc>
          <w:tcPr>
            <w:tcW w:w="879" w:type="pct"/>
          </w:tcPr>
          <w:p w14:paraId="214F9D85" w14:textId="27E5B17B" w:rsidR="006220DE" w:rsidRPr="00D11245" w:rsidRDefault="006220DE" w:rsidP="004C2AFC">
            <w:pPr>
              <w:rPr>
                <w:rFonts w:ascii="Calibri" w:hAnsi="Calibri" w:cs="Calibri"/>
                <w:color w:val="000000" w:themeColor="text1"/>
              </w:rPr>
            </w:pPr>
            <w:r w:rsidRPr="00D11245">
              <w:rPr>
                <w:rFonts w:ascii="Calibri" w:hAnsi="Calibri" w:cs="Calibri"/>
                <w:color w:val="000000" w:themeColor="text1"/>
              </w:rPr>
              <w:t>Low sensitivity and specificity</w:t>
            </w:r>
          </w:p>
          <w:p w14:paraId="065AAF84" w14:textId="3160FD20" w:rsidR="006220DE" w:rsidRPr="00D11245" w:rsidRDefault="006220DE" w:rsidP="004C2AFC">
            <w:pPr>
              <w:rPr>
                <w:rFonts w:ascii="Calibri" w:hAnsi="Calibri" w:cs="Calibri"/>
                <w:color w:val="000000" w:themeColor="text1"/>
              </w:rPr>
            </w:pPr>
            <w:r w:rsidRPr="00D11245">
              <w:rPr>
                <w:rFonts w:ascii="Calibri" w:hAnsi="Calibri" w:cs="Calibri"/>
                <w:color w:val="000000" w:themeColor="text1"/>
              </w:rPr>
              <w:t xml:space="preserve">Stool tests </w:t>
            </w:r>
            <w:r w:rsidR="000D74AC" w:rsidRPr="00D11245">
              <w:rPr>
                <w:rFonts w:ascii="Calibri" w:hAnsi="Calibri" w:cs="Calibri"/>
                <w:color w:val="000000" w:themeColor="text1"/>
              </w:rPr>
              <w:t>cannot</w:t>
            </w:r>
            <w:r w:rsidR="003B560F" w:rsidRPr="00D11245">
              <w:rPr>
                <w:rFonts w:ascii="Calibri" w:hAnsi="Calibri" w:cs="Calibri"/>
                <w:color w:val="000000" w:themeColor="text1"/>
              </w:rPr>
              <w:t xml:space="preserve"> </w:t>
            </w:r>
            <w:r w:rsidRPr="00D11245">
              <w:rPr>
                <w:rFonts w:ascii="Calibri" w:hAnsi="Calibri" w:cs="Calibri"/>
                <w:color w:val="000000" w:themeColor="text1"/>
              </w:rPr>
              <w:t>diagnose extra-intestinal infection</w:t>
            </w:r>
          </w:p>
          <w:p w14:paraId="600C1745" w14:textId="77777777" w:rsidR="006220DE" w:rsidRPr="00D11245" w:rsidRDefault="006220DE" w:rsidP="00B57622">
            <w:pPr>
              <w:rPr>
                <w:rFonts w:ascii="Calibri" w:hAnsi="Calibri" w:cs="Calibri"/>
                <w:color w:val="000000" w:themeColor="text1"/>
              </w:rPr>
            </w:pPr>
          </w:p>
        </w:tc>
      </w:tr>
      <w:tr w:rsidR="00D11245" w:rsidRPr="00D11245" w14:paraId="221A08D8" w14:textId="77777777" w:rsidTr="00D064E6">
        <w:tc>
          <w:tcPr>
            <w:tcW w:w="570" w:type="pct"/>
            <w:shd w:val="clear" w:color="auto" w:fill="DEEAF6" w:themeFill="accent5" w:themeFillTint="33"/>
          </w:tcPr>
          <w:p w14:paraId="331CF07C" w14:textId="70DB8399" w:rsidR="006220DE" w:rsidRPr="00D11245" w:rsidRDefault="006220DE" w:rsidP="00B57622">
            <w:pPr>
              <w:rPr>
                <w:rFonts w:ascii="Calibri" w:hAnsi="Calibri" w:cs="Calibri"/>
                <w:b/>
                <w:bCs/>
                <w:color w:val="000000" w:themeColor="text1"/>
              </w:rPr>
            </w:pPr>
            <w:r w:rsidRPr="00D11245">
              <w:rPr>
                <w:rFonts w:ascii="Calibri" w:hAnsi="Calibri" w:cs="Calibri"/>
                <w:b/>
                <w:bCs/>
                <w:color w:val="000000" w:themeColor="text1"/>
              </w:rPr>
              <w:t>Antigen testing ELISA</w:t>
            </w:r>
          </w:p>
        </w:tc>
        <w:tc>
          <w:tcPr>
            <w:tcW w:w="569" w:type="pct"/>
          </w:tcPr>
          <w:p w14:paraId="7842A6AD" w14:textId="324C493D" w:rsidR="006220DE" w:rsidRPr="00D11245" w:rsidRDefault="006220DE" w:rsidP="004C2AFC">
            <w:pPr>
              <w:rPr>
                <w:rFonts w:ascii="Calibri" w:hAnsi="Calibri" w:cs="Calibri"/>
                <w:color w:val="000000" w:themeColor="text1"/>
              </w:rPr>
            </w:pPr>
            <w:r w:rsidRPr="00D11245">
              <w:rPr>
                <w:rFonts w:ascii="Calibri" w:hAnsi="Calibri" w:cs="Calibri"/>
                <w:color w:val="000000" w:themeColor="text1"/>
              </w:rPr>
              <w:t>Stool or liver abscess aspirate</w:t>
            </w:r>
          </w:p>
        </w:tc>
        <w:tc>
          <w:tcPr>
            <w:tcW w:w="975" w:type="pct"/>
          </w:tcPr>
          <w:p w14:paraId="30012EB0" w14:textId="6804982E" w:rsidR="006220DE" w:rsidRPr="00D11245" w:rsidRDefault="006220DE" w:rsidP="004C2AFC">
            <w:pPr>
              <w:rPr>
                <w:rFonts w:ascii="Calibri" w:hAnsi="Calibri" w:cs="Calibri"/>
                <w:color w:val="000000" w:themeColor="text1"/>
              </w:rPr>
            </w:pPr>
            <w:r w:rsidRPr="00D11245">
              <w:rPr>
                <w:rFonts w:ascii="Calibri" w:hAnsi="Calibri" w:cs="Calibri"/>
                <w:color w:val="000000" w:themeColor="text1"/>
              </w:rPr>
              <w:t xml:space="preserve">Test for </w:t>
            </w:r>
            <w:r w:rsidRPr="00D11245">
              <w:rPr>
                <w:rFonts w:ascii="Calibri" w:hAnsi="Calibri" w:cs="Calibri"/>
                <w:i/>
                <w:iCs/>
                <w:color w:val="000000" w:themeColor="text1"/>
              </w:rPr>
              <w:t>E. histolytica</w:t>
            </w:r>
            <w:r w:rsidRPr="00D11245">
              <w:rPr>
                <w:rFonts w:ascii="Calibri" w:hAnsi="Calibri" w:cs="Calibri"/>
                <w:color w:val="000000" w:themeColor="text1"/>
              </w:rPr>
              <w:t xml:space="preserve"> specific antigens </w:t>
            </w:r>
          </w:p>
        </w:tc>
        <w:tc>
          <w:tcPr>
            <w:tcW w:w="495" w:type="pct"/>
          </w:tcPr>
          <w:p w14:paraId="35BA76FB" w14:textId="39FCB610" w:rsidR="006220DE" w:rsidRPr="00D11245" w:rsidRDefault="00B66AB2" w:rsidP="004C2AFC">
            <w:pPr>
              <w:rPr>
                <w:rFonts w:ascii="Calibri" w:hAnsi="Calibri" w:cs="Calibri"/>
                <w:color w:val="000000" w:themeColor="text1"/>
              </w:rPr>
            </w:pPr>
            <w:r w:rsidRPr="00D11245">
              <w:rPr>
                <w:rFonts w:ascii="Calibri" w:hAnsi="Calibri" w:cs="Calibri"/>
                <w:color w:val="000000" w:themeColor="text1"/>
              </w:rPr>
              <w:t xml:space="preserve">Up to </w:t>
            </w:r>
            <w:r w:rsidR="006220DE" w:rsidRPr="00D11245">
              <w:rPr>
                <w:rFonts w:ascii="Calibri" w:hAnsi="Calibri" w:cs="Calibri"/>
                <w:color w:val="000000" w:themeColor="text1"/>
              </w:rPr>
              <w:t xml:space="preserve">88% </w:t>
            </w:r>
            <w:r w:rsidR="00980118" w:rsidRPr="00D11245">
              <w:rPr>
                <w:rFonts w:ascii="Calibri" w:hAnsi="Calibri" w:cs="Calibri"/>
                <w:color w:val="000000" w:themeColor="text1"/>
              </w:rPr>
              <w:fldChar w:fldCharType="begin"/>
            </w:r>
            <w:r w:rsidR="00980118" w:rsidRPr="00D11245">
              <w:rPr>
                <w:rFonts w:ascii="Calibri" w:hAnsi="Calibri" w:cs="Calibri"/>
                <w:color w:val="000000" w:themeColor="text1"/>
              </w:rPr>
              <w:instrText xml:space="preserve"> ADDIN ZOTERO_ITEM CSL_CITATION {"citationID":"YZMFhDjI","properties":{"formattedCitation":"\\super 6\\nosupersub{}","plainCitation":"6","noteIndex":0},"citationItems":[{"id":1684,"uris":["http://zotero.org/groups/2497994/items/8XTEUHWF",["http://zotero.org/groups/2497994/items/8XTEUHWF"]],"itemData":{"id":1684,"type":"article-journal","abstract":"Amebiasis, due to the pathogenic parasite Entamoeba histolytica, is a leading cause of diarrhea globally. Largely an infection of impoverished communities in developing countries, amebiasis has emerged as an important infection among returning travelers, immigrants, and men who have sex with men residing in developed countries. Severe cases can be associated with high case fatality. Polymerase chain reaction-based diagnosis is increasingly available but remains underutilized. Nitroimidazoles are currently recommended for treatment, but new drug development to treat parasitic agents is a high priority. Amebiasis should be considered before corticosteroid therapy to decrease complications. There is no effective vaccine, so prevention focuses on sanitation and access to clean water. Further understanding of parasite biology and pathogenesis will advance future targeted therapeutic and preventative strategies.Copyright © The Author(s) 2018. Published by Oxford University Press on behalf of Infectious Diseases Society of America.","container-title":"Open Forum Infectious Diseases","DOI":"10.1093/ofid/ofy161","ISSN":"2328-8957 (electronic)","issue":"7","journalAbbreviation":"Open Forum Infect. Dis.","language":"English","note":"publisher-place: United States\npublisher: Oxford University Press (E-mail: info@idsociety.org)","page":"ofy161","title":"A review of the global burden, new diagnostics, and current Therapeutics for amebiasis","volume":"5","author":[{"literal":"Shirley D.T."},{"literal":"Farr L."},{"literal":"Watanabe K."},{"literal":"Moonah S."}],"issued":{"date-parts":[["2018"]]}}}],"schema":"https://github.com/citation-style-language/schema/raw/master/csl-citation.json"} </w:instrText>
            </w:r>
            <w:r w:rsidR="00980118" w:rsidRPr="00D11245">
              <w:rPr>
                <w:rFonts w:ascii="Calibri" w:hAnsi="Calibri" w:cs="Calibri"/>
                <w:color w:val="000000" w:themeColor="text1"/>
              </w:rPr>
              <w:fldChar w:fldCharType="separate"/>
            </w:r>
            <w:r w:rsidR="00980118" w:rsidRPr="00D11245">
              <w:rPr>
                <w:rFonts w:ascii="Calibri" w:hAnsi="Calibri" w:cs="Calibri"/>
                <w:color w:val="000000" w:themeColor="text1"/>
                <w:vertAlign w:val="superscript"/>
              </w:rPr>
              <w:t>6</w:t>
            </w:r>
            <w:r w:rsidR="00980118" w:rsidRPr="00D11245">
              <w:rPr>
                <w:rFonts w:ascii="Calibri" w:hAnsi="Calibri" w:cs="Calibri"/>
                <w:color w:val="000000" w:themeColor="text1"/>
              </w:rPr>
              <w:fldChar w:fldCharType="end"/>
            </w:r>
          </w:p>
        </w:tc>
        <w:tc>
          <w:tcPr>
            <w:tcW w:w="524" w:type="pct"/>
          </w:tcPr>
          <w:p w14:paraId="505EB612" w14:textId="2EE147D9" w:rsidR="006220DE" w:rsidRPr="00D11245" w:rsidRDefault="006220DE" w:rsidP="004C2AFC">
            <w:pPr>
              <w:rPr>
                <w:rFonts w:ascii="Calibri" w:hAnsi="Calibri" w:cs="Calibri"/>
                <w:color w:val="000000" w:themeColor="text1"/>
              </w:rPr>
            </w:pPr>
            <w:r w:rsidRPr="00D11245">
              <w:rPr>
                <w:rFonts w:ascii="Calibri" w:hAnsi="Calibri" w:cs="Calibri"/>
                <w:color w:val="000000" w:themeColor="text1"/>
              </w:rPr>
              <w:t xml:space="preserve">&gt;80% </w:t>
            </w:r>
            <w:r w:rsidR="00980118" w:rsidRPr="00D11245">
              <w:rPr>
                <w:rFonts w:ascii="Calibri" w:hAnsi="Calibri" w:cs="Calibri"/>
                <w:color w:val="000000" w:themeColor="text1"/>
              </w:rPr>
              <w:fldChar w:fldCharType="begin"/>
            </w:r>
            <w:r w:rsidR="00980118" w:rsidRPr="00D11245">
              <w:rPr>
                <w:rFonts w:ascii="Calibri" w:hAnsi="Calibri" w:cs="Calibri"/>
                <w:color w:val="000000" w:themeColor="text1"/>
              </w:rPr>
              <w:instrText xml:space="preserve"> ADDIN ZOTERO_ITEM CSL_CITATION {"citationID":"z0iJtMtD","properties":{"formattedCitation":"\\super 6\\nosupersub{}","plainCitation":"6","noteIndex":0},"citationItems":[{"id":1684,"uris":["http://zotero.org/groups/2497994/items/8XTEUHWF",["http://zotero.org/groups/2497994/items/8XTEUHWF"]],"itemData":{"id":1684,"type":"article-journal","abstract":"Amebiasis, due to the pathogenic parasite Entamoeba histolytica, is a leading cause of diarrhea globally. Largely an infection of impoverished communities in developing countries, amebiasis has emerged as an important infection among returning travelers, immigrants, and men who have sex with men residing in developed countries. Severe cases can be associated with high case fatality. Polymerase chain reaction-based diagnosis is increasingly available but remains underutilized. Nitroimidazoles are currently recommended for treatment, but new drug development to treat parasitic agents is a high priority. Amebiasis should be considered before corticosteroid therapy to decrease complications. There is no effective vaccine, so prevention focuses on sanitation and access to clean water. Further understanding of parasite biology and pathogenesis will advance future targeted therapeutic and preventative strategies.Copyright © The Author(s) 2018. Published by Oxford University Press on behalf of Infectious Diseases Society of America.","container-title":"Open Forum Infectious Diseases","DOI":"10.1093/ofid/ofy161","ISSN":"2328-8957 (electronic)","issue":"7","journalAbbreviation":"Open Forum Infect. Dis.","language":"English","note":"publisher-place: United States\npublisher: Oxford University Press (E-mail: info@idsociety.org)","page":"ofy161","title":"A review of the global burden, new diagnostics, and current Therapeutics for amebiasis","volume":"5","author":[{"literal":"Shirley D.T."},{"literal":"Farr L."},{"literal":"Watanabe K."},{"literal":"Moonah S."}],"issued":{"date-parts":[["2018"]]}}}],"schema":"https://github.com/citation-style-language/schema/raw/master/csl-citation.json"} </w:instrText>
            </w:r>
            <w:r w:rsidR="00980118" w:rsidRPr="00D11245">
              <w:rPr>
                <w:rFonts w:ascii="Calibri" w:hAnsi="Calibri" w:cs="Calibri"/>
                <w:color w:val="000000" w:themeColor="text1"/>
              </w:rPr>
              <w:fldChar w:fldCharType="separate"/>
            </w:r>
            <w:r w:rsidR="00980118" w:rsidRPr="00D11245">
              <w:rPr>
                <w:rFonts w:ascii="Calibri" w:hAnsi="Calibri" w:cs="Calibri"/>
                <w:color w:val="000000" w:themeColor="text1"/>
                <w:vertAlign w:val="superscript"/>
              </w:rPr>
              <w:t>6</w:t>
            </w:r>
            <w:r w:rsidR="00980118" w:rsidRPr="00D11245">
              <w:rPr>
                <w:rFonts w:ascii="Calibri" w:hAnsi="Calibri" w:cs="Calibri"/>
                <w:color w:val="000000" w:themeColor="text1"/>
              </w:rPr>
              <w:fldChar w:fldCharType="end"/>
            </w:r>
          </w:p>
        </w:tc>
        <w:tc>
          <w:tcPr>
            <w:tcW w:w="988" w:type="pct"/>
          </w:tcPr>
          <w:p w14:paraId="3868E8E2" w14:textId="707840E6" w:rsidR="006220DE" w:rsidRPr="00D11245" w:rsidRDefault="006220DE" w:rsidP="004C2AFC">
            <w:pPr>
              <w:rPr>
                <w:rFonts w:ascii="Calibri" w:hAnsi="Calibri" w:cs="Calibri"/>
                <w:color w:val="000000" w:themeColor="text1"/>
              </w:rPr>
            </w:pPr>
            <w:r w:rsidRPr="00D11245">
              <w:rPr>
                <w:rFonts w:ascii="Calibri" w:hAnsi="Calibri" w:cs="Calibri"/>
                <w:color w:val="000000" w:themeColor="text1"/>
              </w:rPr>
              <w:t xml:space="preserve">Can differentiate </w:t>
            </w:r>
            <w:r w:rsidRPr="00D11245">
              <w:rPr>
                <w:rFonts w:ascii="Calibri" w:hAnsi="Calibri" w:cs="Calibri"/>
                <w:i/>
                <w:iCs/>
                <w:color w:val="000000" w:themeColor="text1"/>
              </w:rPr>
              <w:t>Entamoeba</w:t>
            </w:r>
            <w:r w:rsidRPr="00D11245">
              <w:rPr>
                <w:rFonts w:ascii="Calibri" w:hAnsi="Calibri" w:cs="Calibri"/>
                <w:color w:val="000000" w:themeColor="text1"/>
              </w:rPr>
              <w:t xml:space="preserve"> species</w:t>
            </w:r>
          </w:p>
          <w:p w14:paraId="2BBB02DD" w14:textId="77777777" w:rsidR="006220DE" w:rsidRPr="00D11245" w:rsidRDefault="006220DE" w:rsidP="004C2AFC">
            <w:pPr>
              <w:rPr>
                <w:rFonts w:ascii="Calibri" w:hAnsi="Calibri" w:cs="Calibri"/>
                <w:color w:val="000000" w:themeColor="text1"/>
              </w:rPr>
            </w:pPr>
            <w:r w:rsidRPr="00D11245">
              <w:rPr>
                <w:rFonts w:ascii="Calibri" w:hAnsi="Calibri" w:cs="Calibri"/>
                <w:color w:val="000000" w:themeColor="text1"/>
              </w:rPr>
              <w:t>Widely available</w:t>
            </w:r>
          </w:p>
          <w:p w14:paraId="4069AD2E" w14:textId="7971EC3C" w:rsidR="006220DE" w:rsidRPr="00D11245" w:rsidRDefault="006220DE" w:rsidP="004C2AFC">
            <w:pPr>
              <w:rPr>
                <w:rFonts w:ascii="Calibri" w:hAnsi="Calibri" w:cs="Calibri"/>
                <w:color w:val="000000" w:themeColor="text1"/>
              </w:rPr>
            </w:pPr>
          </w:p>
        </w:tc>
        <w:tc>
          <w:tcPr>
            <w:tcW w:w="879" w:type="pct"/>
          </w:tcPr>
          <w:p w14:paraId="57F99C0C" w14:textId="6050063B" w:rsidR="006220DE" w:rsidRPr="00D11245" w:rsidRDefault="006220DE" w:rsidP="004C2AFC">
            <w:pPr>
              <w:rPr>
                <w:rFonts w:ascii="Calibri" w:hAnsi="Calibri" w:cs="Calibri"/>
                <w:color w:val="000000" w:themeColor="text1"/>
              </w:rPr>
            </w:pPr>
            <w:r w:rsidRPr="00D11245">
              <w:rPr>
                <w:rFonts w:ascii="Calibri" w:hAnsi="Calibri" w:cs="Calibri"/>
                <w:color w:val="000000" w:themeColor="text1"/>
              </w:rPr>
              <w:t>Need fresh (not preserved) stool</w:t>
            </w:r>
          </w:p>
          <w:p w14:paraId="31258FD5" w14:textId="0D13D733" w:rsidR="006220DE" w:rsidRPr="00D11245" w:rsidRDefault="006220DE" w:rsidP="004C2AFC">
            <w:pPr>
              <w:rPr>
                <w:rFonts w:ascii="Calibri" w:hAnsi="Calibri" w:cs="Calibri"/>
                <w:color w:val="000000" w:themeColor="text1"/>
              </w:rPr>
            </w:pPr>
            <w:r w:rsidRPr="00D11245">
              <w:rPr>
                <w:rFonts w:ascii="Calibri" w:hAnsi="Calibri" w:cs="Calibri"/>
                <w:color w:val="000000" w:themeColor="text1"/>
              </w:rPr>
              <w:t>Reduced sensitivity and specificity once therapy started and for carriers</w:t>
            </w:r>
          </w:p>
          <w:p w14:paraId="090BBB38" w14:textId="77777777" w:rsidR="006220DE" w:rsidRPr="00D11245" w:rsidRDefault="006220DE" w:rsidP="00080540">
            <w:pPr>
              <w:rPr>
                <w:rFonts w:ascii="Calibri" w:hAnsi="Calibri" w:cs="Calibri"/>
                <w:color w:val="000000" w:themeColor="text1"/>
              </w:rPr>
            </w:pPr>
          </w:p>
        </w:tc>
      </w:tr>
      <w:tr w:rsidR="00D11245" w:rsidRPr="00D11245" w14:paraId="34F87B09" w14:textId="77777777" w:rsidTr="00D064E6">
        <w:tc>
          <w:tcPr>
            <w:tcW w:w="570" w:type="pct"/>
            <w:shd w:val="clear" w:color="auto" w:fill="DEEAF6" w:themeFill="accent5" w:themeFillTint="33"/>
          </w:tcPr>
          <w:p w14:paraId="5BD21478" w14:textId="6530C982" w:rsidR="006220DE" w:rsidRPr="00D11245" w:rsidRDefault="006220DE" w:rsidP="00B57622">
            <w:pPr>
              <w:rPr>
                <w:rFonts w:ascii="Calibri" w:hAnsi="Calibri" w:cs="Calibri"/>
                <w:b/>
                <w:bCs/>
                <w:color w:val="000000" w:themeColor="text1"/>
              </w:rPr>
            </w:pPr>
            <w:r w:rsidRPr="00D11245">
              <w:rPr>
                <w:rFonts w:ascii="Calibri" w:hAnsi="Calibri" w:cs="Calibri"/>
                <w:b/>
                <w:bCs/>
                <w:color w:val="000000" w:themeColor="text1"/>
              </w:rPr>
              <w:t>PCR*</w:t>
            </w:r>
          </w:p>
        </w:tc>
        <w:tc>
          <w:tcPr>
            <w:tcW w:w="569" w:type="pct"/>
          </w:tcPr>
          <w:p w14:paraId="25681CCE" w14:textId="719494E9" w:rsidR="006220DE" w:rsidRPr="00D11245" w:rsidRDefault="006220DE" w:rsidP="004C2AFC">
            <w:pPr>
              <w:rPr>
                <w:rFonts w:ascii="Calibri" w:hAnsi="Calibri" w:cs="Calibri"/>
                <w:color w:val="000000" w:themeColor="text1"/>
              </w:rPr>
            </w:pPr>
            <w:r w:rsidRPr="00D11245">
              <w:rPr>
                <w:rFonts w:ascii="Calibri" w:hAnsi="Calibri" w:cs="Calibri"/>
                <w:color w:val="000000" w:themeColor="text1"/>
              </w:rPr>
              <w:t xml:space="preserve">Stool and </w:t>
            </w:r>
            <w:r w:rsidR="004C2AFC" w:rsidRPr="00D11245">
              <w:rPr>
                <w:rFonts w:ascii="Calibri" w:hAnsi="Calibri" w:cs="Calibri"/>
                <w:color w:val="000000" w:themeColor="text1"/>
              </w:rPr>
              <w:t>l</w:t>
            </w:r>
            <w:r w:rsidRPr="00D11245">
              <w:rPr>
                <w:rFonts w:ascii="Calibri" w:hAnsi="Calibri" w:cs="Calibri"/>
                <w:color w:val="000000" w:themeColor="text1"/>
              </w:rPr>
              <w:t>iver abscess aspirate</w:t>
            </w:r>
          </w:p>
        </w:tc>
        <w:tc>
          <w:tcPr>
            <w:tcW w:w="975" w:type="pct"/>
          </w:tcPr>
          <w:p w14:paraId="398D66B1" w14:textId="77777777" w:rsidR="006220DE" w:rsidRPr="00D11245" w:rsidRDefault="006220DE" w:rsidP="004C2AFC">
            <w:pPr>
              <w:rPr>
                <w:rFonts w:ascii="Calibri" w:hAnsi="Calibri" w:cs="Calibri"/>
                <w:color w:val="000000" w:themeColor="text1"/>
              </w:rPr>
            </w:pPr>
            <w:r w:rsidRPr="00D11245">
              <w:rPr>
                <w:rFonts w:ascii="Calibri" w:hAnsi="Calibri" w:cs="Calibri"/>
                <w:color w:val="000000" w:themeColor="text1"/>
              </w:rPr>
              <w:t xml:space="preserve">Test for </w:t>
            </w:r>
            <w:r w:rsidRPr="00D11245">
              <w:rPr>
                <w:rFonts w:ascii="Calibri" w:hAnsi="Calibri" w:cs="Calibri"/>
                <w:i/>
                <w:iCs/>
                <w:color w:val="000000" w:themeColor="text1"/>
              </w:rPr>
              <w:t>E. histolytica</w:t>
            </w:r>
            <w:r w:rsidRPr="00D11245">
              <w:rPr>
                <w:rFonts w:ascii="Calibri" w:hAnsi="Calibri" w:cs="Calibri"/>
                <w:color w:val="000000" w:themeColor="text1"/>
              </w:rPr>
              <w:t xml:space="preserve"> specific genes</w:t>
            </w:r>
          </w:p>
          <w:p w14:paraId="2322C5E1" w14:textId="77777777" w:rsidR="004C2AFC" w:rsidRPr="00D11245" w:rsidRDefault="004C2AFC" w:rsidP="004C2AFC">
            <w:pPr>
              <w:rPr>
                <w:rFonts w:ascii="Calibri" w:hAnsi="Calibri" w:cs="Calibri"/>
                <w:color w:val="000000" w:themeColor="text1"/>
              </w:rPr>
            </w:pPr>
          </w:p>
          <w:p w14:paraId="499AF4B3" w14:textId="77777777" w:rsidR="006220DE" w:rsidRPr="00D11245" w:rsidRDefault="006220DE" w:rsidP="004C2AFC">
            <w:pPr>
              <w:rPr>
                <w:rFonts w:ascii="Calibri" w:hAnsi="Calibri" w:cs="Calibri"/>
                <w:color w:val="000000" w:themeColor="text1"/>
              </w:rPr>
            </w:pPr>
            <w:r w:rsidRPr="00D11245">
              <w:rPr>
                <w:rFonts w:ascii="Calibri" w:hAnsi="Calibri" w:cs="Calibri"/>
                <w:color w:val="000000" w:themeColor="text1"/>
              </w:rPr>
              <w:t>Gold standard for intestinal amoebiasis</w:t>
            </w:r>
          </w:p>
          <w:p w14:paraId="2625E32E" w14:textId="6AD25C10" w:rsidR="003F7258" w:rsidRPr="00D11245" w:rsidRDefault="003F7258" w:rsidP="004C2AFC">
            <w:pPr>
              <w:rPr>
                <w:rFonts w:ascii="Calibri" w:hAnsi="Calibri" w:cs="Calibri"/>
                <w:color w:val="000000" w:themeColor="text1"/>
              </w:rPr>
            </w:pPr>
          </w:p>
        </w:tc>
        <w:tc>
          <w:tcPr>
            <w:tcW w:w="495" w:type="pct"/>
          </w:tcPr>
          <w:p w14:paraId="5C639AEB" w14:textId="138E26FA" w:rsidR="006220DE" w:rsidRPr="00D11245" w:rsidRDefault="006220DE" w:rsidP="004C2AFC">
            <w:pPr>
              <w:rPr>
                <w:rFonts w:ascii="Calibri" w:hAnsi="Calibri" w:cs="Calibri"/>
                <w:color w:val="000000" w:themeColor="text1"/>
              </w:rPr>
            </w:pPr>
            <w:r w:rsidRPr="00D11245">
              <w:rPr>
                <w:rFonts w:ascii="Calibri" w:hAnsi="Calibri" w:cs="Calibri"/>
                <w:color w:val="000000" w:themeColor="text1"/>
              </w:rPr>
              <w:t xml:space="preserve">92-100% </w:t>
            </w:r>
            <w:r w:rsidR="00980118" w:rsidRPr="00D11245">
              <w:rPr>
                <w:rFonts w:ascii="Calibri" w:hAnsi="Calibri" w:cs="Calibri"/>
                <w:color w:val="000000" w:themeColor="text1"/>
              </w:rPr>
              <w:fldChar w:fldCharType="begin"/>
            </w:r>
            <w:r w:rsidR="00980118" w:rsidRPr="00D11245">
              <w:rPr>
                <w:rFonts w:ascii="Calibri" w:hAnsi="Calibri" w:cs="Calibri"/>
                <w:color w:val="000000" w:themeColor="text1"/>
              </w:rPr>
              <w:instrText xml:space="preserve"> ADDIN ZOTERO_ITEM CSL_CITATION {"citationID":"0PCuUG0n","properties":{"formattedCitation":"\\super 6\\nosupersub{}","plainCitation":"6","noteIndex":0},"citationItems":[{"id":1684,"uris":["http://zotero.org/groups/2497994/items/8XTEUHWF",["http://zotero.org/groups/2497994/items/8XTEUHWF"]],"itemData":{"id":1684,"type":"article-journal","abstract":"Amebiasis, due to the pathogenic parasite Entamoeba histolytica, is a leading cause of diarrhea globally. Largely an infection of impoverished communities in developing countries, amebiasis has emerged as an important infection among returning travelers, immigrants, and men who have sex with men residing in developed countries. Severe cases can be associated with high case fatality. Polymerase chain reaction-based diagnosis is increasingly available but remains underutilized. Nitroimidazoles are currently recommended for treatment, but new drug development to treat parasitic agents is a high priority. Amebiasis should be considered before corticosteroid therapy to decrease complications. There is no effective vaccine, so prevention focuses on sanitation and access to clean water. Further understanding of parasite biology and pathogenesis will advance future targeted therapeutic and preventative strategies.Copyright © The Author(s) 2018. Published by Oxford University Press on behalf of Infectious Diseases Society of America.","container-title":"Open Forum Infectious Diseases","DOI":"10.1093/ofid/ofy161","ISSN":"2328-8957 (electronic)","issue":"7","journalAbbreviation":"Open Forum Infect. Dis.","language":"English","note":"publisher-place: United States\npublisher: Oxford University Press (E-mail: info@idsociety.org)","page":"ofy161","title":"A review of the global burden, new diagnostics, and current Therapeutics for amebiasis","volume":"5","author":[{"literal":"Shirley D.T."},{"literal":"Farr L."},{"literal":"Watanabe K."},{"literal":"Moonah S."}],"issued":{"date-parts":[["2018"]]}}}],"schema":"https://github.com/citation-style-language/schema/raw/master/csl-citation.json"} </w:instrText>
            </w:r>
            <w:r w:rsidR="00980118" w:rsidRPr="00D11245">
              <w:rPr>
                <w:rFonts w:ascii="Calibri" w:hAnsi="Calibri" w:cs="Calibri"/>
                <w:color w:val="000000" w:themeColor="text1"/>
              </w:rPr>
              <w:fldChar w:fldCharType="separate"/>
            </w:r>
            <w:r w:rsidR="00980118" w:rsidRPr="00D11245">
              <w:rPr>
                <w:rFonts w:ascii="Calibri" w:hAnsi="Calibri" w:cs="Calibri"/>
                <w:color w:val="000000" w:themeColor="text1"/>
                <w:vertAlign w:val="superscript"/>
              </w:rPr>
              <w:t>6</w:t>
            </w:r>
            <w:r w:rsidR="00980118" w:rsidRPr="00D11245">
              <w:rPr>
                <w:rFonts w:ascii="Calibri" w:hAnsi="Calibri" w:cs="Calibri"/>
                <w:color w:val="000000" w:themeColor="text1"/>
              </w:rPr>
              <w:fldChar w:fldCharType="end"/>
            </w:r>
          </w:p>
        </w:tc>
        <w:tc>
          <w:tcPr>
            <w:tcW w:w="524" w:type="pct"/>
          </w:tcPr>
          <w:p w14:paraId="106F0F77" w14:textId="4F7A01D0" w:rsidR="006220DE" w:rsidRPr="00D11245" w:rsidRDefault="006220DE" w:rsidP="004C2AFC">
            <w:pPr>
              <w:rPr>
                <w:rFonts w:ascii="Calibri" w:hAnsi="Calibri" w:cs="Calibri"/>
                <w:color w:val="000000" w:themeColor="text1"/>
              </w:rPr>
            </w:pPr>
            <w:r w:rsidRPr="00D11245">
              <w:rPr>
                <w:rFonts w:ascii="Calibri" w:hAnsi="Calibri" w:cs="Calibri"/>
                <w:color w:val="000000" w:themeColor="text1"/>
              </w:rPr>
              <w:t xml:space="preserve">89-100% </w:t>
            </w:r>
            <w:r w:rsidR="00980118" w:rsidRPr="00D11245">
              <w:rPr>
                <w:rFonts w:ascii="Calibri" w:hAnsi="Calibri" w:cs="Calibri"/>
                <w:color w:val="000000" w:themeColor="text1"/>
              </w:rPr>
              <w:fldChar w:fldCharType="begin"/>
            </w:r>
            <w:r w:rsidR="00980118" w:rsidRPr="00D11245">
              <w:rPr>
                <w:rFonts w:ascii="Calibri" w:hAnsi="Calibri" w:cs="Calibri"/>
                <w:color w:val="000000" w:themeColor="text1"/>
              </w:rPr>
              <w:instrText xml:space="preserve"> ADDIN ZOTERO_ITEM CSL_CITATION {"citationID":"ZOsDaaa3","properties":{"formattedCitation":"\\super 6\\nosupersub{}","plainCitation":"6","noteIndex":0},"citationItems":[{"id":1684,"uris":["http://zotero.org/groups/2497994/items/8XTEUHWF",["http://zotero.org/groups/2497994/items/8XTEUHWF"]],"itemData":{"id":1684,"type":"article-journal","abstract":"Amebiasis, due to the pathogenic parasite Entamoeba histolytica, is a leading cause of diarrhea globally. Largely an infection of impoverished communities in developing countries, amebiasis has emerged as an important infection among returning travelers, immigrants, and men who have sex with men residing in developed countries. Severe cases can be associated with high case fatality. Polymerase chain reaction-based diagnosis is increasingly available but remains underutilized. Nitroimidazoles are currently recommended for treatment, but new drug development to treat parasitic agents is a high priority. Amebiasis should be considered before corticosteroid therapy to decrease complications. There is no effective vaccine, so prevention focuses on sanitation and access to clean water. Further understanding of parasite biology and pathogenesis will advance future targeted therapeutic and preventative strategies.Copyright © The Author(s) 2018. Published by Oxford University Press on behalf of Infectious Diseases Society of America.","container-title":"Open Forum Infectious Diseases","DOI":"10.1093/ofid/ofy161","ISSN":"2328-8957 (electronic)","issue":"7","journalAbbreviation":"Open Forum Infect. Dis.","language":"English","note":"publisher-place: United States\npublisher: Oxford University Press (E-mail: info@idsociety.org)","page":"ofy161","title":"A review of the global burden, new diagnostics, and current Therapeutics for amebiasis","volume":"5","author":[{"literal":"Shirley D.T."},{"literal":"Farr L."},{"literal":"Watanabe K."},{"literal":"Moonah S."}],"issued":{"date-parts":[["2018"]]}}}],"schema":"https://github.com/citation-style-language/schema/raw/master/csl-citation.json"} </w:instrText>
            </w:r>
            <w:r w:rsidR="00980118" w:rsidRPr="00D11245">
              <w:rPr>
                <w:rFonts w:ascii="Calibri" w:hAnsi="Calibri" w:cs="Calibri"/>
                <w:color w:val="000000" w:themeColor="text1"/>
              </w:rPr>
              <w:fldChar w:fldCharType="separate"/>
            </w:r>
            <w:r w:rsidR="00980118" w:rsidRPr="00D11245">
              <w:rPr>
                <w:rFonts w:ascii="Calibri" w:hAnsi="Calibri" w:cs="Calibri"/>
                <w:color w:val="000000" w:themeColor="text1"/>
                <w:vertAlign w:val="superscript"/>
              </w:rPr>
              <w:t>6</w:t>
            </w:r>
            <w:r w:rsidR="00980118" w:rsidRPr="00D11245">
              <w:rPr>
                <w:rFonts w:ascii="Calibri" w:hAnsi="Calibri" w:cs="Calibri"/>
                <w:color w:val="000000" w:themeColor="text1"/>
              </w:rPr>
              <w:fldChar w:fldCharType="end"/>
            </w:r>
          </w:p>
        </w:tc>
        <w:tc>
          <w:tcPr>
            <w:tcW w:w="988" w:type="pct"/>
          </w:tcPr>
          <w:p w14:paraId="1689151C" w14:textId="5C7BB22B" w:rsidR="006220DE" w:rsidRPr="00D11245" w:rsidRDefault="006220DE" w:rsidP="008A4E58">
            <w:pPr>
              <w:rPr>
                <w:rFonts w:ascii="Calibri" w:hAnsi="Calibri" w:cs="Calibri"/>
                <w:color w:val="000000" w:themeColor="text1"/>
              </w:rPr>
            </w:pPr>
            <w:r w:rsidRPr="00D11245">
              <w:rPr>
                <w:rFonts w:ascii="Calibri" w:hAnsi="Calibri" w:cs="Calibri"/>
                <w:color w:val="000000" w:themeColor="text1"/>
              </w:rPr>
              <w:t xml:space="preserve">Can differentiate </w:t>
            </w:r>
            <w:r w:rsidRPr="00D11245">
              <w:rPr>
                <w:rFonts w:ascii="Calibri" w:hAnsi="Calibri" w:cs="Calibri"/>
                <w:i/>
                <w:iCs/>
                <w:color w:val="000000" w:themeColor="text1"/>
              </w:rPr>
              <w:t>Entamoeba</w:t>
            </w:r>
            <w:r w:rsidRPr="00D11245">
              <w:rPr>
                <w:rFonts w:ascii="Calibri" w:hAnsi="Calibri" w:cs="Calibri"/>
                <w:color w:val="000000" w:themeColor="text1"/>
              </w:rPr>
              <w:t xml:space="preserve"> species</w:t>
            </w:r>
          </w:p>
          <w:p w14:paraId="23FB8BE5" w14:textId="77777777" w:rsidR="006220DE" w:rsidRPr="00D11245" w:rsidRDefault="006220DE" w:rsidP="00B57622">
            <w:pPr>
              <w:rPr>
                <w:rFonts w:ascii="Calibri" w:hAnsi="Calibri" w:cs="Calibri"/>
                <w:color w:val="000000" w:themeColor="text1"/>
              </w:rPr>
            </w:pPr>
          </w:p>
        </w:tc>
        <w:tc>
          <w:tcPr>
            <w:tcW w:w="879" w:type="pct"/>
          </w:tcPr>
          <w:p w14:paraId="043296ED" w14:textId="431D7A14" w:rsidR="006220DE" w:rsidRPr="00D11245" w:rsidRDefault="006220DE" w:rsidP="004C2AFC">
            <w:pPr>
              <w:rPr>
                <w:rFonts w:ascii="Calibri" w:hAnsi="Calibri" w:cs="Calibri"/>
                <w:color w:val="000000" w:themeColor="text1"/>
              </w:rPr>
            </w:pPr>
            <w:r w:rsidRPr="00D11245">
              <w:rPr>
                <w:rFonts w:ascii="Calibri" w:hAnsi="Calibri" w:cs="Calibri"/>
                <w:color w:val="000000" w:themeColor="text1"/>
              </w:rPr>
              <w:t xml:space="preserve">Expensive </w:t>
            </w:r>
          </w:p>
          <w:p w14:paraId="438D7002" w14:textId="025D08E0" w:rsidR="006220DE" w:rsidRPr="00D11245" w:rsidRDefault="006220DE" w:rsidP="004C2AFC">
            <w:pPr>
              <w:rPr>
                <w:rFonts w:ascii="Calibri" w:hAnsi="Calibri" w:cs="Calibri"/>
                <w:color w:val="000000" w:themeColor="text1"/>
              </w:rPr>
            </w:pPr>
            <w:r w:rsidRPr="00D11245">
              <w:rPr>
                <w:rFonts w:ascii="Calibri" w:hAnsi="Calibri" w:cs="Calibri"/>
                <w:color w:val="000000" w:themeColor="text1"/>
              </w:rPr>
              <w:t>Requires laboratory skill</w:t>
            </w:r>
          </w:p>
          <w:p w14:paraId="23D4C78F" w14:textId="6BF4A6F7" w:rsidR="006220DE" w:rsidRPr="00D11245" w:rsidRDefault="006220DE" w:rsidP="004C2AFC">
            <w:pPr>
              <w:rPr>
                <w:rFonts w:ascii="Calibri" w:hAnsi="Calibri" w:cs="Calibri"/>
                <w:color w:val="000000" w:themeColor="text1"/>
              </w:rPr>
            </w:pPr>
            <w:r w:rsidRPr="00D11245">
              <w:rPr>
                <w:rFonts w:ascii="Calibri" w:hAnsi="Calibri" w:cs="Calibri"/>
                <w:i/>
                <w:iCs/>
                <w:color w:val="000000" w:themeColor="text1"/>
              </w:rPr>
              <w:t>E. histolytica</w:t>
            </w:r>
            <w:r w:rsidRPr="00D11245">
              <w:rPr>
                <w:rFonts w:ascii="Calibri" w:hAnsi="Calibri" w:cs="Calibri"/>
                <w:color w:val="000000" w:themeColor="text1"/>
              </w:rPr>
              <w:t xml:space="preserve"> may not feature </w:t>
            </w:r>
            <w:r w:rsidR="00893678" w:rsidRPr="00D11245">
              <w:rPr>
                <w:rFonts w:ascii="Calibri" w:hAnsi="Calibri" w:cs="Calibri"/>
                <w:color w:val="000000" w:themeColor="text1"/>
              </w:rPr>
              <w:t xml:space="preserve">in </w:t>
            </w:r>
            <w:r w:rsidRPr="00D11245">
              <w:rPr>
                <w:rFonts w:ascii="Calibri" w:hAnsi="Calibri" w:cs="Calibri"/>
                <w:color w:val="000000" w:themeColor="text1"/>
              </w:rPr>
              <w:t xml:space="preserve">routinely tested pathogen panels </w:t>
            </w:r>
          </w:p>
        </w:tc>
      </w:tr>
      <w:tr w:rsidR="00D11245" w:rsidRPr="00D11245" w14:paraId="2932AB19" w14:textId="77777777" w:rsidTr="00D064E6">
        <w:tc>
          <w:tcPr>
            <w:tcW w:w="570" w:type="pct"/>
            <w:shd w:val="clear" w:color="auto" w:fill="DEEAF6" w:themeFill="accent5" w:themeFillTint="33"/>
          </w:tcPr>
          <w:p w14:paraId="28E96D58" w14:textId="07D80A26" w:rsidR="006220DE" w:rsidRPr="00D11245" w:rsidRDefault="006220DE" w:rsidP="00B57622">
            <w:pPr>
              <w:rPr>
                <w:rFonts w:ascii="Calibri" w:hAnsi="Calibri" w:cs="Calibri"/>
                <w:b/>
                <w:bCs/>
                <w:color w:val="000000" w:themeColor="text1"/>
              </w:rPr>
            </w:pPr>
            <w:r w:rsidRPr="00D11245">
              <w:rPr>
                <w:rFonts w:ascii="Calibri" w:hAnsi="Calibri" w:cs="Calibri"/>
                <w:b/>
                <w:bCs/>
                <w:color w:val="000000" w:themeColor="text1"/>
              </w:rPr>
              <w:t>Serology / antibody testing</w:t>
            </w:r>
          </w:p>
        </w:tc>
        <w:tc>
          <w:tcPr>
            <w:tcW w:w="569" w:type="pct"/>
          </w:tcPr>
          <w:p w14:paraId="1E148C8E" w14:textId="77777777" w:rsidR="006220DE" w:rsidRPr="00D11245" w:rsidRDefault="006220DE" w:rsidP="004C2AFC">
            <w:pPr>
              <w:rPr>
                <w:rFonts w:ascii="Calibri" w:hAnsi="Calibri" w:cs="Calibri"/>
                <w:color w:val="000000" w:themeColor="text1"/>
              </w:rPr>
            </w:pPr>
            <w:r w:rsidRPr="00D11245">
              <w:rPr>
                <w:rFonts w:ascii="Calibri" w:hAnsi="Calibri" w:cs="Calibri"/>
                <w:color w:val="000000" w:themeColor="text1"/>
              </w:rPr>
              <w:t>Serum</w:t>
            </w:r>
          </w:p>
        </w:tc>
        <w:tc>
          <w:tcPr>
            <w:tcW w:w="975" w:type="pct"/>
          </w:tcPr>
          <w:p w14:paraId="1560F749" w14:textId="77496CED" w:rsidR="006220DE" w:rsidRPr="00D11245" w:rsidRDefault="006220DE" w:rsidP="004C2AFC">
            <w:pPr>
              <w:rPr>
                <w:rFonts w:ascii="Calibri" w:hAnsi="Calibri" w:cs="Calibri"/>
                <w:color w:val="000000" w:themeColor="text1"/>
              </w:rPr>
            </w:pPr>
            <w:r w:rsidRPr="00D11245">
              <w:rPr>
                <w:rFonts w:ascii="Calibri" w:hAnsi="Calibri" w:cs="Calibri"/>
                <w:color w:val="000000" w:themeColor="text1"/>
              </w:rPr>
              <w:t xml:space="preserve">Detects IgG to </w:t>
            </w:r>
            <w:r w:rsidRPr="00D11245">
              <w:rPr>
                <w:rFonts w:ascii="Calibri" w:hAnsi="Calibri" w:cs="Calibri"/>
                <w:i/>
                <w:iCs/>
                <w:color w:val="000000" w:themeColor="text1"/>
              </w:rPr>
              <w:t>E. histolytica</w:t>
            </w:r>
            <w:r w:rsidRPr="00D11245">
              <w:rPr>
                <w:rFonts w:ascii="Calibri" w:hAnsi="Calibri" w:cs="Calibri"/>
                <w:color w:val="000000" w:themeColor="text1"/>
              </w:rPr>
              <w:t xml:space="preserve"> specific antigen</w:t>
            </w:r>
          </w:p>
        </w:tc>
        <w:tc>
          <w:tcPr>
            <w:tcW w:w="495" w:type="pct"/>
          </w:tcPr>
          <w:p w14:paraId="0D41E50F" w14:textId="16A45CDC" w:rsidR="006220DE" w:rsidRPr="00D11245" w:rsidRDefault="006220DE" w:rsidP="004C2AFC">
            <w:pPr>
              <w:rPr>
                <w:rFonts w:ascii="Calibri" w:hAnsi="Calibri" w:cs="Calibri"/>
                <w:color w:val="000000" w:themeColor="text1"/>
              </w:rPr>
            </w:pPr>
            <w:r w:rsidRPr="00D11245">
              <w:rPr>
                <w:rFonts w:ascii="Calibri" w:hAnsi="Calibri" w:cs="Calibri"/>
                <w:color w:val="000000" w:themeColor="text1"/>
              </w:rPr>
              <w:t xml:space="preserve">65-92% </w:t>
            </w:r>
            <w:r w:rsidR="00980118" w:rsidRPr="00D11245">
              <w:rPr>
                <w:rFonts w:ascii="Calibri" w:hAnsi="Calibri" w:cs="Calibri"/>
                <w:color w:val="000000" w:themeColor="text1"/>
              </w:rPr>
              <w:fldChar w:fldCharType="begin"/>
            </w:r>
            <w:r w:rsidR="00980118" w:rsidRPr="00D11245">
              <w:rPr>
                <w:rFonts w:ascii="Calibri" w:hAnsi="Calibri" w:cs="Calibri"/>
                <w:color w:val="000000" w:themeColor="text1"/>
              </w:rPr>
              <w:instrText xml:space="preserve"> ADDIN ZOTERO_ITEM CSL_CITATION {"citationID":"QOCHf4ND","properties":{"formattedCitation":"\\super 6\\nosupersub{}","plainCitation":"6","noteIndex":0},"citationItems":[{"id":1684,"uris":["http://zotero.org/groups/2497994/items/8XTEUHWF",["http://zotero.org/groups/2497994/items/8XTEUHWF"]],"itemData":{"id":1684,"type":"article-journal","abstract":"Amebiasis, due to the pathogenic parasite Entamoeba histolytica, is a leading cause of diarrhea globally. Largely an infection of impoverished communities in developing countries, amebiasis has emerged as an important infection among returning travelers, immigrants, and men who have sex with men residing in developed countries. Severe cases can be associated with high case fatality. Polymerase chain reaction-based diagnosis is increasingly available but remains underutilized. Nitroimidazoles are currently recommended for treatment, but new drug development to treat parasitic agents is a high priority. Amebiasis should be considered before corticosteroid therapy to decrease complications. There is no effective vaccine, so prevention focuses on sanitation and access to clean water. Further understanding of parasite biology and pathogenesis will advance future targeted therapeutic and preventative strategies.Copyright © The Author(s) 2018. Published by Oxford University Press on behalf of Infectious Diseases Society of America.","container-title":"Open Forum Infectious Diseases","DOI":"10.1093/ofid/ofy161","ISSN":"2328-8957 (electronic)","issue":"7","journalAbbreviation":"Open Forum Infect. Dis.","language":"English","note":"publisher-place: United States\npublisher: Oxford University Press (E-mail: info@idsociety.org)","page":"ofy161","title":"A review of the global burden, new diagnostics, and current Therapeutics for amebiasis","volume":"5","author":[{"literal":"Shirley D.T."},{"literal":"Farr L."},{"literal":"Watanabe K."},{"literal":"Moonah S."}],"issued":{"date-parts":[["2018"]]}}}],"schema":"https://github.com/citation-style-language/schema/raw/master/csl-citation.json"} </w:instrText>
            </w:r>
            <w:r w:rsidR="00980118" w:rsidRPr="00D11245">
              <w:rPr>
                <w:rFonts w:ascii="Calibri" w:hAnsi="Calibri" w:cs="Calibri"/>
                <w:color w:val="000000" w:themeColor="text1"/>
              </w:rPr>
              <w:fldChar w:fldCharType="separate"/>
            </w:r>
            <w:r w:rsidR="00980118" w:rsidRPr="00D11245">
              <w:rPr>
                <w:rFonts w:ascii="Calibri" w:hAnsi="Calibri" w:cs="Calibri"/>
                <w:color w:val="000000" w:themeColor="text1"/>
                <w:vertAlign w:val="superscript"/>
              </w:rPr>
              <w:t>6</w:t>
            </w:r>
            <w:r w:rsidR="00980118" w:rsidRPr="00D11245">
              <w:rPr>
                <w:rFonts w:ascii="Calibri" w:hAnsi="Calibri" w:cs="Calibri"/>
                <w:color w:val="000000" w:themeColor="text1"/>
              </w:rPr>
              <w:fldChar w:fldCharType="end"/>
            </w:r>
          </w:p>
        </w:tc>
        <w:tc>
          <w:tcPr>
            <w:tcW w:w="524" w:type="pct"/>
          </w:tcPr>
          <w:p w14:paraId="25711B14" w14:textId="3A8B24A9" w:rsidR="006220DE" w:rsidRPr="00D11245" w:rsidRDefault="006220DE" w:rsidP="004C2AFC">
            <w:pPr>
              <w:rPr>
                <w:rFonts w:ascii="Calibri" w:hAnsi="Calibri" w:cs="Calibri"/>
                <w:color w:val="000000" w:themeColor="text1"/>
              </w:rPr>
            </w:pPr>
            <w:r w:rsidRPr="00D11245">
              <w:rPr>
                <w:rFonts w:ascii="Calibri" w:hAnsi="Calibri" w:cs="Calibri"/>
                <w:color w:val="000000" w:themeColor="text1"/>
              </w:rPr>
              <w:t xml:space="preserve">&gt;90% </w:t>
            </w:r>
            <w:r w:rsidR="00980118" w:rsidRPr="00D11245">
              <w:rPr>
                <w:rFonts w:ascii="Calibri" w:hAnsi="Calibri" w:cs="Calibri"/>
                <w:color w:val="000000" w:themeColor="text1"/>
              </w:rPr>
              <w:fldChar w:fldCharType="begin"/>
            </w:r>
            <w:r w:rsidR="00980118" w:rsidRPr="00D11245">
              <w:rPr>
                <w:rFonts w:ascii="Calibri" w:hAnsi="Calibri" w:cs="Calibri"/>
                <w:color w:val="000000" w:themeColor="text1"/>
              </w:rPr>
              <w:instrText xml:space="preserve"> ADDIN ZOTERO_ITEM CSL_CITATION {"citationID":"QygTUcyc","properties":{"formattedCitation":"\\super 6\\nosupersub{}","plainCitation":"6","noteIndex":0},"citationItems":[{"id":1684,"uris":["http://zotero.org/groups/2497994/items/8XTEUHWF",["http://zotero.org/groups/2497994/items/8XTEUHWF"]],"itemData":{"id":1684,"type":"article-journal","abstract":"Amebiasis, due to the pathogenic parasite Entamoeba histolytica, is a leading cause of diarrhea globally. Largely an infection of impoverished communities in developing countries, amebiasis has emerged as an important infection among returning travelers, immigrants, and men who have sex with men residing in developed countries. Severe cases can be associated with high case fatality. Polymerase chain reaction-based diagnosis is increasingly available but remains underutilized. Nitroimidazoles are currently recommended for treatment, but new drug development to treat parasitic agents is a high priority. Amebiasis should be considered before corticosteroid therapy to decrease complications. There is no effective vaccine, so prevention focuses on sanitation and access to clean water. Further understanding of parasite biology and pathogenesis will advance future targeted therapeutic and preventative strategies.Copyright © The Author(s) 2018. Published by Oxford University Press on behalf of Infectious Diseases Society of America.","container-title":"Open Forum Infectious Diseases","DOI":"10.1093/ofid/ofy161","ISSN":"2328-8957 (electronic)","issue":"7","journalAbbreviation":"Open Forum Infect. Dis.","language":"English","note":"publisher-place: United States\npublisher: Oxford University Press (E-mail: info@idsociety.org)","page":"ofy161","title":"A review of the global burden, new diagnostics, and current Therapeutics for amebiasis","volume":"5","author":[{"literal":"Shirley D.T."},{"literal":"Farr L."},{"literal":"Watanabe K."},{"literal":"Moonah S."}],"issued":{"date-parts":[["2018"]]}}}],"schema":"https://github.com/citation-style-language/schema/raw/master/csl-citation.json"} </w:instrText>
            </w:r>
            <w:r w:rsidR="00980118" w:rsidRPr="00D11245">
              <w:rPr>
                <w:rFonts w:ascii="Calibri" w:hAnsi="Calibri" w:cs="Calibri"/>
                <w:color w:val="000000" w:themeColor="text1"/>
              </w:rPr>
              <w:fldChar w:fldCharType="separate"/>
            </w:r>
            <w:r w:rsidR="00980118" w:rsidRPr="00D11245">
              <w:rPr>
                <w:rFonts w:ascii="Calibri" w:hAnsi="Calibri" w:cs="Calibri"/>
                <w:color w:val="000000" w:themeColor="text1"/>
                <w:vertAlign w:val="superscript"/>
              </w:rPr>
              <w:t>6</w:t>
            </w:r>
            <w:r w:rsidR="00980118" w:rsidRPr="00D11245">
              <w:rPr>
                <w:rFonts w:ascii="Calibri" w:hAnsi="Calibri" w:cs="Calibri"/>
                <w:color w:val="000000" w:themeColor="text1"/>
              </w:rPr>
              <w:fldChar w:fldCharType="end"/>
            </w:r>
          </w:p>
        </w:tc>
        <w:tc>
          <w:tcPr>
            <w:tcW w:w="988" w:type="pct"/>
          </w:tcPr>
          <w:p w14:paraId="1CDA156D" w14:textId="18ED76C8" w:rsidR="006220DE" w:rsidRPr="00D11245" w:rsidRDefault="006220DE" w:rsidP="008A4E58">
            <w:pPr>
              <w:rPr>
                <w:rFonts w:ascii="Calibri" w:hAnsi="Calibri" w:cs="Calibri"/>
                <w:color w:val="000000" w:themeColor="text1"/>
              </w:rPr>
            </w:pPr>
            <w:r w:rsidRPr="00D11245">
              <w:rPr>
                <w:rFonts w:ascii="Calibri" w:hAnsi="Calibri" w:cs="Calibri"/>
                <w:color w:val="000000" w:themeColor="text1"/>
              </w:rPr>
              <w:t>Useful for both intestinal and extra-intestinal infection</w:t>
            </w:r>
          </w:p>
        </w:tc>
        <w:tc>
          <w:tcPr>
            <w:tcW w:w="879" w:type="pct"/>
          </w:tcPr>
          <w:p w14:paraId="132396C6" w14:textId="351AF6D3" w:rsidR="006220DE" w:rsidRPr="00D11245" w:rsidRDefault="00DF29E0" w:rsidP="008A4E58">
            <w:pPr>
              <w:rPr>
                <w:rFonts w:ascii="Calibri" w:hAnsi="Calibri" w:cs="Calibri"/>
                <w:color w:val="000000" w:themeColor="text1"/>
              </w:rPr>
            </w:pPr>
            <w:r w:rsidRPr="00D11245">
              <w:rPr>
                <w:rFonts w:ascii="Calibri" w:hAnsi="Calibri" w:cs="Calibri"/>
                <w:color w:val="000000" w:themeColor="text1"/>
              </w:rPr>
              <w:t xml:space="preserve">Lower sensitivity for intestinal amoebiasis </w:t>
            </w:r>
            <w:r w:rsidR="00B2689D" w:rsidRPr="00D11245">
              <w:rPr>
                <w:rFonts w:ascii="Calibri" w:hAnsi="Calibri" w:cs="Calibri"/>
                <w:color w:val="000000" w:themeColor="text1"/>
              </w:rPr>
              <w:t>(</w:t>
            </w:r>
            <w:r w:rsidR="003F7258" w:rsidRPr="00D11245">
              <w:rPr>
                <w:rFonts w:ascii="Calibri" w:hAnsi="Calibri" w:cs="Calibri"/>
                <w:color w:val="000000" w:themeColor="text1"/>
              </w:rPr>
              <w:t>~</w:t>
            </w:r>
            <w:r w:rsidR="005270C7" w:rsidRPr="00D11245">
              <w:rPr>
                <w:rFonts w:ascii="Calibri" w:hAnsi="Calibri" w:cs="Calibri"/>
                <w:color w:val="000000" w:themeColor="text1"/>
              </w:rPr>
              <w:t xml:space="preserve"> 60%) than ALA (</w:t>
            </w:r>
            <w:r w:rsidR="003F7258" w:rsidRPr="00D11245">
              <w:rPr>
                <w:rFonts w:ascii="Calibri" w:hAnsi="Calibri" w:cs="Calibri"/>
                <w:color w:val="000000" w:themeColor="text1"/>
              </w:rPr>
              <w:t>~</w:t>
            </w:r>
            <w:r w:rsidR="005270C7" w:rsidRPr="00D11245">
              <w:rPr>
                <w:rFonts w:ascii="Calibri" w:hAnsi="Calibri" w:cs="Calibri"/>
                <w:color w:val="000000" w:themeColor="text1"/>
              </w:rPr>
              <w:t xml:space="preserve">95%). </w:t>
            </w:r>
            <w:r w:rsidR="006220DE" w:rsidRPr="00D11245">
              <w:rPr>
                <w:rFonts w:ascii="Calibri" w:hAnsi="Calibri" w:cs="Calibri"/>
                <w:color w:val="000000" w:themeColor="text1"/>
              </w:rPr>
              <w:t>Suitable for use in non-endemic regions</w:t>
            </w:r>
          </w:p>
          <w:p w14:paraId="7574A619" w14:textId="64F481C7" w:rsidR="006220DE" w:rsidRPr="00D11245" w:rsidRDefault="006220DE" w:rsidP="008A4E58">
            <w:pPr>
              <w:rPr>
                <w:rFonts w:ascii="Calibri" w:hAnsi="Calibri" w:cs="Calibri"/>
                <w:color w:val="000000" w:themeColor="text1"/>
              </w:rPr>
            </w:pPr>
            <w:r w:rsidRPr="00D11245">
              <w:rPr>
                <w:rFonts w:ascii="Calibri" w:hAnsi="Calibri" w:cs="Calibri"/>
                <w:color w:val="000000" w:themeColor="text1"/>
              </w:rPr>
              <w:t>False positives in endemic countries</w:t>
            </w:r>
          </w:p>
          <w:p w14:paraId="1715136E" w14:textId="77777777" w:rsidR="006220DE" w:rsidRPr="00D11245" w:rsidRDefault="006220DE" w:rsidP="008A4E58">
            <w:pPr>
              <w:rPr>
                <w:rFonts w:ascii="Calibri" w:hAnsi="Calibri" w:cs="Calibri"/>
                <w:color w:val="000000" w:themeColor="text1"/>
              </w:rPr>
            </w:pPr>
            <w:r w:rsidRPr="00D11245">
              <w:rPr>
                <w:rFonts w:ascii="Calibri" w:hAnsi="Calibri" w:cs="Calibri"/>
                <w:color w:val="000000" w:themeColor="text1"/>
              </w:rPr>
              <w:t>Positive within 7-14 days of symptoms</w:t>
            </w:r>
          </w:p>
          <w:p w14:paraId="1E9730AA" w14:textId="114267DE" w:rsidR="006220DE" w:rsidRPr="00D11245" w:rsidRDefault="006220DE" w:rsidP="008A4E58">
            <w:pPr>
              <w:rPr>
                <w:rFonts w:ascii="Calibri" w:hAnsi="Calibri" w:cs="Calibri"/>
                <w:color w:val="000000" w:themeColor="text1"/>
              </w:rPr>
            </w:pPr>
            <w:r w:rsidRPr="00D11245">
              <w:rPr>
                <w:rFonts w:ascii="Calibri" w:hAnsi="Calibri" w:cs="Calibri"/>
                <w:color w:val="000000" w:themeColor="text1"/>
              </w:rPr>
              <w:lastRenderedPageBreak/>
              <w:t xml:space="preserve">Can remain positive for years after resolution of infection </w:t>
            </w:r>
          </w:p>
        </w:tc>
      </w:tr>
      <w:tr w:rsidR="00D11245" w:rsidRPr="00D11245" w14:paraId="70EF9D25" w14:textId="77777777" w:rsidTr="00D064E6">
        <w:tc>
          <w:tcPr>
            <w:tcW w:w="570" w:type="pct"/>
            <w:shd w:val="clear" w:color="auto" w:fill="DEEAF6" w:themeFill="accent5" w:themeFillTint="33"/>
          </w:tcPr>
          <w:p w14:paraId="6ED16657" w14:textId="7F732375" w:rsidR="006220DE" w:rsidRPr="00D11245" w:rsidRDefault="006220DE" w:rsidP="00C04983">
            <w:pPr>
              <w:rPr>
                <w:rFonts w:ascii="Calibri" w:hAnsi="Calibri" w:cs="Calibri"/>
                <w:b/>
                <w:bCs/>
                <w:color w:val="000000" w:themeColor="text1"/>
              </w:rPr>
            </w:pPr>
            <w:r w:rsidRPr="00D11245">
              <w:rPr>
                <w:rFonts w:ascii="Calibri" w:hAnsi="Calibri" w:cs="Calibri"/>
                <w:b/>
                <w:bCs/>
                <w:color w:val="000000" w:themeColor="text1"/>
              </w:rPr>
              <w:t xml:space="preserve">Point of Care </w:t>
            </w:r>
            <w:r w:rsidR="00F218A8" w:rsidRPr="00D11245">
              <w:rPr>
                <w:rFonts w:ascii="Calibri" w:hAnsi="Calibri" w:cs="Calibri"/>
                <w:b/>
                <w:bCs/>
                <w:color w:val="000000" w:themeColor="text1"/>
              </w:rPr>
              <w:t>antigen detection</w:t>
            </w:r>
          </w:p>
        </w:tc>
        <w:tc>
          <w:tcPr>
            <w:tcW w:w="569" w:type="pct"/>
          </w:tcPr>
          <w:p w14:paraId="72501675" w14:textId="4808A069" w:rsidR="006220DE" w:rsidRPr="00D11245" w:rsidRDefault="006220DE" w:rsidP="008A4E58">
            <w:pPr>
              <w:rPr>
                <w:rFonts w:ascii="Calibri" w:hAnsi="Calibri" w:cs="Calibri"/>
                <w:color w:val="000000" w:themeColor="text1"/>
              </w:rPr>
            </w:pPr>
            <w:r w:rsidRPr="00D11245">
              <w:rPr>
                <w:rFonts w:ascii="Calibri" w:hAnsi="Calibri" w:cs="Calibri"/>
                <w:color w:val="000000" w:themeColor="text1"/>
              </w:rPr>
              <w:t>Stool</w:t>
            </w:r>
          </w:p>
        </w:tc>
        <w:tc>
          <w:tcPr>
            <w:tcW w:w="975" w:type="pct"/>
          </w:tcPr>
          <w:p w14:paraId="057A7447" w14:textId="0DFEBE87" w:rsidR="006220DE" w:rsidRPr="00D11245" w:rsidRDefault="006220DE" w:rsidP="008A4E58">
            <w:pPr>
              <w:rPr>
                <w:rFonts w:ascii="Calibri" w:hAnsi="Calibri" w:cs="Calibri"/>
                <w:color w:val="000000" w:themeColor="text1"/>
              </w:rPr>
            </w:pPr>
            <w:r w:rsidRPr="00D11245">
              <w:rPr>
                <w:rFonts w:ascii="Calibri" w:hAnsi="Calibri" w:cs="Calibri"/>
                <w:color w:val="000000" w:themeColor="text1"/>
              </w:rPr>
              <w:t>Monoclonal antibody based</w:t>
            </w:r>
          </w:p>
        </w:tc>
        <w:tc>
          <w:tcPr>
            <w:tcW w:w="495" w:type="pct"/>
          </w:tcPr>
          <w:p w14:paraId="7DEFA0FF" w14:textId="0D032B15" w:rsidR="006220DE" w:rsidRPr="00D11245" w:rsidRDefault="00975C41" w:rsidP="008A4E58">
            <w:pPr>
              <w:rPr>
                <w:rFonts w:ascii="Calibri" w:hAnsi="Calibri" w:cs="Calibri"/>
                <w:color w:val="000000" w:themeColor="text1"/>
              </w:rPr>
            </w:pPr>
            <w:r w:rsidRPr="00D11245">
              <w:rPr>
                <w:rFonts w:ascii="Calibri" w:hAnsi="Calibri" w:cs="Calibri"/>
                <w:color w:val="000000" w:themeColor="text1"/>
              </w:rPr>
              <w:t xml:space="preserve">28-100% </w:t>
            </w:r>
            <w:r w:rsidR="00980118" w:rsidRPr="00D11245">
              <w:rPr>
                <w:rFonts w:ascii="Calibri" w:hAnsi="Calibri" w:cs="Calibri"/>
                <w:color w:val="000000" w:themeColor="text1"/>
              </w:rPr>
              <w:fldChar w:fldCharType="begin"/>
            </w:r>
            <w:r w:rsidR="009C3E63" w:rsidRPr="00D11245">
              <w:rPr>
                <w:rFonts w:ascii="Calibri" w:hAnsi="Calibri" w:cs="Calibri"/>
                <w:color w:val="000000" w:themeColor="text1"/>
              </w:rPr>
              <w:instrText xml:space="preserve"> ADDIN ZOTERO_ITEM CSL_CITATION {"citationID":"dMhc0ZoL","properties":{"formattedCitation":"\\super 115\\nosupersub{}","plainCitation":"115","noteIndex":0},"citationItems":[{"id":2882,"uris":["http://zotero.org/groups/2497994/items/PRV65LKJ"],"itemData":{"id":2882,"type":"article-journal","abstract":"Amoebiasis, an enteric protozoan disease caused by Entamoeba histolytica, is a public health problem in many developing countries, causing up to 100,000 fatal cases annually. Detection of the pathogenic E. histolytica and its differentiation from the non-pathogenic Entamoeba spp. play a crucial role in the clinical management of patients. Laboratory diagnosis of intestinal amoebiasis in developing countries still relies on labour-intensive and insensitive methods involving staining of stool sample and microscopy. Newer and more sensitive methods include a variety of antigen detection ELISAs and rapid tests; however, their diagnostic sensitivity and specificity seem to vary between studies, and some tests do not distinguish among the Entamoeba species. Molecular detection techniques are highly sensitive and specific and isothermal amplification approaches may be developed into field-applicable tests; however, cost is still a barrier for their use as a routine laboratory test method in most endemic areas. Laboratory diagnosis of extraintestinal amoebiasis faces challenges of lack of definitive detection of current infection and commercially available point-of-care tests. For both types of amoebiasis, there is still a need for highly sensitive and specific tests that are rapid and cost-effective for use in developing countries where the disease is prevalent. In recent years, new molecules of diagnostic value are being discovered and new tests developed. The advances in 'omics' technologies are enabling discoveries of new biomarkers that may help distinguish between different infection stages.","archive":"Pubmed","container-title":"European journal of clinical microbiology &amp; infectious diseases : official publication of the European Society of Clinical Microbiology","DOI":"10.1007/s10096-018-3379-3","ISSN":"0934-9723","issue":"1","page":"15-38","title":"Update on laboratory diagnosis of amoebiasis.","volume":"38","author":[{"family":"Saidin","given":"Syazwan"},{"family":"Othman","given":"Nurulhasanah"},{"family":"Noordin","given":"Rahmah"}],"issued":{"date-parts":[["2019",1,1]]}}}],"schema":"https://github.com/citation-style-language/schema/raw/master/csl-citation.json"} </w:instrText>
            </w:r>
            <w:r w:rsidR="00980118" w:rsidRPr="00D11245">
              <w:rPr>
                <w:rFonts w:ascii="Calibri" w:hAnsi="Calibri" w:cs="Calibri"/>
                <w:color w:val="000000" w:themeColor="text1"/>
              </w:rPr>
              <w:fldChar w:fldCharType="separate"/>
            </w:r>
            <w:r w:rsidR="009C3E63" w:rsidRPr="00D11245">
              <w:rPr>
                <w:rFonts w:ascii="Calibri" w:hAnsi="Calibri" w:cs="Calibri"/>
                <w:color w:val="000000" w:themeColor="text1"/>
                <w:vertAlign w:val="superscript"/>
              </w:rPr>
              <w:t>115</w:t>
            </w:r>
            <w:r w:rsidR="00980118" w:rsidRPr="00D11245">
              <w:rPr>
                <w:rFonts w:ascii="Calibri" w:hAnsi="Calibri" w:cs="Calibri"/>
                <w:color w:val="000000" w:themeColor="text1"/>
              </w:rPr>
              <w:fldChar w:fldCharType="end"/>
            </w:r>
          </w:p>
        </w:tc>
        <w:tc>
          <w:tcPr>
            <w:tcW w:w="524" w:type="pct"/>
          </w:tcPr>
          <w:p w14:paraId="08E02F7C" w14:textId="1FD92DAF" w:rsidR="006220DE" w:rsidRPr="00D11245" w:rsidRDefault="00975C41" w:rsidP="008A4E58">
            <w:pPr>
              <w:rPr>
                <w:rFonts w:ascii="Calibri" w:hAnsi="Calibri" w:cs="Calibri"/>
                <w:color w:val="000000" w:themeColor="text1"/>
              </w:rPr>
            </w:pPr>
            <w:r w:rsidRPr="00D11245">
              <w:rPr>
                <w:rFonts w:ascii="Calibri" w:hAnsi="Calibri" w:cs="Calibri"/>
                <w:color w:val="000000" w:themeColor="text1"/>
              </w:rPr>
              <w:t xml:space="preserve">80-100% </w:t>
            </w:r>
            <w:r w:rsidR="00980118" w:rsidRPr="00D11245">
              <w:rPr>
                <w:rFonts w:ascii="Calibri" w:hAnsi="Calibri" w:cs="Calibri"/>
                <w:color w:val="000000" w:themeColor="text1"/>
              </w:rPr>
              <w:fldChar w:fldCharType="begin"/>
            </w:r>
            <w:r w:rsidR="009C3E63" w:rsidRPr="00D11245">
              <w:rPr>
                <w:rFonts w:ascii="Calibri" w:hAnsi="Calibri" w:cs="Calibri"/>
                <w:color w:val="000000" w:themeColor="text1"/>
              </w:rPr>
              <w:instrText xml:space="preserve"> ADDIN ZOTERO_ITEM CSL_CITATION {"citationID":"3G3icnBq","properties":{"formattedCitation":"\\super 115\\nosupersub{}","plainCitation":"115","noteIndex":0},"citationItems":[{"id":2882,"uris":["http://zotero.org/groups/2497994/items/PRV65LKJ"],"itemData":{"id":2882,"type":"article-journal","abstract":"Amoebiasis, an enteric protozoan disease caused by Entamoeba histolytica, is a public health problem in many developing countries, causing up to 100,000 fatal cases annually. Detection of the pathogenic E. histolytica and its differentiation from the non-pathogenic Entamoeba spp. play a crucial role in the clinical management of patients. Laboratory diagnosis of intestinal amoebiasis in developing countries still relies on labour-intensive and insensitive methods involving staining of stool sample and microscopy. Newer and more sensitive methods include a variety of antigen detection ELISAs and rapid tests; however, their diagnostic sensitivity and specificity seem to vary between studies, and some tests do not distinguish among the Entamoeba species. Molecular detection techniques are highly sensitive and specific and isothermal amplification approaches may be developed into field-applicable tests; however, cost is still a barrier for their use as a routine laboratory test method in most endemic areas. Laboratory diagnosis of extraintestinal amoebiasis faces challenges of lack of definitive detection of current infection and commercially available point-of-care tests. For both types of amoebiasis, there is still a need for highly sensitive and specific tests that are rapid and cost-effective for use in developing countries where the disease is prevalent. In recent years, new molecules of diagnostic value are being discovered and new tests developed. The advances in 'omics' technologies are enabling discoveries of new biomarkers that may help distinguish between different infection stages.","archive":"Pubmed","container-title":"European journal of clinical microbiology &amp; infectious diseases : official publication of the European Society of Clinical Microbiology","DOI":"10.1007/s10096-018-3379-3","ISSN":"0934-9723","issue":"1","page":"15-38","title":"Update on laboratory diagnosis of amoebiasis.","volume":"38","author":[{"family":"Saidin","given":"Syazwan"},{"family":"Othman","given":"Nurulhasanah"},{"family":"Noordin","given":"Rahmah"}],"issued":{"date-parts":[["2019",1,1]]}}}],"schema":"https://github.com/citation-style-language/schema/raw/master/csl-citation.json"} </w:instrText>
            </w:r>
            <w:r w:rsidR="00980118" w:rsidRPr="00D11245">
              <w:rPr>
                <w:rFonts w:ascii="Calibri" w:hAnsi="Calibri" w:cs="Calibri"/>
                <w:color w:val="000000" w:themeColor="text1"/>
              </w:rPr>
              <w:fldChar w:fldCharType="separate"/>
            </w:r>
            <w:r w:rsidR="009C3E63" w:rsidRPr="00D11245">
              <w:rPr>
                <w:rFonts w:ascii="Calibri" w:hAnsi="Calibri" w:cs="Calibri"/>
                <w:color w:val="000000" w:themeColor="text1"/>
                <w:vertAlign w:val="superscript"/>
              </w:rPr>
              <w:t>115</w:t>
            </w:r>
            <w:r w:rsidR="00980118" w:rsidRPr="00D11245">
              <w:rPr>
                <w:rFonts w:ascii="Calibri" w:hAnsi="Calibri" w:cs="Calibri"/>
                <w:color w:val="000000" w:themeColor="text1"/>
              </w:rPr>
              <w:fldChar w:fldCharType="end"/>
            </w:r>
          </w:p>
        </w:tc>
        <w:tc>
          <w:tcPr>
            <w:tcW w:w="988" w:type="pct"/>
          </w:tcPr>
          <w:p w14:paraId="00E0077B" w14:textId="50091E67" w:rsidR="006220DE" w:rsidRPr="00D11245" w:rsidRDefault="006220DE" w:rsidP="008A4E58">
            <w:pPr>
              <w:rPr>
                <w:rFonts w:ascii="Calibri" w:hAnsi="Calibri" w:cs="Calibri"/>
                <w:color w:val="000000" w:themeColor="text1"/>
              </w:rPr>
            </w:pPr>
            <w:r w:rsidRPr="00D11245">
              <w:rPr>
                <w:rFonts w:ascii="Calibri" w:hAnsi="Calibri" w:cs="Calibri"/>
                <w:color w:val="000000" w:themeColor="text1"/>
              </w:rPr>
              <w:t>Cheap</w:t>
            </w:r>
          </w:p>
          <w:p w14:paraId="45CB7F51" w14:textId="2D8BA345" w:rsidR="006220DE" w:rsidRPr="00D11245" w:rsidRDefault="006220DE" w:rsidP="008A4E58">
            <w:pPr>
              <w:rPr>
                <w:rFonts w:ascii="Calibri" w:hAnsi="Calibri" w:cs="Calibri"/>
                <w:color w:val="000000" w:themeColor="text1"/>
              </w:rPr>
            </w:pPr>
            <w:r w:rsidRPr="00D11245">
              <w:rPr>
                <w:rFonts w:ascii="Calibri" w:hAnsi="Calibri" w:cs="Calibri"/>
                <w:color w:val="000000" w:themeColor="text1"/>
              </w:rPr>
              <w:t>Quick</w:t>
            </w:r>
          </w:p>
        </w:tc>
        <w:tc>
          <w:tcPr>
            <w:tcW w:w="879" w:type="pct"/>
          </w:tcPr>
          <w:p w14:paraId="610360A3" w14:textId="77777777" w:rsidR="006220DE" w:rsidRPr="00D11245" w:rsidRDefault="006220DE" w:rsidP="008A4E58">
            <w:pPr>
              <w:rPr>
                <w:rFonts w:ascii="Calibri" w:hAnsi="Calibri" w:cs="Calibri"/>
                <w:color w:val="000000" w:themeColor="text1"/>
              </w:rPr>
            </w:pPr>
            <w:r w:rsidRPr="00D11245">
              <w:rPr>
                <w:rFonts w:ascii="Calibri" w:hAnsi="Calibri" w:cs="Calibri"/>
                <w:color w:val="000000" w:themeColor="text1"/>
              </w:rPr>
              <w:t xml:space="preserve">Cannot differentiate </w:t>
            </w:r>
            <w:r w:rsidRPr="00D11245">
              <w:rPr>
                <w:rFonts w:ascii="Calibri" w:hAnsi="Calibri" w:cs="Calibri"/>
                <w:i/>
                <w:iCs/>
                <w:color w:val="000000" w:themeColor="text1"/>
              </w:rPr>
              <w:t>Entamoeba</w:t>
            </w:r>
            <w:r w:rsidRPr="00D11245">
              <w:rPr>
                <w:rFonts w:ascii="Calibri" w:hAnsi="Calibri" w:cs="Calibri"/>
                <w:color w:val="000000" w:themeColor="text1"/>
              </w:rPr>
              <w:t xml:space="preserve"> species</w:t>
            </w:r>
          </w:p>
          <w:p w14:paraId="2AE010C2" w14:textId="7F2446D2" w:rsidR="006220DE" w:rsidRPr="00D11245" w:rsidRDefault="006220DE" w:rsidP="008A4E58">
            <w:pPr>
              <w:rPr>
                <w:rFonts w:ascii="Calibri" w:hAnsi="Calibri" w:cs="Calibri"/>
                <w:color w:val="000000" w:themeColor="text1"/>
              </w:rPr>
            </w:pPr>
            <w:r w:rsidRPr="00D11245">
              <w:rPr>
                <w:rFonts w:ascii="Calibri" w:hAnsi="Calibri" w:cs="Calibri"/>
                <w:color w:val="000000" w:themeColor="text1"/>
              </w:rPr>
              <w:t>Low sensitivity</w:t>
            </w:r>
          </w:p>
        </w:tc>
      </w:tr>
      <w:tr w:rsidR="00D11245" w:rsidRPr="00D11245" w14:paraId="00A62A99" w14:textId="77777777" w:rsidTr="00D064E6">
        <w:tc>
          <w:tcPr>
            <w:tcW w:w="570" w:type="pct"/>
            <w:shd w:val="clear" w:color="auto" w:fill="DEEAF6" w:themeFill="accent5" w:themeFillTint="33"/>
          </w:tcPr>
          <w:p w14:paraId="5DD28A99" w14:textId="77777777" w:rsidR="00951FB2" w:rsidRPr="00D11245" w:rsidRDefault="00951FB2" w:rsidP="00C04983">
            <w:pPr>
              <w:rPr>
                <w:rFonts w:ascii="Calibri" w:hAnsi="Calibri" w:cs="Calibri"/>
                <w:b/>
                <w:bCs/>
                <w:color w:val="000000" w:themeColor="text1"/>
              </w:rPr>
            </w:pPr>
            <w:r w:rsidRPr="00D11245">
              <w:rPr>
                <w:rFonts w:ascii="Calibri" w:hAnsi="Calibri" w:cs="Calibri"/>
                <w:b/>
                <w:bCs/>
                <w:color w:val="000000" w:themeColor="text1"/>
              </w:rPr>
              <w:t>Histopathology</w:t>
            </w:r>
          </w:p>
          <w:p w14:paraId="59AB0551" w14:textId="77777777" w:rsidR="00951FB2" w:rsidRPr="00D11245" w:rsidRDefault="00951FB2" w:rsidP="00C04983">
            <w:pPr>
              <w:rPr>
                <w:rFonts w:ascii="Calibri" w:hAnsi="Calibri" w:cs="Calibri"/>
                <w:b/>
                <w:bCs/>
                <w:color w:val="000000" w:themeColor="text1"/>
              </w:rPr>
            </w:pPr>
          </w:p>
          <w:p w14:paraId="0D3DDD8D" w14:textId="77777777" w:rsidR="00951FB2" w:rsidRPr="00D11245" w:rsidRDefault="00951FB2" w:rsidP="00C04983">
            <w:pPr>
              <w:rPr>
                <w:rFonts w:ascii="Calibri" w:hAnsi="Calibri" w:cs="Calibri"/>
                <w:b/>
                <w:bCs/>
                <w:color w:val="000000" w:themeColor="text1"/>
              </w:rPr>
            </w:pPr>
          </w:p>
          <w:p w14:paraId="7326C754" w14:textId="47035F6B" w:rsidR="00951FB2" w:rsidRPr="00D11245" w:rsidRDefault="00951FB2" w:rsidP="00C04983">
            <w:pPr>
              <w:rPr>
                <w:rFonts w:ascii="Calibri" w:hAnsi="Calibri" w:cs="Calibri"/>
                <w:b/>
                <w:bCs/>
                <w:color w:val="000000" w:themeColor="text1"/>
              </w:rPr>
            </w:pPr>
          </w:p>
        </w:tc>
        <w:tc>
          <w:tcPr>
            <w:tcW w:w="569" w:type="pct"/>
          </w:tcPr>
          <w:p w14:paraId="31B9CE03" w14:textId="69853E6A" w:rsidR="00951FB2" w:rsidRPr="00D11245" w:rsidRDefault="00234540" w:rsidP="008A4E58">
            <w:pPr>
              <w:rPr>
                <w:rFonts w:ascii="Calibri" w:hAnsi="Calibri" w:cs="Calibri"/>
                <w:color w:val="000000" w:themeColor="text1"/>
                <w:highlight w:val="yellow"/>
              </w:rPr>
            </w:pPr>
            <w:r w:rsidRPr="00D11245">
              <w:rPr>
                <w:rFonts w:ascii="Calibri" w:hAnsi="Calibri" w:cs="Calibri"/>
                <w:color w:val="000000" w:themeColor="text1"/>
              </w:rPr>
              <w:t>Tissue</w:t>
            </w:r>
          </w:p>
        </w:tc>
        <w:tc>
          <w:tcPr>
            <w:tcW w:w="975" w:type="pct"/>
          </w:tcPr>
          <w:p w14:paraId="40212387" w14:textId="47C0FF69" w:rsidR="00951FB2" w:rsidRPr="00D11245" w:rsidRDefault="00234540" w:rsidP="008A4E58">
            <w:pPr>
              <w:rPr>
                <w:rFonts w:ascii="Calibri" w:hAnsi="Calibri" w:cs="Calibri"/>
                <w:color w:val="000000" w:themeColor="text1"/>
                <w:highlight w:val="yellow"/>
              </w:rPr>
            </w:pPr>
            <w:r w:rsidRPr="00D11245">
              <w:rPr>
                <w:rFonts w:ascii="Calibri" w:hAnsi="Calibri" w:cs="Calibri"/>
                <w:color w:val="000000" w:themeColor="text1"/>
              </w:rPr>
              <w:t xml:space="preserve">Light microscopy of formalin-fixed paraffin </w:t>
            </w:r>
            <w:proofErr w:type="gramStart"/>
            <w:r w:rsidRPr="00D11245">
              <w:rPr>
                <w:rFonts w:ascii="Calibri" w:hAnsi="Calibri" w:cs="Calibri"/>
                <w:color w:val="000000" w:themeColor="text1"/>
              </w:rPr>
              <w:t>wax</w:t>
            </w:r>
            <w:proofErr w:type="gramEnd"/>
            <w:r w:rsidRPr="00D11245">
              <w:rPr>
                <w:rFonts w:ascii="Calibri" w:hAnsi="Calibri" w:cs="Calibri"/>
                <w:color w:val="000000" w:themeColor="text1"/>
              </w:rPr>
              <w:t xml:space="preserve"> embedded histology specimens, such as colon</w:t>
            </w:r>
            <w:r w:rsidR="003F7258" w:rsidRPr="00D11245">
              <w:rPr>
                <w:rFonts w:ascii="Calibri" w:hAnsi="Calibri" w:cs="Calibri"/>
                <w:color w:val="000000" w:themeColor="text1"/>
              </w:rPr>
              <w:t>ic</w:t>
            </w:r>
            <w:r w:rsidRPr="00D11245">
              <w:rPr>
                <w:rFonts w:ascii="Calibri" w:hAnsi="Calibri" w:cs="Calibri"/>
                <w:color w:val="000000" w:themeColor="text1"/>
              </w:rPr>
              <w:t xml:space="preserve"> biopsies.  </w:t>
            </w:r>
            <w:r w:rsidR="0052736C" w:rsidRPr="00D11245">
              <w:rPr>
                <w:rFonts w:ascii="Calibri" w:hAnsi="Calibri" w:cs="Calibri"/>
                <w:color w:val="000000" w:themeColor="text1"/>
              </w:rPr>
              <w:t>Trophozoites visible</w:t>
            </w:r>
            <w:r w:rsidRPr="00D11245">
              <w:rPr>
                <w:rFonts w:ascii="Calibri" w:hAnsi="Calibri" w:cs="Calibri"/>
                <w:color w:val="000000" w:themeColor="text1"/>
              </w:rPr>
              <w:t xml:space="preserve"> </w:t>
            </w:r>
            <w:r w:rsidR="0052736C" w:rsidRPr="00D11245">
              <w:rPr>
                <w:rFonts w:ascii="Calibri" w:hAnsi="Calibri" w:cs="Calibri"/>
                <w:color w:val="000000" w:themeColor="text1"/>
              </w:rPr>
              <w:t>on Haematoxylin</w:t>
            </w:r>
            <w:r w:rsidRPr="00D11245">
              <w:rPr>
                <w:rFonts w:ascii="Calibri" w:hAnsi="Calibri" w:cs="Calibri"/>
                <w:color w:val="000000" w:themeColor="text1"/>
              </w:rPr>
              <w:t xml:space="preserve"> &amp; </w:t>
            </w:r>
            <w:r w:rsidR="00D63C2D" w:rsidRPr="00D11245">
              <w:rPr>
                <w:rFonts w:ascii="Calibri" w:hAnsi="Calibri" w:cs="Calibri"/>
                <w:color w:val="000000" w:themeColor="text1"/>
              </w:rPr>
              <w:t>Eosin staining, highlighted</w:t>
            </w:r>
            <w:r w:rsidRPr="00D11245">
              <w:rPr>
                <w:rFonts w:ascii="Calibri" w:hAnsi="Calibri" w:cs="Calibri"/>
                <w:color w:val="000000" w:themeColor="text1"/>
              </w:rPr>
              <w:t xml:space="preserve"> by staining with Periodic Acid Schiff (PAS)</w:t>
            </w:r>
          </w:p>
        </w:tc>
        <w:tc>
          <w:tcPr>
            <w:tcW w:w="495" w:type="pct"/>
          </w:tcPr>
          <w:p w14:paraId="525CD519" w14:textId="68CA9180" w:rsidR="00951FB2" w:rsidRPr="00D11245" w:rsidRDefault="00980118" w:rsidP="008A4E58">
            <w:pPr>
              <w:rPr>
                <w:rFonts w:ascii="Calibri" w:hAnsi="Calibri" w:cs="Calibri"/>
                <w:color w:val="000000" w:themeColor="text1"/>
                <w:highlight w:val="yellow"/>
              </w:rPr>
            </w:pPr>
            <w:r w:rsidRPr="00D11245">
              <w:rPr>
                <w:rFonts w:ascii="Calibri" w:hAnsi="Calibri" w:cs="Calibri"/>
                <w:color w:val="000000" w:themeColor="text1"/>
              </w:rPr>
              <w:t>I</w:t>
            </w:r>
            <w:r w:rsidR="00234540" w:rsidRPr="00D11245">
              <w:rPr>
                <w:rFonts w:ascii="Calibri" w:hAnsi="Calibri" w:cs="Calibri"/>
                <w:color w:val="000000" w:themeColor="text1"/>
              </w:rPr>
              <w:t>nsufficient data</w:t>
            </w:r>
          </w:p>
        </w:tc>
        <w:tc>
          <w:tcPr>
            <w:tcW w:w="524" w:type="pct"/>
          </w:tcPr>
          <w:p w14:paraId="4E67FEDE" w14:textId="3E3CC0BB" w:rsidR="00951FB2" w:rsidRPr="00D11245" w:rsidRDefault="00980118" w:rsidP="008A4E58">
            <w:pPr>
              <w:rPr>
                <w:rFonts w:ascii="Calibri" w:hAnsi="Calibri" w:cs="Calibri"/>
                <w:color w:val="000000" w:themeColor="text1"/>
                <w:highlight w:val="yellow"/>
              </w:rPr>
            </w:pPr>
            <w:r w:rsidRPr="00D11245">
              <w:rPr>
                <w:rFonts w:ascii="Calibri" w:hAnsi="Calibri" w:cs="Calibri"/>
                <w:color w:val="000000" w:themeColor="text1"/>
              </w:rPr>
              <w:t>O</w:t>
            </w:r>
            <w:r w:rsidR="00234540" w:rsidRPr="00D11245">
              <w:rPr>
                <w:rFonts w:ascii="Calibri" w:hAnsi="Calibri" w:cs="Calibri"/>
                <w:color w:val="000000" w:themeColor="text1"/>
              </w:rPr>
              <w:t>perator-dependent</w:t>
            </w:r>
          </w:p>
        </w:tc>
        <w:tc>
          <w:tcPr>
            <w:tcW w:w="988" w:type="pct"/>
          </w:tcPr>
          <w:p w14:paraId="246C9464" w14:textId="77777777" w:rsidR="00E41DFE" w:rsidRPr="00D11245" w:rsidRDefault="00E41DFE" w:rsidP="008A4E58">
            <w:pPr>
              <w:rPr>
                <w:rFonts w:ascii="Calibri" w:hAnsi="Calibri" w:cs="Calibri"/>
                <w:color w:val="000000" w:themeColor="text1"/>
              </w:rPr>
            </w:pPr>
            <w:r w:rsidRPr="00D11245">
              <w:rPr>
                <w:rFonts w:ascii="Calibri" w:hAnsi="Calibri" w:cs="Calibri"/>
                <w:color w:val="000000" w:themeColor="text1"/>
              </w:rPr>
              <w:t>Cheap</w:t>
            </w:r>
          </w:p>
          <w:p w14:paraId="0C5F72B2" w14:textId="77777777" w:rsidR="00E41DFE" w:rsidRPr="00D11245" w:rsidRDefault="00E41DFE" w:rsidP="008A4E58">
            <w:pPr>
              <w:rPr>
                <w:rFonts w:ascii="Calibri" w:hAnsi="Calibri" w:cs="Calibri"/>
                <w:color w:val="000000" w:themeColor="text1"/>
              </w:rPr>
            </w:pPr>
            <w:r w:rsidRPr="00D11245">
              <w:rPr>
                <w:rFonts w:ascii="Calibri" w:hAnsi="Calibri" w:cs="Calibri"/>
                <w:color w:val="000000" w:themeColor="text1"/>
              </w:rPr>
              <w:t>Routine practice – no requirement for pre-test suspicion</w:t>
            </w:r>
          </w:p>
          <w:p w14:paraId="299BF1BD" w14:textId="024B2087" w:rsidR="00E41DFE" w:rsidRPr="00D11245" w:rsidRDefault="00E41DFE" w:rsidP="008A4E58">
            <w:pPr>
              <w:rPr>
                <w:rFonts w:ascii="Calibri" w:hAnsi="Calibri" w:cs="Calibri"/>
                <w:color w:val="000000" w:themeColor="text1"/>
              </w:rPr>
            </w:pPr>
            <w:r w:rsidRPr="00D11245">
              <w:rPr>
                <w:rFonts w:ascii="Calibri" w:hAnsi="Calibri" w:cs="Calibri"/>
                <w:color w:val="000000" w:themeColor="text1"/>
              </w:rPr>
              <w:t xml:space="preserve">Can be used on tissue from any </w:t>
            </w:r>
            <w:r w:rsidR="0052736C" w:rsidRPr="00D11245">
              <w:rPr>
                <w:rFonts w:ascii="Calibri" w:hAnsi="Calibri" w:cs="Calibri"/>
                <w:color w:val="000000" w:themeColor="text1"/>
              </w:rPr>
              <w:t>site, both</w:t>
            </w:r>
            <w:r w:rsidRPr="00D11245">
              <w:rPr>
                <w:rFonts w:ascii="Calibri" w:hAnsi="Calibri" w:cs="Calibri"/>
                <w:color w:val="000000" w:themeColor="text1"/>
              </w:rPr>
              <w:t xml:space="preserve"> biopsies and surgical resections c</w:t>
            </w:r>
            <w:r w:rsidR="00E051F4" w:rsidRPr="00D11245">
              <w:rPr>
                <w:rFonts w:ascii="Calibri" w:hAnsi="Calibri" w:cs="Calibri"/>
                <w:color w:val="000000" w:themeColor="text1"/>
              </w:rPr>
              <w:t>an</w:t>
            </w:r>
            <w:r w:rsidRPr="00D11245">
              <w:rPr>
                <w:rFonts w:ascii="Calibri" w:hAnsi="Calibri" w:cs="Calibri"/>
                <w:color w:val="000000" w:themeColor="text1"/>
              </w:rPr>
              <w:t xml:space="preserve"> be reported </w:t>
            </w:r>
            <w:r w:rsidR="003F7258" w:rsidRPr="00D11245">
              <w:rPr>
                <w:rFonts w:ascii="Calibri" w:hAnsi="Calibri" w:cs="Calibri"/>
                <w:color w:val="000000" w:themeColor="text1"/>
              </w:rPr>
              <w:t xml:space="preserve">urgently </w:t>
            </w:r>
            <w:r w:rsidRPr="00D11245">
              <w:rPr>
                <w:rFonts w:ascii="Calibri" w:hAnsi="Calibri" w:cs="Calibri"/>
                <w:color w:val="000000" w:themeColor="text1"/>
              </w:rPr>
              <w:t>within 24 h</w:t>
            </w:r>
            <w:r w:rsidR="003F7258" w:rsidRPr="00D11245">
              <w:rPr>
                <w:rFonts w:ascii="Calibri" w:hAnsi="Calibri" w:cs="Calibri"/>
                <w:color w:val="000000" w:themeColor="text1"/>
              </w:rPr>
              <w:t>rs</w:t>
            </w:r>
          </w:p>
          <w:p w14:paraId="06A95BE0" w14:textId="68733129" w:rsidR="00951FB2" w:rsidRPr="00D11245" w:rsidRDefault="00951FB2" w:rsidP="008A4E58">
            <w:pPr>
              <w:rPr>
                <w:rFonts w:ascii="Calibri" w:hAnsi="Calibri" w:cs="Calibri"/>
                <w:color w:val="000000" w:themeColor="text1"/>
                <w:highlight w:val="yellow"/>
              </w:rPr>
            </w:pPr>
          </w:p>
        </w:tc>
        <w:tc>
          <w:tcPr>
            <w:tcW w:w="879" w:type="pct"/>
          </w:tcPr>
          <w:p w14:paraId="2A364FF5" w14:textId="789D78FD" w:rsidR="00951FB2" w:rsidRPr="00D11245" w:rsidRDefault="00E41DFE" w:rsidP="008A4E58">
            <w:pPr>
              <w:rPr>
                <w:rFonts w:ascii="Calibri" w:hAnsi="Calibri" w:cs="Calibri"/>
                <w:color w:val="000000" w:themeColor="text1"/>
                <w:highlight w:val="yellow"/>
              </w:rPr>
            </w:pPr>
            <w:r w:rsidRPr="00D11245">
              <w:rPr>
                <w:rFonts w:ascii="Calibri" w:hAnsi="Calibri" w:cs="Calibri"/>
                <w:color w:val="000000" w:themeColor="text1"/>
              </w:rPr>
              <w:t xml:space="preserve">Tissue reaction pattern is not specific </w:t>
            </w:r>
            <w:r w:rsidR="003F7258" w:rsidRPr="00D11245">
              <w:rPr>
                <w:rFonts w:ascii="Calibri" w:hAnsi="Calibri" w:cs="Calibri"/>
                <w:color w:val="000000" w:themeColor="text1"/>
              </w:rPr>
              <w:t>and</w:t>
            </w:r>
            <w:r w:rsidRPr="00D11245">
              <w:rPr>
                <w:rFonts w:ascii="Calibri" w:hAnsi="Calibri" w:cs="Calibri"/>
                <w:color w:val="000000" w:themeColor="text1"/>
              </w:rPr>
              <w:t xml:space="preserve"> can mimic Crohn’s disease.  Trophozoites may be missed or misdiagnosed, </w:t>
            </w:r>
            <w:r w:rsidR="003F7258" w:rsidRPr="00D11245">
              <w:rPr>
                <w:rFonts w:ascii="Calibri" w:hAnsi="Calibri" w:cs="Calibri"/>
                <w:color w:val="000000" w:themeColor="text1"/>
              </w:rPr>
              <w:t xml:space="preserve">and identification </w:t>
            </w:r>
            <w:r w:rsidR="0052736C" w:rsidRPr="00D11245">
              <w:rPr>
                <w:rFonts w:ascii="Calibri" w:hAnsi="Calibri" w:cs="Calibri"/>
                <w:color w:val="000000" w:themeColor="text1"/>
              </w:rPr>
              <w:t>is operator</w:t>
            </w:r>
            <w:r w:rsidRPr="00D11245">
              <w:rPr>
                <w:rFonts w:ascii="Calibri" w:hAnsi="Calibri" w:cs="Calibri"/>
                <w:color w:val="000000" w:themeColor="text1"/>
              </w:rPr>
              <w:t>-dependent</w:t>
            </w:r>
          </w:p>
        </w:tc>
      </w:tr>
    </w:tbl>
    <w:p w14:paraId="7FB5FF85" w14:textId="77777777" w:rsidR="006220DE" w:rsidRPr="00D11245" w:rsidRDefault="006220DE">
      <w:pPr>
        <w:rPr>
          <w:rFonts w:ascii="Calibri" w:hAnsi="Calibri" w:cs="Calibri"/>
          <w:color w:val="000000" w:themeColor="text1"/>
          <w:sz w:val="24"/>
          <w:szCs w:val="24"/>
        </w:rPr>
      </w:pPr>
    </w:p>
    <w:p w14:paraId="15B7594E" w14:textId="3EC7ACC8" w:rsidR="00975C41" w:rsidRPr="00D11245" w:rsidRDefault="00975C41" w:rsidP="00975C41">
      <w:pPr>
        <w:rPr>
          <w:color w:val="000000" w:themeColor="text1"/>
          <w:sz w:val="24"/>
          <w:szCs w:val="24"/>
        </w:rPr>
      </w:pPr>
      <w:r w:rsidRPr="00D11245">
        <w:rPr>
          <w:color w:val="000000" w:themeColor="text1"/>
          <w:sz w:val="24"/>
          <w:szCs w:val="24"/>
        </w:rPr>
        <w:t>*</w:t>
      </w:r>
      <w:r w:rsidR="00C53831" w:rsidRPr="00D11245">
        <w:rPr>
          <w:color w:val="000000" w:themeColor="text1"/>
          <w:sz w:val="24"/>
          <w:szCs w:val="24"/>
        </w:rPr>
        <w:t>UK Health Security Agency</w:t>
      </w:r>
      <w:r w:rsidRPr="00D11245">
        <w:rPr>
          <w:color w:val="000000" w:themeColor="text1"/>
          <w:sz w:val="24"/>
          <w:szCs w:val="24"/>
        </w:rPr>
        <w:t xml:space="preserve"> recommend PCR as the method of choice for diagnosis of </w:t>
      </w:r>
      <w:r w:rsidRPr="00D11245">
        <w:rPr>
          <w:i/>
          <w:iCs/>
          <w:color w:val="000000" w:themeColor="text1"/>
          <w:sz w:val="24"/>
          <w:szCs w:val="24"/>
        </w:rPr>
        <w:t>E. histolytica</w:t>
      </w:r>
      <w:r w:rsidRPr="00D11245">
        <w:rPr>
          <w:color w:val="000000" w:themeColor="text1"/>
          <w:sz w:val="24"/>
          <w:szCs w:val="24"/>
        </w:rPr>
        <w:t xml:space="preserve"> in symptomatic and asymptomatic patients</w:t>
      </w:r>
      <w:r w:rsidR="00980118" w:rsidRPr="00D11245">
        <w:rPr>
          <w:color w:val="000000" w:themeColor="text1"/>
          <w:sz w:val="24"/>
          <w:szCs w:val="24"/>
        </w:rPr>
        <w:fldChar w:fldCharType="begin"/>
      </w:r>
      <w:r w:rsidR="009C3E63" w:rsidRPr="00D11245">
        <w:rPr>
          <w:color w:val="000000" w:themeColor="text1"/>
          <w:sz w:val="24"/>
          <w:szCs w:val="24"/>
        </w:rPr>
        <w:instrText xml:space="preserve"> ADDIN ZOTERO_ITEM CSL_CITATION {"citationID":"pCjwRTJR","properties":{"formattedCitation":"\\super 26\\nosupersub{}","plainCitation":"26","noteIndex":0},"citationItems":[{"id":16718,"uris":["http://zotero.org/groups/2497994/items/HLRDMEMQ"],"itemData":{"id":16718,"type":"article-journal","title":"Interim Public Health Operational Guidelines for Amoebiasis v1.0","URL":"https://assets.publishing.service.gov.uk/media/5c5d6557e5274a318116c42d/Interim_Public_Health_Operational_Guidelines_for_Amoebiasis.pdf","author":[{"family":"Public Health England","given":""}],"issued":{"date-parts":[["2017"]]}}}],"schema":"https://github.com/citation-style-language/schema/raw/master/csl-citation.json"} </w:instrText>
      </w:r>
      <w:r w:rsidR="00980118" w:rsidRPr="00D11245">
        <w:rPr>
          <w:color w:val="000000" w:themeColor="text1"/>
          <w:sz w:val="24"/>
          <w:szCs w:val="24"/>
        </w:rPr>
        <w:fldChar w:fldCharType="separate"/>
      </w:r>
      <w:r w:rsidR="009C3E63" w:rsidRPr="00D11245">
        <w:rPr>
          <w:rFonts w:ascii="Calibri" w:hAnsi="Calibri" w:cs="Calibri"/>
          <w:color w:val="000000" w:themeColor="text1"/>
          <w:kern w:val="0"/>
          <w:sz w:val="24"/>
          <w:vertAlign w:val="superscript"/>
        </w:rPr>
        <w:t>26</w:t>
      </w:r>
      <w:r w:rsidR="00980118" w:rsidRPr="00D11245">
        <w:rPr>
          <w:color w:val="000000" w:themeColor="text1"/>
          <w:sz w:val="24"/>
          <w:szCs w:val="24"/>
        </w:rPr>
        <w:fldChar w:fldCharType="end"/>
      </w:r>
      <w:r w:rsidRPr="00D11245">
        <w:rPr>
          <w:color w:val="000000" w:themeColor="text1"/>
          <w:sz w:val="24"/>
          <w:szCs w:val="24"/>
        </w:rPr>
        <w:t>.</w:t>
      </w:r>
    </w:p>
    <w:p w14:paraId="0492533B" w14:textId="77777777" w:rsidR="00975C41" w:rsidRPr="00D11245" w:rsidRDefault="00975C41">
      <w:pPr>
        <w:rPr>
          <w:rFonts w:ascii="Calibri" w:hAnsi="Calibri" w:cs="Calibri"/>
          <w:color w:val="000000" w:themeColor="text1"/>
        </w:rPr>
        <w:sectPr w:rsidR="00975C41" w:rsidRPr="00D11245" w:rsidSect="00634883">
          <w:pgSz w:w="16838" w:h="11906" w:orient="landscape"/>
          <w:pgMar w:top="1440" w:right="1440" w:bottom="1440" w:left="1440" w:header="709" w:footer="709" w:gutter="0"/>
          <w:cols w:space="708"/>
          <w:docGrid w:linePitch="360"/>
        </w:sectPr>
      </w:pPr>
    </w:p>
    <w:p w14:paraId="6CB7A2ED" w14:textId="77777777" w:rsidR="00C33A2A" w:rsidRPr="00D11245" w:rsidRDefault="00C33A2A">
      <w:pPr>
        <w:rPr>
          <w:rFonts w:cstheme="minorHAnsi"/>
          <w:color w:val="000000" w:themeColor="text1"/>
          <w:sz w:val="24"/>
          <w:szCs w:val="24"/>
          <w:u w:val="single"/>
        </w:rPr>
      </w:pPr>
      <w:r w:rsidRPr="00D11245">
        <w:rPr>
          <w:rFonts w:cstheme="minorHAnsi"/>
          <w:b/>
          <w:bCs/>
          <w:color w:val="000000" w:themeColor="text1"/>
          <w:sz w:val="24"/>
          <w:szCs w:val="24"/>
          <w:u w:val="single"/>
        </w:rPr>
        <w:lastRenderedPageBreak/>
        <w:t xml:space="preserve">Colonoscopy </w:t>
      </w:r>
    </w:p>
    <w:p w14:paraId="20F2576F" w14:textId="64C4A1E6" w:rsidR="00C33A2A" w:rsidRPr="00D11245" w:rsidRDefault="00D07242" w:rsidP="00D07242">
      <w:pPr>
        <w:jc w:val="both"/>
        <w:rPr>
          <w:rFonts w:cstheme="minorHAnsi"/>
          <w:color w:val="000000" w:themeColor="text1"/>
          <w:sz w:val="24"/>
          <w:szCs w:val="24"/>
        </w:rPr>
      </w:pPr>
      <w:r w:rsidRPr="00D11245">
        <w:rPr>
          <w:rFonts w:cstheme="minorHAnsi"/>
          <w:color w:val="000000" w:themeColor="text1"/>
          <w:sz w:val="24"/>
          <w:szCs w:val="24"/>
        </w:rPr>
        <w:t xml:space="preserve">Although colonoscopy is not </w:t>
      </w:r>
      <w:r w:rsidR="00B30E0D" w:rsidRPr="00D11245">
        <w:rPr>
          <w:rFonts w:cstheme="minorHAnsi"/>
          <w:color w:val="000000" w:themeColor="text1"/>
          <w:sz w:val="24"/>
          <w:szCs w:val="24"/>
        </w:rPr>
        <w:t xml:space="preserve">mandated </w:t>
      </w:r>
      <w:r w:rsidRPr="00D11245">
        <w:rPr>
          <w:rFonts w:cstheme="minorHAnsi"/>
          <w:color w:val="000000" w:themeColor="text1"/>
          <w:sz w:val="24"/>
          <w:szCs w:val="24"/>
        </w:rPr>
        <w:t xml:space="preserve">for the diagnosis of amoebic colitis, patients </w:t>
      </w:r>
      <w:r w:rsidR="00951FB2" w:rsidRPr="00D11245">
        <w:rPr>
          <w:rFonts w:cstheme="minorHAnsi"/>
          <w:color w:val="000000" w:themeColor="text1"/>
          <w:sz w:val="24"/>
          <w:szCs w:val="24"/>
        </w:rPr>
        <w:t>with gastrointestinal</w:t>
      </w:r>
      <w:r w:rsidRPr="00D11245">
        <w:rPr>
          <w:rFonts w:cstheme="minorHAnsi"/>
          <w:color w:val="000000" w:themeColor="text1"/>
          <w:sz w:val="24"/>
          <w:szCs w:val="24"/>
        </w:rPr>
        <w:t xml:space="preserve"> symptoms, </w:t>
      </w:r>
      <w:r w:rsidR="00F85AD6" w:rsidRPr="00D11245">
        <w:rPr>
          <w:rFonts w:cstheme="minorHAnsi"/>
          <w:color w:val="000000" w:themeColor="text1"/>
          <w:sz w:val="24"/>
          <w:szCs w:val="24"/>
        </w:rPr>
        <w:t xml:space="preserve">particularly </w:t>
      </w:r>
      <w:r w:rsidRPr="00D11245">
        <w:rPr>
          <w:rFonts w:cstheme="minorHAnsi"/>
          <w:color w:val="000000" w:themeColor="text1"/>
          <w:sz w:val="24"/>
          <w:szCs w:val="24"/>
        </w:rPr>
        <w:t xml:space="preserve">if they are severe or chronic, </w:t>
      </w:r>
      <w:r w:rsidR="00E051F4" w:rsidRPr="00D11245">
        <w:rPr>
          <w:rFonts w:cstheme="minorHAnsi"/>
          <w:color w:val="000000" w:themeColor="text1"/>
          <w:sz w:val="24"/>
          <w:szCs w:val="24"/>
        </w:rPr>
        <w:t>are often</w:t>
      </w:r>
      <w:r w:rsidR="00F85AD6" w:rsidRPr="00D11245">
        <w:rPr>
          <w:rFonts w:cstheme="minorHAnsi"/>
          <w:color w:val="000000" w:themeColor="text1"/>
          <w:sz w:val="24"/>
          <w:szCs w:val="24"/>
        </w:rPr>
        <w:t xml:space="preserve"> </w:t>
      </w:r>
      <w:r w:rsidR="00951FB2" w:rsidRPr="00D11245">
        <w:rPr>
          <w:rFonts w:cstheme="minorHAnsi"/>
          <w:color w:val="000000" w:themeColor="text1"/>
          <w:sz w:val="24"/>
          <w:szCs w:val="24"/>
        </w:rPr>
        <w:t>evaluated endoscopically</w:t>
      </w:r>
      <w:r w:rsidRPr="00D11245">
        <w:rPr>
          <w:rFonts w:cstheme="minorHAnsi"/>
          <w:color w:val="000000" w:themeColor="text1"/>
          <w:sz w:val="24"/>
          <w:szCs w:val="24"/>
        </w:rPr>
        <w:t xml:space="preserve">. </w:t>
      </w:r>
      <w:r w:rsidR="00F85AD6" w:rsidRPr="00D11245">
        <w:rPr>
          <w:rFonts w:cstheme="minorHAnsi"/>
          <w:color w:val="000000" w:themeColor="text1"/>
          <w:sz w:val="24"/>
          <w:szCs w:val="24"/>
        </w:rPr>
        <w:t xml:space="preserve">Both symptoms and endoscopic appearances of amoebic colitis </w:t>
      </w:r>
      <w:r w:rsidR="00E051F4" w:rsidRPr="00D11245">
        <w:rPr>
          <w:rFonts w:cstheme="minorHAnsi"/>
          <w:color w:val="000000" w:themeColor="text1"/>
          <w:sz w:val="24"/>
          <w:szCs w:val="24"/>
        </w:rPr>
        <w:t xml:space="preserve">can </w:t>
      </w:r>
      <w:r w:rsidR="00F85AD6" w:rsidRPr="00D11245">
        <w:rPr>
          <w:rFonts w:cstheme="minorHAnsi"/>
          <w:color w:val="000000" w:themeColor="text1"/>
          <w:sz w:val="24"/>
          <w:szCs w:val="24"/>
        </w:rPr>
        <w:t xml:space="preserve">mimic those seen </w:t>
      </w:r>
      <w:r w:rsidR="00E051F4" w:rsidRPr="00D11245">
        <w:rPr>
          <w:rFonts w:cstheme="minorHAnsi"/>
          <w:color w:val="000000" w:themeColor="text1"/>
          <w:sz w:val="24"/>
          <w:szCs w:val="24"/>
        </w:rPr>
        <w:t xml:space="preserve">in IBD </w:t>
      </w:r>
      <w:r w:rsidR="00F85AD6" w:rsidRPr="00D11245">
        <w:rPr>
          <w:rFonts w:cstheme="minorHAnsi"/>
          <w:color w:val="000000" w:themeColor="text1"/>
          <w:sz w:val="24"/>
          <w:szCs w:val="24"/>
        </w:rPr>
        <w:t>in other forms of infectious colitis</w:t>
      </w:r>
      <w:r w:rsidR="00E051F4" w:rsidRPr="00D11245">
        <w:rPr>
          <w:rFonts w:cstheme="minorHAnsi"/>
          <w:color w:val="000000" w:themeColor="text1"/>
          <w:sz w:val="24"/>
          <w:szCs w:val="24"/>
        </w:rPr>
        <w:t xml:space="preserve"> including intestinal</w:t>
      </w:r>
      <w:r w:rsidR="00F85AD6" w:rsidRPr="00D11245">
        <w:rPr>
          <w:rFonts w:cstheme="minorHAnsi"/>
          <w:color w:val="000000" w:themeColor="text1"/>
          <w:sz w:val="24"/>
          <w:szCs w:val="24"/>
        </w:rPr>
        <w:t xml:space="preserve"> tuberculosis</w:t>
      </w:r>
      <w:r w:rsidR="00172088" w:rsidRPr="00D11245">
        <w:rPr>
          <w:rFonts w:cstheme="minorHAnsi"/>
          <w:color w:val="000000" w:themeColor="text1"/>
          <w:sz w:val="24"/>
          <w:szCs w:val="24"/>
        </w:rPr>
        <w:t xml:space="preserve"> </w:t>
      </w:r>
      <w:r w:rsidR="00172088" w:rsidRPr="00D11245">
        <w:rPr>
          <w:rFonts w:cstheme="minorHAnsi"/>
          <w:color w:val="000000" w:themeColor="text1"/>
          <w:sz w:val="24"/>
          <w:szCs w:val="24"/>
          <w:highlight w:val="green"/>
        </w:rPr>
        <w:fldChar w:fldCharType="begin"/>
      </w:r>
      <w:r w:rsidR="009C3E63" w:rsidRPr="00D11245">
        <w:rPr>
          <w:rFonts w:cstheme="minorHAnsi"/>
          <w:color w:val="000000" w:themeColor="text1"/>
          <w:sz w:val="24"/>
          <w:szCs w:val="24"/>
          <w:highlight w:val="green"/>
        </w:rPr>
        <w:instrText xml:space="preserve"> ADDIN ZOTERO_ITEM CSL_CITATION {"citationID":"sGmwg2Ic","properties":{"formattedCitation":"\\super 4,21,47,135\\nosupersub{}","plainCitation":"4,21,47,135","noteIndex":0},"citationItems":[{"id":2848,"uris":["http://zotero.org/groups/2497994/items/4CQVJEEC",["http://zotero.org/groups/2497994/items/4CQVJEEC"]],"itemData":{"id":2848,"type":"article-journal","abstract":"&lt;h2&gt;Summary&lt;/h2&gt;&lt;p&gt;Amoebiasis is the second leading cause of death from parasitic disease worldwide. The causative protozoan parasite, &lt;i&gt;Entamoeba histolytica&lt;/i&gt;, is a potent pathogen. Secreting proteinases that dissolve host tissues, killing host cells on contact, and engulfing red blood cells, &lt;i&gt;E histolytica&lt;/i&gt; trophozoites invade the intestinal mucosa, causing amoebic colitis. In some cases amoebas breach the mucosal barrier and travel through the portal circulation to the liver, where they cause abscesses consisting of a few &lt;i&gt;E histolytica&lt;/i&gt; trophozoites surrounding dead and dying hepatocytes and liquefied cellular debris. Amoebic liver abscesses grow inexorably and, at one time, were almost always fatal, but now even large abscesses can be cured by one dose of antibiotic. Evidence that what we thought was a single species based on morphology is, in fact, two genetically distinct species—now termed &lt;i&gt;Entamoeba histolytica&lt;/i&gt; (the pathogen) and &lt;i&gt;Entamoeba dispar&lt;/i&gt; (a commensal)—has turned conventional wisdom about the epidemiology and diagnosis of amoebiasis upside down. New models of disease have linked &lt;i&gt;E histolytica&lt;/i&gt; induction of intestinal inflammation and hepatocyte programmed cell death to the pathogenesis of amoebic colitis and amoebic liver abscess.&lt;/p&gt;","container-title":"The Lancet","DOI":"10.1016/S0140-6736(03)12830-9","ISSN":"0140-6736, 1474-547X","issue":"9362","journalAbbreviation":"The Lancet","language":"English","note":"PMID: 12660071","page":"1025-1034","source":"www.thelancet.com","title":"Amoebiasis","volume":"361","author":[{"family":"Stanley","given":"Samuel L."}],"issued":{"date-parts":[["2003",3,22]]}}},{"id":2829,"uris":["http://zotero.org/groups/2497994/items/VBJUH6JK",["http://zotero.org/groups/2497994/items/VBJUH6JK"]],"itemData":{"id":2829,"type":"article-journal","abstract":"Endoscopic diagnosis of amebic colitis can be difficult because its appearance may mimic other forms of colonic disease. The aim of this study was to identify predictive endoscopic findings for amebic colitis. Patients with suspected amebic colitis based on distinctive endoscopic findings such as aphthae or erosions, ulcers, exudates, or a bump, were included in the study. A total of 157 patients were selected, 50 of whom had amebic colitis. The sensitivity and specificity of endoscopic findings that were significantly associated with amebic colitis were: cecal lesions (80 % and 54 %), multiple number of lesions (96 % and 29 %), presence of aphthae or erosions (84 % and 37 %), and presence of exudate (88 % and 74 %). Multivariate analysis revealed that the best combination of findings to predict amebic colitis was the presence of cecal lesions, multiple lesions, and exudates, which corresponded to an area under the receiver operating characteristic curve of 0.89 (95 % confidence interval 0.82 – 0.95).","container-title":"Endoscopy","DOI":"10.1055/s-0031-1291631","ISSN":"0013-726X, 1438-8812","issue":"04","journalAbbreviation":"Endoscopy","language":"en","page":"425-428","source":"DOI.org (Crossref)","title":"Predictive value of endoscopic findings in the diagnosis of active intestinal amebiasis","volume":"44","author":[{"family":"Nagata","given":"N."},{"family":"Shimbo","given":"T."},{"family":"Akiyama","given":"J."},{"family":"Nakashima","given":"R."},{"family":"Niikura","given":"R."},{"family":"Nishimura","given":"S."},{"family":"Yada","given":"T."},{"family":"Watanabe","given":"K."},{"family":"Oka","given":"S."},{"family":"Uemura","given":"N."}],"issued":{"date-parts":[["2012",4]]}}},{"id":4761,"uris":["http://zotero.org/groups/2497994/items/KFQV7XA6",["http://zotero.org/groups/2497994/items/KFQV7XA6"]],"itemData":{"id":4761,"type":"article-journal","abstract":"Amebiasis is defined as infection with Entamoeba histolytica,\nregardless of associated symptomatology. In resource-rich nations,\nthis parasitic protozoan is seen primarily in travelers to and\nemigrants from endemic areas. Infections range from asymptomatic\ncolonization to amebic colitis and life-threatening abscesses.\nImportantly, disease may occur months to years after\nexposure. Although E histolytica was previously thought to infect\n10% of the world’s population, 2 morphologically identical but\ngenetically distinct and apparently nonpathogenic Entamoeba\nspecies are now recognized as causing most asymptomatic\ncases. To avoid unnecessary and possibly harmful therapies, clinicians\nshould follow the diagnostic and treatment guidelines of the\nWorld Health Organization.","container-title":"Mayo Clinic Proceedings","DOI":"10.4065/83.10.1154","ISSN":"00256196","issue":"10","journalAbbreviation":"Mayo Clinic Proceedings","language":"en","page":"1154-1160","source":"DOI.org (Crossref)","title":"Amebiasis","volume":"83","author":[{"family":"Pritt","given":"Bobbi S."},{"family":"Clark","given":"C. Graham"}],"issued":{"date-parts":[["2008",10]]}}},{"id":365,"uris":["http://zotero.org/groups/2497994/items/PRPUYH26",["http://zotero.org/groups/2497994/items/PRPUYH26"]],"itemData":{"id":365,"type":"article-journal","abstract":"A retrospective cohort study was conducted in 55 symptomatic patients with amebic colitis that visited at St. Luke's International Hospital and Mie University Hospital from 1994 through 2013. To diagnose amebic colitis, 40 patients underwent total colonoscopy within 1 week after hospital visiting and before receiving any treatment. The percentage of characteristic endoscopic findings of amebic colitis including discrete ulcers or erosions with white or yellow exudates were 0% in terminal ileum, 93% in cecum, 28% in ascending, 25% in transverse, 15% in descending, 20% in sigmoid colon and 45% in rectum. The rectal lesions in 55% of patients with amebic colitis were nonspecific. The trophozoite identification rate by direct smear of intestinal tract washings performed during colonoscopy was 88%. The protozoan identification rate was 70% in biopsy specimens taken from the periphery of the characteristic discrete ulcers. Total colonoscopy should be considered for the diagnosis of amebic colitis. (C) 2015, Japanese Society of Chemotherapy and The Japanese Association for Infectious Diseases. Published by Elsevier Ltd. All rights reserved.","container-title":"Journal of Infection and Chemotherapy","DOI":"10.1016/j.jiac.2015.02.004","ISSN":"1341-321X","issue":"5-6","note":"WOS:000356842300022","page":"444-448","title":"Endoscopic findings and lesion distribution in amebic colitis","volume":"21","author":[{"family":"Horiki","given":"Noriyuki"},{"family":"Furukawa","given":"Keiichi"},{"family":"Kitade","given":"Takashi"},{"family":"Sakuno","given":"Takashi"},{"family":"Katsurahara","given":"Masaki"},{"family":"Harada","given":"Tetsuro"},{"family":"Tano","given":"Shunsuke"},{"family":"Yamada","given":"Reiko"},{"family":"Hamada","given":"Yasuhiko"},{"family":"Inoue","given":"Hiroyuki"},{"family":"Tanaka","given":"Kyosuke"},{"family":"Gabazza","given":"Esteban C."},{"family":"Ishii","given":"Naoki"},{"family":"Fukuda","given":"Katsuyuki"},{"family":"Omata","given":"Fumio"},{"family":"Fujita","given":"Yoshiyuki"},{"family":"Tachibana","given":"Hiroshi"},{"family":"Takei","given":"Yoshiyuki"}],"issued":{"date-parts":[["2015",6]]}}}],"schema":"https://github.com/citation-style-language/schema/raw/master/csl-citation.json"} </w:instrText>
      </w:r>
      <w:r w:rsidR="00172088" w:rsidRPr="00D11245">
        <w:rPr>
          <w:rFonts w:cstheme="minorHAnsi"/>
          <w:color w:val="000000" w:themeColor="text1"/>
          <w:sz w:val="24"/>
          <w:szCs w:val="24"/>
          <w:highlight w:val="green"/>
        </w:rPr>
        <w:fldChar w:fldCharType="separate"/>
      </w:r>
      <w:r w:rsidR="009C3E63" w:rsidRPr="00D11245">
        <w:rPr>
          <w:rFonts w:ascii="Calibri" w:hAnsi="Calibri" w:cs="Calibri"/>
          <w:color w:val="000000" w:themeColor="text1"/>
          <w:kern w:val="0"/>
          <w:sz w:val="24"/>
          <w:vertAlign w:val="superscript"/>
        </w:rPr>
        <w:t>4,21,47,135</w:t>
      </w:r>
      <w:r w:rsidR="00172088" w:rsidRPr="00D11245">
        <w:rPr>
          <w:rFonts w:cstheme="minorHAnsi"/>
          <w:color w:val="000000" w:themeColor="text1"/>
          <w:sz w:val="24"/>
          <w:szCs w:val="24"/>
          <w:highlight w:val="green"/>
        </w:rPr>
        <w:fldChar w:fldCharType="end"/>
      </w:r>
      <w:r w:rsidR="00F85AD6" w:rsidRPr="00D11245">
        <w:rPr>
          <w:rFonts w:cstheme="minorHAnsi"/>
          <w:color w:val="000000" w:themeColor="text1"/>
          <w:sz w:val="24"/>
          <w:szCs w:val="24"/>
        </w:rPr>
        <w:t xml:space="preserve">. </w:t>
      </w:r>
      <w:r w:rsidR="00CF52C9" w:rsidRPr="00D11245">
        <w:rPr>
          <w:rFonts w:cstheme="minorHAnsi"/>
          <w:color w:val="000000" w:themeColor="text1"/>
          <w:sz w:val="24"/>
          <w:szCs w:val="24"/>
        </w:rPr>
        <w:t xml:space="preserve">Whilst endoscopic features </w:t>
      </w:r>
      <w:r w:rsidR="00E051F4" w:rsidRPr="00D11245">
        <w:rPr>
          <w:rFonts w:cstheme="minorHAnsi"/>
          <w:color w:val="000000" w:themeColor="text1"/>
          <w:sz w:val="24"/>
          <w:szCs w:val="24"/>
        </w:rPr>
        <w:t xml:space="preserve">may be indistinguishable </w:t>
      </w:r>
      <w:r w:rsidR="00CF52C9" w:rsidRPr="00D11245">
        <w:rPr>
          <w:rFonts w:cstheme="minorHAnsi"/>
          <w:color w:val="000000" w:themeColor="text1"/>
          <w:sz w:val="24"/>
          <w:szCs w:val="24"/>
        </w:rPr>
        <w:t xml:space="preserve">between these </w:t>
      </w:r>
      <w:r w:rsidR="00151E73" w:rsidRPr="00D11245">
        <w:rPr>
          <w:rFonts w:cstheme="minorHAnsi"/>
          <w:color w:val="000000" w:themeColor="text1"/>
          <w:sz w:val="24"/>
          <w:szCs w:val="24"/>
        </w:rPr>
        <w:t>conditions;</w:t>
      </w:r>
      <w:r w:rsidR="00CF52C9" w:rsidRPr="00D11245">
        <w:rPr>
          <w:rFonts w:cstheme="minorHAnsi"/>
          <w:color w:val="000000" w:themeColor="text1"/>
          <w:sz w:val="24"/>
          <w:szCs w:val="24"/>
        </w:rPr>
        <w:t xml:space="preserve"> characteristic features of amoebic colitis have been described</w:t>
      </w:r>
      <w:r w:rsidR="0031364D" w:rsidRPr="00D11245">
        <w:rPr>
          <w:rFonts w:cstheme="minorHAnsi"/>
          <w:color w:val="000000" w:themeColor="text1"/>
          <w:sz w:val="24"/>
          <w:szCs w:val="24"/>
        </w:rPr>
        <w:t xml:space="preserve"> </w:t>
      </w:r>
      <w:r w:rsidR="00172088" w:rsidRPr="00D11245">
        <w:rPr>
          <w:rFonts w:cstheme="minorHAnsi"/>
          <w:color w:val="000000" w:themeColor="text1"/>
          <w:sz w:val="24"/>
          <w:szCs w:val="24"/>
        </w:rPr>
        <w:fldChar w:fldCharType="begin"/>
      </w:r>
      <w:r w:rsidR="009C3E63" w:rsidRPr="00D11245">
        <w:rPr>
          <w:rFonts w:cstheme="minorHAnsi"/>
          <w:color w:val="000000" w:themeColor="text1"/>
          <w:sz w:val="24"/>
          <w:szCs w:val="24"/>
        </w:rPr>
        <w:instrText xml:space="preserve"> ADDIN ZOTERO_ITEM CSL_CITATION {"citationID":"svj9ptu1","properties":{"formattedCitation":"\\super 47\\nosupersub{}","plainCitation":"47","noteIndex":0},"citationItems":[{"id":2829,"uris":["http://zotero.org/groups/2497994/items/VBJUH6JK",["http://zotero.org/groups/2497994/items/VBJUH6JK"]],"itemData":{"id":2829,"type":"article-journal","abstract":"Endoscopic diagnosis of amebic colitis can be difficult because its appearance may mimic other forms of colonic disease. The aim of this study was to identify predictive endoscopic findings for amebic colitis. Patients with suspected amebic colitis based on distinctive endoscopic findings such as aphthae or erosions, ulcers, exudates, or a bump, were included in the study. A total of 157 patients were selected, 50 of whom had amebic colitis. The sensitivity and specificity of endoscopic findings that were significantly associated with amebic colitis were: cecal lesions (80 % and 54 %), multiple number of lesions (96 % and 29 %), presence of aphthae or erosions (84 % and 37 %), and presence of exudate (88 % and 74 %). Multivariate analysis revealed that the best combination of findings to predict amebic colitis was the presence of cecal lesions, multiple lesions, and exudates, which corresponded to an area under the receiver operating characteristic curve of 0.89 (95 % confidence interval 0.82 – 0.95).","container-title":"Endoscopy","DOI":"10.1055/s-0031-1291631","ISSN":"0013-726X, 1438-8812","issue":"04","journalAbbreviation":"Endoscopy","language":"en","page":"425-428","source":"DOI.org (Crossref)","title":"Predictive value of endoscopic findings in the diagnosis of active intestinal amebiasis","volume":"44","author":[{"family":"Nagata","given":"N."},{"family":"Shimbo","given":"T."},{"family":"Akiyama","given":"J."},{"family":"Nakashima","given":"R."},{"family":"Niikura","given":"R."},{"family":"Nishimura","given":"S."},{"family":"Yada","given":"T."},{"family":"Watanabe","given":"K."},{"family":"Oka","given":"S."},{"family":"Uemura","given":"N."}],"issued":{"date-parts":[["2012",4]]}}}],"schema":"https://github.com/citation-style-language/schema/raw/master/csl-citation.json"} </w:instrText>
      </w:r>
      <w:r w:rsidR="00172088" w:rsidRPr="00D11245">
        <w:rPr>
          <w:rFonts w:cstheme="minorHAnsi"/>
          <w:color w:val="000000" w:themeColor="text1"/>
          <w:sz w:val="24"/>
          <w:szCs w:val="24"/>
        </w:rPr>
        <w:fldChar w:fldCharType="separate"/>
      </w:r>
      <w:r w:rsidR="009C3E63" w:rsidRPr="00D11245">
        <w:rPr>
          <w:rFonts w:ascii="Calibri" w:hAnsi="Calibri" w:cs="Calibri"/>
          <w:color w:val="000000" w:themeColor="text1"/>
          <w:kern w:val="0"/>
          <w:sz w:val="24"/>
          <w:vertAlign w:val="superscript"/>
        </w:rPr>
        <w:t>47</w:t>
      </w:r>
      <w:r w:rsidR="00172088" w:rsidRPr="00D11245">
        <w:rPr>
          <w:rFonts w:cstheme="minorHAnsi"/>
          <w:color w:val="000000" w:themeColor="text1"/>
          <w:sz w:val="24"/>
          <w:szCs w:val="24"/>
        </w:rPr>
        <w:fldChar w:fldCharType="end"/>
      </w:r>
      <w:r w:rsidR="00CF52C9" w:rsidRPr="00D11245">
        <w:rPr>
          <w:rFonts w:cstheme="minorHAnsi"/>
          <w:color w:val="000000" w:themeColor="text1"/>
          <w:sz w:val="24"/>
          <w:szCs w:val="24"/>
        </w:rPr>
        <w:t xml:space="preserve">. </w:t>
      </w:r>
      <w:r w:rsidR="00B30E0D" w:rsidRPr="00D11245">
        <w:rPr>
          <w:rFonts w:cstheme="minorHAnsi"/>
          <w:color w:val="000000" w:themeColor="text1"/>
          <w:sz w:val="24"/>
          <w:szCs w:val="24"/>
        </w:rPr>
        <w:t xml:space="preserve">Amoebic colitis </w:t>
      </w:r>
      <w:r w:rsidR="003F6C14" w:rsidRPr="00D11245">
        <w:rPr>
          <w:rFonts w:cstheme="minorHAnsi"/>
          <w:color w:val="000000" w:themeColor="text1"/>
          <w:sz w:val="24"/>
          <w:szCs w:val="24"/>
        </w:rPr>
        <w:t xml:space="preserve">often causes </w:t>
      </w:r>
      <w:r w:rsidR="00B30E0D" w:rsidRPr="00D11245">
        <w:rPr>
          <w:rFonts w:cstheme="minorHAnsi"/>
          <w:color w:val="000000" w:themeColor="text1"/>
          <w:sz w:val="24"/>
          <w:szCs w:val="24"/>
        </w:rPr>
        <w:t xml:space="preserve">patchy inflammation with or without pale exudate and ulceration, with a predominance in the caecum </w:t>
      </w:r>
      <w:r w:rsidR="003F6C14" w:rsidRPr="00D11245">
        <w:rPr>
          <w:rFonts w:cstheme="minorHAnsi"/>
          <w:color w:val="000000" w:themeColor="text1"/>
          <w:sz w:val="24"/>
          <w:szCs w:val="24"/>
        </w:rPr>
        <w:t xml:space="preserve">and </w:t>
      </w:r>
      <w:r w:rsidR="00B30E0D" w:rsidRPr="00D11245">
        <w:rPr>
          <w:rFonts w:cstheme="minorHAnsi"/>
          <w:color w:val="000000" w:themeColor="text1"/>
          <w:sz w:val="24"/>
          <w:szCs w:val="24"/>
        </w:rPr>
        <w:t xml:space="preserve">ascending colon, </w:t>
      </w:r>
      <w:r w:rsidR="004545ED" w:rsidRPr="00D11245">
        <w:rPr>
          <w:rFonts w:cstheme="minorHAnsi"/>
          <w:color w:val="000000" w:themeColor="text1"/>
          <w:sz w:val="24"/>
          <w:szCs w:val="24"/>
        </w:rPr>
        <w:t>since this is likely</w:t>
      </w:r>
      <w:r w:rsidR="00B30E0D" w:rsidRPr="00D11245">
        <w:rPr>
          <w:rFonts w:cstheme="minorHAnsi"/>
          <w:color w:val="000000" w:themeColor="text1"/>
          <w:sz w:val="24"/>
          <w:szCs w:val="24"/>
        </w:rPr>
        <w:t xml:space="preserve"> the site of excystation</w:t>
      </w:r>
      <w:r w:rsidR="008E7A59" w:rsidRPr="00D11245">
        <w:rPr>
          <w:rFonts w:cstheme="minorHAnsi"/>
          <w:color w:val="000000" w:themeColor="text1"/>
          <w:sz w:val="24"/>
          <w:szCs w:val="24"/>
        </w:rPr>
        <w:t xml:space="preserve"> and trophozoite release</w:t>
      </w:r>
      <w:r w:rsidR="00B30E0D" w:rsidRPr="00D11245">
        <w:rPr>
          <w:rFonts w:cstheme="minorHAnsi"/>
          <w:color w:val="000000" w:themeColor="text1"/>
          <w:sz w:val="24"/>
          <w:szCs w:val="24"/>
        </w:rPr>
        <w:t xml:space="preserve">, and </w:t>
      </w:r>
      <w:r w:rsidR="00A50A78" w:rsidRPr="00D11245">
        <w:rPr>
          <w:rFonts w:cstheme="minorHAnsi"/>
          <w:color w:val="000000" w:themeColor="text1"/>
          <w:sz w:val="24"/>
          <w:szCs w:val="24"/>
        </w:rPr>
        <w:t xml:space="preserve">next most commonly in </w:t>
      </w:r>
      <w:r w:rsidR="00B30E0D" w:rsidRPr="00D11245">
        <w:rPr>
          <w:rFonts w:cstheme="minorHAnsi"/>
          <w:color w:val="000000" w:themeColor="text1"/>
          <w:sz w:val="24"/>
          <w:szCs w:val="24"/>
        </w:rPr>
        <w:t>the rectum, likely due to stasis of stool</w:t>
      </w:r>
      <w:r w:rsidR="00A50A78" w:rsidRPr="00D11245">
        <w:rPr>
          <w:rFonts w:cstheme="minorHAnsi"/>
          <w:color w:val="000000" w:themeColor="text1"/>
          <w:sz w:val="24"/>
          <w:szCs w:val="24"/>
        </w:rPr>
        <w:t xml:space="preserve"> </w:t>
      </w:r>
      <w:r w:rsidR="00172088" w:rsidRPr="00D11245">
        <w:rPr>
          <w:rFonts w:cstheme="minorHAnsi"/>
          <w:color w:val="000000" w:themeColor="text1"/>
          <w:sz w:val="24"/>
          <w:szCs w:val="24"/>
        </w:rPr>
        <w:fldChar w:fldCharType="begin"/>
      </w:r>
      <w:r w:rsidR="009C3E63" w:rsidRPr="00D11245">
        <w:rPr>
          <w:rFonts w:cstheme="minorHAnsi"/>
          <w:color w:val="000000" w:themeColor="text1"/>
          <w:sz w:val="24"/>
          <w:szCs w:val="24"/>
        </w:rPr>
        <w:instrText xml:space="preserve"> ADDIN ZOTERO_ITEM CSL_CITATION {"citationID":"yMKxdW7V","properties":{"formattedCitation":"\\super 47,135,136\\nosupersub{}","plainCitation":"47,135,136","noteIndex":0},"citationItems":[{"id":2829,"uris":["http://zotero.org/groups/2497994/items/VBJUH6JK",["http://zotero.org/groups/2497994/items/VBJUH6JK"]],"itemData":{"id":2829,"type":"article-journal","abstract":"Endoscopic diagnosis of amebic colitis can be difficult because its appearance may mimic other forms of colonic disease. The aim of this study was to identify predictive endoscopic findings for amebic colitis. Patients with suspected amebic colitis based on distinctive endoscopic findings such as aphthae or erosions, ulcers, exudates, or a bump, were included in the study. A total of 157 patients were selected, 50 of whom had amebic colitis. The sensitivity and specificity of endoscopic findings that were significantly associated with amebic colitis were: cecal lesions (80 % and 54 %), multiple number of lesions (96 % and 29 %), presence of aphthae or erosions (84 % and 37 %), and presence of exudate (88 % and 74 %). Multivariate analysis revealed that the best combination of findings to predict amebic colitis was the presence of cecal lesions, multiple lesions, and exudates, which corresponded to an area under the receiver operating characteristic curve of 0.89 (95 % confidence interval 0.82 – 0.95).","container-title":"Endoscopy","DOI":"10.1055/s-0031-1291631","ISSN":"0013-726X, 1438-8812","issue":"04","journalAbbreviation":"Endoscopy","language":"en","page":"425-428","source":"DOI.org (Crossref)","title":"Predictive value of endoscopic findings in the diagnosis of active intestinal amebiasis","volume":"44","author":[{"family":"Nagata","given":"N."},{"family":"Shimbo","given":"T."},{"family":"Akiyama","given":"J."},{"family":"Nakashima","given":"R."},{"family":"Niikura","given":"R."},{"family":"Nishimura","given":"S."},{"family":"Yada","given":"T."},{"family":"Watanabe","given":"K."},{"family":"Oka","given":"S."},{"family":"Uemura","given":"N."}],"issued":{"date-parts":[["2012",4]]}}},{"id":365,"uris":["http://zotero.org/groups/2497994/items/PRPUYH26",["http://zotero.org/groups/2497994/items/PRPUYH26"]],"itemData":{"id":365,"type":"article-journal","abstract":"A retrospective cohort study was conducted in 55 symptomatic patients with amebic colitis that visited at St. Luke's International Hospital and Mie University Hospital from 1994 through 2013. To diagnose amebic colitis, 40 patients underwent total colonoscopy within 1 week after hospital visiting and before receiving any treatment. The percentage of characteristic endoscopic findings of amebic colitis including discrete ulcers or erosions with white or yellow exudates were 0% in terminal ileum, 93% in cecum, 28% in ascending, 25% in transverse, 15% in descending, 20% in sigmoid colon and 45% in rectum. The rectal lesions in 55% of patients with amebic colitis were nonspecific. The trophozoite identification rate by direct smear of intestinal tract washings performed during colonoscopy was 88%. The protozoan identification rate was 70% in biopsy specimens taken from the periphery of the characteristic discrete ulcers. Total colonoscopy should be considered for the diagnosis of amebic colitis. (C) 2015, Japanese Society of Chemotherapy and The Japanese Association for Infectious Diseases. Published by Elsevier Ltd. All rights reserved.","container-title":"Journal of Infection and Chemotherapy","DOI":"10.1016/j.jiac.2015.02.004","ISSN":"1341-321X","issue":"5-6","note":"WOS:000356842300022","page":"444-448","title":"Endoscopic findings and lesion distribution in amebic colitis","volume":"21","author":[{"family":"Horiki","given":"Noriyuki"},{"family":"Furukawa","given":"Keiichi"},{"family":"Kitade","given":"Takashi"},{"family":"Sakuno","given":"Takashi"},{"family":"Katsurahara","given":"Masaki"},{"family":"Harada","given":"Tetsuro"},{"family":"Tano","given":"Shunsuke"},{"family":"Yamada","given":"Reiko"},{"family":"Hamada","given":"Yasuhiko"},{"family":"Inoue","given":"Hiroyuki"},{"family":"Tanaka","given":"Kyosuke"},{"family":"Gabazza","given":"Esteban C."},{"family":"Ishii","given":"Naoki"},{"family":"Fukuda","given":"Katsuyuki"},{"family":"Omata","given":"Fumio"},{"family":"Fujita","given":"Yoshiyuki"},{"family":"Tachibana","given":"Hiroshi"},{"family":"Takei","given":"Yoshiyuki"}],"issued":{"date-parts":[["2015",6]]}}},{"id":1742,"uris":["http://zotero.org/groups/2497994/items/AKRS7FAC",["http://zotero.org/groups/2497994/items/AKRS7FAC"]],"itemData":{"id":1742,"type":"article-journal","abstract":"Purpose Nonspecific gastrointestinal symptoms make diagnosis of amebiasis difficult. Certain colonoscopic findings predict amebic colitis while others suggest different diagnoses. We aimed to evaluate the diagnostic capability of colonic evaluation of amebiasis. Methods We retrospectively reviewed data of all amebiasis cases admitted to our institution between 2003 and 2012. Cases were diagnosed by clinical presentation, laboratory examinations, and colonoscopy with biopsy and microscopic examination. Patients were stratified as right-sided colitis and proctosigmoiditis. A systematic review was conducted by searchingMedline, Cochrane, EMBASE, and Google Scholar using key words amebiasis, amebic colitis, amebic proctosigmoiditis, colonoscopy, and Entamoeba histolytica. Data were extracted from articles meeting the inclusion criteria. Colonoscopic findings were described and studies were assessed for quality. Results The current series included 20 patients (5 male, 15 female, median age 51), 7 with amebic liver abscess and 13 with amebic colitis. Colonoscopic findings of right-sided colitis included aphthae or erosions, ulcers, exudates, or edematous swollen mucosa in cecum, and findings for proctosigmoiditis were edematous swollen mucosa with bloody exudate. In 25 studies, colonoscopic findings of 41 patients (36 male, 5 female, median age 43.39 years) included mainly ulcers in the cecum and rectum, ulcerated mass, and edematous mucosa; and in fewer patients, submucosal invasion suggestive of colon cancer, bleeding ulcers, proctitis, and ulcers with aphthae in rectum. Conclusions Colonic evaluation of suspected amebiasis is of diagnostic value when accompanied by biopsy and microscopic identification of Entamoeba species. Colonoscopic manifestations vary between right-sided colitis and proctosigmoiditis.Copyright © Springer-Verlag Berlin Heidelberg 2014.","container-title":"International Journal of Colorectal Disease","DOI":"10.1007/s00384-014-2040-6","ISSN":"0179-1958","issue":"1","journalAbbreviation":"Int. J. Colorectal Dis.","language":"English","note":"publisher-place: Germany\npublisher: Springer Verlag (E-mail: service@springer.de)","page":"31-41","title":"Colonoscopic diagnosis of amebiasis: a case series and systematic review","volume":"30","author":[{"literal":"Lee K.-C."},{"literal":"Lu C.-C."},{"literal":"Hu W.-H."},{"literal":"Lin S.-E."},{"literal":"Chen H.-H."}],"issued":{"date-parts":[["2014"]]}}}],"schema":"https://github.com/citation-style-language/schema/raw/master/csl-citation.json"} </w:instrText>
      </w:r>
      <w:r w:rsidR="00172088" w:rsidRPr="00D11245">
        <w:rPr>
          <w:rFonts w:cstheme="minorHAnsi"/>
          <w:color w:val="000000" w:themeColor="text1"/>
          <w:sz w:val="24"/>
          <w:szCs w:val="24"/>
        </w:rPr>
        <w:fldChar w:fldCharType="separate"/>
      </w:r>
      <w:r w:rsidR="009C3E63" w:rsidRPr="00D11245">
        <w:rPr>
          <w:rFonts w:ascii="Calibri" w:hAnsi="Calibri" w:cs="Calibri"/>
          <w:color w:val="000000" w:themeColor="text1"/>
          <w:kern w:val="0"/>
          <w:sz w:val="24"/>
          <w:vertAlign w:val="superscript"/>
        </w:rPr>
        <w:t>47,135,136</w:t>
      </w:r>
      <w:r w:rsidR="00172088" w:rsidRPr="00D11245">
        <w:rPr>
          <w:rFonts w:cstheme="minorHAnsi"/>
          <w:color w:val="000000" w:themeColor="text1"/>
          <w:sz w:val="24"/>
          <w:szCs w:val="24"/>
        </w:rPr>
        <w:fldChar w:fldCharType="end"/>
      </w:r>
      <w:r w:rsidR="003F6C14" w:rsidRPr="00D11245">
        <w:rPr>
          <w:rFonts w:cstheme="minorHAnsi"/>
          <w:color w:val="000000" w:themeColor="text1"/>
          <w:sz w:val="24"/>
          <w:szCs w:val="24"/>
        </w:rPr>
        <w:t>.</w:t>
      </w:r>
      <w:r w:rsidR="00A50A78" w:rsidRPr="00D11245">
        <w:rPr>
          <w:rFonts w:cstheme="minorHAnsi"/>
          <w:color w:val="000000" w:themeColor="text1"/>
          <w:sz w:val="24"/>
          <w:szCs w:val="24"/>
        </w:rPr>
        <w:t xml:space="preserve"> Ulcer</w:t>
      </w:r>
      <w:r w:rsidR="00F07E69" w:rsidRPr="00D11245">
        <w:rPr>
          <w:rFonts w:cstheme="minorHAnsi"/>
          <w:color w:val="000000" w:themeColor="text1"/>
          <w:sz w:val="24"/>
          <w:szCs w:val="24"/>
        </w:rPr>
        <w:t>s</w:t>
      </w:r>
      <w:r w:rsidR="00A50A78" w:rsidRPr="00D11245">
        <w:rPr>
          <w:rFonts w:cstheme="minorHAnsi"/>
          <w:color w:val="000000" w:themeColor="text1"/>
          <w:sz w:val="24"/>
          <w:szCs w:val="24"/>
        </w:rPr>
        <w:t xml:space="preserve"> can range in size and character, from tiny erosions to larger ulcers (&gt;2cm) and are most often multiple and discrete</w:t>
      </w:r>
      <w:r w:rsidR="005A087D" w:rsidRPr="00D11245">
        <w:rPr>
          <w:rFonts w:cstheme="minorHAnsi"/>
          <w:color w:val="000000" w:themeColor="text1"/>
          <w:sz w:val="24"/>
          <w:szCs w:val="24"/>
        </w:rPr>
        <w:t>.</w:t>
      </w:r>
      <w:r w:rsidR="00A50A78" w:rsidRPr="00D11245">
        <w:rPr>
          <w:rFonts w:cstheme="minorHAnsi"/>
          <w:color w:val="000000" w:themeColor="text1"/>
          <w:sz w:val="24"/>
          <w:szCs w:val="24"/>
        </w:rPr>
        <w:t xml:space="preserve"> </w:t>
      </w:r>
      <w:r w:rsidR="005A087D" w:rsidRPr="00D11245">
        <w:rPr>
          <w:rFonts w:cstheme="minorHAnsi"/>
          <w:color w:val="000000" w:themeColor="text1"/>
          <w:sz w:val="24"/>
          <w:szCs w:val="24"/>
        </w:rPr>
        <w:t>S</w:t>
      </w:r>
      <w:r w:rsidR="00A50A78" w:rsidRPr="00D11245">
        <w:rPr>
          <w:rFonts w:cstheme="minorHAnsi"/>
          <w:color w:val="000000" w:themeColor="text1"/>
          <w:sz w:val="24"/>
          <w:szCs w:val="24"/>
        </w:rPr>
        <w:t xml:space="preserve">urrounding mucosa can </w:t>
      </w:r>
      <w:r w:rsidR="003F6C14" w:rsidRPr="00D11245">
        <w:rPr>
          <w:rFonts w:cstheme="minorHAnsi"/>
          <w:color w:val="000000" w:themeColor="text1"/>
          <w:sz w:val="24"/>
          <w:szCs w:val="24"/>
        </w:rPr>
        <w:t xml:space="preserve">appear normal or inflamed. </w:t>
      </w:r>
      <w:r w:rsidR="00B30E0D" w:rsidRPr="00D11245">
        <w:rPr>
          <w:rFonts w:cstheme="minorHAnsi"/>
          <w:color w:val="000000" w:themeColor="text1"/>
          <w:sz w:val="24"/>
          <w:szCs w:val="24"/>
        </w:rPr>
        <w:t>A mucosal “bump” sign has been proposed as a</w:t>
      </w:r>
      <w:r w:rsidR="00A50A78" w:rsidRPr="00D11245">
        <w:rPr>
          <w:rFonts w:cstheme="minorHAnsi"/>
          <w:color w:val="000000" w:themeColor="text1"/>
          <w:sz w:val="24"/>
          <w:szCs w:val="24"/>
        </w:rPr>
        <w:t xml:space="preserve"> pathognomonic</w:t>
      </w:r>
      <w:r w:rsidR="00B30E0D" w:rsidRPr="00D11245">
        <w:rPr>
          <w:rFonts w:cstheme="minorHAnsi"/>
          <w:color w:val="000000" w:themeColor="text1"/>
          <w:sz w:val="24"/>
          <w:szCs w:val="24"/>
        </w:rPr>
        <w:t xml:space="preserve"> endoscopic feature, consisting of a &lt;1cm inflammatory nodule infiltrated by trophozoites</w:t>
      </w:r>
      <w:r w:rsidR="00A50A78" w:rsidRPr="00D11245">
        <w:rPr>
          <w:rFonts w:cstheme="minorHAnsi"/>
          <w:color w:val="000000" w:themeColor="text1"/>
          <w:sz w:val="24"/>
          <w:szCs w:val="24"/>
        </w:rPr>
        <w:t xml:space="preserve"> </w:t>
      </w:r>
      <w:r w:rsidR="00172088" w:rsidRPr="00D11245">
        <w:rPr>
          <w:rFonts w:cstheme="minorHAnsi"/>
          <w:color w:val="000000" w:themeColor="text1"/>
          <w:sz w:val="24"/>
          <w:szCs w:val="24"/>
        </w:rPr>
        <w:fldChar w:fldCharType="begin"/>
      </w:r>
      <w:r w:rsidR="009C3E63" w:rsidRPr="00D11245">
        <w:rPr>
          <w:rFonts w:cstheme="minorHAnsi"/>
          <w:color w:val="000000" w:themeColor="text1"/>
          <w:sz w:val="24"/>
          <w:szCs w:val="24"/>
        </w:rPr>
        <w:instrText xml:space="preserve"> ADDIN ZOTERO_ITEM CSL_CITATION {"citationID":"wd3WxH8O","properties":{"formattedCitation":"\\super 47\\nosupersub{}","plainCitation":"47","noteIndex":0},"citationItems":[{"id":2829,"uris":["http://zotero.org/groups/2497994/items/VBJUH6JK",["http://zotero.org/groups/2497994/items/VBJUH6JK"]],"itemData":{"id":2829,"type":"article-journal","abstract":"Endoscopic diagnosis of amebic colitis can be difficult because its appearance may mimic other forms of colonic disease. The aim of this study was to identify predictive endoscopic findings for amebic colitis. Patients with suspected amebic colitis based on distinctive endoscopic findings such as aphthae or erosions, ulcers, exudates, or a bump, were included in the study. A total of 157 patients were selected, 50 of whom had amebic colitis. The sensitivity and specificity of endoscopic findings that were significantly associated with amebic colitis were: cecal lesions (80 % and 54 %), multiple number of lesions (96 % and 29 %), presence of aphthae or erosions (84 % and 37 %), and presence of exudate (88 % and 74 %). Multivariate analysis revealed that the best combination of findings to predict amebic colitis was the presence of cecal lesions, multiple lesions, and exudates, which corresponded to an area under the receiver operating characteristic curve of 0.89 (95 % confidence interval 0.82 – 0.95).","container-title":"Endoscopy","DOI":"10.1055/s-0031-1291631","ISSN":"0013-726X, 1438-8812","issue":"04","journalAbbreviation":"Endoscopy","language":"en","page":"425-428","source":"DOI.org (Crossref)","title":"Predictive value of endoscopic findings in the diagnosis of active intestinal amebiasis","volume":"44","author":[{"family":"Nagata","given":"N."},{"family":"Shimbo","given":"T."},{"family":"Akiyama","given":"J."},{"family":"Nakashima","given":"R."},{"family":"Niikura","given":"R."},{"family":"Nishimura","given":"S."},{"family":"Yada","given":"T."},{"family":"Watanabe","given":"K."},{"family":"Oka","given":"S."},{"family":"Uemura","given":"N."}],"issued":{"date-parts":[["2012",4]]}}}],"schema":"https://github.com/citation-style-language/schema/raw/master/csl-citation.json"} </w:instrText>
      </w:r>
      <w:r w:rsidR="00172088" w:rsidRPr="00D11245">
        <w:rPr>
          <w:rFonts w:cstheme="minorHAnsi"/>
          <w:color w:val="000000" w:themeColor="text1"/>
          <w:sz w:val="24"/>
          <w:szCs w:val="24"/>
        </w:rPr>
        <w:fldChar w:fldCharType="separate"/>
      </w:r>
      <w:r w:rsidR="009C3E63" w:rsidRPr="00D11245">
        <w:rPr>
          <w:rFonts w:ascii="Calibri" w:hAnsi="Calibri" w:cs="Calibri"/>
          <w:color w:val="000000" w:themeColor="text1"/>
          <w:kern w:val="0"/>
          <w:sz w:val="24"/>
          <w:vertAlign w:val="superscript"/>
        </w:rPr>
        <w:t>47</w:t>
      </w:r>
      <w:r w:rsidR="00172088" w:rsidRPr="00D11245">
        <w:rPr>
          <w:rFonts w:cstheme="minorHAnsi"/>
          <w:color w:val="000000" w:themeColor="text1"/>
          <w:sz w:val="24"/>
          <w:szCs w:val="24"/>
        </w:rPr>
        <w:fldChar w:fldCharType="end"/>
      </w:r>
      <w:r w:rsidR="00B30E0D" w:rsidRPr="00D11245">
        <w:rPr>
          <w:rFonts w:cstheme="minorHAnsi"/>
          <w:color w:val="000000" w:themeColor="text1"/>
          <w:sz w:val="24"/>
          <w:szCs w:val="24"/>
        </w:rPr>
        <w:t>.</w:t>
      </w:r>
      <w:r w:rsidR="00A50A78" w:rsidRPr="00D11245">
        <w:rPr>
          <w:rFonts w:cstheme="minorHAnsi"/>
          <w:color w:val="000000" w:themeColor="text1"/>
          <w:sz w:val="24"/>
          <w:szCs w:val="24"/>
        </w:rPr>
        <w:t xml:space="preserve"> </w:t>
      </w:r>
      <w:r w:rsidR="003C1D42" w:rsidRPr="00D11245">
        <w:rPr>
          <w:rFonts w:cstheme="minorHAnsi"/>
          <w:color w:val="000000" w:themeColor="text1"/>
          <w:sz w:val="24"/>
          <w:szCs w:val="24"/>
        </w:rPr>
        <w:t xml:space="preserve">Table 4 and Figure </w:t>
      </w:r>
      <w:r w:rsidR="005D004E" w:rsidRPr="00D11245">
        <w:rPr>
          <w:rFonts w:cstheme="minorHAnsi"/>
          <w:color w:val="000000" w:themeColor="text1"/>
          <w:sz w:val="24"/>
          <w:szCs w:val="24"/>
        </w:rPr>
        <w:t>2</w:t>
      </w:r>
      <w:r w:rsidR="003C1D42" w:rsidRPr="00D11245">
        <w:rPr>
          <w:rFonts w:cstheme="minorHAnsi"/>
          <w:color w:val="000000" w:themeColor="text1"/>
          <w:sz w:val="24"/>
          <w:szCs w:val="24"/>
        </w:rPr>
        <w:t xml:space="preserve"> describe the endoscopic features and appearances of amoebic colitis.</w:t>
      </w:r>
    </w:p>
    <w:p w14:paraId="5AE7CBC4" w14:textId="537CBA9B" w:rsidR="003F6C14" w:rsidRPr="00D11245" w:rsidRDefault="003F6C14" w:rsidP="00D07242">
      <w:pPr>
        <w:jc w:val="both"/>
        <w:rPr>
          <w:rFonts w:cstheme="minorHAnsi"/>
          <w:color w:val="000000" w:themeColor="text1"/>
          <w:sz w:val="24"/>
          <w:szCs w:val="24"/>
        </w:rPr>
      </w:pPr>
      <w:r w:rsidRPr="00D11245">
        <w:rPr>
          <w:rFonts w:cstheme="minorHAnsi"/>
          <w:color w:val="000000" w:themeColor="text1"/>
          <w:sz w:val="24"/>
          <w:szCs w:val="24"/>
        </w:rPr>
        <w:t xml:space="preserve">There are case reports describing the simultaneous diagnosis of colorectal adenocarcinoma with </w:t>
      </w:r>
      <w:r w:rsidRPr="00D11245">
        <w:rPr>
          <w:rFonts w:cstheme="minorHAnsi"/>
          <w:i/>
          <w:iCs/>
          <w:color w:val="000000" w:themeColor="text1"/>
          <w:sz w:val="24"/>
          <w:szCs w:val="24"/>
        </w:rPr>
        <w:t>E. histolytica</w:t>
      </w:r>
      <w:r w:rsidRPr="00D11245">
        <w:rPr>
          <w:rFonts w:cstheme="minorHAnsi"/>
          <w:color w:val="000000" w:themeColor="text1"/>
          <w:sz w:val="24"/>
          <w:szCs w:val="24"/>
        </w:rPr>
        <w:t xml:space="preserve"> infection on mucosal biopsy </w:t>
      </w:r>
      <w:r w:rsidR="00172088" w:rsidRPr="00D11245">
        <w:rPr>
          <w:rFonts w:cstheme="minorHAnsi"/>
          <w:color w:val="000000" w:themeColor="text1"/>
          <w:sz w:val="24"/>
          <w:szCs w:val="24"/>
        </w:rPr>
        <w:fldChar w:fldCharType="begin"/>
      </w:r>
      <w:r w:rsidR="009C3E63" w:rsidRPr="00D11245">
        <w:rPr>
          <w:rFonts w:cstheme="minorHAnsi"/>
          <w:color w:val="000000" w:themeColor="text1"/>
          <w:sz w:val="24"/>
          <w:szCs w:val="24"/>
        </w:rPr>
        <w:instrText xml:space="preserve"> ADDIN ZOTERO_ITEM CSL_CITATION {"citationID":"2s6VSpKI","properties":{"formattedCitation":"\\super 101\\nosupersub{}","plainCitation":"101","noteIndex":0},"citationItems":[{"id":772,"uris":["http://zotero.org/groups/2497994/items/JC6AHM2K",["http://zotero.org/groups/2497994/items/JC6AHM2K"]],"itemData":{"id":772,"type":"article-journal","abstract":"Entamoeba histolytica infections of the gastrointestinal tract are common in the developing world. Only two isolated cases of colonic amoebiasis with colon carcinoma have been described in literature. Here, we describe unique series of four cases showing coexistence of Entamoeba trophozoites with colon cancer. The organisms were demonstrated by Periodic acid Schiff (PAS) stain, which highlighted the trophozoites. Three of the patients were treated with metronidazole and two underwent subsequent resection and adjuvant chemoradiotherapy. Importance of diagnosing coinfection lies in view of immunocompromised state of the cancer patients, most of whom also receive adjuvant chemotherapy and radiotherapy. In such a scenario, if Entamoeba coinfection is not treated, it may lead to complications such as spread of organisms to the brain, liver, lungs and pericardium. The series emphasizes that a high index of suspicion for co-existing parasites is needed in colon cancers, especially in endemic countries.","language":"eng","note":"publisher: Advanced Research Publications","title":"Entamoeba Histolytica Infesting Colonic Malignancy: First Series of Four Cases","URL":"https://medical.adrpublications.in/index.php/Journal-Pathology-LabMeds/article/view/1763","author":[{"family":"Gupta","given":"Priyanka"},{"family":"Sahay","given":"Ayushi"},{"family":"Ramadwar","given":"Mukta"},{"family":"Saklani","given":"Avanish"}],"issued":{"date-parts":[["2018"]]}}}],"schema":"https://github.com/citation-style-language/schema/raw/master/csl-citation.json"} </w:instrText>
      </w:r>
      <w:r w:rsidR="00172088" w:rsidRPr="00D11245">
        <w:rPr>
          <w:rFonts w:cstheme="minorHAnsi"/>
          <w:color w:val="000000" w:themeColor="text1"/>
          <w:sz w:val="24"/>
          <w:szCs w:val="24"/>
        </w:rPr>
        <w:fldChar w:fldCharType="separate"/>
      </w:r>
      <w:r w:rsidR="009C3E63" w:rsidRPr="00D11245">
        <w:rPr>
          <w:rFonts w:ascii="Calibri" w:hAnsi="Calibri" w:cs="Calibri"/>
          <w:color w:val="000000" w:themeColor="text1"/>
          <w:kern w:val="0"/>
          <w:sz w:val="24"/>
          <w:vertAlign w:val="superscript"/>
        </w:rPr>
        <w:t>101</w:t>
      </w:r>
      <w:r w:rsidR="00172088" w:rsidRPr="00D11245">
        <w:rPr>
          <w:rFonts w:cstheme="minorHAnsi"/>
          <w:color w:val="000000" w:themeColor="text1"/>
          <w:sz w:val="24"/>
          <w:szCs w:val="24"/>
        </w:rPr>
        <w:fldChar w:fldCharType="end"/>
      </w:r>
      <w:r w:rsidRPr="00D11245">
        <w:rPr>
          <w:rFonts w:cstheme="minorHAnsi"/>
          <w:color w:val="000000" w:themeColor="text1"/>
          <w:sz w:val="24"/>
          <w:szCs w:val="24"/>
        </w:rPr>
        <w:t xml:space="preserve">. </w:t>
      </w:r>
      <w:r w:rsidR="009045BC" w:rsidRPr="00D11245">
        <w:rPr>
          <w:rFonts w:cstheme="minorHAnsi"/>
          <w:color w:val="000000" w:themeColor="text1"/>
          <w:sz w:val="24"/>
          <w:szCs w:val="24"/>
        </w:rPr>
        <w:t xml:space="preserve">However, </w:t>
      </w:r>
      <w:r w:rsidRPr="00D11245">
        <w:rPr>
          <w:rFonts w:cstheme="minorHAnsi"/>
          <w:color w:val="000000" w:themeColor="text1"/>
          <w:sz w:val="24"/>
          <w:szCs w:val="24"/>
        </w:rPr>
        <w:t xml:space="preserve">correlation </w:t>
      </w:r>
      <w:r w:rsidR="006431DD" w:rsidRPr="00D11245">
        <w:rPr>
          <w:rFonts w:cstheme="minorHAnsi"/>
          <w:color w:val="000000" w:themeColor="text1"/>
          <w:sz w:val="24"/>
          <w:szCs w:val="24"/>
        </w:rPr>
        <w:t xml:space="preserve">does </w:t>
      </w:r>
      <w:r w:rsidRPr="00D11245">
        <w:rPr>
          <w:rFonts w:cstheme="minorHAnsi"/>
          <w:color w:val="000000" w:themeColor="text1"/>
          <w:sz w:val="24"/>
          <w:szCs w:val="24"/>
        </w:rPr>
        <w:t>not necessarily imply causation</w:t>
      </w:r>
      <w:r w:rsidR="00E87A04" w:rsidRPr="00D11245">
        <w:rPr>
          <w:rFonts w:cstheme="minorHAnsi"/>
          <w:color w:val="000000" w:themeColor="text1"/>
          <w:sz w:val="24"/>
          <w:szCs w:val="24"/>
        </w:rPr>
        <w:t>.</w:t>
      </w:r>
    </w:p>
    <w:p w14:paraId="0CF500E5" w14:textId="77777777" w:rsidR="00A50A78" w:rsidRPr="00D11245" w:rsidRDefault="00A50A78" w:rsidP="00D07242">
      <w:pPr>
        <w:jc w:val="both"/>
        <w:rPr>
          <w:rFonts w:ascii="Calibri" w:hAnsi="Calibri" w:cs="Calibri"/>
          <w:color w:val="000000" w:themeColor="text1"/>
        </w:rPr>
      </w:pPr>
    </w:p>
    <w:tbl>
      <w:tblPr>
        <w:tblStyle w:val="TableGrid"/>
        <w:tblW w:w="9373" w:type="dxa"/>
        <w:tblLayout w:type="fixed"/>
        <w:tblLook w:val="04A0" w:firstRow="1" w:lastRow="0" w:firstColumn="1" w:lastColumn="0" w:noHBand="0" w:noVBand="1"/>
      </w:tblPr>
      <w:tblGrid>
        <w:gridCol w:w="2689"/>
        <w:gridCol w:w="3354"/>
        <w:gridCol w:w="3330"/>
      </w:tblGrid>
      <w:tr w:rsidR="00D11245" w:rsidRPr="00D11245" w14:paraId="33A759B1" w14:textId="61335F71" w:rsidTr="00803397">
        <w:tc>
          <w:tcPr>
            <w:tcW w:w="9373" w:type="dxa"/>
            <w:gridSpan w:val="3"/>
            <w:shd w:val="clear" w:color="auto" w:fill="9CC2E5" w:themeFill="accent5" w:themeFillTint="99"/>
          </w:tcPr>
          <w:p w14:paraId="0AE1660B" w14:textId="621C8967" w:rsidR="00B30E0D" w:rsidRPr="00D11245" w:rsidRDefault="003C1D42" w:rsidP="00D07242">
            <w:pPr>
              <w:jc w:val="both"/>
              <w:rPr>
                <w:rFonts w:ascii="Calibri" w:hAnsi="Calibri" w:cs="Calibri"/>
                <w:b/>
                <w:bCs/>
                <w:color w:val="000000" w:themeColor="text1"/>
              </w:rPr>
            </w:pPr>
            <w:r w:rsidRPr="00D11245">
              <w:rPr>
                <w:rFonts w:ascii="Calibri" w:hAnsi="Calibri" w:cs="Calibri"/>
                <w:b/>
                <w:bCs/>
                <w:color w:val="000000" w:themeColor="text1"/>
              </w:rPr>
              <w:t xml:space="preserve">Table 4: </w:t>
            </w:r>
            <w:r w:rsidR="00B30E0D" w:rsidRPr="00D11245">
              <w:rPr>
                <w:rFonts w:ascii="Calibri" w:hAnsi="Calibri" w:cs="Calibri"/>
                <w:b/>
                <w:bCs/>
                <w:color w:val="000000" w:themeColor="text1"/>
              </w:rPr>
              <w:t xml:space="preserve">Endoscopic features of amoebic colitis </w:t>
            </w:r>
          </w:p>
        </w:tc>
      </w:tr>
      <w:tr w:rsidR="00D11245" w:rsidRPr="00D11245" w14:paraId="18DE2475" w14:textId="04146E5F" w:rsidTr="00803397">
        <w:tc>
          <w:tcPr>
            <w:tcW w:w="2689" w:type="dxa"/>
            <w:shd w:val="clear" w:color="auto" w:fill="9CC2E5" w:themeFill="accent5" w:themeFillTint="99"/>
          </w:tcPr>
          <w:p w14:paraId="3628A901" w14:textId="03A4011F" w:rsidR="00803397" w:rsidRPr="00D11245" w:rsidRDefault="00803397" w:rsidP="00D07242">
            <w:pPr>
              <w:jc w:val="both"/>
              <w:rPr>
                <w:rFonts w:ascii="Calibri" w:hAnsi="Calibri" w:cs="Calibri"/>
                <w:b/>
                <w:bCs/>
                <w:color w:val="000000" w:themeColor="text1"/>
              </w:rPr>
            </w:pPr>
            <w:r w:rsidRPr="00D11245">
              <w:rPr>
                <w:rFonts w:ascii="Calibri" w:hAnsi="Calibri" w:cs="Calibri"/>
                <w:b/>
                <w:bCs/>
                <w:color w:val="000000" w:themeColor="text1"/>
              </w:rPr>
              <w:t xml:space="preserve">Feature </w:t>
            </w:r>
          </w:p>
        </w:tc>
        <w:tc>
          <w:tcPr>
            <w:tcW w:w="3354" w:type="dxa"/>
            <w:shd w:val="clear" w:color="auto" w:fill="9CC2E5" w:themeFill="accent5" w:themeFillTint="99"/>
          </w:tcPr>
          <w:p w14:paraId="50E84CB3" w14:textId="005F6F8A" w:rsidR="00803397" w:rsidRPr="00D11245" w:rsidRDefault="00803397" w:rsidP="00D07242">
            <w:pPr>
              <w:jc w:val="both"/>
              <w:rPr>
                <w:rFonts w:ascii="Calibri" w:hAnsi="Calibri" w:cs="Calibri"/>
                <w:b/>
                <w:bCs/>
                <w:color w:val="000000" w:themeColor="text1"/>
              </w:rPr>
            </w:pPr>
            <w:r w:rsidRPr="00D11245">
              <w:rPr>
                <w:rFonts w:ascii="Calibri" w:hAnsi="Calibri" w:cs="Calibri"/>
                <w:b/>
                <w:bCs/>
                <w:color w:val="000000" w:themeColor="text1"/>
              </w:rPr>
              <w:t>Site</w:t>
            </w:r>
          </w:p>
        </w:tc>
        <w:tc>
          <w:tcPr>
            <w:tcW w:w="3330" w:type="dxa"/>
            <w:shd w:val="clear" w:color="auto" w:fill="9CC2E5" w:themeFill="accent5" w:themeFillTint="99"/>
          </w:tcPr>
          <w:p w14:paraId="7AD357D9" w14:textId="28BFD496" w:rsidR="00803397" w:rsidRPr="00D11245" w:rsidRDefault="00803397" w:rsidP="00D07242">
            <w:pPr>
              <w:jc w:val="both"/>
              <w:rPr>
                <w:rFonts w:ascii="Calibri" w:hAnsi="Calibri" w:cs="Calibri"/>
                <w:b/>
                <w:bCs/>
                <w:color w:val="000000" w:themeColor="text1"/>
              </w:rPr>
            </w:pPr>
            <w:r w:rsidRPr="00D11245">
              <w:rPr>
                <w:rFonts w:ascii="Calibri" w:hAnsi="Calibri" w:cs="Calibri"/>
                <w:b/>
                <w:bCs/>
                <w:color w:val="000000" w:themeColor="text1"/>
              </w:rPr>
              <w:t>Prevalence</w:t>
            </w:r>
          </w:p>
        </w:tc>
      </w:tr>
      <w:tr w:rsidR="00D11245" w:rsidRPr="00D11245" w14:paraId="37DA5839" w14:textId="4BD32DD1" w:rsidTr="00803397">
        <w:tc>
          <w:tcPr>
            <w:tcW w:w="2689" w:type="dxa"/>
            <w:shd w:val="clear" w:color="auto" w:fill="DEEAF6" w:themeFill="accent5" w:themeFillTint="33"/>
          </w:tcPr>
          <w:p w14:paraId="110CF4D9" w14:textId="77777777" w:rsidR="00803397" w:rsidRPr="00D11245" w:rsidRDefault="00803397" w:rsidP="00D07242">
            <w:pPr>
              <w:jc w:val="both"/>
              <w:rPr>
                <w:rFonts w:ascii="Calibri" w:hAnsi="Calibri" w:cs="Calibri"/>
                <w:b/>
                <w:bCs/>
                <w:color w:val="000000" w:themeColor="text1"/>
              </w:rPr>
            </w:pPr>
            <w:r w:rsidRPr="00D11245">
              <w:rPr>
                <w:rFonts w:ascii="Calibri" w:hAnsi="Calibri" w:cs="Calibri"/>
                <w:b/>
                <w:bCs/>
                <w:color w:val="000000" w:themeColor="text1"/>
              </w:rPr>
              <w:t>Erythema/ inflammation</w:t>
            </w:r>
          </w:p>
          <w:p w14:paraId="1D296377" w14:textId="7B5FCF19" w:rsidR="00803397" w:rsidRPr="00D11245" w:rsidRDefault="00803397" w:rsidP="00D07242">
            <w:pPr>
              <w:jc w:val="both"/>
              <w:rPr>
                <w:rFonts w:ascii="Calibri" w:hAnsi="Calibri" w:cs="Calibri"/>
                <w:b/>
                <w:bCs/>
                <w:color w:val="000000" w:themeColor="text1"/>
              </w:rPr>
            </w:pPr>
            <w:r w:rsidRPr="00D11245">
              <w:rPr>
                <w:rFonts w:asciiTheme="majorHAnsi" w:hAnsiTheme="majorHAnsi" w:cstheme="majorHAnsi"/>
                <w:color w:val="000000" w:themeColor="text1"/>
                <w:sz w:val="24"/>
                <w:szCs w:val="24"/>
                <w:highlight w:val="yellow"/>
              </w:rPr>
              <w:fldChar w:fldCharType="begin"/>
            </w:r>
            <w:r w:rsidR="009C3E63" w:rsidRPr="00D11245">
              <w:rPr>
                <w:rFonts w:asciiTheme="majorHAnsi" w:hAnsiTheme="majorHAnsi" w:cstheme="majorHAnsi"/>
                <w:color w:val="000000" w:themeColor="text1"/>
                <w:sz w:val="24"/>
                <w:szCs w:val="24"/>
                <w:highlight w:val="yellow"/>
              </w:rPr>
              <w:instrText xml:space="preserve"> ADDIN ZOTERO_ITEM CSL_CITATION {"citationID":"iWgdGIqq","properties":{"formattedCitation":"\\super 28,32,46,47,57,59,61,63,65,73,135\\uc0\\u8211{}137\\nosupersub{}","plainCitation":"28,32,46,47,57,59,61,63,65,73,135–137","noteIndex":0},"citationItems":[{"id":2127,"uris":["http://zotero.org/groups/2497994/items/98MNWH3V",["http://zotero.org/groups/2497994/items/98MNWH3V"]],"itemData":{"id":2127,"type":"article-journal","abstract":"Amoebic colitis, caused by ingestion of water or food contaminated with the protozoan Entamoeba histolytica, can progress to a fulminant colitis. Computed tomography (CT) findings reported in the literature on this type of colitis are sparse. We present a 59-year-old male patient with a one-week history of progressive abdominal pain, abdominal distension and associated watery and bloody diarrhoea. A CT scan revealed deep ulcerations with submucosal and intramural tracking of contrast. Colonoscopy and biopsy confirmed a diagnosis of Amoebic colitis. The patient required a laparotomy and demised. Deep ulcerations with submucosal and intramural tracking of contrast on CT are diagnostic of fulminant amoebic colitis. Although not demonstrated at CT in this case, discontinuous bowel necrosis, omental wrapping (seen at laparotomy in our case) and neovascularisation of the bowel wall may be other features to look out for.","container-title":"Sa Journal of Radiology","DOI":"10.4102/sajr.v22i1.1354","ISSN":"1027-202X","issue":"1","note":"WOS:000456514500001","page":"a1354","title":"Fulminant amoebic colitis in the era of computed tomography scan: A case report and review of the literature","volume":"22","author":[{"family":"Kinoo","given":"Suman Mewa"},{"family":"Ramkelawon","given":"Vikesh V."},{"family":"Maharajh","given":"Jaynund"},{"family":"Singh","given":"Bugwan"}],"issued":{"date-parts":[["2018",8,15]]}}},{"id":635,"uris":["http://zotero.org/groups/2497994/items/TJIRGEY8",["http://zotero.org/groups/2497994/items/TJIRGEY8"]],"itemData":{"id":635,"type":"article-journal","container-title":"Revista Espanola de Enfermedades Digestivas","ISSN":"1130-0108","issue":"1","journalAbbreviation":"Rev. Esp. Enferm. Dig.","language":"English","note":"publisher-place: Spain\npublisher: ARAN Ediciones S.A. (E-mail: araninte@grupoaran.com)","page":"64","title":"All that glitters is not gold. A different cause for an \"ulcerative colitis\"","volume":"109","author":[{"literal":"Peixoto A."},{"literal":"Silva M."},{"literal":"Vilas-Boas F."},{"literal":"Macedo G."}],"issued":{"date-parts":[["2017"]]}}},{"id":1668,"uris":["http://zotero.org/groups/2497994/items/W4YPB75U",["http://zotero.org/groups/2497994/items/W4YPB75U"]],"itemData":{"id":1668,"type":"article-journal","abstract":"BACKGROUND: Invasive amebiasis is not frequently seen in the United States. It is associated with considerable morbidity in patients residing in or traveling to endemic areas. We report a case series of patients with amebic colitis in a United States-Mexico border city to alert physicians to the varied clinical manifestations., CASE PRESENTATION: Nine patients were diagnosed with amebic colitis. Mean age was 56 (38-83), 6 were males, and all were Hispanic. Common symptoms were diarrhea (56 %), hematochezia (33 %) and abdominal bloating (11 %). The diagnosis of amebic colitis was established in the following ways: 8 patients by colonoscopy with biopsy, 1 by surgery for colonic obstruction. The diagnosis of amebic colitis was confirmed in 8 patients (89 %) by amebic trophozoites present in histopathologic sections. One patient was diagnosed with amebic colitis based upon clinical symptoms, colitis on colonoscopy and visualization of amebic trophozoites on stool examination. In the 8 patients in whom colonoscopy was done, 6 (75 %) had inflammation with rectosigmoid involvement and 5 (62.5 %) had ulcerations. Infection resolved after treatment with metronidazole in most patients; however, one patient developed a liver abscess and another had a colonic perforation and later developed a liver abscess., CONCLUSION: The occurrence of amebic colitis in this United States-Mexico border city hospital population was low, but in some cases potentially life-threatening. Physicians should be alert to the less common presentations of amebic colitis, such as overt gastrointestinal bleeding, exacerbation of inflammatory bowel disease, and the incidental finding of association with colon cancer, or a surgical abdomen. Rectosigmoid involvement was typically found on colonoscopy.","container-title":"BMC research notes","DOI":"10.1186/s13104-015-1787-3","ISSN":"1756-0500 (electronic)","issue":"(Fleming) Department of Internal Medicine, Texas Tech University Health Sciences Center, 4800 Alberta Ave, El Paso, TX, 79905, USA. rfleming5006@sbcglobal.net","journalAbbreviation":"BMC Res Notes","language":"English","note":"publisher-place: United Kingdom","page":"781","title":"Clinical manifestations and endoscopic findings of amebic colitis in a United States-Mexico border city: a case series","volume":"8","author":[{"literal":"Fleming R."},{"literal":"Cooper C.J."},{"literal":"Ramirez-Vega R."},{"literal":"Huerta-Alardin A."},{"literal":"Boman D."},{"literal":"Zuckerman M.J."}],"issued":{"date-parts":[["2015"]]}}},{"id":2829,"uris":["http://zotero.org/groups/2497994/items/VBJUH6JK",["http://zotero.org/groups/2497994/items/VBJUH6JK"]],"itemData":{"id":2829,"type":"article-journal","abstract":"Endoscopic diagnosis of amebic colitis can be difficult because its appearance may mimic other forms of colonic disease. The aim of this study was to identify predictive endoscopic findings for amebic colitis. Patients with suspected amebic colitis based on distinctive endoscopic findings such as aphthae or erosions, ulcers, exudates, or a bump, were included in the study. A total of 157 patients were selected, 50 of whom had amebic colitis. The sensitivity and specificity of endoscopic findings that were significantly associated with amebic colitis were: cecal lesions (80 % and 54 %), multiple number of lesions (96 % and 29 %), presence of aphthae or erosions (84 % and 37 %), and presence of exudate (88 % and 74 %). Multivariate analysis revealed that the best combination of findings to predict amebic colitis was the presence of cecal lesions, multiple lesions, and exudates, which corresponded to an area under the receiver operating characteristic curve of 0.89 (95 % confidence interval 0.82 – 0.95).","container-title":"Endoscopy","DOI":"10.1055/s-0031-1291631","ISSN":"0013-726X, 1438-8812","issue":"04","journalAbbreviation":"Endoscopy","language":"en","page":"425-428","source":"DOI.org (Crossref)","title":"Predictive value of endoscopic findings in the diagnosis of active intestinal amebiasis","volume":"44","author":[{"family":"Nagata","given":"N."},{"family":"Shimbo","given":"T."},{"family":"Akiyama","given":"J."},{"family":"Nakashima","given":"R."},{"family":"Niikura","given":"R."},{"family":"Nishimura","given":"S."},{"family":"Yada","given":"T."},{"family":"Watanabe","given":"K."},{"family":"Oka","given":"S."},{"family":"Uemura","given":"N."}],"issued":{"date-parts":[["2012",4]]}}},{"id":500,"uris":["http://zotero.org/groups/2497994/items/N6ZDBPSJ",["http://zotero.org/groups/2497994/items/N6ZDBPSJ"]],"itemData":{"id":500,"type":"article-journal","abstract":"A 50-year-old patient was admitted to our department after developing severe abdominal cramps, watery diarrhea and fever, during four days whilst travelling abroad. Imaging identified a mass in the ascending colon with simultaneous liver lesions. Initially a diagnosis of metastatic colorectal cancer was suggested, however colonoscopy showed a large lesion with a central ulcer and surrounding inflammation in the ascending colon. Biopsies confirmed our clinical suspicion of amoebic colitis, complicated by development of an amoeboma and simultaneous liver abscesses. Amoeboma formation is a rare complication of amoebiasis, however a simultaneous presentation with liver abscesses, amoebic colitis and an amoeboma might even be less frequent. Despite its rarity physicians should maintain a high index of suspicion of patients presenting with synchronous liver and colon lesions, especially as travel to endemic areas has increased.Copyright © 2019, Universa Press. All rights reserved.","container-title":"Acta Gastro-Enterologica Belgica","ISSN":"1784-3227","issue":"4","journalAbbreviation":"Acta Gastro-Enterol. Belg.","language":"English","note":"publisher-place: Belgium\npublisher: Universa Press (E-mail: deprez@gaen.ucl.ac.be)","page":"539-541","title":"A case of amoebic colitis with amoeboma and simultaneous liver abscesses. A diagnosis by colonoscopy","volume":"82","author":[{"literal":"Bronswijk M."},{"literal":"Van Gool S."}],"issued":{"date-parts":[["2019"]]}}},{"id":753,"uris":["http://zotero.org/groups/2497994/items/NM353MPR",["http://zotero.org/groups/2497994/items/NM353MPR"]],"itemData":{"id":753,"type":"article-journal","abstract":"We present a case of amoebic colitis, misdiagnosed as inflammatory bowel disease and treated with corticosteroids, leading to severe necrotizing enterocolitis. We review the literature on the epidemiology, pathogenesis, diagnosis, and treatment of amoebic dysentery, with special emphasis on the association between immunosuppressive treatment and the development of severe invasive amoebiasis.","language":"eng","title":"Misdiagnosed amoebic colitis leading to severe dysentery and necrotizing colitis-Report of a case and review of the literature","URL":"https://pure.au.dk/portal/da/publications/misdiagnosed-amoebic-colitis-leading-to-severe-dysentery-and-necrotizing-colitisreport-of-a-case-and-review-of-the-literature(bb3eba3f-12cf-4068-b98d-833c085fefc1).html","author":[{"family":"Mogensen","given":"Trine H"},{"family":"Christiansen","given":"Jens J"},{"family":"Eivindson","given":"Martin V"},{"family":"Larsen","given":"Carsten S"},{"literal":"JOUR"}],"issued":{"date-parts":[["2014"]]}}},{"id":1478,"uris":["http://zotero.org/groups/2497994/items/4X6FCL92",["http://zotero.org/groups/2497994/items/4X6FCL92"]],"itemData":{"id":1478,"type":"article-journal","abstract":"A 60-year-old Japanese man presented with bloody diarrhoea. He stated that he had been diagnosed with ulcerative colitis (UC) 3 years prior, but discontinued follow-up care as treatment was ineffective. One year later, he came to our hospital with anorexia and weight loss. The abdomen was soft and flat without tenderness. Laboratory tests were unremarkable; faecal culture and Clostridium difficile toxin were negative. Findings and biopsy from a subsequent colonoscopy reconfirmed his diagnosis of UC. Neither mesalazine, which was initially prescribed, nor additional treatments improved his symptoms. Repeat colonoscopy, performed 5 months later, demonstrated similar findings in the same area. Although the pathology remained consistent with UC, multiple treatment failures suggested ongoing occult infection. Additional testing revealed positive Entamoeba histolytica antibody. 14 days of metronidazole dramatically improved his symptoms. He has remained asymptomatic after 2 years.Copyright © 2015 BMJ Publishing Group. All rights reserved.","container-title":"BMJ Case Reports","DOI":"10.1136/bcr-2015-212102","ISSN":"1757-790X (electronic)","issue":"(Den, Kinoshita, Hiraoka) Department of Internal Medicine, Tokyo Bay Urayasu Ichikawa Medical Center, Urayasu, Chiba, Japan","journalAbbreviation":"BMJ Case Rep.","language":"English","note":"publisher-place: United Kingdom\npublisher: BMJ Publishing Group (E-mail: subscriptions@bmjgroup.com)","page":"A1708","title":"Amoebiasis masquerading as inflammatory bowel disease","volume":"2015","author":[{"literal":"Den Y."},{"literal":"Kinoshita J."},{"literal":"Deshpande G.A."},{"literal":"Hiraoka E."}],"issued":{"date-parts":[["2015"]]}}},{"id":1372,"uris":["http://zotero.org/groups/2497994/items/V2S8BC8N",["http://zotero.org/groups/2497994/items/V2S8BC8N"]],"itemData":{"id":1372,"type":"article-journal","abstract":"We present a case of colitis in a young male in the Western Cape, while progressing through the ambit of establishing a definitive diagnosis. We would like to highlight the value of microscopy which led to the specific diagnosis and subsequent directed treatment. Consent was obtained from the patient prior to publication.Copyright © 2019 In House Publications. All rights reserved.","container-title":"South African Gastroenterology Review","ISSN":"1812-1659","issue":"2","journalAbbreviation":"S. Afr. Gastroenterol. Rev.","language":"English","note":"publisher-place: South Africa\npublisher: In House Publications (E-mail: inhouse@iafrica.com)","page":"27-29","title":"The value of microscopy in the diagnosis of colitis","volume":"17","author":[{"literal":"Kahn T."},{"literal":"Locketz M."},{"literal":"Thomson S."}],"issued":{"date-parts":[["2019"]]}}},{"id":2830,"uris":["http://zotero.org/groups/2497994/items/G5EJHTPM",["http://zotero.org/groups/2497994/items/G5EJHTPM"]],"itemData":{"id":2830,"type":"article-journal","abstract":"A 65-year-old man was admitted to our\nhospital with a 2-month history of pain in\nthe right abdomen and intermittent\nwatery diarrhea. He had previously been\nin good health and had not traveled to the\ntropics in recent years. On examination,\nmild tenderness was noted on palpation\nover the right abdomen. The results of his\nblood tests were as follows: white blood\ncell count (WBC) 7.7×109/L, neutrophils\n78.5 %, red blood cell count (RBC) 3.56×\n1012/L, hemoglobin (Hb) 104g/L, erythrocyte\nsedimentation rate (ESR) 23mm/h. A\nfecal occult blood test was positive.\nColonoscopy revealed multiple discrete\nulcers with surrounding erythema in\nthe cecum, sigmoid colon, and rectum\n(●\" Fig.1). Histopathologic examination\nof biopsy specimens taken from the ulcers\nrevealed chronic inflammatory infiltrates\nwith trophozoites of Entamoeba histolytica\n(●\" Fig.2). The patient was treated\nwith metronidazole for 14 days and his\nsymptoms resolved. Follow-up colonoscopy\n4 weeks later showed marked improvement\nof the ulcers (●\" Fig.3).\nAmebiasis is caused by the intestinal\nprotozoan Entamoeba histolytica. When\namebic colitis occurs, inflammatory\nchanges are more common in the cecum\nand ascending colon but can spread to involve\nthe entire colon. The typical appearance\nat colonoscopy is ofmultiple punctuate\nulcers with a diameter of 2–10mm.\nThe most common symptoms are those\nof diarrhea, abdominal pain, and rectal\nbleeding. The diagnosis is usually made\nwhen histologic evaluation of colonic\nbiopsies reveals trophozoites within an\ninflammatory infiltrate. It is challenging\nand important for gastroenterologists to\ndistinguish amebic colitis from acute\nulcerative colitis as the administration of\ncorticosteroids to patients with amebic\ncolitis can result in fulminant disease.","container-title":"Endoscopy","DOI":"10.1055/s-0034-1377208","ISSN":"0013-726X","issue":"Supplement 01","journalAbbreviation":"Endoscopy","language":"English","note":"publisher-place: Germany\npublisher: Georg Thieme Verlag (E-mail: kunden.service@thieme.de)","page":"E145-E146","title":"Amebic colitis: Colonoscopic appearance","volume":"47","author":[{"literal":"Li N."},{"literal":"Wang H.-H."},{"literal":"Zhao X.-J."},{"literal":"Sheng J.-Q."}],"issued":{"date-parts":[["2015"]]}}},{"id":1334,"uris":["http://zotero.org/groups/2497994/items/CW6W9D6D",["http://zotero.org/groups/2497994/items/CW6W9D6D"]],"itemData":{"id":1334,"type":"article-journal","abstract":"A 54-year-old man with diarrhea and hematochezia for 2 months was referred to our department. A total colonoscopy revealed amoebic colitis caused by Entamoeba histolytica. Concurrently, a submucosal tumor-like yellowish hemispheric polypoid lesion was incidentally detected in the rectum. We speculated that the lesion was a NET, which could be cured by endoscopic treatment. However, histopathological assessment of a biopsy specimen unexpectedly revealed a well- or moderately differentiated adenocarcinoma. After treatment of the amoebic colitis, endoscopic ultrasound revealed a low, hetero-echoic, 6-mm-diameter lesion mainly in the submucosal layer. We performed surgical resection because the invasion was estimated to be to the deeper submucosal layer. Histopathological assessment of the surgically resected specimen revealed a focal lesion of a well-differentiated adenocarcinoma in the granulation tissue of the submucosal layer. In cases accompanied by amoebic colitis, a tumor's initial gross type might change. Diagnostic endoscopic resection could be acceptable in such cases.Copyright © 2020, Japanese Society of Gastroenterology.","container-title":"Clinical Journal of Gastroenterology","DOI":"10.1007/s12328-019-01088-1","ISSN":"1865-7257","issue":"(Ito, Ono, Maejima, Hosaka, Umeki, Sato, Wakasugi) Department of Gastroenterology, Chiba-Nishi General Hospital, 1-107, Kanegasaku, Matsudo, Chiba 270-2251, Japan","journalAbbreviation":"Clin. J. Gastroenterol.","language":"English","note":"publisher-place: Japan\npublisher: Springer","title":"A case of a rectal adenocarcinoma mimicking a neuroendocrine tumor in the background mucosa of amoebic colitis","URL":"http://www.springer.com/medicine/internal/journal/12328?cm_mmc=AD-_-FTA-_-CLM1805-_-0","author":[{"literal":"Ito S."},{"literal":"Ono S."},{"literal":"Kobayashi A."},{"literal":"Maejima K."},{"literal":"Hosaka S."},{"literal":"Umeki K."},{"literal":"Sato S.-I."},{"literal":"Wakasugi S."},{"literal":"Ogata K."}],"issued":{"date-parts":[["2020"]]}}},{"id":365,"uris":["http://zotero.org/groups/2497994/items/PRPUYH26",["http://zotero.org/groups/2497994/items/PRPUYH26"]],"itemData":{"id":365,"type":"article-journal","abstract":"A retrospective cohort study was conducted in 55 symptomatic patients with amebic colitis that visited at St. Luke's International Hospital and Mie University Hospital from 1994 through 2013. To diagnose amebic colitis, 40 patients underwent total colonoscopy within 1 week after hospital visiting and before receiving any treatment. The percentage of characteristic endoscopic findings of amebic colitis including discrete ulcers or erosions with white or yellow exudates were 0% in terminal ileum, 93% in cecum, 28% in ascending, 25% in transverse, 15% in descending, 20% in sigmoid colon and 45% in rectum. The rectal lesions in 55% of patients with amebic colitis were nonspecific. The trophozoite identification rate by direct smear of intestinal tract washings performed during colonoscopy was 88%. The protozoan identification rate was 70% in biopsy specimens taken from the periphery of the characteristic discrete ulcers. Total colonoscopy should be considered for the diagnosis of amebic colitis. (C) 2015, Japanese Society of Chemotherapy and The Japanese Association for Infectious Diseases. Published by Elsevier Ltd. All rights reserved.","container-title":"Journal of Infection and Chemotherapy","DOI":"10.1016/j.jiac.2015.02.004","ISSN":"1341-321X","issue":"5-6","note":"WOS:000356842300022","page":"444-448","title":"Endoscopic findings and lesion distribution in amebic colitis","volume":"21","author":[{"family":"Horiki","given":"Noriyuki"},{"family":"Furukawa","given":"Keiichi"},{"family":"Kitade","given":"Takashi"},{"family":"Sakuno","given":"Takashi"},{"family":"Katsurahara","given":"Masaki"},{"family":"Harada","given":"Tetsuro"},{"family":"Tano","given":"Shunsuke"},{"family":"Yamada","given":"Reiko"},{"family":"Hamada","given":"Yasuhiko"},{"family":"Inoue","given":"Hiroyuki"},{"family":"Tanaka","given":"Kyosuke"},{"family":"Gabazza","given":"Esteban C."},{"family":"Ishii","given":"Naoki"},{"family":"Fukuda","given":"Katsuyuki"},{"family":"Omata","given":"Fumio"},{"family":"Fujita","given":"Yoshiyuki"},{"family":"Tachibana","given":"Hiroshi"},{"family":"Takei","given":"Yoshiyuki"}],"issued":{"date-parts":[["2015",6]]}}},{"id":1494,"uris":["http://zotero.org/groups/2497994/items/D92NCNCN",["http://zotero.org/groups/2497994/items/D92NCNCN"]],"itemData":{"id":1494,"type":"article-journal","abstract":"Background: Severe leptospirosis occurs mainly in a tropical environment and includes icterus, acute renal failure and hemorrhages. These bleedings, which are mainly a consequence of acute homeostatic disturbances, can also reveal simultaneous diseases. Coinfections with other tropical diseases have been previously reported during leptospirosis. To our knowledge, invasive amebiasis, which can induce gastrointestinal bleedings, has never been described in the course of severe leptospirosis.Case presentation: In this report, we describe a case of a 60 year-old man living in Reunion Island (Indian Ocean, France) admitted to our intensive care unit for severe Leptospira interrogans serovar icterohaemorrhagiae infection with neurological, renal, liver and hematological involvement. Two lower gastrointestinal bleedings occurred 7 and 15 days after admission. The first episode was promoted by hemostatic disturbances while the second bleeding occurred during low-dose heparin therapy. Colonoscopy revealed a pseudo-tumoral inflammatory mass of the recto-sigmoid junction. Histological examination found trophozoites inside mucinous exudate suggestive of Entamoeba histolytica. Amoebic serology was strongly positive whereas careful detection of cysts or trophozoites on saline-wet mount was negative in three consecutive samples of stools. Amoxicillin followed by metronidazole therapy, combined with supportive care, led to an improvement in the clinical and biological patient's condition and endoscopic appearances. Conclusion(s): Clinicians should be aware that gastrointestinal bleeding during severe leptospirosis could not solely be the consequences of hemostatic disturbances. Careful endoscopic evaluation that may reveal curable coinfections should also be considered. © 2014 Legris et al.","container-title":"BMC Infectious Diseases","DOI":"10.1186/1471-2334-14-299","ISSN":"1471-2334 (electronic)","issue":"1","journalAbbreviation":"BMC Infect. Dis.","language":"English","note":"publisher-place: United Kingdom\npublisher: BioMed Central Ltd. (E-mail: info@biomedcentral.com)","page":"299","title":"Ameboma: An unusual cause of gastrointestinal bleeding during severe leptospirosis","volume":"14","author":[{"literal":"Legris T."},{"literal":"Jaffar-Bandjee M.-C."},{"literal":"Favre O."},{"literal":"Lefrancois N."},{"literal":"Genin R."},{"literal":"Ragot C."},{"literal":"Fernandez C."},{"literal":"Reboux A.-H."}],"issued":{"date-parts":[["2014"]]}}},{"id":1742,"uris":["http://zotero.org/groups/2497994/items/AKRS7FAC",["http://zotero.org/groups/2497994/items/AKRS7FAC"]],"itemData":{"id":1742,"type":"article-journal","abstract":"Purpose Nonspecific gastrointestinal symptoms make diagnosis of amebiasis difficult. Certain colonoscopic findings predict amebic colitis while others suggest different diagnoses. We aimed to evaluate the diagnostic capability of colonic evaluation of amebiasis. Methods We retrospectively reviewed data of all amebiasis cases admitted to our institution between 2003 and 2012. Cases were diagnosed by clinical presentation, laboratory examinations, and colonoscopy with biopsy and microscopic examination. Patients were stratified as right-sided colitis and proctosigmoiditis. A systematic review was conducted by searchingMedline, Cochrane, EMBASE, and Google Scholar using key words amebiasis, amebic colitis, amebic proctosigmoiditis, colonoscopy, and Entamoeba histolytica. Data were extracted from articles meeting the inclusion criteria. Colonoscopic findings were described and studies were assessed for quality. Results The current series included 20 patients (5 male, 15 female, median age 51), 7 with amebic liver abscess and 13 with amebic colitis. Colonoscopic findings of right-sided colitis included aphthae or erosions, ulcers, exudates, or edematous swollen mucosa in cecum, and findings for proctosigmoiditis were edematous swollen mucosa with bloody exudate. In 25 studies, colonoscopic findings of 41 patients (36 male, 5 female, median age 43.39 years) included mainly ulcers in the cecum and rectum, ulcerated mass, and edematous mucosa; and in fewer patients, submucosal invasion suggestive of colon cancer, bleeding ulcers, proctitis, and ulcers with aphthae in rectum. Conclusions Colonic evaluation of suspected amebiasis is of diagnostic value when accompanied by biopsy and microscopic identification of Entamoeba species. Colonoscopic manifestations vary between right-sided colitis and proctosigmoiditis.Copyright © Springer-Verlag Berlin Heidelberg 2014.","container-title":"International Journal of Colorectal Disease","DOI":"10.1007/s00384-014-2040-6","ISSN":"0179-1958","issue":"1","journalAbbreviation":"Int. J. Colorectal Dis.","language":"English","note":"publisher-place: Germany\npublisher: Springer Verlag (E-mail: service@springer.de)","page":"31-41","title":"Colonoscopic diagnosis of amebiasis: a case series and systematic review","volume":"30","author":[{"literal":"Lee K.-C."},{"literal":"Lu C.-C."},{"literal":"Hu W.-H."},{"literal":"Lin S.-E."},{"literal":"Chen H.-H."}],"issued":{"date-parts":[["2014"]]}}}],"schema":"https://github.com/citation-style-language/schema/raw/master/csl-citation.json"} </w:instrText>
            </w:r>
            <w:r w:rsidRPr="00D11245">
              <w:rPr>
                <w:rFonts w:asciiTheme="majorHAnsi" w:hAnsiTheme="majorHAnsi" w:cstheme="majorHAnsi"/>
                <w:color w:val="000000" w:themeColor="text1"/>
                <w:sz w:val="24"/>
                <w:szCs w:val="24"/>
                <w:highlight w:val="yellow"/>
              </w:rPr>
              <w:fldChar w:fldCharType="separate"/>
            </w:r>
            <w:r w:rsidR="009C3E63" w:rsidRPr="00D11245">
              <w:rPr>
                <w:rFonts w:ascii="Calibri Light" w:hAnsi="Calibri Light" w:cs="Calibri Light"/>
                <w:color w:val="000000" w:themeColor="text1"/>
                <w:sz w:val="24"/>
                <w:vertAlign w:val="superscript"/>
              </w:rPr>
              <w:t>28,32,46,47,57,59,61,63,65,73,135–137</w:t>
            </w:r>
            <w:r w:rsidRPr="00D11245">
              <w:rPr>
                <w:rFonts w:asciiTheme="majorHAnsi" w:hAnsiTheme="majorHAnsi" w:cstheme="majorHAnsi"/>
                <w:color w:val="000000" w:themeColor="text1"/>
                <w:sz w:val="24"/>
                <w:szCs w:val="24"/>
                <w:highlight w:val="yellow"/>
              </w:rPr>
              <w:fldChar w:fldCharType="end"/>
            </w:r>
            <w:r w:rsidRPr="00D11245">
              <w:rPr>
                <w:rFonts w:asciiTheme="majorHAnsi" w:hAnsiTheme="majorHAnsi" w:cstheme="majorHAnsi"/>
                <w:color w:val="000000" w:themeColor="text1"/>
                <w:sz w:val="24"/>
                <w:szCs w:val="24"/>
              </w:rPr>
              <w:t xml:space="preserve"> </w:t>
            </w:r>
          </w:p>
        </w:tc>
        <w:tc>
          <w:tcPr>
            <w:tcW w:w="3354" w:type="dxa"/>
            <w:vMerge w:val="restart"/>
            <w:vAlign w:val="center"/>
          </w:tcPr>
          <w:p w14:paraId="57D9803B" w14:textId="5C52A2F8" w:rsidR="00803397" w:rsidRPr="00D11245" w:rsidRDefault="00803397" w:rsidP="00D07242">
            <w:pPr>
              <w:jc w:val="both"/>
              <w:rPr>
                <w:rFonts w:ascii="Calibri" w:hAnsi="Calibri" w:cs="Calibri"/>
                <w:color w:val="000000" w:themeColor="text1"/>
              </w:rPr>
            </w:pPr>
            <w:r w:rsidRPr="00D11245">
              <w:rPr>
                <w:rFonts w:ascii="Calibri" w:hAnsi="Calibri" w:cs="Calibri"/>
                <w:color w:val="000000" w:themeColor="text1"/>
              </w:rPr>
              <w:t>Patchy and variable distribution – may be pan-colonic with predominance in caecum and ascending colon</w:t>
            </w:r>
          </w:p>
        </w:tc>
        <w:tc>
          <w:tcPr>
            <w:tcW w:w="3330" w:type="dxa"/>
          </w:tcPr>
          <w:p w14:paraId="4E193385" w14:textId="260CD082" w:rsidR="00803397" w:rsidRPr="00D11245" w:rsidRDefault="00803397" w:rsidP="00D07242">
            <w:pPr>
              <w:jc w:val="both"/>
              <w:rPr>
                <w:rFonts w:ascii="Calibri" w:hAnsi="Calibri" w:cs="Calibri"/>
                <w:color w:val="000000" w:themeColor="text1"/>
              </w:rPr>
            </w:pPr>
            <w:r w:rsidRPr="00D11245">
              <w:rPr>
                <w:rFonts w:ascii="Calibri" w:hAnsi="Calibri" w:cs="Calibri"/>
                <w:color w:val="000000" w:themeColor="text1"/>
              </w:rPr>
              <w:t>Common (&gt;50%)</w:t>
            </w:r>
          </w:p>
        </w:tc>
      </w:tr>
      <w:tr w:rsidR="00D11245" w:rsidRPr="00D11245" w14:paraId="006089F0" w14:textId="77777777" w:rsidTr="00803397">
        <w:tc>
          <w:tcPr>
            <w:tcW w:w="2689" w:type="dxa"/>
            <w:shd w:val="clear" w:color="auto" w:fill="DEEAF6" w:themeFill="accent5" w:themeFillTint="33"/>
          </w:tcPr>
          <w:p w14:paraId="2F65E868" w14:textId="77777777" w:rsidR="00803397" w:rsidRPr="00D11245" w:rsidRDefault="00803397" w:rsidP="00D07242">
            <w:pPr>
              <w:jc w:val="both"/>
              <w:rPr>
                <w:rFonts w:ascii="Calibri" w:hAnsi="Calibri" w:cs="Calibri"/>
                <w:b/>
                <w:bCs/>
                <w:color w:val="000000" w:themeColor="text1"/>
              </w:rPr>
            </w:pPr>
            <w:r w:rsidRPr="00D11245">
              <w:rPr>
                <w:rFonts w:ascii="Calibri" w:hAnsi="Calibri" w:cs="Calibri"/>
                <w:b/>
                <w:bCs/>
                <w:color w:val="000000" w:themeColor="text1"/>
              </w:rPr>
              <w:t>Exudate</w:t>
            </w:r>
          </w:p>
          <w:p w14:paraId="44CF6663" w14:textId="21D1B510" w:rsidR="00803397" w:rsidRPr="00D11245" w:rsidRDefault="00803397" w:rsidP="00D07242">
            <w:pPr>
              <w:jc w:val="both"/>
              <w:rPr>
                <w:rFonts w:ascii="Calibri" w:hAnsi="Calibri" w:cs="Calibri"/>
                <w:b/>
                <w:bCs/>
                <w:color w:val="000000" w:themeColor="text1"/>
              </w:rPr>
            </w:pPr>
            <w:r w:rsidRPr="00D11245">
              <w:rPr>
                <w:rFonts w:asciiTheme="majorHAnsi" w:hAnsiTheme="majorHAnsi" w:cstheme="majorHAnsi"/>
                <w:color w:val="000000" w:themeColor="text1"/>
                <w:sz w:val="24"/>
                <w:szCs w:val="24"/>
                <w:highlight w:val="yellow"/>
              </w:rPr>
              <w:fldChar w:fldCharType="begin"/>
            </w:r>
            <w:r w:rsidR="009C3E63" w:rsidRPr="00D11245">
              <w:rPr>
                <w:rFonts w:asciiTheme="majorHAnsi" w:hAnsiTheme="majorHAnsi" w:cstheme="majorHAnsi"/>
                <w:color w:val="000000" w:themeColor="text1"/>
                <w:sz w:val="24"/>
                <w:szCs w:val="24"/>
                <w:highlight w:val="yellow"/>
              </w:rPr>
              <w:instrText xml:space="preserve"> ADDIN ZOTERO_ITEM CSL_CITATION {"citationID":"8cLu5vSG","properties":{"formattedCitation":"\\super 32,135,136,138\\nosupersub{}","plainCitation":"32,135,136,138","noteIndex":0},"citationItems":[{"id":635,"uris":["http://zotero.org/groups/2497994/items/TJIRGEY8",["http://zotero.org/groups/2497994/items/TJIRGEY8"]],"itemData":{"id":635,"type":"article-journal","container-title":"Revista Espanola de Enfermedades Digestivas","ISSN":"1130-0108","issue":"1","journalAbbreviation":"Rev. Esp. Enferm. Dig.","language":"English","note":"publisher-place: Spain\npublisher: ARAN Ediciones S.A. (E-mail: araninte@grupoaran.com)","page":"64","title":"All that glitters is not gold. A different cause for an \"ulcerative colitis\"","volume":"109","author":[{"literal":"Peixoto A."},{"literal":"Silva M."},{"literal":"Vilas-Boas F."},{"literal":"Macedo G."}],"issued":{"date-parts":[["2017"]]}}},{"id":365,"uris":["http://zotero.org/groups/2497994/items/PRPUYH26",["http://zotero.org/groups/2497994/items/PRPUYH26"]],"itemData":{"id":365,"type":"article-journal","abstract":"A retrospective cohort study was conducted in 55 symptomatic patients with amebic colitis that visited at St. Luke's International Hospital and Mie University Hospital from 1994 through 2013. To diagnose amebic colitis, 40 patients underwent total colonoscopy within 1 week after hospital visiting and before receiving any treatment. The percentage of characteristic endoscopic findings of amebic colitis including discrete ulcers or erosions with white or yellow exudates were 0% in terminal ileum, 93% in cecum, 28% in ascending, 25% in transverse, 15% in descending, 20% in sigmoid colon and 45% in rectum. The rectal lesions in 55% of patients with amebic colitis were nonspecific. The trophozoite identification rate by direct smear of intestinal tract washings performed during colonoscopy was 88%. The protozoan identification rate was 70% in biopsy specimens taken from the periphery of the characteristic discrete ulcers. Total colonoscopy should be considered for the diagnosis of amebic colitis. (C) 2015, Japanese Society of Chemotherapy and The Japanese Association for Infectious Diseases. Published by Elsevier Ltd. All rights reserved.","container-title":"Journal of Infection and Chemotherapy","DOI":"10.1016/j.jiac.2015.02.004","ISSN":"1341-321X","issue":"5-6","note":"WOS:000356842300022","page":"444-448","title":"Endoscopic findings and lesion distribution in amebic colitis","volume":"21","author":[{"family":"Horiki","given":"Noriyuki"},{"family":"Furukawa","given":"Keiichi"},{"family":"Kitade","given":"Takashi"},{"family":"Sakuno","given":"Takashi"},{"family":"Katsurahara","given":"Masaki"},{"family":"Harada","given":"Tetsuro"},{"family":"Tano","given":"Shunsuke"},{"family":"Yamada","given":"Reiko"},{"family":"Hamada","given":"Yasuhiko"},{"family":"Inoue","given":"Hiroyuki"},{"family":"Tanaka","given":"Kyosuke"},{"family":"Gabazza","given":"Esteban C."},{"family":"Ishii","given":"Naoki"},{"family":"Fukuda","given":"Katsuyuki"},{"family":"Omata","given":"Fumio"},{"family":"Fujita","given":"Yoshiyuki"},{"family":"Tachibana","given":"Hiroshi"},{"family":"Takei","given":"Yoshiyuki"}],"issued":{"date-parts":[["2015",6]]}}},{"id":1742,"uris":["http://zotero.org/groups/2497994/items/AKRS7FAC",["http://zotero.org/groups/2497994/items/AKRS7FAC"]],"itemData":{"id":1742,"type":"article-journal","abstract":"Purpose Nonspecific gastrointestinal symptoms make diagnosis of amebiasis difficult. Certain colonoscopic findings predict amebic colitis while others suggest different diagnoses. We aimed to evaluate the diagnostic capability of colonic evaluation of amebiasis. Methods We retrospectively reviewed data of all amebiasis cases admitted to our institution between 2003 and 2012. Cases were diagnosed by clinical presentation, laboratory examinations, and colonoscopy with biopsy and microscopic examination. Patients were stratified as right-sided colitis and proctosigmoiditis. A systematic review was conducted by searchingMedline, Cochrane, EMBASE, and Google Scholar using key words amebiasis, amebic colitis, amebic proctosigmoiditis, colonoscopy, and Entamoeba histolytica. Data were extracted from articles meeting the inclusion criteria. Colonoscopic findings were described and studies were assessed for quality. Results The current series included 20 patients (5 male, 15 female, median age 51), 7 with amebic liver abscess and 13 with amebic colitis. Colonoscopic findings of right-sided colitis included aphthae or erosions, ulcers, exudates, or edematous swollen mucosa in cecum, and findings for proctosigmoiditis were edematous swollen mucosa with bloody exudate. In 25 studies, colonoscopic findings of 41 patients (36 male, 5 female, median age 43.39 years) included mainly ulcers in the cecum and rectum, ulcerated mass, and edematous mucosa; and in fewer patients, submucosal invasion suggestive of colon cancer, bleeding ulcers, proctitis, and ulcers with aphthae in rectum. Conclusions Colonic evaluation of suspected amebiasis is of diagnostic value when accompanied by biopsy and microscopic identification of Entamoeba species. Colonoscopic manifestations vary between right-sided colitis and proctosigmoiditis.Copyright © Springer-Verlag Berlin Heidelberg 2014.","container-title":"International Journal of Colorectal Disease","DOI":"10.1007/s00384-014-2040-6","ISSN":"0179-1958","issue":"1","journalAbbreviation":"Int. J. Colorectal Dis.","language":"English","note":"publisher-place: Germany\npublisher: Springer Verlag (E-mail: service@springer.de)","page":"31-41","title":"Colonoscopic diagnosis of amebiasis: a case series and systematic review","volume":"30","author":[{"literal":"Lee K.-C."},{"literal":"Lu C.-C."},{"literal":"Hu W.-H."},{"literal":"Lin S.-E."},{"literal":"Chen H.-H."}],"issued":{"date-parts":[["2014"]]}}},{"id":2837,"uris":["http://zotero.org/groups/2497994/items/AAC474A8",["http://zotero.org/groups/2497994/items/AAC474A8"]],"itemData":{"id":2837,"type":"article-journal","abstract":"Amebiasis is a common parasitic infectious disease in developing countries. In developed countries, it is occasionally encountered in travelers to the tropics and in homosexual males. During the past eight years, we detected four cases of amebic colitis among 5,193 subjects who underwent colonoscopy because of positive fecal occult blood test results in a mass screening. All four cases did not have any abdominal symptoms. Ulcerative lesions were observed only in the cecum and ascending colon; another portion of the colon and rectum appeared normal. We may encounter amebic colitis during colonoscopic examination even in subjects who are asymptomatic.","container-title":"The American Journal of Tropical Medicine and Hygiene","ISSN":"0002-9637","issue":"5","journalAbbreviation":"Am. J. Trop. Med. Hyg.","language":"eng","note":"PMID: 16282306","page":"934-935","source":"PubMed","title":"Amebic colitis in asymptomatic subjects with positive fecal occult blood test results: clinical features different from symptomatic cases","title-short":"Amebic colitis in asymptomatic subjects with positive fecal occult blood test results","volume":"73","author":[{"family":"Okamoto","given":"Makoto"},{"family":"Kawabe","given":"Takao"},{"family":"Ohata","given":"Ken"},{"family":"Togo","given":"Gouichi"},{"family":"Hada","given":"Tetsuya"},{"family":"Katamoto","given":"Tetsurou"},{"family":"Tanno","given":"Masataka"},{"family":"Matsumura","given":"Masayuki"},{"family":"Yamaji","given":"Yutaka"},{"family":"Watabe","given":"Hirotsugu"},{"family":"Ikenoue","given":"Tsuneo"},{"family":"Yoshida","given":"Haruhiko"},{"family":"Omata","given":"Masao"}],"issued":{"date-parts":[["2005",11]]}}}],"schema":"https://github.com/citation-style-language/schema/raw/master/csl-citation.json"} </w:instrText>
            </w:r>
            <w:r w:rsidRPr="00D11245">
              <w:rPr>
                <w:rFonts w:asciiTheme="majorHAnsi" w:hAnsiTheme="majorHAnsi" w:cstheme="majorHAnsi"/>
                <w:color w:val="000000" w:themeColor="text1"/>
                <w:sz w:val="24"/>
                <w:szCs w:val="24"/>
                <w:highlight w:val="yellow"/>
              </w:rPr>
              <w:fldChar w:fldCharType="separate"/>
            </w:r>
            <w:r w:rsidR="009C3E63" w:rsidRPr="00D11245">
              <w:rPr>
                <w:rFonts w:ascii="Calibri Light" w:hAnsi="Calibri Light" w:cs="Calibri Light"/>
                <w:color w:val="000000" w:themeColor="text1"/>
                <w:sz w:val="24"/>
                <w:vertAlign w:val="superscript"/>
              </w:rPr>
              <w:t>32,135,136,138</w:t>
            </w:r>
            <w:r w:rsidRPr="00D11245">
              <w:rPr>
                <w:rFonts w:asciiTheme="majorHAnsi" w:hAnsiTheme="majorHAnsi" w:cstheme="majorHAnsi"/>
                <w:color w:val="000000" w:themeColor="text1"/>
                <w:sz w:val="24"/>
                <w:szCs w:val="24"/>
                <w:highlight w:val="yellow"/>
              </w:rPr>
              <w:fldChar w:fldCharType="end"/>
            </w:r>
          </w:p>
        </w:tc>
        <w:tc>
          <w:tcPr>
            <w:tcW w:w="3354" w:type="dxa"/>
            <w:vMerge/>
          </w:tcPr>
          <w:p w14:paraId="6397BB54" w14:textId="77777777" w:rsidR="00803397" w:rsidRPr="00D11245" w:rsidRDefault="00803397" w:rsidP="00D07242">
            <w:pPr>
              <w:jc w:val="both"/>
              <w:rPr>
                <w:rFonts w:ascii="Calibri" w:hAnsi="Calibri" w:cs="Calibri"/>
                <w:color w:val="000000" w:themeColor="text1"/>
              </w:rPr>
            </w:pPr>
          </w:p>
        </w:tc>
        <w:tc>
          <w:tcPr>
            <w:tcW w:w="3330" w:type="dxa"/>
          </w:tcPr>
          <w:p w14:paraId="4EFA7DC6" w14:textId="58EC3DA7" w:rsidR="00803397" w:rsidRPr="00D11245" w:rsidRDefault="00803397" w:rsidP="00D07242">
            <w:pPr>
              <w:jc w:val="both"/>
              <w:rPr>
                <w:rFonts w:ascii="Calibri" w:hAnsi="Calibri" w:cs="Calibri"/>
                <w:color w:val="000000" w:themeColor="text1"/>
              </w:rPr>
            </w:pPr>
            <w:r w:rsidRPr="00D11245">
              <w:rPr>
                <w:rFonts w:ascii="Calibri" w:hAnsi="Calibri" w:cs="Calibri"/>
                <w:color w:val="000000" w:themeColor="text1"/>
              </w:rPr>
              <w:t>Common (&gt;25%)</w:t>
            </w:r>
          </w:p>
        </w:tc>
      </w:tr>
      <w:tr w:rsidR="00D11245" w:rsidRPr="00D11245" w14:paraId="21F0EA1F" w14:textId="0F386125" w:rsidTr="00803397">
        <w:tc>
          <w:tcPr>
            <w:tcW w:w="2689" w:type="dxa"/>
            <w:shd w:val="clear" w:color="auto" w:fill="DEEAF6" w:themeFill="accent5" w:themeFillTint="33"/>
          </w:tcPr>
          <w:p w14:paraId="423BF9B5" w14:textId="77777777" w:rsidR="00803397" w:rsidRPr="00D11245" w:rsidRDefault="00803397" w:rsidP="00D07242">
            <w:pPr>
              <w:jc w:val="both"/>
              <w:rPr>
                <w:rFonts w:ascii="Calibri" w:hAnsi="Calibri" w:cs="Calibri"/>
                <w:b/>
                <w:bCs/>
                <w:color w:val="000000" w:themeColor="text1"/>
              </w:rPr>
            </w:pPr>
            <w:r w:rsidRPr="00D11245">
              <w:rPr>
                <w:rFonts w:ascii="Calibri" w:hAnsi="Calibri" w:cs="Calibri"/>
                <w:b/>
                <w:bCs/>
                <w:color w:val="000000" w:themeColor="text1"/>
              </w:rPr>
              <w:t>Ulceration</w:t>
            </w:r>
          </w:p>
          <w:p w14:paraId="121E3CB8" w14:textId="01650F3E" w:rsidR="00803397" w:rsidRPr="00D11245" w:rsidRDefault="00803397" w:rsidP="00D07242">
            <w:pPr>
              <w:jc w:val="both"/>
              <w:rPr>
                <w:rFonts w:ascii="Calibri" w:hAnsi="Calibri" w:cs="Calibri"/>
                <w:b/>
                <w:bCs/>
                <w:color w:val="000000" w:themeColor="text1"/>
              </w:rPr>
            </w:pPr>
            <w:r w:rsidRPr="00D11245">
              <w:rPr>
                <w:rFonts w:asciiTheme="majorHAnsi" w:hAnsiTheme="majorHAnsi" w:cstheme="majorHAnsi"/>
                <w:color w:val="000000" w:themeColor="text1"/>
                <w:sz w:val="24"/>
                <w:szCs w:val="24"/>
                <w:highlight w:val="yellow"/>
              </w:rPr>
              <w:fldChar w:fldCharType="begin"/>
            </w:r>
            <w:r w:rsidR="009C3E63" w:rsidRPr="00D11245">
              <w:rPr>
                <w:rFonts w:asciiTheme="majorHAnsi" w:hAnsiTheme="majorHAnsi" w:cstheme="majorHAnsi"/>
                <w:color w:val="000000" w:themeColor="text1"/>
                <w:sz w:val="24"/>
                <w:szCs w:val="24"/>
                <w:highlight w:val="yellow"/>
              </w:rPr>
              <w:instrText xml:space="preserve"> ADDIN ZOTERO_ITEM CSL_CITATION {"citationID":"Zz9wCkqT","properties":{"formattedCitation":"\\super 32,46,47,57,58,60\\uc0\\u8211{}65,68,74,76,101,135\\uc0\\u8211{}144\\nosupersub{}","plainCitation":"32,46,47,57,58,60–65,68,74,76,101,135–144","noteIndex":0},"citationItems":[{"id":635,"uris":["http://zotero.org/groups/2497994/items/TJIRGEY8",["http://zotero.org/groups/2497994/items/TJIRGEY8"]],"itemData":{"id":635,"type":"article-journal","container-title":"Revista Espanola de Enfermedades Digestivas","ISSN":"1130-0108","issue":"1","journalAbbreviation":"Rev. Esp. Enferm. Dig.","language":"English","note":"publisher-place: Spain\npublisher: ARAN Ediciones S.A. (E-mail: araninte@grupoaran.com)","page":"64","title":"All that glitters is not gold. A different cause for an \"ulcerative colitis\"","volume":"109","author":[{"literal":"Peixoto A."},{"literal":"Silva M."},{"literal":"Vilas-Boas F."},{"literal":"Macedo G."}],"issued":{"date-parts":[["2017"]]}}},{"id":1668,"uris":["http://zotero.org/groups/2497994/items/W4YPB75U",["http://zotero.org/groups/2497994/items/W4YPB75U"]],"itemData":{"id":1668,"type":"article-journal","abstract":"BACKGROUND: Invasive amebiasis is not frequently seen in the United States. It is associated with considerable morbidity in patients residing in or traveling to endemic areas. We report a case series of patients with amebic colitis in a United States-Mexico border city to alert physicians to the varied clinical manifestations., CASE PRESENTATION: Nine patients were diagnosed with amebic colitis. Mean age was 56 (38-83), 6 were males, and all were Hispanic. Common symptoms were diarrhea (56 %), hematochezia (33 %) and abdominal bloating (11 %). The diagnosis of amebic colitis was established in the following ways: 8 patients by colonoscopy with biopsy, 1 by surgery for colonic obstruction. The diagnosis of amebic colitis was confirmed in 8 patients (89 %) by amebic trophozoites present in histopathologic sections. One patient was diagnosed with amebic colitis based upon clinical symptoms, colitis on colonoscopy and visualization of amebic trophozoites on stool examination. In the 8 patients in whom colonoscopy was done, 6 (75 %) had inflammation with rectosigmoid involvement and 5 (62.5 %) had ulcerations. Infection resolved after treatment with metronidazole in most patients; however, one patient developed a liver abscess and another had a colonic perforation and later developed a liver abscess., CONCLUSION: The occurrence of amebic colitis in this United States-Mexico border city hospital population was low, but in some cases potentially life-threatening. Physicians should be alert to the less common presentations of amebic colitis, such as overt gastrointestinal bleeding, exacerbation of inflammatory bowel disease, and the incidental finding of association with colon cancer, or a surgical abdomen. Rectosigmoid involvement was typically found on colonoscopy.","container-title":"BMC research notes","DOI":"10.1186/s13104-015-1787-3","ISSN":"1756-0500 (electronic)","issue":"(Fleming) Department of Internal Medicine, Texas Tech University Health Sciences Center, 4800 Alberta Ave, El Paso, TX, 79905, USA. rfleming5006@sbcglobal.net","journalAbbreviation":"BMC Res Notes","language":"English","note":"publisher-place: United Kingdom","page":"781","title":"Clinical manifestations and endoscopic findings of amebic colitis in a United States-Mexico border city: a case series","volume":"8","author":[{"literal":"Fleming R."},{"literal":"Cooper C.J."},{"literal":"Ramirez-Vega R."},{"literal":"Huerta-Alardin A."},{"literal":"Boman D."},{"literal":"Zuckerman M.J."}],"issued":{"date-parts":[["2015"]]}}},{"id":2829,"uris":["http://zotero.org/groups/2497994/items/VBJUH6JK",["http://zotero.org/groups/2497994/items/VBJUH6JK"]],"itemData":{"id":2829,"type":"article-journal","abstract":"Endoscopic diagnosis of amebic colitis can be difficult because its appearance may mimic other forms of colonic disease. The aim of this study was to identify predictive endoscopic findings for amebic colitis. Patients with suspected amebic colitis based on distinctive endoscopic findings such as aphthae or erosions, ulcers, exudates, or a bump, were included in the study. A total of 157 patients were selected, 50 of whom had amebic colitis. The sensitivity and specificity of endoscopic findings that were significantly associated with amebic colitis were: cecal lesions (80 % and 54 %), multiple number of lesions (96 % and 29 %), presence of aphthae or erosions (84 % and 37 %), and presence of exudate (88 % and 74 %). Multivariate analysis revealed that the best combination of findings to predict amebic colitis was the presence of cecal lesions, multiple lesions, and exudates, which corresponded to an area under the receiver operating characteristic curve of 0.89 (95 % confidence interval 0.82 – 0.95).","container-title":"Endoscopy","DOI":"10.1055/s-0031-1291631","ISSN":"0013-726X, 1438-8812","issue":"04","journalAbbreviation":"Endoscopy","language":"en","page":"425-428","source":"DOI.org (Crossref)","title":"Predictive value of endoscopic findings in the diagnosis of active intestinal amebiasis","volume":"44","author":[{"family":"Nagata","given":"N."},{"family":"Shimbo","given":"T."},{"family":"Akiyama","given":"J."},{"family":"Nakashima","given":"R."},{"family":"Niikura","given":"R."},{"family":"Nishimura","given":"S."},{"family":"Yada","given":"T."},{"family":"Watanabe","given":"K."},{"family":"Oka","given":"S."},{"family":"Uemura","given":"N."}],"issued":{"date-parts":[["2012",4]]}}},{"id":500,"uris":["http://zotero.org/groups/2497994/items/N6ZDBPSJ",["http://zotero.org/groups/2497994/items/N6ZDBPSJ"]],"itemData":{"id":500,"type":"article-journal","abstract":"A 50-year-old patient was admitted to our department after developing severe abdominal cramps, watery diarrhea and fever, during four days whilst travelling abroad. Imaging identified a mass in the ascending colon with simultaneous liver lesions. Initially a diagnosis of metastatic colorectal cancer was suggested, however colonoscopy showed a large lesion with a central ulcer and surrounding inflammation in the ascending colon. Biopsies confirmed our clinical suspicion of amoebic colitis, complicated by development of an amoeboma and simultaneous liver abscesses. Amoeboma formation is a rare complication of amoebiasis, however a simultaneous presentation with liver abscesses, amoebic colitis and an amoeboma might even be less frequent. Despite its rarity physicians should maintain a high index of suspicion of patients presenting with synchronous liver and colon lesions, especially as travel to endemic areas has increased.Copyright © 2019, Universa Press. All rights reserved.","container-title":"Acta Gastro-Enterologica Belgica","ISSN":"1784-3227","issue":"4","journalAbbreviation":"Acta Gastro-Enterol. Belg.","language":"English","note":"publisher-place: Belgium\npublisher: Universa Press (E-mail: deprez@gaen.ucl.ac.be)","page":"539-541","title":"A case of amoebic colitis with amoeboma and simultaneous liver abscesses. A diagnosis by colonoscopy","volume":"82","author":[{"literal":"Bronswijk M."},{"literal":"Van Gool S."}],"issued":{"date-parts":[["2019"]]}}},{"id":492,"uris":["http://zotero.org/groups/2497994/items/TYH6D72Z",["http://zotero.org/groups/2497994/items/TYH6D72Z"]],"itemData":{"id":492,"type":"article-journal","abstract":"Amoebic colitis is caused by the parasite Entamoeba histolytica (E. histolytica). The condition is prevalent in countries with poor sanitation but is increasing within developed countries secondary to global travel and immigration. We report a case of amoebic colitis diagnosed in a patient with a clinical diagnosis of Crohn's disease and with no travel history. Colonic biopsies showed focal active colitis with ulcer slough; deeper levels looking for granulomas fortuitously revealed the amoebae. The diagnosis was confirmed by positive serology and symptomatic improvement after a course of eradication treatment. Pathologists should look for amoebae in biopsies for inflammatory bowel disease (IBD), as endoscopic and histological appearances of IBD and amoebic colitis can be similar but importantly immunosuppressive therapy is contraindicated in amoebic colitis.Copyright © 2017","container-title":"Diagnostic Histopathology","DOI":"10.1016/j.mpdhp.2017.11.008","ISSN":"1756-2317","issue":"12","journalAbbreviation":"Diagn. Histopathology","language":"English","note":"publisher-place: United Kingdom\npublisher: Elsevier Ltd","page":"563-565","title":"Amoebic colitis","volume":"23","author":[{"literal":"Young C.A."},{"literal":"Gracie D.J."},{"literal":"Subramanian V."},{"literal":"Wyatt J.I."}],"issued":{"date-parts":[["2017"]]}}},{"id":2825,"uris":["http://zotero.org/groups/2497994/items/NPTKPRAP",["http://zotero.org/groups/2497994/items/NPTKPRAP"]],"itemData":{"id":2825,"type":"article-journal","abstract":"lesions (C). The same endoscopic findings were emphasizedon the surface of the larger lesions (D). Endoscopic biopsyspecimens taken from the small lesions showed infiltration ofneoplastic lymphoid cells (E), which were positive for Cy-clinD1 (F), CD20, and Bcl-1 but negative for CD3, CD5, andCD10. The patient received a diagnosis of MCL involving theduodenum, and chemotherapy with bendamustine wasbegun.DISCLOSUREAll authors disclosed no financial relationships relevantto this publication.Daisuke Norimura, MD, Hajime Isomoto, MD, PhD,Depart-ment of Gastroenterology and Hepatology, Nagasaki UniversityHospital,Nagasaki,DaisukeNiino,MD,PhD,DepartmentofPa-thology, Kurume University Hospital, Kurume,Kayoko Matsu-shima, MD, PhD, Yuko Akazawa, MD, PhD, Naoyuki Yama-guchi, MD, PhD, Ken Ohnita, MD, PhD, Saburo Shikuwa,MD, PhD,Department of Gastroenterology and Hepatology,Yoshitaka Imaizumi, MD, PhD, Kunihiro Tsukasaki, MD,PhD,YasushiMiyazaki,MD,PhD,Department of Hematology,Fuminao Takeshima, MD, PhD, Kazuhiko Nakao, MD, PhD,Department of Gastroenterology and Hepatology, Nagasaki Uni-versity Hospital, Nagasaki, Japanhttp://dx.doi.org/doi:10.1016/j.gie.2012.02.047CommentaryMCL is a B-cell lymphoma derived from a subset of naive pregerminal center cells localized in primary lymph follicles or in themantle region of secondary lymph follicles. Most cases of MCL are associated with a chromosomal translocation (chromo-somes 11 and 14) that results in overexpression of cyclin D1, a protein that plays a key role in cell cycle regulation andprogression of cells from the G1 phase to the S phase. MCL represents up to 10% of all non-Hodgkin lymphomas. The typicalpatient is a Caucasian man in his 60s. The disease typically presents late with fever, night sweats, weight loss, fatigue, lymph-adenopathy,andhepatosplenomegaly;somepatientsnoticemassesintheirskin,breast,orneck.TreatmentofMCLisdifficult,and relatively few patients have a complete response. Disease progression is often relentless, with a survival of usually lessthan 5years. As for lymphomatous polyposis, this entity is rare, seen in only about 5% of intestinal lymphomas. Lymphomatouspolyposis occurs from esophagus to rectum, and most cases are due to mantle cell lymphoma; less commonly, the lymphoma is amucosa-associated lymphoid tissue lymphoma. Although the word “mantle” has many meanings, it usually has a positive conno-tation when used as a descriptor of people; not in this case. This lymphoma carries a destiny of grim prognosis within its mantle.Lawrence J. Brandt, MDAssociate Editor for Focal PointsPoached egg appearance in intestinal amebiasisA 35-year-old man was admitted with a history of fever,diarrhea, and lower abdominal pain of 15 days’ duration.There was no history of rectal bleeding. On physical ex-amination, he was found to have right lower quadranttenderness. US of the abdomen showed only mild irregu-lar thickening of the cecum and ascending colon; the otherintraabdominal organs were normal, and there were noenlarged lymph nodes. Basic laboratory tests showed nor-mal results except for hemoglobin, 12.8 g/dL; and TLC13,500 cells/mm3(80% polymorphonuclear leukocytes).The results of liver biochemical tests were normal, exceptfor the albumin level, 3.4g/dL. Colonoscopy revealed thatin the cecum and ascending colon, there were multiplelarge irregular ulcers with a white slough and yellowish necrotic material on the top of the white slough, giving a“poached egg” appearance (A, B). The intervening mu-cosa was edematous and boggy. The remainder of thecolon was normal as far as the rectum, where otherpoached egg lesions were seen. On the basis of our pre-vious experience, an endoscopic diagnosis of intestinalamebiasis was made. Biopsy specimens were taken fromthe lesion,which revealed ulcerated mucosa with multipletrophozoites ofEntamoeba histolytica(C). The patient wastreated with intravenous metronidazole, and over the follow-ing 3 days his fever, diarrhea, and abdominal pain improvedsignificantly. Four weeks later, US showed decreased thick-ening of the colon, and colonoscopy documented healing ofthe previously seen ulcers. Now, 8 months after his initialpresentation, the patient is asymptomatic.","archive":"Pubmed","container-title":"Gastrointestinal endoscopy","DOI":"10.1016/j.gie.2012.03.171","ISSN":"0016-5107","issue":"1","page":"189-90","title":"Poached egg appearance in intestinal amebiasis.","volume":"76","author":[{"family":"Upadhyay","given":"Rajesh"},{"family":"Gupta","given":"Nitin"},{"family":"Gogia","given":"Pratibha"},{"family":"Chandra","given":"Subhash"}],"issued":{"date-parts":[["2012",7,1]]}}},{"id":1478,"uris":["http://zotero.org/groups/2497994/items/4X6FCL92",["http://zotero.org/groups/2497994/items/4X6FCL92"]],"itemData":{"id":1478,"type":"article-journal","abstract":"A 60-year-old Japanese man presented with bloody diarrhoea. He stated that he had been diagnosed with ulcerative colitis (UC) 3 years prior, but discontinued follow-up care as treatment was ineffective. One year later, he came to our hospital with anorexia and weight loss. The abdomen was soft and flat without tenderness. Laboratory tests were unremarkable; faecal culture and Clostridium difficile toxin were negative. Findings and biopsy from a subsequent colonoscopy reconfirmed his diagnosis of UC. Neither mesalazine, which was initially prescribed, nor additional treatments improved his symptoms. Repeat colonoscopy, performed 5 months later, demonstrated similar findings in the same area. Although the pathology remained consistent with UC, multiple treatment failures suggested ongoing occult infection. Additional testing revealed positive Entamoeba histolytica antibody. 14 days of metronidazole dramatically improved his symptoms. He has remained asymptomatic after 2 years.Copyright © 2015 BMJ Publishing Group. All rights reserved.","container-title":"BMJ Case Reports","DOI":"10.1136/bcr-2015-212102","ISSN":"1757-790X (electronic)","issue":"(Den, Kinoshita, Hiraoka) Department of Internal Medicine, Tokyo Bay Urayasu Ichikawa Medical Center, Urayasu, Chiba, Japan","journalAbbreviation":"BMJ Case Rep.","language":"English","note":"publisher-place: United Kingdom\npublisher: BMJ Publishing Group (E-mail: subscriptions@bmjgroup.com)","page":"A1708","title":"Amoebiasis masquerading as inflammatory bowel disease","volume":"2015","author":[{"literal":"Den Y."},{"literal":"Kinoshita J."},{"literal":"Deshpande G.A."},{"literal":"Hiraoka E."}],"issued":{"date-parts":[["2015"]]}}},{"id":1136,"uris":["http://zotero.org/groups/2497994/items/AVQJEFMD",["http://zotero.org/groups/2497994/items/AVQJEFMD"]],"itemData":{"id":1136,"type":"article-journal","container-title":"Gastroenterology","DOI":"10.1053/j.gastro.2019.07.015","ISSN":"1528-0012","issue":"6","journalAbbreviation":"Gastroenterology","note":"publisher-place: United States\nDebourdeau, Antoine. Departement d'Hepatogastroenterologie et Transplantation, CHU Saint Eloi, Universite de Montpellier, Montpellier, France.\nBoivineau, Lucille. Departement d'Hepatogastroenterologie et Transplantation, CHU Saint Eloi, Universite de Montpellier, Montpellier, France.\nIltache, Sarah. Departement d'Hepatogastroenterologie et Transplantation, CHU Saint Eloi, Universite de Montpellier, Montpellier, France.","page":"1483-1484","title":"The Little Beast That Pretended to Be a Severe Crohn's Disease.","volume":"157","author":[{"family":"Debourdeau","given":"Antoine"},{"family":"Boivineau","given":"Lucille"},{"family":"Iltache","given":"Sarah"}],"issued":{"date-parts":[["2019"]]}}},{"id":1372,"uris":["http://zotero.org/groups/2497994/items/V2S8BC8N",["http://zotero.org/groups/2497994/items/V2S8BC8N"]],"itemData":{"id":1372,"type":"article-journal","abstract":"We present a case of colitis in a young male in the Western Cape, while progressing through the ambit of establishing a definitive diagnosis. We would like to highlight the value of microscopy which led to the specific diagnosis and subsequent directed treatment. Consent was obtained from the patient prior to publication.Copyright © 2019 In House Publications. All rights reserved.","container-title":"South African Gastroenterology Review","ISSN":"1812-1659","issue":"2","journalAbbreviation":"S. Afr. Gastroenterol. Rev.","language":"English","note":"publisher-place: South Africa\npublisher: In House Publications (E-mail: inhouse@iafrica.com)","page":"27-29","title":"The value of microscopy in the diagnosis of colitis","volume":"17","author":[{"literal":"Kahn T."},{"literal":"Locketz M."},{"literal":"Thomson S."}],"issued":{"date-parts":[["2019"]]}}},{"id":2824,"uris":["http://zotero.org/groups/2497994/items/HVGTJW3L",["http://zotero.org/groups/2497994/items/HVGTJW3L"]],"itemData":{"id":2824,"type":"article-journal","abstract":"All caecal ulcers is not Crohn’s: Think Travel-Think againS. Vinnamala, R. Arasaradnam, A. Malik, S. Suortamo, J. MannathUniversity Hospitals Coventry and Warwickshire NHS trust, Clifford bridge road, Coventry, United Kingdom.To the Editor,A  29  year  old  male  presented  with  sudden  onset  of  right  iliac  fossa  pain  to  the  emergency  department.  He  was experiencing recent change in bowel habits with lose stools  and  no  rectal  bleeding.  His  blood  investigations  revealed raised inflammatory markers with a C-reactive protein of 125 mg/l and white cell count of 14 X 109/L. Emergency  diagnostic  laparoscopy  was  performed  for  suspected  acute  appendicitis.  This  showed  a  normal  appendix  with  erythematous  and  inflamed  caecum  with  fibrin deposition and a small omental adhesion adjacent to  it.  An  urgent  colonoscopy  showed  a  2-3cm  isolated  ulcerated  area  in  the  caecum  (Figure  1  and  Figure  2)  with normal Terminal ileum (Figure 3).  Initial biopsies showed   ulceration   and   chronic   inflammation   which   raised   a   possibility   of   inflammatory   bowel   disease.   He  was  reviewed  in  outpatient  clinic  and  a  further  colonoscopic biopsy was arranged before embarking on steroid and immunosuppressive therapy, considering that he has travelled to India on two separate occasions prior to the onset of symptoms  His repeat colonoscopy showed worsening ulceration in  the  caecum  (Figure  4).  Biopsies  confirmed  presence  of   Entamoeba   Histolytica   with   confirmation   on   the   histological  samples  using  a  PAS  stain  (Figure  5)  [1].  Amoebic serology done after the PAS stain was positive adding  to  diagnostic  confirmation.  He  was  treated  with  Metronidazole  800  mg  tds  and  Paramomycin  750  mg  tds  for  7  days  which  improved  his  symptoms.  Repeat  colonoscopy  6  weeks  post  treatment  showed  complete  resolution of the caecum ulceration (Figure 6)","container-title":"Acta Gastro-Enterologica Belgica","ISSN":"1784-3227","issue":"1","journalAbbreviation":"Acta Gastro-Enterol. Belg.","language":"English","note":"publisher-place: Belgium\npublisher: Universa Press (E-mail: deprez@gaen.ucl.ac.be)","page":"83-84","title":"All caecal ulcers is not crohn's: Think travel-think again","volume":"80","author":[{"literal":"Vinnamala S."},{"literal":"Arasaradnam R."},{"literal":"Malik A."},{"family":"S.","given":"Suortamo"},{"literal":"Mannath J."}],"issued":{"date-parts":[["2017"]]}}},{"id":2830,"uris":["http://zotero.org/groups/2497994/items/G5EJHTPM",["http://zotero.org/groups/2497994/items/G5EJHTPM"]],"itemData":{"id":2830,"type":"article-journal","abstract":"A 65-year-old man was admitted to our\nhospital with a 2-month history of pain in\nthe right abdomen and intermittent\nwatery diarrhea. He had previously been\nin good health and had not traveled to the\ntropics in recent years. On examination,\nmild tenderness was noted on palpation\nover the right abdomen. The results of his\nblood tests were as follows: white blood\ncell count (WBC) 7.7×109/L, neutrophils\n78.5 %, red blood cell count (RBC) 3.56×\n1012/L, hemoglobin (Hb) 104g/L, erythrocyte\nsedimentation rate (ESR) 23mm/h. A\nfecal occult blood test was positive.\nColonoscopy revealed multiple discrete\nulcers with surrounding erythema in\nthe cecum, sigmoid colon, and rectum\n(●\" Fig.1). Histopathologic examination\nof biopsy specimens taken from the ulcers\nrevealed chronic inflammatory infiltrates\nwith trophozoites of Entamoeba histolytica\n(●\" Fig.2). The patient was treated\nwith metronidazole for 14 days and his\nsymptoms resolved. Follow-up colonoscopy\n4 weeks later showed marked improvement\nof the ulcers (●\" Fig.3).\nAmebiasis is caused by the intestinal\nprotozoan Entamoeba histolytica. When\namebic colitis occurs, inflammatory\nchanges are more common in the cecum\nand ascending colon but can spread to involve\nthe entire colon. The typical appearance\nat colonoscopy is ofmultiple punctuate\nulcers with a diameter of 2–10mm.\nThe most common symptoms are those\nof diarrhea, abdominal pain, and rectal\nbleeding. The diagnosis is usually made\nwhen histologic evaluation of colonic\nbiopsies reveals trophozoites within an\ninflammatory infiltrate. It is challenging\nand important for gastroenterologists to\ndistinguish amebic colitis from acute\nulcerative colitis as the administration of\ncorticosteroids to patients with amebic\ncolitis can result in fulminant disease.","container-title":"Endoscopy","DOI":"10.1055/s-0034-1377208","ISSN":"0013-726X","issue":"Supplement 01","journalAbbreviation":"Endoscopy","language":"English","note":"publisher-place: Germany\npublisher: Georg Thieme Verlag (E-mail: kunden.service@thieme.de)","page":"E145-E146","title":"Amebic colitis: Colonoscopic appearance","volume":"47","author":[{"literal":"Li N."},{"literal":"Wang H.-H."},{"literal":"Zhao X.-J."},{"literal":"Sheng J.-Q."}],"issued":{"date-parts":[["2015"]]}}},{"id":1269,"uris":["http://zotero.org/groups/2497994/items/XNNFEXTN",["http://zotero.org/groups/2497994/items/XNNFEXTN"]],"itemData":{"id":1269,"type":"article-journal","abstract":"Amoebiasis is a common intestinal protozoan infection due to Entamoeba histolytica. In India, the prevalence of the disease varies from 2% to 67%.[1] Acute Fulminant Colitis is a rare complication of intestinal amebiasis. Life threatening lower Gastrointestinal bleed is very rare presentation of amebiasis. Here, we are presenting a case of severe lower GI bleed proved to be caused by amebiasis along with extra intestinal complications.Copyright © 2017 Annals of Tropical Medicine and Public Health  Published by Wolters Kluwer - Medknow.","container-title":"Annals of Tropical Medicine and Public Health","DOI":"10.4103/1755-6783.205554","ISSN":"1755-6783","issue":"1","journalAbbreviation":"Ann. Trop. Med. Public Health","language":"English","note":"publisher-place: India\npublisher: Medknow Publications (B9, Kanara Business Centre, off Link Road, Ghatkopar (E), Mumbai 400 075, India)","page":"244-246","title":"Intestinal amebiasis presenting as life threatening lower GI bleed-A rare presentation","volume":"10","author":[{"literal":"Dogra V.K."},{"literal":"Gupta D."},{"literal":"Kashyap R."},{"literal":"Nand L."},{"literal":"Sondhi S."}],"issued":{"date-parts":[["2017"]]}}},{"id":554,"uris":["http://zotero.org/groups/2497994/items/TWMENVZP",["http://zotero.org/groups/2497994/items/TWMENVZP"]],"itemData":{"id":554,"type":"article-journal","abstract":"A 66-year-old Japanese male with a history of a rectal ulcer and rectovesical fistula following brachytherapy and radiotherapy for prostate cancer, who had undergone colostomy and vesicotomy presented with a painful peristomal ulcer of approximately 5 x 2.5cm adjacent to the direction of 6 o'clock of the stoma in his left lower abdomen. Although he was admitted to be treated with intravenous antibiotics and topical debridement, the ulcer was rapidly increasing. In the laboratory findings, WBC was 12,400/μL, CRP was 16.9 mg/dL, ESR was 105mm in the first hour. Contrast enhanced CT images showed a wide high density area of skin and subcutaneous tissue around the stoma and dillitation of the transverse and descending colon. Colonoscopy showed furred profound ulcers in the rectum. A biopsy from the ulcer floor submitted to histopathology showed necrotic tissue with a mixed inflammatory infiltrates mainly composed of neutrophils and lymphocytes in the dermis. We suspected pyoderma gangrenosum with an inflammatory bowel disease in the beginning. Although he was started on oral prednisolone 60 mg daily, the ulcer did not respond to treatment. Additional methylprednisolone pulse therapy, intravenous cyclosporine and granulocytapheresis were also ineffective. A biopsy specimen from the skin ulcer margin showed erythrophagocytosis by trophozoites of amebae which were identified on PAS stained slides. The PCR method and stool examination showed positive for Entamoeba histolytica (E. histolytica), but serum antibodies were negative. Within two weeks of treatment with oral metronidazole 2,250 mg/day and topical metronidazole ointment, resolution of the ulcer was observed, then the prednisolone dosage was tapered. A split-thickness skin graft was used to cover the ulcer with a successful result. Even though we originally misdiagnosed this case, we finally reached a diagnosis of amebiasis. It is important to take account of amebiasis in the differential diagnosis of intractable ulcers which can be contaminated by feces.","archive":"Pubmed","container-title":"Kansenshogaku zasshi. The Journal of the Japanese Association for Infectious Diseases","DOI":"10.11150/kansenshogakuzasshi.90.73","ISSN":"0387-5911","issue":"1","page":"73-6","title":"[A Case of Peristomal Cutaneous Ulcer Following Amebic Colitis Caused by Entamoeba histolytica].","volume":"90","author":[{"family":"Sasaki","given":"Yu"},{"family":"Yoshida","given":"Tetsuya"},{"family":"Suzuki","given":"Jun"},{"family":"Kobayashi","given":"Seiki"},{"family":"Sato","given":"Tomotaka"}],"issued":{"date-parts":[["2016",1,1]]}}},{"id":2831,"uris":["http://zotero.org/groups/2497994/items/T7N6CKHE",["http://zotero.org/groups/2497994/items/T7N6CKHE"]],"itemData":{"id":2831,"type":"article-journal","abstract":"This case report of a patient who immigrated\nfrom an endemic region on\nimmunosuppressive therapy with the\nsurprising finding of ameboma illustrates\nthe need to consider it in the differential\ndiagnosis of colonic masses in the appropriate\nclinical context.","container-title":"American Journal of Gastroenterology","DOI":"10.1038/s41395-018-0363-6","ISSN":"0002-9270","issue":"1","journalAbbreviation":"Am. J. Gastroenterol.","language":"English","note":"publisher-place: United Kingdom\npublisher: Wolters Kluwer Health (E-mail: michael.richards@wolterskluwer.com)","page":"180-181","title":"An Unexpected Colonic Mass","volume":"114","author":[{"literal":"Li A.A."},{"literal":"Cholankeril G."},{"literal":"Berry G.J."},{"literal":"Fernandez-Becker N."}],"issued":{"date-parts":[["2019"]]}}},{"id":772,"uris":["http://zotero.org/groups/2497994/items/JC6AHM2K",["http://zotero.org/groups/2497994/items/JC6AHM2K"]],"itemData":{"id":772,"type":"article-journal","abstract":"Entamoeba histolytica infections of the gastrointestinal tract are common in the developing world. Only two isolated cases of colonic amoebiasis with colon carcinoma have been described in literature. Here, we describe unique series of four cases showing coexistence of Entamoeba trophozoites with colon cancer. The organisms were demonstrated by Periodic acid Schiff (PAS) stain, which highlighted the trophozoites. Three of the patients were treated with metronidazole and two underwent subsequent resection and adjuvant chemoradiotherapy. Importance of diagnosing coinfection lies in view of immunocompromised state of the cancer patients, most of whom also receive adjuvant chemotherapy and radiotherapy. In such a scenario, if Entamoeba coinfection is not treated, it may lead to complications such as spread of organisms to the brain, liver, lungs and pericardium. The series emphasizes that a high index of suspicion for co-existing parasites is needed in colon cancers, especially in endemic countries.","language":"eng","note":"publisher: Advanced Research Publications","title":"Entamoeba Histolytica Infesting Colonic Malignancy: First Series of Four Cases","URL":"https://medical.adrpublications.in/index.php/Journal-Pathology-LabMeds/article/view/1763","author":[{"family":"Gupta","given":"Priyanka"},{"family":"Sahay","given":"Ayushi"},{"family":"Ramadwar","given":"Mukta"},{"family":"Saklani","given":"Avanish"}],"issued":{"date-parts":[["2018"]]}}},{"id":365,"uris":["http://zotero.org/groups/2497994/items/PRPUYH26",["http://zotero.org/groups/2497994/items/PRPUYH26"]],"itemData":{"id":365,"type":"article-journal","abstract":"A retrospective cohort study was conducted in 55 symptomatic patients with amebic colitis that visited at St. Luke's International Hospital and Mie University Hospital from 1994 through 2013. To diagnose amebic colitis, 40 patients underwent total colonoscopy within 1 week after hospital visiting and before receiving any treatment. The percentage of characteristic endoscopic findings of amebic colitis including discrete ulcers or erosions with white or yellow exudates were 0% in terminal ileum, 93% in cecum, 28% in ascending, 25% in transverse, 15% in descending, 20% in sigmoid colon and 45% in rectum. The rectal lesions in 55% of patients with amebic colitis were nonspecific. The trophozoite identification rate by direct smear of intestinal tract washings performed during colonoscopy was 88%. The protozoan identification rate was 70% in biopsy specimens taken from the periphery of the characteristic discrete ulcers. Total colonoscopy should be considered for the diagnosis of amebic colitis. (C) 2015, Japanese Society of Chemotherapy and The Japanese Association for Infectious Diseases. Published by Elsevier Ltd. All rights reserved.","container-title":"Journal of Infection and Chemotherapy","DOI":"10.1016/j.jiac.2015.02.004","ISSN":"1341-321X","issue":"5-6","note":"WOS:000356842300022","page":"444-448","title":"Endoscopic findings and lesion distribution in amebic colitis","volume":"21","author":[{"family":"Horiki","given":"Noriyuki"},{"family":"Furukawa","given":"Keiichi"},{"family":"Kitade","given":"Takashi"},{"family":"Sakuno","given":"Takashi"},{"family":"Katsurahara","given":"Masaki"},{"family":"Harada","given":"Tetsuro"},{"family":"Tano","given":"Shunsuke"},{"family":"Yamada","given":"Reiko"},{"family":"Hamada","given":"Yasuhiko"},{"family":"Inoue","given":"Hiroyuki"},{"family":"Tanaka","given":"Kyosuke"},{"family":"Gabazza","given":"Esteban C."},{"family":"Ishii","given":"Naoki"},{"family":"Fukuda","given":"Katsuyuki"},{"family":"Omata","given":"Fumio"},{"family":"Fujita","given":"Yoshiyuki"},{"family":"Tachibana","given":"Hiroshi"},{"family":"Takei","given":"Yoshiyuki"}],"issued":{"date-parts":[["2015",6]]}}},{"id":1742,"uris":["http://zotero.org/groups/2497994/items/AKRS7FAC",["http://zotero.org/groups/2497994/items/AKRS7FAC"]],"itemData":{"id":1742,"type":"article-journal","abstract":"Purpose Nonspecific gastrointestinal symptoms make diagnosis of amebiasis difficult. Certain colonoscopic findings predict amebic colitis while others suggest different diagnoses. We aimed to evaluate the diagnostic capability of colonic evaluation of amebiasis. Methods We retrospectively reviewed data of all amebiasis cases admitted to our institution between 2003 and 2012. Cases were diagnosed by clinical presentation, laboratory examinations, and colonoscopy with biopsy and microscopic examination. Patients were stratified as right-sided colitis and proctosigmoiditis. A systematic review was conducted by searchingMedline, Cochrane, EMBASE, and Google Scholar using key words amebiasis, amebic colitis, amebic proctosigmoiditis, colonoscopy, and Entamoeba histolytica. Data were extracted from articles meeting the inclusion criteria. Colonoscopic findings were described and studies were assessed for quality. Results The current series included 20 patients (5 male, 15 female, median age 51), 7 with amebic liver abscess and 13 with amebic colitis. Colonoscopic findings of right-sided colitis included aphthae or erosions, ulcers, exudates, or edematous swollen mucosa in cecum, and findings for proctosigmoiditis were edematous swollen mucosa with bloody exudate. In 25 studies, colonoscopic findings of 41 patients (36 male, 5 female, median age 43.39 years) included mainly ulcers in the cecum and rectum, ulcerated mass, and edematous mucosa; and in fewer patients, submucosal invasion suggestive of colon cancer, bleeding ulcers, proctitis, and ulcers with aphthae in rectum. Conclusions Colonic evaluation of suspected amebiasis is of diagnostic value when accompanied by biopsy and microscopic identification of Entamoeba species. Colonoscopic manifestations vary between right-sided colitis and proctosigmoiditis.Copyright © Springer-Verlag Berlin Heidelberg 2014.","container-title":"International Journal of Colorectal Disease","DOI":"10.1007/s00384-014-2040-6","ISSN":"0179-1958","issue":"1","journalAbbreviation":"Int. J. Colorectal Dis.","language":"English","note":"publisher-place: Germany\npublisher: Springer Verlag (E-mail: service@springer.de)","page":"31-41","title":"Colonoscopic diagnosis of amebiasis: a case series and systematic review","volume":"30","author":[{"literal":"Lee K.-C."},{"literal":"Lu C.-C."},{"literal":"Hu W.-H."},{"literal":"Lin S.-E."},{"literal":"Chen H.-H."}],"issued":{"date-parts":[["2014"]]}}},{"id":1494,"uris":["http://zotero.org/groups/2497994/items/D92NCNCN",["http://zotero.org/groups/2497994/items/D92NCNCN"]],"itemData":{"id":1494,"type":"article-journal","abstract":"Background: Severe leptospirosis occurs mainly in a tropical environment and includes icterus, acute renal failure and hemorrhages. These bleedings, which are mainly a consequence of acute homeostatic disturbances, can also reveal simultaneous diseases. Coinfections with other tropical diseases have been previously reported during leptospirosis. To our knowledge, invasive amebiasis, which can induce gastrointestinal bleedings, has never been described in the course of severe leptospirosis.Case presentation: In this report, we describe a case of a 60 year-old man living in Reunion Island (Indian Ocean, France) admitted to our intensive care unit for severe Leptospira interrogans serovar icterohaemorrhagiae infection with neurological, renal, liver and hematological involvement. Two lower gastrointestinal bleedings occurred 7 and 15 days after admission. The first episode was promoted by hemostatic disturbances while the second bleeding occurred during low-dose heparin therapy. Colonoscopy revealed a pseudo-tumoral inflammatory mass of the recto-sigmoid junction. Histological examination found trophozoites inside mucinous exudate suggestive of Entamoeba histolytica. Amoebic serology was strongly positive whereas careful detection of cysts or trophozoites on saline-wet mount was negative in three consecutive samples of stools. Amoxicillin followed by metronidazole therapy, combined with supportive care, led to an improvement in the clinical and biological patient's condition and endoscopic appearances. Conclusion(s): Clinicians should be aware that gastrointestinal bleeding during severe leptospirosis could not solely be the consequences of hemostatic disturbances. Careful endoscopic evaluation that may reveal curable coinfections should also be considered. © 2014 Legris et al.","container-title":"BMC Infectious Diseases","DOI":"10.1186/1471-2334-14-299","ISSN":"1471-2334 (electronic)","issue":"1","journalAbbreviation":"BMC Infect. Dis.","language":"English","note":"publisher-place: United Kingdom\npublisher: BioMed Central Ltd. (E-mail: info@biomedcentral.com)","page":"299","title":"Ameboma: An unusual cause of gastrointestinal bleeding during severe leptospirosis","volume":"14","author":[{"literal":"Legris T."},{"literal":"Jaffar-Bandjee M.-C."},{"literal":"Favre O."},{"literal":"Lefrancois N."},{"literal":"Genin R."},{"literal":"Ragot C."},{"literal":"Fernandez C."},{"literal":"Reboux A.-H."}],"issued":{"date-parts":[["2014"]]}}},{"id":2837,"uris":["http://zotero.org/groups/2497994/items/AAC474A8",["http://zotero.org/groups/2497994/items/AAC474A8"]],"itemData":{"id":2837,"type":"article-journal","abstract":"Amebiasis is a common parasitic infectious disease in developing countries. In developed countries, it is occasionally encountered in travelers to the tropics and in homosexual males. During the past eight years, we detected four cases of amebic colitis among 5,193 subjects who underwent colonoscopy because of positive fecal occult blood test results in a mass screening. All four cases did not have any abdominal symptoms. Ulcerative lesions were observed only in the cecum and ascending colon; another portion of the colon and rectum appeared normal. We may encounter amebic colitis during colonoscopic examination even in subjects who are asymptomatic.","container-title":"The American Journal of Tropical Medicine and Hygiene","ISSN":"0002-9637","issue":"5","journalAbbreviation":"Am. J. Trop. Med. Hyg.","language":"eng","note":"PMID: 16282306","page":"934-935","source":"PubMed","title":"Amebic colitis in asymptomatic subjects with positive fecal occult blood test results: clinical features different from symptomatic cases","title-short":"Amebic colitis in asymptomatic subjects with positive fecal occult blood test results","volume":"73","author":[{"family":"Okamoto","given":"Makoto"},{"family":"Kawabe","given":"Takao"},{"family":"Ohata","given":"Ken"},{"family":"Togo","given":"Gouichi"},{"family":"Hada","given":"Tetsuya"},{"family":"Katamoto","given":"Tetsurou"},{"family":"Tanno","given":"Masataka"},{"family":"Matsumura","given":"Masayuki"},{"family":"Yamaji","given":"Yutaka"},{"family":"Watabe","given":"Hirotsugu"},{"family":"Ikenoue","given":"Tsuneo"},{"family":"Yoshida","given":"Haruhiko"},{"family":"Omata","given":"Masao"}],"issued":{"date-parts":[["2005",11]]}}},{"id":4760,"uris":["http://zotero.org/groups/2497994/items/HXSDLXB3",["http://zotero.org/groups/2497994/items/HXSDLXB3"]],"itemData":{"id":4760,"type":"article-journal","abstract":"Background: Intestinal amebiasis is one of the important differential diagnoses of Inflammatory Bowel Disorders in areas where it is\nhighly prevalent. Aim: Studies comparing the clinical, endoscopic and histological features of these disorders have never been done,\nso we undertook this study. Materials and Methods: A retrospective study comparing mucosal biopsies of 14 consecutive cases of\nintestinal amebiasis with 14 cases of Ulcerative colitis and 12 cases of Crohn's disease. A total of 65 biopsies from patients with\namebiasis, 56 biopsies from patients with Crohn's disease and 65 biopsies of patients with Ulcerative colitis were reviewed. Results\nand Conclusions: Discrete small ulcers less than 2 cm in diameter in the cecum or rectosigmoid, with intervening normal mucosa,\nwere the most common finding on endoscopy in patients with amebiasis. On histology, necrotic material admixed with mucin,\nproteinaceous exudate and blood clot lining ulcers, significant surface epithelial changes such as shortening and tufting adjacent to\nsites of ulceration, mild chronic inflammation extending into the deep mucosa and mild architectural alteration were features of\namebiasis. Trophozoite forms of ameba were seen in the necrotic material lining sites of ulceration or lying separately, as well as over\nintact mucosa. Necrotic material lining ulcers was less common in IBD, but chronic inflammation, crypt abscess formation and\narchitectural alteration were more severe.","container-title":"Indian Journal of Pathology and Microbiology","DOI":"10.4103/0377-4929.168880","ISSN":"0377-4929","issue":"4","journalAbbreviation":"Indian J Pathol Microbiol","language":"en","page":"427","source":"DOI.org (Crossref)","title":"The differentiation of amebic colitis from inflammatory bowel disease on endoscopic mucosal biopsies","volume":"58","author":[{"family":"Singh","given":"Reecha"},{"family":"Balekuduru","given":"Avinash"},{"family":"Simon","given":"EbbyGeorge"},{"family":"Alexander","given":"Manika"},{"family":"Pulimood","given":"Anna"}],"issued":{"date-parts":[["2015"]]}}},{"id":865,"uris":["http://zotero.org/groups/2497994/items/FH9MBA6I",["http://zotero.org/groups/2497994/items/FH9MBA6I"]],"itemData":{"id":865,"type":"article-journal","container-title":"Gut","DOI":"10.1136/gutjnl-2016-312811","ISSN":"1468-3288","issue":"5","journalAbbreviation":"Gut","note":"publisher-place: England\nWu, Nan. Department of Gastroenterology, St George Hospital, Kogarah, NSW, Australia.\nFreiman, John Saul. Department of Gastroenterology, St George Hospital, Kogarah, NSW, Australia.","page":"886","title":"Caecal ulceration in an asymptomatic man.","volume":"66","author":[{"family":"Wu","given":"Nan"},{"family":"Freiman","given":"John Saul"}],"issued":{"date-parts":[["2017"]]}}},{"id":2486,"uris":["http://zotero.org/groups/2497994/items/TWJJNX8U",["http://zotero.org/groups/2497994/items/TWJJNX8U"]],"itemData":{"id":2486,"type":"article-journal","abstract":"Entamoeba histolytica infections of the gastrointestinal tract are common in the developing world but rare in North America. The authors present two cases: one involving an individual who had not travelled to an endemic area and another involving an individual who was born in Bulgaria. Both presented with severe abdominal pain and diarrhea. Endoscopic assessment revealed scattered colonic ulcerations and one patient was found to have a liver abscess on imaging. Stool ova and parasite studies were negative in both cases and both were diagnosed on review of colonic biopsies. On review of all Entamoeba cases in the Calgary Health Zone (Alberta), ova and parasite analysis found an average of 63.7 Entamoeba cases per year and a pathology database review revealed a total of seven cases of invasive E histolytica (2001 to 2011). Both patients responded well to antibiotic therapy. E histolytica should be considered in new-onset colitis, especially in individuals from endemic areas.","language":"en","note":"publisher: Canadian Journal of Gastroenterology and Hepatology","title":"Invasive Amoebiasis: A Review of Entamoeba Infections Highlighted with Case Reports","URL":"https://doi.org/10.1155/2014/745130","author":[{"literal":"Christopher Skappak"},{"literal":"Sarah Akierman"},{"literal":"Sara Belga"},{"literal":"Kerri Novak"},{"literal":"Kris Chadee"},{"literal":"Stefan J Urbanski"},{"literal":"Deirdre Church"},{"literal":"GEN"}],"issued":{"date-parts":[["2014"]]}}},{"id":1415,"uris":["http://zotero.org/groups/2497994/items/ESRH8CP4",["http://zotero.org/groups/2497994/items/ESRH8CP4"]],"itemData":{"id":1415,"type":"article-journal","container-title":"BMJ Case Reports","DOI":"10.1136/bcr-2016-218570","ISSN":"1757-790X (electronic)","issue":"(Yoon) Hiroshima Kyoritsu Hospital, Hiroshima, Japan","journalAbbreviation":"BMJ Case Rep.","language":"English","note":"publisher-place: United Kingdom\npublisher: BMJ Publishing Group (E-mail: subscriptions@bmjgroup.com)","page":"218570","title":"Severe amoebic colitis in an HIV-infected male patient","volume":"2016","author":[{"literal":"Yoon E.W.T."},{"literal":"Sumii M."}],"issued":{"date-parts":[["2016"]]}}},{"id":1879,"uris":["http://zotero.org/groups/2497994/items/HQI44JH5",["http://zotero.org/groups/2497994/items/HQI44JH5"]],"itemData":{"id":1879,"type":"article-journal","abstract":"Seventy-one asymptomatic human immunodeficiency virus-1 (HIV-1) -infected individuals who underwent colonoscopy for detection of diseases other than amebiasis were included in this study. Ulcerative lesions caused by Entamoeba histolytica were identified by colonoscopy and biopsy in 11.3% (8 of 71) of individuals. Stool microscopic examination hardly identified Entamoeba, whereas serum antibody against E. histolytica was often elevated in patients with subclinical intestinal amebiasis. Human leukocyte antigen (HLA) class II allele against E. histolytica infection (DQB1*06:01) was frequently identified in these patients. This study emphasizes the endemic nature of E. histolytica infection in our cohort and the difficulties in epidemiological control. PMID:25048374","archive":"PubMed Central","container-title":"The American Journal of Tropical Medicine and Hygiene","DOI":"10.4269/ajtmh.14-0278","ISSN":"0002-9637","issue":"4","page":"816-816","title":"Asymptomatic Intestinal Amebiasis in Japanese HIV-1–Infected Individuals","volume":"91","author":[{"family":"Watanabe","given":"Koji"},{"family":"Nagata","given":"Naoyoshi"},{"family":"Sekine","given":"Katsunori"},{"family":"Watanabe","given":"Kazuhiro"},{"family":"Igari","given":"Toru"},{"family":"Tanuma","given":"Junko"},{"family":"Kikuchi","given":"Yoshimi"},{"family":"Oka","given":"Shinichi"},{"family":"Gatanaga","given":"Hiroyuki"}],"issued":{"date-parts":[["2014",10,1]]}}},{"id":1527,"uris":["http://zotero.org/groups/2497994/items/XW9PFYPY",["http://zotero.org/groups/2497994/items/XW9PFYPY"]],"itemData":{"id":1527,"type":"article-journal","abstract":"A 52-year-old man with schizophrenia, who had a history of amoebic liver abscess treated with combination antimicrobial agents, presented 10 years later with severe rectal bleeding. Diagnosis of amoebic colitis was confirmed by histological examination of endoscopic biopsy. Doctors treating patients with amoebic infection should be aware of the risk of eradication failure. Post-treatment stool testing, preferably by antigen testing or polymerase chain reaction, should be performed after antimicrobial treatment.","container-title":"Hong Kong Medical Journal","ISSN":"1024-2708","issue":"1","journalAbbreviation":"Hong Kong Med. J.","language":"English","note":"publisher-place: Hong Kong\npublisher: Hong Kong Academy of Medicine Press (Room 901, 9/F,HKAM Jockey Club Build,99 Wong Chuk Hang Road, Aberdeen, Hong Kong, Hong Kong)","page":"71-73","title":"Relapse of amoebic infection 10 years after the infection","volume":"17","author":[{"literal":"Ng C.H."},{"literal":"Lai L."},{"literal":"Ng K.S."},{"literal":"Li K.K."}],"issued":{"date-parts":[["2011"]]}}}],"schema":"https://github.com/citation-style-language/schema/raw/master/csl-citation.json"} </w:instrText>
            </w:r>
            <w:r w:rsidRPr="00D11245">
              <w:rPr>
                <w:rFonts w:asciiTheme="majorHAnsi" w:hAnsiTheme="majorHAnsi" w:cstheme="majorHAnsi"/>
                <w:color w:val="000000" w:themeColor="text1"/>
                <w:sz w:val="24"/>
                <w:szCs w:val="24"/>
                <w:highlight w:val="yellow"/>
              </w:rPr>
              <w:fldChar w:fldCharType="separate"/>
            </w:r>
            <w:r w:rsidR="009C3E63" w:rsidRPr="00D11245">
              <w:rPr>
                <w:rFonts w:ascii="Calibri Light" w:hAnsi="Calibri Light" w:cs="Calibri Light"/>
                <w:color w:val="000000" w:themeColor="text1"/>
                <w:sz w:val="24"/>
                <w:vertAlign w:val="superscript"/>
              </w:rPr>
              <w:t>32,46,47,57,58,60–65,68,74,76,101,135–144</w:t>
            </w:r>
            <w:r w:rsidRPr="00D11245">
              <w:rPr>
                <w:rFonts w:asciiTheme="majorHAnsi" w:hAnsiTheme="majorHAnsi" w:cstheme="majorHAnsi"/>
                <w:color w:val="000000" w:themeColor="text1"/>
                <w:sz w:val="24"/>
                <w:szCs w:val="24"/>
                <w:highlight w:val="yellow"/>
              </w:rPr>
              <w:fldChar w:fldCharType="end"/>
            </w:r>
          </w:p>
        </w:tc>
        <w:tc>
          <w:tcPr>
            <w:tcW w:w="3354" w:type="dxa"/>
            <w:vMerge/>
          </w:tcPr>
          <w:p w14:paraId="2D0C15D8" w14:textId="77777777" w:rsidR="00803397" w:rsidRPr="00D11245" w:rsidRDefault="00803397" w:rsidP="00D07242">
            <w:pPr>
              <w:jc w:val="both"/>
              <w:rPr>
                <w:rFonts w:ascii="Calibri" w:hAnsi="Calibri" w:cs="Calibri"/>
                <w:color w:val="000000" w:themeColor="text1"/>
              </w:rPr>
            </w:pPr>
          </w:p>
        </w:tc>
        <w:tc>
          <w:tcPr>
            <w:tcW w:w="3330" w:type="dxa"/>
          </w:tcPr>
          <w:p w14:paraId="43AEBF62" w14:textId="521357C1" w:rsidR="00803397" w:rsidRPr="00D11245" w:rsidRDefault="00803397" w:rsidP="00D07242">
            <w:pPr>
              <w:jc w:val="both"/>
              <w:rPr>
                <w:rFonts w:ascii="Calibri" w:hAnsi="Calibri" w:cs="Calibri"/>
                <w:color w:val="000000" w:themeColor="text1"/>
              </w:rPr>
            </w:pPr>
            <w:r w:rsidRPr="00D11245">
              <w:rPr>
                <w:rFonts w:ascii="Calibri" w:hAnsi="Calibri" w:cs="Calibri"/>
                <w:color w:val="000000" w:themeColor="text1"/>
              </w:rPr>
              <w:t>Very common (&gt;75%)</w:t>
            </w:r>
          </w:p>
        </w:tc>
      </w:tr>
      <w:tr w:rsidR="00D11245" w:rsidRPr="00D11245" w14:paraId="564CB983" w14:textId="1AEDD521" w:rsidTr="00803397">
        <w:tc>
          <w:tcPr>
            <w:tcW w:w="2689" w:type="dxa"/>
            <w:shd w:val="clear" w:color="auto" w:fill="DEEAF6" w:themeFill="accent5" w:themeFillTint="33"/>
          </w:tcPr>
          <w:p w14:paraId="5AE34B49" w14:textId="77777777" w:rsidR="00803397" w:rsidRPr="00D11245" w:rsidRDefault="00803397" w:rsidP="00D07242">
            <w:pPr>
              <w:jc w:val="both"/>
              <w:rPr>
                <w:rFonts w:ascii="Calibri" w:hAnsi="Calibri" w:cs="Calibri"/>
                <w:b/>
                <w:bCs/>
                <w:color w:val="000000" w:themeColor="text1"/>
              </w:rPr>
            </w:pPr>
            <w:r w:rsidRPr="00D11245">
              <w:rPr>
                <w:rFonts w:ascii="Calibri" w:hAnsi="Calibri" w:cs="Calibri"/>
                <w:b/>
                <w:bCs/>
                <w:color w:val="000000" w:themeColor="text1"/>
              </w:rPr>
              <w:t>Nodule (“bump”)</w:t>
            </w:r>
          </w:p>
          <w:p w14:paraId="325260BC" w14:textId="0F024263" w:rsidR="00803397" w:rsidRPr="00D11245" w:rsidRDefault="00803397" w:rsidP="00D07242">
            <w:pPr>
              <w:jc w:val="both"/>
              <w:rPr>
                <w:rFonts w:ascii="Calibri" w:hAnsi="Calibri" w:cs="Calibri"/>
                <w:b/>
                <w:bCs/>
                <w:color w:val="000000" w:themeColor="text1"/>
              </w:rPr>
            </w:pPr>
            <w:r w:rsidRPr="00D11245">
              <w:rPr>
                <w:rFonts w:asciiTheme="majorHAnsi" w:hAnsiTheme="majorHAnsi" w:cstheme="majorHAnsi"/>
                <w:color w:val="000000" w:themeColor="text1"/>
                <w:sz w:val="24"/>
                <w:szCs w:val="24"/>
                <w:highlight w:val="yellow"/>
              </w:rPr>
              <w:fldChar w:fldCharType="begin"/>
            </w:r>
            <w:r w:rsidR="009C3E63" w:rsidRPr="00D11245">
              <w:rPr>
                <w:rFonts w:asciiTheme="majorHAnsi" w:hAnsiTheme="majorHAnsi" w:cstheme="majorHAnsi"/>
                <w:color w:val="000000" w:themeColor="text1"/>
                <w:sz w:val="24"/>
                <w:szCs w:val="24"/>
                <w:highlight w:val="yellow"/>
              </w:rPr>
              <w:instrText xml:space="preserve"> ADDIN ZOTERO_ITEM CSL_CITATION {"citationID":"5hWv8WWI","properties":{"formattedCitation":"\\super 32,47,59,136,137\\nosupersub{}","plainCitation":"32,47,59,136,137","noteIndex":0},"citationItems":[{"id":635,"uris":["http://zotero.org/groups/2497994/items/TJIRGEY8",["http://zotero.org/groups/2497994/items/TJIRGEY8"]],"itemData":{"id":635,"type":"article-journal","container-title":"Revista Espanola de Enfermedades Digestivas","ISSN":"1130-0108","issue":"1","journalAbbreviation":"Rev. Esp. Enferm. Dig.","language":"English","note":"publisher-place: Spain\npublisher: ARAN Ediciones S.A. (E-mail: araninte@grupoaran.com)","page":"64","title":"All that glitters is not gold. A different cause for an \"ulcerative colitis\"","volume":"109","author":[{"literal":"Peixoto A."},{"literal":"Silva M."},{"literal":"Vilas-Boas F."},{"literal":"Macedo G."}],"issued":{"date-parts":[["2017"]]}}},{"id":2829,"uris":["http://zotero.org/groups/2497994/items/VBJUH6JK",["http://zotero.org/groups/2497994/items/VBJUH6JK"]],"itemData":{"id":2829,"type":"article-journal","abstract":"Endoscopic diagnosis of amebic colitis can be difficult because its appearance may mimic other forms of colonic disease. The aim of this study was to identify predictive endoscopic findings for amebic colitis. Patients with suspected amebic colitis based on distinctive endoscopic findings such as aphthae or erosions, ulcers, exudates, or a bump, were included in the study. A total of 157 patients were selected, 50 of whom had amebic colitis. The sensitivity and specificity of endoscopic findings that were significantly associated with amebic colitis were: cecal lesions (80 % and 54 %), multiple number of lesions (96 % and 29 %), presence of aphthae or erosions (84 % and 37 %), and presence of exudate (88 % and 74 %). Multivariate analysis revealed that the best combination of findings to predict amebic colitis was the presence of cecal lesions, multiple lesions, and exudates, which corresponded to an area under the receiver operating characteristic curve of 0.89 (95 % confidence interval 0.82 – 0.95).","container-title":"Endoscopy","DOI":"10.1055/s-0031-1291631","ISSN":"0013-726X, 1438-8812","issue":"04","journalAbbreviation":"Endoscopy","language":"en","page":"425-428","source":"DOI.org (Crossref)","title":"Predictive value of endoscopic findings in the diagnosis of active intestinal amebiasis","volume":"44","author":[{"family":"Nagata","given":"N."},{"family":"Shimbo","given":"T."},{"family":"Akiyama","given":"J."},{"family":"Nakashima","given":"R."},{"family":"Niikura","given":"R."},{"family":"Nishimura","given":"S."},{"family":"Yada","given":"T."},{"family":"Watanabe","given":"K."},{"family":"Oka","given":"S."},{"family":"Uemura","given":"N."}],"issued":{"date-parts":[["2012",4]]}}},{"id":753,"uris":["http://zotero.org/groups/2497994/items/NM353MPR",["http://zotero.org/groups/2497994/items/NM353MPR"]],"itemData":{"id":753,"type":"article-journal","abstract":"We present a case of amoebic colitis, misdiagnosed as inflammatory bowel disease and treated with corticosteroids, leading to severe necrotizing enterocolitis. We review the literature on the epidemiology, pathogenesis, diagnosis, and treatment of amoebic dysentery, with special emphasis on the association between immunosuppressive treatment and the development of severe invasive amoebiasis.","language":"eng","title":"Misdiagnosed amoebic colitis leading to severe dysentery and necrotizing colitis-Report of a case and review of the literature","URL":"https://pure.au.dk/portal/da/publications/misdiagnosed-amoebic-colitis-leading-to-severe-dysentery-and-necrotizing-colitisreport-of-a-case-and-review-of-the-literature(bb3eba3f-12cf-4068-b98d-833c085fefc1).html","author":[{"family":"Mogensen","given":"Trine H"},{"family":"Christiansen","given":"Jens J"},{"family":"Eivindson","given":"Martin V"},{"family":"Larsen","given":"Carsten S"},{"literal":"JOUR"}],"issued":{"date-parts":[["2014"]]}}},{"id":1742,"uris":["http://zotero.org/groups/2497994/items/AKRS7FAC",["http://zotero.org/groups/2497994/items/AKRS7FAC"]],"itemData":{"id":1742,"type":"article-journal","abstract":"Purpose Nonspecific gastrointestinal symptoms make diagnosis of amebiasis difficult. Certain colonoscopic findings predict amebic colitis while others suggest different diagnoses. We aimed to evaluate the diagnostic capability of colonic evaluation of amebiasis. Methods We retrospectively reviewed data of all amebiasis cases admitted to our institution between 2003 and 2012. Cases were diagnosed by clinical presentation, laboratory examinations, and colonoscopy with biopsy and microscopic examination. Patients were stratified as right-sided colitis and proctosigmoiditis. A systematic review was conducted by searchingMedline, Cochrane, EMBASE, and Google Scholar using key words amebiasis, amebic colitis, amebic proctosigmoiditis, colonoscopy, and Entamoeba histolytica. Data were extracted from articles meeting the inclusion criteria. Colonoscopic findings were described and studies were assessed for quality. Results The current series included 20 patients (5 male, 15 female, median age 51), 7 with amebic liver abscess and 13 with amebic colitis. Colonoscopic findings of right-sided colitis included aphthae or erosions, ulcers, exudates, or edematous swollen mucosa in cecum, and findings for proctosigmoiditis were edematous swollen mucosa with bloody exudate. In 25 studies, colonoscopic findings of 41 patients (36 male, 5 female, median age 43.39 years) included mainly ulcers in the cecum and rectum, ulcerated mass, and edematous mucosa; and in fewer patients, submucosal invasion suggestive of colon cancer, bleeding ulcers, proctitis, and ulcers with aphthae in rectum. Conclusions Colonic evaluation of suspected amebiasis is of diagnostic value when accompanied by biopsy and microscopic identification of Entamoeba species. Colonoscopic manifestations vary between right-sided colitis and proctosigmoiditis.Copyright © Springer-Verlag Berlin Heidelberg 2014.","container-title":"International Journal of Colorectal Disease","DOI":"10.1007/s00384-014-2040-6","ISSN":"0179-1958","issue":"1","journalAbbreviation":"Int. J. Colorectal Dis.","language":"English","note":"publisher-place: Germany\npublisher: Springer Verlag (E-mail: service@springer.de)","page":"31-41","title":"Colonoscopic diagnosis of amebiasis: a case series and systematic review","volume":"30","author":[{"literal":"Lee K.-C."},{"literal":"Lu C.-C."},{"literal":"Hu W.-H."},{"literal":"Lin S.-E."},{"literal":"Chen H.-H."}],"issued":{"date-parts":[["2014"]]}}},{"id":1494,"uris":["http://zotero.org/groups/2497994/items/D92NCNCN",["http://zotero.org/groups/2497994/items/D92NCNCN"]],"itemData":{"id":1494,"type":"article-journal","abstract":"Background: Severe leptospirosis occurs mainly in a tropical environment and includes icterus, acute renal failure and hemorrhages. These bleedings, which are mainly a consequence of acute homeostatic disturbances, can also reveal simultaneous diseases. Coinfections with other tropical diseases have been previously reported during leptospirosis. To our knowledge, invasive amebiasis, which can induce gastrointestinal bleedings, has never been described in the course of severe leptospirosis.Case presentation: In this report, we describe a case of a 60 year-old man living in Reunion Island (Indian Ocean, France) admitted to our intensive care unit for severe Leptospira interrogans serovar icterohaemorrhagiae infection with neurological, renal, liver and hematological involvement. Two lower gastrointestinal bleedings occurred 7 and 15 days after admission. The first episode was promoted by hemostatic disturbances while the second bleeding occurred during low-dose heparin therapy. Colonoscopy revealed a pseudo-tumoral inflammatory mass of the recto-sigmoid junction. Histological examination found trophozoites inside mucinous exudate suggestive of Entamoeba histolytica. Amoebic serology was strongly positive whereas careful detection of cysts or trophozoites on saline-wet mount was negative in three consecutive samples of stools. Amoxicillin followed by metronidazole therapy, combined with supportive care, led to an improvement in the clinical and biological patient's condition and endoscopic appearances. Conclusion(s): Clinicians should be aware that gastrointestinal bleeding during severe leptospirosis could not solely be the consequences of hemostatic disturbances. Careful endoscopic evaluation that may reveal curable coinfections should also be considered. © 2014 Legris et al.","container-title":"BMC Infectious Diseases","DOI":"10.1186/1471-2334-14-299","ISSN":"1471-2334 (electronic)","issue":"1","journalAbbreviation":"BMC Infect. Dis.","language":"English","note":"publisher-place: United Kingdom\npublisher: BioMed Central Ltd. (E-mail: info@biomedcentral.com)","page":"299","title":"Ameboma: An unusual cause of gastrointestinal bleeding during severe leptospirosis","volume":"14","author":[{"literal":"Legris T."},{"literal":"Jaffar-Bandjee M.-C."},{"literal":"Favre O."},{"literal":"Lefrancois N."},{"literal":"Genin R."},{"literal":"Ragot C."},{"literal":"Fernandez C."},{"literal":"Reboux A.-H."}],"issued":{"date-parts":[["2014"]]}}}],"schema":"https://github.com/citation-style-language/schema/raw/master/csl-citation.json"} </w:instrText>
            </w:r>
            <w:r w:rsidRPr="00D11245">
              <w:rPr>
                <w:rFonts w:asciiTheme="majorHAnsi" w:hAnsiTheme="majorHAnsi" w:cstheme="majorHAnsi"/>
                <w:color w:val="000000" w:themeColor="text1"/>
                <w:sz w:val="24"/>
                <w:szCs w:val="24"/>
                <w:highlight w:val="yellow"/>
              </w:rPr>
              <w:fldChar w:fldCharType="separate"/>
            </w:r>
            <w:r w:rsidR="009C3E63" w:rsidRPr="00D11245">
              <w:rPr>
                <w:rFonts w:ascii="Calibri Light" w:hAnsi="Calibri Light" w:cs="Calibri Light"/>
                <w:color w:val="000000" w:themeColor="text1"/>
                <w:sz w:val="24"/>
                <w:vertAlign w:val="superscript"/>
              </w:rPr>
              <w:t>32,47,59,136,137</w:t>
            </w:r>
            <w:r w:rsidRPr="00D11245">
              <w:rPr>
                <w:rFonts w:asciiTheme="majorHAnsi" w:hAnsiTheme="majorHAnsi" w:cstheme="majorHAnsi"/>
                <w:color w:val="000000" w:themeColor="text1"/>
                <w:sz w:val="24"/>
                <w:szCs w:val="24"/>
                <w:highlight w:val="yellow"/>
              </w:rPr>
              <w:fldChar w:fldCharType="end"/>
            </w:r>
          </w:p>
        </w:tc>
        <w:tc>
          <w:tcPr>
            <w:tcW w:w="3354" w:type="dxa"/>
            <w:vMerge/>
          </w:tcPr>
          <w:p w14:paraId="1D55CBFD" w14:textId="77777777" w:rsidR="00803397" w:rsidRPr="00D11245" w:rsidRDefault="00803397" w:rsidP="00D07242">
            <w:pPr>
              <w:jc w:val="both"/>
              <w:rPr>
                <w:rFonts w:ascii="Calibri" w:hAnsi="Calibri" w:cs="Calibri"/>
                <w:color w:val="000000" w:themeColor="text1"/>
              </w:rPr>
            </w:pPr>
          </w:p>
        </w:tc>
        <w:tc>
          <w:tcPr>
            <w:tcW w:w="3330" w:type="dxa"/>
          </w:tcPr>
          <w:p w14:paraId="7F7F6B85" w14:textId="38D74CEB" w:rsidR="00803397" w:rsidRPr="00D11245" w:rsidRDefault="00803397" w:rsidP="00D07242">
            <w:pPr>
              <w:jc w:val="both"/>
              <w:rPr>
                <w:rFonts w:ascii="Calibri" w:hAnsi="Calibri" w:cs="Calibri"/>
                <w:color w:val="000000" w:themeColor="text1"/>
              </w:rPr>
            </w:pPr>
            <w:r w:rsidRPr="00D11245">
              <w:rPr>
                <w:rFonts w:ascii="Calibri" w:hAnsi="Calibri" w:cs="Calibri"/>
                <w:color w:val="000000" w:themeColor="text1"/>
              </w:rPr>
              <w:t>Rare (5%)</w:t>
            </w:r>
          </w:p>
        </w:tc>
      </w:tr>
      <w:tr w:rsidR="00D11245" w:rsidRPr="00D11245" w14:paraId="7D17FBC1" w14:textId="34EBE170" w:rsidTr="00803397">
        <w:tc>
          <w:tcPr>
            <w:tcW w:w="2689" w:type="dxa"/>
            <w:shd w:val="clear" w:color="auto" w:fill="DEEAF6" w:themeFill="accent5" w:themeFillTint="33"/>
          </w:tcPr>
          <w:p w14:paraId="3642CB4F" w14:textId="77777777" w:rsidR="00803397" w:rsidRPr="00D11245" w:rsidRDefault="00803397" w:rsidP="008279CE">
            <w:pPr>
              <w:jc w:val="both"/>
              <w:rPr>
                <w:rFonts w:ascii="Calibri" w:hAnsi="Calibri" w:cs="Calibri"/>
                <w:b/>
                <w:bCs/>
                <w:color w:val="000000" w:themeColor="text1"/>
              </w:rPr>
            </w:pPr>
            <w:r w:rsidRPr="00D11245">
              <w:rPr>
                <w:rFonts w:ascii="Calibri" w:hAnsi="Calibri" w:cs="Calibri"/>
                <w:b/>
                <w:bCs/>
                <w:color w:val="000000" w:themeColor="text1"/>
              </w:rPr>
              <w:t>Mass (amoeboma)</w:t>
            </w:r>
          </w:p>
          <w:p w14:paraId="5875BB84" w14:textId="5A348EEF" w:rsidR="00803397" w:rsidRPr="00D11245" w:rsidRDefault="00803397" w:rsidP="008279CE">
            <w:pPr>
              <w:jc w:val="both"/>
              <w:rPr>
                <w:rFonts w:ascii="Calibri" w:hAnsi="Calibri" w:cs="Calibri"/>
                <w:b/>
                <w:bCs/>
                <w:color w:val="000000" w:themeColor="text1"/>
              </w:rPr>
            </w:pPr>
            <w:r w:rsidRPr="00D11245">
              <w:rPr>
                <w:rFonts w:asciiTheme="majorHAnsi" w:hAnsiTheme="majorHAnsi" w:cstheme="majorHAnsi"/>
                <w:color w:val="000000" w:themeColor="text1"/>
                <w:sz w:val="24"/>
                <w:szCs w:val="24"/>
                <w:highlight w:val="yellow"/>
              </w:rPr>
              <w:fldChar w:fldCharType="begin"/>
            </w:r>
            <w:r w:rsidR="009C3E63" w:rsidRPr="00D11245">
              <w:rPr>
                <w:rFonts w:asciiTheme="majorHAnsi" w:hAnsiTheme="majorHAnsi" w:cstheme="majorHAnsi"/>
                <w:color w:val="000000" w:themeColor="text1"/>
                <w:sz w:val="24"/>
                <w:szCs w:val="24"/>
                <w:highlight w:val="yellow"/>
              </w:rPr>
              <w:instrText xml:space="preserve"> ADDIN ZOTERO_ITEM CSL_CITATION {"citationID":"ACkAC73S","properties":{"formattedCitation":"\\super 57,67,76,101,136,145\\nosupersub{}","plainCitation":"57,67,76,101,136,145","noteIndex":0},"citationItems":[{"id":500,"uris":["http://zotero.org/groups/2497994/items/N6ZDBPSJ",["http://zotero.org/groups/2497994/items/N6ZDBPSJ"]],"itemData":{"id":500,"type":"article-journal","abstract":"A 50-year-old patient was admitted to our department after developing severe abdominal cramps, watery diarrhea and fever, during four days whilst travelling abroad. Imaging identified a mass in the ascending colon with simultaneous liver lesions. Initially a diagnosis of metastatic colorectal cancer was suggested, however colonoscopy showed a large lesion with a central ulcer and surrounding inflammation in the ascending colon. Biopsies confirmed our clinical suspicion of amoebic colitis, complicated by development of an amoeboma and simultaneous liver abscesses. Amoeboma formation is a rare complication of amoebiasis, however a simultaneous presentation with liver abscesses, amoebic colitis and an amoeboma might even be less frequent. Despite its rarity physicians should maintain a high index of suspicion of patients presenting with synchronous liver and colon lesions, especially as travel to endemic areas has increased.Copyright © 2019, Universa Press. All rights reserved.","container-title":"Acta Gastro-Enterologica Belgica","ISSN":"1784-3227","issue":"4","journalAbbreviation":"Acta Gastro-Enterol. Belg.","language":"English","note":"publisher-place: Belgium\npublisher: Universa Press (E-mail: deprez@gaen.ucl.ac.be)","page":"539-541","title":"A case of amoebic colitis with amoeboma and simultaneous liver abscesses. A diagnosis by colonoscopy","volume":"82","author":[{"literal":"Bronswijk M."},{"literal":"Van Gool S."}],"issued":{"date-parts":[["2019"]]}}},{"id":496,"uris":["http://zotero.org/groups/2497994/items/U2BV2QBG",["http://zotero.org/groups/2497994/items/U2BV2QBG"]],"itemData":{"id":496,"type":"article-journal","abstract":"Ameboma is a rare presentation of intestinal amebiasis, which is caused by infection with Entamoeba histolytica. Amebomas are generally concentric and can be difficult to differentiate from carcinoma in the gastrointestinal tract, which are commonly seen in elderly patients. Radiological studies or colonoscopy can be difficult to provide the diagnosis. We present an elderly man with an ameboma in the ascending colon, which manifested as a submucosal tumor in the radiological or endoscopic studies. His serum antiamebic serology test was positive. He received surgery because of poor response to medical treatment. A full course of antiamebic therapy followed by a luminal agent were given and he had a smooth postoperative course without relapse of amebic infection. Although the elderly population has a higher incidence of colonic malignancy, ameboma should be considered in the differential diagnosis of submucosal tumors in the colon, especially in patients with an insidious onset of disease. © 2011, Taiwan Society of Geriatric Emergency &amp; Critical Care Medicine. Published by Elsevier Taiwan LLC. All rights reserved.","container-title":"International Journal of Gerontology","DOI":"10.1016/j.ijge.2011.04.004","ISSN":"1873-9598","issue":"2","journalAbbreviation":"Int. J. Gerontol.","language":"English","note":"publisher-place: Singapore\npublisher: Elsevier (Singapore) Pte Ltd (3 Killiney Road, 08-01, Winsland House I, Singapore 239519, Singapore)","page":"126-128","title":"Ameboma mimicking submucosal tumor of the colon in an elderly","volume":"5","author":[{"literal":"Wang S.-Y."},{"literal":"Shih S.-C."},{"literal":"Wang T.-E."},{"literal":"Chang W.-H."},{"literal":"Wang H.-Y."},{"literal":"Lin S.-C."}],"issued":{"date-parts":[["2011"]]}}},{"id":2831,"uris":["http://zotero.org/groups/2497994/items/T7N6CKHE",["http://zotero.org/groups/2497994/items/T7N6CKHE"]],"itemData":{"id":2831,"type":"article-journal","abstract":"This case report of a patient who immigrated\nfrom an endemic region on\nimmunosuppressive therapy with the\nsurprising finding of ameboma illustrates\nthe need to consider it in the differential\ndiagnosis of colonic masses in the appropriate\nclinical context.","container-title":"American Journal of Gastroenterology","DOI":"10.1038/s41395-018-0363-6","ISSN":"0002-9270","issue":"1","journalAbbreviation":"Am. J. Gastroenterol.","language":"English","note":"publisher-place: United Kingdom\npublisher: Wolters Kluwer Health (E-mail: michael.richards@wolterskluwer.com)","page":"180-181","title":"An Unexpected Colonic Mass","volume":"114","author":[{"literal":"Li A.A."},{"literal":"Cholankeril G."},{"literal":"Berry G.J."},{"literal":"Fernandez-Becker N."}],"issued":{"date-parts":[["2019"]]}}},{"id":772,"uris":["http://zotero.org/groups/2497994/items/JC6AHM2K",["http://zotero.org/groups/2497994/items/JC6AHM2K"]],"itemData":{"id":772,"type":"article-journal","abstract":"Entamoeba histolytica infections of the gastrointestinal tract are common in the developing world. Only two isolated cases of colonic amoebiasis with colon carcinoma have been described in literature. Here, we describe unique series of four cases showing coexistence of Entamoeba trophozoites with colon cancer. The organisms were demonstrated by Periodic acid Schiff (PAS) stain, which highlighted the trophozoites. Three of the patients were treated with metronidazole and two underwent subsequent resection and adjuvant chemoradiotherapy. Importance of diagnosing coinfection lies in view of immunocompromised state of the cancer patients, most of whom also receive adjuvant chemotherapy and radiotherapy. In such a scenario, if Entamoeba coinfection is not treated, it may lead to complications such as spread of organisms to the brain, liver, lungs and pericardium. The series emphasizes that a high index of suspicion for co-existing parasites is needed in colon cancers, especially in endemic countries.","language":"eng","note":"publisher: Advanced Research Publications","title":"Entamoeba Histolytica Infesting Colonic Malignancy: First Series of Four Cases","URL":"https://medical.adrpublications.in/index.php/Journal-Pathology-LabMeds/article/view/1763","author":[{"family":"Gupta","given":"Priyanka"},{"family":"Sahay","given":"Ayushi"},{"family":"Ramadwar","given":"Mukta"},{"family":"Saklani","given":"Avanish"}],"issued":{"date-parts":[["2018"]]}}},{"id":1742,"uris":["http://zotero.org/groups/2497994/items/AKRS7FAC",["http://zotero.org/groups/2497994/items/AKRS7FAC"]],"itemData":{"id":1742,"type":"article-journal","abstract":"Purpose Nonspecific gastrointestinal symptoms make diagnosis of amebiasis difficult. Certain colonoscopic findings predict amebic colitis while others suggest different diagnoses. We aimed to evaluate the diagnostic capability of colonic evaluation of amebiasis. Methods We retrospectively reviewed data of all amebiasis cases admitted to our institution between 2003 and 2012. Cases were diagnosed by clinical presentation, laboratory examinations, and colonoscopy with biopsy and microscopic examination. Patients were stratified as right-sided colitis and proctosigmoiditis. A systematic review was conducted by searchingMedline, Cochrane, EMBASE, and Google Scholar using key words amebiasis, amebic colitis, amebic proctosigmoiditis, colonoscopy, and Entamoeba histolytica. Data were extracted from articles meeting the inclusion criteria. Colonoscopic findings were described and studies were assessed for quality. Results The current series included 20 patients (5 male, 15 female, median age 51), 7 with amebic liver abscess and 13 with amebic colitis. Colonoscopic findings of right-sided colitis included aphthae or erosions, ulcers, exudates, or edematous swollen mucosa in cecum, and findings for proctosigmoiditis were edematous swollen mucosa with bloody exudate. In 25 studies, colonoscopic findings of 41 patients (36 male, 5 female, median age 43.39 years) included mainly ulcers in the cecum and rectum, ulcerated mass, and edematous mucosa; and in fewer patients, submucosal invasion suggestive of colon cancer, bleeding ulcers, proctitis, and ulcers with aphthae in rectum. Conclusions Colonic evaluation of suspected amebiasis is of diagnostic value when accompanied by biopsy and microscopic identification of Entamoeba species. Colonoscopic manifestations vary between right-sided colitis and proctosigmoiditis.Copyright © Springer-Verlag Berlin Heidelberg 2014.","container-title":"International Journal of Colorectal Disease","DOI":"10.1007/s00384-014-2040-6","ISSN":"0179-1958","issue":"1","journalAbbreviation":"Int. J. Colorectal Dis.","language":"English","note":"publisher-place: Germany\npublisher: Springer Verlag (E-mail: service@springer.de)","page":"31-41","title":"Colonoscopic diagnosis of amebiasis: a case series and systematic review","volume":"30","author":[{"literal":"Lee K.-C."},{"literal":"Lu C.-C."},{"literal":"Hu W.-H."},{"literal":"Lin S.-E."},{"literal":"Chen H.-H."}],"issued":{"date-parts":[["2014"]]}}},{"id":494,"uris":["http://zotero.org/groups/2497994/items/BW36PSSY",["http://zotero.org/groups/2497994/items/BW36PSSY"]],"itemData":{"id":494,"type":"article-journal","container-title":"Journal of Clinical Oncology","DOI":"10.1200/JCO.2010.33.3237","ISSN":"0732-183X","issue":"13","journalAbbreviation":"J. Clin. Oncol.","language":"English","note":"publisher-place: United States\npublisher: American Society of Clinical Oncology (330 John Carlyle Street, Suite 300, Alexandria VA 22314, United States)","page":"e365-e366","title":"Amoebic abscess diagnosed on fluorodeoxyglucose positron emission tomography scan in patient with recurrent oropharyngeal squamous cell carcinoma","volume":"29","author":[{"literal":"Cacheux W."},{"literal":"Servois V."},{"literal":"Paulmier B."},{"literal":"Girodet J."},{"literal":"Farkhondeh F."},{"literal":"Petras S."}],"issued":{"date-parts":[["2011"]]}}}],"schema":"https://github.com/citation-style-language/schema/raw/master/csl-citation.json"} </w:instrText>
            </w:r>
            <w:r w:rsidRPr="00D11245">
              <w:rPr>
                <w:rFonts w:asciiTheme="majorHAnsi" w:hAnsiTheme="majorHAnsi" w:cstheme="majorHAnsi"/>
                <w:color w:val="000000" w:themeColor="text1"/>
                <w:sz w:val="24"/>
                <w:szCs w:val="24"/>
                <w:highlight w:val="yellow"/>
              </w:rPr>
              <w:fldChar w:fldCharType="separate"/>
            </w:r>
            <w:r w:rsidR="009C3E63" w:rsidRPr="00D11245">
              <w:rPr>
                <w:rFonts w:ascii="Calibri Light" w:hAnsi="Calibri Light" w:cs="Calibri Light"/>
                <w:color w:val="000000" w:themeColor="text1"/>
                <w:sz w:val="24"/>
                <w:vertAlign w:val="superscript"/>
              </w:rPr>
              <w:t>57,67,76,101,136,145</w:t>
            </w:r>
            <w:r w:rsidRPr="00D11245">
              <w:rPr>
                <w:rFonts w:asciiTheme="majorHAnsi" w:hAnsiTheme="majorHAnsi" w:cstheme="majorHAnsi"/>
                <w:color w:val="000000" w:themeColor="text1"/>
                <w:sz w:val="24"/>
                <w:szCs w:val="24"/>
                <w:highlight w:val="yellow"/>
              </w:rPr>
              <w:fldChar w:fldCharType="end"/>
            </w:r>
          </w:p>
        </w:tc>
        <w:tc>
          <w:tcPr>
            <w:tcW w:w="3354" w:type="dxa"/>
          </w:tcPr>
          <w:p w14:paraId="37A7AA7E" w14:textId="628D7440" w:rsidR="00803397" w:rsidRPr="00D11245" w:rsidRDefault="00803397" w:rsidP="008279CE">
            <w:pPr>
              <w:jc w:val="both"/>
              <w:rPr>
                <w:rFonts w:ascii="Calibri" w:hAnsi="Calibri" w:cs="Calibri"/>
                <w:color w:val="000000" w:themeColor="text1"/>
              </w:rPr>
            </w:pPr>
            <w:r w:rsidRPr="00D11245">
              <w:rPr>
                <w:rFonts w:ascii="Calibri" w:hAnsi="Calibri" w:cs="Calibri"/>
                <w:color w:val="000000" w:themeColor="text1"/>
              </w:rPr>
              <w:t>Most commonly caecum</w:t>
            </w:r>
          </w:p>
        </w:tc>
        <w:tc>
          <w:tcPr>
            <w:tcW w:w="3330" w:type="dxa"/>
          </w:tcPr>
          <w:p w14:paraId="3644810F" w14:textId="2E740857" w:rsidR="00803397" w:rsidRPr="00D11245" w:rsidRDefault="00803397" w:rsidP="008279CE">
            <w:pPr>
              <w:jc w:val="both"/>
              <w:rPr>
                <w:rFonts w:ascii="Calibri" w:hAnsi="Calibri" w:cs="Calibri"/>
                <w:color w:val="000000" w:themeColor="text1"/>
              </w:rPr>
            </w:pPr>
            <w:r w:rsidRPr="00D11245">
              <w:rPr>
                <w:rFonts w:ascii="Calibri" w:hAnsi="Calibri" w:cs="Calibri"/>
                <w:color w:val="000000" w:themeColor="text1"/>
              </w:rPr>
              <w:t>Very rare (&lt;5%)</w:t>
            </w:r>
          </w:p>
        </w:tc>
      </w:tr>
      <w:tr w:rsidR="00D11245" w:rsidRPr="00D11245" w14:paraId="50D16514" w14:textId="77777777" w:rsidTr="00803397">
        <w:tc>
          <w:tcPr>
            <w:tcW w:w="2689" w:type="dxa"/>
            <w:shd w:val="clear" w:color="auto" w:fill="DEEAF6" w:themeFill="accent5" w:themeFillTint="33"/>
          </w:tcPr>
          <w:p w14:paraId="36A22864" w14:textId="77777777" w:rsidR="00803397" w:rsidRPr="00D11245" w:rsidRDefault="00803397" w:rsidP="008279CE">
            <w:pPr>
              <w:jc w:val="both"/>
              <w:rPr>
                <w:rFonts w:ascii="Calibri" w:hAnsi="Calibri" w:cs="Calibri"/>
                <w:b/>
                <w:bCs/>
                <w:color w:val="000000" w:themeColor="text1"/>
              </w:rPr>
            </w:pPr>
            <w:r w:rsidRPr="00D11245">
              <w:rPr>
                <w:rFonts w:ascii="Calibri" w:hAnsi="Calibri" w:cs="Calibri"/>
                <w:b/>
                <w:bCs/>
                <w:color w:val="000000" w:themeColor="text1"/>
              </w:rPr>
              <w:t>Active bleeding</w:t>
            </w:r>
          </w:p>
          <w:p w14:paraId="5A60D3A1" w14:textId="721F3451" w:rsidR="00803397" w:rsidRPr="00D11245" w:rsidRDefault="00803397" w:rsidP="008279CE">
            <w:pPr>
              <w:jc w:val="both"/>
              <w:rPr>
                <w:rFonts w:ascii="Calibri" w:hAnsi="Calibri" w:cs="Calibri"/>
                <w:b/>
                <w:bCs/>
                <w:color w:val="000000" w:themeColor="text1"/>
              </w:rPr>
            </w:pPr>
            <w:r w:rsidRPr="00D11245">
              <w:rPr>
                <w:rFonts w:asciiTheme="majorHAnsi" w:hAnsiTheme="majorHAnsi" w:cstheme="majorHAnsi"/>
                <w:color w:val="000000" w:themeColor="text1"/>
                <w:sz w:val="24"/>
                <w:szCs w:val="24"/>
                <w:highlight w:val="yellow"/>
              </w:rPr>
              <w:fldChar w:fldCharType="begin"/>
            </w:r>
            <w:r w:rsidR="009C3E63" w:rsidRPr="00D11245">
              <w:rPr>
                <w:rFonts w:asciiTheme="majorHAnsi" w:hAnsiTheme="majorHAnsi" w:cstheme="majorHAnsi"/>
                <w:color w:val="000000" w:themeColor="text1"/>
                <w:sz w:val="24"/>
                <w:szCs w:val="24"/>
                <w:highlight w:val="yellow"/>
              </w:rPr>
              <w:instrText xml:space="preserve"> ADDIN ZOTERO_ITEM CSL_CITATION {"citationID":"qtjBFi78","properties":{"formattedCitation":"\\super 68\\nosupersub{}","plainCitation":"68","noteIndex":0},"citationItems":[{"id":1269,"uris":["http://zotero.org/groups/2497994/items/XNNFEXTN",["http://zotero.org/groups/2497994/items/XNNFEXTN"]],"itemData":{"id":1269,"type":"article-journal","abstract":"Amoebiasis is a common intestinal protozoan infection due to Entamoeba histolytica. In India, the prevalence of the disease varies from 2% to 67%.[1] Acute Fulminant Colitis is a rare complication of intestinal amebiasis. Life threatening lower Gastrointestinal bleed is very rare presentation of amebiasis. Here, we are presenting a case of severe lower GI bleed proved to be caused by amebiasis along with extra intestinal complications.Copyright © 2017 Annals of Tropical Medicine and Public Health  Published by Wolters Kluwer - Medknow.","container-title":"Annals of Tropical Medicine and Public Health","DOI":"10.4103/1755-6783.205554","ISSN":"1755-6783","issue":"1","journalAbbreviation":"Ann. Trop. Med. Public Health","language":"English","note":"publisher-place: India\npublisher: Medknow Publications (B9, Kanara Business Centre, off Link Road, Ghatkopar (E), Mumbai 400 075, India)","page":"244-246","title":"Intestinal amebiasis presenting as life threatening lower GI bleed-A rare presentation","volume":"10","author":[{"literal":"Dogra V.K."},{"literal":"Gupta D."},{"literal":"Kashyap R."},{"literal":"Nand L."},{"literal":"Sondhi S."}],"issued":{"date-parts":[["2017"]]}}}],"schema":"https://github.com/citation-style-language/schema/raw/master/csl-citation.json"} </w:instrText>
            </w:r>
            <w:r w:rsidRPr="00D11245">
              <w:rPr>
                <w:rFonts w:asciiTheme="majorHAnsi" w:hAnsiTheme="majorHAnsi" w:cstheme="majorHAnsi"/>
                <w:color w:val="000000" w:themeColor="text1"/>
                <w:sz w:val="24"/>
                <w:szCs w:val="24"/>
                <w:highlight w:val="yellow"/>
              </w:rPr>
              <w:fldChar w:fldCharType="separate"/>
            </w:r>
            <w:r w:rsidR="009C3E63" w:rsidRPr="00D11245">
              <w:rPr>
                <w:rFonts w:ascii="Calibri Light" w:hAnsi="Calibri Light" w:cs="Calibri Light"/>
                <w:color w:val="000000" w:themeColor="text1"/>
                <w:sz w:val="24"/>
                <w:vertAlign w:val="superscript"/>
              </w:rPr>
              <w:t>68</w:t>
            </w:r>
            <w:r w:rsidRPr="00D11245">
              <w:rPr>
                <w:rFonts w:asciiTheme="majorHAnsi" w:hAnsiTheme="majorHAnsi" w:cstheme="majorHAnsi"/>
                <w:color w:val="000000" w:themeColor="text1"/>
                <w:sz w:val="24"/>
                <w:szCs w:val="24"/>
                <w:highlight w:val="yellow"/>
              </w:rPr>
              <w:fldChar w:fldCharType="end"/>
            </w:r>
          </w:p>
        </w:tc>
        <w:tc>
          <w:tcPr>
            <w:tcW w:w="3354" w:type="dxa"/>
          </w:tcPr>
          <w:p w14:paraId="4FA3A260" w14:textId="55393006" w:rsidR="00803397" w:rsidRPr="00D11245" w:rsidRDefault="00803397" w:rsidP="008279CE">
            <w:pPr>
              <w:jc w:val="both"/>
              <w:rPr>
                <w:rFonts w:ascii="Calibri" w:hAnsi="Calibri" w:cs="Calibri"/>
                <w:color w:val="000000" w:themeColor="text1"/>
              </w:rPr>
            </w:pPr>
            <w:r w:rsidRPr="00D11245">
              <w:rPr>
                <w:rFonts w:ascii="Calibri" w:hAnsi="Calibri" w:cs="Calibri"/>
                <w:color w:val="000000" w:themeColor="text1"/>
              </w:rPr>
              <w:t>At site of inflammation/ ulceration</w:t>
            </w:r>
          </w:p>
        </w:tc>
        <w:tc>
          <w:tcPr>
            <w:tcW w:w="3330" w:type="dxa"/>
          </w:tcPr>
          <w:p w14:paraId="53992360" w14:textId="02405442" w:rsidR="00803397" w:rsidRPr="00D11245" w:rsidRDefault="00803397" w:rsidP="008279CE">
            <w:pPr>
              <w:jc w:val="both"/>
              <w:rPr>
                <w:rFonts w:ascii="Calibri" w:hAnsi="Calibri" w:cs="Calibri"/>
                <w:color w:val="000000" w:themeColor="text1"/>
              </w:rPr>
            </w:pPr>
            <w:r w:rsidRPr="00D11245">
              <w:rPr>
                <w:rFonts w:ascii="Calibri" w:hAnsi="Calibri" w:cs="Calibri"/>
                <w:color w:val="000000" w:themeColor="text1"/>
              </w:rPr>
              <w:t>Very rare (&lt;1%)</w:t>
            </w:r>
          </w:p>
        </w:tc>
      </w:tr>
      <w:tr w:rsidR="00D11245" w:rsidRPr="00D11245" w14:paraId="7223EC0C" w14:textId="77777777" w:rsidTr="00803397">
        <w:tc>
          <w:tcPr>
            <w:tcW w:w="2689" w:type="dxa"/>
            <w:shd w:val="clear" w:color="auto" w:fill="DEEAF6" w:themeFill="accent5" w:themeFillTint="33"/>
          </w:tcPr>
          <w:p w14:paraId="18127720" w14:textId="77777777" w:rsidR="00803397" w:rsidRPr="00D11245" w:rsidRDefault="00803397" w:rsidP="008279CE">
            <w:pPr>
              <w:jc w:val="both"/>
              <w:rPr>
                <w:rFonts w:ascii="Calibri" w:hAnsi="Calibri" w:cs="Calibri"/>
                <w:b/>
                <w:bCs/>
                <w:color w:val="000000" w:themeColor="text1"/>
              </w:rPr>
            </w:pPr>
            <w:r w:rsidRPr="00D11245">
              <w:rPr>
                <w:rFonts w:ascii="Calibri" w:hAnsi="Calibri" w:cs="Calibri"/>
                <w:b/>
                <w:bCs/>
                <w:color w:val="000000" w:themeColor="text1"/>
              </w:rPr>
              <w:t>Stricture</w:t>
            </w:r>
          </w:p>
          <w:p w14:paraId="63796248" w14:textId="1A6E1F87" w:rsidR="00803397" w:rsidRPr="00D11245" w:rsidRDefault="00803397" w:rsidP="008279CE">
            <w:pPr>
              <w:jc w:val="both"/>
              <w:rPr>
                <w:rFonts w:ascii="Calibri" w:hAnsi="Calibri" w:cs="Calibri"/>
                <w:b/>
                <w:bCs/>
                <w:color w:val="000000" w:themeColor="text1"/>
              </w:rPr>
            </w:pPr>
            <w:r w:rsidRPr="00D11245">
              <w:rPr>
                <w:rFonts w:asciiTheme="majorHAnsi" w:hAnsiTheme="majorHAnsi" w:cstheme="majorHAnsi"/>
                <w:color w:val="000000" w:themeColor="text1"/>
                <w:sz w:val="24"/>
                <w:szCs w:val="24"/>
                <w:highlight w:val="yellow"/>
              </w:rPr>
              <w:fldChar w:fldCharType="begin"/>
            </w:r>
            <w:r w:rsidR="009C3E63" w:rsidRPr="00D11245">
              <w:rPr>
                <w:rFonts w:asciiTheme="majorHAnsi" w:hAnsiTheme="majorHAnsi" w:cstheme="majorHAnsi"/>
                <w:color w:val="000000" w:themeColor="text1"/>
                <w:sz w:val="24"/>
                <w:szCs w:val="24"/>
                <w:highlight w:val="yellow"/>
              </w:rPr>
              <w:instrText xml:space="preserve"> ADDIN ZOTERO_ITEM CSL_CITATION {"citationID":"y44qfZ78","properties":{"formattedCitation":"\\super 66,141\\nosupersub{}","plainCitation":"66,141","noteIndex":0},"citationItems":[{"id":629,"uris":["http://zotero.org/groups/2497994/items/C5YZQLQH",["http://zotero.org/groups/2497994/items/C5YZQLQH"]],"itemData":{"id":629,"type":"article-journal","abstract":"Entamoeba histolytica infection can lead to colitis, peri-colic abscess, ameboma, perforation and rarely colonic stricture. Amebic colitis is usually managed with medical management and rarely needs surgical management. We hereby report a case of colonic amebiasis, presenting as a stricture in transverse colon, mimicking malignancy, and managed successfully.Copyright © 2018 Tropical Parasitology.","container-title":"Tropical Parasitology","DOI":"10.4103/tp.TP_40_18","ISSN":"2229-5070","issue":"2","journalAbbreviation":"Trop. Parasitol.","language":"English","note":"publisher-place: India\npublisher: Wolters Kluwer Medknow Publications (B9, Kanara Business Centre, off Link Road, Ghatkopar (E), Mumbai 400 075, India)","page":"98-100","title":"Amebic colonic stricture: An unusual presentation","volume":"8","author":[{"literal":"Varshney V.K."},{"literal":"Soni S.C."},{"literal":"Yadav T."},{"literal":"Puranik A."},{"literal":"Elhence P."}],"issued":{"date-parts":[["2018"]]}}},{"id":2486,"uris":["http://zotero.org/groups/2497994/items/TWJJNX8U",["http://zotero.org/groups/2497994/items/TWJJNX8U"]],"itemData":{"id":2486,"type":"article-journal","abstract":"Entamoeba histolytica infections of the gastrointestinal tract are common in the developing world but rare in North America. The authors present two cases: one involving an individual who had not travelled to an endemic area and another involving an individual who was born in Bulgaria. Both presented with severe abdominal pain and diarrhea. Endoscopic assessment revealed scattered colonic ulcerations and one patient was found to have a liver abscess on imaging. Stool ova and parasite studies were negative in both cases and both were diagnosed on review of colonic biopsies. On review of all Entamoeba cases in the Calgary Health Zone (Alberta), ova and parasite analysis found an average of 63.7 Entamoeba cases per year and a pathology database review revealed a total of seven cases of invasive E histolytica (2001 to 2011). Both patients responded well to antibiotic therapy. E histolytica should be considered in new-onset colitis, especially in individuals from endemic areas.","language":"en","note":"publisher: Canadian Journal of Gastroenterology and Hepatology","title":"Invasive Amoebiasis: A Review of Entamoeba Infections Highlighted with Case Reports","URL":"https://doi.org/10.1155/2014/745130","author":[{"literal":"Christopher Skappak"},{"literal":"Sarah Akierman"},{"literal":"Sara Belga"},{"literal":"Kerri Novak"},{"literal":"Kris Chadee"},{"literal":"Stefan J Urbanski"},{"literal":"Deirdre Church"},{"literal":"GEN"}],"issued":{"date-parts":[["2014"]]}}}],"schema":"https://github.com/citation-style-language/schema/raw/master/csl-citation.json"} </w:instrText>
            </w:r>
            <w:r w:rsidRPr="00D11245">
              <w:rPr>
                <w:rFonts w:asciiTheme="majorHAnsi" w:hAnsiTheme="majorHAnsi" w:cstheme="majorHAnsi"/>
                <w:color w:val="000000" w:themeColor="text1"/>
                <w:sz w:val="24"/>
                <w:szCs w:val="24"/>
                <w:highlight w:val="yellow"/>
              </w:rPr>
              <w:fldChar w:fldCharType="separate"/>
            </w:r>
            <w:r w:rsidR="009C3E63" w:rsidRPr="00D11245">
              <w:rPr>
                <w:rFonts w:ascii="Calibri Light" w:hAnsi="Calibri Light" w:cs="Calibri Light"/>
                <w:color w:val="000000" w:themeColor="text1"/>
                <w:sz w:val="24"/>
                <w:vertAlign w:val="superscript"/>
              </w:rPr>
              <w:t>66,141</w:t>
            </w:r>
            <w:r w:rsidRPr="00D11245">
              <w:rPr>
                <w:rFonts w:asciiTheme="majorHAnsi" w:hAnsiTheme="majorHAnsi" w:cstheme="majorHAnsi"/>
                <w:color w:val="000000" w:themeColor="text1"/>
                <w:sz w:val="24"/>
                <w:szCs w:val="24"/>
                <w:highlight w:val="yellow"/>
              </w:rPr>
              <w:fldChar w:fldCharType="end"/>
            </w:r>
          </w:p>
        </w:tc>
        <w:tc>
          <w:tcPr>
            <w:tcW w:w="3354" w:type="dxa"/>
          </w:tcPr>
          <w:p w14:paraId="42BC4ABC" w14:textId="46AD39FB" w:rsidR="00803397" w:rsidRPr="00D11245" w:rsidRDefault="00803397" w:rsidP="008279CE">
            <w:pPr>
              <w:jc w:val="both"/>
              <w:rPr>
                <w:rFonts w:ascii="Calibri" w:hAnsi="Calibri" w:cs="Calibri"/>
                <w:color w:val="000000" w:themeColor="text1"/>
              </w:rPr>
            </w:pPr>
            <w:r w:rsidRPr="00D11245">
              <w:rPr>
                <w:rFonts w:ascii="Calibri" w:hAnsi="Calibri" w:cs="Calibri"/>
                <w:color w:val="000000" w:themeColor="text1"/>
              </w:rPr>
              <w:t>Very rare – case reports of transverse colon</w:t>
            </w:r>
          </w:p>
        </w:tc>
        <w:tc>
          <w:tcPr>
            <w:tcW w:w="3330" w:type="dxa"/>
          </w:tcPr>
          <w:p w14:paraId="4C8BDB53" w14:textId="0B499163" w:rsidR="00803397" w:rsidRPr="00D11245" w:rsidRDefault="00803397" w:rsidP="008279CE">
            <w:pPr>
              <w:jc w:val="both"/>
              <w:rPr>
                <w:rFonts w:ascii="Calibri" w:hAnsi="Calibri" w:cs="Calibri"/>
                <w:color w:val="000000" w:themeColor="text1"/>
              </w:rPr>
            </w:pPr>
            <w:r w:rsidRPr="00D11245">
              <w:rPr>
                <w:rFonts w:ascii="Calibri" w:hAnsi="Calibri" w:cs="Calibri"/>
                <w:color w:val="000000" w:themeColor="text1"/>
              </w:rPr>
              <w:t>Stricture (&lt;1%)</w:t>
            </w:r>
          </w:p>
        </w:tc>
      </w:tr>
      <w:tr w:rsidR="00D11245" w:rsidRPr="00D11245" w14:paraId="4B242D2F" w14:textId="77777777" w:rsidTr="00803397">
        <w:tc>
          <w:tcPr>
            <w:tcW w:w="2689" w:type="dxa"/>
            <w:shd w:val="clear" w:color="auto" w:fill="DEEAF6" w:themeFill="accent5" w:themeFillTint="33"/>
          </w:tcPr>
          <w:p w14:paraId="69576D86" w14:textId="77777777" w:rsidR="00803397" w:rsidRPr="00D11245" w:rsidRDefault="00803397" w:rsidP="008279CE">
            <w:pPr>
              <w:jc w:val="both"/>
              <w:rPr>
                <w:rFonts w:ascii="Calibri" w:hAnsi="Calibri" w:cs="Calibri"/>
                <w:b/>
                <w:bCs/>
                <w:color w:val="000000" w:themeColor="text1"/>
              </w:rPr>
            </w:pPr>
            <w:r w:rsidRPr="00D11245">
              <w:rPr>
                <w:rFonts w:ascii="Calibri" w:hAnsi="Calibri" w:cs="Calibri"/>
                <w:b/>
                <w:bCs/>
                <w:color w:val="000000" w:themeColor="text1"/>
              </w:rPr>
              <w:t>Coexistent adenocarcinoma</w:t>
            </w:r>
          </w:p>
          <w:p w14:paraId="4ABF2E9D" w14:textId="3F56B18A" w:rsidR="00803397" w:rsidRPr="00D11245" w:rsidRDefault="00803397" w:rsidP="00803397">
            <w:pPr>
              <w:jc w:val="both"/>
              <w:rPr>
                <w:rFonts w:ascii="Calibri" w:hAnsi="Calibri" w:cs="Calibri"/>
                <w:b/>
                <w:bCs/>
                <w:color w:val="000000" w:themeColor="text1"/>
              </w:rPr>
            </w:pPr>
            <w:r w:rsidRPr="00D11245">
              <w:rPr>
                <w:rFonts w:asciiTheme="majorHAnsi" w:hAnsiTheme="majorHAnsi" w:cstheme="majorHAnsi"/>
                <w:color w:val="000000" w:themeColor="text1"/>
                <w:sz w:val="24"/>
                <w:szCs w:val="24"/>
                <w:highlight w:val="yellow"/>
              </w:rPr>
              <w:fldChar w:fldCharType="begin"/>
            </w:r>
            <w:r w:rsidR="009C3E63" w:rsidRPr="00D11245">
              <w:rPr>
                <w:rFonts w:asciiTheme="majorHAnsi" w:hAnsiTheme="majorHAnsi" w:cstheme="majorHAnsi"/>
                <w:color w:val="000000" w:themeColor="text1"/>
                <w:sz w:val="24"/>
                <w:szCs w:val="24"/>
                <w:highlight w:val="yellow"/>
              </w:rPr>
              <w:instrText xml:space="preserve"> ADDIN ZOTERO_ITEM CSL_CITATION {"citationID":"ip4ofX7a","properties":{"formattedCitation":"\\super 73,75,101\\nosupersub{}","plainCitation":"73,75,101","noteIndex":0},"citationItems":[{"id":1334,"uris":["http://zotero.org/groups/2497994/items/CW6W9D6D",["http://zotero.org/groups/2497994/items/CW6W9D6D"]],"itemData":{"id":1334,"type":"article-journal","abstract":"A 54-year-old man with diarrhea and hematochezia for 2 months was referred to our department. A total colonoscopy revealed amoebic colitis caused by Entamoeba histolytica. Concurrently, a submucosal tumor-like yellowish hemispheric polypoid lesion was incidentally detected in the rectum. We speculated that the lesion was a NET, which could be cured by endoscopic treatment. However, histopathological assessment of a biopsy specimen unexpectedly revealed a well- or moderately differentiated adenocarcinoma. After treatment of the amoebic colitis, endoscopic ultrasound revealed a low, hetero-echoic, 6-mm-diameter lesion mainly in the submucosal layer. We performed surgical resection because the invasion was estimated to be to the deeper submucosal layer. Histopathological assessment of the surgically resected specimen revealed a focal lesion of a well-differentiated adenocarcinoma in the granulation tissue of the submucosal layer. In cases accompanied by amoebic colitis, a tumor's initial gross type might change. Diagnostic endoscopic resection could be acceptable in such cases.Copyright © 2020, Japanese Society of Gastroenterology.","container-title":"Clinical Journal of Gastroenterology","DOI":"10.1007/s12328-019-01088-1","ISSN":"1865-7257","issue":"(Ito, Ono, Maejima, Hosaka, Umeki, Sato, Wakasugi) Department of Gastroenterology, Chiba-Nishi General Hospital, 1-107, Kanegasaku, Matsudo, Chiba 270-2251, Japan","journalAbbreviation":"Clin. J. Gastroenterol.","language":"English","note":"publisher-place: Japan\npublisher: Springer","title":"A case of a rectal adenocarcinoma mimicking a neuroendocrine tumor in the background mucosa of amoebic colitis","URL":"http://www.springer.com/medicine/internal/journal/12328?cm_mmc=AD-_-FTA-_-CLM1805-_-0","author":[{"literal":"Ito S."},{"literal":"Ono S."},{"literal":"Kobayashi A."},{"literal":"Maejima K."},{"literal":"Hosaka S."},{"literal":"Umeki K."},{"literal":"Sato S.-I."},{"literal":"Wakasugi S."},{"literal":"Ogata K."}],"issued":{"date-parts":[["2020"]]}}},{"id":2217,"uris":["http://zotero.org/groups/2497994/items/4XHPIC7L",["http://zotero.org/groups/2497994/items/4XHPIC7L"]],"itemData":{"id":2217,"type":"article-journal","abstract":"Entamoeba histolytica has been rarely reported as superadded infection over carcinomatous growth on rectal brushings. We present a case of 68-year-old male who presented with abdominal pain and bleeding per rectum who was found to have an ulceroproliferative growth on sigmoidoscopy. Rectal brushings revealed coexistence of E. histolytica with malignant cells of adenocarcinoma. No organism was detected on biopsy of the tumor, which also showed adenocarcinoma, because of possible surface colonization of the tumor by Entamoeba. This case highlights the role of rectal brushings in detecting superadded infection in a case where both brushings and biopsy were performed. It is always important to report infection superadded on malignancies for optimum management of the patients.","container-title":"Journal of Laboratory Physicians","DOI":"10.4103/JLP.JLP_129_17","ISSN":"0974-2727","issue":"2","note":"WOS:000434843400025","page":"251-254","title":"Entamoeba histolytica: A surprising coexistence with adenocarcinoma - Never brush aside brushings for biopsy","volume":"10","author":[{"family":"Goel","given":"Palvi"},{"family":"Tyagi","given":"Ruchita"},{"family":"Kaur","given":"Gursheen"},{"family":"Garg","given":"Bhavna"},{"family":"Selhi","given":"Pavneet Kaur"},{"family":"Kaur","given":"Harpreet"},{"family":"Mehta","given":"Varun"},{"family":"Sood","given":"Neena"}],"issued":{"date-parts":[["2018",6]]}}},{"id":772,"uris":["http://zotero.org/groups/2497994/items/JC6AHM2K",["http://zotero.org/groups/2497994/items/JC6AHM2K"]],"itemData":{"id":772,"type":"article-journal","abstract":"Entamoeba histolytica infections of the gastrointestinal tract are common in the developing world. Only two isolated cases of colonic amoebiasis with colon carcinoma have been described in literature. Here, we describe unique series of four cases showing coexistence of Entamoeba trophozoites with colon cancer. The organisms were demonstrated by Periodic acid Schiff (PAS) stain, which highlighted the trophozoites. Three of the patients were treated with metronidazole and two underwent subsequent resection and adjuvant chemoradiotherapy. Importance of diagnosing coinfection lies in view of immunocompromised state of the cancer patients, most of whom also receive adjuvant chemotherapy and radiotherapy. In such a scenario, if Entamoeba coinfection is not treated, it may lead to complications such as spread of organisms to the brain, liver, lungs and pericardium. The series emphasizes that a high index of suspicion for co-existing parasites is needed in colon cancers, especially in endemic countries.","language":"eng","note":"publisher: Advanced Research Publications","title":"Entamoeba Histolytica Infesting Colonic Malignancy: First Series of Four Cases","URL":"https://medical.adrpublications.in/index.php/Journal-Pathology-LabMeds/article/view/1763","author":[{"family":"Gupta","given":"Priyanka"},{"family":"Sahay","given":"Ayushi"},{"family":"Ramadwar","given":"Mukta"},{"family":"Saklani","given":"Avanish"}],"issued":{"date-parts":[["2018"]]}}}],"schema":"https://github.com/citation-style-language/schema/raw/master/csl-citation.json"} </w:instrText>
            </w:r>
            <w:r w:rsidRPr="00D11245">
              <w:rPr>
                <w:rFonts w:asciiTheme="majorHAnsi" w:hAnsiTheme="majorHAnsi" w:cstheme="majorHAnsi"/>
                <w:color w:val="000000" w:themeColor="text1"/>
                <w:sz w:val="24"/>
                <w:szCs w:val="24"/>
                <w:highlight w:val="yellow"/>
              </w:rPr>
              <w:fldChar w:fldCharType="separate"/>
            </w:r>
            <w:r w:rsidR="009C3E63" w:rsidRPr="00D11245">
              <w:rPr>
                <w:rFonts w:ascii="Calibri Light" w:hAnsi="Calibri Light" w:cs="Calibri Light"/>
                <w:color w:val="000000" w:themeColor="text1"/>
                <w:sz w:val="24"/>
                <w:vertAlign w:val="superscript"/>
              </w:rPr>
              <w:t>73,75,101</w:t>
            </w:r>
            <w:r w:rsidRPr="00D11245">
              <w:rPr>
                <w:rFonts w:asciiTheme="majorHAnsi" w:hAnsiTheme="majorHAnsi" w:cstheme="majorHAnsi"/>
                <w:color w:val="000000" w:themeColor="text1"/>
                <w:sz w:val="24"/>
                <w:szCs w:val="24"/>
                <w:highlight w:val="yellow"/>
              </w:rPr>
              <w:fldChar w:fldCharType="end"/>
            </w:r>
          </w:p>
        </w:tc>
        <w:tc>
          <w:tcPr>
            <w:tcW w:w="3354" w:type="dxa"/>
          </w:tcPr>
          <w:p w14:paraId="236C1C7F" w14:textId="597C150F" w:rsidR="00803397" w:rsidRPr="00D11245" w:rsidRDefault="00803397" w:rsidP="008279CE">
            <w:pPr>
              <w:jc w:val="both"/>
              <w:rPr>
                <w:rFonts w:ascii="Calibri" w:hAnsi="Calibri" w:cs="Calibri"/>
                <w:color w:val="000000" w:themeColor="text1"/>
              </w:rPr>
            </w:pPr>
            <w:r w:rsidRPr="00D11245">
              <w:rPr>
                <w:rFonts w:ascii="Calibri" w:hAnsi="Calibri" w:cs="Calibri"/>
                <w:color w:val="000000" w:themeColor="text1"/>
              </w:rPr>
              <w:t>Very rare</w:t>
            </w:r>
          </w:p>
        </w:tc>
        <w:tc>
          <w:tcPr>
            <w:tcW w:w="3330" w:type="dxa"/>
          </w:tcPr>
          <w:p w14:paraId="058DF75A" w14:textId="55EC8DDF" w:rsidR="00803397" w:rsidRPr="00D11245" w:rsidRDefault="00803397" w:rsidP="008279CE">
            <w:pPr>
              <w:jc w:val="both"/>
              <w:rPr>
                <w:rFonts w:ascii="Calibri" w:hAnsi="Calibri" w:cs="Calibri"/>
                <w:color w:val="000000" w:themeColor="text1"/>
              </w:rPr>
            </w:pPr>
            <w:r w:rsidRPr="00D11245">
              <w:rPr>
                <w:rFonts w:ascii="Calibri" w:hAnsi="Calibri" w:cs="Calibri"/>
                <w:color w:val="000000" w:themeColor="text1"/>
              </w:rPr>
              <w:t>Very rare (&lt;5%)</w:t>
            </w:r>
          </w:p>
        </w:tc>
      </w:tr>
    </w:tbl>
    <w:p w14:paraId="28229F50" w14:textId="7A5CC4B2" w:rsidR="00603A7B" w:rsidRPr="00D11245" w:rsidRDefault="00603A7B" w:rsidP="00D07242">
      <w:pPr>
        <w:jc w:val="both"/>
        <w:rPr>
          <w:rFonts w:ascii="Calibri" w:hAnsi="Calibri" w:cs="Calibri"/>
          <w:color w:val="000000" w:themeColor="text1"/>
        </w:rPr>
      </w:pPr>
    </w:p>
    <w:p w14:paraId="53F2E210" w14:textId="77777777" w:rsidR="00603A7B" w:rsidRPr="00D11245" w:rsidRDefault="00603A7B">
      <w:pPr>
        <w:rPr>
          <w:rFonts w:ascii="Calibri" w:hAnsi="Calibri" w:cs="Calibri"/>
          <w:color w:val="000000" w:themeColor="text1"/>
        </w:rPr>
      </w:pPr>
      <w:r w:rsidRPr="00D11245">
        <w:rPr>
          <w:rFonts w:ascii="Calibri" w:hAnsi="Calibri" w:cs="Calibri"/>
          <w:color w:val="000000" w:themeColor="text1"/>
        </w:rPr>
        <w:br w:type="page"/>
      </w:r>
    </w:p>
    <w:tbl>
      <w:tblPr>
        <w:tblStyle w:val="TableGrid"/>
        <w:tblpPr w:leftFromText="180" w:rightFromText="180" w:vertAnchor="text" w:horzAnchor="margin" w:tblpY="-98"/>
        <w:tblW w:w="9357" w:type="dxa"/>
        <w:tblLook w:val="04A0" w:firstRow="1" w:lastRow="0" w:firstColumn="1" w:lastColumn="0" w:noHBand="0" w:noVBand="1"/>
      </w:tblPr>
      <w:tblGrid>
        <w:gridCol w:w="3119"/>
        <w:gridCol w:w="3119"/>
        <w:gridCol w:w="3119"/>
      </w:tblGrid>
      <w:tr w:rsidR="00D11245" w:rsidRPr="00D11245" w14:paraId="1E2F60AC" w14:textId="77777777" w:rsidTr="008A4E58">
        <w:tc>
          <w:tcPr>
            <w:tcW w:w="9357" w:type="dxa"/>
            <w:gridSpan w:val="3"/>
            <w:shd w:val="clear" w:color="auto" w:fill="9CC2E5" w:themeFill="accent5" w:themeFillTint="99"/>
          </w:tcPr>
          <w:p w14:paraId="2F48FD6F" w14:textId="6190795F" w:rsidR="008A4E58" w:rsidRPr="00D11245" w:rsidRDefault="003C1D42" w:rsidP="008A4E58">
            <w:pPr>
              <w:jc w:val="both"/>
              <w:rPr>
                <w:rFonts w:ascii="Calibri" w:hAnsi="Calibri" w:cs="Calibri"/>
                <w:b/>
                <w:bCs/>
                <w:color w:val="000000" w:themeColor="text1"/>
              </w:rPr>
            </w:pPr>
            <w:r w:rsidRPr="00D11245">
              <w:rPr>
                <w:rFonts w:ascii="Calibri" w:hAnsi="Calibri" w:cs="Calibri"/>
                <w:b/>
                <w:bCs/>
                <w:color w:val="000000" w:themeColor="text1"/>
              </w:rPr>
              <w:lastRenderedPageBreak/>
              <w:t xml:space="preserve">Figure </w:t>
            </w:r>
            <w:r w:rsidR="005D004E" w:rsidRPr="00D11245">
              <w:rPr>
                <w:rFonts w:ascii="Calibri" w:hAnsi="Calibri" w:cs="Calibri"/>
                <w:b/>
                <w:bCs/>
                <w:color w:val="000000" w:themeColor="text1"/>
              </w:rPr>
              <w:t>2</w:t>
            </w:r>
            <w:r w:rsidRPr="00D11245">
              <w:rPr>
                <w:rFonts w:ascii="Calibri" w:hAnsi="Calibri" w:cs="Calibri"/>
                <w:b/>
                <w:bCs/>
                <w:color w:val="000000" w:themeColor="text1"/>
              </w:rPr>
              <w:t xml:space="preserve">: </w:t>
            </w:r>
            <w:r w:rsidR="008A4E58" w:rsidRPr="00D11245">
              <w:rPr>
                <w:rFonts w:ascii="Calibri" w:hAnsi="Calibri" w:cs="Calibri"/>
                <w:b/>
                <w:bCs/>
                <w:color w:val="000000" w:themeColor="text1"/>
              </w:rPr>
              <w:t xml:space="preserve">Endoscopic appearances of amoebic colitis </w:t>
            </w:r>
          </w:p>
        </w:tc>
      </w:tr>
      <w:tr w:rsidR="00D11245" w:rsidRPr="00D11245" w14:paraId="734751D8" w14:textId="77777777" w:rsidTr="008A4E58">
        <w:tc>
          <w:tcPr>
            <w:tcW w:w="3119" w:type="dxa"/>
          </w:tcPr>
          <w:p w14:paraId="1A9C55B1" w14:textId="77777777" w:rsidR="008A4E58" w:rsidRPr="00D11245" w:rsidRDefault="008A4E58" w:rsidP="008A4E58">
            <w:pPr>
              <w:jc w:val="center"/>
              <w:rPr>
                <w:rFonts w:ascii="Calibri" w:hAnsi="Calibri" w:cs="Calibri"/>
                <w:color w:val="000000" w:themeColor="text1"/>
              </w:rPr>
            </w:pPr>
            <w:r w:rsidRPr="00D11245">
              <w:rPr>
                <w:rFonts w:ascii="Calibri" w:hAnsi="Calibri" w:cs="Calibri"/>
                <w:noProof/>
                <w:color w:val="000000" w:themeColor="text1"/>
                <w:lang w:eastAsia="en-GB"/>
              </w:rPr>
              <w:drawing>
                <wp:inline distT="0" distB="0" distL="0" distR="0" wp14:anchorId="6FC6CAB1" wp14:editId="385AE548">
                  <wp:extent cx="1667078" cy="1450428"/>
                  <wp:effectExtent l="0" t="0" r="0" b="0"/>
                  <wp:docPr id="4" name="Content Placeholder 3" descr="A picture containing indoor, doughnut, sitting, donut&#10;&#10;Description automatically generated">
                    <a:extLst xmlns:a="http://schemas.openxmlformats.org/drawingml/2006/main">
                      <a:ext uri="{FF2B5EF4-FFF2-40B4-BE49-F238E27FC236}">
                        <a16:creationId xmlns:a16="http://schemas.microsoft.com/office/drawing/2014/main" id="{7AC38D9C-9698-43BC-B92B-0BCDC7BD026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 picture containing indoor, doughnut, sitting, donut&#10;&#10;Description automatically generated">
                            <a:extLst>
                              <a:ext uri="{FF2B5EF4-FFF2-40B4-BE49-F238E27FC236}">
                                <a16:creationId xmlns:a16="http://schemas.microsoft.com/office/drawing/2014/main" id="{7AC38D9C-9698-43BC-B92B-0BCDC7BD0266}"/>
                              </a:ext>
                            </a:extLst>
                          </pic:cNvPr>
                          <pic:cNvPicPr>
                            <a:picLocks noGrp="1" noChangeAspect="1"/>
                          </pic:cNvPicPr>
                        </pic:nvPicPr>
                        <pic:blipFill rotWithShape="1">
                          <a:blip r:embed="rId21" cstate="print">
                            <a:extLst>
                              <a:ext uri="{28A0092B-C50C-407E-A947-70E740481C1C}">
                                <a14:useLocalDpi xmlns:a14="http://schemas.microsoft.com/office/drawing/2010/main" val="0"/>
                              </a:ext>
                            </a:extLst>
                          </a:blip>
                          <a:srcRect l="34951" t="2149" r="7178" b="2380"/>
                          <a:stretch/>
                        </pic:blipFill>
                        <pic:spPr>
                          <a:xfrm>
                            <a:off x="0" y="0"/>
                            <a:ext cx="1673995" cy="1456446"/>
                          </a:xfrm>
                          <a:prstGeom prst="rect">
                            <a:avLst/>
                          </a:prstGeom>
                        </pic:spPr>
                      </pic:pic>
                    </a:graphicData>
                  </a:graphic>
                </wp:inline>
              </w:drawing>
            </w:r>
          </w:p>
        </w:tc>
        <w:tc>
          <w:tcPr>
            <w:tcW w:w="3119" w:type="dxa"/>
          </w:tcPr>
          <w:p w14:paraId="7A902B68" w14:textId="77777777" w:rsidR="008A4E58" w:rsidRPr="00D11245" w:rsidRDefault="008A4E58" w:rsidP="008A4E58">
            <w:pPr>
              <w:jc w:val="center"/>
              <w:rPr>
                <w:rFonts w:ascii="Calibri" w:hAnsi="Calibri" w:cs="Calibri"/>
                <w:color w:val="000000" w:themeColor="text1"/>
              </w:rPr>
            </w:pPr>
            <w:r w:rsidRPr="00D11245">
              <w:rPr>
                <w:rFonts w:ascii="Calibri" w:hAnsi="Calibri" w:cs="Calibri"/>
                <w:noProof/>
                <w:color w:val="000000" w:themeColor="text1"/>
                <w:lang w:eastAsia="en-GB"/>
              </w:rPr>
              <w:drawing>
                <wp:inline distT="0" distB="0" distL="0" distR="0" wp14:anchorId="121AD419" wp14:editId="2A478DDD">
                  <wp:extent cx="1666553" cy="1450340"/>
                  <wp:effectExtent l="0" t="0" r="0" b="0"/>
                  <wp:docPr id="863010922" name="Content Placeholder 4" descr="A picture containing sitting, man, food, holding&#10;&#10;Description automatically generated">
                    <a:extLst xmlns:a="http://schemas.openxmlformats.org/drawingml/2006/main">
                      <a:ext uri="{FF2B5EF4-FFF2-40B4-BE49-F238E27FC236}">
                        <a16:creationId xmlns:a16="http://schemas.microsoft.com/office/drawing/2014/main" id="{380E3551-9E7C-4AFF-A4CD-58D316DB95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descr="A picture containing sitting, man, food, holding&#10;&#10;Description automatically generated">
                            <a:extLst>
                              <a:ext uri="{FF2B5EF4-FFF2-40B4-BE49-F238E27FC236}">
                                <a16:creationId xmlns:a16="http://schemas.microsoft.com/office/drawing/2014/main" id="{380E3551-9E7C-4AFF-A4CD-58D316DB953F}"/>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34915" t="2018" r="7077" b="2251"/>
                          <a:stretch/>
                        </pic:blipFill>
                        <pic:spPr>
                          <a:xfrm>
                            <a:off x="0" y="0"/>
                            <a:ext cx="1690379" cy="1471075"/>
                          </a:xfrm>
                          <a:prstGeom prst="rect">
                            <a:avLst/>
                          </a:prstGeom>
                        </pic:spPr>
                      </pic:pic>
                    </a:graphicData>
                  </a:graphic>
                </wp:inline>
              </w:drawing>
            </w:r>
          </w:p>
        </w:tc>
        <w:tc>
          <w:tcPr>
            <w:tcW w:w="3119" w:type="dxa"/>
          </w:tcPr>
          <w:p w14:paraId="07DE3942" w14:textId="77777777" w:rsidR="008A4E58" w:rsidRPr="00D11245" w:rsidRDefault="008A4E58" w:rsidP="008A4E58">
            <w:pPr>
              <w:jc w:val="center"/>
              <w:rPr>
                <w:rFonts w:ascii="Calibri" w:hAnsi="Calibri" w:cs="Calibri"/>
                <w:color w:val="000000" w:themeColor="text1"/>
              </w:rPr>
            </w:pPr>
            <w:r w:rsidRPr="00D11245">
              <w:rPr>
                <w:rFonts w:ascii="Calibri" w:hAnsi="Calibri" w:cs="Calibri"/>
                <w:noProof/>
                <w:color w:val="000000" w:themeColor="text1"/>
                <w:lang w:eastAsia="en-GB"/>
              </w:rPr>
              <w:drawing>
                <wp:inline distT="0" distB="0" distL="0" distR="0" wp14:anchorId="161A1567" wp14:editId="01B3DA27">
                  <wp:extent cx="1632475" cy="1435153"/>
                  <wp:effectExtent l="0" t="0" r="0" b="0"/>
                  <wp:docPr id="1519022496" name="Content Placeholder 4" descr="A picture containing food, sign&#10;&#10;Description automatically generated">
                    <a:extLst xmlns:a="http://schemas.openxmlformats.org/drawingml/2006/main">
                      <a:ext uri="{FF2B5EF4-FFF2-40B4-BE49-F238E27FC236}">
                        <a16:creationId xmlns:a16="http://schemas.microsoft.com/office/drawing/2014/main" id="{AF17CD12-A39E-477D-85B5-3B2E05C105F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4" descr="A picture containing food, sign&#10;&#10;Description automatically generated">
                            <a:extLst>
                              <a:ext uri="{FF2B5EF4-FFF2-40B4-BE49-F238E27FC236}">
                                <a16:creationId xmlns:a16="http://schemas.microsoft.com/office/drawing/2014/main" id="{AF17CD12-A39E-477D-85B5-3B2E05C105FD}"/>
                              </a:ext>
                            </a:extLst>
                          </pic:cNvPr>
                          <pic:cNvPicPr>
                            <a:picLocks noGrp="1" noChangeAspect="1"/>
                          </pic:cNvPicPr>
                        </pic:nvPicPr>
                        <pic:blipFill rotWithShape="1">
                          <a:blip r:embed="rId23" cstate="print">
                            <a:extLst>
                              <a:ext uri="{28A0092B-C50C-407E-A947-70E740481C1C}">
                                <a14:useLocalDpi xmlns:a14="http://schemas.microsoft.com/office/drawing/2010/main" val="0"/>
                              </a:ext>
                            </a:extLst>
                          </a:blip>
                          <a:srcRect l="35087" t="2408" r="7178" b="1342"/>
                          <a:stretch/>
                        </pic:blipFill>
                        <pic:spPr>
                          <a:xfrm>
                            <a:off x="0" y="0"/>
                            <a:ext cx="1655917" cy="1455761"/>
                          </a:xfrm>
                          <a:prstGeom prst="rect">
                            <a:avLst/>
                          </a:prstGeom>
                        </pic:spPr>
                      </pic:pic>
                    </a:graphicData>
                  </a:graphic>
                </wp:inline>
              </w:drawing>
            </w:r>
          </w:p>
        </w:tc>
      </w:tr>
      <w:tr w:rsidR="00D11245" w:rsidRPr="00D11245" w14:paraId="4F95CBC0" w14:textId="77777777" w:rsidTr="008A4E58">
        <w:tc>
          <w:tcPr>
            <w:tcW w:w="3119" w:type="dxa"/>
            <w:shd w:val="clear" w:color="auto" w:fill="DEEAF6" w:themeFill="accent5" w:themeFillTint="33"/>
          </w:tcPr>
          <w:p w14:paraId="121BC681" w14:textId="77777777" w:rsidR="008A4E58" w:rsidRPr="00D11245" w:rsidRDefault="008A4E58" w:rsidP="008A4E58">
            <w:pPr>
              <w:jc w:val="both"/>
              <w:rPr>
                <w:rFonts w:ascii="Calibri" w:hAnsi="Calibri" w:cs="Calibri"/>
                <w:color w:val="000000" w:themeColor="text1"/>
              </w:rPr>
            </w:pPr>
            <w:r w:rsidRPr="00D11245">
              <w:rPr>
                <w:rFonts w:ascii="Calibri" w:hAnsi="Calibri" w:cs="Calibri"/>
                <w:color w:val="000000" w:themeColor="text1"/>
              </w:rPr>
              <w:t>Caecum: mucosal erythema, ulceration, friability and contact bleeding</w:t>
            </w:r>
          </w:p>
        </w:tc>
        <w:tc>
          <w:tcPr>
            <w:tcW w:w="3119" w:type="dxa"/>
            <w:shd w:val="clear" w:color="auto" w:fill="DEEAF6" w:themeFill="accent5" w:themeFillTint="33"/>
          </w:tcPr>
          <w:p w14:paraId="4E9B003B" w14:textId="77777777" w:rsidR="008A4E58" w:rsidRPr="00D11245" w:rsidRDefault="008A4E58" w:rsidP="008A4E58">
            <w:pPr>
              <w:jc w:val="both"/>
              <w:rPr>
                <w:rFonts w:ascii="Calibri" w:hAnsi="Calibri" w:cs="Calibri"/>
                <w:color w:val="000000" w:themeColor="text1"/>
              </w:rPr>
            </w:pPr>
            <w:r w:rsidRPr="00D11245">
              <w:rPr>
                <w:rFonts w:ascii="Calibri" w:hAnsi="Calibri" w:cs="Calibri"/>
                <w:color w:val="000000" w:themeColor="text1"/>
              </w:rPr>
              <w:t>Transverse colon – superficial ulceration with normal surrounding mucosa</w:t>
            </w:r>
          </w:p>
        </w:tc>
        <w:tc>
          <w:tcPr>
            <w:tcW w:w="3119" w:type="dxa"/>
            <w:shd w:val="clear" w:color="auto" w:fill="DEEAF6" w:themeFill="accent5" w:themeFillTint="33"/>
          </w:tcPr>
          <w:p w14:paraId="2B64A835" w14:textId="5CB24907" w:rsidR="008A4E58" w:rsidRPr="00D11245" w:rsidRDefault="008A4E58" w:rsidP="008A4E58">
            <w:pPr>
              <w:jc w:val="both"/>
              <w:rPr>
                <w:rFonts w:ascii="Calibri" w:hAnsi="Calibri" w:cs="Calibri"/>
                <w:color w:val="000000" w:themeColor="text1"/>
              </w:rPr>
            </w:pPr>
            <w:r w:rsidRPr="00D11245">
              <w:rPr>
                <w:rFonts w:ascii="Calibri" w:hAnsi="Calibri" w:cs="Calibri"/>
                <w:color w:val="000000" w:themeColor="text1"/>
              </w:rPr>
              <w:t xml:space="preserve">Splenic flexure – </w:t>
            </w:r>
            <w:r w:rsidR="003345A6" w:rsidRPr="00D11245">
              <w:rPr>
                <w:rFonts w:ascii="Calibri" w:hAnsi="Calibri" w:cs="Calibri"/>
                <w:color w:val="000000" w:themeColor="text1"/>
              </w:rPr>
              <w:t xml:space="preserve">deeper </w:t>
            </w:r>
            <w:r w:rsidRPr="00D11245">
              <w:rPr>
                <w:rFonts w:ascii="Calibri" w:hAnsi="Calibri" w:cs="Calibri"/>
                <w:color w:val="000000" w:themeColor="text1"/>
              </w:rPr>
              <w:t xml:space="preserve">ulceration </w:t>
            </w:r>
            <w:r w:rsidR="00613E9D" w:rsidRPr="00D11245">
              <w:rPr>
                <w:rFonts w:ascii="Calibri" w:hAnsi="Calibri" w:cs="Calibri"/>
                <w:color w:val="000000" w:themeColor="text1"/>
              </w:rPr>
              <w:t>raised edges</w:t>
            </w:r>
          </w:p>
        </w:tc>
      </w:tr>
      <w:tr w:rsidR="00D11245" w:rsidRPr="00D11245" w14:paraId="0701DB22" w14:textId="77777777" w:rsidTr="008A4E58">
        <w:tc>
          <w:tcPr>
            <w:tcW w:w="3119" w:type="dxa"/>
            <w:shd w:val="clear" w:color="auto" w:fill="FFFFFF" w:themeFill="background1"/>
          </w:tcPr>
          <w:p w14:paraId="40B65E11" w14:textId="77777777" w:rsidR="008A4E58" w:rsidRPr="00D11245" w:rsidRDefault="008A4E58" w:rsidP="008A4E58">
            <w:pPr>
              <w:jc w:val="both"/>
              <w:rPr>
                <w:rFonts w:ascii="Calibri" w:hAnsi="Calibri" w:cs="Calibri"/>
                <w:color w:val="000000" w:themeColor="text1"/>
              </w:rPr>
            </w:pPr>
            <w:r w:rsidRPr="00D11245">
              <w:rPr>
                <w:noProof/>
                <w:color w:val="000000" w:themeColor="text1"/>
                <w:lang w:eastAsia="en-GB"/>
              </w:rPr>
              <w:drawing>
                <wp:inline distT="0" distB="0" distL="0" distR="0" wp14:anchorId="6BC4B373" wp14:editId="51B223EE">
                  <wp:extent cx="1772530" cy="1431921"/>
                  <wp:effectExtent l="0" t="0" r="0" b="0"/>
                  <wp:docPr id="70831798" name="Picture 4" descr="A close-up of a small intest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1798" name="Picture 4" descr="A close-up of a small intestine&#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332" r="6469"/>
                          <a:stretch/>
                        </pic:blipFill>
                        <pic:spPr bwMode="auto">
                          <a:xfrm>
                            <a:off x="0" y="0"/>
                            <a:ext cx="1798501" cy="14529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9" w:type="dxa"/>
            <w:shd w:val="clear" w:color="auto" w:fill="FFFFFF" w:themeFill="background1"/>
          </w:tcPr>
          <w:p w14:paraId="2F43796F" w14:textId="77777777" w:rsidR="008A4E58" w:rsidRPr="00D11245" w:rsidRDefault="008A4E58" w:rsidP="008A4E58">
            <w:pPr>
              <w:jc w:val="both"/>
              <w:rPr>
                <w:rFonts w:ascii="Calibri" w:hAnsi="Calibri" w:cs="Calibri"/>
                <w:color w:val="000000" w:themeColor="text1"/>
              </w:rPr>
            </w:pPr>
            <w:r w:rsidRPr="00D11245">
              <w:rPr>
                <w:noProof/>
                <w:color w:val="000000" w:themeColor="text1"/>
                <w:lang w:eastAsia="en-GB"/>
              </w:rPr>
              <w:drawing>
                <wp:inline distT="0" distB="0" distL="0" distR="0" wp14:anchorId="55031A5F" wp14:editId="743FE146">
                  <wp:extent cx="1787756" cy="1512277"/>
                  <wp:effectExtent l="0" t="0" r="3175" b="0"/>
                  <wp:docPr id="1265275818" name="Picture 5" descr="Close-up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75818" name="Picture 5" descr="Close-up of a human body&#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1021" r="6714"/>
                          <a:stretch/>
                        </pic:blipFill>
                        <pic:spPr bwMode="auto">
                          <a:xfrm>
                            <a:off x="0" y="0"/>
                            <a:ext cx="1807059" cy="15286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9" w:type="dxa"/>
            <w:shd w:val="clear" w:color="auto" w:fill="FFFFFF" w:themeFill="background1"/>
          </w:tcPr>
          <w:p w14:paraId="4A966733" w14:textId="77777777" w:rsidR="008A4E58" w:rsidRPr="00D11245" w:rsidRDefault="008A4E58" w:rsidP="008A4E58">
            <w:pPr>
              <w:jc w:val="both"/>
              <w:rPr>
                <w:rFonts w:ascii="Calibri" w:hAnsi="Calibri" w:cs="Calibri"/>
                <w:color w:val="000000" w:themeColor="text1"/>
              </w:rPr>
            </w:pPr>
            <w:r w:rsidRPr="00D11245">
              <w:rPr>
                <w:noProof/>
                <w:color w:val="000000" w:themeColor="text1"/>
                <w:lang w:eastAsia="en-GB"/>
              </w:rPr>
              <w:drawing>
                <wp:inline distT="0" distB="0" distL="0" distR="0" wp14:anchorId="6AA8616A" wp14:editId="1EE93917">
                  <wp:extent cx="1709224" cy="1445846"/>
                  <wp:effectExtent l="0" t="0" r="5715" b="2540"/>
                  <wp:docPr id="213940773" name="Picture 6" descr="Close-up of a stomach with a white and green sub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0773" name="Picture 6" descr="Close-up of a stomach with a white and green substance&#10;&#10;Description automatically generated with medium confidenc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0800" r="6936"/>
                          <a:stretch/>
                        </pic:blipFill>
                        <pic:spPr bwMode="auto">
                          <a:xfrm>
                            <a:off x="0" y="0"/>
                            <a:ext cx="1720482" cy="14553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11245" w:rsidRPr="00D11245" w14:paraId="5D2BAE33" w14:textId="77777777" w:rsidTr="008A4E58">
        <w:tc>
          <w:tcPr>
            <w:tcW w:w="3119" w:type="dxa"/>
            <w:shd w:val="clear" w:color="auto" w:fill="DEEAF6" w:themeFill="accent5" w:themeFillTint="33"/>
          </w:tcPr>
          <w:p w14:paraId="6D406564" w14:textId="120AE6B6" w:rsidR="008A4E58" w:rsidRPr="00D11245" w:rsidRDefault="00BE7C64" w:rsidP="008A4E58">
            <w:pPr>
              <w:jc w:val="both"/>
              <w:rPr>
                <w:rFonts w:ascii="Calibri" w:hAnsi="Calibri" w:cs="Calibri"/>
                <w:color w:val="000000" w:themeColor="text1"/>
              </w:rPr>
            </w:pPr>
            <w:r w:rsidRPr="00D11245">
              <w:rPr>
                <w:rFonts w:ascii="Calibri" w:hAnsi="Calibri" w:cs="Calibri"/>
                <w:color w:val="000000" w:themeColor="text1"/>
              </w:rPr>
              <w:t xml:space="preserve">Caecum: ulcer overlying inflammatory “bump” </w:t>
            </w:r>
          </w:p>
        </w:tc>
        <w:tc>
          <w:tcPr>
            <w:tcW w:w="3119" w:type="dxa"/>
            <w:shd w:val="clear" w:color="auto" w:fill="DEEAF6" w:themeFill="accent5" w:themeFillTint="33"/>
          </w:tcPr>
          <w:p w14:paraId="5A7E9674" w14:textId="584AE340" w:rsidR="008A4E58" w:rsidRPr="00D11245" w:rsidRDefault="00BE7C64" w:rsidP="008A4E58">
            <w:pPr>
              <w:jc w:val="both"/>
              <w:rPr>
                <w:rFonts w:ascii="Calibri" w:hAnsi="Calibri" w:cs="Calibri"/>
                <w:color w:val="000000" w:themeColor="text1"/>
              </w:rPr>
            </w:pPr>
            <w:r w:rsidRPr="00D11245">
              <w:rPr>
                <w:rFonts w:ascii="Calibri" w:hAnsi="Calibri" w:cs="Calibri"/>
                <w:color w:val="000000" w:themeColor="text1"/>
              </w:rPr>
              <w:t>Caecum: scattered deep ulceration surrounded by normal mucosa</w:t>
            </w:r>
          </w:p>
        </w:tc>
        <w:tc>
          <w:tcPr>
            <w:tcW w:w="3119" w:type="dxa"/>
            <w:shd w:val="clear" w:color="auto" w:fill="DEEAF6" w:themeFill="accent5" w:themeFillTint="33"/>
          </w:tcPr>
          <w:p w14:paraId="455EB3FC" w14:textId="6D2585EF" w:rsidR="008A4E58" w:rsidRPr="00D11245" w:rsidRDefault="00BE7C64" w:rsidP="008A4E58">
            <w:pPr>
              <w:jc w:val="both"/>
              <w:rPr>
                <w:rFonts w:ascii="Calibri" w:hAnsi="Calibri" w:cs="Calibri"/>
                <w:color w:val="000000" w:themeColor="text1"/>
              </w:rPr>
            </w:pPr>
            <w:r w:rsidRPr="00D11245">
              <w:rPr>
                <w:rFonts w:ascii="Calibri" w:hAnsi="Calibri" w:cs="Calibri"/>
                <w:color w:val="000000" w:themeColor="text1"/>
              </w:rPr>
              <w:t>Caecum: deep ulceration with exudate</w:t>
            </w:r>
          </w:p>
        </w:tc>
      </w:tr>
    </w:tbl>
    <w:p w14:paraId="7CE8644C" w14:textId="77777777" w:rsidR="002E3B57" w:rsidRPr="00D11245" w:rsidRDefault="002E3B57" w:rsidP="00D07242">
      <w:pPr>
        <w:jc w:val="both"/>
        <w:rPr>
          <w:rFonts w:ascii="Calibri" w:hAnsi="Calibri" w:cs="Calibri"/>
          <w:color w:val="000000" w:themeColor="text1"/>
        </w:rPr>
      </w:pPr>
    </w:p>
    <w:p w14:paraId="5F9BEF39" w14:textId="77777777" w:rsidR="00951FB2" w:rsidRPr="00D11245" w:rsidRDefault="00951FB2" w:rsidP="00D07242">
      <w:pPr>
        <w:jc w:val="both"/>
        <w:rPr>
          <w:rFonts w:ascii="Calibri" w:hAnsi="Calibri" w:cs="Calibri"/>
          <w:color w:val="000000" w:themeColor="text1"/>
        </w:rPr>
      </w:pPr>
    </w:p>
    <w:p w14:paraId="3D5984BE" w14:textId="77777777" w:rsidR="008959B3" w:rsidRPr="00D11245" w:rsidRDefault="008959B3" w:rsidP="00D07242">
      <w:pPr>
        <w:jc w:val="both"/>
        <w:rPr>
          <w:rFonts w:ascii="Calibri" w:hAnsi="Calibri" w:cs="Calibri"/>
          <w:b/>
          <w:bCs/>
          <w:color w:val="000000" w:themeColor="text1"/>
        </w:rPr>
      </w:pPr>
    </w:p>
    <w:p w14:paraId="14D7102F" w14:textId="77777777" w:rsidR="008959B3" w:rsidRPr="00D11245" w:rsidRDefault="008959B3" w:rsidP="00D07242">
      <w:pPr>
        <w:jc w:val="both"/>
        <w:rPr>
          <w:rFonts w:ascii="Calibri" w:hAnsi="Calibri" w:cs="Calibri"/>
          <w:b/>
          <w:bCs/>
          <w:color w:val="000000" w:themeColor="text1"/>
        </w:rPr>
      </w:pPr>
    </w:p>
    <w:p w14:paraId="2BF11421" w14:textId="77777777" w:rsidR="008959B3" w:rsidRPr="00D11245" w:rsidRDefault="008959B3" w:rsidP="00D07242">
      <w:pPr>
        <w:jc w:val="both"/>
        <w:rPr>
          <w:rFonts w:ascii="Calibri" w:hAnsi="Calibri" w:cs="Calibri"/>
          <w:b/>
          <w:bCs/>
          <w:color w:val="000000" w:themeColor="text1"/>
        </w:rPr>
      </w:pPr>
    </w:p>
    <w:p w14:paraId="021C610F" w14:textId="77777777" w:rsidR="008959B3" w:rsidRPr="00D11245" w:rsidRDefault="008959B3" w:rsidP="00D07242">
      <w:pPr>
        <w:jc w:val="both"/>
        <w:rPr>
          <w:rFonts w:ascii="Calibri" w:hAnsi="Calibri" w:cs="Calibri"/>
          <w:b/>
          <w:bCs/>
          <w:color w:val="000000" w:themeColor="text1"/>
        </w:rPr>
      </w:pPr>
    </w:p>
    <w:p w14:paraId="6948793D" w14:textId="77777777" w:rsidR="008959B3" w:rsidRPr="00D11245" w:rsidRDefault="008959B3" w:rsidP="00D07242">
      <w:pPr>
        <w:jc w:val="both"/>
        <w:rPr>
          <w:rFonts w:ascii="Calibri" w:hAnsi="Calibri" w:cs="Calibri"/>
          <w:b/>
          <w:bCs/>
          <w:color w:val="000000" w:themeColor="text1"/>
        </w:rPr>
      </w:pPr>
    </w:p>
    <w:p w14:paraId="4964FD74" w14:textId="77777777" w:rsidR="008959B3" w:rsidRPr="00D11245" w:rsidRDefault="008959B3" w:rsidP="00D07242">
      <w:pPr>
        <w:jc w:val="both"/>
        <w:rPr>
          <w:rFonts w:ascii="Calibri" w:hAnsi="Calibri" w:cs="Calibri"/>
          <w:b/>
          <w:bCs/>
          <w:color w:val="000000" w:themeColor="text1"/>
        </w:rPr>
      </w:pPr>
    </w:p>
    <w:p w14:paraId="17584CA7" w14:textId="77777777" w:rsidR="008959B3" w:rsidRPr="00D11245" w:rsidRDefault="008959B3" w:rsidP="00D07242">
      <w:pPr>
        <w:jc w:val="both"/>
        <w:rPr>
          <w:rFonts w:ascii="Calibri" w:hAnsi="Calibri" w:cs="Calibri"/>
          <w:b/>
          <w:bCs/>
          <w:color w:val="000000" w:themeColor="text1"/>
        </w:rPr>
      </w:pPr>
    </w:p>
    <w:p w14:paraId="1F4AC94C" w14:textId="77777777" w:rsidR="008959B3" w:rsidRPr="00D11245" w:rsidRDefault="008959B3" w:rsidP="00D07242">
      <w:pPr>
        <w:jc w:val="both"/>
        <w:rPr>
          <w:rFonts w:ascii="Calibri" w:hAnsi="Calibri" w:cs="Calibri"/>
          <w:b/>
          <w:bCs/>
          <w:color w:val="000000" w:themeColor="text1"/>
        </w:rPr>
      </w:pPr>
    </w:p>
    <w:p w14:paraId="394FC1B9" w14:textId="77777777" w:rsidR="008959B3" w:rsidRPr="00D11245" w:rsidRDefault="008959B3" w:rsidP="00D07242">
      <w:pPr>
        <w:jc w:val="both"/>
        <w:rPr>
          <w:rFonts w:ascii="Calibri" w:hAnsi="Calibri" w:cs="Calibri"/>
          <w:b/>
          <w:bCs/>
          <w:color w:val="000000" w:themeColor="text1"/>
        </w:rPr>
      </w:pPr>
    </w:p>
    <w:p w14:paraId="59BEA9BD" w14:textId="77777777" w:rsidR="008959B3" w:rsidRPr="00D11245" w:rsidRDefault="008959B3" w:rsidP="00D07242">
      <w:pPr>
        <w:jc w:val="both"/>
        <w:rPr>
          <w:rFonts w:ascii="Calibri" w:hAnsi="Calibri" w:cs="Calibri"/>
          <w:b/>
          <w:bCs/>
          <w:color w:val="000000" w:themeColor="text1"/>
        </w:rPr>
      </w:pPr>
    </w:p>
    <w:p w14:paraId="2BED8DA2" w14:textId="77777777" w:rsidR="008959B3" w:rsidRPr="00D11245" w:rsidRDefault="008959B3" w:rsidP="00D07242">
      <w:pPr>
        <w:jc w:val="both"/>
        <w:rPr>
          <w:rFonts w:ascii="Calibri" w:hAnsi="Calibri" w:cs="Calibri"/>
          <w:b/>
          <w:bCs/>
          <w:color w:val="000000" w:themeColor="text1"/>
        </w:rPr>
      </w:pPr>
    </w:p>
    <w:p w14:paraId="0CCAF030" w14:textId="77777777" w:rsidR="008959B3" w:rsidRPr="00D11245" w:rsidRDefault="008959B3" w:rsidP="00D07242">
      <w:pPr>
        <w:jc w:val="both"/>
        <w:rPr>
          <w:rFonts w:ascii="Calibri" w:hAnsi="Calibri" w:cs="Calibri"/>
          <w:b/>
          <w:bCs/>
          <w:color w:val="000000" w:themeColor="text1"/>
        </w:rPr>
      </w:pPr>
    </w:p>
    <w:p w14:paraId="4EB8FA7A" w14:textId="77777777" w:rsidR="008959B3" w:rsidRPr="00D11245" w:rsidRDefault="008959B3" w:rsidP="00D07242">
      <w:pPr>
        <w:jc w:val="both"/>
        <w:rPr>
          <w:rFonts w:ascii="Calibri" w:hAnsi="Calibri" w:cs="Calibri"/>
          <w:b/>
          <w:bCs/>
          <w:color w:val="000000" w:themeColor="text1"/>
        </w:rPr>
      </w:pPr>
    </w:p>
    <w:p w14:paraId="32ABE132" w14:textId="77777777" w:rsidR="00066EBF" w:rsidRPr="00D11245" w:rsidRDefault="008A4E58" w:rsidP="00066EBF">
      <w:pPr>
        <w:jc w:val="both"/>
        <w:rPr>
          <w:color w:val="000000" w:themeColor="text1"/>
          <w:kern w:val="0"/>
          <w:sz w:val="24"/>
          <w:szCs w:val="24"/>
          <w:u w:val="single"/>
          <w14:ligatures w14:val="none"/>
        </w:rPr>
      </w:pPr>
      <w:r w:rsidRPr="00D11245">
        <w:rPr>
          <w:rFonts w:ascii="Calibri" w:hAnsi="Calibri" w:cs="Calibri"/>
          <w:b/>
          <w:bCs/>
          <w:color w:val="000000" w:themeColor="text1"/>
        </w:rPr>
        <w:br w:type="page"/>
      </w:r>
      <w:r w:rsidR="00066EBF" w:rsidRPr="00D11245">
        <w:rPr>
          <w:rFonts w:ascii="Calibri" w:hAnsi="Calibri" w:cs="Calibri"/>
          <w:b/>
          <w:bCs/>
          <w:color w:val="000000" w:themeColor="text1"/>
          <w:sz w:val="24"/>
          <w:szCs w:val="24"/>
          <w:u w:val="single"/>
        </w:rPr>
        <w:lastRenderedPageBreak/>
        <w:t xml:space="preserve">Histopathology </w:t>
      </w:r>
    </w:p>
    <w:tbl>
      <w:tblPr>
        <w:tblStyle w:val="TableGrid"/>
        <w:tblW w:w="0" w:type="auto"/>
        <w:tblInd w:w="137" w:type="dxa"/>
        <w:tblLook w:val="04A0" w:firstRow="1" w:lastRow="0" w:firstColumn="1" w:lastColumn="0" w:noHBand="0" w:noVBand="1"/>
      </w:tblPr>
      <w:tblGrid>
        <w:gridCol w:w="4536"/>
        <w:gridCol w:w="4248"/>
      </w:tblGrid>
      <w:tr w:rsidR="00D11245" w:rsidRPr="00D11245" w14:paraId="00EE176E" w14:textId="77777777" w:rsidTr="00435FB1">
        <w:tc>
          <w:tcPr>
            <w:tcW w:w="8647" w:type="dxa"/>
            <w:gridSpan w:val="2"/>
            <w:shd w:val="clear" w:color="auto" w:fill="9CC2E5" w:themeFill="accent5" w:themeFillTint="99"/>
            <w:hideMark/>
          </w:tcPr>
          <w:p w14:paraId="06EB0366" w14:textId="49C3EF4B" w:rsidR="00066EBF" w:rsidRPr="00D11245" w:rsidRDefault="00066EBF">
            <w:pPr>
              <w:jc w:val="both"/>
              <w:rPr>
                <w:rFonts w:ascii="Calibri" w:hAnsi="Calibri" w:cs="Calibri"/>
                <w:b/>
                <w:bCs/>
                <w:color w:val="000000" w:themeColor="text1"/>
              </w:rPr>
            </w:pPr>
            <w:r w:rsidRPr="00D11245">
              <w:rPr>
                <w:rFonts w:ascii="Calibri" w:hAnsi="Calibri" w:cs="Calibri"/>
                <w:b/>
                <w:bCs/>
                <w:color w:val="000000" w:themeColor="text1"/>
              </w:rPr>
              <w:t xml:space="preserve">Figure </w:t>
            </w:r>
            <w:r w:rsidR="005D004E" w:rsidRPr="00D11245">
              <w:rPr>
                <w:rFonts w:ascii="Calibri" w:hAnsi="Calibri" w:cs="Calibri"/>
                <w:b/>
                <w:bCs/>
                <w:color w:val="000000" w:themeColor="text1"/>
              </w:rPr>
              <w:t>3</w:t>
            </w:r>
            <w:r w:rsidRPr="00D11245">
              <w:rPr>
                <w:rFonts w:ascii="Calibri" w:hAnsi="Calibri" w:cs="Calibri"/>
                <w:b/>
                <w:bCs/>
                <w:color w:val="000000" w:themeColor="text1"/>
              </w:rPr>
              <w:t xml:space="preserve">: Histopathological findings in amoebic colitis </w:t>
            </w:r>
          </w:p>
        </w:tc>
      </w:tr>
      <w:tr w:rsidR="00D11245" w:rsidRPr="00D11245" w14:paraId="7EAE3343" w14:textId="77777777" w:rsidTr="00435FB1">
        <w:tc>
          <w:tcPr>
            <w:tcW w:w="4399" w:type="dxa"/>
            <w:hideMark/>
          </w:tcPr>
          <w:p w14:paraId="4905935A" w14:textId="7423F849" w:rsidR="00066EBF" w:rsidRPr="00D11245" w:rsidRDefault="00066EBF">
            <w:pPr>
              <w:jc w:val="both"/>
              <w:rPr>
                <w:rFonts w:ascii="Calibri" w:hAnsi="Calibri" w:cs="Calibri"/>
                <w:color w:val="000000" w:themeColor="text1"/>
              </w:rPr>
            </w:pPr>
            <w:r w:rsidRPr="00D11245">
              <w:rPr>
                <w:rFonts w:ascii="Calibri" w:hAnsi="Calibri" w:cs="Calibri"/>
                <w:color w:val="000000" w:themeColor="text1"/>
              </w:rPr>
              <w:t>A</w:t>
            </w:r>
            <w:r w:rsidRPr="00D11245">
              <w:rPr>
                <w:color w:val="000000" w:themeColor="text1"/>
              </w:rPr>
              <w:t xml:space="preserve"> </w:t>
            </w:r>
            <w:r w:rsidRPr="00D11245">
              <w:rPr>
                <w:noProof/>
                <w:color w:val="000000" w:themeColor="text1"/>
              </w:rPr>
              <w:drawing>
                <wp:inline distT="0" distB="0" distL="0" distR="0" wp14:anchorId="12BA3DD0" wp14:editId="539F75FA">
                  <wp:extent cx="2607310" cy="1955800"/>
                  <wp:effectExtent l="0" t="0" r="2540" b="6350"/>
                  <wp:docPr id="134339489" name="Picture 2" descr="A close-up of a pink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39489" name="Picture 2" descr="A close-up of a pink and white background&#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7310" cy="1955800"/>
                          </a:xfrm>
                          <a:prstGeom prst="rect">
                            <a:avLst/>
                          </a:prstGeom>
                          <a:noFill/>
                          <a:ln>
                            <a:noFill/>
                          </a:ln>
                        </pic:spPr>
                      </pic:pic>
                    </a:graphicData>
                  </a:graphic>
                </wp:inline>
              </w:drawing>
            </w:r>
          </w:p>
        </w:tc>
        <w:tc>
          <w:tcPr>
            <w:tcW w:w="4248" w:type="dxa"/>
            <w:shd w:val="clear" w:color="auto" w:fill="DEEAF6" w:themeFill="accent5" w:themeFillTint="33"/>
            <w:hideMark/>
          </w:tcPr>
          <w:p w14:paraId="75F2CCF8" w14:textId="77777777" w:rsidR="00066EBF" w:rsidRPr="00D11245" w:rsidRDefault="00066EBF">
            <w:pPr>
              <w:jc w:val="both"/>
              <w:rPr>
                <w:rFonts w:ascii="Calibri" w:hAnsi="Calibri" w:cs="Calibri"/>
                <w:color w:val="000000" w:themeColor="text1"/>
              </w:rPr>
            </w:pPr>
            <w:r w:rsidRPr="00D11245">
              <w:rPr>
                <w:color w:val="000000" w:themeColor="text1"/>
              </w:rPr>
              <w:t>Low magnification photomicrograph shows the edge of a typical flask-shaped, undermining ulcer in a colectomy specimen.  In biopsies the main pitfall is misdiagnosis as IBD, particularly Crohn’s disease, because the ulceration may be patchy and features of chronicity, such as crypt architectural distortion and fibrosis, may be present. (Haematoxylin &amp; Eosin x 12)</w:t>
            </w:r>
          </w:p>
        </w:tc>
      </w:tr>
      <w:tr w:rsidR="00D11245" w:rsidRPr="00D11245" w14:paraId="18643110" w14:textId="77777777" w:rsidTr="00435FB1">
        <w:tc>
          <w:tcPr>
            <w:tcW w:w="4399" w:type="dxa"/>
            <w:tcBorders>
              <w:bottom w:val="single" w:sz="4" w:space="0" w:color="auto"/>
            </w:tcBorders>
            <w:hideMark/>
          </w:tcPr>
          <w:p w14:paraId="7BF18434" w14:textId="37CBFF31" w:rsidR="00066EBF" w:rsidRPr="00D11245" w:rsidRDefault="00066EBF">
            <w:pPr>
              <w:jc w:val="both"/>
              <w:rPr>
                <w:rFonts w:ascii="Calibri" w:hAnsi="Calibri" w:cs="Calibri"/>
                <w:color w:val="000000" w:themeColor="text1"/>
              </w:rPr>
            </w:pPr>
            <w:r w:rsidRPr="00D11245">
              <w:rPr>
                <w:noProof/>
                <w:color w:val="000000" w:themeColor="text1"/>
              </w:rPr>
              <w:t xml:space="preserve">B </w:t>
            </w:r>
            <w:r w:rsidRPr="00D11245">
              <w:rPr>
                <w:noProof/>
                <w:color w:val="000000" w:themeColor="text1"/>
              </w:rPr>
              <w:drawing>
                <wp:inline distT="0" distB="0" distL="0" distR="0" wp14:anchorId="0DE20379" wp14:editId="17813A1F">
                  <wp:extent cx="2734310" cy="2054860"/>
                  <wp:effectExtent l="0" t="0" r="8890" b="2540"/>
                  <wp:docPr id="1864627641" name="Picture 1"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27641" name="Picture 1" descr="A close-up of a microscop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4310" cy="2054860"/>
                          </a:xfrm>
                          <a:prstGeom prst="rect">
                            <a:avLst/>
                          </a:prstGeom>
                          <a:noFill/>
                          <a:ln>
                            <a:noFill/>
                          </a:ln>
                        </pic:spPr>
                      </pic:pic>
                    </a:graphicData>
                  </a:graphic>
                </wp:inline>
              </w:drawing>
            </w:r>
          </w:p>
        </w:tc>
        <w:tc>
          <w:tcPr>
            <w:tcW w:w="4248" w:type="dxa"/>
            <w:tcBorders>
              <w:bottom w:val="single" w:sz="4" w:space="0" w:color="auto"/>
            </w:tcBorders>
            <w:shd w:val="clear" w:color="auto" w:fill="DEEAF6" w:themeFill="accent5" w:themeFillTint="33"/>
          </w:tcPr>
          <w:p w14:paraId="7B69AA42" w14:textId="77777777" w:rsidR="00066EBF" w:rsidRPr="00D11245" w:rsidRDefault="00066EBF">
            <w:pPr>
              <w:jc w:val="both"/>
              <w:rPr>
                <w:rFonts w:ascii="Calibri" w:hAnsi="Calibri" w:cs="Calibri"/>
                <w:b/>
                <w:bCs/>
                <w:color w:val="000000" w:themeColor="text1"/>
              </w:rPr>
            </w:pPr>
            <w:r w:rsidRPr="00D11245">
              <w:rPr>
                <w:color w:val="000000" w:themeColor="text1"/>
              </w:rPr>
              <w:t xml:space="preserve">High magnification photomicrograph showing </w:t>
            </w:r>
            <w:r w:rsidRPr="00D11245">
              <w:rPr>
                <w:i/>
                <w:color w:val="000000" w:themeColor="text1"/>
              </w:rPr>
              <w:t xml:space="preserve">E. histolytica </w:t>
            </w:r>
            <w:r w:rsidRPr="00D11245">
              <w:rPr>
                <w:color w:val="000000" w:themeColor="text1"/>
              </w:rPr>
              <w:t>trophozoites in ulcer slough on the surface of a colonic biopsy; the erythrophagocytosis is evident. The trophozoites may be mistaken for macrophages or sloughed enterocytes by the inexperienced. (Haematoxylin &amp; Eosin x 200)</w:t>
            </w:r>
          </w:p>
          <w:p w14:paraId="1FB5B16C" w14:textId="77777777" w:rsidR="00066EBF" w:rsidRPr="00D11245" w:rsidRDefault="00066EBF">
            <w:pPr>
              <w:jc w:val="both"/>
              <w:rPr>
                <w:rFonts w:ascii="Calibri" w:hAnsi="Calibri" w:cs="Calibri"/>
                <w:color w:val="000000" w:themeColor="text1"/>
              </w:rPr>
            </w:pPr>
          </w:p>
        </w:tc>
      </w:tr>
      <w:tr w:rsidR="00D11245" w:rsidRPr="00D11245" w14:paraId="1EDE42F4" w14:textId="77777777" w:rsidTr="00435FB1">
        <w:tc>
          <w:tcPr>
            <w:tcW w:w="8647" w:type="dxa"/>
            <w:gridSpan w:val="2"/>
            <w:tcBorders>
              <w:bottom w:val="single" w:sz="4" w:space="0" w:color="auto"/>
            </w:tcBorders>
          </w:tcPr>
          <w:p w14:paraId="555E3259" w14:textId="5812D8F8" w:rsidR="007F4E09" w:rsidRPr="00D11245" w:rsidRDefault="007F4E09" w:rsidP="007F4E09">
            <w:pPr>
              <w:jc w:val="center"/>
              <w:rPr>
                <w:rFonts w:cstheme="minorHAnsi"/>
                <w:color w:val="000000" w:themeColor="text1"/>
                <w:sz w:val="24"/>
                <w:szCs w:val="24"/>
              </w:rPr>
            </w:pPr>
            <w:r w:rsidRPr="00D11245">
              <w:rPr>
                <w:rFonts w:cstheme="minorHAnsi"/>
                <w:color w:val="000000" w:themeColor="text1"/>
                <w:sz w:val="24"/>
                <w:szCs w:val="24"/>
              </w:rPr>
              <w:t>We thank Guys and St Thomas’ NHS Foundation Trust Histopathology Department for allowing access to histopathology images</w:t>
            </w:r>
          </w:p>
          <w:p w14:paraId="4C882AC9" w14:textId="6E71D89E" w:rsidR="007F4E09" w:rsidRPr="00D11245" w:rsidRDefault="007F4E09">
            <w:pPr>
              <w:jc w:val="both"/>
              <w:rPr>
                <w:rFonts w:cstheme="minorHAnsi"/>
                <w:color w:val="000000" w:themeColor="text1"/>
                <w:sz w:val="24"/>
                <w:szCs w:val="24"/>
              </w:rPr>
            </w:pPr>
          </w:p>
        </w:tc>
      </w:tr>
      <w:tr w:rsidR="00D11245" w:rsidRPr="00D11245" w14:paraId="2BC7FDCE" w14:textId="77777777" w:rsidTr="00435FB1">
        <w:trPr>
          <w:gridAfter w:val="1"/>
          <w:wAfter w:w="4248" w:type="dxa"/>
        </w:trPr>
        <w:tc>
          <w:tcPr>
            <w:tcW w:w="4399" w:type="dxa"/>
            <w:vAlign w:val="center"/>
            <w:hideMark/>
          </w:tcPr>
          <w:p w14:paraId="5B74D2CE" w14:textId="77777777" w:rsidR="00066EBF" w:rsidRPr="00D11245" w:rsidRDefault="00066EBF">
            <w:pPr>
              <w:rPr>
                <w:rFonts w:ascii="Calibri" w:hAnsi="Calibri" w:cs="Calibri"/>
                <w:color w:val="000000" w:themeColor="text1"/>
              </w:rPr>
            </w:pPr>
          </w:p>
        </w:tc>
      </w:tr>
    </w:tbl>
    <w:p w14:paraId="6D6313CC" w14:textId="77777777" w:rsidR="00066EBF" w:rsidRPr="00D11245" w:rsidRDefault="00066EBF" w:rsidP="00066EBF">
      <w:pPr>
        <w:jc w:val="both"/>
        <w:rPr>
          <w:rFonts w:ascii="Calibri" w:hAnsi="Calibri" w:cs="Calibri"/>
          <w:color w:val="000000" w:themeColor="text1"/>
        </w:rPr>
      </w:pPr>
    </w:p>
    <w:p w14:paraId="6C91D413" w14:textId="77777777" w:rsidR="00066EBF" w:rsidRPr="00D11245" w:rsidRDefault="00066EBF">
      <w:pPr>
        <w:rPr>
          <w:rFonts w:ascii="Calibri" w:hAnsi="Calibri" w:cs="Calibri"/>
          <w:b/>
          <w:bCs/>
          <w:color w:val="000000" w:themeColor="text1"/>
        </w:rPr>
      </w:pPr>
      <w:r w:rsidRPr="00D11245">
        <w:rPr>
          <w:rFonts w:ascii="Calibri" w:hAnsi="Calibri" w:cs="Calibri"/>
          <w:b/>
          <w:bCs/>
          <w:color w:val="000000" w:themeColor="text1"/>
        </w:rPr>
        <w:br w:type="page"/>
      </w:r>
    </w:p>
    <w:p w14:paraId="64403B57" w14:textId="59E2CAFB" w:rsidR="00C33A2A" w:rsidRPr="00D11245" w:rsidRDefault="00713F93">
      <w:pPr>
        <w:rPr>
          <w:rFonts w:ascii="Calibri" w:hAnsi="Calibri" w:cs="Calibri"/>
          <w:b/>
          <w:bCs/>
          <w:color w:val="000000" w:themeColor="text1"/>
          <w:sz w:val="24"/>
          <w:szCs w:val="24"/>
          <w:u w:val="single"/>
        </w:rPr>
      </w:pPr>
      <w:r w:rsidRPr="00D11245">
        <w:rPr>
          <w:rFonts w:ascii="Calibri" w:hAnsi="Calibri" w:cs="Calibri"/>
          <w:b/>
          <w:bCs/>
          <w:color w:val="000000" w:themeColor="text1"/>
          <w:sz w:val="24"/>
          <w:szCs w:val="24"/>
          <w:u w:val="single"/>
        </w:rPr>
        <w:lastRenderedPageBreak/>
        <w:t>Imaging</w:t>
      </w:r>
    </w:p>
    <w:p w14:paraId="23111FFE" w14:textId="1F7CCC6E" w:rsidR="000A28C5" w:rsidRPr="00D11245" w:rsidRDefault="00713F93" w:rsidP="005E7867">
      <w:pPr>
        <w:jc w:val="both"/>
        <w:rPr>
          <w:rFonts w:cstheme="minorHAnsi"/>
          <w:color w:val="000000" w:themeColor="text1"/>
          <w:sz w:val="24"/>
          <w:szCs w:val="24"/>
        </w:rPr>
      </w:pPr>
      <w:r w:rsidRPr="00D11245">
        <w:rPr>
          <w:rFonts w:cstheme="minorHAnsi"/>
          <w:color w:val="000000" w:themeColor="text1"/>
          <w:sz w:val="24"/>
          <w:szCs w:val="24"/>
        </w:rPr>
        <w:t xml:space="preserve">Imaging may be </w:t>
      </w:r>
      <w:r w:rsidR="00F07E69" w:rsidRPr="00D11245">
        <w:rPr>
          <w:rFonts w:cstheme="minorHAnsi"/>
          <w:color w:val="000000" w:themeColor="text1"/>
          <w:sz w:val="24"/>
          <w:szCs w:val="24"/>
        </w:rPr>
        <w:t xml:space="preserve">performed </w:t>
      </w:r>
      <w:r w:rsidRPr="00D11245">
        <w:rPr>
          <w:rFonts w:cstheme="minorHAnsi"/>
          <w:color w:val="000000" w:themeColor="text1"/>
          <w:sz w:val="24"/>
          <w:szCs w:val="24"/>
        </w:rPr>
        <w:t>alongside laboratory tests to support</w:t>
      </w:r>
      <w:r w:rsidR="005074E6" w:rsidRPr="00D11245">
        <w:rPr>
          <w:rFonts w:cstheme="minorHAnsi"/>
          <w:color w:val="000000" w:themeColor="text1"/>
          <w:sz w:val="24"/>
          <w:szCs w:val="24"/>
        </w:rPr>
        <w:t xml:space="preserve"> diagnosis. </w:t>
      </w:r>
      <w:r w:rsidR="008340FD" w:rsidRPr="00D11245">
        <w:rPr>
          <w:rFonts w:cstheme="minorHAnsi"/>
          <w:color w:val="000000" w:themeColor="text1"/>
          <w:sz w:val="24"/>
          <w:szCs w:val="24"/>
        </w:rPr>
        <w:t xml:space="preserve">Plain abdominal radiography </w:t>
      </w:r>
      <w:r w:rsidR="00FE0AD4" w:rsidRPr="00D11245">
        <w:rPr>
          <w:rFonts w:cstheme="minorHAnsi"/>
          <w:color w:val="000000" w:themeColor="text1"/>
          <w:sz w:val="24"/>
          <w:szCs w:val="24"/>
        </w:rPr>
        <w:t xml:space="preserve">may show </w:t>
      </w:r>
      <w:r w:rsidR="008340FD" w:rsidRPr="00D11245">
        <w:rPr>
          <w:rFonts w:cstheme="minorHAnsi"/>
          <w:color w:val="000000" w:themeColor="text1"/>
          <w:sz w:val="24"/>
          <w:szCs w:val="24"/>
        </w:rPr>
        <w:t xml:space="preserve">non-specific features of colitis, with colonic wall thickening, gaseous distension and loss of haustral folds </w:t>
      </w:r>
      <w:r w:rsidR="00172088" w:rsidRPr="00D11245">
        <w:rPr>
          <w:rFonts w:cstheme="minorHAnsi"/>
          <w:color w:val="000000" w:themeColor="text1"/>
          <w:sz w:val="24"/>
          <w:szCs w:val="24"/>
          <w:highlight w:val="green"/>
        </w:rPr>
        <w:fldChar w:fldCharType="begin"/>
      </w:r>
      <w:r w:rsidR="009C3E63" w:rsidRPr="00D11245">
        <w:rPr>
          <w:rFonts w:cstheme="minorHAnsi"/>
          <w:color w:val="000000" w:themeColor="text1"/>
          <w:sz w:val="24"/>
          <w:szCs w:val="24"/>
          <w:highlight w:val="green"/>
        </w:rPr>
        <w:instrText xml:space="preserve"> ADDIN ZOTERO_ITEM CSL_CITATION {"citationID":"wHc1qUrC","properties":{"formattedCitation":"\\super 28\\nosupersub{}","plainCitation":"28","noteIndex":0},"citationItems":[{"id":2127,"uris":["http://zotero.org/groups/2497994/items/98MNWH3V",["http://zotero.org/groups/2497994/items/98MNWH3V"]],"itemData":{"id":2127,"type":"article-journal","abstract":"Amoebic colitis, caused by ingestion of water or food contaminated with the protozoan Entamoeba histolytica, can progress to a fulminant colitis. Computed tomography (CT) findings reported in the literature on this type of colitis are sparse. We present a 59-year-old male patient with a one-week history of progressive abdominal pain, abdominal distension and associated watery and bloody diarrhoea. A CT scan revealed deep ulcerations with submucosal and intramural tracking of contrast. Colonoscopy and biopsy confirmed a diagnosis of Amoebic colitis. The patient required a laparotomy and demised. Deep ulcerations with submucosal and intramural tracking of contrast on CT are diagnostic of fulminant amoebic colitis. Although not demonstrated at CT in this case, discontinuous bowel necrosis, omental wrapping (seen at laparotomy in our case) and neovascularisation of the bowel wall may be other features to look out for.","container-title":"Sa Journal of Radiology","DOI":"10.4102/sajr.v22i1.1354","ISSN":"1027-202X","issue":"1","note":"WOS:000456514500001","page":"a1354","title":"Fulminant amoebic colitis in the era of computed tomography scan: A case report and review of the literature","volume":"22","author":[{"family":"Kinoo","given":"Suman Mewa"},{"family":"Ramkelawon","given":"Vikesh V."},{"family":"Maharajh","given":"Jaynund"},{"family":"Singh","given":"Bugwan"}],"issued":{"date-parts":[["2018",8,15]]}}}],"schema":"https://github.com/citation-style-language/schema/raw/master/csl-citation.json"} </w:instrText>
      </w:r>
      <w:r w:rsidR="00172088" w:rsidRPr="00D11245">
        <w:rPr>
          <w:rFonts w:cstheme="minorHAnsi"/>
          <w:color w:val="000000" w:themeColor="text1"/>
          <w:sz w:val="24"/>
          <w:szCs w:val="24"/>
          <w:highlight w:val="green"/>
        </w:rPr>
        <w:fldChar w:fldCharType="separate"/>
      </w:r>
      <w:r w:rsidR="009C3E63" w:rsidRPr="00D11245">
        <w:rPr>
          <w:rFonts w:ascii="Calibri" w:hAnsi="Calibri" w:cs="Calibri"/>
          <w:color w:val="000000" w:themeColor="text1"/>
          <w:kern w:val="0"/>
          <w:sz w:val="24"/>
          <w:vertAlign w:val="superscript"/>
        </w:rPr>
        <w:t>28</w:t>
      </w:r>
      <w:r w:rsidR="00172088" w:rsidRPr="00D11245">
        <w:rPr>
          <w:rFonts w:cstheme="minorHAnsi"/>
          <w:color w:val="000000" w:themeColor="text1"/>
          <w:sz w:val="24"/>
          <w:szCs w:val="24"/>
          <w:highlight w:val="green"/>
        </w:rPr>
        <w:fldChar w:fldCharType="end"/>
      </w:r>
      <w:r w:rsidR="008340FD" w:rsidRPr="00D11245">
        <w:rPr>
          <w:rFonts w:cstheme="minorHAnsi"/>
          <w:color w:val="000000" w:themeColor="text1"/>
          <w:sz w:val="24"/>
          <w:szCs w:val="24"/>
        </w:rPr>
        <w:t xml:space="preserve">. Computed tomography (CT) </w:t>
      </w:r>
      <w:r w:rsidR="00FE0AD4" w:rsidRPr="00D11245">
        <w:rPr>
          <w:rFonts w:cstheme="minorHAnsi"/>
          <w:color w:val="000000" w:themeColor="text1"/>
          <w:sz w:val="24"/>
          <w:szCs w:val="24"/>
        </w:rPr>
        <w:t xml:space="preserve">may </w:t>
      </w:r>
      <w:r w:rsidR="00ED2A15" w:rsidRPr="00D11245">
        <w:rPr>
          <w:rFonts w:cstheme="minorHAnsi"/>
          <w:color w:val="000000" w:themeColor="text1"/>
          <w:sz w:val="24"/>
          <w:szCs w:val="24"/>
        </w:rPr>
        <w:t xml:space="preserve">help </w:t>
      </w:r>
      <w:r w:rsidR="004D1BD8" w:rsidRPr="00D11245">
        <w:rPr>
          <w:rFonts w:cstheme="minorHAnsi"/>
          <w:color w:val="000000" w:themeColor="text1"/>
          <w:sz w:val="24"/>
          <w:szCs w:val="24"/>
        </w:rPr>
        <w:t xml:space="preserve">identify features of amoebic colitis, including </w:t>
      </w:r>
      <w:r w:rsidR="00951FB2" w:rsidRPr="00D11245">
        <w:rPr>
          <w:rFonts w:cstheme="minorHAnsi"/>
          <w:color w:val="000000" w:themeColor="text1"/>
          <w:sz w:val="24"/>
          <w:szCs w:val="24"/>
        </w:rPr>
        <w:t>deep</w:t>
      </w:r>
      <w:r w:rsidR="004D1BD8" w:rsidRPr="00D11245">
        <w:rPr>
          <w:rFonts w:cstheme="minorHAnsi"/>
          <w:color w:val="000000" w:themeColor="text1"/>
          <w:sz w:val="24"/>
          <w:szCs w:val="24"/>
        </w:rPr>
        <w:t xml:space="preserve"> ulceration, patchy distribution of colitis, </w:t>
      </w:r>
      <w:r w:rsidR="00BF1C66" w:rsidRPr="00D11245">
        <w:rPr>
          <w:rFonts w:cstheme="minorHAnsi"/>
          <w:color w:val="000000" w:themeColor="text1"/>
          <w:sz w:val="24"/>
          <w:szCs w:val="24"/>
        </w:rPr>
        <w:t xml:space="preserve">and </w:t>
      </w:r>
      <w:r w:rsidR="004D1BD8" w:rsidRPr="00D11245">
        <w:rPr>
          <w:rFonts w:cstheme="minorHAnsi"/>
          <w:color w:val="000000" w:themeColor="text1"/>
          <w:sz w:val="24"/>
          <w:szCs w:val="24"/>
        </w:rPr>
        <w:t>omental wrapping</w:t>
      </w:r>
      <w:r w:rsidR="005E7867" w:rsidRPr="00D11245">
        <w:rPr>
          <w:rFonts w:cstheme="minorHAnsi"/>
          <w:color w:val="000000" w:themeColor="text1"/>
          <w:sz w:val="24"/>
          <w:szCs w:val="24"/>
        </w:rPr>
        <w:t xml:space="preserve"> </w:t>
      </w:r>
      <w:r w:rsidR="00172088" w:rsidRPr="00D11245">
        <w:rPr>
          <w:rFonts w:cstheme="minorHAnsi"/>
          <w:color w:val="000000" w:themeColor="text1"/>
          <w:sz w:val="24"/>
          <w:szCs w:val="24"/>
          <w:highlight w:val="green"/>
        </w:rPr>
        <w:fldChar w:fldCharType="begin"/>
      </w:r>
      <w:r w:rsidR="009C3E63" w:rsidRPr="00D11245">
        <w:rPr>
          <w:rFonts w:cstheme="minorHAnsi"/>
          <w:color w:val="000000" w:themeColor="text1"/>
          <w:sz w:val="24"/>
          <w:szCs w:val="24"/>
          <w:highlight w:val="green"/>
        </w:rPr>
        <w:instrText xml:space="preserve"> ADDIN ZOTERO_ITEM CSL_CITATION {"citationID":"w0ceS5vh","properties":{"formattedCitation":"\\super 28\\nosupersub{}","plainCitation":"28","noteIndex":0},"citationItems":[{"id":2127,"uris":["http://zotero.org/groups/2497994/items/98MNWH3V",["http://zotero.org/groups/2497994/items/98MNWH3V"]],"itemData":{"id":2127,"type":"article-journal","abstract":"Amoebic colitis, caused by ingestion of water or food contaminated with the protozoan Entamoeba histolytica, can progress to a fulminant colitis. Computed tomography (CT) findings reported in the literature on this type of colitis are sparse. We present a 59-year-old male patient with a one-week history of progressive abdominal pain, abdominal distension and associated watery and bloody diarrhoea. A CT scan revealed deep ulcerations with submucosal and intramural tracking of contrast. Colonoscopy and biopsy confirmed a diagnosis of Amoebic colitis. The patient required a laparotomy and demised. Deep ulcerations with submucosal and intramural tracking of contrast on CT are diagnostic of fulminant amoebic colitis. Although not demonstrated at CT in this case, discontinuous bowel necrosis, omental wrapping (seen at laparotomy in our case) and neovascularisation of the bowel wall may be other features to look out for.","container-title":"Sa Journal of Radiology","DOI":"10.4102/sajr.v22i1.1354","ISSN":"1027-202X","issue":"1","note":"WOS:000456514500001","page":"a1354","title":"Fulminant amoebic colitis in the era of computed tomography scan: A case report and review of the literature","volume":"22","author":[{"family":"Kinoo","given":"Suman Mewa"},{"family":"Ramkelawon","given":"Vikesh V."},{"family":"Maharajh","given":"Jaynund"},{"family":"Singh","given":"Bugwan"}],"issued":{"date-parts":[["2018",8,15]]}}}],"schema":"https://github.com/citation-style-language/schema/raw/master/csl-citation.json"} </w:instrText>
      </w:r>
      <w:r w:rsidR="00172088" w:rsidRPr="00D11245">
        <w:rPr>
          <w:rFonts w:cstheme="minorHAnsi"/>
          <w:color w:val="000000" w:themeColor="text1"/>
          <w:sz w:val="24"/>
          <w:szCs w:val="24"/>
          <w:highlight w:val="green"/>
        </w:rPr>
        <w:fldChar w:fldCharType="separate"/>
      </w:r>
      <w:r w:rsidR="009C3E63" w:rsidRPr="00D11245">
        <w:rPr>
          <w:rFonts w:ascii="Calibri" w:hAnsi="Calibri" w:cs="Calibri"/>
          <w:color w:val="000000" w:themeColor="text1"/>
          <w:kern w:val="0"/>
          <w:sz w:val="24"/>
          <w:vertAlign w:val="superscript"/>
        </w:rPr>
        <w:t>28</w:t>
      </w:r>
      <w:r w:rsidR="00172088" w:rsidRPr="00D11245">
        <w:rPr>
          <w:rFonts w:cstheme="minorHAnsi"/>
          <w:color w:val="000000" w:themeColor="text1"/>
          <w:sz w:val="24"/>
          <w:szCs w:val="24"/>
          <w:highlight w:val="green"/>
        </w:rPr>
        <w:fldChar w:fldCharType="end"/>
      </w:r>
      <w:r w:rsidR="00BF1C66" w:rsidRPr="00D11245">
        <w:rPr>
          <w:rFonts w:cstheme="minorHAnsi"/>
          <w:color w:val="000000" w:themeColor="text1"/>
          <w:sz w:val="24"/>
          <w:szCs w:val="24"/>
        </w:rPr>
        <w:t>. CT alone should not be made to diagnose amoebic colitis</w:t>
      </w:r>
      <w:r w:rsidR="00951FB2" w:rsidRPr="00D11245">
        <w:rPr>
          <w:rFonts w:cstheme="minorHAnsi"/>
          <w:color w:val="000000" w:themeColor="text1"/>
          <w:sz w:val="24"/>
          <w:szCs w:val="24"/>
        </w:rPr>
        <w:t xml:space="preserve"> since features may be indistinguishable </w:t>
      </w:r>
      <w:r w:rsidR="0061014B" w:rsidRPr="00D11245">
        <w:rPr>
          <w:rFonts w:cstheme="minorHAnsi"/>
          <w:color w:val="000000" w:themeColor="text1"/>
          <w:sz w:val="24"/>
          <w:szCs w:val="24"/>
        </w:rPr>
        <w:t>from</w:t>
      </w:r>
      <w:r w:rsidR="00951FB2" w:rsidRPr="00D11245">
        <w:rPr>
          <w:rFonts w:cstheme="minorHAnsi"/>
          <w:color w:val="000000" w:themeColor="text1"/>
          <w:sz w:val="24"/>
          <w:szCs w:val="24"/>
        </w:rPr>
        <w:t xml:space="preserve"> IBD</w:t>
      </w:r>
      <w:r w:rsidR="0061014B" w:rsidRPr="00D11245">
        <w:rPr>
          <w:rFonts w:cstheme="minorHAnsi"/>
          <w:color w:val="000000" w:themeColor="text1"/>
          <w:sz w:val="24"/>
          <w:szCs w:val="24"/>
        </w:rPr>
        <w:t>.</w:t>
      </w:r>
    </w:p>
    <w:p w14:paraId="4DDBD818" w14:textId="1BBA432F" w:rsidR="00713F93" w:rsidRPr="00D11245" w:rsidRDefault="007E7E91" w:rsidP="005074E6">
      <w:pPr>
        <w:jc w:val="both"/>
        <w:rPr>
          <w:rFonts w:cstheme="minorHAnsi"/>
          <w:color w:val="000000" w:themeColor="text1"/>
          <w:sz w:val="24"/>
          <w:szCs w:val="24"/>
        </w:rPr>
      </w:pPr>
      <w:r w:rsidRPr="00D11245">
        <w:rPr>
          <w:rFonts w:cstheme="minorHAnsi"/>
          <w:color w:val="000000" w:themeColor="text1"/>
          <w:sz w:val="24"/>
          <w:szCs w:val="24"/>
        </w:rPr>
        <w:t xml:space="preserve">CT, magnetic resonance imaging (MRI) and ultrasonography (US) are </w:t>
      </w:r>
      <w:r w:rsidR="00713F93" w:rsidRPr="00D11245">
        <w:rPr>
          <w:rFonts w:cstheme="minorHAnsi"/>
          <w:color w:val="000000" w:themeColor="text1"/>
          <w:sz w:val="24"/>
          <w:szCs w:val="24"/>
        </w:rPr>
        <w:t xml:space="preserve">good modalities to diagnose </w:t>
      </w:r>
      <w:r w:rsidR="00F25137" w:rsidRPr="00D11245">
        <w:rPr>
          <w:rFonts w:cstheme="minorHAnsi"/>
          <w:color w:val="000000" w:themeColor="text1"/>
          <w:sz w:val="24"/>
          <w:szCs w:val="24"/>
        </w:rPr>
        <w:t xml:space="preserve">amoebic </w:t>
      </w:r>
      <w:r w:rsidR="00713F93" w:rsidRPr="00D11245">
        <w:rPr>
          <w:rFonts w:cstheme="minorHAnsi"/>
          <w:color w:val="000000" w:themeColor="text1"/>
          <w:sz w:val="24"/>
          <w:szCs w:val="24"/>
        </w:rPr>
        <w:t>liver abscess</w:t>
      </w:r>
      <w:r w:rsidR="00D50D8F" w:rsidRPr="00D11245">
        <w:rPr>
          <w:rFonts w:cstheme="minorHAnsi"/>
          <w:color w:val="000000" w:themeColor="text1"/>
          <w:sz w:val="24"/>
          <w:szCs w:val="24"/>
        </w:rPr>
        <w:t xml:space="preserve">. </w:t>
      </w:r>
      <w:r w:rsidR="00F25137" w:rsidRPr="00D11245">
        <w:rPr>
          <w:rFonts w:cstheme="minorHAnsi"/>
          <w:color w:val="000000" w:themeColor="text1"/>
          <w:sz w:val="24"/>
          <w:szCs w:val="24"/>
        </w:rPr>
        <w:t>It</w:t>
      </w:r>
      <w:r w:rsidR="00F07E69" w:rsidRPr="00D11245">
        <w:rPr>
          <w:rFonts w:cstheme="minorHAnsi"/>
          <w:color w:val="000000" w:themeColor="text1"/>
          <w:sz w:val="24"/>
          <w:szCs w:val="24"/>
        </w:rPr>
        <w:t xml:space="preserve"> is most commonly unilocular compared with pyogenic </w:t>
      </w:r>
      <w:r w:rsidR="00603A7B" w:rsidRPr="00D11245">
        <w:rPr>
          <w:rFonts w:cstheme="minorHAnsi"/>
          <w:color w:val="000000" w:themeColor="text1"/>
          <w:sz w:val="24"/>
          <w:szCs w:val="24"/>
        </w:rPr>
        <w:t>abscess,</w:t>
      </w:r>
      <w:r w:rsidR="00F07E69" w:rsidRPr="00D11245">
        <w:rPr>
          <w:rFonts w:cstheme="minorHAnsi"/>
          <w:color w:val="000000" w:themeColor="text1"/>
          <w:sz w:val="24"/>
          <w:szCs w:val="24"/>
        </w:rPr>
        <w:t xml:space="preserve"> which is most commonly multilocular</w:t>
      </w:r>
      <w:r w:rsidR="000A3EB1" w:rsidRPr="00D11245">
        <w:rPr>
          <w:rFonts w:cstheme="minorHAnsi"/>
          <w:color w:val="000000" w:themeColor="text1"/>
          <w:sz w:val="24"/>
          <w:szCs w:val="24"/>
        </w:rPr>
        <w:t xml:space="preserve">, </w:t>
      </w:r>
      <w:r w:rsidR="006B286E" w:rsidRPr="00D11245">
        <w:rPr>
          <w:rFonts w:cstheme="minorHAnsi"/>
          <w:color w:val="000000" w:themeColor="text1"/>
          <w:sz w:val="24"/>
          <w:szCs w:val="24"/>
        </w:rPr>
        <w:t xml:space="preserve">but </w:t>
      </w:r>
      <w:r w:rsidR="000A3EB1" w:rsidRPr="00D11245">
        <w:rPr>
          <w:rFonts w:cstheme="minorHAnsi"/>
          <w:color w:val="000000" w:themeColor="text1"/>
          <w:sz w:val="24"/>
          <w:szCs w:val="24"/>
        </w:rPr>
        <w:t>appearances may be indistinguishable</w:t>
      </w:r>
      <w:r w:rsidR="00713F93" w:rsidRPr="00D11245">
        <w:rPr>
          <w:rFonts w:cstheme="minorHAnsi"/>
          <w:color w:val="000000" w:themeColor="text1"/>
          <w:sz w:val="24"/>
          <w:szCs w:val="24"/>
        </w:rPr>
        <w:t xml:space="preserve">. Amoebic liver abscess will appear on US as a cystic intrahepatic hypoechoic lesion </w:t>
      </w:r>
      <w:r w:rsidR="000A3EB1" w:rsidRPr="00D11245">
        <w:rPr>
          <w:rFonts w:cstheme="minorHAnsi"/>
          <w:color w:val="000000" w:themeColor="text1"/>
          <w:sz w:val="24"/>
          <w:szCs w:val="24"/>
        </w:rPr>
        <w:t xml:space="preserve">with thick walls, often in the right hepatic lobe near the capsule, </w:t>
      </w:r>
      <w:r w:rsidR="00713F93" w:rsidRPr="00D11245">
        <w:rPr>
          <w:rFonts w:cstheme="minorHAnsi"/>
          <w:color w:val="000000" w:themeColor="text1"/>
          <w:sz w:val="24"/>
          <w:szCs w:val="24"/>
        </w:rPr>
        <w:t>and by CT there will be a non-enhancing centre with an inflammatory ring following administration of contrast</w:t>
      </w:r>
      <w:r w:rsidR="005074E6" w:rsidRPr="00D11245">
        <w:rPr>
          <w:rFonts w:cstheme="minorHAnsi"/>
          <w:color w:val="000000" w:themeColor="text1"/>
          <w:sz w:val="24"/>
          <w:szCs w:val="24"/>
        </w:rPr>
        <w:t xml:space="preserve"> </w:t>
      </w:r>
      <w:r w:rsidR="00172088" w:rsidRPr="00D11245">
        <w:rPr>
          <w:rFonts w:cstheme="minorHAnsi"/>
          <w:color w:val="000000" w:themeColor="text1"/>
          <w:sz w:val="24"/>
          <w:szCs w:val="24"/>
        </w:rPr>
        <w:fldChar w:fldCharType="begin"/>
      </w:r>
      <w:r w:rsidR="009C3E63" w:rsidRPr="00D11245">
        <w:rPr>
          <w:rFonts w:cstheme="minorHAnsi"/>
          <w:color w:val="000000" w:themeColor="text1"/>
          <w:sz w:val="24"/>
          <w:szCs w:val="24"/>
        </w:rPr>
        <w:instrText xml:space="preserve"> ADDIN ZOTERO_ITEM CSL_CITATION {"citationID":"9XqUtWpW","properties":{"formattedCitation":"\\super 6,146\\nosupersub{}","plainCitation":"6,146","noteIndex":0},"citationItems":[{"id":1684,"uris":["http://zotero.org/groups/2497994/items/8XTEUHWF",["http://zotero.org/groups/2497994/items/8XTEUHWF"]],"itemData":{"id":1684,"type":"article-journal","abstract":"Amebiasis, due to the pathogenic parasite Entamoeba histolytica, is a leading cause of diarrhea globally. Largely an infection of impoverished communities in developing countries, amebiasis has emerged as an important infection among returning travelers, immigrants, and men who have sex with men residing in developed countries. Severe cases can be associated with high case fatality. Polymerase chain reaction-based diagnosis is increasingly available but remains underutilized. Nitroimidazoles are currently recommended for treatment, but new drug development to treat parasitic agents is a high priority. Amebiasis should be considered before corticosteroid therapy to decrease complications. There is no effective vaccine, so prevention focuses on sanitation and access to clean water. Further understanding of parasite biology and pathogenesis will advance future targeted therapeutic and preventative strategies.Copyright © The Author(s) 2018. Published by Oxford University Press on behalf of Infectious Diseases Society of America.","container-title":"Open Forum Infectious Diseases","DOI":"10.1093/ofid/ofy161","ISSN":"2328-8957 (electronic)","issue":"7","journalAbbreviation":"Open Forum Infect. Dis.","language":"English","note":"publisher-place: United States\npublisher: Oxford University Press (E-mail: info@idsociety.org)","page":"ofy161","title":"A review of the global burden, new diagnostics, and current Therapeutics for amebiasis","volume":"5","author":[{"literal":"Shirley D.T."},{"literal":"Farr L."},{"literal":"Watanabe K."},{"literal":"Moonah S."}],"issued":{"date-parts":[["2018"]]}}},{"id":733,"uris":["http://zotero.org/groups/2497994/items/DGIF7Z6K"],"itemData":{"id":733,"type":"article-journal","abstract":"Radiologists seldom encounter parasitic diseases in their daily practice in most of Europe, although the incidence of these diseases is increasing due to migration and tourism from/to endemic areas. Moreover, some parasitic diseases are still endemic in certain European regions, and immunocompromised individuals also pose a higher risk of developing these conditions. This article reviews and summarises the imaging findings of some of the most important and frequent human parasitic diseases, including information about the parasite’s life cycle, pathophysiology, clinical findings, diagnosis, and treatment. We include malaria, amoebiasis, toxoplasmosis, trypanosomiasis, leishmaniasis, echinococcosis, cysticercosis, clonorchiasis, schistosomiasis, fascioliasis, ascariasis, anisakiasis, dracunculiasis, and strongyloidiasis. The aim of this review is to help radiologists when dealing with these diseases or in cases where they are suspected. ; Teaching Points ; • Incidence of parasitic diseases is increasing due to migratory movements and travelling. ; • Some parasitic diseases are still endemic in certain regions in Europe. ; • Parasitic diseases can have complex life cycles often involving different hosts. ; • Prompt diagnosis and treatment is essential for patient management in parasitic diseases. ; • Radiologists should be able to recognise and suspect the most relevant parasitic diseases.","language":"En","note":"publisher: Springer Berlin Heidelberg","title":"Unexpected hosts: imaging parasitic diseases","URL":"http://dx.doi.org/10.1007/s13244-016-0525-2","author":[{"literal":"Pablo Rodríguez Carnero"},{"literal":"Paula Hernández Mateo"},{"literal":"Susana Martín-Garre"},{"literal":"Ángela García Pérez"},{"literal":"Lourdes del Campo"}],"issued":{"date-parts":[["2017"]]}}}],"schema":"https://github.com/citation-style-language/schema/raw/master/csl-citation.json"} </w:instrText>
      </w:r>
      <w:r w:rsidR="00172088" w:rsidRPr="00D11245">
        <w:rPr>
          <w:rFonts w:cstheme="minorHAnsi"/>
          <w:color w:val="000000" w:themeColor="text1"/>
          <w:sz w:val="24"/>
          <w:szCs w:val="24"/>
        </w:rPr>
        <w:fldChar w:fldCharType="separate"/>
      </w:r>
      <w:r w:rsidR="009C3E63" w:rsidRPr="00D11245">
        <w:rPr>
          <w:rFonts w:ascii="Calibri" w:hAnsi="Calibri" w:cs="Calibri"/>
          <w:color w:val="000000" w:themeColor="text1"/>
          <w:kern w:val="0"/>
          <w:sz w:val="24"/>
          <w:vertAlign w:val="superscript"/>
        </w:rPr>
        <w:t>6,146</w:t>
      </w:r>
      <w:r w:rsidR="00172088" w:rsidRPr="00D11245">
        <w:rPr>
          <w:rFonts w:cstheme="minorHAnsi"/>
          <w:color w:val="000000" w:themeColor="text1"/>
          <w:sz w:val="24"/>
          <w:szCs w:val="24"/>
        </w:rPr>
        <w:fldChar w:fldCharType="end"/>
      </w:r>
      <w:r w:rsidR="00713F93" w:rsidRPr="00D11245">
        <w:rPr>
          <w:rFonts w:cstheme="minorHAnsi"/>
          <w:color w:val="000000" w:themeColor="text1"/>
          <w:sz w:val="24"/>
          <w:szCs w:val="24"/>
        </w:rPr>
        <w:t>.</w:t>
      </w:r>
      <w:r w:rsidR="000A3EB1" w:rsidRPr="00D11245">
        <w:rPr>
          <w:rFonts w:cstheme="minorHAnsi"/>
          <w:color w:val="000000" w:themeColor="text1"/>
          <w:sz w:val="24"/>
          <w:szCs w:val="24"/>
        </w:rPr>
        <w:t xml:space="preserve"> </w:t>
      </w:r>
      <w:r w:rsidR="00713F93" w:rsidRPr="00D11245">
        <w:rPr>
          <w:rFonts w:cstheme="minorHAnsi"/>
          <w:color w:val="000000" w:themeColor="text1"/>
          <w:sz w:val="24"/>
          <w:szCs w:val="24"/>
        </w:rPr>
        <w:t xml:space="preserve"> </w:t>
      </w:r>
      <w:r w:rsidR="00335006" w:rsidRPr="00D11245">
        <w:rPr>
          <w:rFonts w:cstheme="minorHAnsi"/>
          <w:color w:val="000000" w:themeColor="text1"/>
          <w:sz w:val="24"/>
          <w:szCs w:val="24"/>
        </w:rPr>
        <w:t xml:space="preserve">The right hemi-diaphragm may be elevated </w:t>
      </w:r>
      <w:r w:rsidR="00335006" w:rsidRPr="00D11245">
        <w:rPr>
          <w:rFonts w:cstheme="minorHAnsi"/>
          <w:color w:val="000000" w:themeColor="text1"/>
          <w:sz w:val="24"/>
          <w:szCs w:val="24"/>
        </w:rPr>
        <w:fldChar w:fldCharType="begin"/>
      </w:r>
      <w:r w:rsidR="009C3E63" w:rsidRPr="00D11245">
        <w:rPr>
          <w:rFonts w:cstheme="minorHAnsi"/>
          <w:color w:val="000000" w:themeColor="text1"/>
          <w:sz w:val="24"/>
          <w:szCs w:val="24"/>
        </w:rPr>
        <w:instrText xml:space="preserve"> ADDIN ZOTERO_ITEM CSL_CITATION {"citationID":"o69LUK7O","properties":{"formattedCitation":"\\super 147\\nosupersub{}","plainCitation":"147","noteIndex":0},"citationItems":[{"id":16837,"uris":["http://zotero.org/groups/2497994/items/DLLQA8ED"],"itemData":{"id":16837,"type":"article-journal","container-title":"Turkish Journal of Emergency Medicine","DOI":"10.4103/tjem.tjem_294_22","ISSN":"2452-2473","issue":"4","journalAbbreviation":"Turk J Emerg Med","language":"en","page":"250","source":"DOI.org (Crossref)","title":"Mediastinal extension of amoebic liver abscess: A case report on the rare thoracic complication of Entamoeba histolytica","title-short":"Mediastinal extension of amoebic liver abscess","volume":"23","author":[{"family":"Jesrani","given":"Gautam"},{"family":"Kaur","given":"Jaspreet"},{"family":"Gupta","given":"Samiksha"},{"family":"Cheema","given":"YuvrajSingh"},{"family":"Ahlawat","given":"Prashant"}],"issued":{"date-parts":[["2023"]]}}}],"schema":"https://github.com/citation-style-language/schema/raw/master/csl-citation.json"} </w:instrText>
      </w:r>
      <w:r w:rsidR="00335006" w:rsidRPr="00D11245">
        <w:rPr>
          <w:rFonts w:cstheme="minorHAnsi"/>
          <w:color w:val="000000" w:themeColor="text1"/>
          <w:sz w:val="24"/>
          <w:szCs w:val="24"/>
        </w:rPr>
        <w:fldChar w:fldCharType="separate"/>
      </w:r>
      <w:r w:rsidR="009C3E63" w:rsidRPr="00D11245">
        <w:rPr>
          <w:rFonts w:ascii="Calibri" w:hAnsi="Calibri" w:cs="Calibri"/>
          <w:color w:val="000000" w:themeColor="text1"/>
          <w:kern w:val="0"/>
          <w:sz w:val="24"/>
          <w:vertAlign w:val="superscript"/>
        </w:rPr>
        <w:t>147</w:t>
      </w:r>
      <w:r w:rsidR="00335006" w:rsidRPr="00D11245">
        <w:rPr>
          <w:rFonts w:cstheme="minorHAnsi"/>
          <w:color w:val="000000" w:themeColor="text1"/>
          <w:sz w:val="24"/>
          <w:szCs w:val="24"/>
        </w:rPr>
        <w:fldChar w:fldCharType="end"/>
      </w:r>
      <w:r w:rsidR="00335006" w:rsidRPr="00D11245">
        <w:rPr>
          <w:rFonts w:cstheme="minorHAnsi"/>
          <w:color w:val="000000" w:themeColor="text1"/>
          <w:sz w:val="24"/>
          <w:szCs w:val="24"/>
        </w:rPr>
        <w:t xml:space="preserve">. </w:t>
      </w:r>
      <w:r w:rsidR="003C1D42" w:rsidRPr="00D11245">
        <w:rPr>
          <w:rFonts w:cstheme="minorHAnsi"/>
          <w:color w:val="000000" w:themeColor="text1"/>
          <w:sz w:val="24"/>
          <w:szCs w:val="24"/>
        </w:rPr>
        <w:t xml:space="preserve">Figure </w:t>
      </w:r>
      <w:r w:rsidR="005D004E" w:rsidRPr="00D11245">
        <w:rPr>
          <w:rFonts w:cstheme="minorHAnsi"/>
          <w:color w:val="000000" w:themeColor="text1"/>
          <w:sz w:val="24"/>
          <w:szCs w:val="24"/>
        </w:rPr>
        <w:t>4</w:t>
      </w:r>
      <w:r w:rsidR="003C1D42" w:rsidRPr="00D11245">
        <w:rPr>
          <w:rFonts w:cstheme="minorHAnsi"/>
          <w:color w:val="000000" w:themeColor="text1"/>
          <w:sz w:val="24"/>
          <w:szCs w:val="24"/>
        </w:rPr>
        <w:t xml:space="preserve"> </w:t>
      </w:r>
      <w:r w:rsidR="003019A8" w:rsidRPr="00D11245">
        <w:rPr>
          <w:rFonts w:cstheme="minorHAnsi"/>
          <w:color w:val="000000" w:themeColor="text1"/>
          <w:sz w:val="24"/>
          <w:szCs w:val="24"/>
        </w:rPr>
        <w:t>illustrates</w:t>
      </w:r>
      <w:r w:rsidR="003C1D42" w:rsidRPr="00D11245">
        <w:rPr>
          <w:rFonts w:cstheme="minorHAnsi"/>
          <w:color w:val="000000" w:themeColor="text1"/>
          <w:sz w:val="24"/>
          <w:szCs w:val="24"/>
        </w:rPr>
        <w:t xml:space="preserve"> the</w:t>
      </w:r>
      <w:r w:rsidR="003019A8" w:rsidRPr="00D11245">
        <w:rPr>
          <w:rFonts w:cstheme="minorHAnsi"/>
          <w:color w:val="000000" w:themeColor="text1"/>
          <w:sz w:val="24"/>
          <w:szCs w:val="24"/>
        </w:rPr>
        <w:t xml:space="preserve"> typical</w:t>
      </w:r>
      <w:r w:rsidR="003C1D42" w:rsidRPr="00D11245">
        <w:rPr>
          <w:rFonts w:cstheme="minorHAnsi"/>
          <w:color w:val="000000" w:themeColor="text1"/>
          <w:sz w:val="24"/>
          <w:szCs w:val="24"/>
        </w:rPr>
        <w:t xml:space="preserve"> radiological features of amoebic liver abscess. </w:t>
      </w:r>
    </w:p>
    <w:p w14:paraId="5950B08A" w14:textId="77777777" w:rsidR="00603A7B" w:rsidRPr="00D11245" w:rsidRDefault="00603A7B" w:rsidP="005074E6">
      <w:pPr>
        <w:jc w:val="both"/>
        <w:rPr>
          <w:rFonts w:ascii="Calibri" w:hAnsi="Calibri" w:cs="Calibri"/>
          <w:b/>
          <w:bCs/>
          <w:color w:val="000000" w:themeColor="text1"/>
        </w:rPr>
      </w:pPr>
    </w:p>
    <w:tbl>
      <w:tblPr>
        <w:tblStyle w:val="TableGrid"/>
        <w:tblW w:w="4924" w:type="pct"/>
        <w:tblInd w:w="137" w:type="dxa"/>
        <w:tblLayout w:type="fixed"/>
        <w:tblLook w:val="04A0" w:firstRow="1" w:lastRow="0" w:firstColumn="1" w:lastColumn="0" w:noHBand="0" w:noVBand="1"/>
      </w:tblPr>
      <w:tblGrid>
        <w:gridCol w:w="2866"/>
        <w:gridCol w:w="2946"/>
        <w:gridCol w:w="3067"/>
      </w:tblGrid>
      <w:tr w:rsidR="00D11245" w:rsidRPr="00D11245" w14:paraId="5A1CC47F" w14:textId="77777777" w:rsidTr="00435FB1">
        <w:tc>
          <w:tcPr>
            <w:tcW w:w="5000" w:type="pct"/>
            <w:gridSpan w:val="3"/>
            <w:shd w:val="clear" w:color="auto" w:fill="BDD6EE" w:themeFill="accent5" w:themeFillTint="66"/>
          </w:tcPr>
          <w:p w14:paraId="6AD72113" w14:textId="0561FB58" w:rsidR="00582B84" w:rsidRPr="00D11245" w:rsidRDefault="003C1D42" w:rsidP="005074E6">
            <w:pPr>
              <w:jc w:val="both"/>
              <w:rPr>
                <w:rFonts w:ascii="Calibri" w:hAnsi="Calibri" w:cs="Calibri"/>
                <w:b/>
                <w:bCs/>
                <w:color w:val="000000" w:themeColor="text1"/>
              </w:rPr>
            </w:pPr>
            <w:r w:rsidRPr="00D11245">
              <w:rPr>
                <w:rFonts w:ascii="Calibri" w:hAnsi="Calibri" w:cs="Calibri"/>
                <w:b/>
                <w:bCs/>
                <w:color w:val="000000" w:themeColor="text1"/>
              </w:rPr>
              <w:t xml:space="preserve">Figure </w:t>
            </w:r>
            <w:r w:rsidR="005D004E" w:rsidRPr="00D11245">
              <w:rPr>
                <w:rFonts w:ascii="Calibri" w:hAnsi="Calibri" w:cs="Calibri"/>
                <w:b/>
                <w:bCs/>
                <w:color w:val="000000" w:themeColor="text1"/>
              </w:rPr>
              <w:t>4</w:t>
            </w:r>
            <w:r w:rsidRPr="00D11245">
              <w:rPr>
                <w:rFonts w:ascii="Calibri" w:hAnsi="Calibri" w:cs="Calibri"/>
                <w:b/>
                <w:bCs/>
                <w:color w:val="000000" w:themeColor="text1"/>
              </w:rPr>
              <w:t xml:space="preserve">: </w:t>
            </w:r>
            <w:r w:rsidR="00582B84" w:rsidRPr="00D11245">
              <w:rPr>
                <w:rFonts w:ascii="Calibri" w:hAnsi="Calibri" w:cs="Calibri"/>
                <w:b/>
                <w:bCs/>
                <w:color w:val="000000" w:themeColor="text1"/>
              </w:rPr>
              <w:t>Radiological features of amoebic liver abscess</w:t>
            </w:r>
            <w:r w:rsidRPr="00D11245">
              <w:rPr>
                <w:rFonts w:ascii="Calibri" w:hAnsi="Calibri" w:cs="Calibri"/>
                <w:b/>
                <w:bCs/>
                <w:color w:val="000000" w:themeColor="text1"/>
              </w:rPr>
              <w:t xml:space="preserve"> in a </w:t>
            </w:r>
            <w:r w:rsidR="00495221" w:rsidRPr="00D11245">
              <w:rPr>
                <w:rFonts w:ascii="Calibri" w:hAnsi="Calibri" w:cs="Calibri"/>
                <w:b/>
                <w:bCs/>
                <w:color w:val="000000" w:themeColor="text1"/>
              </w:rPr>
              <w:t xml:space="preserve">patient </w:t>
            </w:r>
            <w:r w:rsidR="00582B84" w:rsidRPr="00D11245">
              <w:rPr>
                <w:rFonts w:ascii="Calibri" w:hAnsi="Calibri" w:cs="Calibri"/>
                <w:b/>
                <w:bCs/>
                <w:color w:val="000000" w:themeColor="text1"/>
              </w:rPr>
              <w:t xml:space="preserve">with </w:t>
            </w:r>
            <w:r w:rsidR="00495221" w:rsidRPr="00D11245">
              <w:rPr>
                <w:rFonts w:ascii="Calibri" w:hAnsi="Calibri" w:cs="Calibri"/>
                <w:b/>
                <w:bCs/>
                <w:color w:val="000000" w:themeColor="text1"/>
              </w:rPr>
              <w:t>right upper quadrant</w:t>
            </w:r>
            <w:r w:rsidR="00582B84" w:rsidRPr="00D11245">
              <w:rPr>
                <w:rFonts w:ascii="Calibri" w:hAnsi="Calibri" w:cs="Calibri"/>
                <w:b/>
                <w:bCs/>
                <w:color w:val="000000" w:themeColor="text1"/>
              </w:rPr>
              <w:t xml:space="preserve"> pain and weight loss</w:t>
            </w:r>
          </w:p>
        </w:tc>
      </w:tr>
      <w:tr w:rsidR="00D11245" w:rsidRPr="00D11245" w14:paraId="0F3E441B" w14:textId="77777777" w:rsidTr="00435FB1">
        <w:tc>
          <w:tcPr>
            <w:tcW w:w="1614" w:type="pct"/>
          </w:tcPr>
          <w:p w14:paraId="1CAB19E0" w14:textId="2E90E0B9" w:rsidR="00582B84" w:rsidRPr="00D11245" w:rsidRDefault="00582B84" w:rsidP="00582B84">
            <w:pPr>
              <w:jc w:val="center"/>
              <w:rPr>
                <w:rFonts w:ascii="Calibri" w:hAnsi="Calibri" w:cs="Calibri"/>
                <w:b/>
                <w:bCs/>
                <w:color w:val="000000" w:themeColor="text1"/>
              </w:rPr>
            </w:pPr>
            <w:r w:rsidRPr="00D11245">
              <w:rPr>
                <w:noProof/>
                <w:color w:val="000000" w:themeColor="text1"/>
                <w:lang w:eastAsia="en-GB"/>
              </w:rPr>
              <w:drawing>
                <wp:inline distT="0" distB="0" distL="0" distR="0" wp14:anchorId="0709F0BA" wp14:editId="0D4AEFDB">
                  <wp:extent cx="1750637" cy="1399430"/>
                  <wp:effectExtent l="0" t="0" r="2540" b="0"/>
                  <wp:docPr id="190883016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30163" name="Picture 1" descr="A screenshot of a computer screen&#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1686" t="21667" r="32418" b="27319"/>
                          <a:stretch/>
                        </pic:blipFill>
                        <pic:spPr bwMode="auto">
                          <a:xfrm>
                            <a:off x="0" y="0"/>
                            <a:ext cx="1786552" cy="14281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59" w:type="pct"/>
          </w:tcPr>
          <w:p w14:paraId="6B0C62C4" w14:textId="57FD0B93" w:rsidR="00582B84" w:rsidRPr="00D11245" w:rsidRDefault="00582B84" w:rsidP="00582B84">
            <w:pPr>
              <w:jc w:val="center"/>
              <w:rPr>
                <w:rFonts w:ascii="Calibri" w:hAnsi="Calibri" w:cs="Calibri"/>
                <w:b/>
                <w:bCs/>
                <w:color w:val="000000" w:themeColor="text1"/>
              </w:rPr>
            </w:pPr>
            <w:r w:rsidRPr="00D11245">
              <w:rPr>
                <w:noProof/>
                <w:color w:val="000000" w:themeColor="text1"/>
                <w:lang w:eastAsia="en-GB"/>
              </w:rPr>
              <w:drawing>
                <wp:inline distT="0" distB="0" distL="0" distR="0" wp14:anchorId="21B1EE08" wp14:editId="61AEE318">
                  <wp:extent cx="1785125" cy="1439186"/>
                  <wp:effectExtent l="0" t="0" r="5715" b="8890"/>
                  <wp:docPr id="87797728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77287" name="Picture 2" descr="A screenshot of a computer&#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1836" t="5123" r="30923" b="41500"/>
                          <a:stretch/>
                        </pic:blipFill>
                        <pic:spPr bwMode="auto">
                          <a:xfrm>
                            <a:off x="0" y="0"/>
                            <a:ext cx="1816340" cy="14643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27" w:type="pct"/>
          </w:tcPr>
          <w:p w14:paraId="5535E27A" w14:textId="651956AF" w:rsidR="00582B84" w:rsidRPr="00D11245" w:rsidRDefault="00582B84" w:rsidP="00582B84">
            <w:pPr>
              <w:jc w:val="center"/>
              <w:rPr>
                <w:rFonts w:ascii="Calibri" w:hAnsi="Calibri" w:cs="Calibri"/>
                <w:b/>
                <w:bCs/>
                <w:color w:val="000000" w:themeColor="text1"/>
              </w:rPr>
            </w:pPr>
            <w:r w:rsidRPr="00D11245">
              <w:rPr>
                <w:noProof/>
                <w:color w:val="000000" w:themeColor="text1"/>
                <w:lang w:eastAsia="en-GB"/>
              </w:rPr>
              <w:drawing>
                <wp:inline distT="0" distB="0" distL="0" distR="0" wp14:anchorId="181F6486" wp14:editId="6C7BBA81">
                  <wp:extent cx="1794225" cy="1264258"/>
                  <wp:effectExtent l="0" t="0" r="0" b="0"/>
                  <wp:docPr id="1049937999"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37999" name="Picture 3" descr="A screenshot of a computer screen&#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604" t="11621" r="16131" b="10380"/>
                          <a:stretch/>
                        </pic:blipFill>
                        <pic:spPr bwMode="auto">
                          <a:xfrm>
                            <a:off x="0" y="0"/>
                            <a:ext cx="1822367" cy="12840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11245" w:rsidRPr="00D11245" w14:paraId="4C911849" w14:textId="77777777" w:rsidTr="00435FB1">
        <w:tc>
          <w:tcPr>
            <w:tcW w:w="3273" w:type="pct"/>
            <w:gridSpan w:val="2"/>
            <w:shd w:val="clear" w:color="auto" w:fill="DEEAF6" w:themeFill="accent5" w:themeFillTint="33"/>
          </w:tcPr>
          <w:p w14:paraId="18DAE67A" w14:textId="34AC0C36" w:rsidR="004C2AFC" w:rsidRPr="00D11245" w:rsidRDefault="004C2AFC" w:rsidP="004C2AFC">
            <w:pPr>
              <w:rPr>
                <w:rFonts w:ascii="Calibri" w:hAnsi="Calibri" w:cs="Calibri"/>
                <w:color w:val="000000" w:themeColor="text1"/>
              </w:rPr>
            </w:pPr>
            <w:r w:rsidRPr="00D11245">
              <w:rPr>
                <w:rFonts w:ascii="Calibri" w:hAnsi="Calibri" w:cs="Calibri"/>
                <w:color w:val="000000" w:themeColor="text1"/>
              </w:rPr>
              <w:t xml:space="preserve">CT abdomen, </w:t>
            </w:r>
            <w:r w:rsidR="00943CCC" w:rsidRPr="00D11245">
              <w:rPr>
                <w:rFonts w:ascii="Calibri" w:hAnsi="Calibri" w:cs="Calibri"/>
                <w:color w:val="000000" w:themeColor="text1"/>
              </w:rPr>
              <w:t xml:space="preserve">axial </w:t>
            </w:r>
            <w:r w:rsidRPr="00D11245">
              <w:rPr>
                <w:rFonts w:ascii="Calibri" w:hAnsi="Calibri" w:cs="Calibri"/>
                <w:color w:val="000000" w:themeColor="text1"/>
              </w:rPr>
              <w:t>(L) and coronal (R) planes: thick walled homogen</w:t>
            </w:r>
            <w:r w:rsidR="00525692" w:rsidRPr="00D11245">
              <w:rPr>
                <w:rFonts w:ascii="Calibri" w:hAnsi="Calibri" w:cs="Calibri"/>
                <w:color w:val="000000" w:themeColor="text1"/>
              </w:rPr>
              <w:t>e</w:t>
            </w:r>
            <w:r w:rsidRPr="00D11245">
              <w:rPr>
                <w:rFonts w:ascii="Calibri" w:hAnsi="Calibri" w:cs="Calibri"/>
                <w:color w:val="000000" w:themeColor="text1"/>
              </w:rPr>
              <w:t>ous 7.8cm diameter collection in the right lobe of the liver with surrounding hypo</w:t>
            </w:r>
            <w:r w:rsidR="00151E73" w:rsidRPr="00D11245">
              <w:rPr>
                <w:rFonts w:ascii="Calibri" w:hAnsi="Calibri" w:cs="Calibri"/>
                <w:color w:val="000000" w:themeColor="text1"/>
              </w:rPr>
              <w:t>-</w:t>
            </w:r>
            <w:r w:rsidRPr="00D11245">
              <w:rPr>
                <w:rFonts w:ascii="Calibri" w:hAnsi="Calibri" w:cs="Calibri"/>
                <w:color w:val="000000" w:themeColor="text1"/>
              </w:rPr>
              <w:t>enhancement and adjacent branch portal venous occlusion.</w:t>
            </w:r>
          </w:p>
        </w:tc>
        <w:tc>
          <w:tcPr>
            <w:tcW w:w="1727" w:type="pct"/>
            <w:shd w:val="clear" w:color="auto" w:fill="DEEAF6" w:themeFill="accent5" w:themeFillTint="33"/>
          </w:tcPr>
          <w:p w14:paraId="20C8A5E5" w14:textId="4184CC22" w:rsidR="004C2AFC" w:rsidRPr="00D11245" w:rsidRDefault="004C2AFC" w:rsidP="004C2AFC">
            <w:pPr>
              <w:rPr>
                <w:rFonts w:ascii="Calibri" w:hAnsi="Calibri" w:cs="Calibri"/>
                <w:color w:val="000000" w:themeColor="text1"/>
              </w:rPr>
            </w:pPr>
            <w:r w:rsidRPr="00D11245">
              <w:rPr>
                <w:rFonts w:ascii="Calibri" w:hAnsi="Calibri" w:cs="Calibri"/>
                <w:color w:val="000000" w:themeColor="text1"/>
              </w:rPr>
              <w:t>US liver: 7.5cmx7cm intrahepatic mass in the right lobe of the liver with mixed internal echogenic and hypoechoic appearances and peripheral blood flow and no internal blood flow. The surrounding liver parenchyma is echogenic</w:t>
            </w:r>
            <w:r w:rsidR="00525692" w:rsidRPr="00D11245">
              <w:rPr>
                <w:rFonts w:ascii="Calibri" w:hAnsi="Calibri" w:cs="Calibri"/>
                <w:color w:val="000000" w:themeColor="text1"/>
              </w:rPr>
              <w:t>,</w:t>
            </w:r>
            <w:r w:rsidRPr="00D11245">
              <w:rPr>
                <w:rFonts w:ascii="Calibri" w:hAnsi="Calibri" w:cs="Calibri"/>
                <w:color w:val="000000" w:themeColor="text1"/>
              </w:rPr>
              <w:t xml:space="preserve"> consistent with inflammation. </w:t>
            </w:r>
          </w:p>
        </w:tc>
      </w:tr>
    </w:tbl>
    <w:p w14:paraId="5523E266" w14:textId="77777777" w:rsidR="00582B84" w:rsidRPr="00D11245" w:rsidRDefault="00582B84">
      <w:pPr>
        <w:rPr>
          <w:rFonts w:ascii="Calibri" w:hAnsi="Calibri" w:cs="Calibri"/>
          <w:b/>
          <w:bCs/>
          <w:color w:val="000000" w:themeColor="text1"/>
        </w:rPr>
        <w:sectPr w:rsidR="00582B84" w:rsidRPr="00D11245" w:rsidSect="00634883">
          <w:pgSz w:w="11906" w:h="16838"/>
          <w:pgMar w:top="1440" w:right="1440" w:bottom="1440" w:left="1440" w:header="709" w:footer="709" w:gutter="0"/>
          <w:cols w:space="708"/>
          <w:docGrid w:linePitch="360"/>
        </w:sectPr>
      </w:pPr>
    </w:p>
    <w:p w14:paraId="6F34A1D5" w14:textId="3AB47020" w:rsidR="00C33A2A" w:rsidRPr="00D11245" w:rsidRDefault="00C33A2A">
      <w:pPr>
        <w:rPr>
          <w:rFonts w:ascii="Calibri" w:hAnsi="Calibri" w:cs="Calibri"/>
          <w:b/>
          <w:bCs/>
          <w:color w:val="000000" w:themeColor="text1"/>
          <w:sz w:val="24"/>
          <w:szCs w:val="24"/>
          <w:u w:val="single"/>
        </w:rPr>
      </w:pPr>
      <w:r w:rsidRPr="00D11245">
        <w:rPr>
          <w:rFonts w:ascii="Calibri" w:hAnsi="Calibri" w:cs="Calibri"/>
          <w:b/>
          <w:bCs/>
          <w:color w:val="000000" w:themeColor="text1"/>
          <w:sz w:val="24"/>
          <w:szCs w:val="24"/>
          <w:u w:val="single"/>
        </w:rPr>
        <w:lastRenderedPageBreak/>
        <w:t>Treatment</w:t>
      </w:r>
    </w:p>
    <w:p w14:paraId="3B481FB0" w14:textId="43C2D855" w:rsidR="00066EBF" w:rsidRPr="00D11245" w:rsidRDefault="009812C6" w:rsidP="003C7CEE">
      <w:pPr>
        <w:jc w:val="both"/>
        <w:rPr>
          <w:rFonts w:ascii="Calibri" w:hAnsi="Calibri" w:cs="Calibri"/>
          <w:color w:val="000000" w:themeColor="text1"/>
          <w:sz w:val="24"/>
          <w:szCs w:val="24"/>
        </w:rPr>
      </w:pPr>
      <w:r w:rsidRPr="00D11245">
        <w:rPr>
          <w:rFonts w:ascii="Calibri" w:hAnsi="Calibri" w:cs="Calibri"/>
          <w:color w:val="000000" w:themeColor="text1"/>
          <w:sz w:val="24"/>
          <w:szCs w:val="24"/>
        </w:rPr>
        <w:t>All patients with</w:t>
      </w:r>
      <w:r w:rsidR="008D37AB" w:rsidRPr="00D11245">
        <w:rPr>
          <w:rFonts w:ascii="Calibri" w:hAnsi="Calibri" w:cs="Calibri"/>
          <w:color w:val="000000" w:themeColor="text1"/>
          <w:sz w:val="24"/>
          <w:szCs w:val="24"/>
        </w:rPr>
        <w:t xml:space="preserve"> </w:t>
      </w:r>
      <w:r w:rsidR="008D37AB" w:rsidRPr="00D11245">
        <w:rPr>
          <w:rFonts w:ascii="Calibri" w:hAnsi="Calibri" w:cs="Calibri"/>
          <w:i/>
          <w:iCs/>
          <w:color w:val="000000" w:themeColor="text1"/>
          <w:sz w:val="24"/>
          <w:szCs w:val="24"/>
        </w:rPr>
        <w:t>E. histolytica</w:t>
      </w:r>
      <w:r w:rsidR="008D37AB" w:rsidRPr="00D11245">
        <w:rPr>
          <w:rFonts w:ascii="Calibri" w:hAnsi="Calibri" w:cs="Calibri"/>
          <w:color w:val="000000" w:themeColor="text1"/>
          <w:sz w:val="24"/>
          <w:szCs w:val="24"/>
        </w:rPr>
        <w:t xml:space="preserve"> infection</w:t>
      </w:r>
      <w:r w:rsidR="004D42E1" w:rsidRPr="00D11245">
        <w:rPr>
          <w:rFonts w:ascii="Calibri" w:hAnsi="Calibri" w:cs="Calibri"/>
          <w:color w:val="000000" w:themeColor="text1"/>
          <w:sz w:val="24"/>
          <w:szCs w:val="24"/>
        </w:rPr>
        <w:t xml:space="preserve"> should be treated, whether or not they have</w:t>
      </w:r>
      <w:r w:rsidR="00F07E69" w:rsidRPr="00D11245">
        <w:rPr>
          <w:rFonts w:ascii="Calibri" w:hAnsi="Calibri" w:cs="Calibri"/>
          <w:color w:val="000000" w:themeColor="text1"/>
          <w:sz w:val="24"/>
          <w:szCs w:val="24"/>
        </w:rPr>
        <w:t xml:space="preserve"> </w:t>
      </w:r>
      <w:r w:rsidRPr="00D11245">
        <w:rPr>
          <w:rFonts w:ascii="Calibri" w:hAnsi="Calibri" w:cs="Calibri"/>
          <w:color w:val="000000" w:themeColor="text1"/>
          <w:sz w:val="24"/>
          <w:szCs w:val="24"/>
        </w:rPr>
        <w:t>symptoms. The goal of therapy is to eliminate invading trophozoites and eradicate intestinal carriage. Treatment consists of two agents – a</w:t>
      </w:r>
      <w:r w:rsidR="00D21711" w:rsidRPr="00D11245">
        <w:rPr>
          <w:rFonts w:ascii="Calibri" w:hAnsi="Calibri" w:cs="Calibri"/>
          <w:color w:val="000000" w:themeColor="text1"/>
          <w:sz w:val="24"/>
          <w:szCs w:val="24"/>
        </w:rPr>
        <w:t xml:space="preserve"> systemically absorbed </w:t>
      </w:r>
      <w:r w:rsidRPr="00D11245">
        <w:rPr>
          <w:rFonts w:ascii="Calibri" w:hAnsi="Calibri" w:cs="Calibri"/>
          <w:b/>
          <w:bCs/>
          <w:color w:val="000000" w:themeColor="text1"/>
          <w:sz w:val="24"/>
          <w:szCs w:val="24"/>
        </w:rPr>
        <w:t xml:space="preserve"> </w:t>
      </w:r>
      <w:r w:rsidR="00C536C6" w:rsidRPr="00D11245">
        <w:rPr>
          <w:rFonts w:ascii="Calibri" w:hAnsi="Calibri" w:cs="Calibri"/>
          <w:color w:val="000000" w:themeColor="text1"/>
          <w:sz w:val="24"/>
          <w:szCs w:val="24"/>
        </w:rPr>
        <w:t>tissue amoebicide</w:t>
      </w:r>
      <w:r w:rsidR="008D37AB" w:rsidRPr="00D11245">
        <w:rPr>
          <w:rFonts w:ascii="Calibri" w:hAnsi="Calibri" w:cs="Calibri"/>
          <w:color w:val="000000" w:themeColor="text1"/>
          <w:sz w:val="24"/>
          <w:szCs w:val="24"/>
        </w:rPr>
        <w:t xml:space="preserve"> </w:t>
      </w:r>
      <w:r w:rsidR="009C4CC0" w:rsidRPr="00D11245">
        <w:rPr>
          <w:rFonts w:ascii="Calibri" w:hAnsi="Calibri" w:cs="Calibri"/>
          <w:color w:val="000000" w:themeColor="text1"/>
          <w:sz w:val="24"/>
          <w:szCs w:val="24"/>
        </w:rPr>
        <w:t xml:space="preserve"> </w:t>
      </w:r>
      <w:r w:rsidR="00172088" w:rsidRPr="00D11245">
        <w:rPr>
          <w:rFonts w:ascii="Calibri" w:hAnsi="Calibri" w:cs="Calibri"/>
          <w:color w:val="000000" w:themeColor="text1"/>
          <w:sz w:val="24"/>
          <w:szCs w:val="24"/>
        </w:rPr>
        <w:fldChar w:fldCharType="begin"/>
      </w:r>
      <w:r w:rsidR="009C3E63" w:rsidRPr="00D11245">
        <w:rPr>
          <w:rFonts w:ascii="Calibri" w:hAnsi="Calibri" w:cs="Calibri"/>
          <w:color w:val="000000" w:themeColor="text1"/>
          <w:sz w:val="24"/>
          <w:szCs w:val="24"/>
        </w:rPr>
        <w:instrText xml:space="preserve"> ADDIN ZOTERO_ITEM CSL_CITATION {"citationID":"xE2zE5aa","properties":{"formattedCitation":"\\super 148\\nosupersub{}","plainCitation":"148","noteIndex":0},"citationItems":[{"id":16719,"uris":["http://zotero.org/groups/2497994/items/W2PEW2CD"],"itemData":{"id":16719,"type":"article-journal","abstract":"Amebiasis is a neglected tropical disease which is caused by the protozoan parasite\n              Entamoeba histolytica\n              . This disease is one of the leading causes of diarrhea globally, affecting largely impoverished residents in developing countries. Amebiasis also remains one of the top causes of gastrointestinal diseases in returning international travellers. Despite having many side effects, metronidazole remains the drug of choice as an amebicidal tissue-active agent. However, emergence of metronidazole resistance in pathogens having similar anaerobic metabolism and also in laboratory strains of\n              E. histolytica\n              has necessitated the identification and development of new drug targets and therapeutic strategies against the parasite. Recent research in the field of amebiasis has led to a better understanding of the parasite’s metabolic and cellular pathways and hence has been useful in identifying new drug targets. On the other hand, new molecules effective against amebiasis have been mined by modifying available compounds, thereby increasing their potency and efficacy and also by repurposing existing approved drugs. This review aims at compiling and examining up to date information on promising drug targets and drug molecules for the treatment of amebiasis.","container-title":"Frontiers in Cellular and Infection Microbiology","DOI":"10.3389/fcimb.2020.628257","ISSN":"2235-2988","journalAbbreviation":"Front. Cell. Infect. Microbiol.","page":"628257","source":"DOI.org (Crossref)","title":"Revisiting Drug Development Against the Neglected Tropical Disease, Amebiasis","volume":"10","author":[{"family":"Shrivastav","given":"Manish T."},{"family":"Malik","given":"Zainab"},{"literal":"Somlata"}],"issued":{"date-parts":[["2021",2,24]]}}}],"schema":"https://github.com/citation-style-language/schema/raw/master/csl-citation.json"} </w:instrText>
      </w:r>
      <w:r w:rsidR="00172088" w:rsidRPr="00D11245">
        <w:rPr>
          <w:rFonts w:ascii="Calibri" w:hAnsi="Calibri" w:cs="Calibri"/>
          <w:color w:val="000000" w:themeColor="text1"/>
          <w:sz w:val="24"/>
          <w:szCs w:val="24"/>
        </w:rPr>
        <w:fldChar w:fldCharType="separate"/>
      </w:r>
      <w:r w:rsidR="009C3E63" w:rsidRPr="00D11245">
        <w:rPr>
          <w:rFonts w:ascii="Calibri" w:hAnsi="Calibri" w:cs="Calibri"/>
          <w:color w:val="000000" w:themeColor="text1"/>
          <w:kern w:val="0"/>
          <w:sz w:val="24"/>
          <w:vertAlign w:val="superscript"/>
        </w:rPr>
        <w:t>148</w:t>
      </w:r>
      <w:r w:rsidR="00172088" w:rsidRPr="00D11245">
        <w:rPr>
          <w:rFonts w:ascii="Calibri" w:hAnsi="Calibri" w:cs="Calibri"/>
          <w:color w:val="000000" w:themeColor="text1"/>
          <w:sz w:val="24"/>
          <w:szCs w:val="24"/>
        </w:rPr>
        <w:fldChar w:fldCharType="end"/>
      </w:r>
      <w:r w:rsidRPr="00D11245">
        <w:rPr>
          <w:rFonts w:ascii="Calibri" w:hAnsi="Calibri" w:cs="Calibri"/>
          <w:color w:val="000000" w:themeColor="text1"/>
          <w:sz w:val="24"/>
          <w:szCs w:val="24"/>
        </w:rPr>
        <w:t xml:space="preserve">, and a </w:t>
      </w:r>
      <w:r w:rsidR="00274C98" w:rsidRPr="00D11245">
        <w:rPr>
          <w:rFonts w:ascii="Calibri" w:hAnsi="Calibri" w:cs="Calibri"/>
          <w:color w:val="000000" w:themeColor="text1"/>
          <w:sz w:val="24"/>
          <w:szCs w:val="24"/>
        </w:rPr>
        <w:t xml:space="preserve">luminal </w:t>
      </w:r>
      <w:r w:rsidR="00B15A0A" w:rsidRPr="00D11245">
        <w:rPr>
          <w:rFonts w:ascii="Calibri" w:hAnsi="Calibri" w:cs="Calibri"/>
          <w:color w:val="000000" w:themeColor="text1"/>
          <w:sz w:val="24"/>
          <w:szCs w:val="24"/>
        </w:rPr>
        <w:t>amoebicide</w:t>
      </w:r>
      <w:r w:rsidR="008D37AB" w:rsidRPr="00D11245">
        <w:rPr>
          <w:rFonts w:ascii="Calibri" w:hAnsi="Calibri" w:cs="Calibri"/>
          <w:color w:val="000000" w:themeColor="text1"/>
          <w:sz w:val="24"/>
          <w:szCs w:val="24"/>
        </w:rPr>
        <w:t xml:space="preserve">, </w:t>
      </w:r>
      <w:r w:rsidRPr="00D11245">
        <w:rPr>
          <w:rFonts w:ascii="Calibri" w:hAnsi="Calibri" w:cs="Calibri"/>
          <w:color w:val="000000" w:themeColor="text1"/>
          <w:sz w:val="24"/>
          <w:szCs w:val="24"/>
        </w:rPr>
        <w:t>to eliminate cysts</w:t>
      </w:r>
      <w:r w:rsidR="001E3403" w:rsidRPr="00D11245">
        <w:rPr>
          <w:rFonts w:ascii="Calibri" w:hAnsi="Calibri" w:cs="Calibri"/>
          <w:color w:val="000000" w:themeColor="text1"/>
          <w:sz w:val="24"/>
          <w:szCs w:val="24"/>
        </w:rPr>
        <w:t xml:space="preserve"> from the intestinal lumen</w:t>
      </w:r>
      <w:r w:rsidRPr="00D11245">
        <w:rPr>
          <w:rFonts w:ascii="Calibri" w:hAnsi="Calibri" w:cs="Calibri"/>
          <w:color w:val="000000" w:themeColor="text1"/>
          <w:sz w:val="24"/>
          <w:szCs w:val="24"/>
        </w:rPr>
        <w:t xml:space="preserve">. </w:t>
      </w:r>
      <w:r w:rsidR="00550F29" w:rsidRPr="00D11245">
        <w:rPr>
          <w:rFonts w:ascii="Calibri" w:hAnsi="Calibri" w:cs="Calibri"/>
          <w:color w:val="000000" w:themeColor="text1"/>
          <w:sz w:val="24"/>
          <w:szCs w:val="24"/>
        </w:rPr>
        <w:t xml:space="preserve">Tissue amoebicidal </w:t>
      </w:r>
      <w:r w:rsidR="006A12DB" w:rsidRPr="00D11245">
        <w:rPr>
          <w:rFonts w:ascii="Calibri" w:hAnsi="Calibri" w:cs="Calibri"/>
          <w:color w:val="000000" w:themeColor="text1"/>
          <w:sz w:val="24"/>
          <w:szCs w:val="24"/>
        </w:rPr>
        <w:t>agents are nitroimidazole</w:t>
      </w:r>
      <w:r w:rsidR="00901B4D" w:rsidRPr="00D11245">
        <w:rPr>
          <w:rFonts w:ascii="Calibri" w:hAnsi="Calibri" w:cs="Calibri"/>
          <w:color w:val="000000" w:themeColor="text1"/>
          <w:sz w:val="24"/>
          <w:szCs w:val="24"/>
        </w:rPr>
        <w:t xml:space="preserve"> antibiotics, such as metronidazole and tinidazole</w:t>
      </w:r>
      <w:r w:rsidR="007706A3" w:rsidRPr="00D11245">
        <w:rPr>
          <w:rFonts w:ascii="Calibri" w:hAnsi="Calibri" w:cs="Calibri"/>
          <w:color w:val="000000" w:themeColor="text1"/>
          <w:sz w:val="24"/>
          <w:szCs w:val="24"/>
        </w:rPr>
        <w:t>,</w:t>
      </w:r>
      <w:r w:rsidR="0082795E" w:rsidRPr="00D11245">
        <w:rPr>
          <w:rFonts w:ascii="Calibri" w:hAnsi="Calibri" w:cs="Calibri"/>
          <w:color w:val="000000" w:themeColor="text1"/>
          <w:sz w:val="24"/>
          <w:szCs w:val="24"/>
        </w:rPr>
        <w:t xml:space="preserve"> </w:t>
      </w:r>
      <w:r w:rsidR="008D37AB" w:rsidRPr="00D11245">
        <w:rPr>
          <w:rFonts w:ascii="Calibri" w:hAnsi="Calibri" w:cs="Calibri"/>
          <w:color w:val="000000" w:themeColor="text1"/>
          <w:sz w:val="24"/>
          <w:szCs w:val="24"/>
        </w:rPr>
        <w:t>with a</w:t>
      </w:r>
      <w:r w:rsidR="00901B4D" w:rsidRPr="00D11245">
        <w:rPr>
          <w:rFonts w:ascii="Calibri" w:hAnsi="Calibri" w:cs="Calibri"/>
          <w:color w:val="000000" w:themeColor="text1"/>
          <w:sz w:val="24"/>
          <w:szCs w:val="24"/>
        </w:rPr>
        <w:t xml:space="preserve"> Cochrane review finding the latter more effective </w:t>
      </w:r>
      <w:r w:rsidR="003C7CEE" w:rsidRPr="00D11245">
        <w:rPr>
          <w:rFonts w:ascii="Calibri" w:hAnsi="Calibri" w:cs="Calibri"/>
          <w:color w:val="000000" w:themeColor="text1"/>
          <w:sz w:val="24"/>
          <w:szCs w:val="24"/>
        </w:rPr>
        <w:t>(metronidazole 5% failure rate vs tinidazole 1% failure rate)</w:t>
      </w:r>
      <w:r w:rsidR="00337229" w:rsidRPr="00D11245">
        <w:rPr>
          <w:rFonts w:ascii="Calibri" w:hAnsi="Calibri" w:cs="Calibri"/>
          <w:color w:val="000000" w:themeColor="text1"/>
          <w:sz w:val="24"/>
          <w:szCs w:val="24"/>
        </w:rPr>
        <w:t xml:space="preserve"> with fewer adverse events</w:t>
      </w:r>
      <w:r w:rsidR="003C7CEE" w:rsidRPr="00D11245">
        <w:rPr>
          <w:rFonts w:ascii="Calibri" w:hAnsi="Calibri" w:cs="Calibri"/>
          <w:color w:val="000000" w:themeColor="text1"/>
          <w:sz w:val="24"/>
          <w:szCs w:val="24"/>
        </w:rPr>
        <w:t xml:space="preserve"> </w:t>
      </w:r>
      <w:r w:rsidR="00172088" w:rsidRPr="00D11245">
        <w:rPr>
          <w:rFonts w:ascii="Calibri" w:hAnsi="Calibri" w:cs="Calibri"/>
          <w:color w:val="000000" w:themeColor="text1"/>
          <w:sz w:val="24"/>
          <w:szCs w:val="24"/>
        </w:rPr>
        <w:fldChar w:fldCharType="begin"/>
      </w:r>
      <w:r w:rsidR="009C3E63" w:rsidRPr="00D11245">
        <w:rPr>
          <w:rFonts w:ascii="Calibri" w:hAnsi="Calibri" w:cs="Calibri"/>
          <w:color w:val="000000" w:themeColor="text1"/>
          <w:sz w:val="24"/>
          <w:szCs w:val="24"/>
        </w:rPr>
        <w:instrText xml:space="preserve"> ADDIN ZOTERO_ITEM CSL_CITATION {"citationID":"PyrXcM4d","properties":{"formattedCitation":"\\super 24\\nosupersub{}","plainCitation":"24","noteIndex":0},"citationItems":[{"id":1915,"uris":["http://zotero.org/groups/2497994/items/43Y5AVWP"],"itemData":{"id":1915,"type":"article-journal","abstract":"Abstract - Background Infection with the protozoan  Entamoeba histolytica  is common in low‐ and middle‐income countries, and up to 100,000 people with severe disease die every year. Adequate therapy for amoebic colitis is necessary to reduce illness, prevent development of complicated disease and extraintestinal spread, and decrease transmission. Objectives To evaluate antiamoebic drugs for treating amoebic colitis. Search methods We searched the available literature up to 22 March 2018. We searched the Cochrane Infectious Diseases Group Specialised Register, CENTRAL, MEDLINE, Embase, LILACS,  m RCT, and conference proceedings. We contacted individual researchers, organizations, and pharmaceutical companies, and we checked reference lists. Selection criteria Randomized controlled trials of antiamoebic drugs given alone or in combination, compared with placebo or another antiamoebic drug, for treating adults and children with a diagnosis of amoebic colitis. Data collection and analysis Two review authors independently assessed the eligibility and methodological quality of trials and extracted and analysed the data. We calculated clinical and parasitological failure rates and rates of relapse and adverse events as risk ratios (RRs) with 95% confidence intervals (CIs), using a random‐effects model. We determined statistical heterogeneity and explored possible sources of heterogeneity using subgroup analyses. We carried out sensitivity analysis by using trial quality to assess the robustness of reported results. Main results In total, 41 trials (4999 participants) met the inclusion criteria of this review. In this update, we added four trials to the 37 trials included in the first published review version. Thirty trials were published over 20 years ago. Only one trial used adequate methods of randomization and allocation concealment, was blinded, and analysed all randomized participants. Only one trial used an  E histolytica  stool antigen test, and two trials used amoebic culture. Tinidazole may be more effective than metronidazole for reducing clinical failure (RR 0.28, 95% CI 0.15 to 0.51; 477 participants, eight trials; low‐certainty evidence) and is probably associated with fewer adverse events (RR 0.65, 95% CI 0.46 to 0.92; 477 participants, 8 trials; moderate‐certainty evidence). Compared with metronidazole, combination therapy may result in fewer parasitological failures (RR 0.36, 95% CI 0.15 to 0.86; 720 participants, 3 trials; low‐certainty evidence), but we are uncertain which combination is more effective than another. Evidence is insufficient to allow conclusions regarding the efficacy of other antiamoebic drugs. Authors' conclusions Compared with metronidazole, tinidazole may be more effective in reducing clinical failure and may be associated with fewer adverse events. Combination drug therapy may be more effective for reducing parasitological failure compared with metronidazole alone. However, these results are based mostly on small trials conducted over 20 years ago with a variety of poorly defined outcomes. Tests that detect  E histolytica  more accurately are needed, particularly in countries where concomitant infection with other bacteria and parasites is common. 11 April 2019 Up to date All studies incorporated from most recent search All eligible published studies found in the last search (22 Mar, 2018) were included and two ongoing studies have been identified (see 'Characteristics of ongoing studies' section) Plain language summary Antiamoebic drugs for treating amoebic colitis What is the aim of this review? This Cochrane Review aims to determine the effectiveness and safety of drugs used to treat people with amoebic colitis, which is an infection of the large intestines caused by the parasite,  Entamoeba histolytica . Cochrane researchers searched for all relevant studies to answer this question and included 41 relevant studies in this review. Key messages Tinidazole may be more effective than metronidazole for reducing clinical symptoms and may be associated with fewer adverse events. Combination therapy resulted in fewer parasitological failures than occurred with metronidazole alone. Evidence is insufficient to allow conclusions regarding the efficacy of other antiamoebic drugs. Better quality randomized trials using accurate diagnostic methods and standardized outcomes are needed to evaluate the efficacy of drugs for treating individuals with amoebic colitis. What was studied in the review? Entamoeba histolytica  is distributed throughout the world and is commonly acquired by ingestion of contaminated food or water. An estimated 40 to 50 million people infected with  E histolytica  develop amoebic colitis or extraintestinal abscesses, resulting in up to 100,000 deaths per year. Metronidazole is currently the standard therapy for treating adults and children with invasive amoebiasis, but it may not be sufficient to eliminate amoebic cysts from the intestine. Some unpleasant adverse effects have been associated with metronidazole, and the possibility of parasite resistance to metronidazole has led to the development of alternative drugs. Combinations of metronidazole with other drugs that eradicate surviving cysts in the intestines have been recommended, so evidence to support this approach needs to be assessed. This review compares different drugs used against amoebic colitis, alone or in combination, and also assesses single‐dose regimens versus longer regimens. What are the main results of the review? This review included 41 studies, most of which were conducted in countries considered to be highly endemic for amoebiasis. Most trials were old: 30 were conducted before 1998. Trials varied in the inclusion criteria used to enrol participants and in the definition and timing of measured outcomes. Stool microscopy with direct wet saline smear was the method used most often to detect the presence of  E histolytica  in stools. Study participants ranged in age from seven months to 80 years. Included trials reported a variety of comparisons and involved 25 individual drugs, two herbal products, and 15 different combinations. The review shows that in individuals with amoebic colitis, tinidazole may be better for reducing clinical symptoms (low‐certainty evidence) and probably results in fewer adverse events when compared with metronidazole (moderate‐certainty evidence). However, we do not know whether it is more effective for eradicating amoebae from the stools. Combination drug therapy may be more effective than metronidazole alone for eradicating amoebae (low‐certainty evidence), but we are uncertain which drug combination is most effective, and if combination treatment will lead to more rapid resolution of clinical symptoms or in more adverse events (very low‐certainty evidence). Evidence is insufficient to allow conclusions regarding efficacy of the other antiamoebic drugs. How up‐to‐date is this review?  The review authors searched for studies that had been published up to 22 March 2018.","archive_location":"CD006085","container-title":"Cochrane Database of Systematic Reviews","DOI":"10.1002/14651858.CD006085.pub3","ISSN":"1465-1858","issue":"1","note":"publisher: John Wiley &amp; Sons, Ltd","title":"Antiamoebic drugs for treating amoebic colitis","URL":"http://dx.doi.org/10.1002/14651858.CD006085.pub3","author":[{"family":"Gonzales","given":"MLM"},{"family":"Dans","given":"LF"},{"family":"Sio‐Aguilar","given":"J"}],"issued":{"date-parts":[["2019"]]}}}],"schema":"https://github.com/citation-style-language/schema/raw/master/csl-citation.json"} </w:instrText>
      </w:r>
      <w:r w:rsidR="00172088" w:rsidRPr="00D11245">
        <w:rPr>
          <w:rFonts w:ascii="Calibri" w:hAnsi="Calibri" w:cs="Calibri"/>
          <w:color w:val="000000" w:themeColor="text1"/>
          <w:sz w:val="24"/>
          <w:szCs w:val="24"/>
        </w:rPr>
        <w:fldChar w:fldCharType="separate"/>
      </w:r>
      <w:r w:rsidR="009C3E63" w:rsidRPr="00D11245">
        <w:rPr>
          <w:rFonts w:ascii="Calibri" w:hAnsi="Calibri" w:cs="Calibri"/>
          <w:color w:val="000000" w:themeColor="text1"/>
          <w:kern w:val="0"/>
          <w:sz w:val="24"/>
          <w:vertAlign w:val="superscript"/>
        </w:rPr>
        <w:t>24</w:t>
      </w:r>
      <w:r w:rsidR="00172088" w:rsidRPr="00D11245">
        <w:rPr>
          <w:rFonts w:ascii="Calibri" w:hAnsi="Calibri" w:cs="Calibri"/>
          <w:color w:val="000000" w:themeColor="text1"/>
          <w:sz w:val="24"/>
          <w:szCs w:val="24"/>
        </w:rPr>
        <w:fldChar w:fldCharType="end"/>
      </w:r>
      <w:r w:rsidR="007706A3" w:rsidRPr="00D11245">
        <w:rPr>
          <w:rFonts w:ascii="Calibri" w:hAnsi="Calibri" w:cs="Calibri"/>
          <w:color w:val="000000" w:themeColor="text1"/>
          <w:sz w:val="24"/>
          <w:szCs w:val="24"/>
        </w:rPr>
        <w:t xml:space="preserve">, however tinidazole is no longer available in the UK </w:t>
      </w:r>
      <w:r w:rsidR="007706A3" w:rsidRPr="00D11245">
        <w:rPr>
          <w:rFonts w:ascii="Calibri" w:hAnsi="Calibri" w:cs="Calibri"/>
          <w:color w:val="000000" w:themeColor="text1"/>
          <w:sz w:val="24"/>
          <w:szCs w:val="24"/>
        </w:rPr>
        <w:fldChar w:fldCharType="begin"/>
      </w:r>
      <w:r w:rsidR="00F44542" w:rsidRPr="00D11245">
        <w:rPr>
          <w:rFonts w:ascii="Calibri" w:hAnsi="Calibri" w:cs="Calibri"/>
          <w:color w:val="000000" w:themeColor="text1"/>
          <w:sz w:val="24"/>
          <w:szCs w:val="24"/>
        </w:rPr>
        <w:instrText xml:space="preserve"> ADDIN ZOTERO_ITEM CSL_CITATION {"citationID":"wcdmbk3l","properties":{"formattedCitation":"\\super 149\\nosupersub{}","plainCitation":"149","noteIndex":0},"citationItems":[{"id":16822,"uris":["http://zotero.org/groups/2497994/items/MJIBPDHF"],"itemData":{"id":16822,"type":"webpage","container-title":"National Institute of Clinical Exellence","genre":"Clinical Knowledge Summaries","title":"Trichomoniasis: Changes, Last revised in November 2023","URL":"https://cks.nice.org.uk/topics/trichomoniasis/how-up-to-date-is-this-topic/changes/#:~:text=Recommendations%20relating%20to%20tinidazole%2C%20and,been%20discontinued%20in%20the%20UK.","author":[{"family":"NICE","given":""}],"issued":{"date-parts":[["2024",6,13]]}}}],"schema":"https://github.com/citation-style-language/schema/raw/master/csl-citation.json"} </w:instrText>
      </w:r>
      <w:r w:rsidR="007706A3" w:rsidRPr="00D11245">
        <w:rPr>
          <w:rFonts w:ascii="Calibri" w:hAnsi="Calibri" w:cs="Calibri"/>
          <w:color w:val="000000" w:themeColor="text1"/>
          <w:sz w:val="24"/>
          <w:szCs w:val="24"/>
        </w:rPr>
        <w:fldChar w:fldCharType="separate"/>
      </w:r>
      <w:r w:rsidR="00F44542" w:rsidRPr="00D11245">
        <w:rPr>
          <w:rFonts w:ascii="Calibri" w:hAnsi="Calibri" w:cs="Calibri"/>
          <w:color w:val="000000" w:themeColor="text1"/>
          <w:kern w:val="0"/>
          <w:sz w:val="24"/>
          <w:vertAlign w:val="superscript"/>
        </w:rPr>
        <w:t>149</w:t>
      </w:r>
      <w:r w:rsidR="007706A3" w:rsidRPr="00D11245">
        <w:rPr>
          <w:rFonts w:ascii="Calibri" w:hAnsi="Calibri" w:cs="Calibri"/>
          <w:color w:val="000000" w:themeColor="text1"/>
          <w:sz w:val="24"/>
          <w:szCs w:val="24"/>
        </w:rPr>
        <w:fldChar w:fldCharType="end"/>
      </w:r>
      <w:r w:rsidR="00617D3E" w:rsidRPr="00D11245">
        <w:rPr>
          <w:rFonts w:ascii="Calibri" w:hAnsi="Calibri" w:cs="Calibri"/>
          <w:color w:val="000000" w:themeColor="text1"/>
          <w:sz w:val="24"/>
          <w:szCs w:val="24"/>
        </w:rPr>
        <w:t>.</w:t>
      </w:r>
      <w:r w:rsidR="008A6EFB" w:rsidRPr="00D11245">
        <w:rPr>
          <w:rFonts w:ascii="Calibri" w:hAnsi="Calibri" w:cs="Calibri"/>
          <w:color w:val="000000" w:themeColor="text1"/>
          <w:sz w:val="24"/>
          <w:szCs w:val="24"/>
        </w:rPr>
        <w:t xml:space="preserve"> Alcohol ingestion should be avoided during and for 4 days after metronidazole or tinidazole therapy due to unpleasant disulfiram like side effects.</w:t>
      </w:r>
      <w:r w:rsidR="00FA37EE" w:rsidRPr="00D11245">
        <w:rPr>
          <w:rFonts w:ascii="Calibri" w:hAnsi="Calibri" w:cs="Calibri"/>
          <w:color w:val="000000" w:themeColor="text1"/>
          <w:sz w:val="24"/>
          <w:szCs w:val="24"/>
        </w:rPr>
        <w:t xml:space="preserve"> </w:t>
      </w:r>
      <w:r w:rsidR="00B24151" w:rsidRPr="00D11245">
        <w:rPr>
          <w:rFonts w:ascii="Calibri" w:hAnsi="Calibri" w:cs="Calibri"/>
          <w:color w:val="000000" w:themeColor="text1"/>
          <w:sz w:val="24"/>
          <w:szCs w:val="24"/>
        </w:rPr>
        <w:t xml:space="preserve">Luminal amoebicides </w:t>
      </w:r>
      <w:r w:rsidR="00FA37EE" w:rsidRPr="00D11245">
        <w:rPr>
          <w:rFonts w:ascii="Calibri" w:hAnsi="Calibri" w:cs="Calibri"/>
          <w:color w:val="000000" w:themeColor="text1"/>
          <w:sz w:val="24"/>
          <w:szCs w:val="24"/>
        </w:rPr>
        <w:t>include paromomycin, diloxanide furoate</w:t>
      </w:r>
      <w:r w:rsidR="00A1418D" w:rsidRPr="00D11245">
        <w:rPr>
          <w:rFonts w:ascii="Calibri" w:hAnsi="Calibri" w:cs="Calibri"/>
          <w:color w:val="000000" w:themeColor="text1"/>
          <w:sz w:val="24"/>
          <w:szCs w:val="24"/>
        </w:rPr>
        <w:t xml:space="preserve"> (no longer available in the UK)</w:t>
      </w:r>
      <w:r w:rsidR="00FA37EE" w:rsidRPr="00D11245">
        <w:rPr>
          <w:rFonts w:ascii="Calibri" w:hAnsi="Calibri" w:cs="Calibri"/>
          <w:color w:val="000000" w:themeColor="text1"/>
          <w:sz w:val="24"/>
          <w:szCs w:val="24"/>
        </w:rPr>
        <w:t>, iodoquinol, and nitazoxanide</w:t>
      </w:r>
      <w:r w:rsidR="0061014B" w:rsidRPr="00D11245">
        <w:rPr>
          <w:rFonts w:ascii="Calibri" w:hAnsi="Calibri" w:cs="Calibri"/>
          <w:color w:val="000000" w:themeColor="text1"/>
          <w:sz w:val="24"/>
          <w:szCs w:val="24"/>
        </w:rPr>
        <w:t>. P</w:t>
      </w:r>
      <w:r w:rsidR="00FA37EE" w:rsidRPr="00D11245">
        <w:rPr>
          <w:rFonts w:ascii="Calibri" w:hAnsi="Calibri" w:cs="Calibri"/>
          <w:color w:val="000000" w:themeColor="text1"/>
          <w:sz w:val="24"/>
          <w:szCs w:val="24"/>
        </w:rPr>
        <w:t>aromomycin</w:t>
      </w:r>
      <w:r w:rsidR="00F30D33" w:rsidRPr="00D11245">
        <w:rPr>
          <w:rFonts w:ascii="Calibri" w:hAnsi="Calibri" w:cs="Calibri"/>
          <w:color w:val="000000" w:themeColor="text1"/>
          <w:sz w:val="24"/>
          <w:szCs w:val="24"/>
        </w:rPr>
        <w:t xml:space="preserve">, an </w:t>
      </w:r>
      <w:r w:rsidR="000934ED" w:rsidRPr="00D11245">
        <w:rPr>
          <w:rFonts w:ascii="Calibri" w:hAnsi="Calibri" w:cs="Calibri"/>
          <w:color w:val="000000" w:themeColor="text1"/>
          <w:sz w:val="24"/>
          <w:szCs w:val="24"/>
        </w:rPr>
        <w:t>aminoglycoside</w:t>
      </w:r>
      <w:r w:rsidR="00F30D33" w:rsidRPr="00D11245">
        <w:rPr>
          <w:rFonts w:ascii="Calibri" w:hAnsi="Calibri" w:cs="Calibri"/>
          <w:color w:val="000000" w:themeColor="text1"/>
          <w:sz w:val="24"/>
          <w:szCs w:val="24"/>
        </w:rPr>
        <w:t xml:space="preserve"> which works by disrupting RNA translation,</w:t>
      </w:r>
      <w:r w:rsidR="00FA37EE" w:rsidRPr="00D11245">
        <w:rPr>
          <w:rFonts w:ascii="Calibri" w:hAnsi="Calibri" w:cs="Calibri"/>
          <w:color w:val="000000" w:themeColor="text1"/>
          <w:sz w:val="24"/>
          <w:szCs w:val="24"/>
        </w:rPr>
        <w:t xml:space="preserve"> is the agent </w:t>
      </w:r>
      <w:r w:rsidR="00BD5864" w:rsidRPr="00D11245">
        <w:rPr>
          <w:rFonts w:ascii="Calibri" w:hAnsi="Calibri" w:cs="Calibri"/>
          <w:color w:val="000000" w:themeColor="text1"/>
          <w:sz w:val="24"/>
          <w:szCs w:val="24"/>
        </w:rPr>
        <w:t xml:space="preserve">used </w:t>
      </w:r>
      <w:r w:rsidR="00F30D33" w:rsidRPr="00D11245">
        <w:rPr>
          <w:rFonts w:ascii="Calibri" w:hAnsi="Calibri" w:cs="Calibri"/>
          <w:color w:val="000000" w:themeColor="text1"/>
          <w:sz w:val="24"/>
          <w:szCs w:val="24"/>
        </w:rPr>
        <w:t xml:space="preserve">in the UK </w:t>
      </w:r>
      <w:r w:rsidR="0082795E" w:rsidRPr="00D11245">
        <w:rPr>
          <w:rFonts w:ascii="Calibri" w:hAnsi="Calibri" w:cs="Calibri"/>
          <w:color w:val="000000" w:themeColor="text1"/>
          <w:sz w:val="24"/>
          <w:szCs w:val="24"/>
        </w:rPr>
        <w:fldChar w:fldCharType="begin"/>
      </w:r>
      <w:r w:rsidR="00F44542" w:rsidRPr="00D11245">
        <w:rPr>
          <w:rFonts w:ascii="Calibri" w:hAnsi="Calibri" w:cs="Calibri"/>
          <w:color w:val="000000" w:themeColor="text1"/>
          <w:sz w:val="24"/>
          <w:szCs w:val="24"/>
        </w:rPr>
        <w:instrText xml:space="preserve"> ADDIN ZOTERO_ITEM CSL_CITATION {"citationID":"uwqX69oF","properties":{"formattedCitation":"\\super 150,151\\nosupersub{}","plainCitation":"150,151","noteIndex":0},"citationItems":[{"id":16724,"uris":["http://zotero.org/groups/2497994/items/DGSZZMXY"],"itemData":{"id":16724,"type":"article-journal","abstract":"This review of human amoebiasis is based on the most current knowledge of pathogenesis, diagnosis, treatment, and Entamoeba/microbiota interactions. The most relevant findings during this last decade about the Entamoeba parasite and the disease are related to the possibility of culturing trophozoites of different isolates from infected individuals that allowed the characterization of the multiple pathogenic mechanisms of the parasite and the understanding of the host–parasite relationship in the human. Second, the considerable advances in molecular biology and genetics help us to analyze the genome of Entamoeba, their genetic diversity, and the association of specific genotypes with the different amoebic forms of human amoebiasis. Based on this knowledge, culture and/or molecular diagnostic strategies are now available to determine the Entamoeba species and genotype responsible for invasive intestinal or extraintestinal amoebiasis cases. Likewise, the extensive knowledge of the immune response in amoebiasis with the appearance of new technologies made it possible to design diagnostic tools now available worldwide. Finally, the understanding of the interaction between the Entamoeba species and the intestinal microbiota aids the understanding of the ecology of this parasite in the human environment. These relevant findings will be discussed in this review.","container-title":"International Journal of Molecular Sciences","DOI":"10.3390/ijms241411755","ISSN":"1422-0067","issue":"14","journalAbbreviation":"IJMS","language":"en","page":"11755","source":"DOI.org (Crossref)","title":"Amoebiasis: Advances in Diagnosis, Treatment, Immunology Features and the Interaction with the Intestinal Ecosystem","title-short":"Amoebiasis","volume":"24","author":[{"family":"Morán","given":"Patricia"},{"family":"Serrano-Vázquez","given":"Angélica"},{"family":"Rojas-Velázquez","given":"Liliana"},{"family":"González","given":"Enrique"},{"family":"Pérez-Juárez","given":"Horacio"},{"family":"Hernández","given":"Eric G."},{"family":"Padilla","given":"Maria De Los Angeles"},{"family":"Zaragoza","given":"Martha E."},{"family":"Portillo-Bobadilla","given":"Tobías"},{"family":"Ramiro","given":"Manuel"},{"family":"Ximénez","given":"Cecilia"}],"issued":{"date-parts":[["2023",7,21]]}}},{"id":16723,"uris":["http://zotero.org/groups/2497994/items/GBJ6B49X"],"itemData":{"id":16723,"type":"article-journal","abstract":"This is the first British Association of Sexual Health and HIV (BASHH) national guideline for the management of sexually transmitted enteric infections (STEI). This guideline is primarily aimed for level 3 sexual health clinics; however, it may also be applicable to other settings such as primary care or other hospital departments where individuals with STEI may present. This guideline makes recommendations on testing, management, partner notification and public health control of STEI.","container-title":"International Journal of STD &amp; AIDS","DOI":"10.1177/09564624231168217","ISSN":"0956-4624, 1758-1052","issue":"9","journalAbbreviation":"Int J STD AIDS","language":"en","page":"588-602","source":"DOI.org (Crossref)","title":"British Association of Sexual Health and HIV (BASHH) United Kingdom national guideline for the management of sexually transmitted enteric infections 2023","volume":"34","author":[{"family":"Richardson","given":"Daniel"},{"family":"Pakianathan","given":"Mark"},{"family":"Ewens","given":"Michael"},{"family":"Mitchell","given":"Holly"},{"family":"Mohammed","given":"Hasan"},{"family":"Wiseman","given":"Elizabeth"},{"family":"Tweed","given":"Marc"},{"family":"Nichols","given":"Kayleigh"},{"family":"Rawdah","given":"Waseem"},{"family":"Cooper","given":"Richard"},{"family":"Macrowan","given":"Robert"},{"family":"Irish","given":"Matthew"},{"family":"Evans","given":"Amy"},{"family":"Godbole","given":"Gauri"}],"issued":{"date-parts":[["2023",8]]}}}],"schema":"https://github.com/citation-style-language/schema/raw/master/csl-citation.json"} </w:instrText>
      </w:r>
      <w:r w:rsidR="0082795E" w:rsidRPr="00D11245">
        <w:rPr>
          <w:rFonts w:ascii="Calibri" w:hAnsi="Calibri" w:cs="Calibri"/>
          <w:color w:val="000000" w:themeColor="text1"/>
          <w:sz w:val="24"/>
          <w:szCs w:val="24"/>
        </w:rPr>
        <w:fldChar w:fldCharType="separate"/>
      </w:r>
      <w:r w:rsidR="00F44542" w:rsidRPr="00D11245">
        <w:rPr>
          <w:rFonts w:ascii="Calibri" w:hAnsi="Calibri" w:cs="Calibri"/>
          <w:color w:val="000000" w:themeColor="text1"/>
          <w:kern w:val="0"/>
          <w:sz w:val="24"/>
          <w:vertAlign w:val="superscript"/>
        </w:rPr>
        <w:t>150,151</w:t>
      </w:r>
      <w:r w:rsidR="0082795E" w:rsidRPr="00D11245">
        <w:rPr>
          <w:rFonts w:ascii="Calibri" w:hAnsi="Calibri" w:cs="Calibri"/>
          <w:color w:val="000000" w:themeColor="text1"/>
          <w:sz w:val="24"/>
          <w:szCs w:val="24"/>
        </w:rPr>
        <w:fldChar w:fldCharType="end"/>
      </w:r>
      <w:r w:rsidR="00F30D33" w:rsidRPr="00D11245">
        <w:rPr>
          <w:rFonts w:ascii="Calibri" w:hAnsi="Calibri" w:cs="Calibri"/>
          <w:color w:val="000000" w:themeColor="text1"/>
          <w:sz w:val="24"/>
          <w:szCs w:val="24"/>
        </w:rPr>
        <w:t xml:space="preserve">. </w:t>
      </w:r>
      <w:r w:rsidR="003C7CEE" w:rsidRPr="00D11245">
        <w:rPr>
          <w:rFonts w:ascii="Calibri" w:hAnsi="Calibri" w:cs="Calibri"/>
          <w:color w:val="000000" w:themeColor="text1"/>
          <w:sz w:val="24"/>
          <w:szCs w:val="24"/>
        </w:rPr>
        <w:t>Combination therapy has</w:t>
      </w:r>
      <w:r w:rsidR="00F07E69" w:rsidRPr="00D11245">
        <w:rPr>
          <w:rFonts w:ascii="Calibri" w:hAnsi="Calibri" w:cs="Calibri"/>
          <w:color w:val="000000" w:themeColor="text1"/>
          <w:sz w:val="24"/>
          <w:szCs w:val="24"/>
        </w:rPr>
        <w:t xml:space="preserve"> </w:t>
      </w:r>
      <w:r w:rsidR="003C7CEE" w:rsidRPr="00D11245">
        <w:rPr>
          <w:rFonts w:ascii="Calibri" w:hAnsi="Calibri" w:cs="Calibri"/>
          <w:color w:val="000000" w:themeColor="text1"/>
          <w:sz w:val="24"/>
          <w:szCs w:val="24"/>
        </w:rPr>
        <w:t>been shown to prevent disease recurrence</w:t>
      </w:r>
      <w:r w:rsidR="007E1153" w:rsidRPr="00D11245">
        <w:rPr>
          <w:rFonts w:ascii="Calibri" w:hAnsi="Calibri" w:cs="Calibri"/>
          <w:color w:val="000000" w:themeColor="text1"/>
          <w:sz w:val="24"/>
          <w:szCs w:val="24"/>
        </w:rPr>
        <w:t>, so</w:t>
      </w:r>
      <w:r w:rsidR="00E634F6" w:rsidRPr="00D11245">
        <w:rPr>
          <w:rFonts w:ascii="Calibri" w:hAnsi="Calibri" w:cs="Calibri"/>
          <w:color w:val="000000" w:themeColor="text1"/>
          <w:sz w:val="24"/>
          <w:szCs w:val="24"/>
        </w:rPr>
        <w:t xml:space="preserve"> </w:t>
      </w:r>
      <w:r w:rsidR="00F861C6" w:rsidRPr="00D11245">
        <w:rPr>
          <w:rFonts w:ascii="Calibri" w:hAnsi="Calibri" w:cs="Calibri"/>
          <w:color w:val="000000" w:themeColor="text1"/>
          <w:sz w:val="24"/>
          <w:szCs w:val="24"/>
        </w:rPr>
        <w:t xml:space="preserve">whilst asymptomatic </w:t>
      </w:r>
      <w:r w:rsidR="008179C9" w:rsidRPr="00D11245">
        <w:rPr>
          <w:rFonts w:ascii="Calibri" w:hAnsi="Calibri" w:cs="Calibri"/>
          <w:color w:val="000000" w:themeColor="text1"/>
          <w:sz w:val="24"/>
          <w:szCs w:val="24"/>
        </w:rPr>
        <w:t>amoebic cyst passage is treated with a luminal amoebicide</w:t>
      </w:r>
      <w:r w:rsidR="001E3749" w:rsidRPr="00D11245">
        <w:rPr>
          <w:rFonts w:ascii="Calibri" w:hAnsi="Calibri" w:cs="Calibri"/>
          <w:color w:val="000000" w:themeColor="text1"/>
          <w:sz w:val="24"/>
          <w:szCs w:val="24"/>
        </w:rPr>
        <w:t xml:space="preserve">, </w:t>
      </w:r>
      <w:r w:rsidR="00332E01" w:rsidRPr="00D11245">
        <w:rPr>
          <w:rFonts w:ascii="Calibri" w:hAnsi="Calibri" w:cs="Calibri"/>
          <w:color w:val="000000" w:themeColor="text1"/>
          <w:sz w:val="24"/>
          <w:szCs w:val="24"/>
        </w:rPr>
        <w:t xml:space="preserve">treatment of symptomatic amoebiasis </w:t>
      </w:r>
      <w:r w:rsidR="000760D8" w:rsidRPr="00D11245">
        <w:rPr>
          <w:rFonts w:ascii="Calibri" w:hAnsi="Calibri" w:cs="Calibri"/>
          <w:color w:val="000000" w:themeColor="text1"/>
          <w:sz w:val="24"/>
          <w:szCs w:val="24"/>
        </w:rPr>
        <w:t>requires a tissue amoebicide followed by a luminal amoebicide</w:t>
      </w:r>
      <w:r w:rsidR="003C7CEE" w:rsidRPr="00D11245">
        <w:rPr>
          <w:rFonts w:ascii="Calibri" w:hAnsi="Calibri" w:cs="Calibri"/>
          <w:color w:val="000000" w:themeColor="text1"/>
          <w:sz w:val="24"/>
          <w:szCs w:val="24"/>
        </w:rPr>
        <w:t xml:space="preserve"> </w:t>
      </w:r>
      <w:r w:rsidR="0082795E" w:rsidRPr="00D11245">
        <w:rPr>
          <w:rFonts w:ascii="Calibri" w:hAnsi="Calibri" w:cs="Calibri"/>
          <w:color w:val="000000" w:themeColor="text1"/>
          <w:sz w:val="24"/>
          <w:szCs w:val="24"/>
        </w:rPr>
        <w:fldChar w:fldCharType="begin"/>
      </w:r>
      <w:r w:rsidR="009C3E63" w:rsidRPr="00D11245">
        <w:rPr>
          <w:rFonts w:ascii="Calibri" w:hAnsi="Calibri" w:cs="Calibri"/>
          <w:color w:val="000000" w:themeColor="text1"/>
          <w:sz w:val="24"/>
          <w:szCs w:val="24"/>
        </w:rPr>
        <w:instrText xml:space="preserve"> ADDIN ZOTERO_ITEM CSL_CITATION {"citationID":"a8jFQGiq","properties":{"formattedCitation":"\\super 24\\nosupersub{}","plainCitation":"24","noteIndex":0},"citationItems":[{"id":1915,"uris":["http://zotero.org/groups/2497994/items/43Y5AVWP"],"itemData":{"id":1915,"type":"article-journal","abstract":"Abstract - Background Infection with the protozoan  Entamoeba histolytica  is common in low‐ and middle‐income countries, and up to 100,000 people with severe disease die every year. Adequate therapy for amoebic colitis is necessary to reduce illness, prevent development of complicated disease and extraintestinal spread, and decrease transmission. Objectives To evaluate antiamoebic drugs for treating amoebic colitis. Search methods We searched the available literature up to 22 March 2018. We searched the Cochrane Infectious Diseases Group Specialised Register, CENTRAL, MEDLINE, Embase, LILACS,  m RCT, and conference proceedings. We contacted individual researchers, organizations, and pharmaceutical companies, and we checked reference lists. Selection criteria Randomized controlled trials of antiamoebic drugs given alone or in combination, compared with placebo or another antiamoebic drug, for treating adults and children with a diagnosis of amoebic colitis. Data collection and analysis Two review authors independently assessed the eligibility and methodological quality of trials and extracted and analysed the data. We calculated clinical and parasitological failure rates and rates of relapse and adverse events as risk ratios (RRs) with 95% confidence intervals (CIs), using a random‐effects model. We determined statistical heterogeneity and explored possible sources of heterogeneity using subgroup analyses. We carried out sensitivity analysis by using trial quality to assess the robustness of reported results. Main results In total, 41 trials (4999 participants) met the inclusion criteria of this review. In this update, we added four trials to the 37 trials included in the first published review version. Thirty trials were published over 20 years ago. Only one trial used adequate methods of randomization and allocation concealment, was blinded, and analysed all randomized participants. Only one trial used an  E histolytica  stool antigen test, and two trials used amoebic culture. Tinidazole may be more effective than metronidazole for reducing clinical failure (RR 0.28, 95% CI 0.15 to 0.51; 477 participants, eight trials; low‐certainty evidence) and is probably associated with fewer adverse events (RR 0.65, 95% CI 0.46 to 0.92; 477 participants, 8 trials; moderate‐certainty evidence). Compared with metronidazole, combination therapy may result in fewer parasitological failures (RR 0.36, 95% CI 0.15 to 0.86; 720 participants, 3 trials; low‐certainty evidence), but we are uncertain which combination is more effective than another. Evidence is insufficient to allow conclusions regarding the efficacy of other antiamoebic drugs. Authors' conclusions Compared with metronidazole, tinidazole may be more effective in reducing clinical failure and may be associated with fewer adverse events. Combination drug therapy may be more effective for reducing parasitological failure compared with metronidazole alone. However, these results are based mostly on small trials conducted over 20 years ago with a variety of poorly defined outcomes. Tests that detect  E histolytica  more accurately are needed, particularly in countries where concomitant infection with other bacteria and parasites is common. 11 April 2019 Up to date All studies incorporated from most recent search All eligible published studies found in the last search (22 Mar, 2018) were included and two ongoing studies have been identified (see 'Characteristics of ongoing studies' section) Plain language summary Antiamoebic drugs for treating amoebic colitis What is the aim of this review? This Cochrane Review aims to determine the effectiveness and safety of drugs used to treat people with amoebic colitis, which is an infection of the large intestines caused by the parasite,  Entamoeba histolytica . Cochrane researchers searched for all relevant studies to answer this question and included 41 relevant studies in this review. Key messages Tinidazole may be more effective than metronidazole for reducing clinical symptoms and may be associated with fewer adverse events. Combination therapy resulted in fewer parasitological failures than occurred with metronidazole alone. Evidence is insufficient to allow conclusions regarding the efficacy of other antiamoebic drugs. Better quality randomized trials using accurate diagnostic methods and standardized outcomes are needed to evaluate the efficacy of drugs for treating individuals with amoebic colitis. What was studied in the review? Entamoeba histolytica  is distributed throughout the world and is commonly acquired by ingestion of contaminated food or water. An estimated 40 to 50 million people infected with  E histolytica  develop amoebic colitis or extraintestinal abscesses, resulting in up to 100,000 deaths per year. Metronidazole is currently the standard therapy for treating adults and children with invasive amoebiasis, but it may not be sufficient to eliminate amoebic cysts from the intestine. Some unpleasant adverse effects have been associated with metronidazole, and the possibility of parasite resistance to metronidazole has led to the development of alternative drugs. Combinations of metronidazole with other drugs that eradicate surviving cysts in the intestines have been recommended, so evidence to support this approach needs to be assessed. This review compares different drugs used against amoebic colitis, alone or in combination, and also assesses single‐dose regimens versus longer regimens. What are the main results of the review? This review included 41 studies, most of which were conducted in countries considered to be highly endemic for amoebiasis. Most trials were old: 30 were conducted before 1998. Trials varied in the inclusion criteria used to enrol participants and in the definition and timing of measured outcomes. Stool microscopy with direct wet saline smear was the method used most often to detect the presence of  E histolytica  in stools. Study participants ranged in age from seven months to 80 years. Included trials reported a variety of comparisons and involved 25 individual drugs, two herbal products, and 15 different combinations. The review shows that in individuals with amoebic colitis, tinidazole may be better for reducing clinical symptoms (low‐certainty evidence) and probably results in fewer adverse events when compared with metronidazole (moderate‐certainty evidence). However, we do not know whether it is more effective for eradicating amoebae from the stools. Combination drug therapy may be more effective than metronidazole alone for eradicating amoebae (low‐certainty evidence), but we are uncertain which drug combination is most effective, and if combination treatment will lead to more rapid resolution of clinical symptoms or in more adverse events (very low‐certainty evidence). Evidence is insufficient to allow conclusions regarding efficacy of the other antiamoebic drugs. How up‐to‐date is this review?  The review authors searched for studies that had been published up to 22 March 2018.","archive_location":"CD006085","container-title":"Cochrane Database of Systematic Reviews","DOI":"10.1002/14651858.CD006085.pub3","ISSN":"1465-1858","issue":"1","note":"publisher: John Wiley &amp; Sons, Ltd","title":"Antiamoebic drugs for treating amoebic colitis","URL":"http://dx.doi.org/10.1002/14651858.CD006085.pub3","author":[{"family":"Gonzales","given":"MLM"},{"family":"Dans","given":"LF"},{"family":"Sio‐Aguilar","given":"J"}],"issued":{"date-parts":[["2019"]]}}}],"schema":"https://github.com/citation-style-language/schema/raw/master/csl-citation.json"} </w:instrText>
      </w:r>
      <w:r w:rsidR="0082795E" w:rsidRPr="00D11245">
        <w:rPr>
          <w:rFonts w:ascii="Calibri" w:hAnsi="Calibri" w:cs="Calibri"/>
          <w:color w:val="000000" w:themeColor="text1"/>
          <w:sz w:val="24"/>
          <w:szCs w:val="24"/>
        </w:rPr>
        <w:fldChar w:fldCharType="separate"/>
      </w:r>
      <w:r w:rsidR="009C3E63" w:rsidRPr="00D11245">
        <w:rPr>
          <w:rFonts w:ascii="Calibri" w:hAnsi="Calibri" w:cs="Calibri"/>
          <w:color w:val="000000" w:themeColor="text1"/>
          <w:kern w:val="0"/>
          <w:sz w:val="24"/>
          <w:vertAlign w:val="superscript"/>
        </w:rPr>
        <w:t>24</w:t>
      </w:r>
      <w:r w:rsidR="0082795E" w:rsidRPr="00D11245">
        <w:rPr>
          <w:rFonts w:ascii="Calibri" w:hAnsi="Calibri" w:cs="Calibri"/>
          <w:color w:val="000000" w:themeColor="text1"/>
          <w:sz w:val="24"/>
          <w:szCs w:val="24"/>
        </w:rPr>
        <w:fldChar w:fldCharType="end"/>
      </w:r>
      <w:r w:rsidR="003C7CEE" w:rsidRPr="00D11245">
        <w:rPr>
          <w:rFonts w:ascii="Calibri" w:hAnsi="Calibri" w:cs="Calibri"/>
          <w:color w:val="000000" w:themeColor="text1"/>
          <w:sz w:val="24"/>
          <w:szCs w:val="24"/>
        </w:rPr>
        <w:t>.</w:t>
      </w:r>
    </w:p>
    <w:p w14:paraId="138E7A1E" w14:textId="00AC65C3" w:rsidR="00066EBF" w:rsidRPr="00D11245" w:rsidRDefault="0061014B" w:rsidP="005A6070">
      <w:pPr>
        <w:jc w:val="both"/>
        <w:rPr>
          <w:rFonts w:ascii="Calibri" w:hAnsi="Calibri" w:cs="Calibri"/>
          <w:color w:val="000000" w:themeColor="text1"/>
          <w:sz w:val="24"/>
          <w:szCs w:val="24"/>
        </w:rPr>
      </w:pPr>
      <w:r w:rsidRPr="00D11245">
        <w:rPr>
          <w:color w:val="000000" w:themeColor="text1"/>
          <w:sz w:val="24"/>
          <w:szCs w:val="24"/>
        </w:rPr>
        <w:t xml:space="preserve">Previous </w:t>
      </w:r>
      <w:r w:rsidR="00FA37EE" w:rsidRPr="00D11245">
        <w:rPr>
          <w:color w:val="000000" w:themeColor="text1"/>
          <w:sz w:val="24"/>
          <w:szCs w:val="24"/>
        </w:rPr>
        <w:t>national guidelines recommend</w:t>
      </w:r>
      <w:r w:rsidR="00A3544F" w:rsidRPr="00D11245">
        <w:rPr>
          <w:color w:val="000000" w:themeColor="text1"/>
          <w:sz w:val="24"/>
          <w:szCs w:val="24"/>
        </w:rPr>
        <w:t>ed</w:t>
      </w:r>
      <w:r w:rsidR="00FA37EE" w:rsidRPr="00D11245">
        <w:rPr>
          <w:color w:val="000000" w:themeColor="text1"/>
          <w:sz w:val="24"/>
          <w:szCs w:val="24"/>
        </w:rPr>
        <w:t xml:space="preserve"> giving tinidazole or metronidazole, follow</w:t>
      </w:r>
      <w:r w:rsidR="00830DC5" w:rsidRPr="00D11245">
        <w:rPr>
          <w:color w:val="000000" w:themeColor="text1"/>
          <w:sz w:val="24"/>
          <w:szCs w:val="24"/>
        </w:rPr>
        <w:t>ed</w:t>
      </w:r>
      <w:r w:rsidR="00FA37EE" w:rsidRPr="00D11245">
        <w:rPr>
          <w:color w:val="000000" w:themeColor="text1"/>
          <w:sz w:val="24"/>
          <w:szCs w:val="24"/>
        </w:rPr>
        <w:t xml:space="preserve"> by paromomycin </w:t>
      </w:r>
      <w:r w:rsidR="0082795E" w:rsidRPr="00D11245">
        <w:rPr>
          <w:color w:val="000000" w:themeColor="text1"/>
          <w:sz w:val="24"/>
          <w:szCs w:val="24"/>
        </w:rPr>
        <w:fldChar w:fldCharType="begin"/>
      </w:r>
      <w:r w:rsidR="00F44542" w:rsidRPr="00D11245">
        <w:rPr>
          <w:color w:val="000000" w:themeColor="text1"/>
          <w:sz w:val="24"/>
          <w:szCs w:val="24"/>
        </w:rPr>
        <w:instrText xml:space="preserve"> ADDIN ZOTERO_ITEM CSL_CITATION {"citationID":"gn8RK9mE","properties":{"formattedCitation":"\\super 151\\nosupersub{}","plainCitation":"151","noteIndex":0},"citationItems":[{"id":16723,"uris":["http://zotero.org/groups/2497994/items/GBJ6B49X"],"itemData":{"id":16723,"type":"article-journal","abstract":"This is the first British Association of Sexual Health and HIV (BASHH) national guideline for the management of sexually transmitted enteric infections (STEI). This guideline is primarily aimed for level 3 sexual health clinics; however, it may also be applicable to other settings such as primary care or other hospital departments where individuals with STEI may present. This guideline makes recommendations on testing, management, partner notification and public health control of STEI.","container-title":"International Journal of STD &amp; AIDS","DOI":"10.1177/09564624231168217","ISSN":"0956-4624, 1758-1052","issue":"9","journalAbbreviation":"Int J STD AIDS","language":"en","page":"588-602","source":"DOI.org (Crossref)","title":"British Association of Sexual Health and HIV (BASHH) United Kingdom national guideline for the management of sexually transmitted enteric infections 2023","volume":"34","author":[{"family":"Richardson","given":"Daniel"},{"family":"Pakianathan","given":"Mark"},{"family":"Ewens","given":"Michael"},{"family":"Mitchell","given":"Holly"},{"family":"Mohammed","given":"Hasan"},{"family":"Wiseman","given":"Elizabeth"},{"family":"Tweed","given":"Marc"},{"family":"Nichols","given":"Kayleigh"},{"family":"Rawdah","given":"Waseem"},{"family":"Cooper","given":"Richard"},{"family":"Macrowan","given":"Robert"},{"family":"Irish","given":"Matthew"},{"family":"Evans","given":"Amy"},{"family":"Godbole","given":"Gauri"}],"issued":{"date-parts":[["2023",8]]}}}],"schema":"https://github.com/citation-style-language/schema/raw/master/csl-citation.json"} </w:instrText>
      </w:r>
      <w:r w:rsidR="0082795E" w:rsidRPr="00D11245">
        <w:rPr>
          <w:color w:val="000000" w:themeColor="text1"/>
          <w:sz w:val="24"/>
          <w:szCs w:val="24"/>
        </w:rPr>
        <w:fldChar w:fldCharType="separate"/>
      </w:r>
      <w:r w:rsidR="00F44542" w:rsidRPr="00D11245">
        <w:rPr>
          <w:rFonts w:ascii="Calibri" w:hAnsi="Calibri" w:cs="Calibri"/>
          <w:color w:val="000000" w:themeColor="text1"/>
          <w:kern w:val="0"/>
          <w:sz w:val="24"/>
          <w:vertAlign w:val="superscript"/>
        </w:rPr>
        <w:t>151</w:t>
      </w:r>
      <w:r w:rsidR="0082795E" w:rsidRPr="00D11245">
        <w:rPr>
          <w:color w:val="000000" w:themeColor="text1"/>
          <w:sz w:val="24"/>
          <w:szCs w:val="24"/>
        </w:rPr>
        <w:fldChar w:fldCharType="end"/>
      </w:r>
      <w:r w:rsidR="00FA37EE" w:rsidRPr="00D11245">
        <w:rPr>
          <w:color w:val="000000" w:themeColor="text1"/>
          <w:sz w:val="24"/>
          <w:szCs w:val="24"/>
        </w:rPr>
        <w:t xml:space="preserve"> .</w:t>
      </w:r>
      <w:r w:rsidR="00F30D33" w:rsidRPr="00D11245">
        <w:rPr>
          <w:color w:val="000000" w:themeColor="text1"/>
          <w:sz w:val="24"/>
          <w:szCs w:val="24"/>
        </w:rPr>
        <w:t xml:space="preserve"> </w:t>
      </w:r>
      <w:r w:rsidR="00C213BD" w:rsidRPr="00D11245">
        <w:rPr>
          <w:color w:val="000000" w:themeColor="text1"/>
          <w:sz w:val="24"/>
          <w:szCs w:val="24"/>
        </w:rPr>
        <w:t>Since 2021</w:t>
      </w:r>
      <w:r w:rsidR="004A290D" w:rsidRPr="00D11245">
        <w:rPr>
          <w:color w:val="000000" w:themeColor="text1"/>
          <w:sz w:val="24"/>
          <w:szCs w:val="24"/>
        </w:rPr>
        <w:t>,</w:t>
      </w:r>
      <w:r w:rsidR="00C213BD" w:rsidRPr="00D11245">
        <w:rPr>
          <w:color w:val="000000" w:themeColor="text1"/>
          <w:sz w:val="24"/>
          <w:szCs w:val="24"/>
        </w:rPr>
        <w:t xml:space="preserve"> tinidazole has not been available in the UK and therefore metronidazole is recommended</w:t>
      </w:r>
      <w:r w:rsidR="007706A3" w:rsidRPr="00D11245">
        <w:rPr>
          <w:color w:val="000000" w:themeColor="text1"/>
          <w:sz w:val="24"/>
          <w:szCs w:val="24"/>
        </w:rPr>
        <w:t xml:space="preserve"> </w:t>
      </w:r>
      <w:r w:rsidR="007706A3" w:rsidRPr="00D11245">
        <w:rPr>
          <w:color w:val="000000" w:themeColor="text1"/>
          <w:sz w:val="24"/>
          <w:szCs w:val="24"/>
        </w:rPr>
        <w:fldChar w:fldCharType="begin"/>
      </w:r>
      <w:r w:rsidR="00F44542" w:rsidRPr="00D11245">
        <w:rPr>
          <w:color w:val="000000" w:themeColor="text1"/>
          <w:sz w:val="24"/>
          <w:szCs w:val="24"/>
        </w:rPr>
        <w:instrText xml:space="preserve"> ADDIN ZOTERO_ITEM CSL_CITATION {"citationID":"64dgaEsz","properties":{"formattedCitation":"\\super 149\\nosupersub{}","plainCitation":"149","noteIndex":0},"citationItems":[{"id":16822,"uris":["http://zotero.org/groups/2497994/items/MJIBPDHF"],"itemData":{"id":16822,"type":"webpage","container-title":"National Institute of Clinical Exellence","genre":"Clinical Knowledge Summaries","title":"Trichomoniasis: Changes, Last revised in November 2023","URL":"https://cks.nice.org.uk/topics/trichomoniasis/how-up-to-date-is-this-topic/changes/#:~:text=Recommendations%20relating%20to%20tinidazole%2C%20and,been%20discontinued%20in%20the%20UK.","author":[{"family":"NICE","given":""}],"issued":{"date-parts":[["2024",6,13]]}}}],"schema":"https://github.com/citation-style-language/schema/raw/master/csl-citation.json"} </w:instrText>
      </w:r>
      <w:r w:rsidR="007706A3" w:rsidRPr="00D11245">
        <w:rPr>
          <w:color w:val="000000" w:themeColor="text1"/>
          <w:sz w:val="24"/>
          <w:szCs w:val="24"/>
        </w:rPr>
        <w:fldChar w:fldCharType="separate"/>
      </w:r>
      <w:r w:rsidR="00F44542" w:rsidRPr="00D11245">
        <w:rPr>
          <w:rFonts w:ascii="Calibri" w:hAnsi="Calibri" w:cs="Calibri"/>
          <w:color w:val="000000" w:themeColor="text1"/>
          <w:kern w:val="0"/>
          <w:sz w:val="24"/>
          <w:vertAlign w:val="superscript"/>
        </w:rPr>
        <w:t>149</w:t>
      </w:r>
      <w:r w:rsidR="007706A3" w:rsidRPr="00D11245">
        <w:rPr>
          <w:color w:val="000000" w:themeColor="text1"/>
          <w:sz w:val="24"/>
          <w:szCs w:val="24"/>
        </w:rPr>
        <w:fldChar w:fldCharType="end"/>
      </w:r>
      <w:r w:rsidR="00C213BD" w:rsidRPr="00D11245">
        <w:rPr>
          <w:color w:val="000000" w:themeColor="text1"/>
          <w:sz w:val="24"/>
          <w:szCs w:val="24"/>
        </w:rPr>
        <w:t xml:space="preserve">. </w:t>
      </w:r>
      <w:r w:rsidR="00F07E69" w:rsidRPr="00D11245">
        <w:rPr>
          <w:color w:val="000000" w:themeColor="text1"/>
          <w:sz w:val="24"/>
          <w:szCs w:val="24"/>
        </w:rPr>
        <w:t xml:space="preserve">Longer duration of treatment is recommended for </w:t>
      </w:r>
      <w:r w:rsidR="0046744E" w:rsidRPr="00D11245">
        <w:rPr>
          <w:color w:val="000000" w:themeColor="text1"/>
          <w:sz w:val="24"/>
          <w:szCs w:val="24"/>
        </w:rPr>
        <w:t xml:space="preserve">extra-intestinal </w:t>
      </w:r>
      <w:r w:rsidR="0022099B" w:rsidRPr="00D11245">
        <w:rPr>
          <w:color w:val="000000" w:themeColor="text1"/>
          <w:sz w:val="24"/>
          <w:szCs w:val="24"/>
        </w:rPr>
        <w:t xml:space="preserve">amoebiasis, </w:t>
      </w:r>
      <w:r w:rsidR="00F30D33" w:rsidRPr="00D11245">
        <w:rPr>
          <w:color w:val="000000" w:themeColor="text1"/>
          <w:sz w:val="24"/>
          <w:szCs w:val="24"/>
        </w:rPr>
        <w:t>including liver abscess</w:t>
      </w:r>
      <w:r w:rsidR="007A3C5C" w:rsidRPr="00D11245">
        <w:rPr>
          <w:color w:val="000000" w:themeColor="text1"/>
          <w:sz w:val="24"/>
          <w:szCs w:val="24"/>
        </w:rPr>
        <w:t xml:space="preserve"> (se</w:t>
      </w:r>
      <w:r w:rsidR="00832300" w:rsidRPr="00D11245">
        <w:rPr>
          <w:color w:val="000000" w:themeColor="text1"/>
          <w:sz w:val="24"/>
          <w:szCs w:val="24"/>
        </w:rPr>
        <w:t>e</w:t>
      </w:r>
      <w:r w:rsidR="007A3C5C" w:rsidRPr="00D11245">
        <w:rPr>
          <w:color w:val="000000" w:themeColor="text1"/>
          <w:sz w:val="24"/>
          <w:szCs w:val="24"/>
        </w:rPr>
        <w:t xml:space="preserve"> </w:t>
      </w:r>
      <w:r w:rsidR="00922373" w:rsidRPr="00D11245">
        <w:rPr>
          <w:color w:val="000000" w:themeColor="text1"/>
          <w:sz w:val="24"/>
          <w:szCs w:val="24"/>
        </w:rPr>
        <w:t>T</w:t>
      </w:r>
      <w:r w:rsidR="007A3C5C" w:rsidRPr="00D11245">
        <w:rPr>
          <w:color w:val="000000" w:themeColor="text1"/>
          <w:sz w:val="24"/>
          <w:szCs w:val="24"/>
        </w:rPr>
        <w:t>able</w:t>
      </w:r>
      <w:r w:rsidR="00922373" w:rsidRPr="00D11245">
        <w:rPr>
          <w:color w:val="000000" w:themeColor="text1"/>
          <w:sz w:val="24"/>
          <w:szCs w:val="24"/>
        </w:rPr>
        <w:t xml:space="preserve"> 5</w:t>
      </w:r>
      <w:r w:rsidR="00832300" w:rsidRPr="00D11245">
        <w:rPr>
          <w:color w:val="000000" w:themeColor="text1"/>
          <w:sz w:val="24"/>
          <w:szCs w:val="24"/>
        </w:rPr>
        <w:t>)</w:t>
      </w:r>
      <w:r w:rsidR="00F30D33" w:rsidRPr="00D11245">
        <w:rPr>
          <w:color w:val="000000" w:themeColor="text1"/>
          <w:sz w:val="24"/>
          <w:szCs w:val="24"/>
        </w:rPr>
        <w:t xml:space="preserve"> </w:t>
      </w:r>
      <w:r w:rsidR="0082795E" w:rsidRPr="00D11245">
        <w:rPr>
          <w:color w:val="000000" w:themeColor="text1"/>
          <w:sz w:val="24"/>
          <w:szCs w:val="24"/>
        </w:rPr>
        <w:fldChar w:fldCharType="begin"/>
      </w:r>
      <w:r w:rsidR="009C3E63" w:rsidRPr="00D11245">
        <w:rPr>
          <w:color w:val="000000" w:themeColor="text1"/>
          <w:sz w:val="24"/>
          <w:szCs w:val="24"/>
        </w:rPr>
        <w:instrText xml:space="preserve"> ADDIN ZOTERO_ITEM CSL_CITATION {"citationID":"0pKZlrcr","properties":{"formattedCitation":"\\super 6,110\\nosupersub{}","plainCitation":"6,110","noteIndex":0},"citationItems":[{"id":1684,"uris":["http://zotero.org/groups/2497994/items/8XTEUHWF",["http://zotero.org/groups/2497994/items/8XTEUHWF"]],"itemData":{"id":1684,"type":"article-journal","abstract":"Amebiasis, due to the pathogenic parasite Entamoeba histolytica, is a leading cause of diarrhea globally. Largely an infection of impoverished communities in developing countries, amebiasis has emerged as an important infection among returning travelers, immigrants, and men who have sex with men residing in developed countries. Severe cases can be associated with high case fatality. Polymerase chain reaction-based diagnosis is increasingly available but remains underutilized. Nitroimidazoles are currently recommended for treatment, but new drug development to treat parasitic agents is a high priority. Amebiasis should be considered before corticosteroid therapy to decrease complications. There is no effective vaccine, so prevention focuses on sanitation and access to clean water. Further understanding of parasite biology and pathogenesis will advance future targeted therapeutic and preventative strategies.Copyright © The Author(s) 2018. Published by Oxford University Press on behalf of Infectious Diseases Society of America.","container-title":"Open Forum Infectious Diseases","DOI":"10.1093/ofid/ofy161","ISSN":"2328-8957 (electronic)","issue":"7","journalAbbreviation":"Open Forum Infect. Dis.","language":"English","note":"publisher-place: United States\npublisher: Oxford University Press (E-mail: info@idsociety.org)","page":"ofy161","title":"A review of the global burden, new diagnostics, and current Therapeutics for amebiasis","volume":"5","author":[{"literal":"Shirley D.T."},{"literal":"Farr L."},{"literal":"Watanabe K."},{"literal":"Moonah S."}],"issued":{"date-parts":[["2018"]]}}},{"id":1688,"uris":["http://zotero.org/groups/2497994/items/GISH798W"],"itemData":{"id":1688,"type":"article-journal","abstract":"Amoebic liver abscess (ALA) is an uncommon but potentially life-threatening complication of infection with the protozoan parasite Entamoeba histolytica. E histolytica is widely distributed throughout the tropics and subtropics, causing up to 40 million infections annually. The parasite is transmitted via the fecal-oral route, and once it establishes itself in the colon, it has the propensity to invade the mucosa, leading to ulceration and colitis, and to disseminate to distant extraintestinal sites, the most common of which is the liver. The authors provide a topical review of ALA and summarize clinical data from a series of 29 patients with ALA presenting to seven hospitals in Toronto, Ontario, a nonendemic setting, over 30 years.","container-title":"Canadian Journal of Gastroenterology and Hepatology","DOI":"10.1155/2012/852835","ISSN":"2291-2789","issue":"10","note":"WOS:000309763200013","page":"729-733","title":"A review of amoebic liver abscess for clinicians in a nonendemic setting","volume":"26","author":[{"family":"Wuerz","given":"Terry"},{"family":"Kane","given":"Jennifer B."},{"family":"Boggild","given":"Andrea K."},{"family":"Krajden","given":"Sigmund"},{"family":"Keystone","given":"Jay S."},{"family":"Fuksa","given":"Milan"},{"family":"Kain","given":"Kevin C."},{"family":"Warren","given":"Ralph"},{"family":"Kempston","given":"John"},{"family":"Anderson","given":"Joe"}],"issued":{"date-parts":[["2012",10]]}}}],"schema":"https://github.com/citation-style-language/schema/raw/master/csl-citation.json"} </w:instrText>
      </w:r>
      <w:r w:rsidR="0082795E" w:rsidRPr="00D11245">
        <w:rPr>
          <w:color w:val="000000" w:themeColor="text1"/>
          <w:sz w:val="24"/>
          <w:szCs w:val="24"/>
        </w:rPr>
        <w:fldChar w:fldCharType="separate"/>
      </w:r>
      <w:r w:rsidR="009C3E63" w:rsidRPr="00D11245">
        <w:rPr>
          <w:rFonts w:ascii="Calibri" w:hAnsi="Calibri" w:cs="Calibri"/>
          <w:color w:val="000000" w:themeColor="text1"/>
          <w:kern w:val="0"/>
          <w:sz w:val="24"/>
          <w:vertAlign w:val="superscript"/>
        </w:rPr>
        <w:t>6,110</w:t>
      </w:r>
      <w:r w:rsidR="0082795E" w:rsidRPr="00D11245">
        <w:rPr>
          <w:color w:val="000000" w:themeColor="text1"/>
          <w:sz w:val="24"/>
          <w:szCs w:val="24"/>
        </w:rPr>
        <w:fldChar w:fldCharType="end"/>
      </w:r>
      <w:r w:rsidR="00F30D33" w:rsidRPr="00D11245">
        <w:rPr>
          <w:color w:val="000000" w:themeColor="text1"/>
          <w:sz w:val="24"/>
          <w:szCs w:val="24"/>
        </w:rPr>
        <w:t xml:space="preserve">.   </w:t>
      </w:r>
      <w:r w:rsidR="008D37AB" w:rsidRPr="00D11245">
        <w:rPr>
          <w:rFonts w:ascii="Calibri" w:hAnsi="Calibri" w:cs="Calibri"/>
          <w:color w:val="000000" w:themeColor="text1"/>
          <w:sz w:val="24"/>
          <w:szCs w:val="24"/>
        </w:rPr>
        <w:t xml:space="preserve">Amoebic liver abscesses </w:t>
      </w:r>
      <w:r w:rsidR="00BB0326" w:rsidRPr="00D11245">
        <w:rPr>
          <w:rFonts w:ascii="Calibri" w:hAnsi="Calibri" w:cs="Calibri"/>
          <w:color w:val="000000" w:themeColor="text1"/>
          <w:sz w:val="24"/>
          <w:szCs w:val="24"/>
        </w:rPr>
        <w:t xml:space="preserve">do not </w:t>
      </w:r>
      <w:r w:rsidR="000A7E37" w:rsidRPr="00D11245">
        <w:rPr>
          <w:rFonts w:ascii="Calibri" w:hAnsi="Calibri" w:cs="Calibri"/>
          <w:color w:val="000000" w:themeColor="text1"/>
          <w:sz w:val="24"/>
          <w:szCs w:val="24"/>
        </w:rPr>
        <w:t xml:space="preserve">routinely require </w:t>
      </w:r>
      <w:r w:rsidR="00387355" w:rsidRPr="00D11245">
        <w:rPr>
          <w:rFonts w:ascii="Calibri" w:hAnsi="Calibri" w:cs="Calibri"/>
          <w:color w:val="000000" w:themeColor="text1"/>
          <w:sz w:val="24"/>
          <w:szCs w:val="24"/>
        </w:rPr>
        <w:t>per</w:t>
      </w:r>
      <w:r w:rsidR="001A2A7A" w:rsidRPr="00D11245">
        <w:rPr>
          <w:rFonts w:ascii="Calibri" w:hAnsi="Calibri" w:cs="Calibri"/>
          <w:color w:val="000000" w:themeColor="text1"/>
          <w:sz w:val="24"/>
          <w:szCs w:val="24"/>
        </w:rPr>
        <w:t xml:space="preserve">cutaneous </w:t>
      </w:r>
      <w:r w:rsidR="000A7E37" w:rsidRPr="00D11245">
        <w:rPr>
          <w:rFonts w:ascii="Calibri" w:hAnsi="Calibri" w:cs="Calibri"/>
          <w:color w:val="000000" w:themeColor="text1"/>
          <w:sz w:val="24"/>
          <w:szCs w:val="24"/>
        </w:rPr>
        <w:t>drainage</w:t>
      </w:r>
      <w:r w:rsidR="00260651" w:rsidRPr="00D11245">
        <w:rPr>
          <w:rFonts w:ascii="Calibri" w:hAnsi="Calibri" w:cs="Calibri"/>
          <w:color w:val="000000" w:themeColor="text1"/>
          <w:sz w:val="24"/>
          <w:szCs w:val="24"/>
        </w:rPr>
        <w:t xml:space="preserve">, but </w:t>
      </w:r>
      <w:r w:rsidR="008F296A" w:rsidRPr="00D11245">
        <w:rPr>
          <w:rFonts w:ascii="Calibri" w:hAnsi="Calibri" w:cs="Calibri"/>
          <w:color w:val="000000" w:themeColor="text1"/>
          <w:sz w:val="24"/>
          <w:szCs w:val="24"/>
        </w:rPr>
        <w:t xml:space="preserve">it </w:t>
      </w:r>
      <w:r w:rsidR="008D37AB" w:rsidRPr="00D11245">
        <w:rPr>
          <w:rFonts w:ascii="Calibri" w:hAnsi="Calibri" w:cs="Calibri"/>
          <w:color w:val="000000" w:themeColor="text1"/>
          <w:sz w:val="24"/>
          <w:szCs w:val="24"/>
        </w:rPr>
        <w:t xml:space="preserve">may be considered if clinical response is not seen </w:t>
      </w:r>
      <w:r w:rsidR="00874803" w:rsidRPr="00D11245">
        <w:rPr>
          <w:rFonts w:ascii="Calibri" w:hAnsi="Calibri" w:cs="Calibri"/>
          <w:color w:val="000000" w:themeColor="text1"/>
          <w:sz w:val="24"/>
          <w:szCs w:val="24"/>
        </w:rPr>
        <w:t xml:space="preserve">after </w:t>
      </w:r>
      <w:r w:rsidR="00B23D59" w:rsidRPr="00D11245">
        <w:rPr>
          <w:rFonts w:ascii="Calibri" w:hAnsi="Calibri" w:cs="Calibri"/>
          <w:color w:val="000000" w:themeColor="text1"/>
          <w:sz w:val="24"/>
          <w:szCs w:val="24"/>
        </w:rPr>
        <w:t xml:space="preserve">3 or </w:t>
      </w:r>
      <w:r w:rsidR="00874803" w:rsidRPr="00D11245">
        <w:rPr>
          <w:rFonts w:ascii="Calibri" w:hAnsi="Calibri" w:cs="Calibri"/>
          <w:color w:val="000000" w:themeColor="text1"/>
          <w:sz w:val="24"/>
          <w:szCs w:val="24"/>
        </w:rPr>
        <w:t>4 days</w:t>
      </w:r>
      <w:r w:rsidR="005248B9" w:rsidRPr="00D11245">
        <w:rPr>
          <w:rFonts w:ascii="Calibri" w:hAnsi="Calibri" w:cs="Calibri"/>
          <w:color w:val="000000" w:themeColor="text1"/>
          <w:sz w:val="24"/>
          <w:szCs w:val="24"/>
        </w:rPr>
        <w:t xml:space="preserve"> </w:t>
      </w:r>
      <w:r w:rsidR="00874803" w:rsidRPr="00D11245">
        <w:rPr>
          <w:rFonts w:ascii="Calibri" w:hAnsi="Calibri" w:cs="Calibri"/>
          <w:color w:val="000000" w:themeColor="text1"/>
          <w:sz w:val="24"/>
          <w:szCs w:val="24"/>
        </w:rPr>
        <w:t>medical treatment</w:t>
      </w:r>
      <w:r w:rsidR="00B87952" w:rsidRPr="00D11245">
        <w:rPr>
          <w:rFonts w:ascii="Calibri" w:hAnsi="Calibri" w:cs="Calibri"/>
          <w:color w:val="000000" w:themeColor="text1"/>
          <w:sz w:val="24"/>
          <w:szCs w:val="24"/>
        </w:rPr>
        <w:t>,</w:t>
      </w:r>
      <w:r w:rsidR="00874803" w:rsidRPr="00D11245">
        <w:rPr>
          <w:rFonts w:ascii="Calibri" w:hAnsi="Calibri" w:cs="Calibri"/>
          <w:color w:val="000000" w:themeColor="text1"/>
          <w:sz w:val="24"/>
          <w:szCs w:val="24"/>
        </w:rPr>
        <w:t xml:space="preserve"> </w:t>
      </w:r>
      <w:r w:rsidR="008D37AB" w:rsidRPr="00D11245">
        <w:rPr>
          <w:rFonts w:ascii="Calibri" w:hAnsi="Calibri" w:cs="Calibri"/>
          <w:color w:val="000000" w:themeColor="text1"/>
          <w:sz w:val="24"/>
          <w:szCs w:val="24"/>
        </w:rPr>
        <w:t>or when the abscess is &gt;10cm</w:t>
      </w:r>
      <w:r w:rsidR="00F3577D" w:rsidRPr="00D11245">
        <w:rPr>
          <w:rFonts w:ascii="Calibri" w:hAnsi="Calibri" w:cs="Calibri"/>
          <w:color w:val="000000" w:themeColor="text1"/>
          <w:sz w:val="24"/>
          <w:szCs w:val="24"/>
        </w:rPr>
        <w:t xml:space="preserve"> (which carries</w:t>
      </w:r>
      <w:r w:rsidR="008D37AB" w:rsidRPr="00D11245">
        <w:rPr>
          <w:rFonts w:ascii="Calibri" w:hAnsi="Calibri" w:cs="Calibri"/>
          <w:color w:val="000000" w:themeColor="text1"/>
          <w:sz w:val="24"/>
          <w:szCs w:val="24"/>
        </w:rPr>
        <w:t xml:space="preserve"> an increased risk of abscess rupture</w:t>
      </w:r>
      <w:r w:rsidR="00EB30BA" w:rsidRPr="00D11245">
        <w:rPr>
          <w:rFonts w:ascii="Calibri" w:hAnsi="Calibri" w:cs="Calibri"/>
          <w:color w:val="000000" w:themeColor="text1"/>
          <w:sz w:val="24"/>
          <w:szCs w:val="24"/>
        </w:rPr>
        <w:t>)</w:t>
      </w:r>
      <w:r w:rsidR="008D37AB" w:rsidRPr="00D11245">
        <w:rPr>
          <w:rFonts w:ascii="Calibri" w:hAnsi="Calibri" w:cs="Calibri"/>
          <w:color w:val="000000" w:themeColor="text1"/>
          <w:sz w:val="24"/>
          <w:szCs w:val="24"/>
        </w:rPr>
        <w:t xml:space="preserve"> </w:t>
      </w:r>
      <w:r w:rsidR="00EB30BA" w:rsidRPr="00D11245">
        <w:rPr>
          <w:rFonts w:ascii="Calibri" w:hAnsi="Calibri" w:cs="Calibri"/>
          <w:color w:val="000000" w:themeColor="text1"/>
          <w:sz w:val="24"/>
          <w:szCs w:val="24"/>
        </w:rPr>
        <w:t xml:space="preserve">or </w:t>
      </w:r>
      <w:r w:rsidR="008D37AB" w:rsidRPr="00D11245">
        <w:rPr>
          <w:rFonts w:ascii="Calibri" w:hAnsi="Calibri" w:cs="Calibri"/>
          <w:color w:val="000000" w:themeColor="text1"/>
          <w:sz w:val="24"/>
          <w:szCs w:val="24"/>
        </w:rPr>
        <w:t>if the abscess is in the left lobe</w:t>
      </w:r>
      <w:r w:rsidR="005149A4" w:rsidRPr="00D11245">
        <w:rPr>
          <w:rFonts w:ascii="Calibri" w:hAnsi="Calibri" w:cs="Calibri"/>
          <w:color w:val="000000" w:themeColor="text1"/>
          <w:sz w:val="24"/>
          <w:szCs w:val="24"/>
        </w:rPr>
        <w:t>,</w:t>
      </w:r>
      <w:r w:rsidR="008D37AB" w:rsidRPr="00D11245">
        <w:rPr>
          <w:rFonts w:ascii="Calibri" w:hAnsi="Calibri" w:cs="Calibri"/>
          <w:color w:val="000000" w:themeColor="text1"/>
          <w:sz w:val="24"/>
          <w:szCs w:val="24"/>
        </w:rPr>
        <w:t xml:space="preserve"> where rupture may </w:t>
      </w:r>
      <w:r w:rsidR="005149A4" w:rsidRPr="00D11245">
        <w:rPr>
          <w:rFonts w:ascii="Calibri" w:hAnsi="Calibri" w:cs="Calibri"/>
          <w:color w:val="000000" w:themeColor="text1"/>
          <w:sz w:val="24"/>
          <w:szCs w:val="24"/>
        </w:rPr>
        <w:t xml:space="preserve">involve </w:t>
      </w:r>
      <w:r w:rsidR="008D37AB" w:rsidRPr="00D11245">
        <w:rPr>
          <w:rFonts w:ascii="Calibri" w:hAnsi="Calibri" w:cs="Calibri"/>
          <w:color w:val="000000" w:themeColor="text1"/>
          <w:sz w:val="24"/>
          <w:szCs w:val="24"/>
        </w:rPr>
        <w:t xml:space="preserve">the pericardium </w:t>
      </w:r>
      <w:r w:rsidR="0082795E" w:rsidRPr="00D11245">
        <w:rPr>
          <w:rFonts w:ascii="Calibri" w:hAnsi="Calibri" w:cs="Calibri"/>
          <w:color w:val="000000" w:themeColor="text1"/>
          <w:sz w:val="24"/>
          <w:szCs w:val="24"/>
        </w:rPr>
        <w:fldChar w:fldCharType="begin"/>
      </w:r>
      <w:r w:rsidR="0082795E" w:rsidRPr="00D11245">
        <w:rPr>
          <w:rFonts w:ascii="Calibri" w:hAnsi="Calibri" w:cs="Calibri"/>
          <w:color w:val="000000" w:themeColor="text1"/>
          <w:sz w:val="24"/>
          <w:szCs w:val="24"/>
        </w:rPr>
        <w:instrText xml:space="preserve"> ADDIN ZOTERO_ITEM CSL_CITATION {"citationID":"93cAWQjp","properties":{"formattedCitation":"\\super 6\\nosupersub{}","plainCitation":"6","noteIndex":0},"citationItems":[{"id":1684,"uris":["http://zotero.org/groups/2497994/items/8XTEUHWF",["http://zotero.org/groups/2497994/items/8XTEUHWF"]],"itemData":{"id":1684,"type":"article-journal","abstract":"Amebiasis, due to the pathogenic parasite Entamoeba histolytica, is a leading cause of diarrhea globally. Largely an infection of impoverished communities in developing countries, amebiasis has emerged as an important infection among returning travelers, immigrants, and men who have sex with men residing in developed countries. Severe cases can be associated with high case fatality. Polymerase chain reaction-based diagnosis is increasingly available but remains underutilized. Nitroimidazoles are currently recommended for treatment, but new drug development to treat parasitic agents is a high priority. Amebiasis should be considered before corticosteroid therapy to decrease complications. There is no effective vaccine, so prevention focuses on sanitation and access to clean water. Further understanding of parasite biology and pathogenesis will advance future targeted therapeutic and preventative strategies.Copyright © The Author(s) 2018. Published by Oxford University Press on behalf of Infectious Diseases Society of America.","container-title":"Open Forum Infectious Diseases","DOI":"10.1093/ofid/ofy161","ISSN":"2328-8957 (electronic)","issue":"7","journalAbbreviation":"Open Forum Infect. Dis.","language":"English","note":"publisher-place: United States\npublisher: Oxford University Press (E-mail: info@idsociety.org)","page":"ofy161","title":"A review of the global burden, new diagnostics, and current Therapeutics for amebiasis","volume":"5","author":[{"literal":"Shirley D.T."},{"literal":"Farr L."},{"literal":"Watanabe K."},{"literal":"Moonah S."}],"issued":{"date-parts":[["2018"]]}}}],"schema":"https://github.com/citation-style-language/schema/raw/master/csl-citation.json"} </w:instrText>
      </w:r>
      <w:r w:rsidR="0082795E" w:rsidRPr="00D11245">
        <w:rPr>
          <w:rFonts w:ascii="Calibri" w:hAnsi="Calibri" w:cs="Calibri"/>
          <w:color w:val="000000" w:themeColor="text1"/>
          <w:sz w:val="24"/>
          <w:szCs w:val="24"/>
        </w:rPr>
        <w:fldChar w:fldCharType="separate"/>
      </w:r>
      <w:r w:rsidR="0082795E" w:rsidRPr="00D11245">
        <w:rPr>
          <w:rFonts w:ascii="Calibri" w:hAnsi="Calibri" w:cs="Calibri"/>
          <w:color w:val="000000" w:themeColor="text1"/>
          <w:kern w:val="0"/>
          <w:sz w:val="24"/>
          <w:szCs w:val="24"/>
          <w:vertAlign w:val="superscript"/>
        </w:rPr>
        <w:t>6</w:t>
      </w:r>
      <w:r w:rsidR="0082795E" w:rsidRPr="00D11245">
        <w:rPr>
          <w:rFonts w:ascii="Calibri" w:hAnsi="Calibri" w:cs="Calibri"/>
          <w:color w:val="000000" w:themeColor="text1"/>
          <w:sz w:val="24"/>
          <w:szCs w:val="24"/>
        </w:rPr>
        <w:fldChar w:fldCharType="end"/>
      </w:r>
      <w:r w:rsidR="008D37AB" w:rsidRPr="00D11245">
        <w:rPr>
          <w:rFonts w:ascii="Calibri" w:hAnsi="Calibri" w:cs="Calibri"/>
          <w:color w:val="000000" w:themeColor="text1"/>
          <w:sz w:val="24"/>
          <w:szCs w:val="24"/>
        </w:rPr>
        <w:t xml:space="preserve">. The abscess may take many months to resolve </w:t>
      </w:r>
      <w:r w:rsidR="00C203C5" w:rsidRPr="00D11245">
        <w:rPr>
          <w:rFonts w:ascii="Calibri" w:hAnsi="Calibri" w:cs="Calibri"/>
          <w:color w:val="000000" w:themeColor="text1"/>
          <w:sz w:val="24"/>
          <w:szCs w:val="24"/>
        </w:rPr>
        <w:t xml:space="preserve">fully </w:t>
      </w:r>
      <w:r w:rsidR="008D37AB" w:rsidRPr="00D11245">
        <w:rPr>
          <w:rFonts w:ascii="Calibri" w:hAnsi="Calibri" w:cs="Calibri"/>
          <w:color w:val="000000" w:themeColor="text1"/>
          <w:sz w:val="24"/>
          <w:szCs w:val="24"/>
        </w:rPr>
        <w:t>on imaging</w:t>
      </w:r>
      <w:r w:rsidR="007D4883" w:rsidRPr="00D11245">
        <w:rPr>
          <w:rFonts w:ascii="Calibri" w:hAnsi="Calibri" w:cs="Calibri"/>
          <w:color w:val="000000" w:themeColor="text1"/>
          <w:sz w:val="24"/>
          <w:szCs w:val="24"/>
        </w:rPr>
        <w:t>,</w:t>
      </w:r>
      <w:r w:rsidR="00AA7334" w:rsidRPr="00D11245">
        <w:rPr>
          <w:rFonts w:ascii="Calibri" w:hAnsi="Calibri" w:cs="Calibri"/>
          <w:color w:val="000000" w:themeColor="text1"/>
          <w:sz w:val="24"/>
          <w:szCs w:val="24"/>
        </w:rPr>
        <w:t xml:space="preserve"> but this does not require ex</w:t>
      </w:r>
      <w:r w:rsidR="005149A4" w:rsidRPr="00D11245">
        <w:rPr>
          <w:rFonts w:ascii="Calibri" w:hAnsi="Calibri" w:cs="Calibri"/>
          <w:color w:val="000000" w:themeColor="text1"/>
          <w:sz w:val="24"/>
          <w:szCs w:val="24"/>
        </w:rPr>
        <w:t>t</w:t>
      </w:r>
      <w:r w:rsidR="00AA7334" w:rsidRPr="00D11245">
        <w:rPr>
          <w:rFonts w:ascii="Calibri" w:hAnsi="Calibri" w:cs="Calibri"/>
          <w:color w:val="000000" w:themeColor="text1"/>
          <w:sz w:val="24"/>
          <w:szCs w:val="24"/>
        </w:rPr>
        <w:t xml:space="preserve">ended </w:t>
      </w:r>
      <w:r w:rsidR="005248B9" w:rsidRPr="00D11245">
        <w:rPr>
          <w:rFonts w:ascii="Calibri" w:hAnsi="Calibri" w:cs="Calibri"/>
          <w:color w:val="000000" w:themeColor="text1"/>
          <w:sz w:val="24"/>
          <w:szCs w:val="24"/>
        </w:rPr>
        <w:t>periods</w:t>
      </w:r>
      <w:r w:rsidR="00AA7334" w:rsidRPr="00D11245">
        <w:rPr>
          <w:rFonts w:ascii="Calibri" w:hAnsi="Calibri" w:cs="Calibri"/>
          <w:color w:val="000000" w:themeColor="text1"/>
          <w:sz w:val="24"/>
          <w:szCs w:val="24"/>
        </w:rPr>
        <w:t xml:space="preserve"> of drug therapy</w:t>
      </w:r>
      <w:r w:rsidR="0082795E" w:rsidRPr="00D11245">
        <w:rPr>
          <w:rFonts w:ascii="Calibri" w:hAnsi="Calibri" w:cs="Calibri"/>
          <w:color w:val="000000" w:themeColor="text1"/>
          <w:sz w:val="24"/>
          <w:szCs w:val="24"/>
        </w:rPr>
        <w:fldChar w:fldCharType="begin"/>
      </w:r>
      <w:r w:rsidR="0082795E" w:rsidRPr="00D11245">
        <w:rPr>
          <w:rFonts w:ascii="Calibri" w:hAnsi="Calibri" w:cs="Calibri"/>
          <w:color w:val="000000" w:themeColor="text1"/>
          <w:sz w:val="24"/>
          <w:szCs w:val="24"/>
        </w:rPr>
        <w:instrText xml:space="preserve"> ADDIN ZOTERO_ITEM CSL_CITATION {"citationID":"WsJkjsgx","properties":{"formattedCitation":"\\super 6\\nosupersub{}","plainCitation":"6","noteIndex":0},"citationItems":[{"id":1684,"uris":["http://zotero.org/groups/2497994/items/8XTEUHWF",["http://zotero.org/groups/2497994/items/8XTEUHWF"]],"itemData":{"id":1684,"type":"article-journal","abstract":"Amebiasis, due to the pathogenic parasite Entamoeba histolytica, is a leading cause of diarrhea globally. Largely an infection of impoverished communities in developing countries, amebiasis has emerged as an important infection among returning travelers, immigrants, and men who have sex with men residing in developed countries. Severe cases can be associated with high case fatality. Polymerase chain reaction-based diagnosis is increasingly available but remains underutilized. Nitroimidazoles are currently recommended for treatment, but new drug development to treat parasitic agents is a high priority. Amebiasis should be considered before corticosteroid therapy to decrease complications. There is no effective vaccine, so prevention focuses on sanitation and access to clean water. Further understanding of parasite biology and pathogenesis will advance future targeted therapeutic and preventative strategies.Copyright © The Author(s) 2018. Published by Oxford University Press on behalf of Infectious Diseases Society of America.","container-title":"Open Forum Infectious Diseases","DOI":"10.1093/ofid/ofy161","ISSN":"2328-8957 (electronic)","issue":"7","journalAbbreviation":"Open Forum Infect. Dis.","language":"English","note":"publisher-place: United States\npublisher: Oxford University Press (E-mail: info@idsociety.org)","page":"ofy161","title":"A review of the global burden, new diagnostics, and current Therapeutics for amebiasis","volume":"5","author":[{"literal":"Shirley D.T."},{"literal":"Farr L."},{"literal":"Watanabe K."},{"literal":"Moonah S."}],"issued":{"date-parts":[["2018"]]}}}],"schema":"https://github.com/citation-style-language/schema/raw/master/csl-citation.json"} </w:instrText>
      </w:r>
      <w:r w:rsidR="0082795E" w:rsidRPr="00D11245">
        <w:rPr>
          <w:rFonts w:ascii="Calibri" w:hAnsi="Calibri" w:cs="Calibri"/>
          <w:color w:val="000000" w:themeColor="text1"/>
          <w:sz w:val="24"/>
          <w:szCs w:val="24"/>
        </w:rPr>
        <w:fldChar w:fldCharType="separate"/>
      </w:r>
      <w:r w:rsidR="0082795E" w:rsidRPr="00D11245">
        <w:rPr>
          <w:rFonts w:ascii="Calibri" w:hAnsi="Calibri" w:cs="Calibri"/>
          <w:color w:val="000000" w:themeColor="text1"/>
          <w:kern w:val="0"/>
          <w:sz w:val="24"/>
          <w:szCs w:val="24"/>
          <w:vertAlign w:val="superscript"/>
        </w:rPr>
        <w:t>6</w:t>
      </w:r>
      <w:r w:rsidR="0082795E" w:rsidRPr="00D11245">
        <w:rPr>
          <w:rFonts w:ascii="Calibri" w:hAnsi="Calibri" w:cs="Calibri"/>
          <w:color w:val="000000" w:themeColor="text1"/>
          <w:sz w:val="24"/>
          <w:szCs w:val="24"/>
        </w:rPr>
        <w:fldChar w:fldCharType="end"/>
      </w:r>
      <w:r w:rsidR="008D37AB" w:rsidRPr="00D11245">
        <w:rPr>
          <w:rFonts w:ascii="Calibri" w:hAnsi="Calibri" w:cs="Calibri"/>
          <w:color w:val="000000" w:themeColor="text1"/>
          <w:sz w:val="24"/>
          <w:szCs w:val="24"/>
        </w:rPr>
        <w:t xml:space="preserve">. </w:t>
      </w:r>
      <w:r w:rsidR="00A174C8" w:rsidRPr="00D11245">
        <w:rPr>
          <w:rFonts w:ascii="Calibri" w:hAnsi="Calibri" w:cs="Calibri"/>
          <w:color w:val="000000" w:themeColor="text1"/>
          <w:sz w:val="24"/>
          <w:szCs w:val="24"/>
        </w:rPr>
        <w:t xml:space="preserve">Table 5 summarises the treatment for </w:t>
      </w:r>
      <w:r w:rsidR="00A174C8" w:rsidRPr="00D11245">
        <w:rPr>
          <w:rFonts w:ascii="Calibri" w:hAnsi="Calibri" w:cs="Calibri"/>
          <w:i/>
          <w:iCs/>
          <w:color w:val="000000" w:themeColor="text1"/>
          <w:sz w:val="24"/>
          <w:szCs w:val="24"/>
        </w:rPr>
        <w:t>E. histolytica</w:t>
      </w:r>
      <w:r w:rsidR="00A174C8" w:rsidRPr="00D11245">
        <w:rPr>
          <w:rFonts w:ascii="Calibri" w:hAnsi="Calibri" w:cs="Calibri"/>
          <w:color w:val="000000" w:themeColor="text1"/>
          <w:sz w:val="24"/>
          <w:szCs w:val="24"/>
        </w:rPr>
        <w:t xml:space="preserve"> infection. </w:t>
      </w:r>
    </w:p>
    <w:p w14:paraId="4763D8DD" w14:textId="639C0AD7" w:rsidR="00F32B49" w:rsidRPr="00D11245" w:rsidRDefault="00273719" w:rsidP="00120561">
      <w:pPr>
        <w:jc w:val="both"/>
        <w:rPr>
          <w:color w:val="000000" w:themeColor="text1"/>
          <w:sz w:val="24"/>
          <w:szCs w:val="24"/>
        </w:rPr>
      </w:pPr>
      <w:r w:rsidRPr="00D11245">
        <w:rPr>
          <w:color w:val="000000" w:themeColor="text1"/>
          <w:sz w:val="24"/>
          <w:szCs w:val="24"/>
        </w:rPr>
        <w:t>In p</w:t>
      </w:r>
      <w:r w:rsidR="00F32B49" w:rsidRPr="00D11245">
        <w:rPr>
          <w:color w:val="000000" w:themeColor="text1"/>
          <w:sz w:val="24"/>
          <w:szCs w:val="24"/>
        </w:rPr>
        <w:t>atients with IBD</w:t>
      </w:r>
      <w:r w:rsidRPr="00D11245">
        <w:rPr>
          <w:color w:val="000000" w:themeColor="text1"/>
          <w:sz w:val="24"/>
          <w:szCs w:val="24"/>
        </w:rPr>
        <w:t xml:space="preserve"> fo</w:t>
      </w:r>
      <w:r w:rsidR="001173C2" w:rsidRPr="00D11245">
        <w:rPr>
          <w:color w:val="000000" w:themeColor="text1"/>
          <w:sz w:val="24"/>
          <w:szCs w:val="24"/>
        </w:rPr>
        <w:t>r</w:t>
      </w:r>
      <w:r w:rsidRPr="00D11245">
        <w:rPr>
          <w:color w:val="000000" w:themeColor="text1"/>
          <w:sz w:val="24"/>
          <w:szCs w:val="24"/>
        </w:rPr>
        <w:t xml:space="preserve"> which there is </w:t>
      </w:r>
      <w:r w:rsidR="00D63C2D" w:rsidRPr="00D11245">
        <w:rPr>
          <w:color w:val="000000" w:themeColor="text1"/>
          <w:sz w:val="24"/>
          <w:szCs w:val="24"/>
        </w:rPr>
        <w:t>a high</w:t>
      </w:r>
      <w:r w:rsidR="00F32B49" w:rsidRPr="00D11245">
        <w:rPr>
          <w:color w:val="000000" w:themeColor="text1"/>
          <w:sz w:val="24"/>
          <w:szCs w:val="24"/>
        </w:rPr>
        <w:t xml:space="preserve"> index of suspicion for amoebiasis, </w:t>
      </w:r>
      <w:r w:rsidRPr="00D11245">
        <w:rPr>
          <w:color w:val="000000" w:themeColor="text1"/>
          <w:sz w:val="24"/>
          <w:szCs w:val="24"/>
        </w:rPr>
        <w:t>it is reasonable to</w:t>
      </w:r>
      <w:r w:rsidR="00F32B49" w:rsidRPr="00D11245">
        <w:rPr>
          <w:color w:val="000000" w:themeColor="text1"/>
          <w:sz w:val="24"/>
          <w:szCs w:val="24"/>
        </w:rPr>
        <w:t xml:space="preserve"> commence metronidazole therapy once a stool sample has been</w:t>
      </w:r>
      <w:r w:rsidR="001173C2" w:rsidRPr="00D11245">
        <w:rPr>
          <w:color w:val="000000" w:themeColor="text1"/>
          <w:sz w:val="24"/>
          <w:szCs w:val="24"/>
        </w:rPr>
        <w:t xml:space="preserve"> collected and</w:t>
      </w:r>
      <w:r w:rsidR="00F32B49" w:rsidRPr="00D11245">
        <w:rPr>
          <w:color w:val="000000" w:themeColor="text1"/>
          <w:sz w:val="24"/>
          <w:szCs w:val="24"/>
        </w:rPr>
        <w:t xml:space="preserve"> </w:t>
      </w:r>
      <w:r w:rsidR="001173C2" w:rsidRPr="00D11245">
        <w:rPr>
          <w:color w:val="000000" w:themeColor="text1"/>
          <w:sz w:val="24"/>
          <w:szCs w:val="24"/>
        </w:rPr>
        <w:t xml:space="preserve">confirmed to be </w:t>
      </w:r>
      <w:r w:rsidR="00F32B49" w:rsidRPr="00D11245">
        <w:rPr>
          <w:color w:val="000000" w:themeColor="text1"/>
          <w:sz w:val="24"/>
          <w:szCs w:val="24"/>
        </w:rPr>
        <w:t xml:space="preserve">sent for amoebic </w:t>
      </w:r>
      <w:r w:rsidR="001173C2" w:rsidRPr="00D11245">
        <w:rPr>
          <w:color w:val="000000" w:themeColor="text1"/>
          <w:sz w:val="24"/>
          <w:szCs w:val="24"/>
        </w:rPr>
        <w:t xml:space="preserve">stool </w:t>
      </w:r>
      <w:r w:rsidR="00F32B49" w:rsidRPr="00D11245">
        <w:rPr>
          <w:color w:val="000000" w:themeColor="text1"/>
          <w:sz w:val="24"/>
          <w:szCs w:val="24"/>
        </w:rPr>
        <w:t>PCR</w:t>
      </w:r>
      <w:r w:rsidR="001173C2" w:rsidRPr="00D11245">
        <w:rPr>
          <w:color w:val="000000" w:themeColor="text1"/>
          <w:sz w:val="24"/>
          <w:szCs w:val="24"/>
        </w:rPr>
        <w:t xml:space="preserve"> testing.</w:t>
      </w:r>
    </w:p>
    <w:p w14:paraId="07BAE683" w14:textId="1F424FBD" w:rsidR="00120561" w:rsidRPr="00D11245" w:rsidRDefault="00066EBF" w:rsidP="00120561">
      <w:pPr>
        <w:jc w:val="both"/>
        <w:rPr>
          <w:color w:val="000000" w:themeColor="text1"/>
          <w:sz w:val="24"/>
          <w:szCs w:val="24"/>
        </w:rPr>
      </w:pPr>
      <w:r w:rsidRPr="00D11245">
        <w:rPr>
          <w:color w:val="000000" w:themeColor="text1"/>
          <w:sz w:val="24"/>
          <w:szCs w:val="24"/>
        </w:rPr>
        <w:t xml:space="preserve">Clinical care requires universal enteric precautions which can be discontinued 48 hours after resolution of diarrhoea </w:t>
      </w:r>
      <w:r w:rsidRPr="00D11245">
        <w:rPr>
          <w:color w:val="000000" w:themeColor="text1"/>
          <w:sz w:val="24"/>
          <w:szCs w:val="24"/>
        </w:rPr>
        <w:fldChar w:fldCharType="begin"/>
      </w:r>
      <w:r w:rsidR="009C3E63" w:rsidRPr="00D11245">
        <w:rPr>
          <w:color w:val="000000" w:themeColor="text1"/>
          <w:sz w:val="24"/>
          <w:szCs w:val="24"/>
        </w:rPr>
        <w:instrText xml:space="preserve"> ADDIN ZOTERO_ITEM CSL_CITATION {"citationID":"FdGWXUp4","properties":{"formattedCitation":"\\super 26\\nosupersub{}","plainCitation":"26","noteIndex":0},"citationItems":[{"id":16718,"uris":["http://zotero.org/groups/2497994/items/HLRDMEMQ"],"itemData":{"id":16718,"type":"article-journal","title":"Interim Public Health Operational Guidelines for Amoebiasis v1.0","URL":"https://assets.publishing.service.gov.uk/media/5c5d6557e5274a318116c42d/Interim_Public_Health_Operational_Guidelines_for_Amoebiasis.pdf","author":[{"family":"Public Health England","given":""}],"issued":{"date-parts":[["2017"]]}}}],"schema":"https://github.com/citation-style-language/schema/raw/master/csl-citation.json"} </w:instrText>
      </w:r>
      <w:r w:rsidRPr="00D11245">
        <w:rPr>
          <w:color w:val="000000" w:themeColor="text1"/>
          <w:sz w:val="24"/>
          <w:szCs w:val="24"/>
        </w:rPr>
        <w:fldChar w:fldCharType="separate"/>
      </w:r>
      <w:r w:rsidR="009C3E63" w:rsidRPr="00D11245">
        <w:rPr>
          <w:rFonts w:ascii="Calibri" w:hAnsi="Calibri" w:cs="Calibri"/>
          <w:color w:val="000000" w:themeColor="text1"/>
          <w:kern w:val="0"/>
          <w:sz w:val="24"/>
          <w:vertAlign w:val="superscript"/>
        </w:rPr>
        <w:t>26</w:t>
      </w:r>
      <w:r w:rsidRPr="00D11245">
        <w:rPr>
          <w:color w:val="000000" w:themeColor="text1"/>
          <w:sz w:val="24"/>
          <w:szCs w:val="24"/>
        </w:rPr>
        <w:fldChar w:fldCharType="end"/>
      </w:r>
      <w:r w:rsidRPr="00D11245">
        <w:rPr>
          <w:color w:val="000000" w:themeColor="text1"/>
          <w:sz w:val="24"/>
          <w:szCs w:val="24"/>
        </w:rPr>
        <w:t xml:space="preserve">. Both </w:t>
      </w:r>
      <w:r w:rsidRPr="00D11245">
        <w:rPr>
          <w:rFonts w:ascii="Calibri" w:hAnsi="Calibri" w:cs="Calibri"/>
          <w:color w:val="000000" w:themeColor="text1"/>
          <w:sz w:val="24"/>
          <w:szCs w:val="24"/>
        </w:rPr>
        <w:t>symptomatic and asymptomatic household, co-traveller and sexual contacts (</w:t>
      </w:r>
      <w:r w:rsidRPr="00D11245">
        <w:rPr>
          <w:color w:val="000000" w:themeColor="text1"/>
          <w:sz w:val="24"/>
          <w:szCs w:val="24"/>
        </w:rPr>
        <w:t xml:space="preserve">any sexual contact of the case following the suspected time of initial infection, (especially in men who have sex with men) should undergo stool PCR testing and treatment if positive </w:t>
      </w:r>
      <w:r w:rsidRPr="00D11245">
        <w:rPr>
          <w:color w:val="000000" w:themeColor="text1"/>
          <w:sz w:val="24"/>
          <w:szCs w:val="24"/>
        </w:rPr>
        <w:fldChar w:fldCharType="begin"/>
      </w:r>
      <w:r w:rsidR="009C3E63" w:rsidRPr="00D11245">
        <w:rPr>
          <w:color w:val="000000" w:themeColor="text1"/>
          <w:sz w:val="24"/>
          <w:szCs w:val="24"/>
        </w:rPr>
        <w:instrText xml:space="preserve"> ADDIN ZOTERO_ITEM CSL_CITATION {"citationID":"0pXwX4cg","properties":{"formattedCitation":"\\super 26\\nosupersub{}","plainCitation":"26","noteIndex":0},"citationItems":[{"id":16718,"uris":["http://zotero.org/groups/2497994/items/HLRDMEMQ"],"itemData":{"id":16718,"type":"article-journal","title":"Interim Public Health Operational Guidelines for Amoebiasis v1.0","URL":"https://assets.publishing.service.gov.uk/media/5c5d6557e5274a318116c42d/Interim_Public_Health_Operational_Guidelines_for_Amoebiasis.pdf","author":[{"family":"Public Health England","given":""}],"issued":{"date-parts":[["2017"]]}}}],"schema":"https://github.com/citation-style-language/schema/raw/master/csl-citation.json"} </w:instrText>
      </w:r>
      <w:r w:rsidRPr="00D11245">
        <w:rPr>
          <w:color w:val="000000" w:themeColor="text1"/>
          <w:sz w:val="24"/>
          <w:szCs w:val="24"/>
        </w:rPr>
        <w:fldChar w:fldCharType="separate"/>
      </w:r>
      <w:r w:rsidR="009C3E63" w:rsidRPr="00D11245">
        <w:rPr>
          <w:rFonts w:ascii="Calibri" w:hAnsi="Calibri" w:cs="Calibri"/>
          <w:color w:val="000000" w:themeColor="text1"/>
          <w:kern w:val="0"/>
          <w:sz w:val="24"/>
          <w:vertAlign w:val="superscript"/>
        </w:rPr>
        <w:t>26</w:t>
      </w:r>
      <w:r w:rsidRPr="00D11245">
        <w:rPr>
          <w:color w:val="000000" w:themeColor="text1"/>
          <w:sz w:val="24"/>
          <w:szCs w:val="24"/>
        </w:rPr>
        <w:fldChar w:fldCharType="end"/>
      </w:r>
      <w:r w:rsidRPr="00D11245">
        <w:rPr>
          <w:color w:val="000000" w:themeColor="text1"/>
          <w:sz w:val="24"/>
          <w:szCs w:val="24"/>
        </w:rPr>
        <w:t>. Amoebic clearance should be checked with a stool PCR test at least 1 week following completion of treatment with both tissue and luminal amoebicides</w:t>
      </w:r>
      <w:r w:rsidRPr="00D11245">
        <w:rPr>
          <w:color w:val="000000" w:themeColor="text1"/>
          <w:sz w:val="24"/>
          <w:szCs w:val="24"/>
        </w:rPr>
        <w:fldChar w:fldCharType="begin"/>
      </w:r>
      <w:r w:rsidR="009C3E63" w:rsidRPr="00D11245">
        <w:rPr>
          <w:color w:val="000000" w:themeColor="text1"/>
          <w:sz w:val="24"/>
          <w:szCs w:val="24"/>
        </w:rPr>
        <w:instrText xml:space="preserve"> ADDIN ZOTERO_ITEM CSL_CITATION {"citationID":"8LX2okU5","properties":{"formattedCitation":"\\super 26,152\\nosupersub{}","plainCitation":"26,152","noteIndex":0},"citationItems":[{"id":16718,"uris":["http://zotero.org/groups/2497994/items/HLRDMEMQ"],"itemData":{"id":16718,"type":"article-journal","title":"Interim Public Health Operational Guidelines for Amoebiasis v1.0","URL":"https://assets.publishing.service.gov.uk/media/5c5d6557e5274a318116c42d/Interim_Public_Health_Operational_Guidelines_for_Amoebiasis.pdf","author":[{"family":"Public Health England","given":""}],"issued":{"date-parts":[["2017"]]}}},{"id":16717,"uris":["http://zotero.org/groups/2497994/items/46HK5IJT"],"itemData":{"id":16717,"type":"article-journal","title":"Principles and Practice Recommendations for the Public Health Management of Gastrointestinal Pathogens, A joint guidance from Public Health England and the Chartered Institute of Environmental Health","URL":"https://assets.publishing.service.gov.uk/media/5e3027c7ed915d1f28fe88ff/management_of_gastrointestinal_infections.pdf","author":[{"family":"Public Health England","given":""}],"issued":{"date-parts":[["2019"]]}}}],"schema":"https://github.com/citation-style-language/schema/raw/master/csl-citation.json"} </w:instrText>
      </w:r>
      <w:r w:rsidRPr="00D11245">
        <w:rPr>
          <w:color w:val="000000" w:themeColor="text1"/>
          <w:sz w:val="24"/>
          <w:szCs w:val="24"/>
        </w:rPr>
        <w:fldChar w:fldCharType="separate"/>
      </w:r>
      <w:r w:rsidR="009C3E63" w:rsidRPr="00D11245">
        <w:rPr>
          <w:rFonts w:ascii="Calibri" w:hAnsi="Calibri" w:cs="Calibri"/>
          <w:color w:val="000000" w:themeColor="text1"/>
          <w:kern w:val="0"/>
          <w:sz w:val="24"/>
          <w:vertAlign w:val="superscript"/>
        </w:rPr>
        <w:t>26,152</w:t>
      </w:r>
      <w:r w:rsidRPr="00D11245">
        <w:rPr>
          <w:color w:val="000000" w:themeColor="text1"/>
          <w:sz w:val="24"/>
          <w:szCs w:val="24"/>
        </w:rPr>
        <w:fldChar w:fldCharType="end"/>
      </w:r>
      <w:r w:rsidRPr="00D11245">
        <w:rPr>
          <w:color w:val="000000" w:themeColor="text1"/>
          <w:sz w:val="24"/>
          <w:szCs w:val="24"/>
        </w:rPr>
        <w:t xml:space="preserve">. </w:t>
      </w:r>
      <w:r w:rsidR="00120561" w:rsidRPr="00D11245">
        <w:rPr>
          <w:color w:val="000000" w:themeColor="text1"/>
          <w:sz w:val="24"/>
          <w:szCs w:val="24"/>
        </w:rPr>
        <w:t>This is done to demonstrate treatment success, although symptomatic relapses after an initial course of treatment are very rare</w:t>
      </w:r>
      <w:r w:rsidR="00521456" w:rsidRPr="00D11245">
        <w:rPr>
          <w:color w:val="000000" w:themeColor="text1"/>
          <w:sz w:val="24"/>
          <w:szCs w:val="24"/>
        </w:rPr>
        <w:t xml:space="preserve">. </w:t>
      </w:r>
      <w:r w:rsidR="00A91866" w:rsidRPr="00D11245">
        <w:rPr>
          <w:color w:val="000000" w:themeColor="text1"/>
          <w:sz w:val="24"/>
          <w:szCs w:val="24"/>
        </w:rPr>
        <w:t>T</w:t>
      </w:r>
      <w:r w:rsidR="00120561" w:rsidRPr="00D11245">
        <w:rPr>
          <w:color w:val="000000" w:themeColor="text1"/>
          <w:sz w:val="24"/>
          <w:szCs w:val="24"/>
        </w:rPr>
        <w:t xml:space="preserve">he literature suggests that asymptomatic carriage persists beyond 15 months after initial identification in untreated individuals </w:t>
      </w:r>
      <w:r w:rsidR="00120561" w:rsidRPr="00D11245">
        <w:rPr>
          <w:color w:val="000000" w:themeColor="text1"/>
          <w:sz w:val="24"/>
          <w:szCs w:val="24"/>
        </w:rPr>
        <w:fldChar w:fldCharType="begin"/>
      </w:r>
      <w:r w:rsidR="00120561" w:rsidRPr="00D11245">
        <w:rPr>
          <w:color w:val="000000" w:themeColor="text1"/>
          <w:sz w:val="24"/>
          <w:szCs w:val="24"/>
        </w:rPr>
        <w:instrText xml:space="preserve"> ADDIN ZOTERO_ITEM CSL_CITATION {"citationID":"WdbkDIQT","properties":{"formattedCitation":"\\super 2\\nosupersub{}","plainCitation":"2","noteIndex":0},"citationItems":[{"id":2840,"uris":["http://zotero.org/groups/2497994/items/9D6N8SKW"],"itemData":{"id":2840,"type":"article-journal","abstract":"To gain insight into the dynamics of intestinal Entamoeba histolytica infection, a longitudinal study was performed over an observation period of 15 months with a group of 383 randomly selected adult individuals (mean age, 38.5 years) living in an area of amebiasis endemicity in central Vietnam. Ameba infection was diagnosed by using species-specific PCR and DNA extracted directly from fecal samples. The results indicated an E. histolytica prevalence of 11.2% and an annual new infection rate of 4.1% in the study population. Follow-up of the 43 individuals who were E. histolytica positive at enrollment suggested a regular exponential decline in infection of about 3% per month and a mean half-life of infection of more than 15 months. However, the reinfection rate for this group of participants was 2.7 times higher than that predicted for the study population as a whole. Both the reappearance of the parasite after successful treatment of E. histolytica infection and changes in “genetic fingerprints” of parasites during the course of infection revealed an annual new infection rate of about 11.5%. Thus, the mean half-life of E. histolytica infection was calculated to be 12.9 months (95% confidence interval, 10.2 to 15.6 months). Notably, none of the participants developed symptoms compatible with invasive intestinal amebiasis, and only one of the subjects developed an amebic liver abscess during the observation period.","container-title":"Journal of Clinical Microbiology","DOI":"10.1128/JCM.41.10.4745-4750.2003","ISSN":"0095-1137","issue":"10","journalAbbreviation":"J Clin Microbiol","note":"PMID: 14532214\nPMCID: PMC294961","page":"4745-4750","source":"PubMed Central","title":"Longitudinal Study of Intestinal Entamoeba histolytica Infections in Asymptomatic Adult Carriers","volume":"41","author":[{"family":"Blessmann","given":"Joerg"},{"family":"Ali","given":"Ibne Karim M."},{"family":"Nu","given":"Phuong A. Ton"},{"family":"Dinh","given":"Binh T."},{"family":"Ngo Viet","given":"Tram Q."},{"family":"Le Van","given":"An"},{"family":"Clark","given":"C. Graham"},{"family":"Tannich","given":"Egbert"}],"issued":{"date-parts":[["2003",10]]}}}],"schema":"https://github.com/citation-style-language/schema/raw/master/csl-citation.json"} </w:instrText>
      </w:r>
      <w:r w:rsidR="00120561" w:rsidRPr="00D11245">
        <w:rPr>
          <w:color w:val="000000" w:themeColor="text1"/>
          <w:sz w:val="24"/>
          <w:szCs w:val="24"/>
        </w:rPr>
        <w:fldChar w:fldCharType="separate"/>
      </w:r>
      <w:r w:rsidR="00120561" w:rsidRPr="00D11245">
        <w:rPr>
          <w:rFonts w:ascii="Calibri" w:hAnsi="Calibri" w:cs="Calibri"/>
          <w:color w:val="000000" w:themeColor="text1"/>
          <w:kern w:val="0"/>
          <w:sz w:val="24"/>
          <w:vertAlign w:val="superscript"/>
        </w:rPr>
        <w:t>2</w:t>
      </w:r>
      <w:r w:rsidR="00120561" w:rsidRPr="00D11245">
        <w:rPr>
          <w:color w:val="000000" w:themeColor="text1"/>
          <w:sz w:val="24"/>
          <w:szCs w:val="24"/>
        </w:rPr>
        <w:fldChar w:fldCharType="end"/>
      </w:r>
      <w:r w:rsidR="00120561" w:rsidRPr="00D11245">
        <w:rPr>
          <w:color w:val="000000" w:themeColor="text1"/>
          <w:sz w:val="24"/>
          <w:szCs w:val="24"/>
        </w:rPr>
        <w:t xml:space="preserve">. </w:t>
      </w:r>
    </w:p>
    <w:p w14:paraId="458CFDE6" w14:textId="43F386CC" w:rsidR="00120561" w:rsidRPr="00D11245" w:rsidRDefault="00120561" w:rsidP="00120561">
      <w:pPr>
        <w:jc w:val="both"/>
        <w:rPr>
          <w:color w:val="000000" w:themeColor="text1"/>
          <w:sz w:val="24"/>
          <w:szCs w:val="24"/>
        </w:rPr>
      </w:pPr>
      <w:r w:rsidRPr="00D11245">
        <w:rPr>
          <w:color w:val="000000" w:themeColor="text1"/>
          <w:sz w:val="24"/>
          <w:szCs w:val="24"/>
        </w:rPr>
        <w:t xml:space="preserve">More than 90% of the patients with amoebiasis respond to nitroimidazoles, </w:t>
      </w:r>
      <w:r w:rsidR="00521750" w:rsidRPr="00D11245">
        <w:rPr>
          <w:color w:val="000000" w:themeColor="text1"/>
          <w:sz w:val="24"/>
          <w:szCs w:val="24"/>
        </w:rPr>
        <w:t xml:space="preserve">but </w:t>
      </w:r>
      <w:r w:rsidRPr="00D11245">
        <w:rPr>
          <w:color w:val="000000" w:themeColor="text1"/>
          <w:sz w:val="24"/>
          <w:szCs w:val="24"/>
        </w:rPr>
        <w:t>parasite persistence is seen in 40-60% patients after nitroimidazole treatment</w:t>
      </w:r>
      <w:r w:rsidR="00B43453" w:rsidRPr="00D11245">
        <w:rPr>
          <w:color w:val="000000" w:themeColor="text1"/>
          <w:sz w:val="24"/>
          <w:szCs w:val="24"/>
        </w:rPr>
        <w:t xml:space="preserve"> (as they are tissue, not luminal, amoebicides)</w:t>
      </w:r>
      <w:r w:rsidRPr="00D11245">
        <w:rPr>
          <w:color w:val="000000" w:themeColor="text1"/>
          <w:sz w:val="24"/>
          <w:szCs w:val="24"/>
        </w:rPr>
        <w:t xml:space="preserve">. </w:t>
      </w:r>
      <w:r w:rsidR="00521750" w:rsidRPr="00D11245">
        <w:rPr>
          <w:color w:val="000000" w:themeColor="text1"/>
          <w:sz w:val="24"/>
          <w:szCs w:val="24"/>
        </w:rPr>
        <w:t>Lumina</w:t>
      </w:r>
      <w:r w:rsidR="000D48F1" w:rsidRPr="00D11245">
        <w:rPr>
          <w:color w:val="000000" w:themeColor="text1"/>
          <w:sz w:val="24"/>
          <w:szCs w:val="24"/>
        </w:rPr>
        <w:t>l amoebicides</w:t>
      </w:r>
      <w:r w:rsidR="00521750" w:rsidRPr="00D11245">
        <w:rPr>
          <w:color w:val="000000" w:themeColor="text1"/>
          <w:sz w:val="24"/>
          <w:szCs w:val="24"/>
        </w:rPr>
        <w:t xml:space="preserve"> </w:t>
      </w:r>
      <w:r w:rsidRPr="00D11245">
        <w:rPr>
          <w:color w:val="000000" w:themeColor="text1"/>
          <w:sz w:val="24"/>
          <w:szCs w:val="24"/>
        </w:rPr>
        <w:t xml:space="preserve">like paromomycin have up to 85% cure rate in </w:t>
      </w:r>
      <w:r w:rsidRPr="00D11245">
        <w:rPr>
          <w:color w:val="000000" w:themeColor="text1"/>
          <w:sz w:val="24"/>
          <w:szCs w:val="24"/>
        </w:rPr>
        <w:lastRenderedPageBreak/>
        <w:t>asymptomatic carriers</w:t>
      </w:r>
      <w:r w:rsidRPr="00D11245">
        <w:rPr>
          <w:color w:val="000000" w:themeColor="text1"/>
          <w:sz w:val="24"/>
          <w:szCs w:val="24"/>
        </w:rPr>
        <w:fldChar w:fldCharType="begin"/>
      </w:r>
      <w:r w:rsidRPr="00D11245">
        <w:rPr>
          <w:color w:val="000000" w:themeColor="text1"/>
          <w:sz w:val="24"/>
          <w:szCs w:val="24"/>
        </w:rPr>
        <w:instrText xml:space="preserve"> ADDIN ZOTERO_ITEM CSL_CITATION {"citationID":"auA5OJ7W","properties":{"formattedCitation":"\\super 2\\nosupersub{}","plainCitation":"2","noteIndex":0},"citationItems":[{"id":2840,"uris":["http://zotero.org/groups/2497994/items/9D6N8SKW"],"itemData":{"id":2840,"type":"article-journal","abstract":"To gain insight into the dynamics of intestinal Entamoeba histolytica infection, a longitudinal study was performed over an observation period of 15 months with a group of 383 randomly selected adult individuals (mean age, 38.5 years) living in an area of amebiasis endemicity in central Vietnam. Ameba infection was diagnosed by using species-specific PCR and DNA extracted directly from fecal samples. The results indicated an E. histolytica prevalence of 11.2% and an annual new infection rate of 4.1% in the study population. Follow-up of the 43 individuals who were E. histolytica positive at enrollment suggested a regular exponential decline in infection of about 3% per month and a mean half-life of infection of more than 15 months. However, the reinfection rate for this group of participants was 2.7 times higher than that predicted for the study population as a whole. Both the reappearance of the parasite after successful treatment of E. histolytica infection and changes in “genetic fingerprints” of parasites during the course of infection revealed an annual new infection rate of about 11.5%. Thus, the mean half-life of E. histolytica infection was calculated to be 12.9 months (95% confidence interval, 10.2 to 15.6 months). Notably, none of the participants developed symptoms compatible with invasive intestinal amebiasis, and only one of the subjects developed an amebic liver abscess during the observation period.","container-title":"Journal of Clinical Microbiology","DOI":"10.1128/JCM.41.10.4745-4750.2003","ISSN":"0095-1137","issue":"10","journalAbbreviation":"J Clin Microbiol","note":"PMID: 14532214\nPMCID: PMC294961","page":"4745-4750","source":"PubMed Central","title":"Longitudinal Study of Intestinal Entamoeba histolytica Infections in Asymptomatic Adult Carriers","volume":"41","author":[{"family":"Blessmann","given":"Joerg"},{"family":"Ali","given":"Ibne Karim M."},{"family":"Nu","given":"Phuong A. Ton"},{"family":"Dinh","given":"Binh T."},{"family":"Ngo Viet","given":"Tram Q."},{"family":"Le Van","given":"An"},{"family":"Clark","given":"C. Graham"},{"family":"Tannich","given":"Egbert"}],"issued":{"date-parts":[["2003",10]]}}}],"schema":"https://github.com/citation-style-language/schema/raw/master/csl-citation.json"} </w:instrText>
      </w:r>
      <w:r w:rsidRPr="00D11245">
        <w:rPr>
          <w:color w:val="000000" w:themeColor="text1"/>
          <w:sz w:val="24"/>
          <w:szCs w:val="24"/>
        </w:rPr>
        <w:fldChar w:fldCharType="separate"/>
      </w:r>
      <w:r w:rsidRPr="00D11245">
        <w:rPr>
          <w:rFonts w:ascii="Calibri" w:hAnsi="Calibri" w:cs="Calibri"/>
          <w:color w:val="000000" w:themeColor="text1"/>
          <w:kern w:val="0"/>
          <w:sz w:val="24"/>
          <w:vertAlign w:val="superscript"/>
        </w:rPr>
        <w:t>2</w:t>
      </w:r>
      <w:r w:rsidRPr="00D11245">
        <w:rPr>
          <w:color w:val="000000" w:themeColor="text1"/>
          <w:sz w:val="24"/>
          <w:szCs w:val="24"/>
        </w:rPr>
        <w:fldChar w:fldCharType="end"/>
      </w:r>
      <w:r w:rsidRPr="00D11245">
        <w:rPr>
          <w:color w:val="000000" w:themeColor="text1"/>
          <w:sz w:val="24"/>
          <w:szCs w:val="24"/>
        </w:rPr>
        <w:t xml:space="preserve">. A Cochrane review showed reduction in parasitological failure by a third after completion of combination treatment over metronidazole alone (RR 0.36) </w:t>
      </w:r>
      <w:r w:rsidRPr="00D11245">
        <w:rPr>
          <w:color w:val="000000" w:themeColor="text1"/>
          <w:sz w:val="24"/>
          <w:szCs w:val="24"/>
        </w:rPr>
        <w:fldChar w:fldCharType="begin"/>
      </w:r>
      <w:r w:rsidR="009C3E63" w:rsidRPr="00D11245">
        <w:rPr>
          <w:color w:val="000000" w:themeColor="text1"/>
          <w:sz w:val="24"/>
          <w:szCs w:val="24"/>
        </w:rPr>
        <w:instrText xml:space="preserve"> ADDIN ZOTERO_ITEM CSL_CITATION {"citationID":"IiGoIR4q","properties":{"formattedCitation":"\\super 24\\nosupersub{}","plainCitation":"24","noteIndex":0},"citationItems":[{"id":1915,"uris":["http://zotero.org/groups/2497994/items/43Y5AVWP"],"itemData":{"id":1915,"type":"article-journal","abstract":"Abstract - Background Infection with the protozoan  Entamoeba histolytica  is common in low‐ and middle‐income countries, and up to 100,000 people with severe disease die every year. Adequate therapy for amoebic colitis is necessary to reduce illness, prevent development of complicated disease and extraintestinal spread, and decrease transmission. Objectives To evaluate antiamoebic drugs for treating amoebic colitis. Search methods We searched the available literature up to 22 March 2018. We searched the Cochrane Infectious Diseases Group Specialised Register, CENTRAL, MEDLINE, Embase, LILACS,  m RCT, and conference proceedings. We contacted individual researchers, organizations, and pharmaceutical companies, and we checked reference lists. Selection criteria Randomized controlled trials of antiamoebic drugs given alone or in combination, compared with placebo or another antiamoebic drug, for treating adults and children with a diagnosis of amoebic colitis. Data collection and analysis Two review authors independently assessed the eligibility and methodological quality of trials and extracted and analysed the data. We calculated clinical and parasitological failure rates and rates of relapse and adverse events as risk ratios (RRs) with 95% confidence intervals (CIs), using a random‐effects model. We determined statistical heterogeneity and explored possible sources of heterogeneity using subgroup analyses. We carried out sensitivity analysis by using trial quality to assess the robustness of reported results. Main results In total, 41 trials (4999 participants) met the inclusion criteria of this review. In this update, we added four trials to the 37 trials included in the first published review version. Thirty trials were published over 20 years ago. Only one trial used adequate methods of randomization and allocation concealment, was blinded, and analysed all randomized participants. Only one trial used an  E histolytica  stool antigen test, and two trials used amoebic culture. Tinidazole may be more effective than metronidazole for reducing clinical failure (RR 0.28, 95% CI 0.15 to 0.51; 477 participants, eight trials; low‐certainty evidence) and is probably associated with fewer adverse events (RR 0.65, 95% CI 0.46 to 0.92; 477 participants, 8 trials; moderate‐certainty evidence). Compared with metronidazole, combination therapy may result in fewer parasitological failures (RR 0.36, 95% CI 0.15 to 0.86; 720 participants, 3 trials; low‐certainty evidence), but we are uncertain which combination is more effective than another. Evidence is insufficient to allow conclusions regarding the efficacy of other antiamoebic drugs. Authors' conclusions Compared with metronidazole, tinidazole may be more effective in reducing clinical failure and may be associated with fewer adverse events. Combination drug therapy may be more effective for reducing parasitological failure compared with metronidazole alone. However, these results are based mostly on small trials conducted over 20 years ago with a variety of poorly defined outcomes. Tests that detect  E histolytica  more accurately are needed, particularly in countries where concomitant infection with other bacteria and parasites is common. 11 April 2019 Up to date All studies incorporated from most recent search All eligible published studies found in the last search (22 Mar, 2018) were included and two ongoing studies have been identified (see 'Characteristics of ongoing studies' section) Plain language summary Antiamoebic drugs for treating amoebic colitis What is the aim of this review? This Cochrane Review aims to determine the effectiveness and safety of drugs used to treat people with amoebic colitis, which is an infection of the large intestines caused by the parasite,  Entamoeba histolytica . Cochrane researchers searched for all relevant studies to answer this question and included 41 relevant studies in this review. Key messages Tinidazole may be more effective than metronidazole for reducing clinical symptoms and may be associated with fewer adverse events. Combination therapy resulted in fewer parasitological failures than occurred with metronidazole alone. Evidence is insufficient to allow conclusions regarding the efficacy of other antiamoebic drugs. Better quality randomized trials using accurate diagnostic methods and standardized outcomes are needed to evaluate the efficacy of drugs for treating individuals with amoebic colitis. What was studied in the review? Entamoeba histolytica  is distributed throughout the world and is commonly acquired by ingestion of contaminated food or water. An estimated 40 to 50 million people infected with  E histolytica  develop amoebic colitis or extraintestinal abscesses, resulting in up to 100,000 deaths per year. Metronidazole is currently the standard therapy for treating adults and children with invasive amoebiasis, but it may not be sufficient to eliminate amoebic cysts from the intestine. Some unpleasant adverse effects have been associated with metronidazole, and the possibility of parasite resistance to metronidazole has led to the development of alternative drugs. Combinations of metronidazole with other drugs that eradicate surviving cysts in the intestines have been recommended, so evidence to support this approach needs to be assessed. This review compares different drugs used against amoebic colitis, alone or in combination, and also assesses single‐dose regimens versus longer regimens. What are the main results of the review? This review included 41 studies, most of which were conducted in countries considered to be highly endemic for amoebiasis. Most trials were old: 30 were conducted before 1998. Trials varied in the inclusion criteria used to enrol participants and in the definition and timing of measured outcomes. Stool microscopy with direct wet saline smear was the method used most often to detect the presence of  E histolytica  in stools. Study participants ranged in age from seven months to 80 years. Included trials reported a variety of comparisons and involved 25 individual drugs, two herbal products, and 15 different combinations. The review shows that in individuals with amoebic colitis, tinidazole may be better for reducing clinical symptoms (low‐certainty evidence) and probably results in fewer adverse events when compared with metronidazole (moderate‐certainty evidence). However, we do not know whether it is more effective for eradicating amoebae from the stools. Combination drug therapy may be more effective than metronidazole alone for eradicating amoebae (low‐certainty evidence), but we are uncertain which drug combination is most effective, and if combination treatment will lead to more rapid resolution of clinical symptoms or in more adverse events (very low‐certainty evidence). Evidence is insufficient to allow conclusions regarding efficacy of the other antiamoebic drugs. How up‐to‐date is this review?  The review authors searched for studies that had been published up to 22 March 2018.","archive_location":"CD006085","container-title":"Cochrane Database of Systematic Reviews","DOI":"10.1002/14651858.CD006085.pub3","ISSN":"1465-1858","issue":"1","note":"publisher: John Wiley &amp; Sons, Ltd","title":"Antiamoebic drugs for treating amoebic colitis","URL":"http://dx.doi.org/10.1002/14651858.CD006085.pub3","author":[{"family":"Gonzales","given":"MLM"},{"family":"Dans","given":"LF"},{"family":"Sio‐Aguilar","given":"J"}],"issued":{"date-parts":[["2019"]]}}}],"schema":"https://github.com/citation-style-language/schema/raw/master/csl-citation.json"} </w:instrText>
      </w:r>
      <w:r w:rsidRPr="00D11245">
        <w:rPr>
          <w:color w:val="000000" w:themeColor="text1"/>
          <w:sz w:val="24"/>
          <w:szCs w:val="24"/>
        </w:rPr>
        <w:fldChar w:fldCharType="separate"/>
      </w:r>
      <w:r w:rsidR="009C3E63" w:rsidRPr="00D11245">
        <w:rPr>
          <w:rFonts w:ascii="Calibri" w:hAnsi="Calibri" w:cs="Calibri"/>
          <w:color w:val="000000" w:themeColor="text1"/>
          <w:kern w:val="0"/>
          <w:sz w:val="24"/>
          <w:vertAlign w:val="superscript"/>
        </w:rPr>
        <w:t>24</w:t>
      </w:r>
      <w:r w:rsidRPr="00D11245">
        <w:rPr>
          <w:color w:val="000000" w:themeColor="text1"/>
          <w:sz w:val="24"/>
          <w:szCs w:val="24"/>
        </w:rPr>
        <w:fldChar w:fldCharType="end"/>
      </w:r>
      <w:r w:rsidRPr="00D11245">
        <w:rPr>
          <w:color w:val="000000" w:themeColor="text1"/>
          <w:sz w:val="24"/>
          <w:szCs w:val="24"/>
        </w:rPr>
        <w:t>.</w:t>
      </w:r>
    </w:p>
    <w:p w14:paraId="4CF54362" w14:textId="77777777" w:rsidR="00120561" w:rsidRPr="00D11245" w:rsidRDefault="00120561" w:rsidP="00120561">
      <w:pPr>
        <w:jc w:val="both"/>
        <w:rPr>
          <w:color w:val="000000" w:themeColor="text1"/>
          <w:sz w:val="24"/>
          <w:szCs w:val="24"/>
        </w:rPr>
      </w:pPr>
      <w:r w:rsidRPr="00D11245">
        <w:rPr>
          <w:color w:val="000000" w:themeColor="text1"/>
          <w:sz w:val="24"/>
          <w:szCs w:val="24"/>
        </w:rPr>
        <w:t xml:space="preserve">Additional, general supportive measures may be required, depending on the patient’s clinical needs and may include intravenous fluids, electrolyte replacement and nutritional supplementation </w:t>
      </w:r>
      <w:r w:rsidRPr="00D11245">
        <w:rPr>
          <w:rFonts w:ascii="Calibri" w:hAnsi="Calibri" w:cs="Calibri"/>
          <w:color w:val="000000" w:themeColor="text1"/>
          <w:kern w:val="0"/>
          <w:sz w:val="24"/>
          <w:szCs w:val="24"/>
          <w:vertAlign w:val="superscript"/>
        </w:rPr>
        <w:t>6</w:t>
      </w:r>
      <w:r w:rsidRPr="00D11245">
        <w:rPr>
          <w:color w:val="000000" w:themeColor="text1"/>
          <w:sz w:val="24"/>
          <w:szCs w:val="24"/>
        </w:rPr>
        <w:t xml:space="preserve">. Prevention remains paramount, with personal hygienic measures, avoidance of contaminated food and water supplies, and education regarding sexual transmission </w:t>
      </w:r>
      <w:r w:rsidRPr="00D11245">
        <w:rPr>
          <w:rFonts w:ascii="Calibri" w:hAnsi="Calibri" w:cs="Calibri"/>
          <w:color w:val="000000" w:themeColor="text1"/>
          <w:kern w:val="0"/>
          <w:sz w:val="24"/>
          <w:vertAlign w:val="superscript"/>
        </w:rPr>
        <w:t>149</w:t>
      </w:r>
      <w:r w:rsidRPr="00D11245">
        <w:rPr>
          <w:color w:val="000000" w:themeColor="text1"/>
          <w:sz w:val="24"/>
          <w:szCs w:val="24"/>
        </w:rPr>
        <w:t xml:space="preserve">. </w:t>
      </w:r>
    </w:p>
    <w:p w14:paraId="6928A299" w14:textId="70872748" w:rsidR="00F32B49" w:rsidRPr="00D11245" w:rsidRDefault="00120561" w:rsidP="00120561">
      <w:pPr>
        <w:jc w:val="both"/>
        <w:rPr>
          <w:color w:val="000000" w:themeColor="text1"/>
          <w:sz w:val="24"/>
          <w:szCs w:val="24"/>
        </w:rPr>
      </w:pPr>
      <w:r w:rsidRPr="00D11245">
        <w:rPr>
          <w:color w:val="000000" w:themeColor="text1"/>
          <w:sz w:val="24"/>
          <w:szCs w:val="24"/>
        </w:rPr>
        <w:t xml:space="preserve">There are currently no licensed vaccines for amoebiasis but the Gal/GalNAc lectin has been the subject of research as a potential antigenic target </w:t>
      </w:r>
      <w:r w:rsidRPr="00D11245">
        <w:rPr>
          <w:rFonts w:ascii="Calibri" w:hAnsi="Calibri" w:cs="Calibri"/>
          <w:color w:val="000000" w:themeColor="text1"/>
          <w:kern w:val="0"/>
          <w:sz w:val="24"/>
          <w:vertAlign w:val="superscript"/>
        </w:rPr>
        <w:t>145,151</w:t>
      </w:r>
      <w:r w:rsidRPr="00D11245">
        <w:rPr>
          <w:color w:val="000000" w:themeColor="text1"/>
          <w:sz w:val="24"/>
          <w:szCs w:val="24"/>
        </w:rPr>
        <w:t xml:space="preserve">. Several novel drug targets involving different amoebic cellular processes have been suggested but these drugs are not yet in routine practice </w:t>
      </w:r>
      <w:r w:rsidRPr="00D11245">
        <w:rPr>
          <w:rFonts w:ascii="Calibri" w:hAnsi="Calibri" w:cs="Calibri"/>
          <w:color w:val="000000" w:themeColor="text1"/>
          <w:kern w:val="0"/>
          <w:sz w:val="24"/>
          <w:vertAlign w:val="superscript"/>
        </w:rPr>
        <w:t>148</w:t>
      </w:r>
      <w:r w:rsidRPr="00D11245">
        <w:rPr>
          <w:color w:val="000000" w:themeColor="text1"/>
          <w:sz w:val="24"/>
          <w:szCs w:val="24"/>
        </w:rPr>
        <w:t xml:space="preserve">. There have been shown to be alterations in the microbiome that may trigger amoebae to switch from commensal bystander to invasive pathogen, raising a theoretical role for probiotics as preventative or adjunctive treatment, but further research in this area is required </w:t>
      </w:r>
      <w:r w:rsidRPr="00D11245">
        <w:rPr>
          <w:rFonts w:ascii="Calibri" w:hAnsi="Calibri" w:cs="Calibri"/>
          <w:color w:val="000000" w:themeColor="text1"/>
          <w:kern w:val="0"/>
          <w:sz w:val="24"/>
          <w:vertAlign w:val="superscript"/>
        </w:rPr>
        <w:t>145</w:t>
      </w:r>
      <w:r w:rsidRPr="00D11245">
        <w:rPr>
          <w:color w:val="000000" w:themeColor="text1"/>
          <w:sz w:val="24"/>
          <w:szCs w:val="24"/>
        </w:rPr>
        <w:t xml:space="preserve">. </w:t>
      </w:r>
    </w:p>
    <w:p w14:paraId="3430392A" w14:textId="77777777" w:rsidR="009B6308" w:rsidRPr="00D11245" w:rsidRDefault="009B6308">
      <w:pPr>
        <w:rPr>
          <w:rFonts w:ascii="Calibri" w:hAnsi="Calibri" w:cs="Calibri"/>
          <w:b/>
          <w:bCs/>
          <w:color w:val="000000" w:themeColor="text1"/>
          <w:sz w:val="24"/>
          <w:szCs w:val="24"/>
          <w:u w:val="single"/>
        </w:rPr>
      </w:pPr>
      <w:r w:rsidRPr="00D11245">
        <w:rPr>
          <w:rFonts w:ascii="Calibri" w:hAnsi="Calibri" w:cs="Calibri"/>
          <w:b/>
          <w:bCs/>
          <w:color w:val="000000" w:themeColor="text1"/>
          <w:sz w:val="24"/>
          <w:szCs w:val="24"/>
          <w:u w:val="single"/>
        </w:rPr>
        <w:t>Conclusion</w:t>
      </w:r>
    </w:p>
    <w:p w14:paraId="07B1DA4F" w14:textId="13FCC623" w:rsidR="00495221" w:rsidRPr="00D11245" w:rsidRDefault="00033CD9" w:rsidP="00DB149B">
      <w:pPr>
        <w:jc w:val="both"/>
        <w:rPr>
          <w:rFonts w:cstheme="minorHAnsi"/>
          <w:color w:val="000000" w:themeColor="text1"/>
          <w:sz w:val="24"/>
          <w:szCs w:val="24"/>
        </w:rPr>
      </w:pPr>
      <w:r w:rsidRPr="00D11245">
        <w:rPr>
          <w:rFonts w:cstheme="minorHAnsi"/>
          <w:color w:val="000000" w:themeColor="text1"/>
          <w:sz w:val="24"/>
          <w:szCs w:val="24"/>
        </w:rPr>
        <w:t>M</w:t>
      </w:r>
      <w:r w:rsidR="00495221" w:rsidRPr="00D11245">
        <w:rPr>
          <w:rFonts w:cstheme="minorHAnsi"/>
          <w:color w:val="000000" w:themeColor="text1"/>
          <w:sz w:val="24"/>
          <w:szCs w:val="24"/>
        </w:rPr>
        <w:t>isdiagnosis of intestinal amoebiasis as IBD in non-endemic regions can easily occur</w:t>
      </w:r>
      <w:r w:rsidRPr="00D11245">
        <w:rPr>
          <w:rFonts w:cstheme="minorHAnsi"/>
          <w:color w:val="000000" w:themeColor="text1"/>
          <w:sz w:val="24"/>
          <w:szCs w:val="24"/>
        </w:rPr>
        <w:t>, be that clinically, endoscopically and histologically, leading to potential i</w:t>
      </w:r>
      <w:r w:rsidR="00495221" w:rsidRPr="00D11245">
        <w:rPr>
          <w:rFonts w:cstheme="minorHAnsi"/>
          <w:color w:val="000000" w:themeColor="text1"/>
          <w:sz w:val="24"/>
          <w:szCs w:val="24"/>
        </w:rPr>
        <w:t>nadvertent treatment with steroids or immunosuppressants</w:t>
      </w:r>
      <w:r w:rsidRPr="00D11245">
        <w:rPr>
          <w:rFonts w:cstheme="minorHAnsi"/>
          <w:color w:val="000000" w:themeColor="text1"/>
          <w:sz w:val="24"/>
          <w:szCs w:val="24"/>
        </w:rPr>
        <w:t>. This</w:t>
      </w:r>
      <w:r w:rsidR="00495221" w:rsidRPr="00D11245">
        <w:rPr>
          <w:rFonts w:cstheme="minorHAnsi"/>
          <w:color w:val="000000" w:themeColor="text1"/>
          <w:sz w:val="24"/>
          <w:szCs w:val="24"/>
        </w:rPr>
        <w:t xml:space="preserve"> can lead to life-threatening complications</w:t>
      </w:r>
      <w:r w:rsidRPr="00D11245">
        <w:rPr>
          <w:rFonts w:cstheme="minorHAnsi"/>
          <w:color w:val="000000" w:themeColor="text1"/>
          <w:sz w:val="24"/>
          <w:szCs w:val="24"/>
        </w:rPr>
        <w:t xml:space="preserve"> and so Gastroenterologists, infectious diseases physicians and surgeons in particular need to have an awareness of it as a potential differential diagnosis.  Establishing a detailed </w:t>
      </w:r>
      <w:r w:rsidR="00120561" w:rsidRPr="00D11245">
        <w:rPr>
          <w:rFonts w:cstheme="minorHAnsi"/>
          <w:color w:val="000000" w:themeColor="text1"/>
          <w:sz w:val="24"/>
          <w:szCs w:val="24"/>
        </w:rPr>
        <w:t xml:space="preserve">life-long </w:t>
      </w:r>
      <w:r w:rsidRPr="00D11245">
        <w:rPr>
          <w:rFonts w:cstheme="minorHAnsi"/>
          <w:color w:val="000000" w:themeColor="text1"/>
          <w:sz w:val="24"/>
          <w:szCs w:val="24"/>
        </w:rPr>
        <w:t xml:space="preserve">travel history is essential, with the diagnosis of intestinal amoebiasis best achieved </w:t>
      </w:r>
      <w:r w:rsidR="00495221" w:rsidRPr="00D11245">
        <w:rPr>
          <w:rFonts w:cstheme="minorHAnsi"/>
          <w:color w:val="000000" w:themeColor="text1"/>
          <w:sz w:val="24"/>
          <w:szCs w:val="24"/>
        </w:rPr>
        <w:t xml:space="preserve">using stool </w:t>
      </w:r>
      <w:r w:rsidR="00495221" w:rsidRPr="00D11245">
        <w:rPr>
          <w:rFonts w:cstheme="minorHAnsi"/>
          <w:i/>
          <w:iCs/>
          <w:color w:val="000000" w:themeColor="text1"/>
          <w:sz w:val="24"/>
          <w:szCs w:val="24"/>
        </w:rPr>
        <w:t>E. histolytica</w:t>
      </w:r>
      <w:r w:rsidR="00495221" w:rsidRPr="00D11245">
        <w:rPr>
          <w:rFonts w:cstheme="minorHAnsi"/>
          <w:color w:val="000000" w:themeColor="text1"/>
          <w:sz w:val="24"/>
          <w:szCs w:val="24"/>
        </w:rPr>
        <w:t xml:space="preserve"> PCR </w:t>
      </w:r>
      <w:r w:rsidRPr="00D11245">
        <w:rPr>
          <w:rFonts w:cstheme="minorHAnsi"/>
          <w:color w:val="000000" w:themeColor="text1"/>
          <w:sz w:val="24"/>
          <w:szCs w:val="24"/>
        </w:rPr>
        <w:t xml:space="preserve">which must be </w:t>
      </w:r>
      <w:r w:rsidR="00495221" w:rsidRPr="00D11245">
        <w:rPr>
          <w:rFonts w:cstheme="minorHAnsi"/>
          <w:color w:val="000000" w:themeColor="text1"/>
          <w:sz w:val="24"/>
          <w:szCs w:val="24"/>
        </w:rPr>
        <w:t>requested specifically</w:t>
      </w:r>
      <w:r w:rsidRPr="00D11245">
        <w:rPr>
          <w:rFonts w:cstheme="minorHAnsi"/>
          <w:color w:val="000000" w:themeColor="text1"/>
          <w:sz w:val="24"/>
          <w:szCs w:val="24"/>
        </w:rPr>
        <w:t>.</w:t>
      </w:r>
      <w:r w:rsidR="00BF37A5" w:rsidRPr="00D11245">
        <w:rPr>
          <w:rFonts w:cstheme="minorHAnsi"/>
          <w:color w:val="000000" w:themeColor="text1"/>
          <w:sz w:val="24"/>
          <w:szCs w:val="24"/>
        </w:rPr>
        <w:t xml:space="preserve"> C</w:t>
      </w:r>
      <w:r w:rsidRPr="00D11245">
        <w:rPr>
          <w:rFonts w:cstheme="minorHAnsi"/>
          <w:color w:val="000000" w:themeColor="text1"/>
          <w:sz w:val="24"/>
          <w:szCs w:val="24"/>
        </w:rPr>
        <w:t>linicians should c</w:t>
      </w:r>
      <w:r w:rsidR="00495221" w:rsidRPr="00D11245">
        <w:rPr>
          <w:rFonts w:cstheme="minorHAnsi"/>
          <w:color w:val="000000" w:themeColor="text1"/>
          <w:sz w:val="24"/>
          <w:szCs w:val="24"/>
        </w:rPr>
        <w:t>onsider</w:t>
      </w:r>
      <w:r w:rsidR="001173C2" w:rsidRPr="00D11245">
        <w:rPr>
          <w:rFonts w:cstheme="minorHAnsi"/>
          <w:color w:val="000000" w:themeColor="text1"/>
          <w:sz w:val="24"/>
          <w:szCs w:val="24"/>
        </w:rPr>
        <w:t xml:space="preserve"> routine</w:t>
      </w:r>
      <w:r w:rsidR="00495221" w:rsidRPr="00D11245">
        <w:rPr>
          <w:rFonts w:cstheme="minorHAnsi"/>
          <w:color w:val="000000" w:themeColor="text1"/>
          <w:sz w:val="24"/>
          <w:szCs w:val="24"/>
        </w:rPr>
        <w:t xml:space="preserve"> stool PCR testing for </w:t>
      </w:r>
      <w:r w:rsidR="00495221" w:rsidRPr="00D11245">
        <w:rPr>
          <w:rFonts w:cstheme="minorHAnsi"/>
          <w:i/>
          <w:iCs/>
          <w:color w:val="000000" w:themeColor="text1"/>
          <w:sz w:val="24"/>
          <w:szCs w:val="24"/>
        </w:rPr>
        <w:t>E. histolytica</w:t>
      </w:r>
      <w:r w:rsidR="00495221" w:rsidRPr="00D11245">
        <w:rPr>
          <w:rFonts w:cstheme="minorHAnsi"/>
          <w:color w:val="000000" w:themeColor="text1"/>
          <w:sz w:val="24"/>
          <w:szCs w:val="24"/>
        </w:rPr>
        <w:t xml:space="preserve"> in </w:t>
      </w:r>
      <w:r w:rsidR="00120561" w:rsidRPr="00D11245">
        <w:rPr>
          <w:rFonts w:cstheme="minorHAnsi"/>
          <w:color w:val="000000" w:themeColor="text1"/>
          <w:sz w:val="24"/>
          <w:szCs w:val="24"/>
        </w:rPr>
        <w:t xml:space="preserve">all </w:t>
      </w:r>
      <w:r w:rsidR="00495221" w:rsidRPr="00D11245">
        <w:rPr>
          <w:rFonts w:cstheme="minorHAnsi"/>
          <w:color w:val="000000" w:themeColor="text1"/>
          <w:sz w:val="24"/>
          <w:szCs w:val="24"/>
        </w:rPr>
        <w:t>new IBD cases</w:t>
      </w:r>
      <w:r w:rsidR="00BE45F0" w:rsidRPr="00D11245">
        <w:rPr>
          <w:rFonts w:cstheme="minorHAnsi"/>
          <w:color w:val="000000" w:themeColor="text1"/>
          <w:sz w:val="24"/>
          <w:szCs w:val="24"/>
        </w:rPr>
        <w:t>,</w:t>
      </w:r>
      <w:r w:rsidR="00495221" w:rsidRPr="00D11245">
        <w:rPr>
          <w:rFonts w:cstheme="minorHAnsi"/>
          <w:color w:val="000000" w:themeColor="text1"/>
          <w:sz w:val="24"/>
          <w:szCs w:val="24"/>
        </w:rPr>
        <w:t xml:space="preserve"> </w:t>
      </w:r>
      <w:r w:rsidR="00A112AC" w:rsidRPr="00D11245">
        <w:rPr>
          <w:rFonts w:cstheme="minorHAnsi"/>
          <w:color w:val="000000" w:themeColor="text1"/>
          <w:sz w:val="24"/>
          <w:szCs w:val="24"/>
        </w:rPr>
        <w:t>especially prior to commencing immunosuppression</w:t>
      </w:r>
      <w:r w:rsidR="00BF37A5" w:rsidRPr="00D11245">
        <w:rPr>
          <w:rFonts w:cstheme="minorHAnsi"/>
          <w:color w:val="000000" w:themeColor="text1"/>
          <w:sz w:val="24"/>
          <w:szCs w:val="24"/>
        </w:rPr>
        <w:t>.</w:t>
      </w:r>
      <w:r w:rsidR="00B43453" w:rsidRPr="00D11245">
        <w:rPr>
          <w:rFonts w:cstheme="minorHAnsi"/>
          <w:color w:val="000000" w:themeColor="text1"/>
          <w:sz w:val="24"/>
          <w:szCs w:val="24"/>
        </w:rPr>
        <w:t xml:space="preserve"> </w:t>
      </w:r>
      <w:r w:rsidR="005D4A5D" w:rsidRPr="00D11245">
        <w:rPr>
          <w:rFonts w:cstheme="minorHAnsi"/>
          <w:color w:val="000000" w:themeColor="text1"/>
          <w:sz w:val="24"/>
          <w:szCs w:val="24"/>
        </w:rPr>
        <w:t>T</w:t>
      </w:r>
      <w:r w:rsidR="00A112AC" w:rsidRPr="00D11245">
        <w:rPr>
          <w:rFonts w:cstheme="minorHAnsi"/>
          <w:color w:val="000000" w:themeColor="text1"/>
          <w:sz w:val="24"/>
          <w:szCs w:val="24"/>
        </w:rPr>
        <w:t>esting</w:t>
      </w:r>
      <w:r w:rsidR="00BE45F0" w:rsidRPr="00D11245">
        <w:rPr>
          <w:rFonts w:cstheme="minorHAnsi"/>
          <w:color w:val="000000" w:themeColor="text1"/>
          <w:sz w:val="24"/>
          <w:szCs w:val="24"/>
        </w:rPr>
        <w:t xml:space="preserve"> </w:t>
      </w:r>
      <w:r w:rsidR="00A112AC" w:rsidRPr="00D11245">
        <w:rPr>
          <w:rFonts w:cstheme="minorHAnsi"/>
          <w:color w:val="000000" w:themeColor="text1"/>
          <w:sz w:val="24"/>
          <w:szCs w:val="24"/>
        </w:rPr>
        <w:t xml:space="preserve">should be considered </w:t>
      </w:r>
      <w:r w:rsidR="00BE45F0" w:rsidRPr="00D11245">
        <w:rPr>
          <w:rFonts w:cstheme="minorHAnsi"/>
          <w:color w:val="000000" w:themeColor="text1"/>
          <w:sz w:val="24"/>
          <w:szCs w:val="24"/>
        </w:rPr>
        <w:t xml:space="preserve">particularly </w:t>
      </w:r>
      <w:r w:rsidR="00A112AC" w:rsidRPr="00D11245">
        <w:rPr>
          <w:rFonts w:cstheme="minorHAnsi"/>
          <w:color w:val="000000" w:themeColor="text1"/>
          <w:sz w:val="24"/>
          <w:szCs w:val="24"/>
        </w:rPr>
        <w:t xml:space="preserve">in patients with established IBD who </w:t>
      </w:r>
      <w:r w:rsidR="00BE45F0" w:rsidRPr="00D11245">
        <w:rPr>
          <w:rFonts w:cstheme="minorHAnsi"/>
          <w:color w:val="000000" w:themeColor="text1"/>
          <w:sz w:val="24"/>
          <w:szCs w:val="24"/>
        </w:rPr>
        <w:t xml:space="preserve">have </w:t>
      </w:r>
      <w:r w:rsidR="00A112AC" w:rsidRPr="00D11245">
        <w:rPr>
          <w:rFonts w:cstheme="minorHAnsi"/>
          <w:color w:val="000000" w:themeColor="text1"/>
          <w:sz w:val="24"/>
          <w:szCs w:val="24"/>
        </w:rPr>
        <w:t>travel</w:t>
      </w:r>
      <w:r w:rsidR="00BE45F0" w:rsidRPr="00D11245">
        <w:rPr>
          <w:rFonts w:cstheme="minorHAnsi"/>
          <w:color w:val="000000" w:themeColor="text1"/>
          <w:sz w:val="24"/>
          <w:szCs w:val="24"/>
        </w:rPr>
        <w:t>led</w:t>
      </w:r>
      <w:r w:rsidR="00A112AC" w:rsidRPr="00D11245">
        <w:rPr>
          <w:rFonts w:cstheme="minorHAnsi"/>
          <w:color w:val="000000" w:themeColor="text1"/>
          <w:sz w:val="24"/>
          <w:szCs w:val="24"/>
        </w:rPr>
        <w:t xml:space="preserve"> to endemic areas</w:t>
      </w:r>
      <w:r w:rsidR="00BE45F0" w:rsidRPr="00D11245">
        <w:rPr>
          <w:rFonts w:cstheme="minorHAnsi"/>
          <w:color w:val="000000" w:themeColor="text1"/>
          <w:sz w:val="24"/>
          <w:szCs w:val="24"/>
        </w:rPr>
        <w:t xml:space="preserve"> particular</w:t>
      </w:r>
      <w:r w:rsidR="007956B3" w:rsidRPr="00D11245">
        <w:rPr>
          <w:rFonts w:cstheme="minorHAnsi"/>
          <w:color w:val="000000" w:themeColor="text1"/>
          <w:sz w:val="24"/>
          <w:szCs w:val="24"/>
        </w:rPr>
        <w:t>ly</w:t>
      </w:r>
      <w:r w:rsidR="00BE45F0" w:rsidRPr="00D11245">
        <w:rPr>
          <w:rFonts w:cstheme="minorHAnsi"/>
          <w:color w:val="000000" w:themeColor="text1"/>
          <w:sz w:val="24"/>
          <w:szCs w:val="24"/>
        </w:rPr>
        <w:t xml:space="preserve"> in the conte</w:t>
      </w:r>
      <w:r w:rsidR="007956B3" w:rsidRPr="00D11245">
        <w:rPr>
          <w:rFonts w:cstheme="minorHAnsi"/>
          <w:color w:val="000000" w:themeColor="text1"/>
          <w:sz w:val="24"/>
          <w:szCs w:val="24"/>
        </w:rPr>
        <w:t>x</w:t>
      </w:r>
      <w:r w:rsidR="00BE45F0" w:rsidRPr="00D11245">
        <w:rPr>
          <w:rFonts w:cstheme="minorHAnsi"/>
          <w:color w:val="000000" w:themeColor="text1"/>
          <w:sz w:val="24"/>
          <w:szCs w:val="24"/>
        </w:rPr>
        <w:t>t of a</w:t>
      </w:r>
      <w:r w:rsidR="00A112AC" w:rsidRPr="00D11245">
        <w:rPr>
          <w:rFonts w:cstheme="minorHAnsi"/>
          <w:color w:val="000000" w:themeColor="text1"/>
          <w:sz w:val="24"/>
          <w:szCs w:val="24"/>
        </w:rPr>
        <w:t xml:space="preserve"> worsening </w:t>
      </w:r>
      <w:r w:rsidR="00BE45F0" w:rsidRPr="00D11245">
        <w:rPr>
          <w:rFonts w:cstheme="minorHAnsi"/>
          <w:color w:val="000000" w:themeColor="text1"/>
          <w:sz w:val="24"/>
          <w:szCs w:val="24"/>
        </w:rPr>
        <w:t xml:space="preserve">acute </w:t>
      </w:r>
      <w:r w:rsidR="00A112AC" w:rsidRPr="00D11245">
        <w:rPr>
          <w:rFonts w:cstheme="minorHAnsi"/>
          <w:color w:val="000000" w:themeColor="text1"/>
          <w:sz w:val="24"/>
          <w:szCs w:val="24"/>
        </w:rPr>
        <w:t>colitis</w:t>
      </w:r>
      <w:r w:rsidR="00BE45F0" w:rsidRPr="00D11245">
        <w:rPr>
          <w:rFonts w:cstheme="minorHAnsi"/>
          <w:color w:val="000000" w:themeColor="text1"/>
          <w:sz w:val="24"/>
          <w:szCs w:val="24"/>
        </w:rPr>
        <w:t xml:space="preserve">. </w:t>
      </w:r>
      <w:bookmarkStart w:id="3" w:name="_Hlk173344840"/>
      <w:r w:rsidR="00BE45F0" w:rsidRPr="00D11245">
        <w:rPr>
          <w:rFonts w:cstheme="minorHAnsi"/>
          <w:color w:val="000000" w:themeColor="text1"/>
          <w:sz w:val="24"/>
          <w:szCs w:val="24"/>
        </w:rPr>
        <w:t xml:space="preserve">Empirical treatment </w:t>
      </w:r>
      <w:r w:rsidR="007956B3" w:rsidRPr="00D11245">
        <w:rPr>
          <w:rFonts w:cstheme="minorHAnsi"/>
          <w:color w:val="000000" w:themeColor="text1"/>
          <w:sz w:val="24"/>
          <w:szCs w:val="24"/>
        </w:rPr>
        <w:t>for amoebiasis</w:t>
      </w:r>
      <w:r w:rsidR="00ED2E78" w:rsidRPr="00D11245">
        <w:rPr>
          <w:rFonts w:cstheme="minorHAnsi"/>
          <w:color w:val="000000" w:themeColor="text1"/>
          <w:sz w:val="24"/>
          <w:szCs w:val="24"/>
        </w:rPr>
        <w:t xml:space="preserve"> </w:t>
      </w:r>
      <w:r w:rsidR="00BE45F0" w:rsidRPr="00D11245">
        <w:rPr>
          <w:rFonts w:cstheme="minorHAnsi"/>
          <w:color w:val="000000" w:themeColor="text1"/>
          <w:sz w:val="24"/>
          <w:szCs w:val="24"/>
        </w:rPr>
        <w:t>should be offered once samples sent if there is a high index of suspicion</w:t>
      </w:r>
      <w:bookmarkEnd w:id="3"/>
      <w:r w:rsidR="00021616" w:rsidRPr="00D11245">
        <w:rPr>
          <w:rFonts w:cstheme="minorHAnsi"/>
          <w:color w:val="000000" w:themeColor="text1"/>
          <w:sz w:val="24"/>
          <w:szCs w:val="24"/>
        </w:rPr>
        <w:t xml:space="preserve">. </w:t>
      </w:r>
      <w:r w:rsidR="00495221" w:rsidRPr="00D11245">
        <w:rPr>
          <w:rFonts w:cstheme="minorHAnsi"/>
          <w:color w:val="000000" w:themeColor="text1"/>
          <w:sz w:val="24"/>
          <w:szCs w:val="24"/>
        </w:rPr>
        <w:t>Routine colonic histopathology may be diagnostic if trophozoites are present, but sampling error or failure to recognise trophozoites may contribute to low sensitivity</w:t>
      </w:r>
      <w:r w:rsidRPr="00D11245">
        <w:rPr>
          <w:rFonts w:cstheme="minorHAnsi"/>
          <w:color w:val="000000" w:themeColor="text1"/>
          <w:sz w:val="24"/>
          <w:szCs w:val="24"/>
        </w:rPr>
        <w:t xml:space="preserve"> overall. </w:t>
      </w:r>
      <w:r w:rsidR="00A112AC" w:rsidRPr="00D11245">
        <w:rPr>
          <w:rFonts w:eastAsia="Times New Roman" w:cstheme="minorHAnsi"/>
          <w:color w:val="000000" w:themeColor="text1"/>
          <w:kern w:val="0"/>
          <w:sz w:val="24"/>
          <w:szCs w:val="24"/>
          <w:lang w:eastAsia="en-GB"/>
          <w14:ligatures w14:val="none"/>
        </w:rPr>
        <w:t>If a patient treated for IBD with immunosuppressants fails to improve or deteriorates, it would be appropriate to request review of the histology, to search particularly for trophozoites, if necessary</w:t>
      </w:r>
      <w:r w:rsidR="00BE45F0" w:rsidRPr="00D11245">
        <w:rPr>
          <w:rFonts w:eastAsia="Times New Roman" w:cstheme="minorHAnsi"/>
          <w:color w:val="000000" w:themeColor="text1"/>
          <w:kern w:val="0"/>
          <w:sz w:val="24"/>
          <w:szCs w:val="24"/>
          <w:lang w:eastAsia="en-GB"/>
          <w14:ligatures w14:val="none"/>
        </w:rPr>
        <w:t>,</w:t>
      </w:r>
      <w:r w:rsidR="00A112AC" w:rsidRPr="00D11245">
        <w:rPr>
          <w:rFonts w:eastAsia="Times New Roman" w:cstheme="minorHAnsi"/>
          <w:color w:val="000000" w:themeColor="text1"/>
          <w:kern w:val="0"/>
          <w:sz w:val="24"/>
          <w:szCs w:val="24"/>
          <w:lang w:eastAsia="en-GB"/>
          <w14:ligatures w14:val="none"/>
        </w:rPr>
        <w:t xml:space="preserve"> by a specialist infectious disease histopathologist.  </w:t>
      </w:r>
      <w:r w:rsidRPr="00D11245">
        <w:rPr>
          <w:rFonts w:cstheme="minorHAnsi"/>
          <w:color w:val="000000" w:themeColor="text1"/>
          <w:sz w:val="24"/>
          <w:szCs w:val="24"/>
        </w:rPr>
        <w:t xml:space="preserve">Amoebic liver abscess will appear on ultrasound as a cystic intrahepatic hypoechoic lesion with thick walls and on CT there will be a non-enhancing centre with an inflammatory ring following administration of contrast. This should be suspected especially if patients have right upper quadrant pain, fever and deranged liver function tests.  </w:t>
      </w:r>
      <w:r w:rsidR="00495221" w:rsidRPr="00D11245">
        <w:rPr>
          <w:rFonts w:cstheme="minorHAnsi"/>
          <w:color w:val="000000" w:themeColor="text1"/>
          <w:sz w:val="24"/>
          <w:szCs w:val="24"/>
        </w:rPr>
        <w:t>Treatment</w:t>
      </w:r>
      <w:r w:rsidR="008B4ED5" w:rsidRPr="00D11245">
        <w:rPr>
          <w:rFonts w:cstheme="minorHAnsi"/>
          <w:color w:val="000000" w:themeColor="text1"/>
          <w:sz w:val="24"/>
          <w:szCs w:val="24"/>
        </w:rPr>
        <w:t xml:space="preserve"> of intestinal amoebiasis</w:t>
      </w:r>
      <w:r w:rsidR="00495221" w:rsidRPr="00D11245">
        <w:rPr>
          <w:rFonts w:cstheme="minorHAnsi"/>
          <w:color w:val="000000" w:themeColor="text1"/>
          <w:sz w:val="24"/>
          <w:szCs w:val="24"/>
        </w:rPr>
        <w:t xml:space="preserve"> should comprise both tissue </w:t>
      </w:r>
      <w:r w:rsidR="008B4ED5" w:rsidRPr="00D11245">
        <w:rPr>
          <w:rFonts w:cstheme="minorHAnsi"/>
          <w:color w:val="000000" w:themeColor="text1"/>
          <w:sz w:val="24"/>
          <w:szCs w:val="24"/>
        </w:rPr>
        <w:t>and</w:t>
      </w:r>
      <w:r w:rsidR="00495221" w:rsidRPr="00D11245">
        <w:rPr>
          <w:rFonts w:cstheme="minorHAnsi"/>
          <w:color w:val="000000" w:themeColor="text1"/>
          <w:sz w:val="24"/>
          <w:szCs w:val="24"/>
        </w:rPr>
        <w:t xml:space="preserve"> luminal amoebicides to avert disease recurrence</w:t>
      </w:r>
      <w:r w:rsidR="008B4ED5" w:rsidRPr="00D11245">
        <w:rPr>
          <w:rFonts w:cstheme="minorHAnsi"/>
          <w:color w:val="000000" w:themeColor="text1"/>
          <w:sz w:val="24"/>
          <w:szCs w:val="24"/>
        </w:rPr>
        <w:t xml:space="preserve">.  </w:t>
      </w:r>
    </w:p>
    <w:p w14:paraId="0B052458" w14:textId="77777777" w:rsidR="00DB149B" w:rsidRPr="00D11245" w:rsidRDefault="00DB149B" w:rsidP="00DB149B">
      <w:pPr>
        <w:jc w:val="both"/>
        <w:rPr>
          <w:rFonts w:cstheme="minorHAnsi"/>
          <w:color w:val="000000" w:themeColor="text1"/>
          <w:sz w:val="24"/>
          <w:szCs w:val="24"/>
          <w:u w:val="single"/>
        </w:rPr>
      </w:pPr>
      <w:r w:rsidRPr="00D11245">
        <w:rPr>
          <w:rFonts w:cstheme="minorHAnsi"/>
          <w:b/>
          <w:bCs/>
          <w:color w:val="000000" w:themeColor="text1"/>
          <w:sz w:val="24"/>
          <w:szCs w:val="24"/>
          <w:u w:val="single"/>
        </w:rPr>
        <w:t>Key points</w:t>
      </w:r>
    </w:p>
    <w:p w14:paraId="5F4FFB0A" w14:textId="77777777" w:rsidR="00DB149B" w:rsidRPr="00D11245" w:rsidRDefault="00DB149B" w:rsidP="00DB149B">
      <w:pPr>
        <w:pStyle w:val="ListParagraph"/>
        <w:numPr>
          <w:ilvl w:val="0"/>
          <w:numId w:val="14"/>
        </w:numPr>
        <w:jc w:val="both"/>
        <w:rPr>
          <w:rFonts w:cstheme="minorHAnsi"/>
          <w:color w:val="000000" w:themeColor="text1"/>
          <w:sz w:val="24"/>
          <w:szCs w:val="24"/>
        </w:rPr>
      </w:pPr>
      <w:r w:rsidRPr="00D11245">
        <w:rPr>
          <w:rFonts w:cstheme="minorHAnsi"/>
          <w:color w:val="000000" w:themeColor="text1"/>
          <w:sz w:val="24"/>
          <w:szCs w:val="24"/>
        </w:rPr>
        <w:t>Clinical, endoscopic and histological misdiagnosis of intestinal amoebiasis as IBD in non-endemic regions can easily occur</w:t>
      </w:r>
    </w:p>
    <w:p w14:paraId="1A5E9BE2" w14:textId="77777777" w:rsidR="00DB149B" w:rsidRPr="00D11245" w:rsidRDefault="00DB149B" w:rsidP="00DB149B">
      <w:pPr>
        <w:pStyle w:val="ListParagraph"/>
        <w:numPr>
          <w:ilvl w:val="0"/>
          <w:numId w:val="14"/>
        </w:numPr>
        <w:jc w:val="both"/>
        <w:rPr>
          <w:rFonts w:cstheme="minorHAnsi"/>
          <w:color w:val="000000" w:themeColor="text1"/>
          <w:sz w:val="24"/>
          <w:szCs w:val="24"/>
        </w:rPr>
      </w:pPr>
      <w:r w:rsidRPr="00D11245">
        <w:rPr>
          <w:rFonts w:cstheme="minorHAnsi"/>
          <w:color w:val="000000" w:themeColor="text1"/>
          <w:sz w:val="24"/>
          <w:szCs w:val="24"/>
        </w:rPr>
        <w:t>Inadvertent treatment with steroids or immunosuppressants can lead to life-threatening complications</w:t>
      </w:r>
    </w:p>
    <w:p w14:paraId="3A8EDA22" w14:textId="77777777" w:rsidR="00DB149B" w:rsidRPr="00D11245" w:rsidRDefault="00DB149B" w:rsidP="00DB149B">
      <w:pPr>
        <w:pStyle w:val="ListParagraph"/>
        <w:numPr>
          <w:ilvl w:val="0"/>
          <w:numId w:val="14"/>
        </w:numPr>
        <w:jc w:val="both"/>
        <w:rPr>
          <w:rFonts w:cstheme="minorHAnsi"/>
          <w:color w:val="000000" w:themeColor="text1"/>
          <w:sz w:val="24"/>
          <w:szCs w:val="24"/>
        </w:rPr>
      </w:pPr>
      <w:r w:rsidRPr="00D11245">
        <w:rPr>
          <w:rFonts w:cstheme="minorHAnsi"/>
          <w:color w:val="000000" w:themeColor="text1"/>
          <w:sz w:val="24"/>
          <w:szCs w:val="24"/>
        </w:rPr>
        <w:lastRenderedPageBreak/>
        <w:t xml:space="preserve">Diagnosis of intestinal amoebiasis is best achieved using stool </w:t>
      </w:r>
      <w:r w:rsidRPr="00D11245">
        <w:rPr>
          <w:rFonts w:cstheme="minorHAnsi"/>
          <w:i/>
          <w:iCs/>
          <w:color w:val="000000" w:themeColor="text1"/>
          <w:sz w:val="24"/>
          <w:szCs w:val="24"/>
        </w:rPr>
        <w:t>E. histolytica</w:t>
      </w:r>
      <w:r w:rsidRPr="00D11245">
        <w:rPr>
          <w:rFonts w:cstheme="minorHAnsi"/>
          <w:color w:val="000000" w:themeColor="text1"/>
          <w:sz w:val="24"/>
          <w:szCs w:val="24"/>
        </w:rPr>
        <w:t xml:space="preserve"> PCR and needs to be requested specifically, giving full travel history</w:t>
      </w:r>
    </w:p>
    <w:p w14:paraId="06BDA1B2" w14:textId="29108D02" w:rsidR="00A112AC" w:rsidRPr="00D11245" w:rsidRDefault="00A112AC" w:rsidP="00A112AC">
      <w:pPr>
        <w:pStyle w:val="ListParagraph"/>
        <w:numPr>
          <w:ilvl w:val="0"/>
          <w:numId w:val="14"/>
        </w:numPr>
        <w:jc w:val="both"/>
        <w:rPr>
          <w:rFonts w:cstheme="minorHAnsi"/>
          <w:color w:val="000000" w:themeColor="text1"/>
          <w:sz w:val="24"/>
          <w:szCs w:val="24"/>
        </w:rPr>
      </w:pPr>
      <w:r w:rsidRPr="00D11245">
        <w:rPr>
          <w:rFonts w:cstheme="minorHAnsi"/>
          <w:color w:val="000000" w:themeColor="text1"/>
          <w:sz w:val="24"/>
          <w:szCs w:val="24"/>
        </w:rPr>
        <w:t>Recommend</w:t>
      </w:r>
      <w:r w:rsidR="00DB149B" w:rsidRPr="00D11245">
        <w:rPr>
          <w:rFonts w:cstheme="minorHAnsi"/>
          <w:color w:val="000000" w:themeColor="text1"/>
          <w:sz w:val="24"/>
          <w:szCs w:val="24"/>
        </w:rPr>
        <w:t xml:space="preserve"> stool PCR testing for </w:t>
      </w:r>
      <w:r w:rsidR="00DB149B" w:rsidRPr="00D11245">
        <w:rPr>
          <w:rFonts w:cstheme="minorHAnsi"/>
          <w:i/>
          <w:iCs/>
          <w:color w:val="000000" w:themeColor="text1"/>
          <w:sz w:val="24"/>
          <w:szCs w:val="24"/>
        </w:rPr>
        <w:t>E. histolytica</w:t>
      </w:r>
      <w:r w:rsidR="00DB149B" w:rsidRPr="00D11245">
        <w:rPr>
          <w:rFonts w:cstheme="minorHAnsi"/>
          <w:color w:val="000000" w:themeColor="text1"/>
          <w:sz w:val="24"/>
          <w:szCs w:val="24"/>
        </w:rPr>
        <w:t xml:space="preserve"> in </w:t>
      </w:r>
      <w:r w:rsidRPr="00D11245">
        <w:rPr>
          <w:rFonts w:cstheme="minorHAnsi"/>
          <w:color w:val="000000" w:themeColor="text1"/>
          <w:sz w:val="24"/>
          <w:szCs w:val="24"/>
        </w:rPr>
        <w:t xml:space="preserve">all </w:t>
      </w:r>
      <w:r w:rsidR="00DB149B" w:rsidRPr="00D11245">
        <w:rPr>
          <w:rFonts w:cstheme="minorHAnsi"/>
          <w:color w:val="000000" w:themeColor="text1"/>
          <w:sz w:val="24"/>
          <w:szCs w:val="24"/>
        </w:rPr>
        <w:t xml:space="preserve">new IBD cases </w:t>
      </w:r>
      <w:r w:rsidRPr="00D11245">
        <w:rPr>
          <w:rFonts w:cstheme="minorHAnsi"/>
          <w:color w:val="000000" w:themeColor="text1"/>
          <w:sz w:val="24"/>
          <w:szCs w:val="24"/>
        </w:rPr>
        <w:t xml:space="preserve">regardless of </w:t>
      </w:r>
      <w:r w:rsidR="00DB149B" w:rsidRPr="00D11245">
        <w:rPr>
          <w:rFonts w:cstheme="minorHAnsi"/>
          <w:color w:val="000000" w:themeColor="text1"/>
          <w:sz w:val="24"/>
          <w:szCs w:val="24"/>
        </w:rPr>
        <w:t>previous travel history to an endemic area</w:t>
      </w:r>
      <w:r w:rsidRPr="00D11245">
        <w:rPr>
          <w:rFonts w:cstheme="minorHAnsi"/>
          <w:color w:val="000000" w:themeColor="text1"/>
          <w:sz w:val="24"/>
          <w:szCs w:val="24"/>
        </w:rPr>
        <w:t>, especially prior to commencing immunosuppression</w:t>
      </w:r>
      <w:r w:rsidR="00DB149B" w:rsidRPr="00D11245">
        <w:rPr>
          <w:rFonts w:cstheme="minorHAnsi"/>
          <w:color w:val="000000" w:themeColor="text1"/>
          <w:sz w:val="24"/>
          <w:szCs w:val="24"/>
        </w:rPr>
        <w:t>.</w:t>
      </w:r>
      <w:r w:rsidRPr="00D11245">
        <w:rPr>
          <w:rFonts w:cstheme="minorHAnsi"/>
          <w:color w:val="000000" w:themeColor="text1"/>
          <w:sz w:val="24"/>
          <w:szCs w:val="24"/>
        </w:rPr>
        <w:t xml:space="preserve"> Testing should be </w:t>
      </w:r>
      <w:r w:rsidR="00BE45F0" w:rsidRPr="00D11245">
        <w:rPr>
          <w:rFonts w:cstheme="minorHAnsi"/>
          <w:color w:val="000000" w:themeColor="text1"/>
          <w:sz w:val="24"/>
          <w:szCs w:val="24"/>
        </w:rPr>
        <w:t xml:space="preserve">performed </w:t>
      </w:r>
      <w:r w:rsidRPr="00D11245">
        <w:rPr>
          <w:rFonts w:cstheme="minorHAnsi"/>
          <w:color w:val="000000" w:themeColor="text1"/>
          <w:sz w:val="24"/>
          <w:szCs w:val="24"/>
        </w:rPr>
        <w:t xml:space="preserve">in patients with established IBD who </w:t>
      </w:r>
      <w:r w:rsidR="00BE45F0" w:rsidRPr="00D11245">
        <w:rPr>
          <w:rFonts w:cstheme="minorHAnsi"/>
          <w:color w:val="000000" w:themeColor="text1"/>
          <w:sz w:val="24"/>
          <w:szCs w:val="24"/>
        </w:rPr>
        <w:t xml:space="preserve">have had </w:t>
      </w:r>
      <w:r w:rsidRPr="00D11245">
        <w:rPr>
          <w:rFonts w:cstheme="minorHAnsi"/>
          <w:color w:val="000000" w:themeColor="text1"/>
          <w:sz w:val="24"/>
          <w:szCs w:val="24"/>
        </w:rPr>
        <w:t xml:space="preserve">travel to endemic areas </w:t>
      </w:r>
      <w:r w:rsidR="00BE45F0" w:rsidRPr="00D11245">
        <w:rPr>
          <w:rFonts w:cstheme="minorHAnsi"/>
          <w:color w:val="000000" w:themeColor="text1"/>
          <w:sz w:val="24"/>
          <w:szCs w:val="24"/>
        </w:rPr>
        <w:t xml:space="preserve">particularly with a </w:t>
      </w:r>
      <w:r w:rsidRPr="00D11245">
        <w:rPr>
          <w:rFonts w:cstheme="minorHAnsi"/>
          <w:color w:val="000000" w:themeColor="text1"/>
          <w:sz w:val="24"/>
          <w:szCs w:val="24"/>
        </w:rPr>
        <w:t>worsening colitis</w:t>
      </w:r>
      <w:r w:rsidR="00BE45F0" w:rsidRPr="00D11245">
        <w:rPr>
          <w:rFonts w:cstheme="minorHAnsi"/>
          <w:color w:val="000000" w:themeColor="text1"/>
          <w:sz w:val="24"/>
          <w:szCs w:val="24"/>
        </w:rPr>
        <w:t xml:space="preserve">. Empirical treatment </w:t>
      </w:r>
      <w:r w:rsidR="009E63A8" w:rsidRPr="00D11245">
        <w:rPr>
          <w:rFonts w:cstheme="minorHAnsi"/>
          <w:color w:val="000000" w:themeColor="text1"/>
          <w:sz w:val="24"/>
          <w:szCs w:val="24"/>
        </w:rPr>
        <w:t xml:space="preserve">for amoebiasis </w:t>
      </w:r>
      <w:r w:rsidR="00BE45F0" w:rsidRPr="00D11245">
        <w:rPr>
          <w:rFonts w:cstheme="minorHAnsi"/>
          <w:color w:val="000000" w:themeColor="text1"/>
          <w:sz w:val="24"/>
          <w:szCs w:val="24"/>
        </w:rPr>
        <w:t>should be offered once samples sent if there is a high index of suspicion.</w:t>
      </w:r>
    </w:p>
    <w:p w14:paraId="3294927B" w14:textId="77777777" w:rsidR="00DB149B" w:rsidRPr="00D11245" w:rsidRDefault="00DB149B" w:rsidP="00DB149B">
      <w:pPr>
        <w:pStyle w:val="ListParagraph"/>
        <w:numPr>
          <w:ilvl w:val="0"/>
          <w:numId w:val="14"/>
        </w:numPr>
        <w:jc w:val="both"/>
        <w:rPr>
          <w:rFonts w:cstheme="minorHAnsi"/>
          <w:color w:val="000000" w:themeColor="text1"/>
          <w:sz w:val="24"/>
          <w:szCs w:val="24"/>
        </w:rPr>
      </w:pPr>
      <w:r w:rsidRPr="00D11245">
        <w:rPr>
          <w:rFonts w:cstheme="minorHAnsi"/>
          <w:color w:val="000000" w:themeColor="text1"/>
          <w:sz w:val="24"/>
          <w:szCs w:val="24"/>
        </w:rPr>
        <w:t>Routine colonic histopathology may be diagnostic if trophozoites are present, but sampling error or failure to recognise trophozoites may contribute to low sensitivity</w:t>
      </w:r>
    </w:p>
    <w:p w14:paraId="08C44D0E" w14:textId="77777777" w:rsidR="00DB149B" w:rsidRPr="00D11245" w:rsidRDefault="00DB149B" w:rsidP="00DB149B">
      <w:pPr>
        <w:pStyle w:val="ListParagraph"/>
        <w:numPr>
          <w:ilvl w:val="0"/>
          <w:numId w:val="14"/>
        </w:numPr>
        <w:jc w:val="both"/>
        <w:rPr>
          <w:rFonts w:cstheme="minorHAnsi"/>
          <w:color w:val="000000" w:themeColor="text1"/>
          <w:sz w:val="24"/>
          <w:szCs w:val="24"/>
        </w:rPr>
      </w:pPr>
      <w:r w:rsidRPr="00D11245">
        <w:rPr>
          <w:rFonts w:cstheme="minorHAnsi"/>
          <w:color w:val="000000" w:themeColor="text1"/>
          <w:sz w:val="24"/>
          <w:szCs w:val="24"/>
        </w:rPr>
        <w:t>Treatment should comprise both tissue AND luminal amoebicides to avert disease recurrence</w:t>
      </w:r>
    </w:p>
    <w:p w14:paraId="6DCCD9CA" w14:textId="77777777" w:rsidR="00DB149B" w:rsidRPr="00D11245" w:rsidRDefault="00DB149B" w:rsidP="00DB149B">
      <w:pPr>
        <w:pStyle w:val="ListParagraph"/>
        <w:ind w:left="360"/>
        <w:jc w:val="both"/>
        <w:rPr>
          <w:rFonts w:cstheme="minorHAnsi"/>
          <w:color w:val="000000" w:themeColor="text1"/>
          <w:sz w:val="24"/>
          <w:szCs w:val="24"/>
        </w:rPr>
      </w:pPr>
    </w:p>
    <w:p w14:paraId="66CC1410" w14:textId="77777777" w:rsidR="00DB149B" w:rsidRPr="00D11245" w:rsidRDefault="00DB149B" w:rsidP="00DB149B">
      <w:pPr>
        <w:jc w:val="both"/>
        <w:rPr>
          <w:rFonts w:cstheme="minorHAnsi"/>
          <w:b/>
          <w:bCs/>
          <w:color w:val="000000" w:themeColor="text1"/>
          <w:sz w:val="24"/>
          <w:szCs w:val="24"/>
          <w:u w:val="single"/>
        </w:rPr>
      </w:pPr>
      <w:r w:rsidRPr="00D11245">
        <w:rPr>
          <w:rFonts w:cstheme="minorHAnsi"/>
          <w:b/>
          <w:bCs/>
          <w:color w:val="000000" w:themeColor="text1"/>
          <w:sz w:val="24"/>
          <w:szCs w:val="24"/>
          <w:u w:val="single"/>
        </w:rPr>
        <w:t>Table Legends</w:t>
      </w:r>
    </w:p>
    <w:p w14:paraId="3E2AA96A" w14:textId="77777777" w:rsidR="00DB149B" w:rsidRPr="00D11245" w:rsidRDefault="00DB149B" w:rsidP="00DB149B">
      <w:pPr>
        <w:jc w:val="both"/>
        <w:rPr>
          <w:rFonts w:cstheme="minorHAnsi"/>
          <w:color w:val="000000" w:themeColor="text1"/>
          <w:sz w:val="24"/>
          <w:szCs w:val="24"/>
          <w:vertAlign w:val="superscript"/>
        </w:rPr>
      </w:pPr>
      <w:r w:rsidRPr="00D11245">
        <w:rPr>
          <w:rFonts w:cstheme="minorHAnsi"/>
          <w:color w:val="000000" w:themeColor="text1"/>
          <w:sz w:val="24"/>
          <w:szCs w:val="24"/>
        </w:rPr>
        <w:t>Table 1: Symptoms of amoebic colitis</w:t>
      </w:r>
    </w:p>
    <w:p w14:paraId="05B22E2A" w14:textId="77777777" w:rsidR="00DB149B" w:rsidRPr="00D11245" w:rsidRDefault="00DB149B" w:rsidP="00DB149B">
      <w:pPr>
        <w:jc w:val="both"/>
        <w:rPr>
          <w:rFonts w:cstheme="minorHAnsi"/>
          <w:color w:val="000000" w:themeColor="text1"/>
          <w:sz w:val="24"/>
          <w:szCs w:val="24"/>
        </w:rPr>
      </w:pPr>
      <w:r w:rsidRPr="00D11245">
        <w:rPr>
          <w:rFonts w:cstheme="minorHAnsi"/>
          <w:color w:val="000000" w:themeColor="text1"/>
          <w:sz w:val="24"/>
          <w:szCs w:val="24"/>
        </w:rPr>
        <w:t xml:space="preserve">Table 2: Rare extra-intestinal manifestations of </w:t>
      </w:r>
      <w:r w:rsidRPr="00D11245">
        <w:rPr>
          <w:rFonts w:cstheme="minorHAnsi"/>
          <w:i/>
          <w:iCs/>
          <w:color w:val="000000" w:themeColor="text1"/>
          <w:sz w:val="24"/>
          <w:szCs w:val="24"/>
        </w:rPr>
        <w:t>E. histolytica</w:t>
      </w:r>
      <w:r w:rsidRPr="00D11245">
        <w:rPr>
          <w:rFonts w:cstheme="minorHAnsi"/>
          <w:color w:val="000000" w:themeColor="text1"/>
          <w:sz w:val="24"/>
          <w:szCs w:val="24"/>
        </w:rPr>
        <w:t xml:space="preserve"> infection</w:t>
      </w:r>
    </w:p>
    <w:p w14:paraId="1FA1AEE4" w14:textId="77777777" w:rsidR="00DB149B" w:rsidRPr="00D11245" w:rsidRDefault="00DB149B" w:rsidP="00DB149B">
      <w:pPr>
        <w:jc w:val="both"/>
        <w:rPr>
          <w:rFonts w:cstheme="minorHAnsi"/>
          <w:color w:val="000000" w:themeColor="text1"/>
          <w:sz w:val="24"/>
          <w:szCs w:val="24"/>
        </w:rPr>
      </w:pPr>
      <w:r w:rsidRPr="00D11245">
        <w:rPr>
          <w:rFonts w:cstheme="minorHAnsi"/>
          <w:color w:val="000000" w:themeColor="text1"/>
          <w:sz w:val="24"/>
          <w:szCs w:val="24"/>
        </w:rPr>
        <w:t xml:space="preserve">Table 3: Laboratory Testing for </w:t>
      </w:r>
      <w:r w:rsidRPr="00D11245">
        <w:rPr>
          <w:rFonts w:cstheme="minorHAnsi"/>
          <w:i/>
          <w:iCs/>
          <w:color w:val="000000" w:themeColor="text1"/>
          <w:sz w:val="24"/>
          <w:szCs w:val="24"/>
        </w:rPr>
        <w:t>E. histolytica</w:t>
      </w:r>
    </w:p>
    <w:p w14:paraId="18BF2C0F" w14:textId="77777777" w:rsidR="00DB149B" w:rsidRPr="00D11245" w:rsidRDefault="00DB149B" w:rsidP="00DB149B">
      <w:pPr>
        <w:jc w:val="both"/>
        <w:rPr>
          <w:rFonts w:cstheme="minorHAnsi"/>
          <w:color w:val="000000" w:themeColor="text1"/>
          <w:sz w:val="24"/>
          <w:szCs w:val="24"/>
        </w:rPr>
      </w:pPr>
      <w:r w:rsidRPr="00D11245">
        <w:rPr>
          <w:rFonts w:cstheme="minorHAnsi"/>
          <w:color w:val="000000" w:themeColor="text1"/>
          <w:sz w:val="24"/>
          <w:szCs w:val="24"/>
        </w:rPr>
        <w:t>Table 4: Endoscopic features of amoebic colitis</w:t>
      </w:r>
    </w:p>
    <w:p w14:paraId="7909FD02" w14:textId="77777777" w:rsidR="00DB149B" w:rsidRPr="00D11245" w:rsidRDefault="00DB149B" w:rsidP="00DB149B">
      <w:pPr>
        <w:jc w:val="both"/>
        <w:rPr>
          <w:rFonts w:cstheme="minorHAnsi"/>
          <w:color w:val="000000" w:themeColor="text1"/>
          <w:sz w:val="24"/>
          <w:szCs w:val="24"/>
        </w:rPr>
      </w:pPr>
      <w:r w:rsidRPr="00D11245">
        <w:rPr>
          <w:rFonts w:cstheme="minorHAnsi"/>
          <w:color w:val="000000" w:themeColor="text1"/>
          <w:sz w:val="24"/>
          <w:szCs w:val="24"/>
        </w:rPr>
        <w:t xml:space="preserve">Table 5: Treatment for </w:t>
      </w:r>
      <w:r w:rsidRPr="00D11245">
        <w:rPr>
          <w:rFonts w:cstheme="minorHAnsi"/>
          <w:i/>
          <w:iCs/>
          <w:color w:val="000000" w:themeColor="text1"/>
          <w:sz w:val="24"/>
          <w:szCs w:val="24"/>
        </w:rPr>
        <w:t>E. histolytica</w:t>
      </w:r>
      <w:r w:rsidRPr="00D11245">
        <w:rPr>
          <w:rFonts w:cstheme="minorHAnsi"/>
          <w:color w:val="000000" w:themeColor="text1"/>
          <w:sz w:val="24"/>
          <w:szCs w:val="24"/>
        </w:rPr>
        <w:t xml:space="preserve"> infection</w:t>
      </w:r>
    </w:p>
    <w:p w14:paraId="0F3C3376" w14:textId="77777777" w:rsidR="00DB149B" w:rsidRPr="00D11245" w:rsidRDefault="00DB149B" w:rsidP="00DB149B">
      <w:pPr>
        <w:jc w:val="both"/>
        <w:rPr>
          <w:rFonts w:cstheme="minorHAnsi"/>
          <w:b/>
          <w:bCs/>
          <w:color w:val="000000" w:themeColor="text1"/>
          <w:sz w:val="24"/>
          <w:szCs w:val="24"/>
          <w:u w:val="single"/>
        </w:rPr>
      </w:pPr>
      <w:r w:rsidRPr="00D11245">
        <w:rPr>
          <w:rFonts w:cstheme="minorHAnsi"/>
          <w:b/>
          <w:bCs/>
          <w:color w:val="000000" w:themeColor="text1"/>
          <w:sz w:val="24"/>
          <w:szCs w:val="24"/>
          <w:u w:val="single"/>
        </w:rPr>
        <w:t xml:space="preserve">Figure Legends </w:t>
      </w:r>
    </w:p>
    <w:p w14:paraId="07FE5F12" w14:textId="03AFE3EA" w:rsidR="005D004E" w:rsidRPr="00D11245" w:rsidRDefault="005D004E" w:rsidP="00DB149B">
      <w:pPr>
        <w:rPr>
          <w:rFonts w:ascii="Calibri" w:hAnsi="Calibri" w:cs="Calibri"/>
          <w:color w:val="000000" w:themeColor="text1"/>
          <w:sz w:val="24"/>
          <w:szCs w:val="24"/>
        </w:rPr>
      </w:pPr>
      <w:r w:rsidRPr="00D11245">
        <w:rPr>
          <w:rFonts w:ascii="Calibri" w:hAnsi="Calibri" w:cs="Calibri"/>
          <w:color w:val="000000" w:themeColor="text1"/>
          <w:sz w:val="24"/>
          <w:szCs w:val="24"/>
        </w:rPr>
        <w:t xml:space="preserve">Figure 1: </w:t>
      </w:r>
      <w:r w:rsidRPr="00D11245">
        <w:rPr>
          <w:rFonts w:ascii="Calibri" w:hAnsi="Calibri" w:cs="Calibri"/>
          <w:i/>
          <w:iCs/>
          <w:color w:val="000000" w:themeColor="text1"/>
          <w:sz w:val="24"/>
          <w:szCs w:val="24"/>
        </w:rPr>
        <w:t>Entamoeba histolytica</w:t>
      </w:r>
      <w:r w:rsidRPr="00D11245">
        <w:rPr>
          <w:rFonts w:ascii="Calibri" w:hAnsi="Calibri" w:cs="Calibri"/>
          <w:color w:val="000000" w:themeColor="text1"/>
          <w:sz w:val="24"/>
          <w:szCs w:val="24"/>
        </w:rPr>
        <w:t xml:space="preserve"> life cycle</w:t>
      </w:r>
    </w:p>
    <w:p w14:paraId="138EE18E" w14:textId="30168C26" w:rsidR="00DB149B" w:rsidRPr="00D11245" w:rsidRDefault="00DB149B" w:rsidP="00DB149B">
      <w:pPr>
        <w:rPr>
          <w:rFonts w:ascii="Calibri" w:hAnsi="Calibri" w:cs="Calibri"/>
          <w:color w:val="000000" w:themeColor="text1"/>
          <w:sz w:val="24"/>
          <w:szCs w:val="24"/>
        </w:rPr>
      </w:pPr>
      <w:r w:rsidRPr="00D11245">
        <w:rPr>
          <w:rFonts w:ascii="Calibri" w:hAnsi="Calibri" w:cs="Calibri"/>
          <w:color w:val="000000" w:themeColor="text1"/>
          <w:sz w:val="24"/>
          <w:szCs w:val="24"/>
        </w:rPr>
        <w:t xml:space="preserve">Figure </w:t>
      </w:r>
      <w:r w:rsidR="005D004E" w:rsidRPr="00D11245">
        <w:rPr>
          <w:rFonts w:ascii="Calibri" w:hAnsi="Calibri" w:cs="Calibri"/>
          <w:color w:val="000000" w:themeColor="text1"/>
          <w:sz w:val="24"/>
          <w:szCs w:val="24"/>
        </w:rPr>
        <w:t>2</w:t>
      </w:r>
      <w:r w:rsidRPr="00D11245">
        <w:rPr>
          <w:rFonts w:ascii="Calibri" w:hAnsi="Calibri" w:cs="Calibri"/>
          <w:color w:val="000000" w:themeColor="text1"/>
          <w:sz w:val="24"/>
          <w:szCs w:val="24"/>
        </w:rPr>
        <w:t>: Endoscopic appearances of amoebic colitis</w:t>
      </w:r>
    </w:p>
    <w:p w14:paraId="6B6FB417" w14:textId="0CCD7408" w:rsidR="00DB149B" w:rsidRPr="00D11245" w:rsidRDefault="00DB149B" w:rsidP="00DB149B">
      <w:pPr>
        <w:rPr>
          <w:rFonts w:ascii="Calibri" w:hAnsi="Calibri" w:cs="Calibri"/>
          <w:color w:val="000000" w:themeColor="text1"/>
          <w:sz w:val="24"/>
          <w:szCs w:val="24"/>
        </w:rPr>
      </w:pPr>
      <w:r w:rsidRPr="00D11245">
        <w:rPr>
          <w:rFonts w:ascii="Calibri" w:hAnsi="Calibri" w:cs="Calibri"/>
          <w:color w:val="000000" w:themeColor="text1"/>
          <w:sz w:val="24"/>
          <w:szCs w:val="24"/>
        </w:rPr>
        <w:t xml:space="preserve">Figure </w:t>
      </w:r>
      <w:r w:rsidR="005D004E" w:rsidRPr="00D11245">
        <w:rPr>
          <w:rFonts w:ascii="Calibri" w:hAnsi="Calibri" w:cs="Calibri"/>
          <w:color w:val="000000" w:themeColor="text1"/>
          <w:sz w:val="24"/>
          <w:szCs w:val="24"/>
        </w:rPr>
        <w:t>3</w:t>
      </w:r>
      <w:r w:rsidRPr="00D11245">
        <w:rPr>
          <w:rFonts w:ascii="Calibri" w:hAnsi="Calibri" w:cs="Calibri"/>
          <w:color w:val="000000" w:themeColor="text1"/>
          <w:sz w:val="24"/>
          <w:szCs w:val="24"/>
        </w:rPr>
        <w:t xml:space="preserve">: Histopathological findings in amoebic colitis </w:t>
      </w:r>
    </w:p>
    <w:p w14:paraId="4DFDA638" w14:textId="465A2D9F" w:rsidR="00066EBF" w:rsidRPr="00D11245" w:rsidRDefault="00DB149B" w:rsidP="00DB149B">
      <w:pPr>
        <w:rPr>
          <w:rFonts w:ascii="Calibri" w:hAnsi="Calibri" w:cs="Calibri"/>
          <w:b/>
          <w:bCs/>
          <w:color w:val="000000" w:themeColor="text1"/>
          <w:sz w:val="24"/>
          <w:szCs w:val="24"/>
          <w:u w:val="single"/>
        </w:rPr>
      </w:pPr>
      <w:r w:rsidRPr="00D11245">
        <w:rPr>
          <w:rFonts w:ascii="Calibri" w:hAnsi="Calibri" w:cs="Calibri"/>
          <w:color w:val="000000" w:themeColor="text1"/>
          <w:sz w:val="24"/>
          <w:szCs w:val="24"/>
        </w:rPr>
        <w:t xml:space="preserve">Figure </w:t>
      </w:r>
      <w:r w:rsidR="005D004E" w:rsidRPr="00D11245">
        <w:rPr>
          <w:rFonts w:ascii="Calibri" w:hAnsi="Calibri" w:cs="Calibri"/>
          <w:color w:val="000000" w:themeColor="text1"/>
          <w:sz w:val="24"/>
          <w:szCs w:val="24"/>
        </w:rPr>
        <w:t>4</w:t>
      </w:r>
      <w:r w:rsidRPr="00D11245">
        <w:rPr>
          <w:rFonts w:ascii="Calibri" w:hAnsi="Calibri" w:cs="Calibri"/>
          <w:color w:val="000000" w:themeColor="text1"/>
          <w:sz w:val="24"/>
          <w:szCs w:val="24"/>
        </w:rPr>
        <w:t>: Radiological features of amoebic liver abscess in a patient with right upper quadrant pain and weight loss</w:t>
      </w:r>
      <w:r w:rsidR="00066EBF" w:rsidRPr="00D11245">
        <w:rPr>
          <w:rFonts w:ascii="Calibri" w:hAnsi="Calibri" w:cs="Calibri"/>
          <w:b/>
          <w:bCs/>
          <w:color w:val="000000" w:themeColor="text1"/>
          <w:sz w:val="24"/>
          <w:szCs w:val="24"/>
          <w:u w:val="single"/>
        </w:rPr>
        <w:br w:type="page"/>
      </w:r>
    </w:p>
    <w:tbl>
      <w:tblPr>
        <w:tblStyle w:val="TableGrid"/>
        <w:tblW w:w="8926" w:type="dxa"/>
        <w:tblLook w:val="04A0" w:firstRow="1" w:lastRow="0" w:firstColumn="1" w:lastColumn="0" w:noHBand="0" w:noVBand="1"/>
      </w:tblPr>
      <w:tblGrid>
        <w:gridCol w:w="3477"/>
        <w:gridCol w:w="5449"/>
      </w:tblGrid>
      <w:tr w:rsidR="00D11245" w:rsidRPr="00D11245" w14:paraId="549CCDC5" w14:textId="77777777" w:rsidTr="004C2AFC">
        <w:tc>
          <w:tcPr>
            <w:tcW w:w="8926" w:type="dxa"/>
            <w:gridSpan w:val="2"/>
            <w:shd w:val="clear" w:color="auto" w:fill="9CC2E5" w:themeFill="accent5" w:themeFillTint="99"/>
          </w:tcPr>
          <w:p w14:paraId="1D82910B" w14:textId="2FE5E9D1" w:rsidR="005747E6" w:rsidRPr="00D11245" w:rsidRDefault="00A174C8" w:rsidP="005747E6">
            <w:pPr>
              <w:rPr>
                <w:rFonts w:ascii="Calibri" w:hAnsi="Calibri" w:cs="Calibri"/>
                <w:b/>
                <w:bCs/>
                <w:color w:val="000000" w:themeColor="text1"/>
              </w:rPr>
            </w:pPr>
            <w:r w:rsidRPr="00D11245">
              <w:rPr>
                <w:rFonts w:ascii="Calibri" w:hAnsi="Calibri" w:cs="Calibri"/>
                <w:b/>
                <w:bCs/>
                <w:color w:val="000000" w:themeColor="text1"/>
              </w:rPr>
              <w:lastRenderedPageBreak/>
              <w:t xml:space="preserve">Table 5: </w:t>
            </w:r>
            <w:r w:rsidR="005747E6" w:rsidRPr="00D11245">
              <w:rPr>
                <w:rFonts w:ascii="Calibri" w:hAnsi="Calibri" w:cs="Calibri"/>
                <w:b/>
                <w:bCs/>
                <w:color w:val="000000" w:themeColor="text1"/>
              </w:rPr>
              <w:t xml:space="preserve">Treatment for </w:t>
            </w:r>
            <w:r w:rsidR="005747E6" w:rsidRPr="00D11245">
              <w:rPr>
                <w:rFonts w:ascii="Calibri" w:hAnsi="Calibri" w:cs="Calibri"/>
                <w:b/>
                <w:bCs/>
                <w:i/>
                <w:iCs/>
                <w:color w:val="000000" w:themeColor="text1"/>
              </w:rPr>
              <w:t>E. histolytica</w:t>
            </w:r>
            <w:r w:rsidR="005747E6" w:rsidRPr="00D11245">
              <w:rPr>
                <w:rFonts w:ascii="Calibri" w:hAnsi="Calibri" w:cs="Calibri"/>
                <w:b/>
                <w:bCs/>
                <w:color w:val="000000" w:themeColor="text1"/>
              </w:rPr>
              <w:t xml:space="preserve"> infection</w:t>
            </w:r>
          </w:p>
        </w:tc>
      </w:tr>
      <w:tr w:rsidR="00D11245" w:rsidRPr="00D11245" w14:paraId="2C12AB80" w14:textId="77777777" w:rsidTr="004C2AFC">
        <w:tc>
          <w:tcPr>
            <w:tcW w:w="3477" w:type="dxa"/>
            <w:shd w:val="clear" w:color="auto" w:fill="BDD6EE" w:themeFill="accent5" w:themeFillTint="66"/>
          </w:tcPr>
          <w:p w14:paraId="0D645452" w14:textId="145AC351" w:rsidR="005747E6" w:rsidRPr="00D11245" w:rsidRDefault="005747E6" w:rsidP="005747E6">
            <w:pPr>
              <w:jc w:val="both"/>
              <w:rPr>
                <w:rFonts w:ascii="Calibri" w:hAnsi="Calibri" w:cs="Calibri"/>
                <w:color w:val="000000" w:themeColor="text1"/>
              </w:rPr>
            </w:pPr>
            <w:r w:rsidRPr="00D11245">
              <w:rPr>
                <w:rFonts w:ascii="Calibri" w:hAnsi="Calibri" w:cs="Calibri"/>
                <w:color w:val="000000" w:themeColor="text1"/>
              </w:rPr>
              <w:t xml:space="preserve">Amoebic colitis </w:t>
            </w:r>
            <w:r w:rsidR="0082795E" w:rsidRPr="00D11245">
              <w:rPr>
                <w:rFonts w:ascii="Calibri" w:hAnsi="Calibri" w:cs="Calibri"/>
                <w:color w:val="000000" w:themeColor="text1"/>
              </w:rPr>
              <w:fldChar w:fldCharType="begin"/>
            </w:r>
            <w:r w:rsidR="00F44542" w:rsidRPr="00D11245">
              <w:rPr>
                <w:rFonts w:ascii="Calibri" w:hAnsi="Calibri" w:cs="Calibri"/>
                <w:color w:val="000000" w:themeColor="text1"/>
              </w:rPr>
              <w:instrText xml:space="preserve"> ADDIN ZOTERO_ITEM CSL_CITATION {"citationID":"boOUkGdp","properties":{"formattedCitation":"\\super 151\\nosupersub{}","plainCitation":"151","noteIndex":0},"citationItems":[{"id":16723,"uris":["http://zotero.org/groups/2497994/items/GBJ6B49X"],"itemData":{"id":16723,"type":"article-journal","abstract":"This is the first British Association of Sexual Health and HIV (BASHH) national guideline for the management of sexually transmitted enteric infections (STEI). This guideline is primarily aimed for level 3 sexual health clinics; however, it may also be applicable to other settings such as primary care or other hospital departments where individuals with STEI may present. This guideline makes recommendations on testing, management, partner notification and public health control of STEI.","container-title":"International Journal of STD &amp; AIDS","DOI":"10.1177/09564624231168217","ISSN":"0956-4624, 1758-1052","issue":"9","journalAbbreviation":"Int J STD AIDS","language":"en","page":"588-602","source":"DOI.org (Crossref)","title":"British Association of Sexual Health and HIV (BASHH) United Kingdom national guideline for the management of sexually transmitted enteric infections 2023","volume":"34","author":[{"family":"Richardson","given":"Daniel"},{"family":"Pakianathan","given":"Mark"},{"family":"Ewens","given":"Michael"},{"family":"Mitchell","given":"Holly"},{"family":"Mohammed","given":"Hasan"},{"family":"Wiseman","given":"Elizabeth"},{"family":"Tweed","given":"Marc"},{"family":"Nichols","given":"Kayleigh"},{"family":"Rawdah","given":"Waseem"},{"family":"Cooper","given":"Richard"},{"family":"Macrowan","given":"Robert"},{"family":"Irish","given":"Matthew"},{"family":"Evans","given":"Amy"},{"family":"Godbole","given":"Gauri"}],"issued":{"date-parts":[["2023",8]]}}}],"schema":"https://github.com/citation-style-language/schema/raw/master/csl-citation.json"} </w:instrText>
            </w:r>
            <w:r w:rsidR="0082795E" w:rsidRPr="00D11245">
              <w:rPr>
                <w:rFonts w:ascii="Calibri" w:hAnsi="Calibri" w:cs="Calibri"/>
                <w:color w:val="000000" w:themeColor="text1"/>
              </w:rPr>
              <w:fldChar w:fldCharType="separate"/>
            </w:r>
            <w:r w:rsidR="00F44542" w:rsidRPr="00D11245">
              <w:rPr>
                <w:rFonts w:ascii="Calibri" w:hAnsi="Calibri" w:cs="Calibri"/>
                <w:color w:val="000000" w:themeColor="text1"/>
                <w:vertAlign w:val="superscript"/>
              </w:rPr>
              <w:t>151</w:t>
            </w:r>
            <w:r w:rsidR="0082795E" w:rsidRPr="00D11245">
              <w:rPr>
                <w:rFonts w:ascii="Calibri" w:hAnsi="Calibri" w:cs="Calibri"/>
                <w:color w:val="000000" w:themeColor="text1"/>
              </w:rPr>
              <w:fldChar w:fldCharType="end"/>
            </w:r>
          </w:p>
        </w:tc>
        <w:tc>
          <w:tcPr>
            <w:tcW w:w="5449" w:type="dxa"/>
          </w:tcPr>
          <w:p w14:paraId="438CE81A" w14:textId="77777777" w:rsidR="005747E6" w:rsidRPr="00D11245" w:rsidRDefault="005747E6" w:rsidP="005747E6">
            <w:pPr>
              <w:pStyle w:val="ListParagraph"/>
              <w:numPr>
                <w:ilvl w:val="0"/>
                <w:numId w:val="13"/>
              </w:numPr>
              <w:spacing w:line="240" w:lineRule="auto"/>
              <w:jc w:val="both"/>
              <w:rPr>
                <w:rFonts w:ascii="Calibri" w:hAnsi="Calibri" w:cs="Calibri"/>
                <w:color w:val="000000" w:themeColor="text1"/>
              </w:rPr>
            </w:pPr>
            <w:r w:rsidRPr="00D11245">
              <w:rPr>
                <w:rFonts w:ascii="Calibri" w:hAnsi="Calibri" w:cs="Calibri"/>
                <w:color w:val="000000" w:themeColor="text1"/>
              </w:rPr>
              <w:t>Metronidazole 800mg TDS PO for 5 days</w:t>
            </w:r>
          </w:p>
          <w:p w14:paraId="645D89B8" w14:textId="0B9376D4" w:rsidR="0061014B" w:rsidRPr="00D11245" w:rsidRDefault="0061014B" w:rsidP="0061014B">
            <w:pPr>
              <w:pStyle w:val="ListParagraph"/>
              <w:spacing w:line="240" w:lineRule="auto"/>
              <w:ind w:left="360"/>
              <w:jc w:val="both"/>
              <w:rPr>
                <w:rFonts w:ascii="Calibri" w:hAnsi="Calibri" w:cs="Calibri"/>
                <w:color w:val="000000" w:themeColor="text1"/>
              </w:rPr>
            </w:pPr>
            <w:r w:rsidRPr="00D11245">
              <w:rPr>
                <w:rFonts w:ascii="Calibri" w:hAnsi="Calibri" w:cs="Calibri"/>
                <w:color w:val="000000" w:themeColor="text1"/>
              </w:rPr>
              <w:t>OR</w:t>
            </w:r>
          </w:p>
          <w:p w14:paraId="11E33E1F" w14:textId="46FF7FD3" w:rsidR="0061014B" w:rsidRPr="00D11245" w:rsidRDefault="0061014B" w:rsidP="0061014B">
            <w:pPr>
              <w:pStyle w:val="ListParagraph"/>
              <w:spacing w:line="240" w:lineRule="auto"/>
              <w:ind w:left="360"/>
              <w:jc w:val="both"/>
              <w:rPr>
                <w:rFonts w:ascii="Calibri" w:hAnsi="Calibri" w:cs="Calibri"/>
                <w:color w:val="000000" w:themeColor="text1"/>
              </w:rPr>
            </w:pPr>
            <w:r w:rsidRPr="00D11245">
              <w:rPr>
                <w:rFonts w:ascii="Calibri" w:hAnsi="Calibri" w:cs="Calibri"/>
                <w:color w:val="000000" w:themeColor="text1"/>
              </w:rPr>
              <w:t xml:space="preserve">Tinidazole 2g od </w:t>
            </w:r>
            <w:r w:rsidR="00404FC7" w:rsidRPr="00D11245">
              <w:rPr>
                <w:rFonts w:ascii="Calibri" w:hAnsi="Calibri" w:cs="Calibri"/>
                <w:color w:val="000000" w:themeColor="text1"/>
              </w:rPr>
              <w:t xml:space="preserve">for </w:t>
            </w:r>
            <w:r w:rsidRPr="00D11245">
              <w:rPr>
                <w:rFonts w:ascii="Calibri" w:hAnsi="Calibri" w:cs="Calibri"/>
                <w:color w:val="000000" w:themeColor="text1"/>
              </w:rPr>
              <w:t>3</w:t>
            </w:r>
            <w:r w:rsidR="00900911" w:rsidRPr="00D11245">
              <w:rPr>
                <w:rFonts w:ascii="Calibri" w:hAnsi="Calibri" w:cs="Calibri"/>
                <w:color w:val="000000" w:themeColor="text1"/>
              </w:rPr>
              <w:t xml:space="preserve"> </w:t>
            </w:r>
            <w:r w:rsidRPr="00D11245">
              <w:rPr>
                <w:rFonts w:ascii="Calibri" w:hAnsi="Calibri" w:cs="Calibri"/>
                <w:color w:val="000000" w:themeColor="text1"/>
              </w:rPr>
              <w:t>days</w:t>
            </w:r>
            <w:r w:rsidR="00900911" w:rsidRPr="00D11245">
              <w:rPr>
                <w:rFonts w:ascii="Calibri" w:hAnsi="Calibri" w:cs="Calibri"/>
                <w:color w:val="000000" w:themeColor="text1"/>
              </w:rPr>
              <w:t xml:space="preserve"> </w:t>
            </w:r>
            <w:r w:rsidRPr="00D11245">
              <w:rPr>
                <w:rFonts w:ascii="Calibri" w:hAnsi="Calibri" w:cs="Calibri"/>
                <w:color w:val="000000" w:themeColor="text1"/>
              </w:rPr>
              <w:t>(no longer available in UK)</w:t>
            </w:r>
          </w:p>
          <w:p w14:paraId="157FE909" w14:textId="77777777" w:rsidR="0061014B" w:rsidRPr="00D11245" w:rsidRDefault="0061014B" w:rsidP="0061014B">
            <w:pPr>
              <w:pStyle w:val="ListParagraph"/>
              <w:spacing w:line="240" w:lineRule="auto"/>
              <w:ind w:left="360"/>
              <w:jc w:val="both"/>
              <w:rPr>
                <w:rFonts w:ascii="Calibri" w:hAnsi="Calibri" w:cs="Calibri"/>
                <w:color w:val="000000" w:themeColor="text1"/>
              </w:rPr>
            </w:pPr>
          </w:p>
          <w:p w14:paraId="2EBDA432" w14:textId="64B20408" w:rsidR="0061014B" w:rsidRPr="00D11245" w:rsidRDefault="005747E6" w:rsidP="005747E6">
            <w:pPr>
              <w:jc w:val="both"/>
              <w:rPr>
                <w:rFonts w:ascii="Calibri" w:hAnsi="Calibri" w:cs="Calibri"/>
                <w:i/>
                <w:iCs/>
                <w:color w:val="000000" w:themeColor="text1"/>
              </w:rPr>
            </w:pPr>
            <w:r w:rsidRPr="00D11245">
              <w:rPr>
                <w:rFonts w:ascii="Calibri" w:hAnsi="Calibri" w:cs="Calibri"/>
                <w:i/>
                <w:iCs/>
                <w:color w:val="000000" w:themeColor="text1"/>
              </w:rPr>
              <w:t>followed b</w:t>
            </w:r>
            <w:r w:rsidR="0061014B" w:rsidRPr="00D11245">
              <w:rPr>
                <w:rFonts w:ascii="Calibri" w:hAnsi="Calibri" w:cs="Calibri"/>
                <w:i/>
                <w:iCs/>
                <w:color w:val="000000" w:themeColor="text1"/>
              </w:rPr>
              <w:t xml:space="preserve">y </w:t>
            </w:r>
            <w:r w:rsidR="00900911" w:rsidRPr="00D11245">
              <w:rPr>
                <w:rFonts w:ascii="Calibri" w:hAnsi="Calibri" w:cs="Calibri"/>
                <w:i/>
                <w:iCs/>
                <w:color w:val="000000" w:themeColor="text1"/>
              </w:rPr>
              <w:t xml:space="preserve">a </w:t>
            </w:r>
            <w:r w:rsidR="005C0C02" w:rsidRPr="00D11245">
              <w:rPr>
                <w:rFonts w:ascii="Calibri" w:hAnsi="Calibri" w:cs="Calibri"/>
                <w:i/>
                <w:iCs/>
                <w:color w:val="000000" w:themeColor="text1"/>
              </w:rPr>
              <w:t>luminal amoebicide</w:t>
            </w:r>
          </w:p>
          <w:p w14:paraId="1F7C866F" w14:textId="77777777" w:rsidR="0061014B" w:rsidRPr="00D11245" w:rsidRDefault="0061014B" w:rsidP="005747E6">
            <w:pPr>
              <w:jc w:val="both"/>
              <w:rPr>
                <w:rFonts w:ascii="Calibri" w:hAnsi="Calibri" w:cs="Calibri"/>
                <w:i/>
                <w:iCs/>
                <w:color w:val="000000" w:themeColor="text1"/>
              </w:rPr>
            </w:pPr>
          </w:p>
          <w:p w14:paraId="29DE2E94" w14:textId="77777777" w:rsidR="0000673B" w:rsidRPr="00D11245" w:rsidRDefault="0000673B" w:rsidP="0000673B">
            <w:pPr>
              <w:pStyle w:val="ListParagraph"/>
              <w:numPr>
                <w:ilvl w:val="0"/>
                <w:numId w:val="13"/>
              </w:numPr>
              <w:rPr>
                <w:rFonts w:ascii="Calibri" w:hAnsi="Calibri" w:cs="Calibri"/>
                <w:color w:val="000000" w:themeColor="text1"/>
              </w:rPr>
            </w:pPr>
            <w:r w:rsidRPr="00D11245">
              <w:rPr>
                <w:rFonts w:ascii="Calibri" w:hAnsi="Calibri" w:cs="Calibri"/>
                <w:color w:val="000000" w:themeColor="text1"/>
              </w:rPr>
              <w:t>Paromomycin 25 - 35 mg/kg/day in three divided doses PO for 7 days</w:t>
            </w:r>
          </w:p>
          <w:p w14:paraId="39E8CA1B" w14:textId="7C242900" w:rsidR="0061014B" w:rsidRPr="00D11245" w:rsidRDefault="0061014B" w:rsidP="0061014B">
            <w:pPr>
              <w:pStyle w:val="ListParagraph"/>
              <w:spacing w:line="240" w:lineRule="auto"/>
              <w:ind w:left="360"/>
              <w:jc w:val="both"/>
              <w:rPr>
                <w:rFonts w:ascii="Calibri" w:hAnsi="Calibri" w:cs="Calibri"/>
                <w:color w:val="000000" w:themeColor="text1"/>
              </w:rPr>
            </w:pPr>
            <w:r w:rsidRPr="00D11245">
              <w:rPr>
                <w:rFonts w:ascii="Calibri" w:hAnsi="Calibri" w:cs="Calibri"/>
                <w:color w:val="000000" w:themeColor="text1"/>
              </w:rPr>
              <w:t>OR</w:t>
            </w:r>
          </w:p>
          <w:p w14:paraId="5D037CFE" w14:textId="568F18E7" w:rsidR="0061014B" w:rsidRPr="00D11245" w:rsidRDefault="0061014B" w:rsidP="005747E6">
            <w:pPr>
              <w:pStyle w:val="ListParagraph"/>
              <w:numPr>
                <w:ilvl w:val="0"/>
                <w:numId w:val="13"/>
              </w:numPr>
              <w:spacing w:line="240" w:lineRule="auto"/>
              <w:jc w:val="both"/>
              <w:rPr>
                <w:rFonts w:ascii="Calibri" w:hAnsi="Calibri" w:cs="Calibri"/>
                <w:color w:val="000000" w:themeColor="text1"/>
              </w:rPr>
            </w:pPr>
            <w:r w:rsidRPr="00D11245">
              <w:rPr>
                <w:rFonts w:ascii="Calibri" w:hAnsi="Calibri" w:cs="Calibri"/>
                <w:color w:val="000000" w:themeColor="text1"/>
              </w:rPr>
              <w:t xml:space="preserve">Diloxanide furoate </w:t>
            </w:r>
            <w:r w:rsidR="0039154D" w:rsidRPr="00D11245">
              <w:rPr>
                <w:rFonts w:ascii="Calibri" w:hAnsi="Calibri" w:cs="Calibri"/>
                <w:color w:val="000000" w:themeColor="text1"/>
              </w:rPr>
              <w:t>for 10 days</w:t>
            </w:r>
            <w:r w:rsidR="0094540A" w:rsidRPr="00D11245">
              <w:rPr>
                <w:rFonts w:ascii="Calibri" w:hAnsi="Calibri" w:cs="Calibri"/>
                <w:color w:val="000000" w:themeColor="text1"/>
              </w:rPr>
              <w:t xml:space="preserve"> </w:t>
            </w:r>
            <w:r w:rsidRPr="00D11245">
              <w:rPr>
                <w:rFonts w:ascii="Calibri" w:hAnsi="Calibri" w:cs="Calibri"/>
                <w:color w:val="000000" w:themeColor="text1"/>
              </w:rPr>
              <w:t>(no longer available in UK)</w:t>
            </w:r>
          </w:p>
        </w:tc>
      </w:tr>
      <w:tr w:rsidR="00D11245" w:rsidRPr="00D11245" w14:paraId="31569C82" w14:textId="77777777" w:rsidTr="004C2AFC">
        <w:tc>
          <w:tcPr>
            <w:tcW w:w="3477" w:type="dxa"/>
            <w:shd w:val="clear" w:color="auto" w:fill="BDD6EE" w:themeFill="accent5" w:themeFillTint="66"/>
          </w:tcPr>
          <w:p w14:paraId="1E8ED509" w14:textId="03F022F8" w:rsidR="005747E6" w:rsidRPr="00D11245" w:rsidRDefault="005747E6" w:rsidP="005747E6">
            <w:pPr>
              <w:jc w:val="both"/>
              <w:rPr>
                <w:rFonts w:ascii="Calibri" w:hAnsi="Calibri" w:cs="Calibri"/>
                <w:color w:val="000000" w:themeColor="text1"/>
              </w:rPr>
            </w:pPr>
            <w:r w:rsidRPr="00D11245">
              <w:rPr>
                <w:rFonts w:ascii="Calibri" w:hAnsi="Calibri" w:cs="Calibri"/>
                <w:color w:val="000000" w:themeColor="text1"/>
              </w:rPr>
              <w:t xml:space="preserve">Amoebic liver abscess </w:t>
            </w:r>
          </w:p>
        </w:tc>
        <w:tc>
          <w:tcPr>
            <w:tcW w:w="5449" w:type="dxa"/>
          </w:tcPr>
          <w:p w14:paraId="1205B548" w14:textId="3A8DCD3F" w:rsidR="005747E6" w:rsidRPr="00D11245" w:rsidRDefault="005747E6" w:rsidP="005747E6">
            <w:pPr>
              <w:pStyle w:val="ListParagraph"/>
              <w:numPr>
                <w:ilvl w:val="0"/>
                <w:numId w:val="12"/>
              </w:numPr>
              <w:spacing w:line="240" w:lineRule="auto"/>
              <w:jc w:val="both"/>
              <w:rPr>
                <w:rFonts w:ascii="Calibri" w:hAnsi="Calibri" w:cs="Calibri"/>
                <w:color w:val="000000" w:themeColor="text1"/>
              </w:rPr>
            </w:pPr>
            <w:r w:rsidRPr="00D11245">
              <w:rPr>
                <w:rFonts w:ascii="Calibri" w:hAnsi="Calibri" w:cs="Calibri"/>
                <w:color w:val="000000" w:themeColor="text1"/>
              </w:rPr>
              <w:t xml:space="preserve">Metronidazole 800mg TDS PO for </w:t>
            </w:r>
            <w:r w:rsidR="00A341F2" w:rsidRPr="00D11245">
              <w:rPr>
                <w:rFonts w:ascii="Calibri" w:hAnsi="Calibri" w:cs="Calibri"/>
                <w:color w:val="000000" w:themeColor="text1"/>
              </w:rPr>
              <w:t xml:space="preserve">5 to </w:t>
            </w:r>
            <w:r w:rsidRPr="00D11245">
              <w:rPr>
                <w:rFonts w:ascii="Calibri" w:hAnsi="Calibri" w:cs="Calibri"/>
                <w:color w:val="000000" w:themeColor="text1"/>
              </w:rPr>
              <w:t>10 days</w:t>
            </w:r>
          </w:p>
          <w:p w14:paraId="73F8AE74" w14:textId="77777777" w:rsidR="0061014B" w:rsidRPr="00D11245" w:rsidRDefault="0061014B" w:rsidP="0061014B">
            <w:pPr>
              <w:pStyle w:val="ListParagraph"/>
              <w:spacing w:line="240" w:lineRule="auto"/>
              <w:ind w:left="360"/>
              <w:jc w:val="both"/>
              <w:rPr>
                <w:rFonts w:ascii="Calibri" w:hAnsi="Calibri" w:cs="Calibri"/>
                <w:color w:val="000000" w:themeColor="text1"/>
              </w:rPr>
            </w:pPr>
            <w:r w:rsidRPr="00D11245">
              <w:rPr>
                <w:rFonts w:ascii="Calibri" w:hAnsi="Calibri" w:cs="Calibri"/>
                <w:color w:val="000000" w:themeColor="text1"/>
              </w:rPr>
              <w:t>OR</w:t>
            </w:r>
          </w:p>
          <w:p w14:paraId="26497EF2" w14:textId="7E926277" w:rsidR="0061014B" w:rsidRPr="00D11245" w:rsidRDefault="0061014B" w:rsidP="0061014B">
            <w:pPr>
              <w:pStyle w:val="ListParagraph"/>
              <w:spacing w:line="240" w:lineRule="auto"/>
              <w:ind w:left="360"/>
              <w:jc w:val="both"/>
              <w:rPr>
                <w:rFonts w:ascii="Calibri" w:hAnsi="Calibri" w:cs="Calibri"/>
                <w:color w:val="000000" w:themeColor="text1"/>
              </w:rPr>
            </w:pPr>
            <w:r w:rsidRPr="00D11245">
              <w:rPr>
                <w:rFonts w:ascii="Calibri" w:hAnsi="Calibri" w:cs="Calibri"/>
                <w:color w:val="000000" w:themeColor="text1"/>
              </w:rPr>
              <w:t xml:space="preserve">Tinidazole 2g od </w:t>
            </w:r>
            <w:r w:rsidR="00404FC7" w:rsidRPr="00D11245">
              <w:rPr>
                <w:rFonts w:ascii="Calibri" w:hAnsi="Calibri" w:cs="Calibri"/>
                <w:color w:val="000000" w:themeColor="text1"/>
              </w:rPr>
              <w:t xml:space="preserve">for </w:t>
            </w:r>
            <w:r w:rsidR="00F61052" w:rsidRPr="00D11245">
              <w:rPr>
                <w:rFonts w:ascii="Calibri" w:hAnsi="Calibri" w:cs="Calibri"/>
                <w:color w:val="000000" w:themeColor="text1"/>
              </w:rPr>
              <w:t xml:space="preserve">5 </w:t>
            </w:r>
            <w:r w:rsidRPr="00D11245">
              <w:rPr>
                <w:rFonts w:ascii="Calibri" w:hAnsi="Calibri" w:cs="Calibri"/>
                <w:color w:val="000000" w:themeColor="text1"/>
              </w:rPr>
              <w:t>days (no longer available in UK)</w:t>
            </w:r>
          </w:p>
          <w:p w14:paraId="5E012474" w14:textId="77777777" w:rsidR="0061014B" w:rsidRPr="00D11245" w:rsidRDefault="0061014B" w:rsidP="0061014B">
            <w:pPr>
              <w:pStyle w:val="ListParagraph"/>
              <w:spacing w:line="240" w:lineRule="auto"/>
              <w:ind w:left="360"/>
              <w:jc w:val="both"/>
              <w:rPr>
                <w:rFonts w:ascii="Calibri" w:hAnsi="Calibri" w:cs="Calibri"/>
                <w:color w:val="000000" w:themeColor="text1"/>
              </w:rPr>
            </w:pPr>
          </w:p>
          <w:p w14:paraId="430E9619" w14:textId="6BF9134F" w:rsidR="005747E6" w:rsidRPr="00D11245" w:rsidRDefault="005747E6" w:rsidP="005747E6">
            <w:pPr>
              <w:jc w:val="both"/>
              <w:rPr>
                <w:rFonts w:ascii="Calibri" w:hAnsi="Calibri" w:cs="Calibri"/>
                <w:i/>
                <w:iCs/>
                <w:color w:val="000000" w:themeColor="text1"/>
              </w:rPr>
            </w:pPr>
            <w:r w:rsidRPr="00D11245">
              <w:rPr>
                <w:rFonts w:ascii="Calibri" w:hAnsi="Calibri" w:cs="Calibri"/>
                <w:i/>
                <w:iCs/>
                <w:color w:val="000000" w:themeColor="text1"/>
              </w:rPr>
              <w:t>followed by</w:t>
            </w:r>
            <w:r w:rsidR="0061014B" w:rsidRPr="00D11245">
              <w:rPr>
                <w:rFonts w:ascii="Calibri" w:hAnsi="Calibri" w:cs="Calibri"/>
                <w:i/>
                <w:iCs/>
                <w:color w:val="000000" w:themeColor="text1"/>
              </w:rPr>
              <w:t xml:space="preserve"> </w:t>
            </w:r>
            <w:r w:rsidR="00C2508D" w:rsidRPr="00D11245">
              <w:rPr>
                <w:rFonts w:ascii="Calibri" w:hAnsi="Calibri" w:cs="Calibri"/>
                <w:i/>
                <w:iCs/>
                <w:color w:val="000000" w:themeColor="text1"/>
              </w:rPr>
              <w:t xml:space="preserve">a luminal amoebicide </w:t>
            </w:r>
          </w:p>
          <w:p w14:paraId="7263B2C9" w14:textId="77777777" w:rsidR="0061014B" w:rsidRPr="00D11245" w:rsidRDefault="0061014B" w:rsidP="005747E6">
            <w:pPr>
              <w:jc w:val="both"/>
              <w:rPr>
                <w:rFonts w:ascii="Calibri" w:hAnsi="Calibri" w:cs="Calibri"/>
                <w:i/>
                <w:iCs/>
                <w:color w:val="000000" w:themeColor="text1"/>
              </w:rPr>
            </w:pPr>
          </w:p>
          <w:p w14:paraId="5D35E27F" w14:textId="77777777" w:rsidR="00E7676B" w:rsidRPr="00D11245" w:rsidRDefault="00E7676B" w:rsidP="00E7676B">
            <w:pPr>
              <w:pStyle w:val="ListParagraph"/>
              <w:numPr>
                <w:ilvl w:val="0"/>
                <w:numId w:val="12"/>
              </w:numPr>
              <w:rPr>
                <w:rFonts w:ascii="Calibri" w:hAnsi="Calibri" w:cs="Calibri"/>
                <w:color w:val="000000" w:themeColor="text1"/>
              </w:rPr>
            </w:pPr>
            <w:r w:rsidRPr="00D11245">
              <w:rPr>
                <w:rFonts w:ascii="Calibri" w:hAnsi="Calibri" w:cs="Calibri"/>
                <w:color w:val="000000" w:themeColor="text1"/>
              </w:rPr>
              <w:t>Paromomycin 25 - 35 mg/kg/day in three divided doses PO for 7 days</w:t>
            </w:r>
          </w:p>
          <w:p w14:paraId="19693D1D" w14:textId="65BEB273" w:rsidR="0061014B" w:rsidRPr="00D11245" w:rsidRDefault="0061014B" w:rsidP="0061014B">
            <w:pPr>
              <w:pStyle w:val="ListParagraph"/>
              <w:spacing w:line="240" w:lineRule="auto"/>
              <w:ind w:left="360"/>
              <w:jc w:val="both"/>
              <w:rPr>
                <w:rFonts w:ascii="Calibri" w:hAnsi="Calibri" w:cs="Calibri"/>
                <w:color w:val="000000" w:themeColor="text1"/>
              </w:rPr>
            </w:pPr>
            <w:r w:rsidRPr="00D11245">
              <w:rPr>
                <w:rFonts w:ascii="Calibri" w:hAnsi="Calibri" w:cs="Calibri"/>
                <w:color w:val="000000" w:themeColor="text1"/>
              </w:rPr>
              <w:t>OR</w:t>
            </w:r>
          </w:p>
          <w:p w14:paraId="67FA6F0F" w14:textId="3F631B91" w:rsidR="0061014B" w:rsidRPr="00D11245" w:rsidRDefault="0061014B" w:rsidP="0061014B">
            <w:pPr>
              <w:pStyle w:val="ListParagraph"/>
              <w:spacing w:line="240" w:lineRule="auto"/>
              <w:ind w:left="360"/>
              <w:jc w:val="both"/>
              <w:rPr>
                <w:rFonts w:ascii="Calibri" w:hAnsi="Calibri" w:cs="Calibri"/>
                <w:color w:val="000000" w:themeColor="text1"/>
              </w:rPr>
            </w:pPr>
            <w:r w:rsidRPr="00D11245">
              <w:rPr>
                <w:rFonts w:ascii="Calibri" w:hAnsi="Calibri" w:cs="Calibri"/>
                <w:color w:val="000000" w:themeColor="text1"/>
              </w:rPr>
              <w:t xml:space="preserve">Diloxanide furoate </w:t>
            </w:r>
            <w:r w:rsidR="0039154D" w:rsidRPr="00D11245">
              <w:rPr>
                <w:rFonts w:ascii="Calibri" w:hAnsi="Calibri" w:cs="Calibri"/>
                <w:color w:val="000000" w:themeColor="text1"/>
              </w:rPr>
              <w:t xml:space="preserve">for 10 days </w:t>
            </w:r>
            <w:r w:rsidRPr="00D11245">
              <w:rPr>
                <w:rFonts w:ascii="Calibri" w:hAnsi="Calibri" w:cs="Calibri"/>
                <w:color w:val="000000" w:themeColor="text1"/>
              </w:rPr>
              <w:t>(no longer available in UK)</w:t>
            </w:r>
          </w:p>
          <w:p w14:paraId="7D4DFE9D" w14:textId="77777777" w:rsidR="005747E6" w:rsidRPr="00D11245" w:rsidRDefault="005747E6" w:rsidP="005747E6">
            <w:pPr>
              <w:jc w:val="both"/>
              <w:rPr>
                <w:rFonts w:ascii="Calibri" w:hAnsi="Calibri" w:cs="Calibri"/>
                <w:color w:val="000000" w:themeColor="text1"/>
              </w:rPr>
            </w:pPr>
          </w:p>
          <w:p w14:paraId="1DBC0D08" w14:textId="26BE1B8A" w:rsidR="005747E6" w:rsidRPr="00D11245" w:rsidRDefault="0061014B" w:rsidP="005747E6">
            <w:pPr>
              <w:jc w:val="both"/>
              <w:rPr>
                <w:rFonts w:ascii="Calibri" w:hAnsi="Calibri" w:cs="Calibri"/>
                <w:color w:val="000000" w:themeColor="text1"/>
              </w:rPr>
            </w:pPr>
            <w:r w:rsidRPr="00D11245">
              <w:rPr>
                <w:rFonts w:ascii="Calibri" w:hAnsi="Calibri" w:cs="Calibri"/>
                <w:color w:val="000000" w:themeColor="text1"/>
              </w:rPr>
              <w:t>ONLY c</w:t>
            </w:r>
            <w:r w:rsidR="005747E6" w:rsidRPr="00D11245">
              <w:rPr>
                <w:rFonts w:ascii="Calibri" w:hAnsi="Calibri" w:cs="Calibri"/>
                <w:color w:val="000000" w:themeColor="text1"/>
              </w:rPr>
              <w:t>onsider drainage of ALA, if:</w:t>
            </w:r>
          </w:p>
          <w:p w14:paraId="1B068E75" w14:textId="77777777" w:rsidR="004B0909" w:rsidRPr="00D11245" w:rsidRDefault="004B0909" w:rsidP="005747E6">
            <w:pPr>
              <w:pStyle w:val="ListParagraph"/>
              <w:numPr>
                <w:ilvl w:val="0"/>
                <w:numId w:val="12"/>
              </w:numPr>
              <w:spacing w:line="240" w:lineRule="auto"/>
              <w:jc w:val="both"/>
              <w:rPr>
                <w:rFonts w:ascii="Calibri" w:hAnsi="Calibri" w:cs="Calibri"/>
                <w:color w:val="000000" w:themeColor="text1"/>
              </w:rPr>
            </w:pPr>
            <w:r w:rsidRPr="00D11245">
              <w:rPr>
                <w:rFonts w:ascii="Calibri" w:hAnsi="Calibri" w:cs="Calibri"/>
                <w:color w:val="000000" w:themeColor="text1"/>
              </w:rPr>
              <w:t>Imminent rupture</w:t>
            </w:r>
          </w:p>
          <w:p w14:paraId="4895D43A" w14:textId="0AE5487F" w:rsidR="005747E6" w:rsidRPr="00D11245" w:rsidRDefault="005747E6" w:rsidP="005747E6">
            <w:pPr>
              <w:pStyle w:val="ListParagraph"/>
              <w:numPr>
                <w:ilvl w:val="0"/>
                <w:numId w:val="12"/>
              </w:numPr>
              <w:spacing w:line="240" w:lineRule="auto"/>
              <w:jc w:val="both"/>
              <w:rPr>
                <w:rFonts w:ascii="Calibri" w:hAnsi="Calibri" w:cs="Calibri"/>
                <w:color w:val="000000" w:themeColor="text1"/>
              </w:rPr>
            </w:pPr>
            <w:r w:rsidRPr="00D11245">
              <w:rPr>
                <w:rFonts w:ascii="Calibri" w:hAnsi="Calibri" w:cs="Calibri"/>
                <w:color w:val="000000" w:themeColor="text1"/>
              </w:rPr>
              <w:t xml:space="preserve">No clinical response </w:t>
            </w:r>
            <w:r w:rsidR="005149A4" w:rsidRPr="00D11245">
              <w:rPr>
                <w:rFonts w:ascii="Calibri" w:hAnsi="Calibri" w:cs="Calibri"/>
                <w:color w:val="000000" w:themeColor="text1"/>
              </w:rPr>
              <w:t>after</w:t>
            </w:r>
            <w:r w:rsidR="00B23D59" w:rsidRPr="00D11245">
              <w:rPr>
                <w:rFonts w:ascii="Calibri" w:hAnsi="Calibri" w:cs="Calibri"/>
                <w:color w:val="000000" w:themeColor="text1"/>
              </w:rPr>
              <w:t xml:space="preserve"> 3 or </w:t>
            </w:r>
            <w:r w:rsidR="005149A4" w:rsidRPr="00D11245">
              <w:rPr>
                <w:rFonts w:ascii="Calibri" w:hAnsi="Calibri" w:cs="Calibri"/>
                <w:color w:val="000000" w:themeColor="text1"/>
              </w:rPr>
              <w:t xml:space="preserve">4 </w:t>
            </w:r>
            <w:r w:rsidRPr="00D11245">
              <w:rPr>
                <w:rFonts w:ascii="Calibri" w:hAnsi="Calibri" w:cs="Calibri"/>
                <w:color w:val="000000" w:themeColor="text1"/>
              </w:rPr>
              <w:t>days</w:t>
            </w:r>
            <w:r w:rsidR="007F70AF" w:rsidRPr="00D11245">
              <w:rPr>
                <w:rFonts w:ascii="Calibri" w:hAnsi="Calibri" w:cs="Calibri"/>
                <w:color w:val="000000" w:themeColor="text1"/>
              </w:rPr>
              <w:t xml:space="preserve"> of </w:t>
            </w:r>
            <w:r w:rsidR="003A6BFD" w:rsidRPr="00D11245">
              <w:rPr>
                <w:rFonts w:ascii="Calibri" w:hAnsi="Calibri" w:cs="Calibri"/>
                <w:color w:val="000000" w:themeColor="text1"/>
              </w:rPr>
              <w:t xml:space="preserve">medical </w:t>
            </w:r>
            <w:r w:rsidR="007F70AF" w:rsidRPr="00D11245">
              <w:rPr>
                <w:rFonts w:ascii="Calibri" w:hAnsi="Calibri" w:cs="Calibri"/>
                <w:color w:val="000000" w:themeColor="text1"/>
              </w:rPr>
              <w:t>treatment</w:t>
            </w:r>
          </w:p>
          <w:p w14:paraId="191E8B9A" w14:textId="77777777" w:rsidR="005747E6" w:rsidRPr="00D11245" w:rsidRDefault="005747E6" w:rsidP="005747E6">
            <w:pPr>
              <w:pStyle w:val="ListParagraph"/>
              <w:numPr>
                <w:ilvl w:val="0"/>
                <w:numId w:val="12"/>
              </w:numPr>
              <w:spacing w:line="240" w:lineRule="auto"/>
              <w:jc w:val="both"/>
              <w:rPr>
                <w:rFonts w:ascii="Calibri" w:hAnsi="Calibri" w:cs="Calibri"/>
                <w:color w:val="000000" w:themeColor="text1"/>
              </w:rPr>
            </w:pPr>
            <w:r w:rsidRPr="00D11245">
              <w:rPr>
                <w:rFonts w:ascii="Calibri" w:hAnsi="Calibri" w:cs="Calibri"/>
                <w:color w:val="000000" w:themeColor="text1"/>
              </w:rPr>
              <w:t>Abscess diameter &gt; 10cm</w:t>
            </w:r>
          </w:p>
          <w:p w14:paraId="688F8545" w14:textId="4C1F8AEB" w:rsidR="005747E6" w:rsidRPr="00D11245" w:rsidRDefault="005747E6" w:rsidP="005747E6">
            <w:pPr>
              <w:pStyle w:val="ListParagraph"/>
              <w:numPr>
                <w:ilvl w:val="0"/>
                <w:numId w:val="12"/>
              </w:numPr>
              <w:spacing w:line="240" w:lineRule="auto"/>
              <w:jc w:val="both"/>
              <w:rPr>
                <w:rFonts w:ascii="Calibri" w:hAnsi="Calibri" w:cs="Calibri"/>
                <w:color w:val="000000" w:themeColor="text1"/>
              </w:rPr>
            </w:pPr>
            <w:r w:rsidRPr="00D11245">
              <w:rPr>
                <w:rFonts w:ascii="Calibri" w:hAnsi="Calibri" w:cs="Calibri"/>
                <w:color w:val="000000" w:themeColor="text1"/>
              </w:rPr>
              <w:t>ALA in left lobe of liver</w:t>
            </w:r>
          </w:p>
        </w:tc>
      </w:tr>
      <w:tr w:rsidR="00D11245" w:rsidRPr="00D11245" w14:paraId="09C6DB2B" w14:textId="77777777" w:rsidTr="004C2AFC">
        <w:tc>
          <w:tcPr>
            <w:tcW w:w="3477" w:type="dxa"/>
            <w:shd w:val="clear" w:color="auto" w:fill="BDD6EE" w:themeFill="accent5" w:themeFillTint="66"/>
          </w:tcPr>
          <w:p w14:paraId="1266B366" w14:textId="66BFF51E" w:rsidR="005747E6" w:rsidRPr="00D11245" w:rsidRDefault="005747E6" w:rsidP="005747E6">
            <w:pPr>
              <w:jc w:val="both"/>
              <w:rPr>
                <w:rFonts w:ascii="Calibri" w:hAnsi="Calibri" w:cs="Calibri"/>
                <w:color w:val="000000" w:themeColor="text1"/>
              </w:rPr>
            </w:pPr>
            <w:r w:rsidRPr="00D11245">
              <w:rPr>
                <w:rFonts w:ascii="Calibri" w:hAnsi="Calibri" w:cs="Calibri"/>
                <w:color w:val="000000" w:themeColor="text1"/>
              </w:rPr>
              <w:t>Extra-intestinal/</w:t>
            </w:r>
            <w:r w:rsidR="00884AE0" w:rsidRPr="00D11245">
              <w:rPr>
                <w:rFonts w:ascii="Calibri" w:hAnsi="Calibri" w:cs="Calibri"/>
                <w:color w:val="000000" w:themeColor="text1"/>
              </w:rPr>
              <w:t>extra</w:t>
            </w:r>
            <w:r w:rsidR="007D7FB7" w:rsidRPr="00D11245">
              <w:rPr>
                <w:rFonts w:ascii="Calibri" w:hAnsi="Calibri" w:cs="Calibri"/>
                <w:color w:val="000000" w:themeColor="text1"/>
              </w:rPr>
              <w:t>-</w:t>
            </w:r>
            <w:r w:rsidRPr="00D11245">
              <w:rPr>
                <w:rFonts w:ascii="Calibri" w:hAnsi="Calibri" w:cs="Calibri"/>
                <w:color w:val="000000" w:themeColor="text1"/>
              </w:rPr>
              <w:t xml:space="preserve">hepatic amoebiasis </w:t>
            </w:r>
          </w:p>
        </w:tc>
        <w:tc>
          <w:tcPr>
            <w:tcW w:w="5449" w:type="dxa"/>
          </w:tcPr>
          <w:p w14:paraId="08FD191D" w14:textId="7271D0FB" w:rsidR="005747E6" w:rsidRPr="00D11245" w:rsidRDefault="005747E6" w:rsidP="005747E6">
            <w:pPr>
              <w:pStyle w:val="ListParagraph"/>
              <w:numPr>
                <w:ilvl w:val="0"/>
                <w:numId w:val="14"/>
              </w:numPr>
              <w:spacing w:line="240" w:lineRule="auto"/>
              <w:jc w:val="both"/>
              <w:rPr>
                <w:rFonts w:ascii="Calibri" w:hAnsi="Calibri" w:cs="Calibri"/>
                <w:color w:val="000000" w:themeColor="text1"/>
              </w:rPr>
            </w:pPr>
            <w:r w:rsidRPr="00D11245">
              <w:rPr>
                <w:rFonts w:ascii="Calibri" w:hAnsi="Calibri" w:cs="Calibri"/>
                <w:color w:val="000000" w:themeColor="text1"/>
              </w:rPr>
              <w:t>Consult with Infectious Diseases team</w:t>
            </w:r>
          </w:p>
        </w:tc>
      </w:tr>
    </w:tbl>
    <w:p w14:paraId="42EBB264" w14:textId="77777777" w:rsidR="008738AF" w:rsidRPr="00D11245" w:rsidRDefault="008738AF" w:rsidP="005A6070">
      <w:pPr>
        <w:jc w:val="both"/>
        <w:rPr>
          <w:rFonts w:ascii="Calibri" w:hAnsi="Calibri" w:cs="Calibri"/>
          <w:color w:val="000000" w:themeColor="text1"/>
        </w:rPr>
      </w:pPr>
    </w:p>
    <w:p w14:paraId="287972C7" w14:textId="77777777" w:rsidR="00066EBF" w:rsidRPr="00D11245" w:rsidRDefault="00066EBF">
      <w:pPr>
        <w:rPr>
          <w:rFonts w:ascii="Calibri" w:hAnsi="Calibri" w:cs="Calibri"/>
          <w:b/>
          <w:bCs/>
          <w:color w:val="000000" w:themeColor="text1"/>
        </w:rPr>
      </w:pPr>
      <w:r w:rsidRPr="00D11245">
        <w:rPr>
          <w:rFonts w:ascii="Calibri" w:hAnsi="Calibri" w:cs="Calibri"/>
          <w:b/>
          <w:bCs/>
          <w:color w:val="000000" w:themeColor="text1"/>
        </w:rPr>
        <w:br w:type="page"/>
      </w:r>
    </w:p>
    <w:p w14:paraId="2598C046" w14:textId="01F711C2" w:rsidR="00B70188" w:rsidRPr="00D11245" w:rsidRDefault="00B70188" w:rsidP="00DB149B">
      <w:pPr>
        <w:rPr>
          <w:rFonts w:ascii="Calibri" w:hAnsi="Calibri" w:cs="Calibri"/>
          <w:color w:val="000000" w:themeColor="text1"/>
          <w:sz w:val="24"/>
          <w:szCs w:val="24"/>
        </w:rPr>
      </w:pPr>
      <w:r w:rsidRPr="00D11245">
        <w:rPr>
          <w:rFonts w:cstheme="minorHAnsi"/>
          <w:b/>
          <w:bCs/>
          <w:color w:val="000000" w:themeColor="text1"/>
          <w:sz w:val="24"/>
          <w:szCs w:val="24"/>
          <w:u w:val="single"/>
        </w:rPr>
        <w:lastRenderedPageBreak/>
        <w:t>References</w:t>
      </w:r>
    </w:p>
    <w:p w14:paraId="35196475" w14:textId="77777777" w:rsidR="009C3E63" w:rsidRPr="00D11245" w:rsidRDefault="0082795E" w:rsidP="009C3E63">
      <w:pPr>
        <w:pStyle w:val="Bibliography"/>
        <w:rPr>
          <w:color w:val="000000" w:themeColor="text1"/>
        </w:rPr>
      </w:pPr>
      <w:r w:rsidRPr="00D11245">
        <w:rPr>
          <w:rFonts w:cstheme="minorHAnsi"/>
          <w:color w:val="000000" w:themeColor="text1"/>
          <w:sz w:val="24"/>
          <w:szCs w:val="24"/>
        </w:rPr>
        <w:fldChar w:fldCharType="begin"/>
      </w:r>
      <w:r w:rsidR="009C3E63" w:rsidRPr="00D11245">
        <w:rPr>
          <w:rFonts w:cstheme="minorHAnsi"/>
          <w:color w:val="000000" w:themeColor="text1"/>
          <w:sz w:val="24"/>
          <w:szCs w:val="24"/>
        </w:rPr>
        <w:instrText xml:space="preserve"> ADDIN ZOTERO_BIBL {"uncited":[],"omitted":[],"custom":[]} CSL_BIBLIOGRAPHY </w:instrText>
      </w:r>
      <w:r w:rsidRPr="00D11245">
        <w:rPr>
          <w:rFonts w:cstheme="minorHAnsi"/>
          <w:color w:val="000000" w:themeColor="text1"/>
          <w:sz w:val="24"/>
          <w:szCs w:val="24"/>
        </w:rPr>
        <w:fldChar w:fldCharType="separate"/>
      </w:r>
      <w:r w:rsidR="009C3E63" w:rsidRPr="00D11245">
        <w:rPr>
          <w:color w:val="000000" w:themeColor="text1"/>
        </w:rPr>
        <w:t>1.</w:t>
      </w:r>
      <w:r w:rsidR="009C3E63" w:rsidRPr="00D11245">
        <w:rPr>
          <w:color w:val="000000" w:themeColor="text1"/>
        </w:rPr>
        <w:tab/>
        <w:t xml:space="preserve">WHO/PAHO/UNESCO report. A consultation with experts on amoebiasis. Mexico City, Mexico 28-29 January, 1997. </w:t>
      </w:r>
      <w:r w:rsidR="009C3E63" w:rsidRPr="00D11245">
        <w:rPr>
          <w:i/>
          <w:iCs/>
          <w:color w:val="000000" w:themeColor="text1"/>
        </w:rPr>
        <w:t>Epidemiol Bull</w:t>
      </w:r>
      <w:r w:rsidR="009C3E63" w:rsidRPr="00D11245">
        <w:rPr>
          <w:color w:val="000000" w:themeColor="text1"/>
        </w:rPr>
        <w:t xml:space="preserve"> </w:t>
      </w:r>
      <w:r w:rsidR="009C3E63" w:rsidRPr="00D11245">
        <w:rPr>
          <w:b/>
          <w:bCs/>
          <w:color w:val="000000" w:themeColor="text1"/>
        </w:rPr>
        <w:t>18</w:t>
      </w:r>
      <w:r w:rsidR="009C3E63" w:rsidRPr="00D11245">
        <w:rPr>
          <w:color w:val="000000" w:themeColor="text1"/>
        </w:rPr>
        <w:t>, 13–14 (1997).</w:t>
      </w:r>
    </w:p>
    <w:p w14:paraId="2A2FBDC3" w14:textId="77777777" w:rsidR="009C3E63" w:rsidRPr="00D11245" w:rsidRDefault="009C3E63" w:rsidP="009C3E63">
      <w:pPr>
        <w:pStyle w:val="Bibliography"/>
        <w:rPr>
          <w:color w:val="000000" w:themeColor="text1"/>
        </w:rPr>
      </w:pPr>
      <w:r w:rsidRPr="00D11245">
        <w:rPr>
          <w:color w:val="000000" w:themeColor="text1"/>
        </w:rPr>
        <w:t>2.</w:t>
      </w:r>
      <w:r w:rsidRPr="00D11245">
        <w:rPr>
          <w:color w:val="000000" w:themeColor="text1"/>
        </w:rPr>
        <w:tab/>
        <w:t xml:space="preserve">Blessmann, J. </w:t>
      </w:r>
      <w:r w:rsidRPr="00D11245">
        <w:rPr>
          <w:i/>
          <w:iCs/>
          <w:color w:val="000000" w:themeColor="text1"/>
        </w:rPr>
        <w:t>et al.</w:t>
      </w:r>
      <w:r w:rsidRPr="00D11245">
        <w:rPr>
          <w:color w:val="000000" w:themeColor="text1"/>
        </w:rPr>
        <w:t xml:space="preserve"> Longitudinal Study of Intestinal Entamoeba histolytica Infections in Asymptomatic Adult Carriers. </w:t>
      </w:r>
      <w:r w:rsidRPr="00D11245">
        <w:rPr>
          <w:i/>
          <w:iCs/>
          <w:color w:val="000000" w:themeColor="text1"/>
        </w:rPr>
        <w:t>J Clin Microbiol</w:t>
      </w:r>
      <w:r w:rsidRPr="00D11245">
        <w:rPr>
          <w:color w:val="000000" w:themeColor="text1"/>
        </w:rPr>
        <w:t xml:space="preserve"> </w:t>
      </w:r>
      <w:r w:rsidRPr="00D11245">
        <w:rPr>
          <w:b/>
          <w:bCs/>
          <w:color w:val="000000" w:themeColor="text1"/>
        </w:rPr>
        <w:t>41</w:t>
      </w:r>
      <w:r w:rsidRPr="00D11245">
        <w:rPr>
          <w:color w:val="000000" w:themeColor="text1"/>
        </w:rPr>
        <w:t>, 4745–4750 (2003).</w:t>
      </w:r>
    </w:p>
    <w:p w14:paraId="048FB2D7" w14:textId="77777777" w:rsidR="009C3E63" w:rsidRPr="00D11245" w:rsidRDefault="009C3E63" w:rsidP="009C3E63">
      <w:pPr>
        <w:pStyle w:val="Bibliography"/>
        <w:rPr>
          <w:color w:val="000000" w:themeColor="text1"/>
        </w:rPr>
      </w:pPr>
      <w:r w:rsidRPr="00D11245">
        <w:rPr>
          <w:color w:val="000000" w:themeColor="text1"/>
        </w:rPr>
        <w:t>3.</w:t>
      </w:r>
      <w:r w:rsidRPr="00D11245">
        <w:rPr>
          <w:color w:val="000000" w:themeColor="text1"/>
        </w:rPr>
        <w:tab/>
        <w:t xml:space="preserve">El-Dib N.A. Entamoeba histolytica: an Overview. </w:t>
      </w:r>
      <w:r w:rsidRPr="00D11245">
        <w:rPr>
          <w:i/>
          <w:iCs/>
          <w:color w:val="000000" w:themeColor="text1"/>
        </w:rPr>
        <w:t>Curr. Trop. Med. Rep.</w:t>
      </w:r>
      <w:r w:rsidRPr="00D11245">
        <w:rPr>
          <w:color w:val="000000" w:themeColor="text1"/>
        </w:rPr>
        <w:t xml:space="preserve"> </w:t>
      </w:r>
      <w:r w:rsidRPr="00D11245">
        <w:rPr>
          <w:b/>
          <w:bCs/>
          <w:color w:val="000000" w:themeColor="text1"/>
        </w:rPr>
        <w:t>4</w:t>
      </w:r>
      <w:r w:rsidRPr="00D11245">
        <w:rPr>
          <w:color w:val="000000" w:themeColor="text1"/>
        </w:rPr>
        <w:t>, 11–20 (2017).</w:t>
      </w:r>
    </w:p>
    <w:p w14:paraId="17CCA325" w14:textId="77777777" w:rsidR="009C3E63" w:rsidRPr="00D11245" w:rsidRDefault="009C3E63" w:rsidP="009C3E63">
      <w:pPr>
        <w:pStyle w:val="Bibliography"/>
        <w:rPr>
          <w:color w:val="000000" w:themeColor="text1"/>
        </w:rPr>
      </w:pPr>
      <w:r w:rsidRPr="00D11245">
        <w:rPr>
          <w:color w:val="000000" w:themeColor="text1"/>
        </w:rPr>
        <w:t>4.</w:t>
      </w:r>
      <w:r w:rsidRPr="00D11245">
        <w:rPr>
          <w:color w:val="000000" w:themeColor="text1"/>
        </w:rPr>
        <w:tab/>
        <w:t xml:space="preserve">Stanley, S. L. Amoebiasis. </w:t>
      </w:r>
      <w:r w:rsidRPr="00D11245">
        <w:rPr>
          <w:i/>
          <w:iCs/>
          <w:color w:val="000000" w:themeColor="text1"/>
        </w:rPr>
        <w:t>The Lancet</w:t>
      </w:r>
      <w:r w:rsidRPr="00D11245">
        <w:rPr>
          <w:color w:val="000000" w:themeColor="text1"/>
        </w:rPr>
        <w:t xml:space="preserve"> </w:t>
      </w:r>
      <w:r w:rsidRPr="00D11245">
        <w:rPr>
          <w:b/>
          <w:bCs/>
          <w:color w:val="000000" w:themeColor="text1"/>
        </w:rPr>
        <w:t>361</w:t>
      </w:r>
      <w:r w:rsidRPr="00D11245">
        <w:rPr>
          <w:color w:val="000000" w:themeColor="text1"/>
        </w:rPr>
        <w:t>, 1025–1034 (2003).</w:t>
      </w:r>
    </w:p>
    <w:p w14:paraId="209B8F65" w14:textId="77777777" w:rsidR="009C3E63" w:rsidRPr="00D11245" w:rsidRDefault="009C3E63" w:rsidP="009C3E63">
      <w:pPr>
        <w:pStyle w:val="Bibliography"/>
        <w:rPr>
          <w:color w:val="000000" w:themeColor="text1"/>
        </w:rPr>
      </w:pPr>
      <w:r w:rsidRPr="00D11245">
        <w:rPr>
          <w:color w:val="000000" w:themeColor="text1"/>
        </w:rPr>
        <w:t>5.</w:t>
      </w:r>
      <w:r w:rsidRPr="00D11245">
        <w:rPr>
          <w:color w:val="000000" w:themeColor="text1"/>
        </w:rPr>
        <w:tab/>
        <w:t xml:space="preserve">Lozano, R. </w:t>
      </w:r>
      <w:r w:rsidRPr="00D11245">
        <w:rPr>
          <w:i/>
          <w:iCs/>
          <w:color w:val="000000" w:themeColor="text1"/>
        </w:rPr>
        <w:t>et al.</w:t>
      </w:r>
      <w:r w:rsidRPr="00D11245">
        <w:rPr>
          <w:color w:val="000000" w:themeColor="text1"/>
        </w:rPr>
        <w:t xml:space="preserve"> Global and regional mortality from 235 causes of death for 20 age groups in 1990 and 2010: a systematic analysis for the Global Burden of Disease Study 2010. </w:t>
      </w:r>
      <w:r w:rsidRPr="00D11245">
        <w:rPr>
          <w:i/>
          <w:iCs/>
          <w:color w:val="000000" w:themeColor="text1"/>
        </w:rPr>
        <w:t>The Lancet</w:t>
      </w:r>
      <w:r w:rsidRPr="00D11245">
        <w:rPr>
          <w:color w:val="000000" w:themeColor="text1"/>
        </w:rPr>
        <w:t xml:space="preserve"> </w:t>
      </w:r>
      <w:r w:rsidRPr="00D11245">
        <w:rPr>
          <w:b/>
          <w:bCs/>
          <w:color w:val="000000" w:themeColor="text1"/>
        </w:rPr>
        <w:t>380</w:t>
      </w:r>
      <w:r w:rsidRPr="00D11245">
        <w:rPr>
          <w:color w:val="000000" w:themeColor="text1"/>
        </w:rPr>
        <w:t>, 2095–2128 (2012).</w:t>
      </w:r>
    </w:p>
    <w:p w14:paraId="0AD8DE13" w14:textId="77777777" w:rsidR="009C3E63" w:rsidRPr="00D11245" w:rsidRDefault="009C3E63" w:rsidP="009C3E63">
      <w:pPr>
        <w:pStyle w:val="Bibliography"/>
        <w:rPr>
          <w:color w:val="000000" w:themeColor="text1"/>
        </w:rPr>
      </w:pPr>
      <w:r w:rsidRPr="00D11245">
        <w:rPr>
          <w:color w:val="000000" w:themeColor="text1"/>
        </w:rPr>
        <w:t>6.</w:t>
      </w:r>
      <w:r w:rsidRPr="00D11245">
        <w:rPr>
          <w:color w:val="000000" w:themeColor="text1"/>
        </w:rPr>
        <w:tab/>
        <w:t xml:space="preserve">Shirley D.T., Farr L., Watanabe K., &amp; Moonah S. A review of the global burden, new diagnostics, and current Therapeutics for amebiasis. </w:t>
      </w:r>
      <w:r w:rsidRPr="00D11245">
        <w:rPr>
          <w:i/>
          <w:iCs/>
          <w:color w:val="000000" w:themeColor="text1"/>
        </w:rPr>
        <w:t>Open Forum Infect. Dis.</w:t>
      </w:r>
      <w:r w:rsidRPr="00D11245">
        <w:rPr>
          <w:color w:val="000000" w:themeColor="text1"/>
        </w:rPr>
        <w:t xml:space="preserve"> </w:t>
      </w:r>
      <w:r w:rsidRPr="00D11245">
        <w:rPr>
          <w:b/>
          <w:bCs/>
          <w:color w:val="000000" w:themeColor="text1"/>
        </w:rPr>
        <w:t>5</w:t>
      </w:r>
      <w:r w:rsidRPr="00D11245">
        <w:rPr>
          <w:color w:val="000000" w:themeColor="text1"/>
        </w:rPr>
        <w:t>, ofy161 (2018).</w:t>
      </w:r>
    </w:p>
    <w:p w14:paraId="3CCC4436" w14:textId="77777777" w:rsidR="009C3E63" w:rsidRPr="00D11245" w:rsidRDefault="009C3E63" w:rsidP="009C3E63">
      <w:pPr>
        <w:pStyle w:val="Bibliography"/>
        <w:rPr>
          <w:color w:val="000000" w:themeColor="text1"/>
        </w:rPr>
      </w:pPr>
      <w:r w:rsidRPr="00D11245">
        <w:rPr>
          <w:color w:val="000000" w:themeColor="text1"/>
        </w:rPr>
        <w:t>7.</w:t>
      </w:r>
      <w:r w:rsidRPr="00D11245">
        <w:rPr>
          <w:color w:val="000000" w:themeColor="text1"/>
        </w:rPr>
        <w:tab/>
        <w:t xml:space="preserve">Estimates of the global, regional, and national morbidity, mortality, and aetiologies of diarrhoea in 195 countries: a systematic analysis for the Global Burden of Disease Study 2016. </w:t>
      </w:r>
      <w:r w:rsidRPr="00D11245">
        <w:rPr>
          <w:i/>
          <w:iCs/>
          <w:color w:val="000000" w:themeColor="text1"/>
        </w:rPr>
        <w:t>The Lancet Infectious Diseases</w:t>
      </w:r>
      <w:r w:rsidRPr="00D11245">
        <w:rPr>
          <w:color w:val="000000" w:themeColor="text1"/>
        </w:rPr>
        <w:t xml:space="preserve"> (2018).</w:t>
      </w:r>
    </w:p>
    <w:p w14:paraId="0361A622" w14:textId="77777777" w:rsidR="009C3E63" w:rsidRPr="00D11245" w:rsidRDefault="009C3E63" w:rsidP="009C3E63">
      <w:pPr>
        <w:pStyle w:val="Bibliography"/>
        <w:rPr>
          <w:color w:val="000000" w:themeColor="text1"/>
        </w:rPr>
      </w:pPr>
      <w:r w:rsidRPr="00D11245">
        <w:rPr>
          <w:color w:val="000000" w:themeColor="text1"/>
        </w:rPr>
        <w:t>8.</w:t>
      </w:r>
      <w:r w:rsidRPr="00D11245">
        <w:rPr>
          <w:color w:val="000000" w:themeColor="text1"/>
        </w:rPr>
        <w:tab/>
        <w:t xml:space="preserve">Murray, C. J. L. </w:t>
      </w:r>
      <w:r w:rsidRPr="00D11245">
        <w:rPr>
          <w:i/>
          <w:iCs/>
          <w:color w:val="000000" w:themeColor="text1"/>
        </w:rPr>
        <w:t>et al.</w:t>
      </w:r>
      <w:r w:rsidRPr="00D11245">
        <w:rPr>
          <w:color w:val="000000" w:themeColor="text1"/>
        </w:rPr>
        <w:t xml:space="preserve"> Disability-adjusted life years (DALYs) for 291 diseases and injuries in 21 regions, 1990–2010: a systematic analysis for the Global Burden of Disease Study 2010. </w:t>
      </w:r>
      <w:r w:rsidRPr="00D11245">
        <w:rPr>
          <w:i/>
          <w:iCs/>
          <w:color w:val="000000" w:themeColor="text1"/>
        </w:rPr>
        <w:t>The Lancet</w:t>
      </w:r>
      <w:r w:rsidRPr="00D11245">
        <w:rPr>
          <w:color w:val="000000" w:themeColor="text1"/>
        </w:rPr>
        <w:t xml:space="preserve"> </w:t>
      </w:r>
      <w:r w:rsidRPr="00D11245">
        <w:rPr>
          <w:b/>
          <w:bCs/>
          <w:color w:val="000000" w:themeColor="text1"/>
        </w:rPr>
        <w:t>380</w:t>
      </w:r>
      <w:r w:rsidRPr="00D11245">
        <w:rPr>
          <w:color w:val="000000" w:themeColor="text1"/>
        </w:rPr>
        <w:t>, 2197–2223 (2012).</w:t>
      </w:r>
    </w:p>
    <w:p w14:paraId="542F2A03" w14:textId="77777777" w:rsidR="009C3E63" w:rsidRPr="00D11245" w:rsidRDefault="009C3E63" w:rsidP="009C3E63">
      <w:pPr>
        <w:pStyle w:val="Bibliography"/>
        <w:rPr>
          <w:color w:val="000000" w:themeColor="text1"/>
        </w:rPr>
      </w:pPr>
      <w:r w:rsidRPr="00D11245">
        <w:rPr>
          <w:color w:val="000000" w:themeColor="text1"/>
        </w:rPr>
        <w:t>9.</w:t>
      </w:r>
      <w:r w:rsidRPr="00D11245">
        <w:rPr>
          <w:color w:val="000000" w:themeColor="text1"/>
        </w:rPr>
        <w:tab/>
        <w:t xml:space="preserve">Fu, X. </w:t>
      </w:r>
      <w:r w:rsidRPr="00D11245">
        <w:rPr>
          <w:i/>
          <w:iCs/>
          <w:color w:val="000000" w:themeColor="text1"/>
        </w:rPr>
        <w:t>et al.</w:t>
      </w:r>
      <w:r w:rsidRPr="00D11245">
        <w:rPr>
          <w:color w:val="000000" w:themeColor="text1"/>
        </w:rPr>
        <w:t xml:space="preserve"> Global burden and trends of the Entamoeba infection-associated diseases from 1990 to 2019: An observational trend study. </w:t>
      </w:r>
      <w:r w:rsidRPr="00D11245">
        <w:rPr>
          <w:i/>
          <w:iCs/>
          <w:color w:val="000000" w:themeColor="text1"/>
        </w:rPr>
        <w:t>Acta Tropica</w:t>
      </w:r>
      <w:r w:rsidRPr="00D11245">
        <w:rPr>
          <w:color w:val="000000" w:themeColor="text1"/>
        </w:rPr>
        <w:t xml:space="preserve"> </w:t>
      </w:r>
      <w:r w:rsidRPr="00D11245">
        <w:rPr>
          <w:b/>
          <w:bCs/>
          <w:color w:val="000000" w:themeColor="text1"/>
        </w:rPr>
        <w:t>240</w:t>
      </w:r>
      <w:r w:rsidRPr="00D11245">
        <w:rPr>
          <w:color w:val="000000" w:themeColor="text1"/>
        </w:rPr>
        <w:t>, 106866 (2023).</w:t>
      </w:r>
    </w:p>
    <w:p w14:paraId="306B8FC1" w14:textId="77777777" w:rsidR="009C3E63" w:rsidRPr="00D11245" w:rsidRDefault="009C3E63" w:rsidP="009C3E63">
      <w:pPr>
        <w:pStyle w:val="Bibliography"/>
        <w:rPr>
          <w:color w:val="000000" w:themeColor="text1"/>
        </w:rPr>
      </w:pPr>
      <w:r w:rsidRPr="00D11245">
        <w:rPr>
          <w:color w:val="000000" w:themeColor="text1"/>
        </w:rPr>
        <w:t>10.</w:t>
      </w:r>
      <w:r w:rsidRPr="00D11245">
        <w:rPr>
          <w:color w:val="000000" w:themeColor="text1"/>
        </w:rPr>
        <w:tab/>
        <w:t xml:space="preserve">Hooshyar, H., Rostamkhani, P. &amp; Rezaeian, M. An Annotated Checklist of the Human and Animal Entamoeba (Amoebida: Endamoebidae) Species- A Review Article. </w:t>
      </w:r>
      <w:r w:rsidRPr="00D11245">
        <w:rPr>
          <w:i/>
          <w:iCs/>
          <w:color w:val="000000" w:themeColor="text1"/>
        </w:rPr>
        <w:t>Iran J Parasitol</w:t>
      </w:r>
      <w:r w:rsidRPr="00D11245">
        <w:rPr>
          <w:color w:val="000000" w:themeColor="text1"/>
        </w:rPr>
        <w:t xml:space="preserve"> </w:t>
      </w:r>
      <w:r w:rsidRPr="00D11245">
        <w:rPr>
          <w:b/>
          <w:bCs/>
          <w:color w:val="000000" w:themeColor="text1"/>
        </w:rPr>
        <w:t>10</w:t>
      </w:r>
      <w:r w:rsidRPr="00D11245">
        <w:rPr>
          <w:color w:val="000000" w:themeColor="text1"/>
        </w:rPr>
        <w:t>, 146–156 (2015).</w:t>
      </w:r>
    </w:p>
    <w:p w14:paraId="2976B0B6" w14:textId="77777777" w:rsidR="009C3E63" w:rsidRPr="00D11245" w:rsidRDefault="009C3E63" w:rsidP="009C3E63">
      <w:pPr>
        <w:pStyle w:val="Bibliography"/>
        <w:rPr>
          <w:color w:val="000000" w:themeColor="text1"/>
        </w:rPr>
      </w:pPr>
      <w:r w:rsidRPr="00D11245">
        <w:rPr>
          <w:color w:val="000000" w:themeColor="text1"/>
        </w:rPr>
        <w:t>11.</w:t>
      </w:r>
      <w:r w:rsidRPr="00D11245">
        <w:rPr>
          <w:color w:val="000000" w:themeColor="text1"/>
        </w:rPr>
        <w:tab/>
        <w:t xml:space="preserve">Petithory, J. C., Brumpt, L. C. &amp; Poujade, F. [Entamoeba histolytica (Schaudinn 1903) and Entamoeba dispar (E. Brumpt 1925) are 2 different species]. </w:t>
      </w:r>
      <w:r w:rsidRPr="00D11245">
        <w:rPr>
          <w:i/>
          <w:iCs/>
          <w:color w:val="000000" w:themeColor="text1"/>
        </w:rPr>
        <w:t>Bull Soc Pathol Exot</w:t>
      </w:r>
      <w:r w:rsidRPr="00D11245">
        <w:rPr>
          <w:color w:val="000000" w:themeColor="text1"/>
        </w:rPr>
        <w:t xml:space="preserve"> </w:t>
      </w:r>
      <w:r w:rsidRPr="00D11245">
        <w:rPr>
          <w:b/>
          <w:bCs/>
          <w:color w:val="000000" w:themeColor="text1"/>
        </w:rPr>
        <w:t>87</w:t>
      </w:r>
      <w:r w:rsidRPr="00D11245">
        <w:rPr>
          <w:color w:val="000000" w:themeColor="text1"/>
        </w:rPr>
        <w:t>, 231–237 (1994).</w:t>
      </w:r>
    </w:p>
    <w:p w14:paraId="4966088A" w14:textId="77777777" w:rsidR="009C3E63" w:rsidRPr="00D11245" w:rsidRDefault="009C3E63" w:rsidP="009C3E63">
      <w:pPr>
        <w:pStyle w:val="Bibliography"/>
        <w:rPr>
          <w:color w:val="000000" w:themeColor="text1"/>
        </w:rPr>
      </w:pPr>
      <w:r w:rsidRPr="00D11245">
        <w:rPr>
          <w:color w:val="000000" w:themeColor="text1"/>
        </w:rPr>
        <w:lastRenderedPageBreak/>
        <w:t>12.</w:t>
      </w:r>
      <w:r w:rsidRPr="00D11245">
        <w:rPr>
          <w:color w:val="000000" w:themeColor="text1"/>
        </w:rPr>
        <w:tab/>
        <w:t xml:space="preserve">Sargeaunt, P. G., Williams, J. E. &amp; Grene, J. D. The differentiation of invasive and non-invasive Entamoeba histolytica by isoenzyme electrophoresis. </w:t>
      </w:r>
      <w:r w:rsidRPr="00D11245">
        <w:rPr>
          <w:i/>
          <w:iCs/>
          <w:color w:val="000000" w:themeColor="text1"/>
        </w:rPr>
        <w:t>Transactions of the Royal Society of Tropical Medicine and Hygiene</w:t>
      </w:r>
      <w:r w:rsidRPr="00D11245">
        <w:rPr>
          <w:color w:val="000000" w:themeColor="text1"/>
        </w:rPr>
        <w:t xml:space="preserve"> </w:t>
      </w:r>
      <w:r w:rsidRPr="00D11245">
        <w:rPr>
          <w:b/>
          <w:bCs/>
          <w:color w:val="000000" w:themeColor="text1"/>
        </w:rPr>
        <w:t>72</w:t>
      </w:r>
      <w:r w:rsidRPr="00D11245">
        <w:rPr>
          <w:color w:val="000000" w:themeColor="text1"/>
        </w:rPr>
        <w:t>, 519–521 (1978).</w:t>
      </w:r>
    </w:p>
    <w:p w14:paraId="6A62687A" w14:textId="77777777" w:rsidR="009C3E63" w:rsidRPr="00D11245" w:rsidRDefault="009C3E63" w:rsidP="009C3E63">
      <w:pPr>
        <w:pStyle w:val="Bibliography"/>
        <w:rPr>
          <w:color w:val="000000" w:themeColor="text1"/>
        </w:rPr>
      </w:pPr>
      <w:r w:rsidRPr="00D11245">
        <w:rPr>
          <w:color w:val="000000" w:themeColor="text1"/>
        </w:rPr>
        <w:t>13.</w:t>
      </w:r>
      <w:r w:rsidRPr="00D11245">
        <w:rPr>
          <w:color w:val="000000" w:themeColor="text1"/>
        </w:rPr>
        <w:tab/>
        <w:t xml:space="preserve">Tannich, E., Horstmann, R. D., Knobloch, J. &amp; Arnold, H. H. Genomic DNA differences between pathogenic and nonpathogenic Entamoeba histolytica. </w:t>
      </w:r>
      <w:r w:rsidRPr="00D11245">
        <w:rPr>
          <w:i/>
          <w:iCs/>
          <w:color w:val="000000" w:themeColor="text1"/>
        </w:rPr>
        <w:t>Proc Natl Acad Sci U S A</w:t>
      </w:r>
      <w:r w:rsidRPr="00D11245">
        <w:rPr>
          <w:color w:val="000000" w:themeColor="text1"/>
        </w:rPr>
        <w:t xml:space="preserve"> </w:t>
      </w:r>
      <w:r w:rsidRPr="00D11245">
        <w:rPr>
          <w:b/>
          <w:bCs/>
          <w:color w:val="000000" w:themeColor="text1"/>
        </w:rPr>
        <w:t>86</w:t>
      </w:r>
      <w:r w:rsidRPr="00D11245">
        <w:rPr>
          <w:color w:val="000000" w:themeColor="text1"/>
        </w:rPr>
        <w:t>, 5118–5122 (1989).</w:t>
      </w:r>
    </w:p>
    <w:p w14:paraId="5C4F020F" w14:textId="77777777" w:rsidR="009C3E63" w:rsidRPr="00D11245" w:rsidRDefault="009C3E63" w:rsidP="009C3E63">
      <w:pPr>
        <w:pStyle w:val="Bibliography"/>
        <w:rPr>
          <w:color w:val="000000" w:themeColor="text1"/>
        </w:rPr>
      </w:pPr>
      <w:r w:rsidRPr="00D11245">
        <w:rPr>
          <w:color w:val="000000" w:themeColor="text1"/>
        </w:rPr>
        <w:t>14.</w:t>
      </w:r>
      <w:r w:rsidRPr="00D11245">
        <w:rPr>
          <w:color w:val="000000" w:themeColor="text1"/>
        </w:rPr>
        <w:tab/>
        <w:t xml:space="preserve">Junaidi, J. </w:t>
      </w:r>
      <w:r w:rsidRPr="00D11245">
        <w:rPr>
          <w:i/>
          <w:iCs/>
          <w:color w:val="000000" w:themeColor="text1"/>
        </w:rPr>
        <w:t>et al.</w:t>
      </w:r>
      <w:r w:rsidRPr="00D11245">
        <w:rPr>
          <w:color w:val="000000" w:themeColor="text1"/>
        </w:rPr>
        <w:t xml:space="preserve"> </w:t>
      </w:r>
      <w:r w:rsidRPr="00D11245">
        <w:rPr>
          <w:i/>
          <w:iCs/>
          <w:color w:val="000000" w:themeColor="text1"/>
        </w:rPr>
        <w:t>Entamoeba histolytica</w:t>
      </w:r>
      <w:r w:rsidRPr="00D11245">
        <w:rPr>
          <w:color w:val="000000" w:themeColor="text1"/>
        </w:rPr>
        <w:t xml:space="preserve"> Neglected Tropical Diseases (NTDs) Agents that Infect Humans and Some Other Mammals: A Review. </w:t>
      </w:r>
      <w:r w:rsidRPr="00D11245">
        <w:rPr>
          <w:i/>
          <w:iCs/>
          <w:color w:val="000000" w:themeColor="text1"/>
        </w:rPr>
        <w:t>E3S Web Conf.</w:t>
      </w:r>
      <w:r w:rsidRPr="00D11245">
        <w:rPr>
          <w:color w:val="000000" w:themeColor="text1"/>
        </w:rPr>
        <w:t xml:space="preserve"> </w:t>
      </w:r>
      <w:r w:rsidRPr="00D11245">
        <w:rPr>
          <w:b/>
          <w:bCs/>
          <w:color w:val="000000" w:themeColor="text1"/>
        </w:rPr>
        <w:t>151</w:t>
      </w:r>
      <w:r w:rsidRPr="00D11245">
        <w:rPr>
          <w:color w:val="000000" w:themeColor="text1"/>
        </w:rPr>
        <w:t>, 01019 (2020).</w:t>
      </w:r>
    </w:p>
    <w:p w14:paraId="5E0EEF4F" w14:textId="77777777" w:rsidR="009C3E63" w:rsidRPr="00D11245" w:rsidRDefault="009C3E63" w:rsidP="009C3E63">
      <w:pPr>
        <w:pStyle w:val="Bibliography"/>
        <w:rPr>
          <w:color w:val="000000" w:themeColor="text1"/>
        </w:rPr>
      </w:pPr>
      <w:r w:rsidRPr="00D11245">
        <w:rPr>
          <w:color w:val="000000" w:themeColor="text1"/>
        </w:rPr>
        <w:t>15.</w:t>
      </w:r>
      <w:r w:rsidRPr="00D11245">
        <w:rPr>
          <w:color w:val="000000" w:themeColor="text1"/>
        </w:rPr>
        <w:tab/>
        <w:t xml:space="preserve">Moonah, S. N., Jiang, N. M. &amp; Petri, W. A. Host Immune Response to Intestinal Amebiasis. </w:t>
      </w:r>
      <w:r w:rsidRPr="00D11245">
        <w:rPr>
          <w:i/>
          <w:iCs/>
          <w:color w:val="000000" w:themeColor="text1"/>
        </w:rPr>
        <w:t>PLoS Pathogens</w:t>
      </w:r>
      <w:r w:rsidRPr="00D11245">
        <w:rPr>
          <w:color w:val="000000" w:themeColor="text1"/>
        </w:rPr>
        <w:t xml:space="preserve"> </w:t>
      </w:r>
      <w:r w:rsidRPr="00D11245">
        <w:rPr>
          <w:b/>
          <w:bCs/>
          <w:color w:val="000000" w:themeColor="text1"/>
        </w:rPr>
        <w:t>9</w:t>
      </w:r>
      <w:r w:rsidRPr="00D11245">
        <w:rPr>
          <w:color w:val="000000" w:themeColor="text1"/>
        </w:rPr>
        <w:t>, (2013).</w:t>
      </w:r>
    </w:p>
    <w:p w14:paraId="7DFF9F2F" w14:textId="77777777" w:rsidR="009C3E63" w:rsidRPr="00D11245" w:rsidRDefault="009C3E63" w:rsidP="009C3E63">
      <w:pPr>
        <w:pStyle w:val="Bibliography"/>
        <w:rPr>
          <w:color w:val="000000" w:themeColor="text1"/>
        </w:rPr>
      </w:pPr>
      <w:r w:rsidRPr="00D11245">
        <w:rPr>
          <w:color w:val="000000" w:themeColor="text1"/>
        </w:rPr>
        <w:t>16.</w:t>
      </w:r>
      <w:r w:rsidRPr="00D11245">
        <w:rPr>
          <w:color w:val="000000" w:themeColor="text1"/>
        </w:rPr>
        <w:tab/>
        <w:t xml:space="preserve">Debnath A., Rodriguez M.A., &amp; Ankri S. Editorial: Recent progresses in amebiasis. </w:t>
      </w:r>
      <w:r w:rsidRPr="00D11245">
        <w:rPr>
          <w:i/>
          <w:iCs/>
          <w:color w:val="000000" w:themeColor="text1"/>
        </w:rPr>
        <w:t>Front. Cell. Infect. Microbiol.</w:t>
      </w:r>
      <w:r w:rsidRPr="00D11245">
        <w:rPr>
          <w:color w:val="000000" w:themeColor="text1"/>
        </w:rPr>
        <w:t xml:space="preserve"> </w:t>
      </w:r>
      <w:r w:rsidRPr="00D11245">
        <w:rPr>
          <w:b/>
          <w:bCs/>
          <w:color w:val="000000" w:themeColor="text1"/>
        </w:rPr>
        <w:t>9</w:t>
      </w:r>
      <w:r w:rsidRPr="00D11245">
        <w:rPr>
          <w:color w:val="000000" w:themeColor="text1"/>
        </w:rPr>
        <w:t>, 247 (2019).</w:t>
      </w:r>
    </w:p>
    <w:p w14:paraId="528AC715" w14:textId="77777777" w:rsidR="009C3E63" w:rsidRPr="00D11245" w:rsidRDefault="009C3E63" w:rsidP="009C3E63">
      <w:pPr>
        <w:pStyle w:val="Bibliography"/>
        <w:rPr>
          <w:color w:val="000000" w:themeColor="text1"/>
        </w:rPr>
      </w:pPr>
      <w:r w:rsidRPr="00D11245">
        <w:rPr>
          <w:color w:val="000000" w:themeColor="text1"/>
        </w:rPr>
        <w:t>17.</w:t>
      </w:r>
      <w:r w:rsidRPr="00D11245">
        <w:rPr>
          <w:color w:val="000000" w:themeColor="text1"/>
        </w:rPr>
        <w:tab/>
        <w:t xml:space="preserve">Reed, S. L., Keene, W. E. &amp; McKerrow, J. H. Thiol proteinase expression and pathogenicity of Entamoeba histolytica. </w:t>
      </w:r>
      <w:r w:rsidRPr="00D11245">
        <w:rPr>
          <w:i/>
          <w:iCs/>
          <w:color w:val="000000" w:themeColor="text1"/>
        </w:rPr>
        <w:t>J Clin Microbiol</w:t>
      </w:r>
      <w:r w:rsidRPr="00D11245">
        <w:rPr>
          <w:color w:val="000000" w:themeColor="text1"/>
        </w:rPr>
        <w:t xml:space="preserve"> </w:t>
      </w:r>
      <w:r w:rsidRPr="00D11245">
        <w:rPr>
          <w:b/>
          <w:bCs/>
          <w:color w:val="000000" w:themeColor="text1"/>
        </w:rPr>
        <w:t>27</w:t>
      </w:r>
      <w:r w:rsidRPr="00D11245">
        <w:rPr>
          <w:color w:val="000000" w:themeColor="text1"/>
        </w:rPr>
        <w:t>, 2772–2777 (1989).</w:t>
      </w:r>
    </w:p>
    <w:p w14:paraId="310457F5" w14:textId="77777777" w:rsidR="009C3E63" w:rsidRPr="00D11245" w:rsidRDefault="009C3E63" w:rsidP="009C3E63">
      <w:pPr>
        <w:pStyle w:val="Bibliography"/>
        <w:rPr>
          <w:color w:val="000000" w:themeColor="text1"/>
        </w:rPr>
      </w:pPr>
      <w:r w:rsidRPr="00D11245">
        <w:rPr>
          <w:color w:val="000000" w:themeColor="text1"/>
        </w:rPr>
        <w:t>18.</w:t>
      </w:r>
      <w:r w:rsidRPr="00D11245">
        <w:rPr>
          <w:color w:val="000000" w:themeColor="text1"/>
        </w:rPr>
        <w:tab/>
        <w:t xml:space="preserve">Leippe, M. Amoebapores. </w:t>
      </w:r>
      <w:r w:rsidRPr="00D11245">
        <w:rPr>
          <w:i/>
          <w:iCs/>
          <w:color w:val="000000" w:themeColor="text1"/>
        </w:rPr>
        <w:t>Parasitol Today</w:t>
      </w:r>
      <w:r w:rsidRPr="00D11245">
        <w:rPr>
          <w:color w:val="000000" w:themeColor="text1"/>
        </w:rPr>
        <w:t xml:space="preserve"> </w:t>
      </w:r>
      <w:r w:rsidRPr="00D11245">
        <w:rPr>
          <w:b/>
          <w:bCs/>
          <w:color w:val="000000" w:themeColor="text1"/>
        </w:rPr>
        <w:t>13</w:t>
      </w:r>
      <w:r w:rsidRPr="00D11245">
        <w:rPr>
          <w:color w:val="000000" w:themeColor="text1"/>
        </w:rPr>
        <w:t>, 178–183 (1997).</w:t>
      </w:r>
    </w:p>
    <w:p w14:paraId="0EAF17FE" w14:textId="77777777" w:rsidR="009C3E63" w:rsidRPr="00D11245" w:rsidRDefault="009C3E63" w:rsidP="009C3E63">
      <w:pPr>
        <w:pStyle w:val="Bibliography"/>
        <w:rPr>
          <w:color w:val="000000" w:themeColor="text1"/>
        </w:rPr>
      </w:pPr>
      <w:r w:rsidRPr="00D11245">
        <w:rPr>
          <w:color w:val="000000" w:themeColor="text1"/>
        </w:rPr>
        <w:t>19.</w:t>
      </w:r>
      <w:r w:rsidRPr="00D11245">
        <w:rPr>
          <w:color w:val="000000" w:themeColor="text1"/>
        </w:rPr>
        <w:tab/>
        <w:t xml:space="preserve">Dodson, J. M. </w:t>
      </w:r>
      <w:r w:rsidRPr="00D11245">
        <w:rPr>
          <w:i/>
          <w:iCs/>
          <w:color w:val="000000" w:themeColor="text1"/>
        </w:rPr>
        <w:t>et al.</w:t>
      </w:r>
      <w:r w:rsidRPr="00D11245">
        <w:rPr>
          <w:color w:val="000000" w:themeColor="text1"/>
        </w:rPr>
        <w:t xml:space="preserve"> Comparison of adherence, cytotoxicity, and Gal/GalNAc lectin gene structure in Entamoeba histolytica and Entamoeba dispar. </w:t>
      </w:r>
      <w:r w:rsidRPr="00D11245">
        <w:rPr>
          <w:i/>
          <w:iCs/>
          <w:color w:val="000000" w:themeColor="text1"/>
        </w:rPr>
        <w:t>Parasitology International</w:t>
      </w:r>
      <w:r w:rsidRPr="00D11245">
        <w:rPr>
          <w:color w:val="000000" w:themeColor="text1"/>
        </w:rPr>
        <w:t xml:space="preserve"> </w:t>
      </w:r>
      <w:r w:rsidRPr="00D11245">
        <w:rPr>
          <w:b/>
          <w:bCs/>
          <w:color w:val="000000" w:themeColor="text1"/>
        </w:rPr>
        <w:t>46</w:t>
      </w:r>
      <w:r w:rsidRPr="00D11245">
        <w:rPr>
          <w:color w:val="000000" w:themeColor="text1"/>
        </w:rPr>
        <w:t>, 225–235 (1997).</w:t>
      </w:r>
    </w:p>
    <w:p w14:paraId="6E381169" w14:textId="77777777" w:rsidR="009C3E63" w:rsidRPr="00D11245" w:rsidRDefault="009C3E63" w:rsidP="009C3E63">
      <w:pPr>
        <w:pStyle w:val="Bibliography"/>
        <w:rPr>
          <w:color w:val="000000" w:themeColor="text1"/>
        </w:rPr>
      </w:pPr>
      <w:r w:rsidRPr="00D11245">
        <w:rPr>
          <w:color w:val="000000" w:themeColor="text1"/>
        </w:rPr>
        <w:t>20.</w:t>
      </w:r>
      <w:r w:rsidRPr="00D11245">
        <w:rPr>
          <w:color w:val="000000" w:themeColor="text1"/>
        </w:rPr>
        <w:tab/>
        <w:t xml:space="preserve">Marsden, P. D. Clinicai Parasitology, 9th Editon, Beaver, P.C., Jung, R C., Cupp, E. W. Lea and Febiger, Philadelphia, 1984. </w:t>
      </w:r>
      <w:r w:rsidRPr="00D11245">
        <w:rPr>
          <w:i/>
          <w:iCs/>
          <w:color w:val="000000" w:themeColor="text1"/>
        </w:rPr>
        <w:t>Rev. Soc. Bras. Med. Trop.</w:t>
      </w:r>
      <w:r w:rsidRPr="00D11245">
        <w:rPr>
          <w:color w:val="000000" w:themeColor="text1"/>
        </w:rPr>
        <w:t xml:space="preserve"> </w:t>
      </w:r>
      <w:r w:rsidRPr="00D11245">
        <w:rPr>
          <w:b/>
          <w:bCs/>
          <w:color w:val="000000" w:themeColor="text1"/>
        </w:rPr>
        <w:t>17</w:t>
      </w:r>
      <w:r w:rsidRPr="00D11245">
        <w:rPr>
          <w:color w:val="000000" w:themeColor="text1"/>
        </w:rPr>
        <w:t>, 219–219 (1984).</w:t>
      </w:r>
    </w:p>
    <w:p w14:paraId="7800D470" w14:textId="77777777" w:rsidR="009C3E63" w:rsidRPr="00D11245" w:rsidRDefault="009C3E63" w:rsidP="009C3E63">
      <w:pPr>
        <w:pStyle w:val="Bibliography"/>
        <w:rPr>
          <w:color w:val="000000" w:themeColor="text1"/>
        </w:rPr>
      </w:pPr>
      <w:r w:rsidRPr="00D11245">
        <w:rPr>
          <w:color w:val="000000" w:themeColor="text1"/>
        </w:rPr>
        <w:t>21.</w:t>
      </w:r>
      <w:r w:rsidRPr="00D11245">
        <w:rPr>
          <w:color w:val="000000" w:themeColor="text1"/>
        </w:rPr>
        <w:tab/>
        <w:t xml:space="preserve">Pritt, B. S. &amp; Clark, C. G. Amebiasis. </w:t>
      </w:r>
      <w:r w:rsidRPr="00D11245">
        <w:rPr>
          <w:i/>
          <w:iCs/>
          <w:color w:val="000000" w:themeColor="text1"/>
        </w:rPr>
        <w:t>Mayo Clinic Proceedings</w:t>
      </w:r>
      <w:r w:rsidRPr="00D11245">
        <w:rPr>
          <w:color w:val="000000" w:themeColor="text1"/>
        </w:rPr>
        <w:t xml:space="preserve"> </w:t>
      </w:r>
      <w:r w:rsidRPr="00D11245">
        <w:rPr>
          <w:b/>
          <w:bCs/>
          <w:color w:val="000000" w:themeColor="text1"/>
        </w:rPr>
        <w:t>83</w:t>
      </w:r>
      <w:r w:rsidRPr="00D11245">
        <w:rPr>
          <w:color w:val="000000" w:themeColor="text1"/>
        </w:rPr>
        <w:t>, 1154–1160 (2008).</w:t>
      </w:r>
    </w:p>
    <w:p w14:paraId="52E2D116" w14:textId="77777777" w:rsidR="009C3E63" w:rsidRPr="00D11245" w:rsidRDefault="009C3E63" w:rsidP="009C3E63">
      <w:pPr>
        <w:pStyle w:val="Bibliography"/>
        <w:rPr>
          <w:color w:val="000000" w:themeColor="text1"/>
        </w:rPr>
      </w:pPr>
      <w:r w:rsidRPr="00D11245">
        <w:rPr>
          <w:color w:val="000000" w:themeColor="text1"/>
        </w:rPr>
        <w:t>22.</w:t>
      </w:r>
      <w:r w:rsidRPr="00D11245">
        <w:rPr>
          <w:color w:val="000000" w:themeColor="text1"/>
        </w:rPr>
        <w:tab/>
        <w:t>Centers for Disease Control and Prevention (CDC). Amebiasis. https://www.cdc.gov/dpdx/amebiasis/.</w:t>
      </w:r>
    </w:p>
    <w:p w14:paraId="627C1155" w14:textId="77777777" w:rsidR="009C3E63" w:rsidRPr="00D11245" w:rsidRDefault="009C3E63" w:rsidP="009C3E63">
      <w:pPr>
        <w:pStyle w:val="Bibliography"/>
        <w:rPr>
          <w:color w:val="000000" w:themeColor="text1"/>
        </w:rPr>
      </w:pPr>
      <w:r w:rsidRPr="00D11245">
        <w:rPr>
          <w:color w:val="000000" w:themeColor="text1"/>
        </w:rPr>
        <w:t>23.</w:t>
      </w:r>
      <w:r w:rsidRPr="00D11245">
        <w:rPr>
          <w:color w:val="000000" w:themeColor="text1"/>
        </w:rPr>
        <w:tab/>
        <w:t xml:space="preserve">Nasrallah, J. </w:t>
      </w:r>
      <w:r w:rsidRPr="00D11245">
        <w:rPr>
          <w:i/>
          <w:iCs/>
          <w:color w:val="000000" w:themeColor="text1"/>
        </w:rPr>
        <w:t>et al.</w:t>
      </w:r>
      <w:r w:rsidRPr="00D11245">
        <w:rPr>
          <w:color w:val="000000" w:themeColor="text1"/>
        </w:rPr>
        <w:t xml:space="preserve"> Updates on the worldwide burden of amoebiasis: A case series and literature review. </w:t>
      </w:r>
      <w:r w:rsidRPr="00D11245">
        <w:rPr>
          <w:i/>
          <w:iCs/>
          <w:color w:val="000000" w:themeColor="text1"/>
        </w:rPr>
        <w:t>Journal of Infection and Public Health</w:t>
      </w:r>
      <w:r w:rsidRPr="00D11245">
        <w:rPr>
          <w:color w:val="000000" w:themeColor="text1"/>
        </w:rPr>
        <w:t xml:space="preserve"> </w:t>
      </w:r>
      <w:r w:rsidRPr="00D11245">
        <w:rPr>
          <w:b/>
          <w:bCs/>
          <w:color w:val="000000" w:themeColor="text1"/>
        </w:rPr>
        <w:t>15</w:t>
      </w:r>
      <w:r w:rsidRPr="00D11245">
        <w:rPr>
          <w:color w:val="000000" w:themeColor="text1"/>
        </w:rPr>
        <w:t>, 1134–1141 (2022).</w:t>
      </w:r>
    </w:p>
    <w:p w14:paraId="4CB1C9A3" w14:textId="77777777" w:rsidR="009C3E63" w:rsidRPr="00D11245" w:rsidRDefault="009C3E63" w:rsidP="009C3E63">
      <w:pPr>
        <w:pStyle w:val="Bibliography"/>
        <w:rPr>
          <w:color w:val="000000" w:themeColor="text1"/>
        </w:rPr>
      </w:pPr>
      <w:r w:rsidRPr="00D11245">
        <w:rPr>
          <w:color w:val="000000" w:themeColor="text1"/>
        </w:rPr>
        <w:lastRenderedPageBreak/>
        <w:t>24.</w:t>
      </w:r>
      <w:r w:rsidRPr="00D11245">
        <w:rPr>
          <w:color w:val="000000" w:themeColor="text1"/>
        </w:rPr>
        <w:tab/>
        <w:t xml:space="preserve">Gonzales, M., Dans, L. &amp; Sio‐Aguilar, J. Antiamoebic drugs for treating amoebic colitis. </w:t>
      </w:r>
      <w:r w:rsidRPr="00D11245">
        <w:rPr>
          <w:i/>
          <w:iCs/>
          <w:color w:val="000000" w:themeColor="text1"/>
        </w:rPr>
        <w:t>Cochrane Database of Systematic Reviews</w:t>
      </w:r>
      <w:r w:rsidRPr="00D11245">
        <w:rPr>
          <w:color w:val="000000" w:themeColor="text1"/>
        </w:rPr>
        <w:t xml:space="preserve"> (2019) doi:10.1002/14651858.CD006085.pub3.</w:t>
      </w:r>
    </w:p>
    <w:p w14:paraId="5B91514C" w14:textId="77777777" w:rsidR="009C3E63" w:rsidRPr="00D11245" w:rsidRDefault="009C3E63" w:rsidP="009C3E63">
      <w:pPr>
        <w:pStyle w:val="Bibliography"/>
        <w:rPr>
          <w:color w:val="000000" w:themeColor="text1"/>
        </w:rPr>
      </w:pPr>
      <w:r w:rsidRPr="00D11245">
        <w:rPr>
          <w:color w:val="000000" w:themeColor="text1"/>
        </w:rPr>
        <w:t>25.</w:t>
      </w:r>
      <w:r w:rsidRPr="00D11245">
        <w:rPr>
          <w:color w:val="000000" w:themeColor="text1"/>
        </w:rPr>
        <w:tab/>
        <w:t>UK Health Security Agency. UK Health Protection (Notification) Regulations 2010, https://www.legislation.gov.uk/uksi/2010/659.</w:t>
      </w:r>
    </w:p>
    <w:p w14:paraId="70E8BDB4" w14:textId="77777777" w:rsidR="009C3E63" w:rsidRPr="00D11245" w:rsidRDefault="009C3E63" w:rsidP="009C3E63">
      <w:pPr>
        <w:pStyle w:val="Bibliography"/>
        <w:rPr>
          <w:color w:val="000000" w:themeColor="text1"/>
        </w:rPr>
      </w:pPr>
      <w:r w:rsidRPr="00D11245">
        <w:rPr>
          <w:color w:val="000000" w:themeColor="text1"/>
        </w:rPr>
        <w:t>26.</w:t>
      </w:r>
      <w:r w:rsidRPr="00D11245">
        <w:rPr>
          <w:color w:val="000000" w:themeColor="text1"/>
        </w:rPr>
        <w:tab/>
        <w:t>Public Health England. Interim Public Health Operational Guidelines for Amoebiasis v1.0. (2017).</w:t>
      </w:r>
    </w:p>
    <w:p w14:paraId="2BC28E37" w14:textId="77777777" w:rsidR="009C3E63" w:rsidRPr="00D11245" w:rsidRDefault="009C3E63" w:rsidP="009C3E63">
      <w:pPr>
        <w:pStyle w:val="Bibliography"/>
        <w:rPr>
          <w:color w:val="000000" w:themeColor="text1"/>
        </w:rPr>
      </w:pPr>
      <w:r w:rsidRPr="00D11245">
        <w:rPr>
          <w:color w:val="000000" w:themeColor="text1"/>
        </w:rPr>
        <w:t>27.</w:t>
      </w:r>
      <w:r w:rsidRPr="00D11245">
        <w:rPr>
          <w:color w:val="000000" w:themeColor="text1"/>
        </w:rPr>
        <w:tab/>
        <w:t xml:space="preserve">Leder, K. GeoSentinel Surveillance of Illness in Returned Travelers, 2007–2011. </w:t>
      </w:r>
      <w:r w:rsidRPr="00D11245">
        <w:rPr>
          <w:i/>
          <w:iCs/>
          <w:color w:val="000000" w:themeColor="text1"/>
        </w:rPr>
        <w:t>Ann Intern Med</w:t>
      </w:r>
      <w:r w:rsidRPr="00D11245">
        <w:rPr>
          <w:color w:val="000000" w:themeColor="text1"/>
        </w:rPr>
        <w:t xml:space="preserve"> </w:t>
      </w:r>
      <w:r w:rsidRPr="00D11245">
        <w:rPr>
          <w:b/>
          <w:bCs/>
          <w:color w:val="000000" w:themeColor="text1"/>
        </w:rPr>
        <w:t>158</w:t>
      </w:r>
      <w:r w:rsidRPr="00D11245">
        <w:rPr>
          <w:color w:val="000000" w:themeColor="text1"/>
        </w:rPr>
        <w:t>, 456 (2013).</w:t>
      </w:r>
    </w:p>
    <w:p w14:paraId="61D69624" w14:textId="77777777" w:rsidR="009C3E63" w:rsidRPr="00D11245" w:rsidRDefault="009C3E63" w:rsidP="009C3E63">
      <w:pPr>
        <w:pStyle w:val="Bibliography"/>
        <w:rPr>
          <w:color w:val="000000" w:themeColor="text1"/>
        </w:rPr>
      </w:pPr>
      <w:r w:rsidRPr="00D11245">
        <w:rPr>
          <w:color w:val="000000" w:themeColor="text1"/>
        </w:rPr>
        <w:t>28.</w:t>
      </w:r>
      <w:r w:rsidRPr="00D11245">
        <w:rPr>
          <w:color w:val="000000" w:themeColor="text1"/>
        </w:rPr>
        <w:tab/>
        <w:t xml:space="preserve">Kinoo, S. M., Ramkelawon, V. V., Maharajh, J. &amp; Singh, B. Fulminant amoebic colitis in the era of computed tomography scan: A case report and review of the literature. </w:t>
      </w:r>
      <w:r w:rsidRPr="00D11245">
        <w:rPr>
          <w:i/>
          <w:iCs/>
          <w:color w:val="000000" w:themeColor="text1"/>
        </w:rPr>
        <w:t>Sa Journal of Radiology</w:t>
      </w:r>
      <w:r w:rsidRPr="00D11245">
        <w:rPr>
          <w:color w:val="000000" w:themeColor="text1"/>
        </w:rPr>
        <w:t xml:space="preserve"> </w:t>
      </w:r>
      <w:r w:rsidRPr="00D11245">
        <w:rPr>
          <w:b/>
          <w:bCs/>
          <w:color w:val="000000" w:themeColor="text1"/>
        </w:rPr>
        <w:t>22</w:t>
      </w:r>
      <w:r w:rsidRPr="00D11245">
        <w:rPr>
          <w:color w:val="000000" w:themeColor="text1"/>
        </w:rPr>
        <w:t>, a1354 (2018).</w:t>
      </w:r>
    </w:p>
    <w:p w14:paraId="004ACBD5" w14:textId="77777777" w:rsidR="009C3E63" w:rsidRPr="00D11245" w:rsidRDefault="009C3E63" w:rsidP="009C3E63">
      <w:pPr>
        <w:pStyle w:val="Bibliography"/>
        <w:rPr>
          <w:color w:val="000000" w:themeColor="text1"/>
        </w:rPr>
      </w:pPr>
      <w:r w:rsidRPr="00D11245">
        <w:rPr>
          <w:color w:val="000000" w:themeColor="text1"/>
        </w:rPr>
        <w:t>29.</w:t>
      </w:r>
      <w:r w:rsidRPr="00D11245">
        <w:rPr>
          <w:color w:val="000000" w:themeColor="text1"/>
        </w:rPr>
        <w:tab/>
        <w:t xml:space="preserve">Kantor M. </w:t>
      </w:r>
      <w:r w:rsidRPr="00D11245">
        <w:rPr>
          <w:i/>
          <w:iCs/>
          <w:color w:val="000000" w:themeColor="text1"/>
        </w:rPr>
        <w:t>et al.</w:t>
      </w:r>
      <w:r w:rsidRPr="00D11245">
        <w:rPr>
          <w:color w:val="000000" w:themeColor="text1"/>
        </w:rPr>
        <w:t xml:space="preserve"> Entamoeba Histolytica: Updates in Clinical Manifestation, Pathogenesis, and Vaccine Development. </w:t>
      </w:r>
      <w:r w:rsidRPr="00D11245">
        <w:rPr>
          <w:i/>
          <w:iCs/>
          <w:color w:val="000000" w:themeColor="text1"/>
        </w:rPr>
        <w:t>Can. J. Gastroenterol. Hepatol.</w:t>
      </w:r>
      <w:r w:rsidRPr="00D11245">
        <w:rPr>
          <w:color w:val="000000" w:themeColor="text1"/>
        </w:rPr>
        <w:t xml:space="preserve"> </w:t>
      </w:r>
      <w:r w:rsidRPr="00D11245">
        <w:rPr>
          <w:b/>
          <w:bCs/>
          <w:color w:val="000000" w:themeColor="text1"/>
        </w:rPr>
        <w:t>2018</w:t>
      </w:r>
      <w:r w:rsidRPr="00D11245">
        <w:rPr>
          <w:color w:val="000000" w:themeColor="text1"/>
        </w:rPr>
        <w:t>, 4601420 (2018).</w:t>
      </w:r>
    </w:p>
    <w:p w14:paraId="507A5B4E" w14:textId="77777777" w:rsidR="009C3E63" w:rsidRPr="00D11245" w:rsidRDefault="009C3E63" w:rsidP="009C3E63">
      <w:pPr>
        <w:pStyle w:val="Bibliography"/>
        <w:rPr>
          <w:color w:val="000000" w:themeColor="text1"/>
        </w:rPr>
      </w:pPr>
      <w:r w:rsidRPr="00D11245">
        <w:rPr>
          <w:color w:val="000000" w:themeColor="text1"/>
        </w:rPr>
        <w:t>30.</w:t>
      </w:r>
      <w:r w:rsidRPr="00D11245">
        <w:rPr>
          <w:color w:val="000000" w:themeColor="text1"/>
        </w:rPr>
        <w:tab/>
        <w:t xml:space="preserve">Davis M.J., Templeton S.F., Dickensheets D.L., &amp; Gross A.S. Massive perianal ulceration: Entamoeba histolytica and Candida albicans co-infection. </w:t>
      </w:r>
      <w:r w:rsidRPr="00D11245">
        <w:rPr>
          <w:i/>
          <w:iCs/>
          <w:color w:val="000000" w:themeColor="text1"/>
        </w:rPr>
        <w:t>JAAD Case Rep.</w:t>
      </w:r>
      <w:r w:rsidRPr="00D11245">
        <w:rPr>
          <w:color w:val="000000" w:themeColor="text1"/>
        </w:rPr>
        <w:t xml:space="preserve"> </w:t>
      </w:r>
      <w:r w:rsidRPr="00D11245">
        <w:rPr>
          <w:b/>
          <w:bCs/>
          <w:color w:val="000000" w:themeColor="text1"/>
        </w:rPr>
        <w:t>3</w:t>
      </w:r>
      <w:r w:rsidRPr="00D11245">
        <w:rPr>
          <w:color w:val="000000" w:themeColor="text1"/>
        </w:rPr>
        <w:t>, 553–555 (2017).</w:t>
      </w:r>
    </w:p>
    <w:p w14:paraId="010DB0A2" w14:textId="77777777" w:rsidR="009C3E63" w:rsidRPr="00D11245" w:rsidRDefault="009C3E63" w:rsidP="009C3E63">
      <w:pPr>
        <w:pStyle w:val="Bibliography"/>
        <w:rPr>
          <w:color w:val="000000" w:themeColor="text1"/>
        </w:rPr>
      </w:pPr>
      <w:r w:rsidRPr="00D11245">
        <w:rPr>
          <w:color w:val="000000" w:themeColor="text1"/>
        </w:rPr>
        <w:t>31.</w:t>
      </w:r>
      <w:r w:rsidRPr="00D11245">
        <w:rPr>
          <w:color w:val="000000" w:themeColor="text1"/>
        </w:rPr>
        <w:tab/>
        <w:t xml:space="preserve">Roure S. </w:t>
      </w:r>
      <w:r w:rsidRPr="00D11245">
        <w:rPr>
          <w:i/>
          <w:iCs/>
          <w:color w:val="000000" w:themeColor="text1"/>
        </w:rPr>
        <w:t>et al.</w:t>
      </w:r>
      <w:r w:rsidRPr="00D11245">
        <w:rPr>
          <w:color w:val="000000" w:themeColor="text1"/>
        </w:rPr>
        <w:t xml:space="preserve"> Approach to amoebic colitis: Epidemiological, clinical and diagnostic considerations in a non-endemic context (Barcelona, 2007-2017). </w:t>
      </w:r>
      <w:r w:rsidRPr="00D11245">
        <w:rPr>
          <w:i/>
          <w:iCs/>
          <w:color w:val="000000" w:themeColor="text1"/>
        </w:rPr>
        <w:t>PLoS ONE</w:t>
      </w:r>
      <w:r w:rsidRPr="00D11245">
        <w:rPr>
          <w:color w:val="000000" w:themeColor="text1"/>
        </w:rPr>
        <w:t xml:space="preserve"> </w:t>
      </w:r>
      <w:r w:rsidRPr="00D11245">
        <w:rPr>
          <w:b/>
          <w:bCs/>
          <w:color w:val="000000" w:themeColor="text1"/>
        </w:rPr>
        <w:t>14</w:t>
      </w:r>
      <w:r w:rsidRPr="00D11245">
        <w:rPr>
          <w:color w:val="000000" w:themeColor="text1"/>
        </w:rPr>
        <w:t>, e0212791 (2019).</w:t>
      </w:r>
    </w:p>
    <w:p w14:paraId="053DEAEE" w14:textId="77777777" w:rsidR="009C3E63" w:rsidRPr="00D11245" w:rsidRDefault="009C3E63" w:rsidP="009C3E63">
      <w:pPr>
        <w:pStyle w:val="Bibliography"/>
        <w:rPr>
          <w:color w:val="000000" w:themeColor="text1"/>
        </w:rPr>
      </w:pPr>
      <w:r w:rsidRPr="00D11245">
        <w:rPr>
          <w:color w:val="000000" w:themeColor="text1"/>
        </w:rPr>
        <w:t>32.</w:t>
      </w:r>
      <w:r w:rsidRPr="00D11245">
        <w:rPr>
          <w:color w:val="000000" w:themeColor="text1"/>
        </w:rPr>
        <w:tab/>
        <w:t xml:space="preserve">Peixoto A., Silva M., Vilas-Boas F., &amp; Macedo G. All that glitters is not gold. A different cause for an ‘ulcerative colitis’. </w:t>
      </w:r>
      <w:r w:rsidRPr="00D11245">
        <w:rPr>
          <w:i/>
          <w:iCs/>
          <w:color w:val="000000" w:themeColor="text1"/>
        </w:rPr>
        <w:t>Rev. Esp. Enferm. Dig.</w:t>
      </w:r>
      <w:r w:rsidRPr="00D11245">
        <w:rPr>
          <w:color w:val="000000" w:themeColor="text1"/>
        </w:rPr>
        <w:t xml:space="preserve"> </w:t>
      </w:r>
      <w:r w:rsidRPr="00D11245">
        <w:rPr>
          <w:b/>
          <w:bCs/>
          <w:color w:val="000000" w:themeColor="text1"/>
        </w:rPr>
        <w:t>109</w:t>
      </w:r>
      <w:r w:rsidRPr="00D11245">
        <w:rPr>
          <w:color w:val="000000" w:themeColor="text1"/>
        </w:rPr>
        <w:t>, 64 (2017).</w:t>
      </w:r>
    </w:p>
    <w:p w14:paraId="336A6928" w14:textId="77777777" w:rsidR="009C3E63" w:rsidRPr="00D11245" w:rsidRDefault="009C3E63" w:rsidP="009C3E63">
      <w:pPr>
        <w:pStyle w:val="Bibliography"/>
        <w:rPr>
          <w:color w:val="000000" w:themeColor="text1"/>
        </w:rPr>
      </w:pPr>
      <w:r w:rsidRPr="00D11245">
        <w:rPr>
          <w:color w:val="000000" w:themeColor="text1"/>
        </w:rPr>
        <w:t>33.</w:t>
      </w:r>
      <w:r w:rsidRPr="00D11245">
        <w:rPr>
          <w:color w:val="000000" w:themeColor="text1"/>
        </w:rPr>
        <w:tab/>
        <w:t xml:space="preserve">Chahine E. </w:t>
      </w:r>
      <w:r w:rsidRPr="00D11245">
        <w:rPr>
          <w:i/>
          <w:iCs/>
          <w:color w:val="000000" w:themeColor="text1"/>
        </w:rPr>
        <w:t>et al.</w:t>
      </w:r>
      <w:r w:rsidRPr="00D11245">
        <w:rPr>
          <w:color w:val="000000" w:themeColor="text1"/>
        </w:rPr>
        <w:t xml:space="preserve"> Complete resolution of obstructive colonic amebic pseudotumor with conservative treatment: A case report and literature review. </w:t>
      </w:r>
      <w:r w:rsidRPr="00D11245">
        <w:rPr>
          <w:i/>
          <w:iCs/>
          <w:color w:val="000000" w:themeColor="text1"/>
        </w:rPr>
        <w:t>Int. J. Surg. Case Rep.</w:t>
      </w:r>
      <w:r w:rsidRPr="00D11245">
        <w:rPr>
          <w:color w:val="000000" w:themeColor="text1"/>
        </w:rPr>
        <w:t xml:space="preserve"> </w:t>
      </w:r>
      <w:r w:rsidRPr="00D11245">
        <w:rPr>
          <w:b/>
          <w:bCs/>
          <w:color w:val="000000" w:themeColor="text1"/>
        </w:rPr>
        <w:t>59</w:t>
      </w:r>
      <w:r w:rsidRPr="00D11245">
        <w:rPr>
          <w:color w:val="000000" w:themeColor="text1"/>
        </w:rPr>
        <w:t>, 1–3 (2019).</w:t>
      </w:r>
    </w:p>
    <w:p w14:paraId="1450E774" w14:textId="77777777" w:rsidR="009C3E63" w:rsidRPr="00D11245" w:rsidRDefault="009C3E63" w:rsidP="009C3E63">
      <w:pPr>
        <w:pStyle w:val="Bibliography"/>
        <w:rPr>
          <w:color w:val="000000" w:themeColor="text1"/>
        </w:rPr>
      </w:pPr>
      <w:r w:rsidRPr="00D11245">
        <w:rPr>
          <w:color w:val="000000" w:themeColor="text1"/>
        </w:rPr>
        <w:t>34.</w:t>
      </w:r>
      <w:r w:rsidRPr="00D11245">
        <w:rPr>
          <w:color w:val="000000" w:themeColor="text1"/>
        </w:rPr>
        <w:tab/>
        <w:t xml:space="preserve">Misra, S., Sakhuja, P., Agarwal, A. K. &amp; Javed, A. Fulminant amebic colitis: An unusual postoperative complication of intraabdominal malignancy. </w:t>
      </w:r>
      <w:r w:rsidRPr="00D11245">
        <w:rPr>
          <w:i/>
          <w:iCs/>
          <w:color w:val="000000" w:themeColor="text1"/>
        </w:rPr>
        <w:t>J Postgrad Med</w:t>
      </w:r>
      <w:r w:rsidRPr="00D11245">
        <w:rPr>
          <w:color w:val="000000" w:themeColor="text1"/>
        </w:rPr>
        <w:t xml:space="preserve"> </w:t>
      </w:r>
      <w:r w:rsidRPr="00D11245">
        <w:rPr>
          <w:b/>
          <w:bCs/>
          <w:color w:val="000000" w:themeColor="text1"/>
        </w:rPr>
        <w:t>66</w:t>
      </w:r>
      <w:r w:rsidRPr="00D11245">
        <w:rPr>
          <w:color w:val="000000" w:themeColor="text1"/>
        </w:rPr>
        <w:t>, 99–101 (2020).</w:t>
      </w:r>
    </w:p>
    <w:p w14:paraId="7ECBFF00" w14:textId="77777777" w:rsidR="009C3E63" w:rsidRPr="00D11245" w:rsidRDefault="009C3E63" w:rsidP="009C3E63">
      <w:pPr>
        <w:pStyle w:val="Bibliography"/>
        <w:rPr>
          <w:color w:val="000000" w:themeColor="text1"/>
        </w:rPr>
      </w:pPr>
      <w:r w:rsidRPr="00D11245">
        <w:rPr>
          <w:color w:val="000000" w:themeColor="text1"/>
        </w:rPr>
        <w:lastRenderedPageBreak/>
        <w:t>35.</w:t>
      </w:r>
      <w:r w:rsidRPr="00D11245">
        <w:rPr>
          <w:color w:val="000000" w:themeColor="text1"/>
        </w:rPr>
        <w:tab/>
        <w:t xml:space="preserve">Istre, G. R. </w:t>
      </w:r>
      <w:r w:rsidRPr="00D11245">
        <w:rPr>
          <w:i/>
          <w:iCs/>
          <w:color w:val="000000" w:themeColor="text1"/>
        </w:rPr>
        <w:t>et al.</w:t>
      </w:r>
      <w:r w:rsidRPr="00D11245">
        <w:rPr>
          <w:color w:val="000000" w:themeColor="text1"/>
        </w:rPr>
        <w:t xml:space="preserve"> An Outbreak of Amebiasis Spread by Colonic Irrigation at a Chiropractic Clinic. </w:t>
      </w:r>
      <w:r w:rsidRPr="00D11245">
        <w:rPr>
          <w:i/>
          <w:iCs/>
          <w:color w:val="000000" w:themeColor="text1"/>
        </w:rPr>
        <w:t>N Engl J Med</w:t>
      </w:r>
      <w:r w:rsidRPr="00D11245">
        <w:rPr>
          <w:color w:val="000000" w:themeColor="text1"/>
        </w:rPr>
        <w:t xml:space="preserve"> </w:t>
      </w:r>
      <w:r w:rsidRPr="00D11245">
        <w:rPr>
          <w:b/>
          <w:bCs/>
          <w:color w:val="000000" w:themeColor="text1"/>
        </w:rPr>
        <w:t>307</w:t>
      </w:r>
      <w:r w:rsidRPr="00D11245">
        <w:rPr>
          <w:color w:val="000000" w:themeColor="text1"/>
        </w:rPr>
        <w:t>, 339–342 (1982).</w:t>
      </w:r>
    </w:p>
    <w:p w14:paraId="7302B1D9" w14:textId="77777777" w:rsidR="009C3E63" w:rsidRPr="00D11245" w:rsidRDefault="009C3E63" w:rsidP="009C3E63">
      <w:pPr>
        <w:pStyle w:val="Bibliography"/>
        <w:rPr>
          <w:color w:val="000000" w:themeColor="text1"/>
        </w:rPr>
      </w:pPr>
      <w:r w:rsidRPr="00D11245">
        <w:rPr>
          <w:color w:val="000000" w:themeColor="text1"/>
        </w:rPr>
        <w:t>36.</w:t>
      </w:r>
      <w:r w:rsidRPr="00D11245">
        <w:rPr>
          <w:color w:val="000000" w:themeColor="text1"/>
        </w:rPr>
        <w:tab/>
        <w:t xml:space="preserve">Markell, E. K. The 1933 Chicago outbreak of amebiasis. </w:t>
      </w:r>
      <w:r w:rsidRPr="00D11245">
        <w:rPr>
          <w:i/>
          <w:iCs/>
          <w:color w:val="000000" w:themeColor="text1"/>
        </w:rPr>
        <w:t>West J Med</w:t>
      </w:r>
      <w:r w:rsidRPr="00D11245">
        <w:rPr>
          <w:color w:val="000000" w:themeColor="text1"/>
        </w:rPr>
        <w:t xml:space="preserve"> </w:t>
      </w:r>
      <w:r w:rsidRPr="00D11245">
        <w:rPr>
          <w:b/>
          <w:bCs/>
          <w:color w:val="000000" w:themeColor="text1"/>
        </w:rPr>
        <w:t>144</w:t>
      </w:r>
      <w:r w:rsidRPr="00D11245">
        <w:rPr>
          <w:color w:val="000000" w:themeColor="text1"/>
        </w:rPr>
        <w:t>, 750 (1986).</w:t>
      </w:r>
    </w:p>
    <w:p w14:paraId="496DCA64" w14:textId="77777777" w:rsidR="009C3E63" w:rsidRPr="00D11245" w:rsidRDefault="009C3E63" w:rsidP="009C3E63">
      <w:pPr>
        <w:pStyle w:val="Bibliography"/>
        <w:rPr>
          <w:color w:val="000000" w:themeColor="text1"/>
        </w:rPr>
      </w:pPr>
      <w:r w:rsidRPr="00D11245">
        <w:rPr>
          <w:color w:val="000000" w:themeColor="text1"/>
        </w:rPr>
        <w:t>37.</w:t>
      </w:r>
      <w:r w:rsidRPr="00D11245">
        <w:rPr>
          <w:color w:val="000000" w:themeColor="text1"/>
        </w:rPr>
        <w:tab/>
        <w:t xml:space="preserve">Hung, C.-C., Chang, S.-Y. &amp; Ji, D.-D. Entamoeba histolytica infection in men who have sex with men. </w:t>
      </w:r>
      <w:r w:rsidRPr="00D11245">
        <w:rPr>
          <w:i/>
          <w:iCs/>
          <w:color w:val="000000" w:themeColor="text1"/>
        </w:rPr>
        <w:t>The Lancet. Infectious diseases</w:t>
      </w:r>
      <w:r w:rsidRPr="00D11245">
        <w:rPr>
          <w:color w:val="000000" w:themeColor="text1"/>
        </w:rPr>
        <w:t xml:space="preserve"> </w:t>
      </w:r>
      <w:r w:rsidRPr="00D11245">
        <w:rPr>
          <w:b/>
          <w:bCs/>
          <w:color w:val="000000" w:themeColor="text1"/>
        </w:rPr>
        <w:t>12</w:t>
      </w:r>
      <w:r w:rsidRPr="00D11245">
        <w:rPr>
          <w:color w:val="000000" w:themeColor="text1"/>
        </w:rPr>
        <w:t>, 729–36 (2012).</w:t>
      </w:r>
    </w:p>
    <w:p w14:paraId="13FA4236" w14:textId="77777777" w:rsidR="009C3E63" w:rsidRPr="00D11245" w:rsidRDefault="009C3E63" w:rsidP="009C3E63">
      <w:pPr>
        <w:pStyle w:val="Bibliography"/>
        <w:rPr>
          <w:color w:val="000000" w:themeColor="text1"/>
        </w:rPr>
      </w:pPr>
      <w:r w:rsidRPr="00D11245">
        <w:rPr>
          <w:color w:val="000000" w:themeColor="text1"/>
        </w:rPr>
        <w:t>38.</w:t>
      </w:r>
      <w:r w:rsidRPr="00D11245">
        <w:rPr>
          <w:color w:val="000000" w:themeColor="text1"/>
        </w:rPr>
        <w:tab/>
        <w:t xml:space="preserve">Escolà-Vergé, L. </w:t>
      </w:r>
      <w:r w:rsidRPr="00D11245">
        <w:rPr>
          <w:i/>
          <w:iCs/>
          <w:color w:val="000000" w:themeColor="text1"/>
        </w:rPr>
        <w:t>et al.</w:t>
      </w:r>
      <w:r w:rsidRPr="00D11245">
        <w:rPr>
          <w:color w:val="000000" w:themeColor="text1"/>
        </w:rPr>
        <w:t xml:space="preserve"> Outbreak of intestinal amoebiasis among men who have sex with men, Barcelona (Spain), October 2016 and January 2017. </w:t>
      </w:r>
      <w:r w:rsidRPr="00D11245">
        <w:rPr>
          <w:i/>
          <w:iCs/>
          <w:color w:val="000000" w:themeColor="text1"/>
        </w:rPr>
        <w:t>Euro surveillance : bulletin Europeen sur les maladies transmissibles = European communicable disease bulletin</w:t>
      </w:r>
      <w:r w:rsidRPr="00D11245">
        <w:rPr>
          <w:color w:val="000000" w:themeColor="text1"/>
        </w:rPr>
        <w:t xml:space="preserve"> </w:t>
      </w:r>
      <w:r w:rsidRPr="00D11245">
        <w:rPr>
          <w:b/>
          <w:bCs/>
          <w:color w:val="000000" w:themeColor="text1"/>
        </w:rPr>
        <w:t>22</w:t>
      </w:r>
      <w:r w:rsidRPr="00D11245">
        <w:rPr>
          <w:color w:val="000000" w:themeColor="text1"/>
        </w:rPr>
        <w:t>, (2017).</w:t>
      </w:r>
    </w:p>
    <w:p w14:paraId="02CAC9F8" w14:textId="77777777" w:rsidR="009C3E63" w:rsidRPr="00D11245" w:rsidRDefault="009C3E63" w:rsidP="009C3E63">
      <w:pPr>
        <w:pStyle w:val="Bibliography"/>
        <w:rPr>
          <w:color w:val="000000" w:themeColor="text1"/>
        </w:rPr>
      </w:pPr>
      <w:r w:rsidRPr="00D11245">
        <w:rPr>
          <w:color w:val="000000" w:themeColor="text1"/>
        </w:rPr>
        <w:t>39.</w:t>
      </w:r>
      <w:r w:rsidRPr="00D11245">
        <w:rPr>
          <w:color w:val="000000" w:themeColor="text1"/>
        </w:rPr>
        <w:tab/>
        <w:t xml:space="preserve">James, R., Barratt, J., Marriott, D., Harkness, J. &amp; Stark, D. Seroprevalence of Entamoeba histolytica infection among men who have sex with men in Sydney, Australia. </w:t>
      </w:r>
      <w:r w:rsidRPr="00D11245">
        <w:rPr>
          <w:i/>
          <w:iCs/>
          <w:color w:val="000000" w:themeColor="text1"/>
        </w:rPr>
        <w:t>Am J Trop Med Hyg</w:t>
      </w:r>
      <w:r w:rsidRPr="00D11245">
        <w:rPr>
          <w:color w:val="000000" w:themeColor="text1"/>
        </w:rPr>
        <w:t xml:space="preserve"> </w:t>
      </w:r>
      <w:r w:rsidRPr="00D11245">
        <w:rPr>
          <w:b/>
          <w:bCs/>
          <w:color w:val="000000" w:themeColor="text1"/>
        </w:rPr>
        <w:t>83</w:t>
      </w:r>
      <w:r w:rsidRPr="00D11245">
        <w:rPr>
          <w:color w:val="000000" w:themeColor="text1"/>
        </w:rPr>
        <w:t>, 914–6 (2010).</w:t>
      </w:r>
    </w:p>
    <w:p w14:paraId="38B2D2FC" w14:textId="77777777" w:rsidR="009C3E63" w:rsidRPr="00D11245" w:rsidRDefault="009C3E63" w:rsidP="009C3E63">
      <w:pPr>
        <w:pStyle w:val="Bibliography"/>
        <w:rPr>
          <w:color w:val="000000" w:themeColor="text1"/>
        </w:rPr>
      </w:pPr>
      <w:r w:rsidRPr="00D11245">
        <w:rPr>
          <w:color w:val="000000" w:themeColor="text1"/>
        </w:rPr>
        <w:t>40.</w:t>
      </w:r>
      <w:r w:rsidRPr="00D11245">
        <w:rPr>
          <w:color w:val="000000" w:themeColor="text1"/>
        </w:rPr>
        <w:tab/>
        <w:t xml:space="preserve">Negata, N. </w:t>
      </w:r>
      <w:r w:rsidRPr="00D11245">
        <w:rPr>
          <w:i/>
          <w:iCs/>
          <w:color w:val="000000" w:themeColor="text1"/>
        </w:rPr>
        <w:t>et al.</w:t>
      </w:r>
      <w:r w:rsidRPr="00D11245">
        <w:rPr>
          <w:color w:val="000000" w:themeColor="text1"/>
        </w:rPr>
        <w:t xml:space="preserve"> Risk Factors for Intestinal Invasive Amebiasis in Japan, 2003-2009. </w:t>
      </w:r>
      <w:r w:rsidRPr="00D11245">
        <w:rPr>
          <w:i/>
          <w:iCs/>
          <w:color w:val="000000" w:themeColor="text1"/>
        </w:rPr>
        <w:t>Emerging Infectious Diseases</w:t>
      </w:r>
      <w:r w:rsidRPr="00D11245">
        <w:rPr>
          <w:color w:val="000000" w:themeColor="text1"/>
        </w:rPr>
        <w:t xml:space="preserve"> </w:t>
      </w:r>
      <w:r w:rsidRPr="00D11245">
        <w:rPr>
          <w:b/>
          <w:bCs/>
          <w:color w:val="000000" w:themeColor="text1"/>
        </w:rPr>
        <w:t>18</w:t>
      </w:r>
      <w:r w:rsidRPr="00D11245">
        <w:rPr>
          <w:color w:val="000000" w:themeColor="text1"/>
        </w:rPr>
        <w:t>, 717–724 (2012).</w:t>
      </w:r>
    </w:p>
    <w:p w14:paraId="3F54E79D" w14:textId="77777777" w:rsidR="009C3E63" w:rsidRPr="00D11245" w:rsidRDefault="009C3E63" w:rsidP="009C3E63">
      <w:pPr>
        <w:pStyle w:val="Bibliography"/>
        <w:rPr>
          <w:color w:val="000000" w:themeColor="text1"/>
        </w:rPr>
      </w:pPr>
      <w:r w:rsidRPr="00D11245">
        <w:rPr>
          <w:color w:val="000000" w:themeColor="text1"/>
        </w:rPr>
        <w:t>41.</w:t>
      </w:r>
      <w:r w:rsidRPr="00D11245">
        <w:rPr>
          <w:color w:val="000000" w:themeColor="text1"/>
        </w:rPr>
        <w:tab/>
        <w:t xml:space="preserve">Timsit B.L., Deroux A., Lugosi M., Colombe B., &amp; Bouillet L. Amoebosis: May sexual transmission be an underestimated way of contamination? </w:t>
      </w:r>
      <w:r w:rsidRPr="00D11245">
        <w:rPr>
          <w:i/>
          <w:iCs/>
          <w:color w:val="000000" w:themeColor="text1"/>
        </w:rPr>
        <w:t>Rev. Med. Interne</w:t>
      </w:r>
      <w:r w:rsidRPr="00D11245">
        <w:rPr>
          <w:color w:val="000000" w:themeColor="text1"/>
        </w:rPr>
        <w:t xml:space="preserve"> </w:t>
      </w:r>
      <w:r w:rsidRPr="00D11245">
        <w:rPr>
          <w:b/>
          <w:bCs/>
          <w:color w:val="000000" w:themeColor="text1"/>
        </w:rPr>
        <w:t>39</w:t>
      </w:r>
      <w:r w:rsidRPr="00D11245">
        <w:rPr>
          <w:color w:val="000000" w:themeColor="text1"/>
        </w:rPr>
        <w:t>, 586–588 (2018).</w:t>
      </w:r>
    </w:p>
    <w:p w14:paraId="37464941" w14:textId="77777777" w:rsidR="009C3E63" w:rsidRPr="00D11245" w:rsidRDefault="009C3E63" w:rsidP="009C3E63">
      <w:pPr>
        <w:pStyle w:val="Bibliography"/>
        <w:rPr>
          <w:color w:val="000000" w:themeColor="text1"/>
        </w:rPr>
      </w:pPr>
      <w:r w:rsidRPr="00D11245">
        <w:rPr>
          <w:color w:val="000000" w:themeColor="text1"/>
        </w:rPr>
        <w:t>42.</w:t>
      </w:r>
      <w:r w:rsidRPr="00D11245">
        <w:rPr>
          <w:color w:val="000000" w:themeColor="text1"/>
        </w:rPr>
        <w:tab/>
        <w:t>Billet, A. C., Salmon Rousseau, A., Piroth, L. &amp; Martins, C. An underestimated sexually transmitted infection: amoebiasis. (2019).</w:t>
      </w:r>
    </w:p>
    <w:p w14:paraId="1E750693" w14:textId="77777777" w:rsidR="009C3E63" w:rsidRPr="00D11245" w:rsidRDefault="009C3E63" w:rsidP="009C3E63">
      <w:pPr>
        <w:pStyle w:val="Bibliography"/>
        <w:rPr>
          <w:color w:val="000000" w:themeColor="text1"/>
        </w:rPr>
      </w:pPr>
      <w:r w:rsidRPr="00D11245">
        <w:rPr>
          <w:color w:val="000000" w:themeColor="text1"/>
        </w:rPr>
        <w:t>43.</w:t>
      </w:r>
      <w:r w:rsidRPr="00D11245">
        <w:rPr>
          <w:color w:val="000000" w:themeColor="text1"/>
        </w:rPr>
        <w:tab/>
        <w:t xml:space="preserve">de Valdoleiros, S. R., Carvalho, J. A., Goncalves, C., Vasconcelos, O. &amp; Sarmento-Castro, R. Nontravel-related invasive Entamoeba histolytica infection with probable heterosexual transmission. </w:t>
      </w:r>
      <w:r w:rsidRPr="00D11245">
        <w:rPr>
          <w:i/>
          <w:iCs/>
          <w:color w:val="000000" w:themeColor="text1"/>
        </w:rPr>
        <w:t>Idcases</w:t>
      </w:r>
      <w:r w:rsidRPr="00D11245">
        <w:rPr>
          <w:color w:val="000000" w:themeColor="text1"/>
        </w:rPr>
        <w:t xml:space="preserve"> </w:t>
      </w:r>
      <w:r w:rsidRPr="00D11245">
        <w:rPr>
          <w:b/>
          <w:bCs/>
          <w:color w:val="000000" w:themeColor="text1"/>
        </w:rPr>
        <w:t>18</w:t>
      </w:r>
      <w:r w:rsidRPr="00D11245">
        <w:rPr>
          <w:color w:val="000000" w:themeColor="text1"/>
        </w:rPr>
        <w:t>, e00592 (2019).</w:t>
      </w:r>
    </w:p>
    <w:p w14:paraId="0A8A0594" w14:textId="77777777" w:rsidR="009C3E63" w:rsidRPr="00D11245" w:rsidRDefault="009C3E63" w:rsidP="009C3E63">
      <w:pPr>
        <w:pStyle w:val="Bibliography"/>
        <w:rPr>
          <w:color w:val="000000" w:themeColor="text1"/>
        </w:rPr>
      </w:pPr>
      <w:r w:rsidRPr="00D11245">
        <w:rPr>
          <w:color w:val="000000" w:themeColor="text1"/>
        </w:rPr>
        <w:t>44.</w:t>
      </w:r>
      <w:r w:rsidRPr="00D11245">
        <w:rPr>
          <w:color w:val="000000" w:themeColor="text1"/>
        </w:rPr>
        <w:tab/>
        <w:t xml:space="preserve">Gunther, J., Shafir, S., Bristow, B. &amp; Sorvillo, F. Short Report: Amebiasis-Related Mortality among United States Residents, 1990-2007. </w:t>
      </w:r>
      <w:r w:rsidRPr="00D11245">
        <w:rPr>
          <w:i/>
          <w:iCs/>
          <w:color w:val="000000" w:themeColor="text1"/>
        </w:rPr>
        <w:t>American Journal of Tropical Medicine and Hygiene</w:t>
      </w:r>
      <w:r w:rsidRPr="00D11245">
        <w:rPr>
          <w:color w:val="000000" w:themeColor="text1"/>
        </w:rPr>
        <w:t xml:space="preserve"> </w:t>
      </w:r>
      <w:r w:rsidRPr="00D11245">
        <w:rPr>
          <w:b/>
          <w:bCs/>
          <w:color w:val="000000" w:themeColor="text1"/>
        </w:rPr>
        <w:t>85</w:t>
      </w:r>
      <w:r w:rsidRPr="00D11245">
        <w:rPr>
          <w:color w:val="000000" w:themeColor="text1"/>
        </w:rPr>
        <w:t>, 1038–1040 (2011).</w:t>
      </w:r>
    </w:p>
    <w:p w14:paraId="6C04BFE0" w14:textId="77777777" w:rsidR="009C3E63" w:rsidRPr="00D11245" w:rsidRDefault="009C3E63" w:rsidP="009C3E63">
      <w:pPr>
        <w:pStyle w:val="Bibliography"/>
        <w:rPr>
          <w:color w:val="000000" w:themeColor="text1"/>
        </w:rPr>
      </w:pPr>
      <w:r w:rsidRPr="00D11245">
        <w:rPr>
          <w:color w:val="000000" w:themeColor="text1"/>
        </w:rPr>
        <w:t>45.</w:t>
      </w:r>
      <w:r w:rsidRPr="00D11245">
        <w:rPr>
          <w:color w:val="000000" w:themeColor="text1"/>
        </w:rPr>
        <w:tab/>
        <w:t xml:space="preserve">Ishioka H., Umezawa M., &amp; Hatakeyama S. Fulminant amebic colitis in an HIV-infected homosexual man. </w:t>
      </w:r>
      <w:r w:rsidRPr="00D11245">
        <w:rPr>
          <w:i/>
          <w:iCs/>
          <w:color w:val="000000" w:themeColor="text1"/>
        </w:rPr>
        <w:t>Intern. Med.</w:t>
      </w:r>
      <w:r w:rsidRPr="00D11245">
        <w:rPr>
          <w:color w:val="000000" w:themeColor="text1"/>
        </w:rPr>
        <w:t xml:space="preserve"> </w:t>
      </w:r>
      <w:r w:rsidRPr="00D11245">
        <w:rPr>
          <w:b/>
          <w:bCs/>
          <w:color w:val="000000" w:themeColor="text1"/>
        </w:rPr>
        <w:t>50</w:t>
      </w:r>
      <w:r w:rsidRPr="00D11245">
        <w:rPr>
          <w:color w:val="000000" w:themeColor="text1"/>
        </w:rPr>
        <w:t>, 2851–2854 (2011).</w:t>
      </w:r>
    </w:p>
    <w:p w14:paraId="0D41EEA9" w14:textId="77777777" w:rsidR="009C3E63" w:rsidRPr="00D11245" w:rsidRDefault="009C3E63" w:rsidP="009C3E63">
      <w:pPr>
        <w:pStyle w:val="Bibliography"/>
        <w:rPr>
          <w:color w:val="000000" w:themeColor="text1"/>
        </w:rPr>
      </w:pPr>
      <w:r w:rsidRPr="00D11245">
        <w:rPr>
          <w:color w:val="000000" w:themeColor="text1"/>
        </w:rPr>
        <w:lastRenderedPageBreak/>
        <w:t>46.</w:t>
      </w:r>
      <w:r w:rsidRPr="00D11245">
        <w:rPr>
          <w:color w:val="000000" w:themeColor="text1"/>
        </w:rPr>
        <w:tab/>
        <w:t xml:space="preserve">Fleming R. </w:t>
      </w:r>
      <w:r w:rsidRPr="00D11245">
        <w:rPr>
          <w:i/>
          <w:iCs/>
          <w:color w:val="000000" w:themeColor="text1"/>
        </w:rPr>
        <w:t>et al.</w:t>
      </w:r>
      <w:r w:rsidRPr="00D11245">
        <w:rPr>
          <w:color w:val="000000" w:themeColor="text1"/>
        </w:rPr>
        <w:t xml:space="preserve"> Clinical manifestations and endoscopic findings of amebic colitis in a United States-Mexico border city: a case series. </w:t>
      </w:r>
      <w:r w:rsidRPr="00D11245">
        <w:rPr>
          <w:i/>
          <w:iCs/>
          <w:color w:val="000000" w:themeColor="text1"/>
        </w:rPr>
        <w:t>BMC Res Notes</w:t>
      </w:r>
      <w:r w:rsidRPr="00D11245">
        <w:rPr>
          <w:color w:val="000000" w:themeColor="text1"/>
        </w:rPr>
        <w:t xml:space="preserve"> </w:t>
      </w:r>
      <w:r w:rsidRPr="00D11245">
        <w:rPr>
          <w:b/>
          <w:bCs/>
          <w:color w:val="000000" w:themeColor="text1"/>
        </w:rPr>
        <w:t>8</w:t>
      </w:r>
      <w:r w:rsidRPr="00D11245">
        <w:rPr>
          <w:color w:val="000000" w:themeColor="text1"/>
        </w:rPr>
        <w:t>, 781 (2015).</w:t>
      </w:r>
    </w:p>
    <w:p w14:paraId="356D8DA8" w14:textId="77777777" w:rsidR="009C3E63" w:rsidRPr="00D11245" w:rsidRDefault="009C3E63" w:rsidP="009C3E63">
      <w:pPr>
        <w:pStyle w:val="Bibliography"/>
        <w:rPr>
          <w:color w:val="000000" w:themeColor="text1"/>
        </w:rPr>
      </w:pPr>
      <w:r w:rsidRPr="00D11245">
        <w:rPr>
          <w:color w:val="000000" w:themeColor="text1"/>
        </w:rPr>
        <w:t>47.</w:t>
      </w:r>
      <w:r w:rsidRPr="00D11245">
        <w:rPr>
          <w:color w:val="000000" w:themeColor="text1"/>
        </w:rPr>
        <w:tab/>
        <w:t xml:space="preserve">Nagata, N. </w:t>
      </w:r>
      <w:r w:rsidRPr="00D11245">
        <w:rPr>
          <w:i/>
          <w:iCs/>
          <w:color w:val="000000" w:themeColor="text1"/>
        </w:rPr>
        <w:t>et al.</w:t>
      </w:r>
      <w:r w:rsidRPr="00D11245">
        <w:rPr>
          <w:color w:val="000000" w:themeColor="text1"/>
        </w:rPr>
        <w:t xml:space="preserve"> Predictive value of endoscopic findings in the diagnosis of active intestinal amebiasis. </w:t>
      </w:r>
      <w:r w:rsidRPr="00D11245">
        <w:rPr>
          <w:i/>
          <w:iCs/>
          <w:color w:val="000000" w:themeColor="text1"/>
        </w:rPr>
        <w:t>Endoscopy</w:t>
      </w:r>
      <w:r w:rsidRPr="00D11245">
        <w:rPr>
          <w:color w:val="000000" w:themeColor="text1"/>
        </w:rPr>
        <w:t xml:space="preserve"> </w:t>
      </w:r>
      <w:r w:rsidRPr="00D11245">
        <w:rPr>
          <w:b/>
          <w:bCs/>
          <w:color w:val="000000" w:themeColor="text1"/>
        </w:rPr>
        <w:t>44</w:t>
      </w:r>
      <w:r w:rsidRPr="00D11245">
        <w:rPr>
          <w:color w:val="000000" w:themeColor="text1"/>
        </w:rPr>
        <w:t>, 425–428 (2012).</w:t>
      </w:r>
    </w:p>
    <w:p w14:paraId="46E02BB7" w14:textId="77777777" w:rsidR="009C3E63" w:rsidRPr="00D11245" w:rsidRDefault="009C3E63" w:rsidP="009C3E63">
      <w:pPr>
        <w:pStyle w:val="Bibliography"/>
        <w:rPr>
          <w:color w:val="000000" w:themeColor="text1"/>
        </w:rPr>
      </w:pPr>
      <w:r w:rsidRPr="00D11245">
        <w:rPr>
          <w:color w:val="000000" w:themeColor="text1"/>
        </w:rPr>
        <w:t>48.</w:t>
      </w:r>
      <w:r w:rsidRPr="00D11245">
        <w:rPr>
          <w:color w:val="000000" w:themeColor="text1"/>
        </w:rPr>
        <w:tab/>
        <w:t xml:space="preserve">Samie, A. </w:t>
      </w:r>
      <w:r w:rsidRPr="00D11245">
        <w:rPr>
          <w:i/>
          <w:iCs/>
          <w:color w:val="000000" w:themeColor="text1"/>
        </w:rPr>
        <w:t>et al.</w:t>
      </w:r>
      <w:r w:rsidRPr="00D11245">
        <w:rPr>
          <w:color w:val="000000" w:themeColor="text1"/>
        </w:rPr>
        <w:t xml:space="preserve"> Seroprevalence of Entamoeba histolytica in the context of HIV and AIDS: the case of Vhembe district, in South Africa’s Limpopo province. </w:t>
      </w:r>
      <w:r w:rsidRPr="00D11245">
        <w:rPr>
          <w:i/>
          <w:iCs/>
          <w:color w:val="000000" w:themeColor="text1"/>
        </w:rPr>
        <w:t>Annals of Tropical Medicine and Parasitology</w:t>
      </w:r>
      <w:r w:rsidRPr="00D11245">
        <w:rPr>
          <w:color w:val="000000" w:themeColor="text1"/>
        </w:rPr>
        <w:t xml:space="preserve"> </w:t>
      </w:r>
      <w:r w:rsidRPr="00D11245">
        <w:rPr>
          <w:b/>
          <w:bCs/>
          <w:color w:val="000000" w:themeColor="text1"/>
        </w:rPr>
        <w:t>104</w:t>
      </w:r>
      <w:r w:rsidRPr="00D11245">
        <w:rPr>
          <w:color w:val="000000" w:themeColor="text1"/>
        </w:rPr>
        <w:t>, 55–63 (2010).</w:t>
      </w:r>
    </w:p>
    <w:p w14:paraId="20F9E279" w14:textId="77777777" w:rsidR="009C3E63" w:rsidRPr="00D11245" w:rsidRDefault="009C3E63" w:rsidP="009C3E63">
      <w:pPr>
        <w:pStyle w:val="Bibliography"/>
        <w:rPr>
          <w:color w:val="000000" w:themeColor="text1"/>
        </w:rPr>
      </w:pPr>
      <w:r w:rsidRPr="00D11245">
        <w:rPr>
          <w:color w:val="000000" w:themeColor="text1"/>
        </w:rPr>
        <w:t>49.</w:t>
      </w:r>
      <w:r w:rsidRPr="00D11245">
        <w:rPr>
          <w:color w:val="000000" w:themeColor="text1"/>
        </w:rPr>
        <w:tab/>
        <w:t xml:space="preserve">Acuna-Soto, R., Maguire, J. H. &amp; Wirth, D. F. Gender Distribution in Asymptomatic and Invasive Amebiasis. </w:t>
      </w:r>
      <w:r w:rsidRPr="00D11245">
        <w:rPr>
          <w:i/>
          <w:iCs/>
          <w:color w:val="000000" w:themeColor="text1"/>
        </w:rPr>
        <w:t>American Journal of Gastroenterology</w:t>
      </w:r>
      <w:r w:rsidRPr="00D11245">
        <w:rPr>
          <w:color w:val="000000" w:themeColor="text1"/>
        </w:rPr>
        <w:t xml:space="preserve"> </w:t>
      </w:r>
      <w:r w:rsidRPr="00D11245">
        <w:rPr>
          <w:b/>
          <w:bCs/>
          <w:color w:val="000000" w:themeColor="text1"/>
        </w:rPr>
        <w:t>95</w:t>
      </w:r>
      <w:r w:rsidRPr="00D11245">
        <w:rPr>
          <w:color w:val="000000" w:themeColor="text1"/>
        </w:rPr>
        <w:t>, 1277–1283 (2000).</w:t>
      </w:r>
    </w:p>
    <w:p w14:paraId="2D721160" w14:textId="77777777" w:rsidR="009C3E63" w:rsidRPr="00D11245" w:rsidRDefault="009C3E63" w:rsidP="009C3E63">
      <w:pPr>
        <w:pStyle w:val="Bibliography"/>
        <w:rPr>
          <w:color w:val="000000" w:themeColor="text1"/>
        </w:rPr>
      </w:pPr>
      <w:r w:rsidRPr="00D11245">
        <w:rPr>
          <w:color w:val="000000" w:themeColor="text1"/>
        </w:rPr>
        <w:t>50.</w:t>
      </w:r>
      <w:r w:rsidRPr="00D11245">
        <w:rPr>
          <w:color w:val="000000" w:themeColor="text1"/>
        </w:rPr>
        <w:tab/>
        <w:t xml:space="preserve">Wang, H. &amp; Kanthan, R. Multiple colonic and ileal perforations due to unsuspected intestinal amoebiasis-Case report and review. </w:t>
      </w:r>
      <w:r w:rsidRPr="00D11245">
        <w:rPr>
          <w:i/>
          <w:iCs/>
          <w:color w:val="000000" w:themeColor="text1"/>
        </w:rPr>
        <w:t>Pathology Research and Practice</w:t>
      </w:r>
      <w:r w:rsidRPr="00D11245">
        <w:rPr>
          <w:color w:val="000000" w:themeColor="text1"/>
        </w:rPr>
        <w:t xml:space="preserve"> </w:t>
      </w:r>
      <w:r w:rsidRPr="00D11245">
        <w:rPr>
          <w:b/>
          <w:bCs/>
          <w:color w:val="000000" w:themeColor="text1"/>
        </w:rPr>
        <w:t>216</w:t>
      </w:r>
      <w:r w:rsidRPr="00D11245">
        <w:rPr>
          <w:color w:val="000000" w:themeColor="text1"/>
        </w:rPr>
        <w:t>, 152608 (2020).</w:t>
      </w:r>
    </w:p>
    <w:p w14:paraId="0C116C6A" w14:textId="77777777" w:rsidR="009C3E63" w:rsidRPr="00D11245" w:rsidRDefault="009C3E63" w:rsidP="009C3E63">
      <w:pPr>
        <w:pStyle w:val="Bibliography"/>
        <w:rPr>
          <w:color w:val="000000" w:themeColor="text1"/>
        </w:rPr>
      </w:pPr>
      <w:r w:rsidRPr="00D11245">
        <w:rPr>
          <w:color w:val="000000" w:themeColor="text1"/>
        </w:rPr>
        <w:t>51.</w:t>
      </w:r>
      <w:r w:rsidRPr="00D11245">
        <w:rPr>
          <w:color w:val="000000" w:themeColor="text1"/>
        </w:rPr>
        <w:tab/>
        <w:t xml:space="preserve">Verstockt, B., Vermeire, S., Van Assche, G. &amp; Ferrante, M. When IBD is not IBD. </w:t>
      </w:r>
      <w:r w:rsidRPr="00D11245">
        <w:rPr>
          <w:i/>
          <w:iCs/>
          <w:color w:val="000000" w:themeColor="text1"/>
        </w:rPr>
        <w:t>Scandinavian Journal of Gastroenterology</w:t>
      </w:r>
      <w:r w:rsidRPr="00D11245">
        <w:rPr>
          <w:color w:val="000000" w:themeColor="text1"/>
        </w:rPr>
        <w:t xml:space="preserve"> </w:t>
      </w:r>
      <w:r w:rsidRPr="00D11245">
        <w:rPr>
          <w:b/>
          <w:bCs/>
          <w:color w:val="000000" w:themeColor="text1"/>
        </w:rPr>
        <w:t>53</w:t>
      </w:r>
      <w:r w:rsidRPr="00D11245">
        <w:rPr>
          <w:color w:val="000000" w:themeColor="text1"/>
        </w:rPr>
        <w:t>, 1085–1088 (2018).</w:t>
      </w:r>
    </w:p>
    <w:p w14:paraId="1378DE80" w14:textId="77777777" w:rsidR="009C3E63" w:rsidRPr="00D11245" w:rsidRDefault="009C3E63" w:rsidP="009C3E63">
      <w:pPr>
        <w:pStyle w:val="Bibliography"/>
        <w:rPr>
          <w:color w:val="000000" w:themeColor="text1"/>
        </w:rPr>
      </w:pPr>
      <w:r w:rsidRPr="00D11245">
        <w:rPr>
          <w:color w:val="000000" w:themeColor="text1"/>
        </w:rPr>
        <w:t>52.</w:t>
      </w:r>
      <w:r w:rsidRPr="00D11245">
        <w:rPr>
          <w:color w:val="000000" w:themeColor="text1"/>
        </w:rPr>
        <w:tab/>
        <w:t xml:space="preserve">Shirley, D.-A. &amp; Moonah, S. Fulminant Amebic Colitis after Corticosteroid Therapy: A Systematic Review. </w:t>
      </w:r>
      <w:r w:rsidRPr="00D11245">
        <w:rPr>
          <w:i/>
          <w:iCs/>
          <w:color w:val="000000" w:themeColor="text1"/>
        </w:rPr>
        <w:t>PLoS Neglected Tropical Diseases</w:t>
      </w:r>
      <w:r w:rsidRPr="00D11245">
        <w:rPr>
          <w:color w:val="000000" w:themeColor="text1"/>
        </w:rPr>
        <w:t xml:space="preserve"> </w:t>
      </w:r>
      <w:r w:rsidRPr="00D11245">
        <w:rPr>
          <w:b/>
          <w:bCs/>
          <w:color w:val="000000" w:themeColor="text1"/>
        </w:rPr>
        <w:t>10</w:t>
      </w:r>
      <w:r w:rsidRPr="00D11245">
        <w:rPr>
          <w:color w:val="000000" w:themeColor="text1"/>
        </w:rPr>
        <w:t>, (2016).</w:t>
      </w:r>
    </w:p>
    <w:p w14:paraId="1EFC8CA0" w14:textId="77777777" w:rsidR="009C3E63" w:rsidRPr="00D11245" w:rsidRDefault="009C3E63" w:rsidP="009C3E63">
      <w:pPr>
        <w:pStyle w:val="Bibliography"/>
        <w:rPr>
          <w:color w:val="000000" w:themeColor="text1"/>
        </w:rPr>
      </w:pPr>
      <w:r w:rsidRPr="00D11245">
        <w:rPr>
          <w:color w:val="000000" w:themeColor="text1"/>
        </w:rPr>
        <w:t>53.</w:t>
      </w:r>
      <w:r w:rsidRPr="00D11245">
        <w:rPr>
          <w:color w:val="000000" w:themeColor="text1"/>
        </w:rPr>
        <w:tab/>
        <w:t xml:space="preserve">Gathiram, V. &amp; Jackson, T. F. A longitudinal study of asymptomatic carriers of pathogenic zymodemes of Entamoeba histolytica. </w:t>
      </w:r>
      <w:r w:rsidRPr="00D11245">
        <w:rPr>
          <w:i/>
          <w:iCs/>
          <w:color w:val="000000" w:themeColor="text1"/>
        </w:rPr>
        <w:t>S Afr Med J</w:t>
      </w:r>
      <w:r w:rsidRPr="00D11245">
        <w:rPr>
          <w:color w:val="000000" w:themeColor="text1"/>
        </w:rPr>
        <w:t xml:space="preserve"> </w:t>
      </w:r>
      <w:r w:rsidRPr="00D11245">
        <w:rPr>
          <w:b/>
          <w:bCs/>
          <w:color w:val="000000" w:themeColor="text1"/>
        </w:rPr>
        <w:t>72</w:t>
      </w:r>
      <w:r w:rsidRPr="00D11245">
        <w:rPr>
          <w:color w:val="000000" w:themeColor="text1"/>
        </w:rPr>
        <w:t>, 669–672 (1987).</w:t>
      </w:r>
    </w:p>
    <w:p w14:paraId="59AB8B79" w14:textId="77777777" w:rsidR="009C3E63" w:rsidRPr="00D11245" w:rsidRDefault="009C3E63" w:rsidP="009C3E63">
      <w:pPr>
        <w:pStyle w:val="Bibliography"/>
        <w:rPr>
          <w:color w:val="000000" w:themeColor="text1"/>
        </w:rPr>
      </w:pPr>
      <w:r w:rsidRPr="00D11245">
        <w:rPr>
          <w:color w:val="000000" w:themeColor="text1"/>
        </w:rPr>
        <w:t>54.</w:t>
      </w:r>
      <w:r w:rsidRPr="00D11245">
        <w:rPr>
          <w:color w:val="000000" w:themeColor="text1"/>
        </w:rPr>
        <w:tab/>
        <w:t xml:space="preserve">Haque, R. Amebiasis. </w:t>
      </w:r>
      <w:r w:rsidRPr="00D11245">
        <w:rPr>
          <w:i/>
          <w:iCs/>
          <w:color w:val="000000" w:themeColor="text1"/>
        </w:rPr>
        <w:t>N Engl J Med 2003; 348:1565-1573</w:t>
      </w:r>
      <w:r w:rsidRPr="00D11245">
        <w:rPr>
          <w:color w:val="000000" w:themeColor="text1"/>
        </w:rPr>
        <w:t xml:space="preserve"> doi:10.1056/NEJMra022710.</w:t>
      </w:r>
    </w:p>
    <w:p w14:paraId="25128763" w14:textId="77777777" w:rsidR="009C3E63" w:rsidRPr="00D11245" w:rsidRDefault="009C3E63" w:rsidP="009C3E63">
      <w:pPr>
        <w:pStyle w:val="Bibliography"/>
        <w:rPr>
          <w:color w:val="000000" w:themeColor="text1"/>
        </w:rPr>
      </w:pPr>
      <w:r w:rsidRPr="00D11245">
        <w:rPr>
          <w:color w:val="000000" w:themeColor="text1"/>
        </w:rPr>
        <w:t>55.</w:t>
      </w:r>
      <w:r w:rsidRPr="00D11245">
        <w:rPr>
          <w:color w:val="000000" w:themeColor="text1"/>
        </w:rPr>
        <w:tab/>
        <w:t xml:space="preserve">Ana Domazetovska </w:t>
      </w:r>
      <w:r w:rsidRPr="00D11245">
        <w:rPr>
          <w:i/>
          <w:iCs/>
          <w:color w:val="000000" w:themeColor="text1"/>
        </w:rPr>
        <w:t>et al.</w:t>
      </w:r>
      <w:r w:rsidRPr="00D11245">
        <w:rPr>
          <w:color w:val="000000" w:themeColor="text1"/>
        </w:rPr>
        <w:t xml:space="preserve"> A 12-Year Retrospective Study of Invasive Amoebiasis in Western Sydney: Evidence of Local Acquisition. (2018).</w:t>
      </w:r>
    </w:p>
    <w:p w14:paraId="52E0A00E" w14:textId="77777777" w:rsidR="009C3E63" w:rsidRPr="00D11245" w:rsidRDefault="009C3E63" w:rsidP="009C3E63">
      <w:pPr>
        <w:pStyle w:val="Bibliography"/>
        <w:rPr>
          <w:color w:val="000000" w:themeColor="text1"/>
        </w:rPr>
      </w:pPr>
      <w:r w:rsidRPr="00D11245">
        <w:rPr>
          <w:color w:val="000000" w:themeColor="text1"/>
        </w:rPr>
        <w:t>56.</w:t>
      </w:r>
      <w:r w:rsidRPr="00D11245">
        <w:rPr>
          <w:color w:val="000000" w:themeColor="text1"/>
        </w:rPr>
        <w:tab/>
        <w:t xml:space="preserve">Cooper, C. J., Fleming, R., Boman, D. A. &amp; Zuckerman, M. J. Varied Clinical Manifestations of Amebic Colitis. </w:t>
      </w:r>
      <w:r w:rsidRPr="00D11245">
        <w:rPr>
          <w:i/>
          <w:iCs/>
          <w:color w:val="000000" w:themeColor="text1"/>
        </w:rPr>
        <w:t>Southern medical journal</w:t>
      </w:r>
      <w:r w:rsidRPr="00D11245">
        <w:rPr>
          <w:color w:val="000000" w:themeColor="text1"/>
        </w:rPr>
        <w:t xml:space="preserve"> </w:t>
      </w:r>
      <w:r w:rsidRPr="00D11245">
        <w:rPr>
          <w:b/>
          <w:bCs/>
          <w:color w:val="000000" w:themeColor="text1"/>
        </w:rPr>
        <w:t>108</w:t>
      </w:r>
      <w:r w:rsidRPr="00D11245">
        <w:rPr>
          <w:color w:val="000000" w:themeColor="text1"/>
        </w:rPr>
        <w:t>, 676–81 (2015).</w:t>
      </w:r>
    </w:p>
    <w:p w14:paraId="0E6910AE" w14:textId="77777777" w:rsidR="009C3E63" w:rsidRPr="00D11245" w:rsidRDefault="009C3E63" w:rsidP="009C3E63">
      <w:pPr>
        <w:pStyle w:val="Bibliography"/>
        <w:rPr>
          <w:color w:val="000000" w:themeColor="text1"/>
        </w:rPr>
      </w:pPr>
      <w:r w:rsidRPr="00D11245">
        <w:rPr>
          <w:color w:val="000000" w:themeColor="text1"/>
        </w:rPr>
        <w:t>57.</w:t>
      </w:r>
      <w:r w:rsidRPr="00D11245">
        <w:rPr>
          <w:color w:val="000000" w:themeColor="text1"/>
        </w:rPr>
        <w:tab/>
        <w:t xml:space="preserve">Bronswijk M. &amp; Van Gool S. A case of amoebic colitis with amoeboma and simultaneous liver abscesses. A diagnosis by colonoscopy. </w:t>
      </w:r>
      <w:r w:rsidRPr="00D11245">
        <w:rPr>
          <w:i/>
          <w:iCs/>
          <w:color w:val="000000" w:themeColor="text1"/>
        </w:rPr>
        <w:t>Acta Gastro-Enterol. Belg.</w:t>
      </w:r>
      <w:r w:rsidRPr="00D11245">
        <w:rPr>
          <w:color w:val="000000" w:themeColor="text1"/>
        </w:rPr>
        <w:t xml:space="preserve"> </w:t>
      </w:r>
      <w:r w:rsidRPr="00D11245">
        <w:rPr>
          <w:b/>
          <w:bCs/>
          <w:color w:val="000000" w:themeColor="text1"/>
        </w:rPr>
        <w:t>82</w:t>
      </w:r>
      <w:r w:rsidRPr="00D11245">
        <w:rPr>
          <w:color w:val="000000" w:themeColor="text1"/>
        </w:rPr>
        <w:t>, 539–541 (2019).</w:t>
      </w:r>
    </w:p>
    <w:p w14:paraId="6FB1A3A6" w14:textId="77777777" w:rsidR="009C3E63" w:rsidRPr="00D11245" w:rsidRDefault="009C3E63" w:rsidP="009C3E63">
      <w:pPr>
        <w:pStyle w:val="Bibliography"/>
        <w:rPr>
          <w:color w:val="000000" w:themeColor="text1"/>
        </w:rPr>
      </w:pPr>
      <w:r w:rsidRPr="00D11245">
        <w:rPr>
          <w:color w:val="000000" w:themeColor="text1"/>
        </w:rPr>
        <w:t>58.</w:t>
      </w:r>
      <w:r w:rsidRPr="00D11245">
        <w:rPr>
          <w:color w:val="000000" w:themeColor="text1"/>
        </w:rPr>
        <w:tab/>
        <w:t xml:space="preserve">Young C.A., Gracie D.J., Subramanian V., &amp; Wyatt J.I. Amoebic colitis. </w:t>
      </w:r>
      <w:r w:rsidRPr="00D11245">
        <w:rPr>
          <w:i/>
          <w:iCs/>
          <w:color w:val="000000" w:themeColor="text1"/>
        </w:rPr>
        <w:t>Diagn. Histopathology</w:t>
      </w:r>
      <w:r w:rsidRPr="00D11245">
        <w:rPr>
          <w:color w:val="000000" w:themeColor="text1"/>
        </w:rPr>
        <w:t xml:space="preserve"> </w:t>
      </w:r>
      <w:r w:rsidRPr="00D11245">
        <w:rPr>
          <w:b/>
          <w:bCs/>
          <w:color w:val="000000" w:themeColor="text1"/>
        </w:rPr>
        <w:t>23</w:t>
      </w:r>
      <w:r w:rsidRPr="00D11245">
        <w:rPr>
          <w:color w:val="000000" w:themeColor="text1"/>
        </w:rPr>
        <w:t>, 563–565 (2017).</w:t>
      </w:r>
    </w:p>
    <w:p w14:paraId="0CDFF93D" w14:textId="77777777" w:rsidR="009C3E63" w:rsidRPr="00D11245" w:rsidRDefault="009C3E63" w:rsidP="009C3E63">
      <w:pPr>
        <w:pStyle w:val="Bibliography"/>
        <w:rPr>
          <w:color w:val="000000" w:themeColor="text1"/>
        </w:rPr>
      </w:pPr>
      <w:r w:rsidRPr="00D11245">
        <w:rPr>
          <w:color w:val="000000" w:themeColor="text1"/>
        </w:rPr>
        <w:lastRenderedPageBreak/>
        <w:t>59.</w:t>
      </w:r>
      <w:r w:rsidRPr="00D11245">
        <w:rPr>
          <w:color w:val="000000" w:themeColor="text1"/>
        </w:rPr>
        <w:tab/>
        <w:t>Mogensen, T. H., Christiansen, J. J., Eivindson, M. V., Larsen, C. S., &amp; JOUR. Misdiagnosed amoebic colitis leading to severe dysentery and necrotizing colitis-Report of a case and review of the literature. (2014).</w:t>
      </w:r>
    </w:p>
    <w:p w14:paraId="07695C3A" w14:textId="77777777" w:rsidR="009C3E63" w:rsidRPr="00D11245" w:rsidRDefault="009C3E63" w:rsidP="009C3E63">
      <w:pPr>
        <w:pStyle w:val="Bibliography"/>
        <w:rPr>
          <w:color w:val="000000" w:themeColor="text1"/>
        </w:rPr>
      </w:pPr>
      <w:r w:rsidRPr="00D11245">
        <w:rPr>
          <w:color w:val="000000" w:themeColor="text1"/>
        </w:rPr>
        <w:t>60.</w:t>
      </w:r>
      <w:r w:rsidRPr="00D11245">
        <w:rPr>
          <w:color w:val="000000" w:themeColor="text1"/>
        </w:rPr>
        <w:tab/>
        <w:t xml:space="preserve">Upadhyay, R., Gupta, N., Gogia, P. &amp; Chandra, S. Poached egg appearance in intestinal amebiasis. </w:t>
      </w:r>
      <w:r w:rsidRPr="00D11245">
        <w:rPr>
          <w:i/>
          <w:iCs/>
          <w:color w:val="000000" w:themeColor="text1"/>
        </w:rPr>
        <w:t>Gastrointestinal endoscopy</w:t>
      </w:r>
      <w:r w:rsidRPr="00D11245">
        <w:rPr>
          <w:color w:val="000000" w:themeColor="text1"/>
        </w:rPr>
        <w:t xml:space="preserve"> </w:t>
      </w:r>
      <w:r w:rsidRPr="00D11245">
        <w:rPr>
          <w:b/>
          <w:bCs/>
          <w:color w:val="000000" w:themeColor="text1"/>
        </w:rPr>
        <w:t>76</w:t>
      </w:r>
      <w:r w:rsidRPr="00D11245">
        <w:rPr>
          <w:color w:val="000000" w:themeColor="text1"/>
        </w:rPr>
        <w:t>, 189–90 (2012).</w:t>
      </w:r>
    </w:p>
    <w:p w14:paraId="7003BFFC" w14:textId="77777777" w:rsidR="009C3E63" w:rsidRPr="00D11245" w:rsidRDefault="009C3E63" w:rsidP="009C3E63">
      <w:pPr>
        <w:pStyle w:val="Bibliography"/>
        <w:rPr>
          <w:color w:val="000000" w:themeColor="text1"/>
        </w:rPr>
      </w:pPr>
      <w:r w:rsidRPr="00D11245">
        <w:rPr>
          <w:color w:val="000000" w:themeColor="text1"/>
        </w:rPr>
        <w:t>61.</w:t>
      </w:r>
      <w:r w:rsidRPr="00D11245">
        <w:rPr>
          <w:color w:val="000000" w:themeColor="text1"/>
        </w:rPr>
        <w:tab/>
        <w:t xml:space="preserve">Den Y., Kinoshita J., Deshpande G.A., &amp; Hiraoka E. Amoebiasis masquerading as inflammatory bowel disease. </w:t>
      </w:r>
      <w:r w:rsidRPr="00D11245">
        <w:rPr>
          <w:i/>
          <w:iCs/>
          <w:color w:val="000000" w:themeColor="text1"/>
        </w:rPr>
        <w:t>BMJ Case Rep.</w:t>
      </w:r>
      <w:r w:rsidRPr="00D11245">
        <w:rPr>
          <w:color w:val="000000" w:themeColor="text1"/>
        </w:rPr>
        <w:t xml:space="preserve"> </w:t>
      </w:r>
      <w:r w:rsidRPr="00D11245">
        <w:rPr>
          <w:b/>
          <w:bCs/>
          <w:color w:val="000000" w:themeColor="text1"/>
        </w:rPr>
        <w:t>2015</w:t>
      </w:r>
      <w:r w:rsidRPr="00D11245">
        <w:rPr>
          <w:color w:val="000000" w:themeColor="text1"/>
        </w:rPr>
        <w:t>, A1708 (2015).</w:t>
      </w:r>
    </w:p>
    <w:p w14:paraId="5AE9191C" w14:textId="77777777" w:rsidR="009C3E63" w:rsidRPr="00D11245" w:rsidRDefault="009C3E63" w:rsidP="009C3E63">
      <w:pPr>
        <w:pStyle w:val="Bibliography"/>
        <w:rPr>
          <w:color w:val="000000" w:themeColor="text1"/>
        </w:rPr>
      </w:pPr>
      <w:r w:rsidRPr="00D11245">
        <w:rPr>
          <w:color w:val="000000" w:themeColor="text1"/>
        </w:rPr>
        <w:t>62.</w:t>
      </w:r>
      <w:r w:rsidRPr="00D11245">
        <w:rPr>
          <w:color w:val="000000" w:themeColor="text1"/>
        </w:rPr>
        <w:tab/>
        <w:t xml:space="preserve">Debourdeau, A., Boivineau, L. &amp; Iltache, S. The Little Beast That Pretended to Be a Severe Crohn’s Disease. </w:t>
      </w:r>
      <w:r w:rsidRPr="00D11245">
        <w:rPr>
          <w:i/>
          <w:iCs/>
          <w:color w:val="000000" w:themeColor="text1"/>
        </w:rPr>
        <w:t>Gastroenterology</w:t>
      </w:r>
      <w:r w:rsidRPr="00D11245">
        <w:rPr>
          <w:color w:val="000000" w:themeColor="text1"/>
        </w:rPr>
        <w:t xml:space="preserve"> </w:t>
      </w:r>
      <w:r w:rsidRPr="00D11245">
        <w:rPr>
          <w:b/>
          <w:bCs/>
          <w:color w:val="000000" w:themeColor="text1"/>
        </w:rPr>
        <w:t>157</w:t>
      </w:r>
      <w:r w:rsidRPr="00D11245">
        <w:rPr>
          <w:color w:val="000000" w:themeColor="text1"/>
        </w:rPr>
        <w:t>, 1483–1484 (2019).</w:t>
      </w:r>
    </w:p>
    <w:p w14:paraId="3B753D09" w14:textId="77777777" w:rsidR="009C3E63" w:rsidRPr="00D11245" w:rsidRDefault="009C3E63" w:rsidP="009C3E63">
      <w:pPr>
        <w:pStyle w:val="Bibliography"/>
        <w:rPr>
          <w:color w:val="000000" w:themeColor="text1"/>
        </w:rPr>
      </w:pPr>
      <w:r w:rsidRPr="00D11245">
        <w:rPr>
          <w:color w:val="000000" w:themeColor="text1"/>
        </w:rPr>
        <w:t>63.</w:t>
      </w:r>
      <w:r w:rsidRPr="00D11245">
        <w:rPr>
          <w:color w:val="000000" w:themeColor="text1"/>
        </w:rPr>
        <w:tab/>
        <w:t xml:space="preserve">Kahn T., Locketz M., &amp; Thomson S. The value of microscopy in the diagnosis of colitis. </w:t>
      </w:r>
      <w:r w:rsidRPr="00D11245">
        <w:rPr>
          <w:i/>
          <w:iCs/>
          <w:color w:val="000000" w:themeColor="text1"/>
        </w:rPr>
        <w:t>S. Afr. Gastroenterol. Rev.</w:t>
      </w:r>
      <w:r w:rsidRPr="00D11245">
        <w:rPr>
          <w:color w:val="000000" w:themeColor="text1"/>
        </w:rPr>
        <w:t xml:space="preserve"> </w:t>
      </w:r>
      <w:r w:rsidRPr="00D11245">
        <w:rPr>
          <w:b/>
          <w:bCs/>
          <w:color w:val="000000" w:themeColor="text1"/>
        </w:rPr>
        <w:t>17</w:t>
      </w:r>
      <w:r w:rsidRPr="00D11245">
        <w:rPr>
          <w:color w:val="000000" w:themeColor="text1"/>
        </w:rPr>
        <w:t>, 27–29 (2019).</w:t>
      </w:r>
    </w:p>
    <w:p w14:paraId="1BB35165" w14:textId="77777777" w:rsidR="009C3E63" w:rsidRPr="00D11245" w:rsidRDefault="009C3E63" w:rsidP="009C3E63">
      <w:pPr>
        <w:pStyle w:val="Bibliography"/>
        <w:rPr>
          <w:color w:val="000000" w:themeColor="text1"/>
        </w:rPr>
      </w:pPr>
      <w:r w:rsidRPr="00D11245">
        <w:rPr>
          <w:color w:val="000000" w:themeColor="text1"/>
        </w:rPr>
        <w:t>64.</w:t>
      </w:r>
      <w:r w:rsidRPr="00D11245">
        <w:rPr>
          <w:color w:val="000000" w:themeColor="text1"/>
        </w:rPr>
        <w:tab/>
        <w:t xml:space="preserve">Vinnamala S., Arasaradnam R., Malik A., S., S., &amp; Mannath J. All caecal ulcers is not crohn’s: Think travel-think again. </w:t>
      </w:r>
      <w:r w:rsidRPr="00D11245">
        <w:rPr>
          <w:i/>
          <w:iCs/>
          <w:color w:val="000000" w:themeColor="text1"/>
        </w:rPr>
        <w:t>Acta Gastro-Enterol. Belg.</w:t>
      </w:r>
      <w:r w:rsidRPr="00D11245">
        <w:rPr>
          <w:color w:val="000000" w:themeColor="text1"/>
        </w:rPr>
        <w:t xml:space="preserve"> </w:t>
      </w:r>
      <w:r w:rsidRPr="00D11245">
        <w:rPr>
          <w:b/>
          <w:bCs/>
          <w:color w:val="000000" w:themeColor="text1"/>
        </w:rPr>
        <w:t>80</w:t>
      </w:r>
      <w:r w:rsidRPr="00D11245">
        <w:rPr>
          <w:color w:val="000000" w:themeColor="text1"/>
        </w:rPr>
        <w:t>, 83–84 (2017).</w:t>
      </w:r>
    </w:p>
    <w:p w14:paraId="49466256" w14:textId="77777777" w:rsidR="009C3E63" w:rsidRPr="00D11245" w:rsidRDefault="009C3E63" w:rsidP="009C3E63">
      <w:pPr>
        <w:pStyle w:val="Bibliography"/>
        <w:rPr>
          <w:color w:val="000000" w:themeColor="text1"/>
        </w:rPr>
      </w:pPr>
      <w:r w:rsidRPr="00D11245">
        <w:rPr>
          <w:color w:val="000000" w:themeColor="text1"/>
        </w:rPr>
        <w:t>65.</w:t>
      </w:r>
      <w:r w:rsidRPr="00D11245">
        <w:rPr>
          <w:color w:val="000000" w:themeColor="text1"/>
        </w:rPr>
        <w:tab/>
        <w:t xml:space="preserve">Li N., Wang H.-H., Zhao X.-J., &amp; Sheng J.-Q. Amebic colitis: Colonoscopic appearance. </w:t>
      </w:r>
      <w:r w:rsidRPr="00D11245">
        <w:rPr>
          <w:i/>
          <w:iCs/>
          <w:color w:val="000000" w:themeColor="text1"/>
        </w:rPr>
        <w:t>Endoscopy</w:t>
      </w:r>
      <w:r w:rsidRPr="00D11245">
        <w:rPr>
          <w:color w:val="000000" w:themeColor="text1"/>
        </w:rPr>
        <w:t xml:space="preserve"> </w:t>
      </w:r>
      <w:r w:rsidRPr="00D11245">
        <w:rPr>
          <w:b/>
          <w:bCs/>
          <w:color w:val="000000" w:themeColor="text1"/>
        </w:rPr>
        <w:t>47</w:t>
      </w:r>
      <w:r w:rsidRPr="00D11245">
        <w:rPr>
          <w:color w:val="000000" w:themeColor="text1"/>
        </w:rPr>
        <w:t>, E145–E146 (2015).</w:t>
      </w:r>
    </w:p>
    <w:p w14:paraId="2C37647F" w14:textId="77777777" w:rsidR="009C3E63" w:rsidRPr="00D11245" w:rsidRDefault="009C3E63" w:rsidP="009C3E63">
      <w:pPr>
        <w:pStyle w:val="Bibliography"/>
        <w:rPr>
          <w:color w:val="000000" w:themeColor="text1"/>
        </w:rPr>
      </w:pPr>
      <w:r w:rsidRPr="00D11245">
        <w:rPr>
          <w:color w:val="000000" w:themeColor="text1"/>
        </w:rPr>
        <w:t>66.</w:t>
      </w:r>
      <w:r w:rsidRPr="00D11245">
        <w:rPr>
          <w:color w:val="000000" w:themeColor="text1"/>
        </w:rPr>
        <w:tab/>
        <w:t xml:space="preserve">Varshney V.K., Soni S.C., Yadav T., Puranik A., &amp; Elhence P. Amebic colonic stricture: An unusual presentation. </w:t>
      </w:r>
      <w:r w:rsidRPr="00D11245">
        <w:rPr>
          <w:i/>
          <w:iCs/>
          <w:color w:val="000000" w:themeColor="text1"/>
        </w:rPr>
        <w:t>Trop. Parasitol.</w:t>
      </w:r>
      <w:r w:rsidRPr="00D11245">
        <w:rPr>
          <w:color w:val="000000" w:themeColor="text1"/>
        </w:rPr>
        <w:t xml:space="preserve"> </w:t>
      </w:r>
      <w:r w:rsidRPr="00D11245">
        <w:rPr>
          <w:b/>
          <w:bCs/>
          <w:color w:val="000000" w:themeColor="text1"/>
        </w:rPr>
        <w:t>8</w:t>
      </w:r>
      <w:r w:rsidRPr="00D11245">
        <w:rPr>
          <w:color w:val="000000" w:themeColor="text1"/>
        </w:rPr>
        <w:t>, 98–100 (2018).</w:t>
      </w:r>
    </w:p>
    <w:p w14:paraId="64171B26" w14:textId="77777777" w:rsidR="009C3E63" w:rsidRPr="00D11245" w:rsidRDefault="009C3E63" w:rsidP="009C3E63">
      <w:pPr>
        <w:pStyle w:val="Bibliography"/>
        <w:rPr>
          <w:color w:val="000000" w:themeColor="text1"/>
        </w:rPr>
      </w:pPr>
      <w:r w:rsidRPr="00D11245">
        <w:rPr>
          <w:color w:val="000000" w:themeColor="text1"/>
        </w:rPr>
        <w:t>67.</w:t>
      </w:r>
      <w:r w:rsidRPr="00D11245">
        <w:rPr>
          <w:color w:val="000000" w:themeColor="text1"/>
        </w:rPr>
        <w:tab/>
        <w:t xml:space="preserve">Wang S.-Y. </w:t>
      </w:r>
      <w:r w:rsidRPr="00D11245">
        <w:rPr>
          <w:i/>
          <w:iCs/>
          <w:color w:val="000000" w:themeColor="text1"/>
        </w:rPr>
        <w:t>et al.</w:t>
      </w:r>
      <w:r w:rsidRPr="00D11245">
        <w:rPr>
          <w:color w:val="000000" w:themeColor="text1"/>
        </w:rPr>
        <w:t xml:space="preserve"> Ameboma mimicking submucosal tumor of the colon in an elderly. </w:t>
      </w:r>
      <w:r w:rsidRPr="00D11245">
        <w:rPr>
          <w:i/>
          <w:iCs/>
          <w:color w:val="000000" w:themeColor="text1"/>
        </w:rPr>
        <w:t>Int. J. Gerontol.</w:t>
      </w:r>
      <w:r w:rsidRPr="00D11245">
        <w:rPr>
          <w:color w:val="000000" w:themeColor="text1"/>
        </w:rPr>
        <w:t xml:space="preserve"> </w:t>
      </w:r>
      <w:r w:rsidRPr="00D11245">
        <w:rPr>
          <w:b/>
          <w:bCs/>
          <w:color w:val="000000" w:themeColor="text1"/>
        </w:rPr>
        <w:t>5</w:t>
      </w:r>
      <w:r w:rsidRPr="00D11245">
        <w:rPr>
          <w:color w:val="000000" w:themeColor="text1"/>
        </w:rPr>
        <w:t>, 126–128 (2011).</w:t>
      </w:r>
    </w:p>
    <w:p w14:paraId="657977CA" w14:textId="77777777" w:rsidR="009C3E63" w:rsidRPr="00D11245" w:rsidRDefault="009C3E63" w:rsidP="009C3E63">
      <w:pPr>
        <w:pStyle w:val="Bibliography"/>
        <w:rPr>
          <w:color w:val="000000" w:themeColor="text1"/>
        </w:rPr>
      </w:pPr>
      <w:r w:rsidRPr="00D11245">
        <w:rPr>
          <w:color w:val="000000" w:themeColor="text1"/>
        </w:rPr>
        <w:t>68.</w:t>
      </w:r>
      <w:r w:rsidRPr="00D11245">
        <w:rPr>
          <w:color w:val="000000" w:themeColor="text1"/>
        </w:rPr>
        <w:tab/>
        <w:t xml:space="preserve">Dogra V.K., Gupta D., Kashyap R., Nand L., &amp; Sondhi S. Intestinal amebiasis presenting as life threatening lower GI bleed-A rare presentation. </w:t>
      </w:r>
      <w:r w:rsidRPr="00D11245">
        <w:rPr>
          <w:i/>
          <w:iCs/>
          <w:color w:val="000000" w:themeColor="text1"/>
        </w:rPr>
        <w:t>Ann. Trop. Med. Public Health</w:t>
      </w:r>
      <w:r w:rsidRPr="00D11245">
        <w:rPr>
          <w:color w:val="000000" w:themeColor="text1"/>
        </w:rPr>
        <w:t xml:space="preserve"> </w:t>
      </w:r>
      <w:r w:rsidRPr="00D11245">
        <w:rPr>
          <w:b/>
          <w:bCs/>
          <w:color w:val="000000" w:themeColor="text1"/>
        </w:rPr>
        <w:t>10</w:t>
      </w:r>
      <w:r w:rsidRPr="00D11245">
        <w:rPr>
          <w:color w:val="000000" w:themeColor="text1"/>
        </w:rPr>
        <w:t>, 244–246 (2017).</w:t>
      </w:r>
    </w:p>
    <w:p w14:paraId="7FF56B4D" w14:textId="77777777" w:rsidR="009C3E63" w:rsidRPr="00D11245" w:rsidRDefault="009C3E63" w:rsidP="009C3E63">
      <w:pPr>
        <w:pStyle w:val="Bibliography"/>
        <w:rPr>
          <w:color w:val="000000" w:themeColor="text1"/>
        </w:rPr>
      </w:pPr>
      <w:r w:rsidRPr="00D11245">
        <w:rPr>
          <w:color w:val="000000" w:themeColor="text1"/>
        </w:rPr>
        <w:t>69.</w:t>
      </w:r>
      <w:r w:rsidRPr="00D11245">
        <w:rPr>
          <w:color w:val="000000" w:themeColor="text1"/>
        </w:rPr>
        <w:tab/>
        <w:t xml:space="preserve">Madden G.R., Shirley D.-A., Townsend G., &amp; Moonah S. Case report: Lower gastrointestinal bleeding due to Entamoeba histolytica detected early by multiplex PCR: Case report and review of the laboratory diagnosis of amebiasis. </w:t>
      </w:r>
      <w:r w:rsidRPr="00D11245">
        <w:rPr>
          <w:i/>
          <w:iCs/>
          <w:color w:val="000000" w:themeColor="text1"/>
        </w:rPr>
        <w:t>Am. J. Trop. Med. Hyg.</w:t>
      </w:r>
      <w:r w:rsidRPr="00D11245">
        <w:rPr>
          <w:color w:val="000000" w:themeColor="text1"/>
        </w:rPr>
        <w:t xml:space="preserve"> </w:t>
      </w:r>
      <w:r w:rsidRPr="00D11245">
        <w:rPr>
          <w:b/>
          <w:bCs/>
          <w:color w:val="000000" w:themeColor="text1"/>
        </w:rPr>
        <w:t>101</w:t>
      </w:r>
      <w:r w:rsidRPr="00D11245">
        <w:rPr>
          <w:color w:val="000000" w:themeColor="text1"/>
        </w:rPr>
        <w:t>, 1380–1383 (2019).</w:t>
      </w:r>
    </w:p>
    <w:p w14:paraId="052270E6" w14:textId="77777777" w:rsidR="009C3E63" w:rsidRPr="00D11245" w:rsidRDefault="009C3E63" w:rsidP="009C3E63">
      <w:pPr>
        <w:pStyle w:val="Bibliography"/>
        <w:rPr>
          <w:color w:val="000000" w:themeColor="text1"/>
        </w:rPr>
      </w:pPr>
      <w:r w:rsidRPr="00D11245">
        <w:rPr>
          <w:color w:val="000000" w:themeColor="text1"/>
        </w:rPr>
        <w:lastRenderedPageBreak/>
        <w:t>70.</w:t>
      </w:r>
      <w:r w:rsidRPr="00D11245">
        <w:rPr>
          <w:color w:val="000000" w:themeColor="text1"/>
        </w:rPr>
        <w:tab/>
        <w:t xml:space="preserve">Atif Khan M., Verma G.R., &amp; Lokesh H.M. Fulminant amebic colitis with lower GI bleed with liver abscess. </w:t>
      </w:r>
      <w:r w:rsidRPr="00D11245">
        <w:rPr>
          <w:i/>
          <w:iCs/>
          <w:color w:val="000000" w:themeColor="text1"/>
        </w:rPr>
        <w:t>Int. J. Colorectal Dis.</w:t>
      </w:r>
      <w:r w:rsidRPr="00D11245">
        <w:rPr>
          <w:color w:val="000000" w:themeColor="text1"/>
        </w:rPr>
        <w:t xml:space="preserve"> </w:t>
      </w:r>
      <w:r w:rsidRPr="00D11245">
        <w:rPr>
          <w:b/>
          <w:bCs/>
          <w:color w:val="000000" w:themeColor="text1"/>
        </w:rPr>
        <w:t>25</w:t>
      </w:r>
      <w:r w:rsidRPr="00D11245">
        <w:rPr>
          <w:color w:val="000000" w:themeColor="text1"/>
        </w:rPr>
        <w:t>, 535–537 (2010).</w:t>
      </w:r>
    </w:p>
    <w:p w14:paraId="1551C7DA" w14:textId="77777777" w:rsidR="009C3E63" w:rsidRPr="00D11245" w:rsidRDefault="009C3E63" w:rsidP="009C3E63">
      <w:pPr>
        <w:pStyle w:val="Bibliography"/>
        <w:rPr>
          <w:color w:val="000000" w:themeColor="text1"/>
        </w:rPr>
      </w:pPr>
      <w:r w:rsidRPr="00D11245">
        <w:rPr>
          <w:color w:val="000000" w:themeColor="text1"/>
        </w:rPr>
        <w:t>71.</w:t>
      </w:r>
      <w:r w:rsidRPr="00D11245">
        <w:rPr>
          <w:color w:val="000000" w:themeColor="text1"/>
        </w:rPr>
        <w:tab/>
        <w:t xml:space="preserve">Chandnani, S. </w:t>
      </w:r>
      <w:r w:rsidRPr="00D11245">
        <w:rPr>
          <w:i/>
          <w:iCs/>
          <w:color w:val="000000" w:themeColor="text1"/>
        </w:rPr>
        <w:t>et al.</w:t>
      </w:r>
      <w:r w:rsidRPr="00D11245">
        <w:rPr>
          <w:color w:val="000000" w:themeColor="text1"/>
        </w:rPr>
        <w:t xml:space="preserve"> Massive Lower Gastrointestinal Bleeding Due to Fulminant Necrotizing Amebic Colitis: A Diagnostic and Therapeutic Challenge. </w:t>
      </w:r>
      <w:r w:rsidRPr="00D11245">
        <w:rPr>
          <w:i/>
          <w:iCs/>
          <w:color w:val="000000" w:themeColor="text1"/>
        </w:rPr>
        <w:t>The Journal of the Association of Physicians of India</w:t>
      </w:r>
      <w:r w:rsidRPr="00D11245">
        <w:rPr>
          <w:color w:val="000000" w:themeColor="text1"/>
        </w:rPr>
        <w:t xml:space="preserve"> </w:t>
      </w:r>
      <w:r w:rsidRPr="00D11245">
        <w:rPr>
          <w:b/>
          <w:bCs/>
          <w:color w:val="000000" w:themeColor="text1"/>
        </w:rPr>
        <w:t>67</w:t>
      </w:r>
      <w:r w:rsidRPr="00D11245">
        <w:rPr>
          <w:color w:val="000000" w:themeColor="text1"/>
        </w:rPr>
        <w:t>, 79–81 (2019).</w:t>
      </w:r>
    </w:p>
    <w:p w14:paraId="7D6CB4AF" w14:textId="77777777" w:rsidR="009C3E63" w:rsidRPr="00D11245" w:rsidRDefault="009C3E63" w:rsidP="009C3E63">
      <w:pPr>
        <w:pStyle w:val="Bibliography"/>
        <w:rPr>
          <w:color w:val="000000" w:themeColor="text1"/>
        </w:rPr>
      </w:pPr>
      <w:r w:rsidRPr="00D11245">
        <w:rPr>
          <w:color w:val="000000" w:themeColor="text1"/>
        </w:rPr>
        <w:t>72.</w:t>
      </w:r>
      <w:r w:rsidRPr="00D11245">
        <w:rPr>
          <w:color w:val="000000" w:themeColor="text1"/>
        </w:rPr>
        <w:tab/>
        <w:t xml:space="preserve">de Leijer J.H., Tan A.C.I.T.L., Mulder B., &amp; Zomer S.F. Unexpected amebic colitis presenting with rectal bleeding and perforation after biopsy. </w:t>
      </w:r>
      <w:r w:rsidRPr="00D11245">
        <w:rPr>
          <w:i/>
          <w:iCs/>
          <w:color w:val="000000" w:themeColor="text1"/>
        </w:rPr>
        <w:t>Gastrointest. Endosc.</w:t>
      </w:r>
      <w:r w:rsidRPr="00D11245">
        <w:rPr>
          <w:color w:val="000000" w:themeColor="text1"/>
        </w:rPr>
        <w:t xml:space="preserve"> </w:t>
      </w:r>
      <w:r w:rsidRPr="00D11245">
        <w:rPr>
          <w:b/>
          <w:bCs/>
          <w:color w:val="000000" w:themeColor="text1"/>
        </w:rPr>
        <w:t>88</w:t>
      </w:r>
      <w:r w:rsidRPr="00D11245">
        <w:rPr>
          <w:color w:val="000000" w:themeColor="text1"/>
        </w:rPr>
        <w:t>, 565–566 (2018).</w:t>
      </w:r>
    </w:p>
    <w:p w14:paraId="4E5C8A25" w14:textId="77777777" w:rsidR="009C3E63" w:rsidRPr="00D11245" w:rsidRDefault="009C3E63" w:rsidP="009C3E63">
      <w:pPr>
        <w:pStyle w:val="Bibliography"/>
        <w:rPr>
          <w:color w:val="000000" w:themeColor="text1"/>
        </w:rPr>
      </w:pPr>
      <w:r w:rsidRPr="00D11245">
        <w:rPr>
          <w:color w:val="000000" w:themeColor="text1"/>
        </w:rPr>
        <w:t>73.</w:t>
      </w:r>
      <w:r w:rsidRPr="00D11245">
        <w:rPr>
          <w:color w:val="000000" w:themeColor="text1"/>
        </w:rPr>
        <w:tab/>
        <w:t xml:space="preserve">Ito S. </w:t>
      </w:r>
      <w:r w:rsidRPr="00D11245">
        <w:rPr>
          <w:i/>
          <w:iCs/>
          <w:color w:val="000000" w:themeColor="text1"/>
        </w:rPr>
        <w:t>et al.</w:t>
      </w:r>
      <w:r w:rsidRPr="00D11245">
        <w:rPr>
          <w:color w:val="000000" w:themeColor="text1"/>
        </w:rPr>
        <w:t xml:space="preserve"> A case of a rectal adenocarcinoma mimicking a neuroendocrine tumor in the background mucosa of amoebic colitis. </w:t>
      </w:r>
      <w:r w:rsidRPr="00D11245">
        <w:rPr>
          <w:i/>
          <w:iCs/>
          <w:color w:val="000000" w:themeColor="text1"/>
        </w:rPr>
        <w:t>Clin. J. Gastroenterol.</w:t>
      </w:r>
      <w:r w:rsidRPr="00D11245">
        <w:rPr>
          <w:color w:val="000000" w:themeColor="text1"/>
        </w:rPr>
        <w:t xml:space="preserve"> (2020) doi:10.1007/s12328-019-01088-1.</w:t>
      </w:r>
    </w:p>
    <w:p w14:paraId="4F2C8EEC" w14:textId="77777777" w:rsidR="009C3E63" w:rsidRPr="00D11245" w:rsidRDefault="009C3E63" w:rsidP="009C3E63">
      <w:pPr>
        <w:pStyle w:val="Bibliography"/>
        <w:rPr>
          <w:color w:val="000000" w:themeColor="text1"/>
        </w:rPr>
      </w:pPr>
      <w:r w:rsidRPr="00D11245">
        <w:rPr>
          <w:color w:val="000000" w:themeColor="text1"/>
        </w:rPr>
        <w:t>74.</w:t>
      </w:r>
      <w:r w:rsidRPr="00D11245">
        <w:rPr>
          <w:color w:val="000000" w:themeColor="text1"/>
        </w:rPr>
        <w:tab/>
        <w:t xml:space="preserve">Sasaki, Y., Yoshida, T., Suzuki, J., Kobayashi, S. &amp; Sato, T. [A Case of Peristomal Cutaneous Ulcer Following Amebic Colitis Caused by Entamoeba histolytica]. </w:t>
      </w:r>
      <w:r w:rsidRPr="00D11245">
        <w:rPr>
          <w:i/>
          <w:iCs/>
          <w:color w:val="000000" w:themeColor="text1"/>
        </w:rPr>
        <w:t>Kansenshogaku zasshi. The Journal of the Japanese Association for Infectious Diseases</w:t>
      </w:r>
      <w:r w:rsidRPr="00D11245">
        <w:rPr>
          <w:color w:val="000000" w:themeColor="text1"/>
        </w:rPr>
        <w:t xml:space="preserve"> </w:t>
      </w:r>
      <w:r w:rsidRPr="00D11245">
        <w:rPr>
          <w:b/>
          <w:bCs/>
          <w:color w:val="000000" w:themeColor="text1"/>
        </w:rPr>
        <w:t>90</w:t>
      </w:r>
      <w:r w:rsidRPr="00D11245">
        <w:rPr>
          <w:color w:val="000000" w:themeColor="text1"/>
        </w:rPr>
        <w:t>, 73–6 (2016).</w:t>
      </w:r>
    </w:p>
    <w:p w14:paraId="7B73D9A2" w14:textId="77777777" w:rsidR="009C3E63" w:rsidRPr="00D11245" w:rsidRDefault="009C3E63" w:rsidP="009C3E63">
      <w:pPr>
        <w:pStyle w:val="Bibliography"/>
        <w:rPr>
          <w:color w:val="000000" w:themeColor="text1"/>
        </w:rPr>
      </w:pPr>
      <w:r w:rsidRPr="00D11245">
        <w:rPr>
          <w:color w:val="000000" w:themeColor="text1"/>
        </w:rPr>
        <w:t>75.</w:t>
      </w:r>
      <w:r w:rsidRPr="00D11245">
        <w:rPr>
          <w:color w:val="000000" w:themeColor="text1"/>
        </w:rPr>
        <w:tab/>
        <w:t xml:space="preserve">Goel, P. </w:t>
      </w:r>
      <w:r w:rsidRPr="00D11245">
        <w:rPr>
          <w:i/>
          <w:iCs/>
          <w:color w:val="000000" w:themeColor="text1"/>
        </w:rPr>
        <w:t>et al.</w:t>
      </w:r>
      <w:r w:rsidRPr="00D11245">
        <w:rPr>
          <w:color w:val="000000" w:themeColor="text1"/>
        </w:rPr>
        <w:t xml:space="preserve"> Entamoeba histolytica: A surprising coexistence with adenocarcinoma - Never brush aside brushings for biopsy. </w:t>
      </w:r>
      <w:r w:rsidRPr="00D11245">
        <w:rPr>
          <w:i/>
          <w:iCs/>
          <w:color w:val="000000" w:themeColor="text1"/>
        </w:rPr>
        <w:t>Journal of Laboratory Physicians</w:t>
      </w:r>
      <w:r w:rsidRPr="00D11245">
        <w:rPr>
          <w:color w:val="000000" w:themeColor="text1"/>
        </w:rPr>
        <w:t xml:space="preserve"> </w:t>
      </w:r>
      <w:r w:rsidRPr="00D11245">
        <w:rPr>
          <w:b/>
          <w:bCs/>
          <w:color w:val="000000" w:themeColor="text1"/>
        </w:rPr>
        <w:t>10</w:t>
      </w:r>
      <w:r w:rsidRPr="00D11245">
        <w:rPr>
          <w:color w:val="000000" w:themeColor="text1"/>
        </w:rPr>
        <w:t>, 251–254 (2018).</w:t>
      </w:r>
    </w:p>
    <w:p w14:paraId="26711D41" w14:textId="77777777" w:rsidR="009C3E63" w:rsidRPr="00D11245" w:rsidRDefault="009C3E63" w:rsidP="009C3E63">
      <w:pPr>
        <w:pStyle w:val="Bibliography"/>
        <w:rPr>
          <w:color w:val="000000" w:themeColor="text1"/>
        </w:rPr>
      </w:pPr>
      <w:r w:rsidRPr="00D11245">
        <w:rPr>
          <w:color w:val="000000" w:themeColor="text1"/>
        </w:rPr>
        <w:t>76.</w:t>
      </w:r>
      <w:r w:rsidRPr="00D11245">
        <w:rPr>
          <w:color w:val="000000" w:themeColor="text1"/>
        </w:rPr>
        <w:tab/>
        <w:t xml:space="preserve">Li A.A., Cholankeril G., Berry G.J., &amp; Fernandez-Becker N. An Unexpected Colonic Mass. </w:t>
      </w:r>
      <w:r w:rsidRPr="00D11245">
        <w:rPr>
          <w:i/>
          <w:iCs/>
          <w:color w:val="000000" w:themeColor="text1"/>
        </w:rPr>
        <w:t>Am. J. Gastroenterol.</w:t>
      </w:r>
      <w:r w:rsidRPr="00D11245">
        <w:rPr>
          <w:color w:val="000000" w:themeColor="text1"/>
        </w:rPr>
        <w:t xml:space="preserve"> </w:t>
      </w:r>
      <w:r w:rsidRPr="00D11245">
        <w:rPr>
          <w:b/>
          <w:bCs/>
          <w:color w:val="000000" w:themeColor="text1"/>
        </w:rPr>
        <w:t>114</w:t>
      </w:r>
      <w:r w:rsidRPr="00D11245">
        <w:rPr>
          <w:color w:val="000000" w:themeColor="text1"/>
        </w:rPr>
        <w:t>, 180–181 (2019).</w:t>
      </w:r>
    </w:p>
    <w:p w14:paraId="5C7C14C3" w14:textId="77777777" w:rsidR="009C3E63" w:rsidRPr="00D11245" w:rsidRDefault="009C3E63" w:rsidP="009C3E63">
      <w:pPr>
        <w:pStyle w:val="Bibliography"/>
        <w:rPr>
          <w:color w:val="000000" w:themeColor="text1"/>
        </w:rPr>
      </w:pPr>
      <w:r w:rsidRPr="00D11245">
        <w:rPr>
          <w:color w:val="000000" w:themeColor="text1"/>
        </w:rPr>
        <w:t>77.</w:t>
      </w:r>
      <w:r w:rsidRPr="00D11245">
        <w:rPr>
          <w:color w:val="000000" w:themeColor="text1"/>
        </w:rPr>
        <w:tab/>
        <w:t xml:space="preserve">Desai P. &amp; Sivaramakrishnan N. Acute fulminant necrotizing amoebic colitis: A potentially fatal cause of diarrhoea on the Acute Medical Unit. </w:t>
      </w:r>
      <w:r w:rsidRPr="00D11245">
        <w:rPr>
          <w:i/>
          <w:iCs/>
          <w:color w:val="000000" w:themeColor="text1"/>
        </w:rPr>
        <w:t>Acute Med.</w:t>
      </w:r>
      <w:r w:rsidRPr="00D11245">
        <w:rPr>
          <w:color w:val="000000" w:themeColor="text1"/>
        </w:rPr>
        <w:t xml:space="preserve"> </w:t>
      </w:r>
      <w:r w:rsidRPr="00D11245">
        <w:rPr>
          <w:b/>
          <w:bCs/>
          <w:color w:val="000000" w:themeColor="text1"/>
        </w:rPr>
        <w:t>10</w:t>
      </w:r>
      <w:r w:rsidRPr="00D11245">
        <w:rPr>
          <w:color w:val="000000" w:themeColor="text1"/>
        </w:rPr>
        <w:t>, 145–148 (2011).</w:t>
      </w:r>
    </w:p>
    <w:p w14:paraId="1F3567FD" w14:textId="77777777" w:rsidR="009C3E63" w:rsidRPr="00D11245" w:rsidRDefault="009C3E63" w:rsidP="009C3E63">
      <w:pPr>
        <w:pStyle w:val="Bibliography"/>
        <w:rPr>
          <w:color w:val="000000" w:themeColor="text1"/>
        </w:rPr>
      </w:pPr>
      <w:r w:rsidRPr="00D11245">
        <w:rPr>
          <w:color w:val="000000" w:themeColor="text1"/>
        </w:rPr>
        <w:t>78.</w:t>
      </w:r>
      <w:r w:rsidRPr="00D11245">
        <w:rPr>
          <w:color w:val="000000" w:themeColor="text1"/>
        </w:rPr>
        <w:tab/>
        <w:t xml:space="preserve">Ortiz-Castillo F. </w:t>
      </w:r>
      <w:r w:rsidRPr="00D11245">
        <w:rPr>
          <w:i/>
          <w:iCs/>
          <w:color w:val="000000" w:themeColor="text1"/>
        </w:rPr>
        <w:t>et al.</w:t>
      </w:r>
      <w:r w:rsidRPr="00D11245">
        <w:rPr>
          <w:color w:val="000000" w:themeColor="text1"/>
        </w:rPr>
        <w:t xml:space="preserve"> Amoebic toxic colitis: Analysis of factors related to mortality. </w:t>
      </w:r>
      <w:r w:rsidRPr="00D11245">
        <w:rPr>
          <w:i/>
          <w:iCs/>
          <w:color w:val="000000" w:themeColor="text1"/>
        </w:rPr>
        <w:t>Pathog. Global Health</w:t>
      </w:r>
      <w:r w:rsidRPr="00D11245">
        <w:rPr>
          <w:color w:val="000000" w:themeColor="text1"/>
        </w:rPr>
        <w:t xml:space="preserve"> </w:t>
      </w:r>
      <w:r w:rsidRPr="00D11245">
        <w:rPr>
          <w:b/>
          <w:bCs/>
          <w:color w:val="000000" w:themeColor="text1"/>
        </w:rPr>
        <w:t>106</w:t>
      </w:r>
      <w:r w:rsidRPr="00D11245">
        <w:rPr>
          <w:color w:val="000000" w:themeColor="text1"/>
        </w:rPr>
        <w:t>, 245–248 (2012).</w:t>
      </w:r>
    </w:p>
    <w:p w14:paraId="5EE32502" w14:textId="77777777" w:rsidR="009C3E63" w:rsidRPr="00D11245" w:rsidRDefault="009C3E63" w:rsidP="009C3E63">
      <w:pPr>
        <w:pStyle w:val="Bibliography"/>
        <w:rPr>
          <w:color w:val="000000" w:themeColor="text1"/>
        </w:rPr>
      </w:pPr>
      <w:r w:rsidRPr="00D11245">
        <w:rPr>
          <w:color w:val="000000" w:themeColor="text1"/>
        </w:rPr>
        <w:t>79.</w:t>
      </w:r>
      <w:r w:rsidRPr="00D11245">
        <w:rPr>
          <w:color w:val="000000" w:themeColor="text1"/>
        </w:rPr>
        <w:tab/>
        <w:t xml:space="preserve">Wingfield, T. </w:t>
      </w:r>
      <w:r w:rsidRPr="00D11245">
        <w:rPr>
          <w:i/>
          <w:iCs/>
          <w:color w:val="000000" w:themeColor="text1"/>
        </w:rPr>
        <w:t>et al.</w:t>
      </w:r>
      <w:r w:rsidRPr="00D11245">
        <w:rPr>
          <w:color w:val="000000" w:themeColor="text1"/>
        </w:rPr>
        <w:t xml:space="preserve"> Closing The Brief Case: A Rare Case of Invasive Amebiasis Requiring Emergency Subtotal Colectomy in an HIV-Positive Man. </w:t>
      </w:r>
      <w:r w:rsidRPr="00D11245">
        <w:rPr>
          <w:i/>
          <w:iCs/>
          <w:color w:val="000000" w:themeColor="text1"/>
        </w:rPr>
        <w:t>Journal of clinical microbiology</w:t>
      </w:r>
      <w:r w:rsidRPr="00D11245">
        <w:rPr>
          <w:color w:val="000000" w:themeColor="text1"/>
        </w:rPr>
        <w:t xml:space="preserve"> </w:t>
      </w:r>
      <w:r w:rsidRPr="00D11245">
        <w:rPr>
          <w:b/>
          <w:bCs/>
          <w:color w:val="000000" w:themeColor="text1"/>
        </w:rPr>
        <w:t>56</w:t>
      </w:r>
      <w:r w:rsidRPr="00D11245">
        <w:rPr>
          <w:color w:val="000000" w:themeColor="text1"/>
        </w:rPr>
        <w:t>, (2018).</w:t>
      </w:r>
    </w:p>
    <w:p w14:paraId="4B0F9E3C" w14:textId="77777777" w:rsidR="009C3E63" w:rsidRPr="00D11245" w:rsidRDefault="009C3E63" w:rsidP="009C3E63">
      <w:pPr>
        <w:pStyle w:val="Bibliography"/>
        <w:rPr>
          <w:color w:val="000000" w:themeColor="text1"/>
        </w:rPr>
      </w:pPr>
      <w:r w:rsidRPr="00D11245">
        <w:rPr>
          <w:color w:val="000000" w:themeColor="text1"/>
        </w:rPr>
        <w:t>80.</w:t>
      </w:r>
      <w:r w:rsidRPr="00D11245">
        <w:rPr>
          <w:color w:val="000000" w:themeColor="text1"/>
        </w:rPr>
        <w:tab/>
        <w:t xml:space="preserve">Kenyon, C. &amp; Otto, M. Bowel ‘infarction’ in a postpartum patient. </w:t>
      </w:r>
      <w:r w:rsidRPr="00D11245">
        <w:rPr>
          <w:i/>
          <w:iCs/>
          <w:color w:val="000000" w:themeColor="text1"/>
        </w:rPr>
        <w:t>Clin Infect Dis</w:t>
      </w:r>
      <w:r w:rsidRPr="00D11245">
        <w:rPr>
          <w:color w:val="000000" w:themeColor="text1"/>
        </w:rPr>
        <w:t xml:space="preserve"> </w:t>
      </w:r>
      <w:r w:rsidRPr="00D11245">
        <w:rPr>
          <w:b/>
          <w:bCs/>
          <w:color w:val="000000" w:themeColor="text1"/>
        </w:rPr>
        <w:t>53</w:t>
      </w:r>
      <w:r w:rsidRPr="00D11245">
        <w:rPr>
          <w:color w:val="000000" w:themeColor="text1"/>
        </w:rPr>
        <w:t>, 914–2 (2011).</w:t>
      </w:r>
    </w:p>
    <w:p w14:paraId="31363BD7" w14:textId="77777777" w:rsidR="009C3E63" w:rsidRPr="00D11245" w:rsidRDefault="009C3E63" w:rsidP="009C3E63">
      <w:pPr>
        <w:pStyle w:val="Bibliography"/>
        <w:rPr>
          <w:color w:val="000000" w:themeColor="text1"/>
        </w:rPr>
      </w:pPr>
      <w:r w:rsidRPr="00D11245">
        <w:rPr>
          <w:color w:val="000000" w:themeColor="text1"/>
        </w:rPr>
        <w:lastRenderedPageBreak/>
        <w:t>81.</w:t>
      </w:r>
      <w:r w:rsidRPr="00D11245">
        <w:rPr>
          <w:color w:val="000000" w:themeColor="text1"/>
        </w:rPr>
        <w:tab/>
        <w:t xml:space="preserve">Badyal R.K., Gupta R., &amp; Vaiphei K. Diffuse perforated necrotising amoebic colitis with histoplasmosis in an immunocompetent individual presenting as an acute abdomen. </w:t>
      </w:r>
      <w:r w:rsidRPr="00D11245">
        <w:rPr>
          <w:i/>
          <w:iCs/>
          <w:color w:val="000000" w:themeColor="text1"/>
        </w:rPr>
        <w:t>BMJ Case Rep.</w:t>
      </w:r>
      <w:r w:rsidRPr="00D11245">
        <w:rPr>
          <w:color w:val="000000" w:themeColor="text1"/>
        </w:rPr>
        <w:t xml:space="preserve"> 009059 (2013) doi:10.1136/bcr-2013-009059.</w:t>
      </w:r>
    </w:p>
    <w:p w14:paraId="08A26AFF" w14:textId="77777777" w:rsidR="009C3E63" w:rsidRPr="00D11245" w:rsidRDefault="009C3E63" w:rsidP="009C3E63">
      <w:pPr>
        <w:pStyle w:val="Bibliography"/>
        <w:rPr>
          <w:color w:val="000000" w:themeColor="text1"/>
        </w:rPr>
      </w:pPr>
      <w:r w:rsidRPr="00D11245">
        <w:rPr>
          <w:color w:val="000000" w:themeColor="text1"/>
        </w:rPr>
        <w:t>82.</w:t>
      </w:r>
      <w:r w:rsidRPr="00D11245">
        <w:rPr>
          <w:color w:val="000000" w:themeColor="text1"/>
        </w:rPr>
        <w:tab/>
        <w:t xml:space="preserve">Kawazoe, A. &amp; Nagata, N. Fulminant amebic colitis with an atypical clinical presentation successfully treated by metronidazole. </w:t>
      </w:r>
      <w:r w:rsidRPr="00D11245">
        <w:rPr>
          <w:i/>
          <w:iCs/>
          <w:color w:val="000000" w:themeColor="text1"/>
        </w:rPr>
        <w:t>Clin Gastroenterol Hepatol</w:t>
      </w:r>
      <w:r w:rsidRPr="00D11245">
        <w:rPr>
          <w:color w:val="000000" w:themeColor="text1"/>
        </w:rPr>
        <w:t xml:space="preserve"> </w:t>
      </w:r>
      <w:r w:rsidRPr="00D11245">
        <w:rPr>
          <w:b/>
          <w:bCs/>
          <w:color w:val="000000" w:themeColor="text1"/>
        </w:rPr>
        <w:t>10</w:t>
      </w:r>
      <w:r w:rsidRPr="00D11245">
        <w:rPr>
          <w:color w:val="000000" w:themeColor="text1"/>
        </w:rPr>
        <w:t>, e91 (2012).</w:t>
      </w:r>
    </w:p>
    <w:p w14:paraId="59EF5B7A" w14:textId="77777777" w:rsidR="009C3E63" w:rsidRPr="00D11245" w:rsidRDefault="009C3E63" w:rsidP="009C3E63">
      <w:pPr>
        <w:pStyle w:val="Bibliography"/>
        <w:rPr>
          <w:color w:val="000000" w:themeColor="text1"/>
        </w:rPr>
      </w:pPr>
      <w:r w:rsidRPr="00D11245">
        <w:rPr>
          <w:color w:val="000000" w:themeColor="text1"/>
        </w:rPr>
        <w:t>83.</w:t>
      </w:r>
      <w:r w:rsidRPr="00D11245">
        <w:rPr>
          <w:color w:val="000000" w:themeColor="text1"/>
        </w:rPr>
        <w:tab/>
        <w:t xml:space="preserve">Morris, P. D., Lee, D., Chung, K. K.-Y., Shin, J.-S. &amp; Byrne, C. Fulminant amoebic colitis and septic shock in a returning traveller. </w:t>
      </w:r>
      <w:r w:rsidRPr="00D11245">
        <w:rPr>
          <w:i/>
          <w:iCs/>
          <w:color w:val="000000" w:themeColor="text1"/>
        </w:rPr>
        <w:t>ANZ J Surg</w:t>
      </w:r>
      <w:r w:rsidRPr="00D11245">
        <w:rPr>
          <w:color w:val="000000" w:themeColor="text1"/>
        </w:rPr>
        <w:t xml:space="preserve"> </w:t>
      </w:r>
      <w:r w:rsidRPr="00D11245">
        <w:rPr>
          <w:b/>
          <w:bCs/>
          <w:color w:val="000000" w:themeColor="text1"/>
        </w:rPr>
        <w:t>89</w:t>
      </w:r>
      <w:r w:rsidRPr="00D11245">
        <w:rPr>
          <w:color w:val="000000" w:themeColor="text1"/>
        </w:rPr>
        <w:t>, E50 (2019).</w:t>
      </w:r>
    </w:p>
    <w:p w14:paraId="4E9542EB" w14:textId="77777777" w:rsidR="009C3E63" w:rsidRPr="00D11245" w:rsidRDefault="009C3E63" w:rsidP="009C3E63">
      <w:pPr>
        <w:pStyle w:val="Bibliography"/>
        <w:rPr>
          <w:color w:val="000000" w:themeColor="text1"/>
        </w:rPr>
      </w:pPr>
      <w:r w:rsidRPr="00D11245">
        <w:rPr>
          <w:color w:val="000000" w:themeColor="text1"/>
        </w:rPr>
        <w:t>84.</w:t>
      </w:r>
      <w:r w:rsidRPr="00D11245">
        <w:rPr>
          <w:color w:val="000000" w:themeColor="text1"/>
        </w:rPr>
        <w:tab/>
        <w:t xml:space="preserve">Arvind M., Nijhar J.S., &amp; Ramasamy P. Fulminant necrotising amoebic colitis: A diagnostic conundrum. </w:t>
      </w:r>
      <w:r w:rsidRPr="00D11245">
        <w:rPr>
          <w:i/>
          <w:iCs/>
          <w:color w:val="000000" w:themeColor="text1"/>
        </w:rPr>
        <w:t>Med. J. Malays.</w:t>
      </w:r>
      <w:r w:rsidRPr="00D11245">
        <w:rPr>
          <w:color w:val="000000" w:themeColor="text1"/>
        </w:rPr>
        <w:t xml:space="preserve"> </w:t>
      </w:r>
      <w:r w:rsidRPr="00D11245">
        <w:rPr>
          <w:b/>
          <w:bCs/>
          <w:color w:val="000000" w:themeColor="text1"/>
        </w:rPr>
        <w:t>70</w:t>
      </w:r>
      <w:r w:rsidRPr="00D11245">
        <w:rPr>
          <w:color w:val="000000" w:themeColor="text1"/>
        </w:rPr>
        <w:t>, 365–366 (2015).</w:t>
      </w:r>
    </w:p>
    <w:p w14:paraId="4F3504EA" w14:textId="77777777" w:rsidR="009C3E63" w:rsidRPr="00D11245" w:rsidRDefault="009C3E63" w:rsidP="009C3E63">
      <w:pPr>
        <w:pStyle w:val="Bibliography"/>
        <w:rPr>
          <w:color w:val="000000" w:themeColor="text1"/>
        </w:rPr>
      </w:pPr>
      <w:r w:rsidRPr="00D11245">
        <w:rPr>
          <w:color w:val="000000" w:themeColor="text1"/>
        </w:rPr>
        <w:t>85.</w:t>
      </w:r>
      <w:r w:rsidRPr="00D11245">
        <w:rPr>
          <w:color w:val="000000" w:themeColor="text1"/>
        </w:rPr>
        <w:tab/>
        <w:t xml:space="preserve">The Brief Case: A Rare Case of Invasive Amebiasis Requiring Emergency Subtotal Colectomy in an HIV-Positive Man. </w:t>
      </w:r>
      <w:r w:rsidRPr="00D11245">
        <w:rPr>
          <w:i/>
          <w:iCs/>
          <w:color w:val="000000" w:themeColor="text1"/>
        </w:rPr>
        <w:t>Journal of Clinical Microbiology</w:t>
      </w:r>
      <w:r w:rsidRPr="00D11245">
        <w:rPr>
          <w:color w:val="000000" w:themeColor="text1"/>
        </w:rPr>
        <w:t xml:space="preserve"> </w:t>
      </w:r>
      <w:r w:rsidRPr="00D11245">
        <w:rPr>
          <w:b/>
          <w:bCs/>
          <w:color w:val="000000" w:themeColor="text1"/>
        </w:rPr>
        <w:t>56</w:t>
      </w:r>
      <w:r w:rsidRPr="00D11245">
        <w:rPr>
          <w:color w:val="000000" w:themeColor="text1"/>
        </w:rPr>
        <w:t>, (2018).</w:t>
      </w:r>
    </w:p>
    <w:p w14:paraId="400A7327" w14:textId="77777777" w:rsidR="009C3E63" w:rsidRPr="00D11245" w:rsidRDefault="009C3E63" w:rsidP="009C3E63">
      <w:pPr>
        <w:pStyle w:val="Bibliography"/>
        <w:rPr>
          <w:color w:val="000000" w:themeColor="text1"/>
        </w:rPr>
      </w:pPr>
      <w:r w:rsidRPr="00D11245">
        <w:rPr>
          <w:color w:val="000000" w:themeColor="text1"/>
        </w:rPr>
        <w:t>86.</w:t>
      </w:r>
      <w:r w:rsidRPr="00D11245">
        <w:rPr>
          <w:color w:val="000000" w:themeColor="text1"/>
        </w:rPr>
        <w:tab/>
        <w:t xml:space="preserve">Chaturvedi R., Gupte P.A., &amp; Joshi A.S. Fulminant amoebic colitis: A clinicopathological study of 30 cases. </w:t>
      </w:r>
      <w:r w:rsidRPr="00D11245">
        <w:rPr>
          <w:i/>
          <w:iCs/>
          <w:color w:val="000000" w:themeColor="text1"/>
        </w:rPr>
        <w:t>Postgrad. Med. J.</w:t>
      </w:r>
      <w:r w:rsidRPr="00D11245">
        <w:rPr>
          <w:color w:val="000000" w:themeColor="text1"/>
        </w:rPr>
        <w:t xml:space="preserve"> </w:t>
      </w:r>
      <w:r w:rsidRPr="00D11245">
        <w:rPr>
          <w:b/>
          <w:bCs/>
          <w:color w:val="000000" w:themeColor="text1"/>
        </w:rPr>
        <w:t>91</w:t>
      </w:r>
      <w:r w:rsidRPr="00D11245">
        <w:rPr>
          <w:color w:val="000000" w:themeColor="text1"/>
        </w:rPr>
        <w:t>, 200–205 (2015).</w:t>
      </w:r>
    </w:p>
    <w:p w14:paraId="6BF07974" w14:textId="77777777" w:rsidR="009C3E63" w:rsidRPr="00D11245" w:rsidRDefault="009C3E63" w:rsidP="009C3E63">
      <w:pPr>
        <w:pStyle w:val="Bibliography"/>
        <w:rPr>
          <w:color w:val="000000" w:themeColor="text1"/>
        </w:rPr>
      </w:pPr>
      <w:r w:rsidRPr="00D11245">
        <w:rPr>
          <w:color w:val="000000" w:themeColor="text1"/>
        </w:rPr>
        <w:t>87.</w:t>
      </w:r>
      <w:r w:rsidRPr="00D11245">
        <w:rPr>
          <w:color w:val="000000" w:themeColor="text1"/>
        </w:rPr>
        <w:tab/>
        <w:t xml:space="preserve">Singh N.G., Rifat Mannan A.A.S., &amp; Kahvic M. Acute amebic appendicitis: Report of a rare case. </w:t>
      </w:r>
      <w:r w:rsidRPr="00D11245">
        <w:rPr>
          <w:i/>
          <w:iCs/>
          <w:color w:val="000000" w:themeColor="text1"/>
        </w:rPr>
        <w:t>Indian J. Pathol. Microbiol.</w:t>
      </w:r>
      <w:r w:rsidRPr="00D11245">
        <w:rPr>
          <w:color w:val="000000" w:themeColor="text1"/>
        </w:rPr>
        <w:t xml:space="preserve"> </w:t>
      </w:r>
      <w:r w:rsidRPr="00D11245">
        <w:rPr>
          <w:b/>
          <w:bCs/>
          <w:color w:val="000000" w:themeColor="text1"/>
        </w:rPr>
        <w:t>53</w:t>
      </w:r>
      <w:r w:rsidRPr="00D11245">
        <w:rPr>
          <w:color w:val="000000" w:themeColor="text1"/>
        </w:rPr>
        <w:t>, 767–768 (2010).</w:t>
      </w:r>
    </w:p>
    <w:p w14:paraId="037052A0" w14:textId="77777777" w:rsidR="009C3E63" w:rsidRPr="00D11245" w:rsidRDefault="009C3E63" w:rsidP="009C3E63">
      <w:pPr>
        <w:pStyle w:val="Bibliography"/>
        <w:rPr>
          <w:color w:val="000000" w:themeColor="text1"/>
        </w:rPr>
      </w:pPr>
      <w:r w:rsidRPr="00D11245">
        <w:rPr>
          <w:color w:val="000000" w:themeColor="text1"/>
        </w:rPr>
        <w:t>88.</w:t>
      </w:r>
      <w:r w:rsidRPr="00D11245">
        <w:rPr>
          <w:color w:val="000000" w:themeColor="text1"/>
        </w:rPr>
        <w:tab/>
        <w:t xml:space="preserve">Kishore M., Chauhan D.S., Rahar S., &amp; Singh S. Acute amoebic appendicitis: A rare case report. </w:t>
      </w:r>
      <w:r w:rsidRPr="00D11245">
        <w:rPr>
          <w:i/>
          <w:iCs/>
          <w:color w:val="000000" w:themeColor="text1"/>
        </w:rPr>
        <w:t>J. Clin. Diagn. Res.</w:t>
      </w:r>
      <w:r w:rsidRPr="00D11245">
        <w:rPr>
          <w:color w:val="000000" w:themeColor="text1"/>
        </w:rPr>
        <w:t xml:space="preserve"> </w:t>
      </w:r>
      <w:r w:rsidRPr="00D11245">
        <w:rPr>
          <w:b/>
          <w:bCs/>
          <w:color w:val="000000" w:themeColor="text1"/>
        </w:rPr>
        <w:t>12</w:t>
      </w:r>
      <w:r w:rsidRPr="00D11245">
        <w:rPr>
          <w:color w:val="000000" w:themeColor="text1"/>
        </w:rPr>
        <w:t>, ED01–ED02 (2018).</w:t>
      </w:r>
    </w:p>
    <w:p w14:paraId="071E84CB" w14:textId="77777777" w:rsidR="009C3E63" w:rsidRPr="00D11245" w:rsidRDefault="009C3E63" w:rsidP="009C3E63">
      <w:pPr>
        <w:pStyle w:val="Bibliography"/>
        <w:rPr>
          <w:color w:val="000000" w:themeColor="text1"/>
        </w:rPr>
      </w:pPr>
      <w:r w:rsidRPr="00D11245">
        <w:rPr>
          <w:color w:val="000000" w:themeColor="text1"/>
        </w:rPr>
        <w:t>89.</w:t>
      </w:r>
      <w:r w:rsidRPr="00D11245">
        <w:rPr>
          <w:color w:val="000000" w:themeColor="text1"/>
        </w:rPr>
        <w:tab/>
        <w:t xml:space="preserve">Ito D. </w:t>
      </w:r>
      <w:r w:rsidRPr="00D11245">
        <w:rPr>
          <w:i/>
          <w:iCs/>
          <w:color w:val="000000" w:themeColor="text1"/>
        </w:rPr>
        <w:t>et al.</w:t>
      </w:r>
      <w:r w:rsidRPr="00D11245">
        <w:rPr>
          <w:color w:val="000000" w:themeColor="text1"/>
        </w:rPr>
        <w:t xml:space="preserve"> Amebiasis presenting as acute appendicitis: Report of a case and review of Japanese literature. </w:t>
      </w:r>
      <w:r w:rsidRPr="00D11245">
        <w:rPr>
          <w:i/>
          <w:iCs/>
          <w:color w:val="000000" w:themeColor="text1"/>
        </w:rPr>
        <w:t>Int. J. Surg. Case Rep.</w:t>
      </w:r>
      <w:r w:rsidRPr="00D11245">
        <w:rPr>
          <w:color w:val="000000" w:themeColor="text1"/>
        </w:rPr>
        <w:t xml:space="preserve"> </w:t>
      </w:r>
      <w:r w:rsidRPr="00D11245">
        <w:rPr>
          <w:b/>
          <w:bCs/>
          <w:color w:val="000000" w:themeColor="text1"/>
        </w:rPr>
        <w:t>5</w:t>
      </w:r>
      <w:r w:rsidRPr="00D11245">
        <w:rPr>
          <w:color w:val="000000" w:themeColor="text1"/>
        </w:rPr>
        <w:t>, 1054–1057 (2014).</w:t>
      </w:r>
    </w:p>
    <w:p w14:paraId="38D909DB" w14:textId="77777777" w:rsidR="009C3E63" w:rsidRPr="00D11245" w:rsidRDefault="009C3E63" w:rsidP="009C3E63">
      <w:pPr>
        <w:pStyle w:val="Bibliography"/>
        <w:rPr>
          <w:color w:val="000000" w:themeColor="text1"/>
        </w:rPr>
      </w:pPr>
      <w:r w:rsidRPr="00D11245">
        <w:rPr>
          <w:color w:val="000000" w:themeColor="text1"/>
        </w:rPr>
        <w:t>90.</w:t>
      </w:r>
      <w:r w:rsidRPr="00D11245">
        <w:rPr>
          <w:color w:val="000000" w:themeColor="text1"/>
        </w:rPr>
        <w:tab/>
        <w:t xml:space="preserve">Herrera, G. C. </w:t>
      </w:r>
      <w:r w:rsidRPr="00D11245">
        <w:rPr>
          <w:i/>
          <w:iCs/>
          <w:color w:val="000000" w:themeColor="text1"/>
        </w:rPr>
        <w:t>et al.</w:t>
      </w:r>
      <w:r w:rsidRPr="00D11245">
        <w:rPr>
          <w:color w:val="000000" w:themeColor="text1"/>
        </w:rPr>
        <w:t xml:space="preserve"> Amebiasis, a rare cause of acute appendicitis. </w:t>
      </w:r>
      <w:r w:rsidRPr="00D11245">
        <w:rPr>
          <w:i/>
          <w:iCs/>
          <w:color w:val="000000" w:themeColor="text1"/>
        </w:rPr>
        <w:t>Journal of Surgical Case Reports</w:t>
      </w:r>
      <w:r w:rsidRPr="00D11245">
        <w:rPr>
          <w:color w:val="000000" w:themeColor="text1"/>
        </w:rPr>
        <w:t xml:space="preserve"> rjz076 (2019) doi:10.1093/jscr/rjz076.</w:t>
      </w:r>
    </w:p>
    <w:p w14:paraId="795BF38B" w14:textId="77777777" w:rsidR="009C3E63" w:rsidRPr="00D11245" w:rsidRDefault="009C3E63" w:rsidP="009C3E63">
      <w:pPr>
        <w:pStyle w:val="Bibliography"/>
        <w:rPr>
          <w:color w:val="000000" w:themeColor="text1"/>
        </w:rPr>
      </w:pPr>
      <w:r w:rsidRPr="00D11245">
        <w:rPr>
          <w:color w:val="000000" w:themeColor="text1"/>
        </w:rPr>
        <w:t>91.</w:t>
      </w:r>
      <w:r w:rsidRPr="00D11245">
        <w:rPr>
          <w:color w:val="000000" w:themeColor="text1"/>
        </w:rPr>
        <w:tab/>
        <w:t xml:space="preserve">Ichikawa H. </w:t>
      </w:r>
      <w:r w:rsidRPr="00D11245">
        <w:rPr>
          <w:i/>
          <w:iCs/>
          <w:color w:val="000000" w:themeColor="text1"/>
        </w:rPr>
        <w:t>et al.</w:t>
      </w:r>
      <w:r w:rsidRPr="00D11245">
        <w:rPr>
          <w:color w:val="000000" w:themeColor="text1"/>
        </w:rPr>
        <w:t xml:space="preserve"> Amoebiasis presenting as acute appendicitis. </w:t>
      </w:r>
      <w:r w:rsidRPr="00D11245">
        <w:rPr>
          <w:i/>
          <w:iCs/>
          <w:color w:val="000000" w:themeColor="text1"/>
        </w:rPr>
        <w:t>Tokai J. Exp. Clin. Med.</w:t>
      </w:r>
      <w:r w:rsidRPr="00D11245">
        <w:rPr>
          <w:color w:val="000000" w:themeColor="text1"/>
        </w:rPr>
        <w:t xml:space="preserve"> </w:t>
      </w:r>
      <w:r w:rsidRPr="00D11245">
        <w:rPr>
          <w:b/>
          <w:bCs/>
          <w:color w:val="000000" w:themeColor="text1"/>
        </w:rPr>
        <w:t>41</w:t>
      </w:r>
      <w:r w:rsidRPr="00D11245">
        <w:rPr>
          <w:color w:val="000000" w:themeColor="text1"/>
        </w:rPr>
        <w:t>, 227–229 (2016).</w:t>
      </w:r>
    </w:p>
    <w:p w14:paraId="579B054B" w14:textId="77777777" w:rsidR="009C3E63" w:rsidRPr="00D11245" w:rsidRDefault="009C3E63" w:rsidP="009C3E63">
      <w:pPr>
        <w:pStyle w:val="Bibliography"/>
        <w:rPr>
          <w:color w:val="000000" w:themeColor="text1"/>
        </w:rPr>
      </w:pPr>
      <w:r w:rsidRPr="00D11245">
        <w:rPr>
          <w:color w:val="000000" w:themeColor="text1"/>
        </w:rPr>
        <w:t>92.</w:t>
      </w:r>
      <w:r w:rsidRPr="00D11245">
        <w:rPr>
          <w:color w:val="000000" w:themeColor="text1"/>
        </w:rPr>
        <w:tab/>
        <w:t>Norwich, I. &amp; JOUR. Amoebiasis presenting as acute appendicitis. (2019).</w:t>
      </w:r>
    </w:p>
    <w:p w14:paraId="7126FA5D" w14:textId="77777777" w:rsidR="009C3E63" w:rsidRPr="00D11245" w:rsidRDefault="009C3E63" w:rsidP="009C3E63">
      <w:pPr>
        <w:pStyle w:val="Bibliography"/>
        <w:rPr>
          <w:color w:val="000000" w:themeColor="text1"/>
        </w:rPr>
      </w:pPr>
      <w:r w:rsidRPr="00D11245">
        <w:rPr>
          <w:color w:val="000000" w:themeColor="text1"/>
        </w:rPr>
        <w:t>93.</w:t>
      </w:r>
      <w:r w:rsidRPr="00D11245">
        <w:rPr>
          <w:color w:val="000000" w:themeColor="text1"/>
        </w:rPr>
        <w:tab/>
        <w:t xml:space="preserve">Taiichiro Kobayashi </w:t>
      </w:r>
      <w:r w:rsidRPr="00D11245">
        <w:rPr>
          <w:i/>
          <w:iCs/>
          <w:color w:val="000000" w:themeColor="text1"/>
        </w:rPr>
        <w:t>et al.</w:t>
      </w:r>
      <w:r w:rsidRPr="00D11245">
        <w:rPr>
          <w:color w:val="000000" w:themeColor="text1"/>
        </w:rPr>
        <w:t xml:space="preserve"> Underestimated Amoebic Appendicitis among HIV-1-Infected Individuals in Japan. </w:t>
      </w:r>
      <w:r w:rsidRPr="00D11245">
        <w:rPr>
          <w:i/>
          <w:iCs/>
          <w:color w:val="000000" w:themeColor="text1"/>
        </w:rPr>
        <w:t>Journal of clinical microbiology</w:t>
      </w:r>
      <w:r w:rsidRPr="00D11245">
        <w:rPr>
          <w:color w:val="000000" w:themeColor="text1"/>
        </w:rPr>
        <w:t xml:space="preserve"> </w:t>
      </w:r>
      <w:r w:rsidRPr="00D11245">
        <w:rPr>
          <w:b/>
          <w:bCs/>
          <w:color w:val="000000" w:themeColor="text1"/>
        </w:rPr>
        <w:t>55</w:t>
      </w:r>
      <w:r w:rsidRPr="00D11245">
        <w:rPr>
          <w:color w:val="000000" w:themeColor="text1"/>
        </w:rPr>
        <w:t>, 313–320 (2016).</w:t>
      </w:r>
    </w:p>
    <w:p w14:paraId="7F5FC61B" w14:textId="77777777" w:rsidR="009C3E63" w:rsidRPr="00D11245" w:rsidRDefault="009C3E63" w:rsidP="009C3E63">
      <w:pPr>
        <w:pStyle w:val="Bibliography"/>
        <w:rPr>
          <w:color w:val="000000" w:themeColor="text1"/>
        </w:rPr>
      </w:pPr>
      <w:r w:rsidRPr="00D11245">
        <w:rPr>
          <w:color w:val="000000" w:themeColor="text1"/>
        </w:rPr>
        <w:lastRenderedPageBreak/>
        <w:t>94.</w:t>
      </w:r>
      <w:r w:rsidRPr="00D11245">
        <w:rPr>
          <w:color w:val="000000" w:themeColor="text1"/>
        </w:rPr>
        <w:tab/>
        <w:t xml:space="preserve">Ouadi, Y. </w:t>
      </w:r>
      <w:r w:rsidRPr="00D11245">
        <w:rPr>
          <w:i/>
          <w:iCs/>
          <w:color w:val="000000" w:themeColor="text1"/>
        </w:rPr>
        <w:t>et al.</w:t>
      </w:r>
      <w:r w:rsidRPr="00D11245">
        <w:rPr>
          <w:color w:val="000000" w:themeColor="text1"/>
        </w:rPr>
        <w:t xml:space="preserve"> Amoeboma of the gallbladder mimicking a cholangiocarcinoma: A case report. </w:t>
      </w:r>
      <w:r w:rsidRPr="00D11245">
        <w:rPr>
          <w:i/>
          <w:iCs/>
          <w:color w:val="000000" w:themeColor="text1"/>
        </w:rPr>
        <w:t>International Journal of Surgery Case Reports</w:t>
      </w:r>
      <w:r w:rsidRPr="00D11245">
        <w:rPr>
          <w:color w:val="000000" w:themeColor="text1"/>
        </w:rPr>
        <w:t xml:space="preserve"> </w:t>
      </w:r>
      <w:r w:rsidRPr="00D11245">
        <w:rPr>
          <w:b/>
          <w:bCs/>
          <w:color w:val="000000" w:themeColor="text1"/>
        </w:rPr>
        <w:t>110</w:t>
      </w:r>
      <w:r w:rsidRPr="00D11245">
        <w:rPr>
          <w:color w:val="000000" w:themeColor="text1"/>
        </w:rPr>
        <w:t>, 108656 (2023).</w:t>
      </w:r>
    </w:p>
    <w:p w14:paraId="183FF19F" w14:textId="77777777" w:rsidR="009C3E63" w:rsidRPr="00D11245" w:rsidRDefault="009C3E63" w:rsidP="009C3E63">
      <w:pPr>
        <w:pStyle w:val="Bibliography"/>
        <w:rPr>
          <w:color w:val="000000" w:themeColor="text1"/>
        </w:rPr>
      </w:pPr>
      <w:r w:rsidRPr="00D11245">
        <w:rPr>
          <w:color w:val="000000" w:themeColor="text1"/>
        </w:rPr>
        <w:t>95.</w:t>
      </w:r>
      <w:r w:rsidRPr="00D11245">
        <w:rPr>
          <w:color w:val="000000" w:themeColor="text1"/>
        </w:rPr>
        <w:tab/>
        <w:t xml:space="preserve">Takahashi T. &amp; Iwamoto A. Perianal fistula caused by intestinal invasive amebiasis in a male patient with AIDS. </w:t>
      </w:r>
      <w:r w:rsidRPr="00D11245">
        <w:rPr>
          <w:i/>
          <w:iCs/>
          <w:color w:val="000000" w:themeColor="text1"/>
        </w:rPr>
        <w:t>J. Exp. Clin. Med.</w:t>
      </w:r>
      <w:r w:rsidRPr="00D11245">
        <w:rPr>
          <w:color w:val="000000" w:themeColor="text1"/>
        </w:rPr>
        <w:t xml:space="preserve"> </w:t>
      </w:r>
      <w:r w:rsidRPr="00D11245">
        <w:rPr>
          <w:b/>
          <w:bCs/>
          <w:color w:val="000000" w:themeColor="text1"/>
        </w:rPr>
        <w:t>5</w:t>
      </w:r>
      <w:r w:rsidRPr="00D11245">
        <w:rPr>
          <w:color w:val="000000" w:themeColor="text1"/>
        </w:rPr>
        <w:t>, 237–238 (2013).</w:t>
      </w:r>
    </w:p>
    <w:p w14:paraId="68252552" w14:textId="77777777" w:rsidR="009C3E63" w:rsidRPr="00D11245" w:rsidRDefault="009C3E63" w:rsidP="009C3E63">
      <w:pPr>
        <w:pStyle w:val="Bibliography"/>
        <w:rPr>
          <w:color w:val="000000" w:themeColor="text1"/>
        </w:rPr>
      </w:pPr>
      <w:r w:rsidRPr="00D11245">
        <w:rPr>
          <w:color w:val="000000" w:themeColor="text1"/>
        </w:rPr>
        <w:t>96.</w:t>
      </w:r>
      <w:r w:rsidRPr="00D11245">
        <w:rPr>
          <w:color w:val="000000" w:themeColor="text1"/>
        </w:rPr>
        <w:tab/>
        <w:t xml:space="preserve">Agrawal V., Garg P.K., Jain B.K., Mishra K., &amp; Mohanty D. Amoebic anal fistula: new insight into an old disease. </w:t>
      </w:r>
      <w:r w:rsidRPr="00D11245">
        <w:rPr>
          <w:i/>
          <w:iCs/>
          <w:color w:val="000000" w:themeColor="text1"/>
        </w:rPr>
        <w:t>Acta Med Indones</w:t>
      </w:r>
      <w:r w:rsidRPr="00D11245">
        <w:rPr>
          <w:color w:val="000000" w:themeColor="text1"/>
        </w:rPr>
        <w:t xml:space="preserve"> </w:t>
      </w:r>
      <w:r w:rsidRPr="00D11245">
        <w:rPr>
          <w:b/>
          <w:bCs/>
          <w:color w:val="000000" w:themeColor="text1"/>
        </w:rPr>
        <w:t>46</w:t>
      </w:r>
      <w:r w:rsidRPr="00D11245">
        <w:rPr>
          <w:color w:val="000000" w:themeColor="text1"/>
        </w:rPr>
        <w:t>, 131–133 (2014).</w:t>
      </w:r>
    </w:p>
    <w:p w14:paraId="74159C58" w14:textId="77777777" w:rsidR="009C3E63" w:rsidRPr="00D11245" w:rsidRDefault="009C3E63" w:rsidP="009C3E63">
      <w:pPr>
        <w:pStyle w:val="Bibliography"/>
        <w:rPr>
          <w:color w:val="000000" w:themeColor="text1"/>
        </w:rPr>
      </w:pPr>
      <w:r w:rsidRPr="00D11245">
        <w:rPr>
          <w:color w:val="000000" w:themeColor="text1"/>
        </w:rPr>
        <w:t>97.</w:t>
      </w:r>
      <w:r w:rsidRPr="00D11245">
        <w:rPr>
          <w:color w:val="000000" w:themeColor="text1"/>
        </w:rPr>
        <w:tab/>
        <w:t>Jones, O. P., Murphy, J. A., Hamid, B. N. &amp; Vimalachandran, D. Colocutaneous fistula secondary to amoebiasis. (2010).</w:t>
      </w:r>
    </w:p>
    <w:p w14:paraId="7C1BC8D6" w14:textId="77777777" w:rsidR="009C3E63" w:rsidRPr="00D11245" w:rsidRDefault="009C3E63" w:rsidP="009C3E63">
      <w:pPr>
        <w:pStyle w:val="Bibliography"/>
        <w:rPr>
          <w:color w:val="000000" w:themeColor="text1"/>
        </w:rPr>
      </w:pPr>
      <w:r w:rsidRPr="00D11245">
        <w:rPr>
          <w:color w:val="000000" w:themeColor="text1"/>
        </w:rPr>
        <w:t>98.</w:t>
      </w:r>
      <w:r w:rsidRPr="00D11245">
        <w:rPr>
          <w:color w:val="000000" w:themeColor="text1"/>
        </w:rPr>
        <w:tab/>
        <w:t>Dinner, M. &amp; JOUR. INTERNAL INTESTINAL FISTULAE CAUSED BY AMOEBIASIS. (2018).</w:t>
      </w:r>
    </w:p>
    <w:p w14:paraId="50F4B719" w14:textId="77777777" w:rsidR="009C3E63" w:rsidRPr="00D11245" w:rsidRDefault="009C3E63" w:rsidP="009C3E63">
      <w:pPr>
        <w:pStyle w:val="Bibliography"/>
        <w:rPr>
          <w:color w:val="000000" w:themeColor="text1"/>
        </w:rPr>
      </w:pPr>
      <w:r w:rsidRPr="00D11245">
        <w:rPr>
          <w:color w:val="000000" w:themeColor="text1"/>
        </w:rPr>
        <w:t>99.</w:t>
      </w:r>
      <w:r w:rsidRPr="00D11245">
        <w:rPr>
          <w:color w:val="000000" w:themeColor="text1"/>
        </w:rPr>
        <w:tab/>
        <w:t xml:space="preserve">Ayari, H. </w:t>
      </w:r>
      <w:r w:rsidRPr="00D11245">
        <w:rPr>
          <w:i/>
          <w:iCs/>
          <w:color w:val="000000" w:themeColor="text1"/>
        </w:rPr>
        <w:t>et al.</w:t>
      </w:r>
      <w:r w:rsidRPr="00D11245">
        <w:rPr>
          <w:color w:val="000000" w:themeColor="text1"/>
        </w:rPr>
        <w:t xml:space="preserve"> [Colonic amoebiasis simulating a cecal tumor: case report]. </w:t>
      </w:r>
      <w:r w:rsidRPr="00D11245">
        <w:rPr>
          <w:i/>
          <w:iCs/>
          <w:color w:val="000000" w:themeColor="text1"/>
        </w:rPr>
        <w:t>Medecine et sante tropicales</w:t>
      </w:r>
      <w:r w:rsidRPr="00D11245">
        <w:rPr>
          <w:color w:val="000000" w:themeColor="text1"/>
        </w:rPr>
        <w:t xml:space="preserve"> </w:t>
      </w:r>
      <w:r w:rsidRPr="00D11245">
        <w:rPr>
          <w:b/>
          <w:bCs/>
          <w:color w:val="000000" w:themeColor="text1"/>
        </w:rPr>
        <w:t>23</w:t>
      </w:r>
      <w:r w:rsidRPr="00D11245">
        <w:rPr>
          <w:color w:val="000000" w:themeColor="text1"/>
        </w:rPr>
        <w:t>, 274–5 (2013).</w:t>
      </w:r>
    </w:p>
    <w:p w14:paraId="57210F93" w14:textId="77777777" w:rsidR="009C3E63" w:rsidRPr="00D11245" w:rsidRDefault="009C3E63" w:rsidP="009C3E63">
      <w:pPr>
        <w:pStyle w:val="Bibliography"/>
        <w:rPr>
          <w:color w:val="000000" w:themeColor="text1"/>
        </w:rPr>
      </w:pPr>
      <w:r w:rsidRPr="00D11245">
        <w:rPr>
          <w:color w:val="000000" w:themeColor="text1"/>
        </w:rPr>
        <w:t>100.</w:t>
      </w:r>
      <w:r w:rsidRPr="00D11245">
        <w:rPr>
          <w:color w:val="000000" w:themeColor="text1"/>
        </w:rPr>
        <w:tab/>
        <w:t xml:space="preserve">Grosse, A. Diagnosis of colonic amebiasis and coexisting signet-ring cell carcinoma in intestinal biopsy. </w:t>
      </w:r>
      <w:r w:rsidRPr="00D11245">
        <w:rPr>
          <w:i/>
          <w:iCs/>
          <w:color w:val="000000" w:themeColor="text1"/>
        </w:rPr>
        <w:t>World Journal of Gastroenterology</w:t>
      </w:r>
      <w:r w:rsidRPr="00D11245">
        <w:rPr>
          <w:color w:val="000000" w:themeColor="text1"/>
        </w:rPr>
        <w:t xml:space="preserve"> </w:t>
      </w:r>
      <w:r w:rsidRPr="00D11245">
        <w:rPr>
          <w:b/>
          <w:bCs/>
          <w:color w:val="000000" w:themeColor="text1"/>
        </w:rPr>
        <w:t>22</w:t>
      </w:r>
      <w:r w:rsidRPr="00D11245">
        <w:rPr>
          <w:color w:val="000000" w:themeColor="text1"/>
        </w:rPr>
        <w:t>, 8234–8234 (2016).</w:t>
      </w:r>
    </w:p>
    <w:p w14:paraId="2A5F5DE9" w14:textId="77777777" w:rsidR="009C3E63" w:rsidRPr="00D11245" w:rsidRDefault="009C3E63" w:rsidP="009C3E63">
      <w:pPr>
        <w:pStyle w:val="Bibliography"/>
        <w:rPr>
          <w:color w:val="000000" w:themeColor="text1"/>
        </w:rPr>
      </w:pPr>
      <w:r w:rsidRPr="00D11245">
        <w:rPr>
          <w:color w:val="000000" w:themeColor="text1"/>
        </w:rPr>
        <w:t>101.</w:t>
      </w:r>
      <w:r w:rsidRPr="00D11245">
        <w:rPr>
          <w:color w:val="000000" w:themeColor="text1"/>
        </w:rPr>
        <w:tab/>
        <w:t>Gupta, P., Sahay, A., Ramadwar, M. &amp; Saklani, A. Entamoeba Histolytica Infesting Colonic Malignancy: First Series of Four Cases. (2018).</w:t>
      </w:r>
    </w:p>
    <w:p w14:paraId="27A26F84" w14:textId="77777777" w:rsidR="009C3E63" w:rsidRPr="00D11245" w:rsidRDefault="009C3E63" w:rsidP="009C3E63">
      <w:pPr>
        <w:pStyle w:val="Bibliography"/>
        <w:rPr>
          <w:color w:val="000000" w:themeColor="text1"/>
        </w:rPr>
      </w:pPr>
      <w:r w:rsidRPr="00D11245">
        <w:rPr>
          <w:color w:val="000000" w:themeColor="text1"/>
        </w:rPr>
        <w:t>102.</w:t>
      </w:r>
      <w:r w:rsidRPr="00D11245">
        <w:rPr>
          <w:color w:val="000000" w:themeColor="text1"/>
        </w:rPr>
        <w:tab/>
        <w:t xml:space="preserve">Al Rehily S., Kaki R., Al Ghamdi F., &amp; El-Hossary D. Amoeboma in a Saudi resident: A case report. </w:t>
      </w:r>
      <w:r w:rsidRPr="00D11245">
        <w:rPr>
          <w:i/>
          <w:iCs/>
          <w:color w:val="000000" w:themeColor="text1"/>
        </w:rPr>
        <w:t>JMM Case Rep.</w:t>
      </w:r>
      <w:r w:rsidRPr="00D11245">
        <w:rPr>
          <w:color w:val="000000" w:themeColor="text1"/>
        </w:rPr>
        <w:t xml:space="preserve"> </w:t>
      </w:r>
      <w:r w:rsidRPr="00D11245">
        <w:rPr>
          <w:b/>
          <w:bCs/>
          <w:color w:val="000000" w:themeColor="text1"/>
        </w:rPr>
        <w:t>3</w:t>
      </w:r>
      <w:r w:rsidRPr="00D11245">
        <w:rPr>
          <w:color w:val="000000" w:themeColor="text1"/>
        </w:rPr>
        <w:t>, (2016).</w:t>
      </w:r>
    </w:p>
    <w:p w14:paraId="1D9CD374" w14:textId="77777777" w:rsidR="009C3E63" w:rsidRPr="00D11245" w:rsidRDefault="009C3E63" w:rsidP="009C3E63">
      <w:pPr>
        <w:pStyle w:val="Bibliography"/>
        <w:rPr>
          <w:color w:val="000000" w:themeColor="text1"/>
        </w:rPr>
      </w:pPr>
      <w:r w:rsidRPr="00D11245">
        <w:rPr>
          <w:color w:val="000000" w:themeColor="text1"/>
        </w:rPr>
        <w:t>103.</w:t>
      </w:r>
      <w:r w:rsidRPr="00D11245">
        <w:rPr>
          <w:color w:val="000000" w:themeColor="text1"/>
        </w:rPr>
        <w:tab/>
        <w:t xml:space="preserve">Saha, K., Sengupta, M., Mitra, S. &amp; Ray, S. Amoeboma of colon mimicking colonic carcinoma. </w:t>
      </w:r>
      <w:r w:rsidRPr="00D11245">
        <w:rPr>
          <w:i/>
          <w:iCs/>
          <w:color w:val="000000" w:themeColor="text1"/>
        </w:rPr>
        <w:t>Trop. parasitol.</w:t>
      </w:r>
      <w:r w:rsidRPr="00D11245">
        <w:rPr>
          <w:color w:val="000000" w:themeColor="text1"/>
        </w:rPr>
        <w:t xml:space="preserve"> </w:t>
      </w:r>
      <w:r w:rsidRPr="00D11245">
        <w:rPr>
          <w:b/>
          <w:bCs/>
          <w:color w:val="000000" w:themeColor="text1"/>
        </w:rPr>
        <w:t>4</w:t>
      </w:r>
      <w:r w:rsidRPr="00D11245">
        <w:rPr>
          <w:color w:val="000000" w:themeColor="text1"/>
        </w:rPr>
        <w:t>, 122–4 (2014).</w:t>
      </w:r>
    </w:p>
    <w:p w14:paraId="2468BAF8" w14:textId="77777777" w:rsidR="009C3E63" w:rsidRPr="00D11245" w:rsidRDefault="009C3E63" w:rsidP="009C3E63">
      <w:pPr>
        <w:pStyle w:val="Bibliography"/>
        <w:rPr>
          <w:color w:val="000000" w:themeColor="text1"/>
        </w:rPr>
      </w:pPr>
      <w:r w:rsidRPr="00D11245">
        <w:rPr>
          <w:color w:val="000000" w:themeColor="text1"/>
        </w:rPr>
        <w:t>104.</w:t>
      </w:r>
      <w:r w:rsidRPr="00D11245">
        <w:rPr>
          <w:color w:val="000000" w:themeColor="text1"/>
        </w:rPr>
        <w:tab/>
        <w:t xml:space="preserve">Boopathy V., Alexander T., Balasubramanian P., &amp; Phansalkar M. Amoeboma: Resurfacing of a vanishing illness. </w:t>
      </w:r>
      <w:r w:rsidRPr="00D11245">
        <w:rPr>
          <w:i/>
          <w:iCs/>
          <w:color w:val="000000" w:themeColor="text1"/>
        </w:rPr>
        <w:t>BMJ Case Rep.</w:t>
      </w:r>
      <w:r w:rsidRPr="00D11245">
        <w:rPr>
          <w:color w:val="000000" w:themeColor="text1"/>
        </w:rPr>
        <w:t xml:space="preserve"> (2014) doi:10.1136/bcr-2013-202616.</w:t>
      </w:r>
    </w:p>
    <w:p w14:paraId="60D98DEA" w14:textId="77777777" w:rsidR="009C3E63" w:rsidRPr="00D11245" w:rsidRDefault="009C3E63" w:rsidP="009C3E63">
      <w:pPr>
        <w:pStyle w:val="Bibliography"/>
        <w:rPr>
          <w:color w:val="000000" w:themeColor="text1"/>
        </w:rPr>
      </w:pPr>
      <w:r w:rsidRPr="00D11245">
        <w:rPr>
          <w:color w:val="000000" w:themeColor="text1"/>
        </w:rPr>
        <w:t>105.</w:t>
      </w:r>
      <w:r w:rsidRPr="00D11245">
        <w:rPr>
          <w:color w:val="000000" w:themeColor="text1"/>
        </w:rPr>
        <w:tab/>
        <w:t xml:space="preserve">Sinharay, R., Atkin, G., Mohamid, W. &amp; Reay-Jones, N. Caecal amoebic colitis mimicking a colorectal cancer. </w:t>
      </w:r>
      <w:r w:rsidRPr="00D11245">
        <w:rPr>
          <w:i/>
          <w:iCs/>
          <w:color w:val="000000" w:themeColor="text1"/>
        </w:rPr>
        <w:t>J. surg. case rep.</w:t>
      </w:r>
      <w:r w:rsidRPr="00D11245">
        <w:rPr>
          <w:color w:val="000000" w:themeColor="text1"/>
        </w:rPr>
        <w:t xml:space="preserve"> </w:t>
      </w:r>
      <w:r w:rsidRPr="00D11245">
        <w:rPr>
          <w:b/>
          <w:bCs/>
          <w:color w:val="000000" w:themeColor="text1"/>
        </w:rPr>
        <w:t>2011</w:t>
      </w:r>
      <w:r w:rsidRPr="00D11245">
        <w:rPr>
          <w:color w:val="000000" w:themeColor="text1"/>
        </w:rPr>
        <w:t>, 1 (2011).</w:t>
      </w:r>
    </w:p>
    <w:p w14:paraId="15263156" w14:textId="77777777" w:rsidR="009C3E63" w:rsidRPr="00D11245" w:rsidRDefault="009C3E63" w:rsidP="009C3E63">
      <w:pPr>
        <w:pStyle w:val="Bibliography"/>
        <w:rPr>
          <w:color w:val="000000" w:themeColor="text1"/>
        </w:rPr>
      </w:pPr>
      <w:r w:rsidRPr="00D11245">
        <w:rPr>
          <w:color w:val="000000" w:themeColor="text1"/>
        </w:rPr>
        <w:t>106.</w:t>
      </w:r>
      <w:r w:rsidRPr="00D11245">
        <w:rPr>
          <w:color w:val="000000" w:themeColor="text1"/>
        </w:rPr>
        <w:tab/>
        <w:t xml:space="preserve">Mishra A. </w:t>
      </w:r>
      <w:r w:rsidRPr="00D11245">
        <w:rPr>
          <w:i/>
          <w:iCs/>
          <w:color w:val="000000" w:themeColor="text1"/>
        </w:rPr>
        <w:t>et al.</w:t>
      </w:r>
      <w:r w:rsidRPr="00D11245">
        <w:rPr>
          <w:color w:val="000000" w:themeColor="text1"/>
        </w:rPr>
        <w:t xml:space="preserve"> Right abdominal mass: Keep an open mind. </w:t>
      </w:r>
      <w:r w:rsidRPr="00D11245">
        <w:rPr>
          <w:i/>
          <w:iCs/>
          <w:color w:val="000000" w:themeColor="text1"/>
        </w:rPr>
        <w:t>Libyan J. Med.</w:t>
      </w:r>
      <w:r w:rsidRPr="00D11245">
        <w:rPr>
          <w:color w:val="000000" w:themeColor="text1"/>
        </w:rPr>
        <w:t xml:space="preserve"> </w:t>
      </w:r>
      <w:r w:rsidRPr="00D11245">
        <w:rPr>
          <w:b/>
          <w:bCs/>
          <w:color w:val="000000" w:themeColor="text1"/>
        </w:rPr>
        <w:t>5</w:t>
      </w:r>
      <w:r w:rsidRPr="00D11245">
        <w:rPr>
          <w:color w:val="000000" w:themeColor="text1"/>
        </w:rPr>
        <w:t>, 1–3 (2010).</w:t>
      </w:r>
    </w:p>
    <w:p w14:paraId="753F7639" w14:textId="77777777" w:rsidR="009C3E63" w:rsidRPr="00D11245" w:rsidRDefault="009C3E63" w:rsidP="009C3E63">
      <w:pPr>
        <w:pStyle w:val="Bibliography"/>
        <w:rPr>
          <w:color w:val="000000" w:themeColor="text1"/>
        </w:rPr>
      </w:pPr>
      <w:r w:rsidRPr="00D11245">
        <w:rPr>
          <w:color w:val="000000" w:themeColor="text1"/>
        </w:rPr>
        <w:t>107.</w:t>
      </w:r>
      <w:r w:rsidRPr="00D11245">
        <w:rPr>
          <w:color w:val="000000" w:themeColor="text1"/>
        </w:rPr>
        <w:tab/>
        <w:t xml:space="preserve">Rodrigues G. Simultaneous occurrence of amoebic liver abscess and cecal ameboma. </w:t>
      </w:r>
      <w:r w:rsidRPr="00D11245">
        <w:rPr>
          <w:i/>
          <w:iCs/>
          <w:color w:val="000000" w:themeColor="text1"/>
        </w:rPr>
        <w:t>J. Infect. Public Health</w:t>
      </w:r>
      <w:r w:rsidRPr="00D11245">
        <w:rPr>
          <w:color w:val="000000" w:themeColor="text1"/>
        </w:rPr>
        <w:t xml:space="preserve"> </w:t>
      </w:r>
      <w:r w:rsidRPr="00D11245">
        <w:rPr>
          <w:b/>
          <w:bCs/>
          <w:color w:val="000000" w:themeColor="text1"/>
        </w:rPr>
        <w:t>9</w:t>
      </w:r>
      <w:r w:rsidRPr="00D11245">
        <w:rPr>
          <w:color w:val="000000" w:themeColor="text1"/>
        </w:rPr>
        <w:t>, 356–357 (2016).</w:t>
      </w:r>
    </w:p>
    <w:p w14:paraId="1EA75B93" w14:textId="77777777" w:rsidR="009C3E63" w:rsidRPr="00D11245" w:rsidRDefault="009C3E63" w:rsidP="009C3E63">
      <w:pPr>
        <w:pStyle w:val="Bibliography"/>
        <w:rPr>
          <w:color w:val="000000" w:themeColor="text1"/>
        </w:rPr>
      </w:pPr>
      <w:r w:rsidRPr="00D11245">
        <w:rPr>
          <w:color w:val="000000" w:themeColor="text1"/>
        </w:rPr>
        <w:lastRenderedPageBreak/>
        <w:t>108.</w:t>
      </w:r>
      <w:r w:rsidRPr="00D11245">
        <w:rPr>
          <w:color w:val="000000" w:themeColor="text1"/>
        </w:rPr>
        <w:tab/>
        <w:t xml:space="preserve">Takashima, M. </w:t>
      </w:r>
      <w:r w:rsidRPr="00D11245">
        <w:rPr>
          <w:i/>
          <w:iCs/>
          <w:color w:val="000000" w:themeColor="text1"/>
        </w:rPr>
        <w:t>et al.</w:t>
      </w:r>
      <w:r w:rsidRPr="00D11245">
        <w:rPr>
          <w:color w:val="000000" w:themeColor="text1"/>
        </w:rPr>
        <w:t xml:space="preserve"> Synchronous tumor with diffuse large B-cell lymphoma and ameboma. </w:t>
      </w:r>
      <w:r w:rsidRPr="00D11245">
        <w:rPr>
          <w:i/>
          <w:iCs/>
          <w:color w:val="000000" w:themeColor="text1"/>
        </w:rPr>
        <w:t>J Clin Oncol</w:t>
      </w:r>
      <w:r w:rsidRPr="00D11245">
        <w:rPr>
          <w:color w:val="000000" w:themeColor="text1"/>
        </w:rPr>
        <w:t xml:space="preserve"> </w:t>
      </w:r>
      <w:r w:rsidRPr="00D11245">
        <w:rPr>
          <w:b/>
          <w:bCs/>
          <w:color w:val="000000" w:themeColor="text1"/>
        </w:rPr>
        <w:t>29</w:t>
      </w:r>
      <w:r w:rsidRPr="00D11245">
        <w:rPr>
          <w:color w:val="000000" w:themeColor="text1"/>
        </w:rPr>
        <w:t>, e769-71 (2011).</w:t>
      </w:r>
    </w:p>
    <w:p w14:paraId="1570DB6A" w14:textId="77777777" w:rsidR="009C3E63" w:rsidRPr="00D11245" w:rsidRDefault="009C3E63" w:rsidP="009C3E63">
      <w:pPr>
        <w:pStyle w:val="Bibliography"/>
        <w:rPr>
          <w:color w:val="000000" w:themeColor="text1"/>
        </w:rPr>
      </w:pPr>
      <w:r w:rsidRPr="00D11245">
        <w:rPr>
          <w:color w:val="000000" w:themeColor="text1"/>
        </w:rPr>
        <w:t>109.</w:t>
      </w:r>
      <w:r w:rsidRPr="00D11245">
        <w:rPr>
          <w:color w:val="000000" w:themeColor="text1"/>
        </w:rPr>
        <w:tab/>
        <w:t xml:space="preserve">Higami, S. </w:t>
      </w:r>
      <w:r w:rsidRPr="00D11245">
        <w:rPr>
          <w:i/>
          <w:iCs/>
          <w:color w:val="000000" w:themeColor="text1"/>
        </w:rPr>
        <w:t>et al.</w:t>
      </w:r>
      <w:r w:rsidRPr="00D11245">
        <w:rPr>
          <w:color w:val="000000" w:themeColor="text1"/>
        </w:rPr>
        <w:t xml:space="preserve"> The first case of huge amebic intra-abdominal tumor with asymptomatic amebic colitis. </w:t>
      </w:r>
      <w:r w:rsidRPr="00D11245">
        <w:rPr>
          <w:i/>
          <w:iCs/>
          <w:color w:val="000000" w:themeColor="text1"/>
        </w:rPr>
        <w:t>Surg Case Rep</w:t>
      </w:r>
      <w:r w:rsidRPr="00D11245">
        <w:rPr>
          <w:color w:val="000000" w:themeColor="text1"/>
        </w:rPr>
        <w:t xml:space="preserve"> </w:t>
      </w:r>
      <w:r w:rsidRPr="00D11245">
        <w:rPr>
          <w:b/>
          <w:bCs/>
          <w:color w:val="000000" w:themeColor="text1"/>
        </w:rPr>
        <w:t>1</w:t>
      </w:r>
      <w:r w:rsidRPr="00D11245">
        <w:rPr>
          <w:color w:val="000000" w:themeColor="text1"/>
        </w:rPr>
        <w:t>, 48 (2015).</w:t>
      </w:r>
    </w:p>
    <w:p w14:paraId="259E3026" w14:textId="77777777" w:rsidR="009C3E63" w:rsidRPr="00D11245" w:rsidRDefault="009C3E63" w:rsidP="009C3E63">
      <w:pPr>
        <w:pStyle w:val="Bibliography"/>
        <w:rPr>
          <w:color w:val="000000" w:themeColor="text1"/>
        </w:rPr>
      </w:pPr>
      <w:r w:rsidRPr="00D11245">
        <w:rPr>
          <w:color w:val="000000" w:themeColor="text1"/>
        </w:rPr>
        <w:t>110.</w:t>
      </w:r>
      <w:r w:rsidRPr="00D11245">
        <w:rPr>
          <w:color w:val="000000" w:themeColor="text1"/>
        </w:rPr>
        <w:tab/>
        <w:t xml:space="preserve">Wuerz, T. </w:t>
      </w:r>
      <w:r w:rsidRPr="00D11245">
        <w:rPr>
          <w:i/>
          <w:iCs/>
          <w:color w:val="000000" w:themeColor="text1"/>
        </w:rPr>
        <w:t>et al.</w:t>
      </w:r>
      <w:r w:rsidRPr="00D11245">
        <w:rPr>
          <w:color w:val="000000" w:themeColor="text1"/>
        </w:rPr>
        <w:t xml:space="preserve"> A review of amoebic liver abscess for clinicians in a nonendemic setting. </w:t>
      </w:r>
      <w:r w:rsidRPr="00D11245">
        <w:rPr>
          <w:i/>
          <w:iCs/>
          <w:color w:val="000000" w:themeColor="text1"/>
        </w:rPr>
        <w:t>Canadian Journal of Gastroenterology and Hepatology</w:t>
      </w:r>
      <w:r w:rsidRPr="00D11245">
        <w:rPr>
          <w:color w:val="000000" w:themeColor="text1"/>
        </w:rPr>
        <w:t xml:space="preserve"> </w:t>
      </w:r>
      <w:r w:rsidRPr="00D11245">
        <w:rPr>
          <w:b/>
          <w:bCs/>
          <w:color w:val="000000" w:themeColor="text1"/>
        </w:rPr>
        <w:t>26</w:t>
      </w:r>
      <w:r w:rsidRPr="00D11245">
        <w:rPr>
          <w:color w:val="000000" w:themeColor="text1"/>
        </w:rPr>
        <w:t>, 729–733 (2012).</w:t>
      </w:r>
    </w:p>
    <w:p w14:paraId="40A9F5F3" w14:textId="77777777" w:rsidR="009C3E63" w:rsidRPr="00D11245" w:rsidRDefault="009C3E63" w:rsidP="009C3E63">
      <w:pPr>
        <w:pStyle w:val="Bibliography"/>
        <w:rPr>
          <w:color w:val="000000" w:themeColor="text1"/>
        </w:rPr>
      </w:pPr>
      <w:r w:rsidRPr="00D11245">
        <w:rPr>
          <w:color w:val="000000" w:themeColor="text1"/>
        </w:rPr>
        <w:t>111.</w:t>
      </w:r>
      <w:r w:rsidRPr="00D11245">
        <w:rPr>
          <w:color w:val="000000" w:themeColor="text1"/>
        </w:rPr>
        <w:tab/>
        <w:t xml:space="preserve">Sinha, M. K. Amebic Liver Abscess: Varied Presentation and Management Update. </w:t>
      </w:r>
      <w:r w:rsidRPr="00D11245">
        <w:rPr>
          <w:i/>
          <w:iCs/>
          <w:color w:val="000000" w:themeColor="text1"/>
        </w:rPr>
        <w:t>International Journal of Scientific Study</w:t>
      </w:r>
      <w:r w:rsidRPr="00D11245">
        <w:rPr>
          <w:color w:val="000000" w:themeColor="text1"/>
        </w:rPr>
        <w:t xml:space="preserve"> </w:t>
      </w:r>
      <w:r w:rsidRPr="00D11245">
        <w:rPr>
          <w:b/>
          <w:bCs/>
          <w:color w:val="000000" w:themeColor="text1"/>
        </w:rPr>
        <w:t>4</w:t>
      </w:r>
      <w:r w:rsidRPr="00D11245">
        <w:rPr>
          <w:color w:val="000000" w:themeColor="text1"/>
        </w:rPr>
        <w:t>, 99–102 (2016).</w:t>
      </w:r>
    </w:p>
    <w:p w14:paraId="534D4471" w14:textId="77777777" w:rsidR="009C3E63" w:rsidRPr="00D11245" w:rsidRDefault="009C3E63" w:rsidP="009C3E63">
      <w:pPr>
        <w:pStyle w:val="Bibliography"/>
        <w:rPr>
          <w:color w:val="000000" w:themeColor="text1"/>
        </w:rPr>
      </w:pPr>
      <w:r w:rsidRPr="00D11245">
        <w:rPr>
          <w:color w:val="000000" w:themeColor="text1"/>
        </w:rPr>
        <w:t>112.</w:t>
      </w:r>
      <w:r w:rsidRPr="00D11245">
        <w:rPr>
          <w:color w:val="000000" w:themeColor="text1"/>
        </w:rPr>
        <w:tab/>
        <w:t xml:space="preserve">Nespola, B. </w:t>
      </w:r>
      <w:r w:rsidRPr="00D11245">
        <w:rPr>
          <w:i/>
          <w:iCs/>
          <w:color w:val="000000" w:themeColor="text1"/>
        </w:rPr>
        <w:t>et al.</w:t>
      </w:r>
      <w:r w:rsidRPr="00D11245">
        <w:rPr>
          <w:color w:val="000000" w:themeColor="text1"/>
        </w:rPr>
        <w:t xml:space="preserve"> First case of amebic liver abscess 22 years after the first occurrence. </w:t>
      </w:r>
      <w:r w:rsidRPr="00D11245">
        <w:rPr>
          <w:i/>
          <w:iCs/>
          <w:color w:val="000000" w:themeColor="text1"/>
        </w:rPr>
        <w:t>Parasite</w:t>
      </w:r>
      <w:r w:rsidRPr="00D11245">
        <w:rPr>
          <w:color w:val="000000" w:themeColor="text1"/>
        </w:rPr>
        <w:t xml:space="preserve"> </w:t>
      </w:r>
      <w:r w:rsidRPr="00D11245">
        <w:rPr>
          <w:b/>
          <w:bCs/>
          <w:color w:val="000000" w:themeColor="text1"/>
        </w:rPr>
        <w:t>22</w:t>
      </w:r>
      <w:r w:rsidRPr="00D11245">
        <w:rPr>
          <w:color w:val="000000" w:themeColor="text1"/>
        </w:rPr>
        <w:t>, 30 (2015).</w:t>
      </w:r>
    </w:p>
    <w:p w14:paraId="564782BC" w14:textId="77777777" w:rsidR="009C3E63" w:rsidRPr="00D11245" w:rsidRDefault="009C3E63" w:rsidP="009C3E63">
      <w:pPr>
        <w:pStyle w:val="Bibliography"/>
        <w:rPr>
          <w:color w:val="000000" w:themeColor="text1"/>
        </w:rPr>
      </w:pPr>
      <w:r w:rsidRPr="00D11245">
        <w:rPr>
          <w:color w:val="000000" w:themeColor="text1"/>
        </w:rPr>
        <w:t>113.</w:t>
      </w:r>
      <w:r w:rsidRPr="00D11245">
        <w:rPr>
          <w:color w:val="000000" w:themeColor="text1"/>
        </w:rPr>
        <w:tab/>
        <w:t xml:space="preserve">Patel T.R., Grams D., Alrabaa S., &amp; Sinnott J. Delayed Diagnosis of Amoebiasis. </w:t>
      </w:r>
      <w:r w:rsidRPr="00D11245">
        <w:rPr>
          <w:i/>
          <w:iCs/>
          <w:color w:val="000000" w:themeColor="text1"/>
        </w:rPr>
        <w:t>Clin. Microbiol. Newsl.</w:t>
      </w:r>
      <w:r w:rsidRPr="00D11245">
        <w:rPr>
          <w:color w:val="000000" w:themeColor="text1"/>
        </w:rPr>
        <w:t xml:space="preserve"> </w:t>
      </w:r>
      <w:r w:rsidRPr="00D11245">
        <w:rPr>
          <w:b/>
          <w:bCs/>
          <w:color w:val="000000" w:themeColor="text1"/>
        </w:rPr>
        <w:t>34</w:t>
      </w:r>
      <w:r w:rsidRPr="00D11245">
        <w:rPr>
          <w:color w:val="000000" w:themeColor="text1"/>
        </w:rPr>
        <w:t>, 106–107 (2012).</w:t>
      </w:r>
    </w:p>
    <w:p w14:paraId="106F3E6A" w14:textId="77777777" w:rsidR="009C3E63" w:rsidRPr="00D11245" w:rsidRDefault="009C3E63" w:rsidP="009C3E63">
      <w:pPr>
        <w:pStyle w:val="Bibliography"/>
        <w:rPr>
          <w:color w:val="000000" w:themeColor="text1"/>
        </w:rPr>
      </w:pPr>
      <w:r w:rsidRPr="00D11245">
        <w:rPr>
          <w:color w:val="000000" w:themeColor="text1"/>
        </w:rPr>
        <w:t>114.</w:t>
      </w:r>
      <w:r w:rsidRPr="00D11245">
        <w:rPr>
          <w:color w:val="000000" w:themeColor="text1"/>
        </w:rPr>
        <w:tab/>
        <w:t xml:space="preserve">Lachish, T., Wieder-Finesod, A. &amp; Schwartz, E. Amebic Liver Abscess in Israeli Travelers: A Retrospective Study. </w:t>
      </w:r>
      <w:r w:rsidRPr="00D11245">
        <w:rPr>
          <w:i/>
          <w:iCs/>
          <w:color w:val="000000" w:themeColor="text1"/>
        </w:rPr>
        <w:t>The American Journal of Tropical Medicine and Hygiene</w:t>
      </w:r>
      <w:r w:rsidRPr="00D11245">
        <w:rPr>
          <w:color w:val="000000" w:themeColor="text1"/>
        </w:rPr>
        <w:t xml:space="preserve"> </w:t>
      </w:r>
      <w:r w:rsidRPr="00D11245">
        <w:rPr>
          <w:b/>
          <w:bCs/>
          <w:color w:val="000000" w:themeColor="text1"/>
        </w:rPr>
        <w:t>94</w:t>
      </w:r>
      <w:r w:rsidRPr="00D11245">
        <w:rPr>
          <w:color w:val="000000" w:themeColor="text1"/>
        </w:rPr>
        <w:t>, 1015–1015 (2016).</w:t>
      </w:r>
    </w:p>
    <w:p w14:paraId="16BA335D" w14:textId="77777777" w:rsidR="009C3E63" w:rsidRPr="00D11245" w:rsidRDefault="009C3E63" w:rsidP="009C3E63">
      <w:pPr>
        <w:pStyle w:val="Bibliography"/>
        <w:rPr>
          <w:color w:val="000000" w:themeColor="text1"/>
        </w:rPr>
      </w:pPr>
      <w:r w:rsidRPr="00D11245">
        <w:rPr>
          <w:color w:val="000000" w:themeColor="text1"/>
        </w:rPr>
        <w:t>115.</w:t>
      </w:r>
      <w:r w:rsidRPr="00D11245">
        <w:rPr>
          <w:color w:val="000000" w:themeColor="text1"/>
        </w:rPr>
        <w:tab/>
        <w:t xml:space="preserve">Saidin, S., Othman, N. &amp; Noordin, R. Update on laboratory diagnosis of amoebiasis. </w:t>
      </w:r>
      <w:r w:rsidRPr="00D11245">
        <w:rPr>
          <w:i/>
          <w:iCs/>
          <w:color w:val="000000" w:themeColor="text1"/>
        </w:rPr>
        <w:t>European journal of clinical microbiology &amp; infectious diseases : official publication of the European Society of Clinical Microbiology</w:t>
      </w:r>
      <w:r w:rsidRPr="00D11245">
        <w:rPr>
          <w:color w:val="000000" w:themeColor="text1"/>
        </w:rPr>
        <w:t xml:space="preserve"> </w:t>
      </w:r>
      <w:r w:rsidRPr="00D11245">
        <w:rPr>
          <w:b/>
          <w:bCs/>
          <w:color w:val="000000" w:themeColor="text1"/>
        </w:rPr>
        <w:t>38</w:t>
      </w:r>
      <w:r w:rsidRPr="00D11245">
        <w:rPr>
          <w:color w:val="000000" w:themeColor="text1"/>
        </w:rPr>
        <w:t>, 15–38 (2019).</w:t>
      </w:r>
    </w:p>
    <w:p w14:paraId="00513BE0" w14:textId="77777777" w:rsidR="009C3E63" w:rsidRPr="00D11245" w:rsidRDefault="009C3E63" w:rsidP="009C3E63">
      <w:pPr>
        <w:pStyle w:val="Bibliography"/>
        <w:rPr>
          <w:color w:val="000000" w:themeColor="text1"/>
        </w:rPr>
      </w:pPr>
      <w:r w:rsidRPr="00D11245">
        <w:rPr>
          <w:color w:val="000000" w:themeColor="text1"/>
        </w:rPr>
        <w:t>116.</w:t>
      </w:r>
      <w:r w:rsidRPr="00D11245">
        <w:rPr>
          <w:color w:val="000000" w:themeColor="text1"/>
        </w:rPr>
        <w:tab/>
        <w:t>Banurekha, R. A Prospective Study on Incidence, Etiopathogenesis, Clinical Presentation, Management and Prognosis of Liver Abscess. (2013).</w:t>
      </w:r>
    </w:p>
    <w:p w14:paraId="47729F9F" w14:textId="77777777" w:rsidR="009C3E63" w:rsidRPr="00D11245" w:rsidRDefault="009C3E63" w:rsidP="009C3E63">
      <w:pPr>
        <w:pStyle w:val="Bibliography"/>
        <w:rPr>
          <w:color w:val="000000" w:themeColor="text1"/>
        </w:rPr>
      </w:pPr>
      <w:r w:rsidRPr="00D11245">
        <w:rPr>
          <w:color w:val="000000" w:themeColor="text1"/>
        </w:rPr>
        <w:t>117.</w:t>
      </w:r>
      <w:r w:rsidRPr="00D11245">
        <w:rPr>
          <w:color w:val="000000" w:themeColor="text1"/>
        </w:rPr>
        <w:tab/>
        <w:t xml:space="preserve">Singal, D. K., Mittal, A. &amp; Prakash, A. Recurrent amebic liver abscess. </w:t>
      </w:r>
      <w:r w:rsidRPr="00D11245">
        <w:rPr>
          <w:i/>
          <w:iCs/>
          <w:color w:val="000000" w:themeColor="text1"/>
        </w:rPr>
        <w:t>Indian J Gastroenterol</w:t>
      </w:r>
      <w:r w:rsidRPr="00D11245">
        <w:rPr>
          <w:color w:val="000000" w:themeColor="text1"/>
        </w:rPr>
        <w:t xml:space="preserve"> </w:t>
      </w:r>
      <w:r w:rsidRPr="00D11245">
        <w:rPr>
          <w:b/>
          <w:bCs/>
          <w:color w:val="000000" w:themeColor="text1"/>
        </w:rPr>
        <w:t>31</w:t>
      </w:r>
      <w:r w:rsidRPr="00D11245">
        <w:rPr>
          <w:color w:val="000000" w:themeColor="text1"/>
        </w:rPr>
        <w:t>, 271–3 (2012).</w:t>
      </w:r>
    </w:p>
    <w:p w14:paraId="136266CA" w14:textId="77777777" w:rsidR="009C3E63" w:rsidRPr="00D11245" w:rsidRDefault="009C3E63" w:rsidP="009C3E63">
      <w:pPr>
        <w:pStyle w:val="Bibliography"/>
        <w:rPr>
          <w:color w:val="000000" w:themeColor="text1"/>
        </w:rPr>
      </w:pPr>
      <w:r w:rsidRPr="00D11245">
        <w:rPr>
          <w:color w:val="000000" w:themeColor="text1"/>
        </w:rPr>
        <w:t>118.</w:t>
      </w:r>
      <w:r w:rsidRPr="00D11245">
        <w:rPr>
          <w:color w:val="000000" w:themeColor="text1"/>
        </w:rPr>
        <w:tab/>
        <w:t xml:space="preserve">Anesi, J. A. &amp; Gluckman, S. Amebic liver abscess. </w:t>
      </w:r>
      <w:r w:rsidRPr="00D11245">
        <w:rPr>
          <w:i/>
          <w:iCs/>
          <w:color w:val="000000" w:themeColor="text1"/>
        </w:rPr>
        <w:t>Clinical Liver Disease</w:t>
      </w:r>
      <w:r w:rsidRPr="00D11245">
        <w:rPr>
          <w:color w:val="000000" w:themeColor="text1"/>
        </w:rPr>
        <w:t xml:space="preserve"> </w:t>
      </w:r>
      <w:r w:rsidRPr="00D11245">
        <w:rPr>
          <w:b/>
          <w:bCs/>
          <w:color w:val="000000" w:themeColor="text1"/>
        </w:rPr>
        <w:t>6</w:t>
      </w:r>
      <w:r w:rsidRPr="00D11245">
        <w:rPr>
          <w:color w:val="000000" w:themeColor="text1"/>
        </w:rPr>
        <w:t>, 41–41 (2015).</w:t>
      </w:r>
    </w:p>
    <w:p w14:paraId="410E14F2" w14:textId="77777777" w:rsidR="009C3E63" w:rsidRPr="00D11245" w:rsidRDefault="009C3E63" w:rsidP="009C3E63">
      <w:pPr>
        <w:pStyle w:val="Bibliography"/>
        <w:rPr>
          <w:color w:val="000000" w:themeColor="text1"/>
        </w:rPr>
      </w:pPr>
      <w:r w:rsidRPr="00D11245">
        <w:rPr>
          <w:color w:val="000000" w:themeColor="text1"/>
        </w:rPr>
        <w:t>119.</w:t>
      </w:r>
      <w:r w:rsidRPr="00D11245">
        <w:rPr>
          <w:color w:val="000000" w:themeColor="text1"/>
        </w:rPr>
        <w:tab/>
        <w:t xml:space="preserve">Shrestha M., Shah A., &amp; Lettieri C. Dyspnea and dysentery: A case report of pleuropulmonary amebiasis. </w:t>
      </w:r>
      <w:r w:rsidRPr="00D11245">
        <w:rPr>
          <w:i/>
          <w:iCs/>
          <w:color w:val="000000" w:themeColor="text1"/>
        </w:rPr>
        <w:t>South. Med. J.</w:t>
      </w:r>
      <w:r w:rsidRPr="00D11245">
        <w:rPr>
          <w:color w:val="000000" w:themeColor="text1"/>
        </w:rPr>
        <w:t xml:space="preserve"> </w:t>
      </w:r>
      <w:r w:rsidRPr="00D11245">
        <w:rPr>
          <w:b/>
          <w:bCs/>
          <w:color w:val="000000" w:themeColor="text1"/>
        </w:rPr>
        <w:t>103</w:t>
      </w:r>
      <w:r w:rsidRPr="00D11245">
        <w:rPr>
          <w:color w:val="000000" w:themeColor="text1"/>
        </w:rPr>
        <w:t>, 165–168 (2010).</w:t>
      </w:r>
    </w:p>
    <w:p w14:paraId="54465F48" w14:textId="77777777" w:rsidR="009C3E63" w:rsidRPr="00D11245" w:rsidRDefault="009C3E63" w:rsidP="009C3E63">
      <w:pPr>
        <w:pStyle w:val="Bibliography"/>
        <w:rPr>
          <w:color w:val="000000" w:themeColor="text1"/>
        </w:rPr>
      </w:pPr>
      <w:r w:rsidRPr="00D11245">
        <w:rPr>
          <w:color w:val="000000" w:themeColor="text1"/>
        </w:rPr>
        <w:lastRenderedPageBreak/>
        <w:t>120.</w:t>
      </w:r>
      <w:r w:rsidRPr="00D11245">
        <w:rPr>
          <w:color w:val="000000" w:themeColor="text1"/>
        </w:rPr>
        <w:tab/>
        <w:t xml:space="preserve">Talukdar A., Mukherjee K., Khanra D., &amp; Saha M. An unusual cause of haemoptysis: A diagnostic challenge for clinicians. </w:t>
      </w:r>
      <w:r w:rsidRPr="00D11245">
        <w:rPr>
          <w:i/>
          <w:iCs/>
          <w:color w:val="000000" w:themeColor="text1"/>
        </w:rPr>
        <w:t>BMJ Case Rep.</w:t>
      </w:r>
      <w:r w:rsidRPr="00D11245">
        <w:rPr>
          <w:color w:val="000000" w:themeColor="text1"/>
        </w:rPr>
        <w:t xml:space="preserve"> (2012) doi:10.1136/bcr-2012-006751.</w:t>
      </w:r>
    </w:p>
    <w:p w14:paraId="2AC21F0E" w14:textId="77777777" w:rsidR="009C3E63" w:rsidRPr="00D11245" w:rsidRDefault="009C3E63" w:rsidP="009C3E63">
      <w:pPr>
        <w:pStyle w:val="Bibliography"/>
        <w:rPr>
          <w:color w:val="000000" w:themeColor="text1"/>
        </w:rPr>
      </w:pPr>
      <w:r w:rsidRPr="00D11245">
        <w:rPr>
          <w:color w:val="000000" w:themeColor="text1"/>
        </w:rPr>
        <w:t>121.</w:t>
      </w:r>
      <w:r w:rsidRPr="00D11245">
        <w:rPr>
          <w:color w:val="000000" w:themeColor="text1"/>
        </w:rPr>
        <w:tab/>
        <w:t xml:space="preserve">Chang, H.-R., Lee, J.-J. &amp; Lin, C.-B. Pleural Empyema Secondary to Rupture of Amoebic Liver Abscess. </w:t>
      </w:r>
      <w:r w:rsidRPr="00D11245">
        <w:rPr>
          <w:i/>
          <w:iCs/>
          <w:color w:val="000000" w:themeColor="text1"/>
        </w:rPr>
        <w:t>Internal Medicine</w:t>
      </w:r>
      <w:r w:rsidRPr="00D11245">
        <w:rPr>
          <w:color w:val="000000" w:themeColor="text1"/>
        </w:rPr>
        <w:t xml:space="preserve"> </w:t>
      </w:r>
      <w:r w:rsidRPr="00D11245">
        <w:rPr>
          <w:b/>
          <w:bCs/>
          <w:color w:val="000000" w:themeColor="text1"/>
        </w:rPr>
        <w:t>51</w:t>
      </w:r>
      <w:r w:rsidRPr="00D11245">
        <w:rPr>
          <w:color w:val="000000" w:themeColor="text1"/>
        </w:rPr>
        <w:t>, 471–474 (2012).</w:t>
      </w:r>
    </w:p>
    <w:p w14:paraId="742E2404" w14:textId="77777777" w:rsidR="009C3E63" w:rsidRPr="00D11245" w:rsidRDefault="009C3E63" w:rsidP="009C3E63">
      <w:pPr>
        <w:pStyle w:val="Bibliography"/>
        <w:rPr>
          <w:color w:val="000000" w:themeColor="text1"/>
        </w:rPr>
      </w:pPr>
      <w:r w:rsidRPr="00D11245">
        <w:rPr>
          <w:color w:val="000000" w:themeColor="text1"/>
        </w:rPr>
        <w:t>122.</w:t>
      </w:r>
      <w:r w:rsidRPr="00D11245">
        <w:rPr>
          <w:color w:val="000000" w:themeColor="text1"/>
        </w:rPr>
        <w:tab/>
        <w:t xml:space="preserve">Sarkari, B., Hosseini, G., Motazedian, M. H., Fararouei, M. &amp; Moshfe, A. Prevalence and risk factors of intestinal protozoan infections: a population-based study in rural areas of Boyer-Ahmad district, Southwestern Iran. </w:t>
      </w:r>
      <w:r w:rsidRPr="00D11245">
        <w:rPr>
          <w:i/>
          <w:iCs/>
          <w:color w:val="000000" w:themeColor="text1"/>
        </w:rPr>
        <w:t>BMC Infect Dis</w:t>
      </w:r>
      <w:r w:rsidRPr="00D11245">
        <w:rPr>
          <w:color w:val="000000" w:themeColor="text1"/>
        </w:rPr>
        <w:t xml:space="preserve"> </w:t>
      </w:r>
      <w:r w:rsidRPr="00D11245">
        <w:rPr>
          <w:b/>
          <w:bCs/>
          <w:color w:val="000000" w:themeColor="text1"/>
        </w:rPr>
        <w:t>16</w:t>
      </w:r>
      <w:r w:rsidRPr="00D11245">
        <w:rPr>
          <w:color w:val="000000" w:themeColor="text1"/>
        </w:rPr>
        <w:t>, 703 (2016).</w:t>
      </w:r>
    </w:p>
    <w:p w14:paraId="292895AE" w14:textId="77777777" w:rsidR="009C3E63" w:rsidRPr="00D11245" w:rsidRDefault="009C3E63" w:rsidP="009C3E63">
      <w:pPr>
        <w:pStyle w:val="Bibliography"/>
        <w:rPr>
          <w:color w:val="000000" w:themeColor="text1"/>
        </w:rPr>
      </w:pPr>
      <w:r w:rsidRPr="00D11245">
        <w:rPr>
          <w:color w:val="000000" w:themeColor="text1"/>
        </w:rPr>
        <w:t>123.</w:t>
      </w:r>
      <w:r w:rsidRPr="00D11245">
        <w:rPr>
          <w:color w:val="000000" w:themeColor="text1"/>
        </w:rPr>
        <w:tab/>
        <w:t xml:space="preserve">Murali A., Balu K., Paari V., &amp; Rajendiran G. Atrial flutter and pericarditis - A rare complication of right lobe amoebic liver abscess. </w:t>
      </w:r>
      <w:r w:rsidRPr="00D11245">
        <w:rPr>
          <w:i/>
          <w:iCs/>
          <w:color w:val="000000" w:themeColor="text1"/>
        </w:rPr>
        <w:t>Med. J. Malays.</w:t>
      </w:r>
      <w:r w:rsidRPr="00D11245">
        <w:rPr>
          <w:color w:val="000000" w:themeColor="text1"/>
        </w:rPr>
        <w:t xml:space="preserve"> </w:t>
      </w:r>
      <w:r w:rsidRPr="00D11245">
        <w:rPr>
          <w:b/>
          <w:bCs/>
          <w:color w:val="000000" w:themeColor="text1"/>
        </w:rPr>
        <w:t>66</w:t>
      </w:r>
      <w:r w:rsidRPr="00D11245">
        <w:rPr>
          <w:color w:val="000000" w:themeColor="text1"/>
        </w:rPr>
        <w:t>, 499–500 (2011).</w:t>
      </w:r>
    </w:p>
    <w:p w14:paraId="1503012A" w14:textId="77777777" w:rsidR="009C3E63" w:rsidRPr="00D11245" w:rsidRDefault="009C3E63" w:rsidP="009C3E63">
      <w:pPr>
        <w:pStyle w:val="Bibliography"/>
        <w:rPr>
          <w:color w:val="000000" w:themeColor="text1"/>
        </w:rPr>
      </w:pPr>
      <w:r w:rsidRPr="00D11245">
        <w:rPr>
          <w:color w:val="000000" w:themeColor="text1"/>
        </w:rPr>
        <w:t>124.</w:t>
      </w:r>
      <w:r w:rsidRPr="00D11245">
        <w:rPr>
          <w:color w:val="000000" w:themeColor="text1"/>
        </w:rPr>
        <w:tab/>
        <w:t xml:space="preserve">Agarwal A. </w:t>
      </w:r>
      <w:r w:rsidRPr="00D11245">
        <w:rPr>
          <w:i/>
          <w:iCs/>
          <w:color w:val="000000" w:themeColor="text1"/>
        </w:rPr>
        <w:t>et al.</w:t>
      </w:r>
      <w:r w:rsidRPr="00D11245">
        <w:rPr>
          <w:color w:val="000000" w:themeColor="text1"/>
        </w:rPr>
        <w:t xml:space="preserve"> Amoebic cardiac tamponade. </w:t>
      </w:r>
      <w:r w:rsidRPr="00D11245">
        <w:rPr>
          <w:i/>
          <w:iCs/>
          <w:color w:val="000000" w:themeColor="text1"/>
        </w:rPr>
        <w:t>QJM</w:t>
      </w:r>
      <w:r w:rsidRPr="00D11245">
        <w:rPr>
          <w:color w:val="000000" w:themeColor="text1"/>
        </w:rPr>
        <w:t xml:space="preserve"> </w:t>
      </w:r>
      <w:r w:rsidRPr="00D11245">
        <w:rPr>
          <w:b/>
          <w:bCs/>
          <w:color w:val="000000" w:themeColor="text1"/>
        </w:rPr>
        <w:t>112</w:t>
      </w:r>
      <w:r w:rsidRPr="00D11245">
        <w:rPr>
          <w:color w:val="000000" w:themeColor="text1"/>
        </w:rPr>
        <w:t>, 709–710 (2019).</w:t>
      </w:r>
    </w:p>
    <w:p w14:paraId="2F5070A4" w14:textId="77777777" w:rsidR="009C3E63" w:rsidRPr="00D11245" w:rsidRDefault="009C3E63" w:rsidP="009C3E63">
      <w:pPr>
        <w:pStyle w:val="Bibliography"/>
        <w:rPr>
          <w:color w:val="000000" w:themeColor="text1"/>
        </w:rPr>
      </w:pPr>
      <w:r w:rsidRPr="00D11245">
        <w:rPr>
          <w:color w:val="000000" w:themeColor="text1"/>
        </w:rPr>
        <w:t>125.</w:t>
      </w:r>
      <w:r w:rsidRPr="00D11245">
        <w:rPr>
          <w:color w:val="000000" w:themeColor="text1"/>
        </w:rPr>
        <w:tab/>
        <w:t xml:space="preserve">Jindal, A. </w:t>
      </w:r>
      <w:r w:rsidRPr="00D11245">
        <w:rPr>
          <w:i/>
          <w:iCs/>
          <w:color w:val="000000" w:themeColor="text1"/>
        </w:rPr>
        <w:t>et al.</w:t>
      </w:r>
      <w:r w:rsidRPr="00D11245">
        <w:rPr>
          <w:color w:val="000000" w:themeColor="text1"/>
        </w:rPr>
        <w:t xml:space="preserve"> Amoebic Cerebral Abscess: Still A Diagnostic Dilemma with Fatal Outcome. (2019).</w:t>
      </w:r>
    </w:p>
    <w:p w14:paraId="3BFE08E3" w14:textId="77777777" w:rsidR="009C3E63" w:rsidRPr="00D11245" w:rsidRDefault="009C3E63" w:rsidP="009C3E63">
      <w:pPr>
        <w:pStyle w:val="Bibliography"/>
        <w:rPr>
          <w:color w:val="000000" w:themeColor="text1"/>
        </w:rPr>
      </w:pPr>
      <w:r w:rsidRPr="00D11245">
        <w:rPr>
          <w:color w:val="000000" w:themeColor="text1"/>
        </w:rPr>
        <w:t>126.</w:t>
      </w:r>
      <w:r w:rsidRPr="00D11245">
        <w:rPr>
          <w:color w:val="000000" w:themeColor="text1"/>
        </w:rPr>
        <w:tab/>
        <w:t xml:space="preserve">Maldonado-Barrera C.A. </w:t>
      </w:r>
      <w:r w:rsidRPr="00D11245">
        <w:rPr>
          <w:i/>
          <w:iCs/>
          <w:color w:val="000000" w:themeColor="text1"/>
        </w:rPr>
        <w:t>et al.</w:t>
      </w:r>
      <w:r w:rsidRPr="00D11245">
        <w:rPr>
          <w:color w:val="000000" w:themeColor="text1"/>
        </w:rPr>
        <w:t xml:space="preserve"> Clinical case of cerebral amebiasis caused by E. histolytica. </w:t>
      </w:r>
      <w:r w:rsidRPr="00D11245">
        <w:rPr>
          <w:i/>
          <w:iCs/>
          <w:color w:val="000000" w:themeColor="text1"/>
        </w:rPr>
        <w:t>Parasitol. Res.</w:t>
      </w:r>
      <w:r w:rsidRPr="00D11245">
        <w:rPr>
          <w:color w:val="000000" w:themeColor="text1"/>
        </w:rPr>
        <w:t xml:space="preserve"> </w:t>
      </w:r>
      <w:r w:rsidRPr="00D11245">
        <w:rPr>
          <w:b/>
          <w:bCs/>
          <w:color w:val="000000" w:themeColor="text1"/>
        </w:rPr>
        <w:t>110</w:t>
      </w:r>
      <w:r w:rsidRPr="00D11245">
        <w:rPr>
          <w:color w:val="000000" w:themeColor="text1"/>
        </w:rPr>
        <w:t>, 1291–1296 (2012).</w:t>
      </w:r>
    </w:p>
    <w:p w14:paraId="1BA7C6FB" w14:textId="77777777" w:rsidR="009C3E63" w:rsidRPr="00D11245" w:rsidRDefault="009C3E63" w:rsidP="009C3E63">
      <w:pPr>
        <w:pStyle w:val="Bibliography"/>
        <w:rPr>
          <w:color w:val="000000" w:themeColor="text1"/>
        </w:rPr>
      </w:pPr>
      <w:r w:rsidRPr="00D11245">
        <w:rPr>
          <w:color w:val="000000" w:themeColor="text1"/>
        </w:rPr>
        <w:t>127.</w:t>
      </w:r>
      <w:r w:rsidRPr="00D11245">
        <w:rPr>
          <w:color w:val="000000" w:themeColor="text1"/>
        </w:rPr>
        <w:tab/>
        <w:t xml:space="preserve">Petri W.A. &amp; Haque R. Entamoeba histolytica brain abscess. </w:t>
      </w:r>
      <w:r w:rsidRPr="00D11245">
        <w:rPr>
          <w:i/>
          <w:iCs/>
          <w:color w:val="000000" w:themeColor="text1"/>
        </w:rPr>
        <w:t>Handb. Clin. Neurol.</w:t>
      </w:r>
      <w:r w:rsidRPr="00D11245">
        <w:rPr>
          <w:color w:val="000000" w:themeColor="text1"/>
        </w:rPr>
        <w:t xml:space="preserve"> </w:t>
      </w:r>
      <w:r w:rsidRPr="00D11245">
        <w:rPr>
          <w:b/>
          <w:bCs/>
          <w:color w:val="000000" w:themeColor="text1"/>
        </w:rPr>
        <w:t>114</w:t>
      </w:r>
      <w:r w:rsidRPr="00D11245">
        <w:rPr>
          <w:color w:val="000000" w:themeColor="text1"/>
        </w:rPr>
        <w:t>, 147–152 (2013).</w:t>
      </w:r>
    </w:p>
    <w:p w14:paraId="0E894ED9" w14:textId="77777777" w:rsidR="009C3E63" w:rsidRPr="00D11245" w:rsidRDefault="009C3E63" w:rsidP="009C3E63">
      <w:pPr>
        <w:pStyle w:val="Bibliography"/>
        <w:rPr>
          <w:color w:val="000000" w:themeColor="text1"/>
        </w:rPr>
      </w:pPr>
      <w:r w:rsidRPr="00D11245">
        <w:rPr>
          <w:color w:val="000000" w:themeColor="text1"/>
        </w:rPr>
        <w:t>128.</w:t>
      </w:r>
      <w:r w:rsidRPr="00D11245">
        <w:rPr>
          <w:color w:val="000000" w:themeColor="text1"/>
        </w:rPr>
        <w:tab/>
        <w:t xml:space="preserve">Verma G.K. </w:t>
      </w:r>
      <w:r w:rsidRPr="00D11245">
        <w:rPr>
          <w:i/>
          <w:iCs/>
          <w:color w:val="000000" w:themeColor="text1"/>
        </w:rPr>
        <w:t>et al.</w:t>
      </w:r>
      <w:r w:rsidRPr="00D11245">
        <w:rPr>
          <w:color w:val="000000" w:themeColor="text1"/>
        </w:rPr>
        <w:t xml:space="preserve"> Amoebiasis cutis: Clinical suspicion is the key to early diagnosis. </w:t>
      </w:r>
      <w:r w:rsidRPr="00D11245">
        <w:rPr>
          <w:i/>
          <w:iCs/>
          <w:color w:val="000000" w:themeColor="text1"/>
        </w:rPr>
        <w:t>Australas. J. Dermatol.</w:t>
      </w:r>
      <w:r w:rsidRPr="00D11245">
        <w:rPr>
          <w:color w:val="000000" w:themeColor="text1"/>
        </w:rPr>
        <w:t xml:space="preserve"> </w:t>
      </w:r>
      <w:r w:rsidRPr="00D11245">
        <w:rPr>
          <w:b/>
          <w:bCs/>
          <w:color w:val="000000" w:themeColor="text1"/>
        </w:rPr>
        <w:t>51</w:t>
      </w:r>
      <w:r w:rsidRPr="00D11245">
        <w:rPr>
          <w:color w:val="000000" w:themeColor="text1"/>
        </w:rPr>
        <w:t>, 52–55 (2010).</w:t>
      </w:r>
    </w:p>
    <w:p w14:paraId="44A28F22" w14:textId="77777777" w:rsidR="009C3E63" w:rsidRPr="00D11245" w:rsidRDefault="009C3E63" w:rsidP="009C3E63">
      <w:pPr>
        <w:pStyle w:val="Bibliography"/>
        <w:rPr>
          <w:color w:val="000000" w:themeColor="text1"/>
        </w:rPr>
      </w:pPr>
      <w:r w:rsidRPr="00D11245">
        <w:rPr>
          <w:color w:val="000000" w:themeColor="text1"/>
        </w:rPr>
        <w:t>129.</w:t>
      </w:r>
      <w:r w:rsidRPr="00D11245">
        <w:rPr>
          <w:color w:val="000000" w:themeColor="text1"/>
        </w:rPr>
        <w:tab/>
        <w:t xml:space="preserve">Abdolrasouli, A. </w:t>
      </w:r>
      <w:r w:rsidRPr="00D11245">
        <w:rPr>
          <w:i/>
          <w:iCs/>
          <w:color w:val="000000" w:themeColor="text1"/>
        </w:rPr>
        <w:t>et al.</w:t>
      </w:r>
      <w:r w:rsidRPr="00D11245">
        <w:rPr>
          <w:color w:val="000000" w:themeColor="text1"/>
        </w:rPr>
        <w:t xml:space="preserve"> Sexually transmitted penile amoebiasis in Iran: a case series. (2012).</w:t>
      </w:r>
    </w:p>
    <w:p w14:paraId="2B59DCF3" w14:textId="77777777" w:rsidR="009C3E63" w:rsidRPr="00D11245" w:rsidRDefault="009C3E63" w:rsidP="009C3E63">
      <w:pPr>
        <w:pStyle w:val="Bibliography"/>
        <w:rPr>
          <w:color w:val="000000" w:themeColor="text1"/>
        </w:rPr>
      </w:pPr>
      <w:r w:rsidRPr="00D11245">
        <w:rPr>
          <w:color w:val="000000" w:themeColor="text1"/>
        </w:rPr>
        <w:t>130.</w:t>
      </w:r>
      <w:r w:rsidRPr="00D11245">
        <w:rPr>
          <w:color w:val="000000" w:themeColor="text1"/>
        </w:rPr>
        <w:tab/>
        <w:t xml:space="preserve">Prasetyo, R. H. Scrotal abscess, a rare case of extra intestinal amoebiasis. </w:t>
      </w:r>
      <w:r w:rsidRPr="00D11245">
        <w:rPr>
          <w:i/>
          <w:iCs/>
          <w:color w:val="000000" w:themeColor="text1"/>
        </w:rPr>
        <w:t>Tropical biomedicine</w:t>
      </w:r>
      <w:r w:rsidRPr="00D11245">
        <w:rPr>
          <w:color w:val="000000" w:themeColor="text1"/>
        </w:rPr>
        <w:t xml:space="preserve"> </w:t>
      </w:r>
      <w:r w:rsidRPr="00D11245">
        <w:rPr>
          <w:b/>
          <w:bCs/>
          <w:color w:val="000000" w:themeColor="text1"/>
        </w:rPr>
        <w:t>32</w:t>
      </w:r>
      <w:r w:rsidRPr="00D11245">
        <w:rPr>
          <w:color w:val="000000" w:themeColor="text1"/>
        </w:rPr>
        <w:t>, 494–6 (2015).</w:t>
      </w:r>
    </w:p>
    <w:p w14:paraId="317E28B3" w14:textId="77777777" w:rsidR="009C3E63" w:rsidRPr="00D11245" w:rsidRDefault="009C3E63" w:rsidP="009C3E63">
      <w:pPr>
        <w:pStyle w:val="Bibliography"/>
        <w:rPr>
          <w:color w:val="000000" w:themeColor="text1"/>
        </w:rPr>
      </w:pPr>
      <w:r w:rsidRPr="00D11245">
        <w:rPr>
          <w:color w:val="000000" w:themeColor="text1"/>
        </w:rPr>
        <w:t>131.</w:t>
      </w:r>
      <w:r w:rsidRPr="00D11245">
        <w:rPr>
          <w:color w:val="000000" w:themeColor="text1"/>
        </w:rPr>
        <w:tab/>
        <w:t xml:space="preserve">Ahuja, N. K. </w:t>
      </w:r>
      <w:r w:rsidRPr="00D11245">
        <w:rPr>
          <w:i/>
          <w:iCs/>
          <w:color w:val="000000" w:themeColor="text1"/>
        </w:rPr>
        <w:t>et al.</w:t>
      </w:r>
      <w:r w:rsidRPr="00D11245">
        <w:rPr>
          <w:color w:val="000000" w:themeColor="text1"/>
        </w:rPr>
        <w:t xml:space="preserve"> Esophageal distensibility measurement: impact on clinical management and procedure length. </w:t>
      </w:r>
      <w:r w:rsidRPr="00D11245">
        <w:rPr>
          <w:i/>
          <w:iCs/>
          <w:color w:val="000000" w:themeColor="text1"/>
        </w:rPr>
        <w:t>Diseases of the Esophagus</w:t>
      </w:r>
      <w:r w:rsidRPr="00D11245">
        <w:rPr>
          <w:color w:val="000000" w:themeColor="text1"/>
        </w:rPr>
        <w:t xml:space="preserve"> </w:t>
      </w:r>
      <w:r w:rsidRPr="00D11245">
        <w:rPr>
          <w:b/>
          <w:bCs/>
          <w:color w:val="000000" w:themeColor="text1"/>
        </w:rPr>
        <w:t>30</w:t>
      </w:r>
      <w:r w:rsidRPr="00D11245">
        <w:rPr>
          <w:color w:val="000000" w:themeColor="text1"/>
        </w:rPr>
        <w:t>, 1–8 (2017).</w:t>
      </w:r>
    </w:p>
    <w:p w14:paraId="4FEC2D5F" w14:textId="77777777" w:rsidR="009C3E63" w:rsidRPr="00D11245" w:rsidRDefault="009C3E63" w:rsidP="009C3E63">
      <w:pPr>
        <w:pStyle w:val="Bibliography"/>
        <w:rPr>
          <w:color w:val="000000" w:themeColor="text1"/>
        </w:rPr>
      </w:pPr>
      <w:r w:rsidRPr="00D11245">
        <w:rPr>
          <w:color w:val="000000" w:themeColor="text1"/>
        </w:rPr>
        <w:t>132.</w:t>
      </w:r>
      <w:r w:rsidRPr="00D11245">
        <w:rPr>
          <w:color w:val="000000" w:themeColor="text1"/>
        </w:rPr>
        <w:tab/>
        <w:t xml:space="preserve">Mukherjee S., Nagarsenkar A., Chandra S., Sahasrabhojanee M., &amp; Sawant D. Amoebic cervicitis mimicking posterior wall fibroid: A rare presentation. </w:t>
      </w:r>
      <w:r w:rsidRPr="00D11245">
        <w:rPr>
          <w:i/>
          <w:iCs/>
          <w:color w:val="000000" w:themeColor="text1"/>
        </w:rPr>
        <w:t>J. Microbiol. Immunol. Infect.</w:t>
      </w:r>
      <w:r w:rsidRPr="00D11245">
        <w:rPr>
          <w:color w:val="000000" w:themeColor="text1"/>
        </w:rPr>
        <w:t xml:space="preserve"> </w:t>
      </w:r>
      <w:r w:rsidRPr="00D11245">
        <w:rPr>
          <w:b/>
          <w:bCs/>
          <w:color w:val="000000" w:themeColor="text1"/>
        </w:rPr>
        <w:t>47</w:t>
      </w:r>
      <w:r w:rsidRPr="00D11245">
        <w:rPr>
          <w:color w:val="000000" w:themeColor="text1"/>
        </w:rPr>
        <w:t>, 354–357 (2014).</w:t>
      </w:r>
    </w:p>
    <w:p w14:paraId="32958741" w14:textId="77777777" w:rsidR="009C3E63" w:rsidRPr="00D11245" w:rsidRDefault="009C3E63" w:rsidP="009C3E63">
      <w:pPr>
        <w:pStyle w:val="Bibliography"/>
        <w:rPr>
          <w:color w:val="000000" w:themeColor="text1"/>
        </w:rPr>
      </w:pPr>
      <w:r w:rsidRPr="00D11245">
        <w:rPr>
          <w:color w:val="000000" w:themeColor="text1"/>
        </w:rPr>
        <w:lastRenderedPageBreak/>
        <w:t>133.</w:t>
      </w:r>
      <w:r w:rsidRPr="00D11245">
        <w:rPr>
          <w:color w:val="000000" w:themeColor="text1"/>
        </w:rPr>
        <w:tab/>
        <w:t xml:space="preserve">Haque, R. </w:t>
      </w:r>
      <w:r w:rsidRPr="00D11245">
        <w:rPr>
          <w:i/>
          <w:iCs/>
          <w:color w:val="000000" w:themeColor="text1"/>
        </w:rPr>
        <w:t>et al.</w:t>
      </w:r>
      <w:r w:rsidRPr="00D11245">
        <w:rPr>
          <w:color w:val="000000" w:themeColor="text1"/>
        </w:rPr>
        <w:t xml:space="preserve"> Diagnosis of Amebic Liver Abscess and Intestinal Infection with the TechLab Entamoeba histolytica II Antigen Detection and Antibody Tests. </w:t>
      </w:r>
      <w:r w:rsidRPr="00D11245">
        <w:rPr>
          <w:i/>
          <w:iCs/>
          <w:color w:val="000000" w:themeColor="text1"/>
        </w:rPr>
        <w:t>Journal of Clinical Microbiology</w:t>
      </w:r>
      <w:r w:rsidRPr="00D11245">
        <w:rPr>
          <w:color w:val="000000" w:themeColor="text1"/>
        </w:rPr>
        <w:t xml:space="preserve"> </w:t>
      </w:r>
      <w:r w:rsidRPr="00D11245">
        <w:rPr>
          <w:b/>
          <w:bCs/>
          <w:color w:val="000000" w:themeColor="text1"/>
        </w:rPr>
        <w:t>38</w:t>
      </w:r>
      <w:r w:rsidRPr="00D11245">
        <w:rPr>
          <w:color w:val="000000" w:themeColor="text1"/>
        </w:rPr>
        <w:t>, 3235–3239 (2000).</w:t>
      </w:r>
    </w:p>
    <w:p w14:paraId="2D72981D" w14:textId="77777777" w:rsidR="009C3E63" w:rsidRPr="00D11245" w:rsidRDefault="009C3E63" w:rsidP="009C3E63">
      <w:pPr>
        <w:pStyle w:val="Bibliography"/>
        <w:rPr>
          <w:color w:val="000000" w:themeColor="text1"/>
        </w:rPr>
      </w:pPr>
      <w:r w:rsidRPr="00D11245">
        <w:rPr>
          <w:color w:val="000000" w:themeColor="text1"/>
        </w:rPr>
        <w:t>134.</w:t>
      </w:r>
      <w:r w:rsidRPr="00D11245">
        <w:rPr>
          <w:color w:val="000000" w:themeColor="text1"/>
        </w:rPr>
        <w:tab/>
        <w:t xml:space="preserve">Mohanty, S., Sharma, N. &amp; Deb, M. Microscopy versus enzyme linked immunosorbent assay test for detection of Entamoeba histolytica infection in stool samples. </w:t>
      </w:r>
      <w:r w:rsidRPr="00D11245">
        <w:rPr>
          <w:i/>
          <w:iCs/>
          <w:color w:val="000000" w:themeColor="text1"/>
        </w:rPr>
        <w:t>Trop Parasitol</w:t>
      </w:r>
      <w:r w:rsidRPr="00D11245">
        <w:rPr>
          <w:color w:val="000000" w:themeColor="text1"/>
        </w:rPr>
        <w:t xml:space="preserve"> </w:t>
      </w:r>
      <w:r w:rsidRPr="00D11245">
        <w:rPr>
          <w:b/>
          <w:bCs/>
          <w:color w:val="000000" w:themeColor="text1"/>
        </w:rPr>
        <w:t>4</w:t>
      </w:r>
      <w:r w:rsidRPr="00D11245">
        <w:rPr>
          <w:color w:val="000000" w:themeColor="text1"/>
        </w:rPr>
        <w:t>, 136 (2014).</w:t>
      </w:r>
    </w:p>
    <w:p w14:paraId="20425FA9" w14:textId="77777777" w:rsidR="009C3E63" w:rsidRPr="00D11245" w:rsidRDefault="009C3E63" w:rsidP="009C3E63">
      <w:pPr>
        <w:pStyle w:val="Bibliography"/>
        <w:rPr>
          <w:color w:val="000000" w:themeColor="text1"/>
        </w:rPr>
      </w:pPr>
      <w:r w:rsidRPr="00D11245">
        <w:rPr>
          <w:color w:val="000000" w:themeColor="text1"/>
        </w:rPr>
        <w:t>135.</w:t>
      </w:r>
      <w:r w:rsidRPr="00D11245">
        <w:rPr>
          <w:color w:val="000000" w:themeColor="text1"/>
        </w:rPr>
        <w:tab/>
        <w:t xml:space="preserve">Horiki, N. </w:t>
      </w:r>
      <w:r w:rsidRPr="00D11245">
        <w:rPr>
          <w:i/>
          <w:iCs/>
          <w:color w:val="000000" w:themeColor="text1"/>
        </w:rPr>
        <w:t>et al.</w:t>
      </w:r>
      <w:r w:rsidRPr="00D11245">
        <w:rPr>
          <w:color w:val="000000" w:themeColor="text1"/>
        </w:rPr>
        <w:t xml:space="preserve"> Endoscopic findings and lesion distribution in amebic colitis. </w:t>
      </w:r>
      <w:r w:rsidRPr="00D11245">
        <w:rPr>
          <w:i/>
          <w:iCs/>
          <w:color w:val="000000" w:themeColor="text1"/>
        </w:rPr>
        <w:t>Journal of Infection and Chemotherapy</w:t>
      </w:r>
      <w:r w:rsidRPr="00D11245">
        <w:rPr>
          <w:color w:val="000000" w:themeColor="text1"/>
        </w:rPr>
        <w:t xml:space="preserve"> </w:t>
      </w:r>
      <w:r w:rsidRPr="00D11245">
        <w:rPr>
          <w:b/>
          <w:bCs/>
          <w:color w:val="000000" w:themeColor="text1"/>
        </w:rPr>
        <w:t>21</w:t>
      </w:r>
      <w:r w:rsidRPr="00D11245">
        <w:rPr>
          <w:color w:val="000000" w:themeColor="text1"/>
        </w:rPr>
        <w:t>, 444–448 (2015).</w:t>
      </w:r>
    </w:p>
    <w:p w14:paraId="2D5CA90B" w14:textId="77777777" w:rsidR="009C3E63" w:rsidRPr="00D11245" w:rsidRDefault="009C3E63" w:rsidP="009C3E63">
      <w:pPr>
        <w:pStyle w:val="Bibliography"/>
        <w:rPr>
          <w:color w:val="000000" w:themeColor="text1"/>
        </w:rPr>
      </w:pPr>
      <w:r w:rsidRPr="00D11245">
        <w:rPr>
          <w:color w:val="000000" w:themeColor="text1"/>
        </w:rPr>
        <w:t>136.</w:t>
      </w:r>
      <w:r w:rsidRPr="00D11245">
        <w:rPr>
          <w:color w:val="000000" w:themeColor="text1"/>
        </w:rPr>
        <w:tab/>
        <w:t xml:space="preserve">Lee K.-C., Lu C.-C., Hu W.-H., Lin S.-E., &amp; Chen H.-H. Colonoscopic diagnosis of amebiasis: a case series and systematic review. </w:t>
      </w:r>
      <w:r w:rsidRPr="00D11245">
        <w:rPr>
          <w:i/>
          <w:iCs/>
          <w:color w:val="000000" w:themeColor="text1"/>
        </w:rPr>
        <w:t>Int. J. Colorectal Dis.</w:t>
      </w:r>
      <w:r w:rsidRPr="00D11245">
        <w:rPr>
          <w:color w:val="000000" w:themeColor="text1"/>
        </w:rPr>
        <w:t xml:space="preserve"> </w:t>
      </w:r>
      <w:r w:rsidRPr="00D11245">
        <w:rPr>
          <w:b/>
          <w:bCs/>
          <w:color w:val="000000" w:themeColor="text1"/>
        </w:rPr>
        <w:t>30</w:t>
      </w:r>
      <w:r w:rsidRPr="00D11245">
        <w:rPr>
          <w:color w:val="000000" w:themeColor="text1"/>
        </w:rPr>
        <w:t>, 31–41 (2014).</w:t>
      </w:r>
    </w:p>
    <w:p w14:paraId="56CDCBE2" w14:textId="77777777" w:rsidR="009C3E63" w:rsidRPr="00D11245" w:rsidRDefault="009C3E63" w:rsidP="009C3E63">
      <w:pPr>
        <w:pStyle w:val="Bibliography"/>
        <w:rPr>
          <w:color w:val="000000" w:themeColor="text1"/>
        </w:rPr>
      </w:pPr>
      <w:r w:rsidRPr="00D11245">
        <w:rPr>
          <w:color w:val="000000" w:themeColor="text1"/>
        </w:rPr>
        <w:t>137.</w:t>
      </w:r>
      <w:r w:rsidRPr="00D11245">
        <w:rPr>
          <w:color w:val="000000" w:themeColor="text1"/>
        </w:rPr>
        <w:tab/>
        <w:t xml:space="preserve">Legris T. </w:t>
      </w:r>
      <w:r w:rsidRPr="00D11245">
        <w:rPr>
          <w:i/>
          <w:iCs/>
          <w:color w:val="000000" w:themeColor="text1"/>
        </w:rPr>
        <w:t>et al.</w:t>
      </w:r>
      <w:r w:rsidRPr="00D11245">
        <w:rPr>
          <w:color w:val="000000" w:themeColor="text1"/>
        </w:rPr>
        <w:t xml:space="preserve"> Ameboma: An unusual cause of gastrointestinal bleeding during severe leptospirosis. </w:t>
      </w:r>
      <w:r w:rsidRPr="00D11245">
        <w:rPr>
          <w:i/>
          <w:iCs/>
          <w:color w:val="000000" w:themeColor="text1"/>
        </w:rPr>
        <w:t>BMC Infect. Dis.</w:t>
      </w:r>
      <w:r w:rsidRPr="00D11245">
        <w:rPr>
          <w:color w:val="000000" w:themeColor="text1"/>
        </w:rPr>
        <w:t xml:space="preserve"> </w:t>
      </w:r>
      <w:r w:rsidRPr="00D11245">
        <w:rPr>
          <w:b/>
          <w:bCs/>
          <w:color w:val="000000" w:themeColor="text1"/>
        </w:rPr>
        <w:t>14</w:t>
      </w:r>
      <w:r w:rsidRPr="00D11245">
        <w:rPr>
          <w:color w:val="000000" w:themeColor="text1"/>
        </w:rPr>
        <w:t>, 299 (2014).</w:t>
      </w:r>
    </w:p>
    <w:p w14:paraId="3013827B" w14:textId="77777777" w:rsidR="009C3E63" w:rsidRPr="00D11245" w:rsidRDefault="009C3E63" w:rsidP="009C3E63">
      <w:pPr>
        <w:pStyle w:val="Bibliography"/>
        <w:rPr>
          <w:color w:val="000000" w:themeColor="text1"/>
        </w:rPr>
      </w:pPr>
      <w:r w:rsidRPr="00D11245">
        <w:rPr>
          <w:color w:val="000000" w:themeColor="text1"/>
        </w:rPr>
        <w:t>138.</w:t>
      </w:r>
      <w:r w:rsidRPr="00D11245">
        <w:rPr>
          <w:color w:val="000000" w:themeColor="text1"/>
        </w:rPr>
        <w:tab/>
        <w:t xml:space="preserve">Okamoto, M. </w:t>
      </w:r>
      <w:r w:rsidRPr="00D11245">
        <w:rPr>
          <w:i/>
          <w:iCs/>
          <w:color w:val="000000" w:themeColor="text1"/>
        </w:rPr>
        <w:t>et al.</w:t>
      </w:r>
      <w:r w:rsidRPr="00D11245">
        <w:rPr>
          <w:color w:val="000000" w:themeColor="text1"/>
        </w:rPr>
        <w:t xml:space="preserve"> Amebic colitis in asymptomatic subjects with positive fecal occult blood test results: clinical features different from symptomatic cases. </w:t>
      </w:r>
      <w:r w:rsidRPr="00D11245">
        <w:rPr>
          <w:i/>
          <w:iCs/>
          <w:color w:val="000000" w:themeColor="text1"/>
        </w:rPr>
        <w:t>Am. J. Trop. Med. Hyg.</w:t>
      </w:r>
      <w:r w:rsidRPr="00D11245">
        <w:rPr>
          <w:color w:val="000000" w:themeColor="text1"/>
        </w:rPr>
        <w:t xml:space="preserve"> </w:t>
      </w:r>
      <w:r w:rsidRPr="00D11245">
        <w:rPr>
          <w:b/>
          <w:bCs/>
          <w:color w:val="000000" w:themeColor="text1"/>
        </w:rPr>
        <w:t>73</w:t>
      </w:r>
      <w:r w:rsidRPr="00D11245">
        <w:rPr>
          <w:color w:val="000000" w:themeColor="text1"/>
        </w:rPr>
        <w:t>, 934–935 (2005).</w:t>
      </w:r>
    </w:p>
    <w:p w14:paraId="7781794E" w14:textId="77777777" w:rsidR="009C3E63" w:rsidRPr="00D11245" w:rsidRDefault="009C3E63" w:rsidP="009C3E63">
      <w:pPr>
        <w:pStyle w:val="Bibliography"/>
        <w:rPr>
          <w:color w:val="000000" w:themeColor="text1"/>
        </w:rPr>
      </w:pPr>
      <w:r w:rsidRPr="00D11245">
        <w:rPr>
          <w:color w:val="000000" w:themeColor="text1"/>
        </w:rPr>
        <w:t>139.</w:t>
      </w:r>
      <w:r w:rsidRPr="00D11245">
        <w:rPr>
          <w:color w:val="000000" w:themeColor="text1"/>
        </w:rPr>
        <w:tab/>
        <w:t xml:space="preserve">Singh, R., Balekuduru, A., Simon, E., Alexander, M. &amp; Pulimood, A. The differentiation of amebic colitis from inflammatory bowel disease on endoscopic mucosal biopsies. </w:t>
      </w:r>
      <w:r w:rsidRPr="00D11245">
        <w:rPr>
          <w:i/>
          <w:iCs/>
          <w:color w:val="000000" w:themeColor="text1"/>
        </w:rPr>
        <w:t>Indian J Pathol Microbiol</w:t>
      </w:r>
      <w:r w:rsidRPr="00D11245">
        <w:rPr>
          <w:color w:val="000000" w:themeColor="text1"/>
        </w:rPr>
        <w:t xml:space="preserve"> </w:t>
      </w:r>
      <w:r w:rsidRPr="00D11245">
        <w:rPr>
          <w:b/>
          <w:bCs/>
          <w:color w:val="000000" w:themeColor="text1"/>
        </w:rPr>
        <w:t>58</w:t>
      </w:r>
      <w:r w:rsidRPr="00D11245">
        <w:rPr>
          <w:color w:val="000000" w:themeColor="text1"/>
        </w:rPr>
        <w:t>, 427 (2015).</w:t>
      </w:r>
    </w:p>
    <w:p w14:paraId="3D179042" w14:textId="77777777" w:rsidR="009C3E63" w:rsidRPr="00D11245" w:rsidRDefault="009C3E63" w:rsidP="009C3E63">
      <w:pPr>
        <w:pStyle w:val="Bibliography"/>
        <w:rPr>
          <w:color w:val="000000" w:themeColor="text1"/>
        </w:rPr>
      </w:pPr>
      <w:r w:rsidRPr="00D11245">
        <w:rPr>
          <w:color w:val="000000" w:themeColor="text1"/>
        </w:rPr>
        <w:t>140.</w:t>
      </w:r>
      <w:r w:rsidRPr="00D11245">
        <w:rPr>
          <w:color w:val="000000" w:themeColor="text1"/>
        </w:rPr>
        <w:tab/>
        <w:t xml:space="preserve">Wu, N. &amp; Freiman, J. S. Caecal ulceration in an asymptomatic man. </w:t>
      </w:r>
      <w:r w:rsidRPr="00D11245">
        <w:rPr>
          <w:i/>
          <w:iCs/>
          <w:color w:val="000000" w:themeColor="text1"/>
        </w:rPr>
        <w:t>Gut</w:t>
      </w:r>
      <w:r w:rsidRPr="00D11245">
        <w:rPr>
          <w:color w:val="000000" w:themeColor="text1"/>
        </w:rPr>
        <w:t xml:space="preserve"> </w:t>
      </w:r>
      <w:r w:rsidRPr="00D11245">
        <w:rPr>
          <w:b/>
          <w:bCs/>
          <w:color w:val="000000" w:themeColor="text1"/>
        </w:rPr>
        <w:t>66</w:t>
      </w:r>
      <w:r w:rsidRPr="00D11245">
        <w:rPr>
          <w:color w:val="000000" w:themeColor="text1"/>
        </w:rPr>
        <w:t>, 886 (2017).</w:t>
      </w:r>
    </w:p>
    <w:p w14:paraId="4C06159C" w14:textId="77777777" w:rsidR="009C3E63" w:rsidRPr="00D11245" w:rsidRDefault="009C3E63" w:rsidP="009C3E63">
      <w:pPr>
        <w:pStyle w:val="Bibliography"/>
        <w:rPr>
          <w:color w:val="000000" w:themeColor="text1"/>
        </w:rPr>
      </w:pPr>
      <w:r w:rsidRPr="00D11245">
        <w:rPr>
          <w:color w:val="000000" w:themeColor="text1"/>
        </w:rPr>
        <w:t>141.</w:t>
      </w:r>
      <w:r w:rsidRPr="00D11245">
        <w:rPr>
          <w:color w:val="000000" w:themeColor="text1"/>
        </w:rPr>
        <w:tab/>
        <w:t xml:space="preserve">Christopher Skappak </w:t>
      </w:r>
      <w:r w:rsidRPr="00D11245">
        <w:rPr>
          <w:i/>
          <w:iCs/>
          <w:color w:val="000000" w:themeColor="text1"/>
        </w:rPr>
        <w:t>et al.</w:t>
      </w:r>
      <w:r w:rsidRPr="00D11245">
        <w:rPr>
          <w:color w:val="000000" w:themeColor="text1"/>
        </w:rPr>
        <w:t xml:space="preserve"> Invasive Amoebiasis: A Review of Entamoeba Infections Highlighted with Case Reports. (2014).</w:t>
      </w:r>
    </w:p>
    <w:p w14:paraId="2077CF26" w14:textId="77777777" w:rsidR="009C3E63" w:rsidRPr="00D11245" w:rsidRDefault="009C3E63" w:rsidP="009C3E63">
      <w:pPr>
        <w:pStyle w:val="Bibliography"/>
        <w:rPr>
          <w:color w:val="000000" w:themeColor="text1"/>
        </w:rPr>
      </w:pPr>
      <w:r w:rsidRPr="00D11245">
        <w:rPr>
          <w:color w:val="000000" w:themeColor="text1"/>
        </w:rPr>
        <w:t>142.</w:t>
      </w:r>
      <w:r w:rsidRPr="00D11245">
        <w:rPr>
          <w:color w:val="000000" w:themeColor="text1"/>
        </w:rPr>
        <w:tab/>
        <w:t xml:space="preserve">Yoon E.W.T. &amp; Sumii M. Severe amoebic colitis in an HIV-infected male patient. </w:t>
      </w:r>
      <w:r w:rsidRPr="00D11245">
        <w:rPr>
          <w:i/>
          <w:iCs/>
          <w:color w:val="000000" w:themeColor="text1"/>
        </w:rPr>
        <w:t>BMJ Case Rep.</w:t>
      </w:r>
      <w:r w:rsidRPr="00D11245">
        <w:rPr>
          <w:color w:val="000000" w:themeColor="text1"/>
        </w:rPr>
        <w:t xml:space="preserve"> </w:t>
      </w:r>
      <w:r w:rsidRPr="00D11245">
        <w:rPr>
          <w:b/>
          <w:bCs/>
          <w:color w:val="000000" w:themeColor="text1"/>
        </w:rPr>
        <w:t>2016</w:t>
      </w:r>
      <w:r w:rsidRPr="00D11245">
        <w:rPr>
          <w:color w:val="000000" w:themeColor="text1"/>
        </w:rPr>
        <w:t>, 218570 (2016).</w:t>
      </w:r>
    </w:p>
    <w:p w14:paraId="2F52B79A" w14:textId="77777777" w:rsidR="009C3E63" w:rsidRPr="00D11245" w:rsidRDefault="009C3E63" w:rsidP="009C3E63">
      <w:pPr>
        <w:pStyle w:val="Bibliography"/>
        <w:rPr>
          <w:color w:val="000000" w:themeColor="text1"/>
        </w:rPr>
      </w:pPr>
      <w:r w:rsidRPr="00D11245">
        <w:rPr>
          <w:color w:val="000000" w:themeColor="text1"/>
        </w:rPr>
        <w:t>143.</w:t>
      </w:r>
      <w:r w:rsidRPr="00D11245">
        <w:rPr>
          <w:color w:val="000000" w:themeColor="text1"/>
        </w:rPr>
        <w:tab/>
        <w:t xml:space="preserve">Watanabe, K. </w:t>
      </w:r>
      <w:r w:rsidRPr="00D11245">
        <w:rPr>
          <w:i/>
          <w:iCs/>
          <w:color w:val="000000" w:themeColor="text1"/>
        </w:rPr>
        <w:t>et al.</w:t>
      </w:r>
      <w:r w:rsidRPr="00D11245">
        <w:rPr>
          <w:color w:val="000000" w:themeColor="text1"/>
        </w:rPr>
        <w:t xml:space="preserve"> Asymptomatic Intestinal Amebiasis in Japanese HIV-1–Infected Individuals. </w:t>
      </w:r>
      <w:r w:rsidRPr="00D11245">
        <w:rPr>
          <w:i/>
          <w:iCs/>
          <w:color w:val="000000" w:themeColor="text1"/>
        </w:rPr>
        <w:t>The American Journal of Tropical Medicine and Hygiene</w:t>
      </w:r>
      <w:r w:rsidRPr="00D11245">
        <w:rPr>
          <w:color w:val="000000" w:themeColor="text1"/>
        </w:rPr>
        <w:t xml:space="preserve"> </w:t>
      </w:r>
      <w:r w:rsidRPr="00D11245">
        <w:rPr>
          <w:b/>
          <w:bCs/>
          <w:color w:val="000000" w:themeColor="text1"/>
        </w:rPr>
        <w:t>91</w:t>
      </w:r>
      <w:r w:rsidRPr="00D11245">
        <w:rPr>
          <w:color w:val="000000" w:themeColor="text1"/>
        </w:rPr>
        <w:t>, 816–816 (2014).</w:t>
      </w:r>
    </w:p>
    <w:p w14:paraId="135A5DC6" w14:textId="77777777" w:rsidR="009C3E63" w:rsidRPr="00D11245" w:rsidRDefault="009C3E63" w:rsidP="009C3E63">
      <w:pPr>
        <w:pStyle w:val="Bibliography"/>
        <w:rPr>
          <w:color w:val="000000" w:themeColor="text1"/>
        </w:rPr>
      </w:pPr>
      <w:r w:rsidRPr="00D11245">
        <w:rPr>
          <w:color w:val="000000" w:themeColor="text1"/>
        </w:rPr>
        <w:lastRenderedPageBreak/>
        <w:t>144.</w:t>
      </w:r>
      <w:r w:rsidRPr="00D11245">
        <w:rPr>
          <w:color w:val="000000" w:themeColor="text1"/>
        </w:rPr>
        <w:tab/>
        <w:t xml:space="preserve">Ng C.H., Lai L., Ng K.S., &amp; Li K.K. Relapse of amoebic infection 10 years after the infection. </w:t>
      </w:r>
      <w:r w:rsidRPr="00D11245">
        <w:rPr>
          <w:i/>
          <w:iCs/>
          <w:color w:val="000000" w:themeColor="text1"/>
        </w:rPr>
        <w:t>Hong Kong Med. J.</w:t>
      </w:r>
      <w:r w:rsidRPr="00D11245">
        <w:rPr>
          <w:color w:val="000000" w:themeColor="text1"/>
        </w:rPr>
        <w:t xml:space="preserve"> </w:t>
      </w:r>
      <w:r w:rsidRPr="00D11245">
        <w:rPr>
          <w:b/>
          <w:bCs/>
          <w:color w:val="000000" w:themeColor="text1"/>
        </w:rPr>
        <w:t>17</w:t>
      </w:r>
      <w:r w:rsidRPr="00D11245">
        <w:rPr>
          <w:color w:val="000000" w:themeColor="text1"/>
        </w:rPr>
        <w:t>, 71–73 (2011).</w:t>
      </w:r>
    </w:p>
    <w:p w14:paraId="0CCC2BB5" w14:textId="77777777" w:rsidR="009C3E63" w:rsidRPr="00D11245" w:rsidRDefault="009C3E63" w:rsidP="009C3E63">
      <w:pPr>
        <w:pStyle w:val="Bibliography"/>
        <w:rPr>
          <w:color w:val="000000" w:themeColor="text1"/>
        </w:rPr>
      </w:pPr>
      <w:r w:rsidRPr="00D11245">
        <w:rPr>
          <w:color w:val="000000" w:themeColor="text1"/>
        </w:rPr>
        <w:t>145.</w:t>
      </w:r>
      <w:r w:rsidRPr="00D11245">
        <w:rPr>
          <w:color w:val="000000" w:themeColor="text1"/>
        </w:rPr>
        <w:tab/>
        <w:t xml:space="preserve">Cacheux W. </w:t>
      </w:r>
      <w:r w:rsidRPr="00D11245">
        <w:rPr>
          <w:i/>
          <w:iCs/>
          <w:color w:val="000000" w:themeColor="text1"/>
        </w:rPr>
        <w:t>et al.</w:t>
      </w:r>
      <w:r w:rsidRPr="00D11245">
        <w:rPr>
          <w:color w:val="000000" w:themeColor="text1"/>
        </w:rPr>
        <w:t xml:space="preserve"> Amoebic abscess diagnosed on fluorodeoxyglucose positron emission tomography scan in patient with recurrent oropharyngeal squamous cell carcinoma. </w:t>
      </w:r>
      <w:r w:rsidRPr="00D11245">
        <w:rPr>
          <w:i/>
          <w:iCs/>
          <w:color w:val="000000" w:themeColor="text1"/>
        </w:rPr>
        <w:t>J. Clin. Oncol.</w:t>
      </w:r>
      <w:r w:rsidRPr="00D11245">
        <w:rPr>
          <w:color w:val="000000" w:themeColor="text1"/>
        </w:rPr>
        <w:t xml:space="preserve"> </w:t>
      </w:r>
      <w:r w:rsidRPr="00D11245">
        <w:rPr>
          <w:b/>
          <w:bCs/>
          <w:color w:val="000000" w:themeColor="text1"/>
        </w:rPr>
        <w:t>29</w:t>
      </w:r>
      <w:r w:rsidRPr="00D11245">
        <w:rPr>
          <w:color w:val="000000" w:themeColor="text1"/>
        </w:rPr>
        <w:t>, e365–e366 (2011).</w:t>
      </w:r>
    </w:p>
    <w:p w14:paraId="0FB569C4" w14:textId="77777777" w:rsidR="009C3E63" w:rsidRPr="00D11245" w:rsidRDefault="009C3E63" w:rsidP="009C3E63">
      <w:pPr>
        <w:pStyle w:val="Bibliography"/>
        <w:rPr>
          <w:color w:val="000000" w:themeColor="text1"/>
        </w:rPr>
      </w:pPr>
      <w:r w:rsidRPr="00D11245">
        <w:rPr>
          <w:color w:val="000000" w:themeColor="text1"/>
        </w:rPr>
        <w:t>146.</w:t>
      </w:r>
      <w:r w:rsidRPr="00D11245">
        <w:rPr>
          <w:color w:val="000000" w:themeColor="text1"/>
        </w:rPr>
        <w:tab/>
        <w:t>Pablo Rodríguez Carnero, Paula Hernández Mateo, Susana Martín-Garre, Ángela García Pérez, &amp; Lourdes del Campo. Unexpected hosts: imaging parasitic diseases. (2017).</w:t>
      </w:r>
    </w:p>
    <w:p w14:paraId="3DA741B8" w14:textId="77777777" w:rsidR="009C3E63" w:rsidRPr="00D11245" w:rsidRDefault="009C3E63" w:rsidP="009C3E63">
      <w:pPr>
        <w:pStyle w:val="Bibliography"/>
        <w:rPr>
          <w:color w:val="000000" w:themeColor="text1"/>
        </w:rPr>
      </w:pPr>
      <w:r w:rsidRPr="00D11245">
        <w:rPr>
          <w:color w:val="000000" w:themeColor="text1"/>
        </w:rPr>
        <w:t>147.</w:t>
      </w:r>
      <w:r w:rsidRPr="00D11245">
        <w:rPr>
          <w:color w:val="000000" w:themeColor="text1"/>
        </w:rPr>
        <w:tab/>
        <w:t xml:space="preserve">Jesrani, G., Kaur, J., Gupta, S., Cheema, Y. &amp; Ahlawat, P. Mediastinal extension of amoebic liver abscess: A case report on the rare thoracic complication of Entamoeba histolytica. </w:t>
      </w:r>
      <w:r w:rsidRPr="00D11245">
        <w:rPr>
          <w:i/>
          <w:iCs/>
          <w:color w:val="000000" w:themeColor="text1"/>
        </w:rPr>
        <w:t>Turk J Emerg Med</w:t>
      </w:r>
      <w:r w:rsidRPr="00D11245">
        <w:rPr>
          <w:color w:val="000000" w:themeColor="text1"/>
        </w:rPr>
        <w:t xml:space="preserve"> </w:t>
      </w:r>
      <w:r w:rsidRPr="00D11245">
        <w:rPr>
          <w:b/>
          <w:bCs/>
          <w:color w:val="000000" w:themeColor="text1"/>
        </w:rPr>
        <w:t>23</w:t>
      </w:r>
      <w:r w:rsidRPr="00D11245">
        <w:rPr>
          <w:color w:val="000000" w:themeColor="text1"/>
        </w:rPr>
        <w:t>, 250 (2023).</w:t>
      </w:r>
    </w:p>
    <w:p w14:paraId="54910E8D" w14:textId="77777777" w:rsidR="009C3E63" w:rsidRPr="00D11245" w:rsidRDefault="009C3E63" w:rsidP="009C3E63">
      <w:pPr>
        <w:pStyle w:val="Bibliography"/>
        <w:rPr>
          <w:color w:val="000000" w:themeColor="text1"/>
        </w:rPr>
      </w:pPr>
      <w:r w:rsidRPr="00D11245">
        <w:rPr>
          <w:color w:val="000000" w:themeColor="text1"/>
        </w:rPr>
        <w:t>148.</w:t>
      </w:r>
      <w:r w:rsidRPr="00D11245">
        <w:rPr>
          <w:color w:val="000000" w:themeColor="text1"/>
        </w:rPr>
        <w:tab/>
        <w:t xml:space="preserve">Shrivastav, M. T., Malik, Z., &amp; Somlata. Revisiting Drug Development Against the Neglected Tropical Disease, Amebiasis. </w:t>
      </w:r>
      <w:r w:rsidRPr="00D11245">
        <w:rPr>
          <w:i/>
          <w:iCs/>
          <w:color w:val="000000" w:themeColor="text1"/>
        </w:rPr>
        <w:t>Front. Cell. Infect. Microbiol.</w:t>
      </w:r>
      <w:r w:rsidRPr="00D11245">
        <w:rPr>
          <w:color w:val="000000" w:themeColor="text1"/>
        </w:rPr>
        <w:t xml:space="preserve"> </w:t>
      </w:r>
      <w:r w:rsidRPr="00D11245">
        <w:rPr>
          <w:b/>
          <w:bCs/>
          <w:color w:val="000000" w:themeColor="text1"/>
        </w:rPr>
        <w:t>10</w:t>
      </w:r>
      <w:r w:rsidRPr="00D11245">
        <w:rPr>
          <w:color w:val="000000" w:themeColor="text1"/>
        </w:rPr>
        <w:t>, 628257 (2021).</w:t>
      </w:r>
    </w:p>
    <w:p w14:paraId="5BE827D7" w14:textId="77777777" w:rsidR="009C3E63" w:rsidRPr="00D11245" w:rsidRDefault="009C3E63" w:rsidP="009C3E63">
      <w:pPr>
        <w:pStyle w:val="Bibliography"/>
        <w:rPr>
          <w:color w:val="000000" w:themeColor="text1"/>
        </w:rPr>
      </w:pPr>
      <w:r w:rsidRPr="00D11245">
        <w:rPr>
          <w:color w:val="000000" w:themeColor="text1"/>
        </w:rPr>
        <w:t>149.</w:t>
      </w:r>
      <w:r w:rsidRPr="00D11245">
        <w:rPr>
          <w:color w:val="000000" w:themeColor="text1"/>
        </w:rPr>
        <w:tab/>
        <w:t xml:space="preserve">NICE. Trichomoniasis: Changes, Last revised in November 2023. </w:t>
      </w:r>
      <w:r w:rsidRPr="00D11245">
        <w:rPr>
          <w:i/>
          <w:iCs/>
          <w:color w:val="000000" w:themeColor="text1"/>
        </w:rPr>
        <w:t>National Institute of Clinical Exellence</w:t>
      </w:r>
      <w:r w:rsidRPr="00D11245">
        <w:rPr>
          <w:color w:val="000000" w:themeColor="text1"/>
        </w:rPr>
        <w:t xml:space="preserve"> https://cks.nice.org.uk/topics/trichomoniasis/how-up-to-date-is-this-topic/changes/#:~:text=Recommendations%20relating%20to%20tinidazole%2C%20and,been%20discontinued%20in%20the%20UK. (2024).</w:t>
      </w:r>
    </w:p>
    <w:p w14:paraId="744D3D2B" w14:textId="77777777" w:rsidR="009C3E63" w:rsidRPr="00D11245" w:rsidRDefault="009C3E63" w:rsidP="009C3E63">
      <w:pPr>
        <w:pStyle w:val="Bibliography"/>
        <w:rPr>
          <w:color w:val="000000" w:themeColor="text1"/>
        </w:rPr>
      </w:pPr>
      <w:r w:rsidRPr="00D11245">
        <w:rPr>
          <w:color w:val="000000" w:themeColor="text1"/>
        </w:rPr>
        <w:t>150.</w:t>
      </w:r>
      <w:r w:rsidRPr="00D11245">
        <w:rPr>
          <w:color w:val="000000" w:themeColor="text1"/>
        </w:rPr>
        <w:tab/>
        <w:t xml:space="preserve">Morán, P. </w:t>
      </w:r>
      <w:r w:rsidRPr="00D11245">
        <w:rPr>
          <w:i/>
          <w:iCs/>
          <w:color w:val="000000" w:themeColor="text1"/>
        </w:rPr>
        <w:t>et al.</w:t>
      </w:r>
      <w:r w:rsidRPr="00D11245">
        <w:rPr>
          <w:color w:val="000000" w:themeColor="text1"/>
        </w:rPr>
        <w:t xml:space="preserve"> Amoebiasis: Advances in Diagnosis, Treatment, Immunology Features and the Interaction with the Intestinal Ecosystem. </w:t>
      </w:r>
      <w:r w:rsidRPr="00D11245">
        <w:rPr>
          <w:i/>
          <w:iCs/>
          <w:color w:val="000000" w:themeColor="text1"/>
        </w:rPr>
        <w:t>IJMS</w:t>
      </w:r>
      <w:r w:rsidRPr="00D11245">
        <w:rPr>
          <w:color w:val="000000" w:themeColor="text1"/>
        </w:rPr>
        <w:t xml:space="preserve"> </w:t>
      </w:r>
      <w:r w:rsidRPr="00D11245">
        <w:rPr>
          <w:b/>
          <w:bCs/>
          <w:color w:val="000000" w:themeColor="text1"/>
        </w:rPr>
        <w:t>24</w:t>
      </w:r>
      <w:r w:rsidRPr="00D11245">
        <w:rPr>
          <w:color w:val="000000" w:themeColor="text1"/>
        </w:rPr>
        <w:t>, 11755 (2023).</w:t>
      </w:r>
    </w:p>
    <w:p w14:paraId="52308132" w14:textId="77777777" w:rsidR="009C3E63" w:rsidRPr="00D11245" w:rsidRDefault="009C3E63" w:rsidP="009C3E63">
      <w:pPr>
        <w:pStyle w:val="Bibliography"/>
        <w:rPr>
          <w:color w:val="000000" w:themeColor="text1"/>
        </w:rPr>
      </w:pPr>
      <w:r w:rsidRPr="00D11245">
        <w:rPr>
          <w:color w:val="000000" w:themeColor="text1"/>
        </w:rPr>
        <w:t>151.</w:t>
      </w:r>
      <w:r w:rsidRPr="00D11245">
        <w:rPr>
          <w:color w:val="000000" w:themeColor="text1"/>
        </w:rPr>
        <w:tab/>
        <w:t xml:space="preserve">Richardson, D. </w:t>
      </w:r>
      <w:r w:rsidRPr="00D11245">
        <w:rPr>
          <w:i/>
          <w:iCs/>
          <w:color w:val="000000" w:themeColor="text1"/>
        </w:rPr>
        <w:t>et al.</w:t>
      </w:r>
      <w:r w:rsidRPr="00D11245">
        <w:rPr>
          <w:color w:val="000000" w:themeColor="text1"/>
        </w:rPr>
        <w:t xml:space="preserve"> British Association of Sexual Health and HIV (BASHH) United Kingdom national guideline for the management of sexually transmitted enteric infections 2023. </w:t>
      </w:r>
      <w:r w:rsidRPr="00D11245">
        <w:rPr>
          <w:i/>
          <w:iCs/>
          <w:color w:val="000000" w:themeColor="text1"/>
        </w:rPr>
        <w:t>Int J STD AIDS</w:t>
      </w:r>
      <w:r w:rsidRPr="00D11245">
        <w:rPr>
          <w:color w:val="000000" w:themeColor="text1"/>
        </w:rPr>
        <w:t xml:space="preserve"> </w:t>
      </w:r>
      <w:r w:rsidRPr="00D11245">
        <w:rPr>
          <w:b/>
          <w:bCs/>
          <w:color w:val="000000" w:themeColor="text1"/>
        </w:rPr>
        <w:t>34</w:t>
      </w:r>
      <w:r w:rsidRPr="00D11245">
        <w:rPr>
          <w:color w:val="000000" w:themeColor="text1"/>
        </w:rPr>
        <w:t>, 588–602 (2023).</w:t>
      </w:r>
    </w:p>
    <w:p w14:paraId="29D94EA1" w14:textId="77777777" w:rsidR="009C3E63" w:rsidRPr="00D11245" w:rsidRDefault="009C3E63" w:rsidP="009C3E63">
      <w:pPr>
        <w:pStyle w:val="Bibliography"/>
        <w:rPr>
          <w:color w:val="000000" w:themeColor="text1"/>
        </w:rPr>
      </w:pPr>
      <w:r w:rsidRPr="00D11245">
        <w:rPr>
          <w:color w:val="000000" w:themeColor="text1"/>
        </w:rPr>
        <w:t>152.</w:t>
      </w:r>
      <w:r w:rsidRPr="00D11245">
        <w:rPr>
          <w:color w:val="000000" w:themeColor="text1"/>
        </w:rPr>
        <w:tab/>
        <w:t>Public Health England. Principles and Practice Recommendations for the Public Health Management of Gastrointestinal Pathogens, A joint guidance from Public Health England and the Chartered Institute of Environmental Health. (2019).</w:t>
      </w:r>
    </w:p>
    <w:p w14:paraId="20343A1E" w14:textId="70515E43" w:rsidR="00B55D00" w:rsidRPr="005D004E" w:rsidRDefault="0082795E" w:rsidP="008402B6">
      <w:r w:rsidRPr="00D11245">
        <w:rPr>
          <w:rFonts w:cstheme="minorHAnsi"/>
          <w:color w:val="000000" w:themeColor="text1"/>
          <w:sz w:val="24"/>
          <w:szCs w:val="24"/>
        </w:rPr>
        <w:fldChar w:fldCharType="end"/>
      </w:r>
    </w:p>
    <w:sectPr w:rsidR="00B55D00" w:rsidRPr="005D00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D0BCD"/>
    <w:multiLevelType w:val="hybridMultilevel"/>
    <w:tmpl w:val="F1B07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A4E0DCC"/>
    <w:multiLevelType w:val="hybridMultilevel"/>
    <w:tmpl w:val="651A30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7D5D9B"/>
    <w:multiLevelType w:val="hybridMultilevel"/>
    <w:tmpl w:val="84A428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873558"/>
    <w:multiLevelType w:val="hybridMultilevel"/>
    <w:tmpl w:val="5EA2F076"/>
    <w:lvl w:ilvl="0" w:tplc="03A88FC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085ABB"/>
    <w:multiLevelType w:val="hybridMultilevel"/>
    <w:tmpl w:val="03FAF6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FF7247A"/>
    <w:multiLevelType w:val="hybridMultilevel"/>
    <w:tmpl w:val="86A852CE"/>
    <w:lvl w:ilvl="0" w:tplc="1EC26516">
      <w:start w:val="1"/>
      <w:numFmt w:val="decimal"/>
      <w:lvlText w:val="%1."/>
      <w:lvlJc w:val="left"/>
      <w:pPr>
        <w:ind w:left="644" w:hanging="360"/>
      </w:pPr>
      <w:rPr>
        <w:i w:val="0"/>
        <w:i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40D31F18"/>
    <w:multiLevelType w:val="hybridMultilevel"/>
    <w:tmpl w:val="F8E62E98"/>
    <w:lvl w:ilvl="0" w:tplc="EA3CC35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BA6731"/>
    <w:multiLevelType w:val="hybridMultilevel"/>
    <w:tmpl w:val="821E3D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8657EE4"/>
    <w:multiLevelType w:val="hybridMultilevel"/>
    <w:tmpl w:val="64AEE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B153B40"/>
    <w:multiLevelType w:val="hybridMultilevel"/>
    <w:tmpl w:val="0EEE3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D7959EB"/>
    <w:multiLevelType w:val="hybridMultilevel"/>
    <w:tmpl w:val="075255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02B4D3C"/>
    <w:multiLevelType w:val="hybridMultilevel"/>
    <w:tmpl w:val="494AEA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1B26408"/>
    <w:multiLevelType w:val="hybridMultilevel"/>
    <w:tmpl w:val="F40615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87F2BF1"/>
    <w:multiLevelType w:val="hybridMultilevel"/>
    <w:tmpl w:val="3F90FD14"/>
    <w:lvl w:ilvl="0" w:tplc="7F3A57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AE11861"/>
    <w:multiLevelType w:val="hybridMultilevel"/>
    <w:tmpl w:val="8B6E62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CC109C3"/>
    <w:multiLevelType w:val="hybridMultilevel"/>
    <w:tmpl w:val="4BD0F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3402D0"/>
    <w:multiLevelType w:val="hybridMultilevel"/>
    <w:tmpl w:val="987E85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087650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28859360">
    <w:abstractNumId w:val="5"/>
  </w:num>
  <w:num w:numId="3" w16cid:durableId="722144423">
    <w:abstractNumId w:val="16"/>
  </w:num>
  <w:num w:numId="4" w16cid:durableId="1556814549">
    <w:abstractNumId w:val="11"/>
  </w:num>
  <w:num w:numId="5" w16cid:durableId="591469137">
    <w:abstractNumId w:val="1"/>
  </w:num>
  <w:num w:numId="6" w16cid:durableId="1069186487">
    <w:abstractNumId w:val="8"/>
  </w:num>
  <w:num w:numId="7" w16cid:durableId="772239486">
    <w:abstractNumId w:val="10"/>
  </w:num>
  <w:num w:numId="8" w16cid:durableId="1773473701">
    <w:abstractNumId w:val="0"/>
  </w:num>
  <w:num w:numId="9" w16cid:durableId="2013608474">
    <w:abstractNumId w:val="4"/>
  </w:num>
  <w:num w:numId="10" w16cid:durableId="680355004">
    <w:abstractNumId w:val="15"/>
  </w:num>
  <w:num w:numId="11" w16cid:durableId="1053164774">
    <w:abstractNumId w:val="2"/>
  </w:num>
  <w:num w:numId="12" w16cid:durableId="2066030212">
    <w:abstractNumId w:val="9"/>
  </w:num>
  <w:num w:numId="13" w16cid:durableId="256137802">
    <w:abstractNumId w:val="14"/>
  </w:num>
  <w:num w:numId="14" w16cid:durableId="397020580">
    <w:abstractNumId w:val="7"/>
  </w:num>
  <w:num w:numId="15" w16cid:durableId="476534465">
    <w:abstractNumId w:val="3"/>
  </w:num>
  <w:num w:numId="16" w16cid:durableId="1044980922">
    <w:abstractNumId w:val="13"/>
  </w:num>
  <w:num w:numId="17" w16cid:durableId="1276447847">
    <w:abstractNumId w:val="6"/>
  </w:num>
  <w:num w:numId="18" w16cid:durableId="32447709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748"/>
    <w:rsid w:val="00000360"/>
    <w:rsid w:val="00006011"/>
    <w:rsid w:val="0000673B"/>
    <w:rsid w:val="00015087"/>
    <w:rsid w:val="00021616"/>
    <w:rsid w:val="000223CC"/>
    <w:rsid w:val="0002413C"/>
    <w:rsid w:val="000243AA"/>
    <w:rsid w:val="00024CB7"/>
    <w:rsid w:val="00026001"/>
    <w:rsid w:val="0002707E"/>
    <w:rsid w:val="000310C8"/>
    <w:rsid w:val="0003207E"/>
    <w:rsid w:val="00032627"/>
    <w:rsid w:val="00033CD9"/>
    <w:rsid w:val="000378E3"/>
    <w:rsid w:val="0004132E"/>
    <w:rsid w:val="00041DC5"/>
    <w:rsid w:val="000437AA"/>
    <w:rsid w:val="0005255E"/>
    <w:rsid w:val="00052D84"/>
    <w:rsid w:val="000536E6"/>
    <w:rsid w:val="000552FF"/>
    <w:rsid w:val="00057736"/>
    <w:rsid w:val="000579E9"/>
    <w:rsid w:val="00061087"/>
    <w:rsid w:val="00064565"/>
    <w:rsid w:val="0006542B"/>
    <w:rsid w:val="00065623"/>
    <w:rsid w:val="00066EBF"/>
    <w:rsid w:val="000672C1"/>
    <w:rsid w:val="00070015"/>
    <w:rsid w:val="00071D35"/>
    <w:rsid w:val="000760D8"/>
    <w:rsid w:val="0007658C"/>
    <w:rsid w:val="000767B7"/>
    <w:rsid w:val="00076EF8"/>
    <w:rsid w:val="00077428"/>
    <w:rsid w:val="0007761A"/>
    <w:rsid w:val="00080540"/>
    <w:rsid w:val="0008140F"/>
    <w:rsid w:val="00083AFD"/>
    <w:rsid w:val="00084C1F"/>
    <w:rsid w:val="00084CE9"/>
    <w:rsid w:val="00087C01"/>
    <w:rsid w:val="000934ED"/>
    <w:rsid w:val="00093594"/>
    <w:rsid w:val="000A28C5"/>
    <w:rsid w:val="000A3C19"/>
    <w:rsid w:val="000A3EB1"/>
    <w:rsid w:val="000A5BB4"/>
    <w:rsid w:val="000A67B2"/>
    <w:rsid w:val="000A6EDD"/>
    <w:rsid w:val="000A7A37"/>
    <w:rsid w:val="000A7E37"/>
    <w:rsid w:val="000B0737"/>
    <w:rsid w:val="000B219B"/>
    <w:rsid w:val="000B7187"/>
    <w:rsid w:val="000C5EDD"/>
    <w:rsid w:val="000D0E09"/>
    <w:rsid w:val="000D48F1"/>
    <w:rsid w:val="000D74AC"/>
    <w:rsid w:val="000E4504"/>
    <w:rsid w:val="000E5A0C"/>
    <w:rsid w:val="000E5FD5"/>
    <w:rsid w:val="000F029F"/>
    <w:rsid w:val="000F0E72"/>
    <w:rsid w:val="000F2033"/>
    <w:rsid w:val="000F2DF1"/>
    <w:rsid w:val="000F56CF"/>
    <w:rsid w:val="000F5ECC"/>
    <w:rsid w:val="000F7CEC"/>
    <w:rsid w:val="0010598C"/>
    <w:rsid w:val="00105B42"/>
    <w:rsid w:val="00110F2E"/>
    <w:rsid w:val="00111493"/>
    <w:rsid w:val="00113C44"/>
    <w:rsid w:val="001158F7"/>
    <w:rsid w:val="001173C2"/>
    <w:rsid w:val="00120561"/>
    <w:rsid w:val="00121599"/>
    <w:rsid w:val="00122AEF"/>
    <w:rsid w:val="00123475"/>
    <w:rsid w:val="00125AD5"/>
    <w:rsid w:val="00131D1E"/>
    <w:rsid w:val="00131E35"/>
    <w:rsid w:val="0013791B"/>
    <w:rsid w:val="001457A6"/>
    <w:rsid w:val="00151E73"/>
    <w:rsid w:val="00156690"/>
    <w:rsid w:val="00160922"/>
    <w:rsid w:val="001705E3"/>
    <w:rsid w:val="00172088"/>
    <w:rsid w:val="00173082"/>
    <w:rsid w:val="001738AA"/>
    <w:rsid w:val="00175518"/>
    <w:rsid w:val="001761D2"/>
    <w:rsid w:val="001824C5"/>
    <w:rsid w:val="00182AE6"/>
    <w:rsid w:val="001850AB"/>
    <w:rsid w:val="00195BA1"/>
    <w:rsid w:val="00195CB1"/>
    <w:rsid w:val="001961DA"/>
    <w:rsid w:val="001A1866"/>
    <w:rsid w:val="001A2A7A"/>
    <w:rsid w:val="001A6638"/>
    <w:rsid w:val="001B17D3"/>
    <w:rsid w:val="001B33EC"/>
    <w:rsid w:val="001B409F"/>
    <w:rsid w:val="001B53D3"/>
    <w:rsid w:val="001B558D"/>
    <w:rsid w:val="001B6B9A"/>
    <w:rsid w:val="001B76A6"/>
    <w:rsid w:val="001C33EB"/>
    <w:rsid w:val="001D04FA"/>
    <w:rsid w:val="001D066A"/>
    <w:rsid w:val="001D0D6A"/>
    <w:rsid w:val="001D14AE"/>
    <w:rsid w:val="001D2252"/>
    <w:rsid w:val="001D4B07"/>
    <w:rsid w:val="001E019D"/>
    <w:rsid w:val="001E050C"/>
    <w:rsid w:val="001E2918"/>
    <w:rsid w:val="001E2E88"/>
    <w:rsid w:val="001E3403"/>
    <w:rsid w:val="001E3749"/>
    <w:rsid w:val="001E4AE4"/>
    <w:rsid w:val="001E55BB"/>
    <w:rsid w:val="001F3B61"/>
    <w:rsid w:val="001F591A"/>
    <w:rsid w:val="0020201D"/>
    <w:rsid w:val="0021127A"/>
    <w:rsid w:val="00211640"/>
    <w:rsid w:val="00212087"/>
    <w:rsid w:val="002146D6"/>
    <w:rsid w:val="0021612E"/>
    <w:rsid w:val="0022099B"/>
    <w:rsid w:val="00231173"/>
    <w:rsid w:val="00234540"/>
    <w:rsid w:val="0024500B"/>
    <w:rsid w:val="00245411"/>
    <w:rsid w:val="00246AD0"/>
    <w:rsid w:val="00253491"/>
    <w:rsid w:val="00260651"/>
    <w:rsid w:val="002611C4"/>
    <w:rsid w:val="002619E3"/>
    <w:rsid w:val="00263F74"/>
    <w:rsid w:val="00264D61"/>
    <w:rsid w:val="00270196"/>
    <w:rsid w:val="00273719"/>
    <w:rsid w:val="00274C98"/>
    <w:rsid w:val="00290A6C"/>
    <w:rsid w:val="00292064"/>
    <w:rsid w:val="00296ADE"/>
    <w:rsid w:val="0029772C"/>
    <w:rsid w:val="00297CCF"/>
    <w:rsid w:val="002A137B"/>
    <w:rsid w:val="002A4694"/>
    <w:rsid w:val="002B5C3E"/>
    <w:rsid w:val="002B6FB7"/>
    <w:rsid w:val="002C2113"/>
    <w:rsid w:val="002C31EB"/>
    <w:rsid w:val="002C3904"/>
    <w:rsid w:val="002C60D6"/>
    <w:rsid w:val="002C7640"/>
    <w:rsid w:val="002D2020"/>
    <w:rsid w:val="002D28F9"/>
    <w:rsid w:val="002D2DFD"/>
    <w:rsid w:val="002D4D6D"/>
    <w:rsid w:val="002D70EC"/>
    <w:rsid w:val="002E2259"/>
    <w:rsid w:val="002E3471"/>
    <w:rsid w:val="002E3978"/>
    <w:rsid w:val="002E3B57"/>
    <w:rsid w:val="002E4628"/>
    <w:rsid w:val="002E69D4"/>
    <w:rsid w:val="002F273F"/>
    <w:rsid w:val="002F6738"/>
    <w:rsid w:val="002F6F6A"/>
    <w:rsid w:val="002F70D0"/>
    <w:rsid w:val="003016E9"/>
    <w:rsid w:val="003019A8"/>
    <w:rsid w:val="00302C81"/>
    <w:rsid w:val="003049B1"/>
    <w:rsid w:val="00312550"/>
    <w:rsid w:val="0031364D"/>
    <w:rsid w:val="00313C32"/>
    <w:rsid w:val="00326748"/>
    <w:rsid w:val="003304E5"/>
    <w:rsid w:val="0033140A"/>
    <w:rsid w:val="003328AE"/>
    <w:rsid w:val="00332E01"/>
    <w:rsid w:val="003345A6"/>
    <w:rsid w:val="00335006"/>
    <w:rsid w:val="00337229"/>
    <w:rsid w:val="00340712"/>
    <w:rsid w:val="00341CD1"/>
    <w:rsid w:val="003470EF"/>
    <w:rsid w:val="0035444D"/>
    <w:rsid w:val="00354643"/>
    <w:rsid w:val="0035500E"/>
    <w:rsid w:val="003566D7"/>
    <w:rsid w:val="00362993"/>
    <w:rsid w:val="00363670"/>
    <w:rsid w:val="00364BB7"/>
    <w:rsid w:val="0037199F"/>
    <w:rsid w:val="00373485"/>
    <w:rsid w:val="00374A0C"/>
    <w:rsid w:val="00374D44"/>
    <w:rsid w:val="003769E2"/>
    <w:rsid w:val="00377CE8"/>
    <w:rsid w:val="00380925"/>
    <w:rsid w:val="00380B02"/>
    <w:rsid w:val="00382AD9"/>
    <w:rsid w:val="00384A8C"/>
    <w:rsid w:val="00387355"/>
    <w:rsid w:val="0039154D"/>
    <w:rsid w:val="00397926"/>
    <w:rsid w:val="003A07C2"/>
    <w:rsid w:val="003A0DB7"/>
    <w:rsid w:val="003A3D45"/>
    <w:rsid w:val="003A58EA"/>
    <w:rsid w:val="003A6BFD"/>
    <w:rsid w:val="003B1EA1"/>
    <w:rsid w:val="003B560F"/>
    <w:rsid w:val="003B705E"/>
    <w:rsid w:val="003C12F0"/>
    <w:rsid w:val="003C1D42"/>
    <w:rsid w:val="003C41A9"/>
    <w:rsid w:val="003C599B"/>
    <w:rsid w:val="003C7800"/>
    <w:rsid w:val="003C7CEE"/>
    <w:rsid w:val="003D1EB9"/>
    <w:rsid w:val="003D7E0C"/>
    <w:rsid w:val="003E1491"/>
    <w:rsid w:val="003E320C"/>
    <w:rsid w:val="003E451E"/>
    <w:rsid w:val="003E4DDA"/>
    <w:rsid w:val="003E529E"/>
    <w:rsid w:val="003E5DCB"/>
    <w:rsid w:val="003E6718"/>
    <w:rsid w:val="003E71C2"/>
    <w:rsid w:val="003E7A91"/>
    <w:rsid w:val="003F21B7"/>
    <w:rsid w:val="003F3C57"/>
    <w:rsid w:val="003F4B3A"/>
    <w:rsid w:val="003F5F48"/>
    <w:rsid w:val="003F6C14"/>
    <w:rsid w:val="003F723E"/>
    <w:rsid w:val="003F7258"/>
    <w:rsid w:val="00404FC7"/>
    <w:rsid w:val="004058E7"/>
    <w:rsid w:val="00410C34"/>
    <w:rsid w:val="0041106F"/>
    <w:rsid w:val="0041230A"/>
    <w:rsid w:val="004178B9"/>
    <w:rsid w:val="0043138A"/>
    <w:rsid w:val="00431D8B"/>
    <w:rsid w:val="00433F01"/>
    <w:rsid w:val="00435FB1"/>
    <w:rsid w:val="00437E15"/>
    <w:rsid w:val="00437E8F"/>
    <w:rsid w:val="00440A25"/>
    <w:rsid w:val="004508C7"/>
    <w:rsid w:val="004525B3"/>
    <w:rsid w:val="00454218"/>
    <w:rsid w:val="004545ED"/>
    <w:rsid w:val="00455BE7"/>
    <w:rsid w:val="004572CB"/>
    <w:rsid w:val="00457B93"/>
    <w:rsid w:val="00460ACD"/>
    <w:rsid w:val="00462E12"/>
    <w:rsid w:val="004655E1"/>
    <w:rsid w:val="0046744E"/>
    <w:rsid w:val="00473F0E"/>
    <w:rsid w:val="00477536"/>
    <w:rsid w:val="0048489D"/>
    <w:rsid w:val="004851AA"/>
    <w:rsid w:val="00486A56"/>
    <w:rsid w:val="00490957"/>
    <w:rsid w:val="004919B7"/>
    <w:rsid w:val="00494508"/>
    <w:rsid w:val="00495221"/>
    <w:rsid w:val="00495E1F"/>
    <w:rsid w:val="00496245"/>
    <w:rsid w:val="004A290D"/>
    <w:rsid w:val="004A7B28"/>
    <w:rsid w:val="004B0909"/>
    <w:rsid w:val="004B326A"/>
    <w:rsid w:val="004C1312"/>
    <w:rsid w:val="004C2AFC"/>
    <w:rsid w:val="004C499E"/>
    <w:rsid w:val="004C51EC"/>
    <w:rsid w:val="004D1BD8"/>
    <w:rsid w:val="004D42E1"/>
    <w:rsid w:val="004D4FFD"/>
    <w:rsid w:val="004D78C7"/>
    <w:rsid w:val="004E24F9"/>
    <w:rsid w:val="004E2862"/>
    <w:rsid w:val="004E524B"/>
    <w:rsid w:val="004E7E0D"/>
    <w:rsid w:val="004F2AA2"/>
    <w:rsid w:val="004F2BEF"/>
    <w:rsid w:val="004F596B"/>
    <w:rsid w:val="004F60B9"/>
    <w:rsid w:val="004F7AC1"/>
    <w:rsid w:val="005074E6"/>
    <w:rsid w:val="00512BC6"/>
    <w:rsid w:val="005149A4"/>
    <w:rsid w:val="0051560A"/>
    <w:rsid w:val="00515682"/>
    <w:rsid w:val="00515C1D"/>
    <w:rsid w:val="005160A0"/>
    <w:rsid w:val="00521456"/>
    <w:rsid w:val="00521750"/>
    <w:rsid w:val="00524018"/>
    <w:rsid w:val="005248B9"/>
    <w:rsid w:val="00524D06"/>
    <w:rsid w:val="00525067"/>
    <w:rsid w:val="005254E2"/>
    <w:rsid w:val="00525692"/>
    <w:rsid w:val="005270C7"/>
    <w:rsid w:val="0052736C"/>
    <w:rsid w:val="005304EB"/>
    <w:rsid w:val="00533BFE"/>
    <w:rsid w:val="00535182"/>
    <w:rsid w:val="00536D76"/>
    <w:rsid w:val="0054156F"/>
    <w:rsid w:val="00550F29"/>
    <w:rsid w:val="00556587"/>
    <w:rsid w:val="00565D5C"/>
    <w:rsid w:val="00566808"/>
    <w:rsid w:val="0057113F"/>
    <w:rsid w:val="005747E6"/>
    <w:rsid w:val="005810E8"/>
    <w:rsid w:val="00582B84"/>
    <w:rsid w:val="00585341"/>
    <w:rsid w:val="00592D5A"/>
    <w:rsid w:val="00593562"/>
    <w:rsid w:val="005A0206"/>
    <w:rsid w:val="005A087D"/>
    <w:rsid w:val="005A12D5"/>
    <w:rsid w:val="005A6070"/>
    <w:rsid w:val="005B00B9"/>
    <w:rsid w:val="005B2195"/>
    <w:rsid w:val="005B2CD0"/>
    <w:rsid w:val="005B6D16"/>
    <w:rsid w:val="005C0C02"/>
    <w:rsid w:val="005D004E"/>
    <w:rsid w:val="005D4A1C"/>
    <w:rsid w:val="005D4A33"/>
    <w:rsid w:val="005D4A5D"/>
    <w:rsid w:val="005D4CA2"/>
    <w:rsid w:val="005E0C03"/>
    <w:rsid w:val="005E23E9"/>
    <w:rsid w:val="005E7867"/>
    <w:rsid w:val="005F53E1"/>
    <w:rsid w:val="005F7822"/>
    <w:rsid w:val="00603A7B"/>
    <w:rsid w:val="00605891"/>
    <w:rsid w:val="00606998"/>
    <w:rsid w:val="0061014B"/>
    <w:rsid w:val="006133B0"/>
    <w:rsid w:val="00613E9D"/>
    <w:rsid w:val="00617101"/>
    <w:rsid w:val="00617D3E"/>
    <w:rsid w:val="00620C60"/>
    <w:rsid w:val="006220DE"/>
    <w:rsid w:val="0062644E"/>
    <w:rsid w:val="006331D2"/>
    <w:rsid w:val="00634883"/>
    <w:rsid w:val="006354F9"/>
    <w:rsid w:val="00636590"/>
    <w:rsid w:val="00642D13"/>
    <w:rsid w:val="006431DD"/>
    <w:rsid w:val="0064635A"/>
    <w:rsid w:val="00653A3B"/>
    <w:rsid w:val="006562EB"/>
    <w:rsid w:val="006564F8"/>
    <w:rsid w:val="006616F2"/>
    <w:rsid w:val="00662EAD"/>
    <w:rsid w:val="006641E3"/>
    <w:rsid w:val="00665D59"/>
    <w:rsid w:val="006717B1"/>
    <w:rsid w:val="00697F9F"/>
    <w:rsid w:val="006A12DB"/>
    <w:rsid w:val="006A1684"/>
    <w:rsid w:val="006A17FE"/>
    <w:rsid w:val="006A772D"/>
    <w:rsid w:val="006B286E"/>
    <w:rsid w:val="006C1DA7"/>
    <w:rsid w:val="006D71F6"/>
    <w:rsid w:val="006E6647"/>
    <w:rsid w:val="00700E82"/>
    <w:rsid w:val="00701024"/>
    <w:rsid w:val="00702320"/>
    <w:rsid w:val="0071138B"/>
    <w:rsid w:val="00713F93"/>
    <w:rsid w:val="00725CA3"/>
    <w:rsid w:val="00726A76"/>
    <w:rsid w:val="007301AD"/>
    <w:rsid w:val="00731BEE"/>
    <w:rsid w:val="0073430B"/>
    <w:rsid w:val="00736F8A"/>
    <w:rsid w:val="00737CE3"/>
    <w:rsid w:val="00741604"/>
    <w:rsid w:val="00745049"/>
    <w:rsid w:val="0075528F"/>
    <w:rsid w:val="00756B18"/>
    <w:rsid w:val="007616E2"/>
    <w:rsid w:val="007634B4"/>
    <w:rsid w:val="0076615E"/>
    <w:rsid w:val="007706A3"/>
    <w:rsid w:val="00775531"/>
    <w:rsid w:val="00775606"/>
    <w:rsid w:val="0077647B"/>
    <w:rsid w:val="00776E6B"/>
    <w:rsid w:val="007845A1"/>
    <w:rsid w:val="00786F9B"/>
    <w:rsid w:val="00794924"/>
    <w:rsid w:val="007956B3"/>
    <w:rsid w:val="007A3C5C"/>
    <w:rsid w:val="007B1E23"/>
    <w:rsid w:val="007B7FF6"/>
    <w:rsid w:val="007C6171"/>
    <w:rsid w:val="007C78C2"/>
    <w:rsid w:val="007D4883"/>
    <w:rsid w:val="007D7D54"/>
    <w:rsid w:val="007D7FB7"/>
    <w:rsid w:val="007E083F"/>
    <w:rsid w:val="007E1153"/>
    <w:rsid w:val="007E1A6A"/>
    <w:rsid w:val="007E1E7D"/>
    <w:rsid w:val="007E7E91"/>
    <w:rsid w:val="007F2D2F"/>
    <w:rsid w:val="007F33E2"/>
    <w:rsid w:val="007F3441"/>
    <w:rsid w:val="007F4E09"/>
    <w:rsid w:val="007F70AF"/>
    <w:rsid w:val="00800E95"/>
    <w:rsid w:val="00801EBC"/>
    <w:rsid w:val="00802ADD"/>
    <w:rsid w:val="00803397"/>
    <w:rsid w:val="00811E45"/>
    <w:rsid w:val="00813C7E"/>
    <w:rsid w:val="008179C9"/>
    <w:rsid w:val="008278EE"/>
    <w:rsid w:val="0082795E"/>
    <w:rsid w:val="008279CE"/>
    <w:rsid w:val="00830DC5"/>
    <w:rsid w:val="008312CE"/>
    <w:rsid w:val="00832300"/>
    <w:rsid w:val="008340FD"/>
    <w:rsid w:val="00835271"/>
    <w:rsid w:val="00835804"/>
    <w:rsid w:val="008402B6"/>
    <w:rsid w:val="008455F1"/>
    <w:rsid w:val="00846609"/>
    <w:rsid w:val="00854D67"/>
    <w:rsid w:val="00855D9F"/>
    <w:rsid w:val="008724D3"/>
    <w:rsid w:val="008726DC"/>
    <w:rsid w:val="008738AF"/>
    <w:rsid w:val="00874803"/>
    <w:rsid w:val="00884AE0"/>
    <w:rsid w:val="00884B7B"/>
    <w:rsid w:val="00884BE7"/>
    <w:rsid w:val="008912A5"/>
    <w:rsid w:val="00893678"/>
    <w:rsid w:val="00894488"/>
    <w:rsid w:val="008959B3"/>
    <w:rsid w:val="008A123C"/>
    <w:rsid w:val="008A23C5"/>
    <w:rsid w:val="008A2A26"/>
    <w:rsid w:val="008A4E58"/>
    <w:rsid w:val="008A6DD5"/>
    <w:rsid w:val="008A6EFB"/>
    <w:rsid w:val="008A7791"/>
    <w:rsid w:val="008A7DA2"/>
    <w:rsid w:val="008B270A"/>
    <w:rsid w:val="008B4ED5"/>
    <w:rsid w:val="008C1E3F"/>
    <w:rsid w:val="008C2665"/>
    <w:rsid w:val="008D37AB"/>
    <w:rsid w:val="008D3A58"/>
    <w:rsid w:val="008D4FDB"/>
    <w:rsid w:val="008D56FC"/>
    <w:rsid w:val="008D63FA"/>
    <w:rsid w:val="008E5C98"/>
    <w:rsid w:val="008E7A59"/>
    <w:rsid w:val="008F0C41"/>
    <w:rsid w:val="008F1C20"/>
    <w:rsid w:val="008F296A"/>
    <w:rsid w:val="008F312C"/>
    <w:rsid w:val="008F5301"/>
    <w:rsid w:val="008F7BBD"/>
    <w:rsid w:val="00900911"/>
    <w:rsid w:val="00900B89"/>
    <w:rsid w:val="00901B4D"/>
    <w:rsid w:val="00902802"/>
    <w:rsid w:val="0090298F"/>
    <w:rsid w:val="009045BC"/>
    <w:rsid w:val="00904FE8"/>
    <w:rsid w:val="00906391"/>
    <w:rsid w:val="0091748C"/>
    <w:rsid w:val="009177BB"/>
    <w:rsid w:val="00920726"/>
    <w:rsid w:val="0092107C"/>
    <w:rsid w:val="00922373"/>
    <w:rsid w:val="00924B49"/>
    <w:rsid w:val="00927BF7"/>
    <w:rsid w:val="00927C2C"/>
    <w:rsid w:val="009356EC"/>
    <w:rsid w:val="00942AF6"/>
    <w:rsid w:val="00943CCC"/>
    <w:rsid w:val="00944CD3"/>
    <w:rsid w:val="0094540A"/>
    <w:rsid w:val="009476A3"/>
    <w:rsid w:val="00951FB2"/>
    <w:rsid w:val="00956166"/>
    <w:rsid w:val="00961858"/>
    <w:rsid w:val="00962994"/>
    <w:rsid w:val="00971FB6"/>
    <w:rsid w:val="00972FB5"/>
    <w:rsid w:val="00975C41"/>
    <w:rsid w:val="0097725F"/>
    <w:rsid w:val="00977657"/>
    <w:rsid w:val="00980118"/>
    <w:rsid w:val="009812C6"/>
    <w:rsid w:val="0099384A"/>
    <w:rsid w:val="00994460"/>
    <w:rsid w:val="009A04EF"/>
    <w:rsid w:val="009A4626"/>
    <w:rsid w:val="009A7077"/>
    <w:rsid w:val="009B23E2"/>
    <w:rsid w:val="009B2884"/>
    <w:rsid w:val="009B2A43"/>
    <w:rsid w:val="009B4B8F"/>
    <w:rsid w:val="009B4C1B"/>
    <w:rsid w:val="009B6308"/>
    <w:rsid w:val="009B7185"/>
    <w:rsid w:val="009C24D1"/>
    <w:rsid w:val="009C3E63"/>
    <w:rsid w:val="009C4350"/>
    <w:rsid w:val="009C4CC0"/>
    <w:rsid w:val="009C64F7"/>
    <w:rsid w:val="009D28AA"/>
    <w:rsid w:val="009D6A54"/>
    <w:rsid w:val="009E5977"/>
    <w:rsid w:val="009E63A8"/>
    <w:rsid w:val="009F0590"/>
    <w:rsid w:val="009F316D"/>
    <w:rsid w:val="009F4539"/>
    <w:rsid w:val="00A0131A"/>
    <w:rsid w:val="00A03BD7"/>
    <w:rsid w:val="00A112AC"/>
    <w:rsid w:val="00A1353F"/>
    <w:rsid w:val="00A1418D"/>
    <w:rsid w:val="00A146D8"/>
    <w:rsid w:val="00A16AC9"/>
    <w:rsid w:val="00A172FD"/>
    <w:rsid w:val="00A174C8"/>
    <w:rsid w:val="00A177EC"/>
    <w:rsid w:val="00A2508E"/>
    <w:rsid w:val="00A27719"/>
    <w:rsid w:val="00A326C6"/>
    <w:rsid w:val="00A33EAE"/>
    <w:rsid w:val="00A341F2"/>
    <w:rsid w:val="00A3544F"/>
    <w:rsid w:val="00A36340"/>
    <w:rsid w:val="00A37240"/>
    <w:rsid w:val="00A37C2D"/>
    <w:rsid w:val="00A47794"/>
    <w:rsid w:val="00A50A78"/>
    <w:rsid w:val="00A552B4"/>
    <w:rsid w:val="00A61DD5"/>
    <w:rsid w:val="00A70542"/>
    <w:rsid w:val="00A719B4"/>
    <w:rsid w:val="00A735DD"/>
    <w:rsid w:val="00A74FB0"/>
    <w:rsid w:val="00A76C5A"/>
    <w:rsid w:val="00A86591"/>
    <w:rsid w:val="00A91866"/>
    <w:rsid w:val="00A93E87"/>
    <w:rsid w:val="00A94C15"/>
    <w:rsid w:val="00A9500D"/>
    <w:rsid w:val="00A9719C"/>
    <w:rsid w:val="00AA091B"/>
    <w:rsid w:val="00AA37E1"/>
    <w:rsid w:val="00AA3E31"/>
    <w:rsid w:val="00AA7334"/>
    <w:rsid w:val="00AA773A"/>
    <w:rsid w:val="00AB02B8"/>
    <w:rsid w:val="00AB6BE9"/>
    <w:rsid w:val="00AC22A5"/>
    <w:rsid w:val="00AD0026"/>
    <w:rsid w:val="00AD030B"/>
    <w:rsid w:val="00AD0F94"/>
    <w:rsid w:val="00AD107E"/>
    <w:rsid w:val="00AD22AF"/>
    <w:rsid w:val="00AD2656"/>
    <w:rsid w:val="00AF146F"/>
    <w:rsid w:val="00AF6DAC"/>
    <w:rsid w:val="00AF7669"/>
    <w:rsid w:val="00B1058A"/>
    <w:rsid w:val="00B15A0A"/>
    <w:rsid w:val="00B209C9"/>
    <w:rsid w:val="00B22186"/>
    <w:rsid w:val="00B23124"/>
    <w:rsid w:val="00B237AA"/>
    <w:rsid w:val="00B23D59"/>
    <w:rsid w:val="00B24151"/>
    <w:rsid w:val="00B2576E"/>
    <w:rsid w:val="00B2689D"/>
    <w:rsid w:val="00B26AA4"/>
    <w:rsid w:val="00B30E0D"/>
    <w:rsid w:val="00B31513"/>
    <w:rsid w:val="00B32AAB"/>
    <w:rsid w:val="00B33B19"/>
    <w:rsid w:val="00B3746A"/>
    <w:rsid w:val="00B4201A"/>
    <w:rsid w:val="00B43453"/>
    <w:rsid w:val="00B5121D"/>
    <w:rsid w:val="00B5354E"/>
    <w:rsid w:val="00B539CB"/>
    <w:rsid w:val="00B54FD6"/>
    <w:rsid w:val="00B55149"/>
    <w:rsid w:val="00B55C0B"/>
    <w:rsid w:val="00B55D00"/>
    <w:rsid w:val="00B564E4"/>
    <w:rsid w:val="00B57622"/>
    <w:rsid w:val="00B6363C"/>
    <w:rsid w:val="00B63AC0"/>
    <w:rsid w:val="00B6689F"/>
    <w:rsid w:val="00B66AB2"/>
    <w:rsid w:val="00B67DEC"/>
    <w:rsid w:val="00B70188"/>
    <w:rsid w:val="00B72098"/>
    <w:rsid w:val="00B72BD3"/>
    <w:rsid w:val="00B72D17"/>
    <w:rsid w:val="00B73B0B"/>
    <w:rsid w:val="00B7702B"/>
    <w:rsid w:val="00B81A81"/>
    <w:rsid w:val="00B87811"/>
    <w:rsid w:val="00B87952"/>
    <w:rsid w:val="00B911A0"/>
    <w:rsid w:val="00B91C91"/>
    <w:rsid w:val="00BA023C"/>
    <w:rsid w:val="00BA46F7"/>
    <w:rsid w:val="00BA6A63"/>
    <w:rsid w:val="00BB0326"/>
    <w:rsid w:val="00BB7718"/>
    <w:rsid w:val="00BD07EF"/>
    <w:rsid w:val="00BD110B"/>
    <w:rsid w:val="00BD2970"/>
    <w:rsid w:val="00BD38C4"/>
    <w:rsid w:val="00BD5864"/>
    <w:rsid w:val="00BD58C9"/>
    <w:rsid w:val="00BE4323"/>
    <w:rsid w:val="00BE45F0"/>
    <w:rsid w:val="00BE69B8"/>
    <w:rsid w:val="00BE7C64"/>
    <w:rsid w:val="00BF044B"/>
    <w:rsid w:val="00BF19AB"/>
    <w:rsid w:val="00BF1C66"/>
    <w:rsid w:val="00BF37A5"/>
    <w:rsid w:val="00BF3DCB"/>
    <w:rsid w:val="00BF407F"/>
    <w:rsid w:val="00BF6292"/>
    <w:rsid w:val="00BF7415"/>
    <w:rsid w:val="00BF79F9"/>
    <w:rsid w:val="00C007BA"/>
    <w:rsid w:val="00C039DB"/>
    <w:rsid w:val="00C04983"/>
    <w:rsid w:val="00C1631C"/>
    <w:rsid w:val="00C203C5"/>
    <w:rsid w:val="00C213BD"/>
    <w:rsid w:val="00C23B97"/>
    <w:rsid w:val="00C24F5D"/>
    <w:rsid w:val="00C2508D"/>
    <w:rsid w:val="00C3004D"/>
    <w:rsid w:val="00C3026F"/>
    <w:rsid w:val="00C30449"/>
    <w:rsid w:val="00C30F03"/>
    <w:rsid w:val="00C31BCD"/>
    <w:rsid w:val="00C31DEC"/>
    <w:rsid w:val="00C32813"/>
    <w:rsid w:val="00C33A2A"/>
    <w:rsid w:val="00C34E2B"/>
    <w:rsid w:val="00C44BDE"/>
    <w:rsid w:val="00C464D8"/>
    <w:rsid w:val="00C4672F"/>
    <w:rsid w:val="00C536C6"/>
    <w:rsid w:val="00C53831"/>
    <w:rsid w:val="00C54236"/>
    <w:rsid w:val="00C63CFF"/>
    <w:rsid w:val="00C64BAB"/>
    <w:rsid w:val="00C70D8C"/>
    <w:rsid w:val="00C711D6"/>
    <w:rsid w:val="00C737BE"/>
    <w:rsid w:val="00C740F0"/>
    <w:rsid w:val="00C749A6"/>
    <w:rsid w:val="00C7551D"/>
    <w:rsid w:val="00C85890"/>
    <w:rsid w:val="00C93881"/>
    <w:rsid w:val="00C938B1"/>
    <w:rsid w:val="00C9795E"/>
    <w:rsid w:val="00C97CE2"/>
    <w:rsid w:val="00CA0916"/>
    <w:rsid w:val="00CA29D6"/>
    <w:rsid w:val="00CA381E"/>
    <w:rsid w:val="00CA75E9"/>
    <w:rsid w:val="00CB067E"/>
    <w:rsid w:val="00CC0EA9"/>
    <w:rsid w:val="00CC701A"/>
    <w:rsid w:val="00CC71F3"/>
    <w:rsid w:val="00CC7F59"/>
    <w:rsid w:val="00CD04C2"/>
    <w:rsid w:val="00CD1D44"/>
    <w:rsid w:val="00CD2C7E"/>
    <w:rsid w:val="00CD41B5"/>
    <w:rsid w:val="00CE7AD6"/>
    <w:rsid w:val="00CF3F94"/>
    <w:rsid w:val="00CF4844"/>
    <w:rsid w:val="00CF52C9"/>
    <w:rsid w:val="00CF61CF"/>
    <w:rsid w:val="00D03840"/>
    <w:rsid w:val="00D05762"/>
    <w:rsid w:val="00D064E6"/>
    <w:rsid w:val="00D06F65"/>
    <w:rsid w:val="00D07242"/>
    <w:rsid w:val="00D103E7"/>
    <w:rsid w:val="00D11245"/>
    <w:rsid w:val="00D14DB4"/>
    <w:rsid w:val="00D1570A"/>
    <w:rsid w:val="00D15DC4"/>
    <w:rsid w:val="00D16150"/>
    <w:rsid w:val="00D1662F"/>
    <w:rsid w:val="00D1697D"/>
    <w:rsid w:val="00D21711"/>
    <w:rsid w:val="00D22BEF"/>
    <w:rsid w:val="00D24006"/>
    <w:rsid w:val="00D27148"/>
    <w:rsid w:val="00D41058"/>
    <w:rsid w:val="00D41D78"/>
    <w:rsid w:val="00D428E2"/>
    <w:rsid w:val="00D42CD8"/>
    <w:rsid w:val="00D45482"/>
    <w:rsid w:val="00D456A4"/>
    <w:rsid w:val="00D46A11"/>
    <w:rsid w:val="00D46AA5"/>
    <w:rsid w:val="00D50D8F"/>
    <w:rsid w:val="00D566F3"/>
    <w:rsid w:val="00D61803"/>
    <w:rsid w:val="00D621A7"/>
    <w:rsid w:val="00D63C2D"/>
    <w:rsid w:val="00D86F12"/>
    <w:rsid w:val="00D9522C"/>
    <w:rsid w:val="00DA2DCF"/>
    <w:rsid w:val="00DA488B"/>
    <w:rsid w:val="00DA5339"/>
    <w:rsid w:val="00DA5BCC"/>
    <w:rsid w:val="00DA5D70"/>
    <w:rsid w:val="00DA5F42"/>
    <w:rsid w:val="00DB03F4"/>
    <w:rsid w:val="00DB0ADA"/>
    <w:rsid w:val="00DB149B"/>
    <w:rsid w:val="00DB31D7"/>
    <w:rsid w:val="00DB6EA3"/>
    <w:rsid w:val="00DB78CE"/>
    <w:rsid w:val="00DC4169"/>
    <w:rsid w:val="00DC4A23"/>
    <w:rsid w:val="00DC60DB"/>
    <w:rsid w:val="00DD1319"/>
    <w:rsid w:val="00DD2DC2"/>
    <w:rsid w:val="00DE1153"/>
    <w:rsid w:val="00DE55C6"/>
    <w:rsid w:val="00DE718D"/>
    <w:rsid w:val="00DF2439"/>
    <w:rsid w:val="00DF29E0"/>
    <w:rsid w:val="00DF5856"/>
    <w:rsid w:val="00E051F4"/>
    <w:rsid w:val="00E0541C"/>
    <w:rsid w:val="00E1137A"/>
    <w:rsid w:val="00E11C9F"/>
    <w:rsid w:val="00E223AF"/>
    <w:rsid w:val="00E225B4"/>
    <w:rsid w:val="00E23B74"/>
    <w:rsid w:val="00E23CFA"/>
    <w:rsid w:val="00E318FF"/>
    <w:rsid w:val="00E33D97"/>
    <w:rsid w:val="00E33FF2"/>
    <w:rsid w:val="00E41DFE"/>
    <w:rsid w:val="00E463D7"/>
    <w:rsid w:val="00E52152"/>
    <w:rsid w:val="00E52CCF"/>
    <w:rsid w:val="00E553F8"/>
    <w:rsid w:val="00E57410"/>
    <w:rsid w:val="00E61396"/>
    <w:rsid w:val="00E62353"/>
    <w:rsid w:val="00E624ED"/>
    <w:rsid w:val="00E634F6"/>
    <w:rsid w:val="00E67176"/>
    <w:rsid w:val="00E67CF7"/>
    <w:rsid w:val="00E70FD2"/>
    <w:rsid w:val="00E71289"/>
    <w:rsid w:val="00E71901"/>
    <w:rsid w:val="00E74D96"/>
    <w:rsid w:val="00E7676B"/>
    <w:rsid w:val="00E801E6"/>
    <w:rsid w:val="00E80543"/>
    <w:rsid w:val="00E83E74"/>
    <w:rsid w:val="00E860A6"/>
    <w:rsid w:val="00E87086"/>
    <w:rsid w:val="00E87A04"/>
    <w:rsid w:val="00E914CB"/>
    <w:rsid w:val="00E94C28"/>
    <w:rsid w:val="00E9532C"/>
    <w:rsid w:val="00E96F68"/>
    <w:rsid w:val="00EA3365"/>
    <w:rsid w:val="00EA3488"/>
    <w:rsid w:val="00EA5454"/>
    <w:rsid w:val="00EB30BA"/>
    <w:rsid w:val="00EB4B76"/>
    <w:rsid w:val="00EB5280"/>
    <w:rsid w:val="00EB604D"/>
    <w:rsid w:val="00EB6A88"/>
    <w:rsid w:val="00EB6CA1"/>
    <w:rsid w:val="00EC0C12"/>
    <w:rsid w:val="00EC3C50"/>
    <w:rsid w:val="00EC569F"/>
    <w:rsid w:val="00ED0370"/>
    <w:rsid w:val="00ED052A"/>
    <w:rsid w:val="00ED18E7"/>
    <w:rsid w:val="00ED1F00"/>
    <w:rsid w:val="00ED2A15"/>
    <w:rsid w:val="00ED2E78"/>
    <w:rsid w:val="00ED3E99"/>
    <w:rsid w:val="00ED6FCA"/>
    <w:rsid w:val="00ED79DC"/>
    <w:rsid w:val="00EE06B4"/>
    <w:rsid w:val="00EE1A52"/>
    <w:rsid w:val="00EE21F0"/>
    <w:rsid w:val="00EE3041"/>
    <w:rsid w:val="00EE4EB1"/>
    <w:rsid w:val="00EE6E91"/>
    <w:rsid w:val="00F043EC"/>
    <w:rsid w:val="00F07E69"/>
    <w:rsid w:val="00F1016B"/>
    <w:rsid w:val="00F11F93"/>
    <w:rsid w:val="00F15E11"/>
    <w:rsid w:val="00F218A8"/>
    <w:rsid w:val="00F220C0"/>
    <w:rsid w:val="00F2354C"/>
    <w:rsid w:val="00F25137"/>
    <w:rsid w:val="00F25726"/>
    <w:rsid w:val="00F26646"/>
    <w:rsid w:val="00F27317"/>
    <w:rsid w:val="00F27C30"/>
    <w:rsid w:val="00F30CA6"/>
    <w:rsid w:val="00F30D33"/>
    <w:rsid w:val="00F318EE"/>
    <w:rsid w:val="00F32B49"/>
    <w:rsid w:val="00F3577D"/>
    <w:rsid w:val="00F36EEC"/>
    <w:rsid w:val="00F40328"/>
    <w:rsid w:val="00F441DC"/>
    <w:rsid w:val="00F44542"/>
    <w:rsid w:val="00F50281"/>
    <w:rsid w:val="00F547FF"/>
    <w:rsid w:val="00F56DCC"/>
    <w:rsid w:val="00F56F1A"/>
    <w:rsid w:val="00F61052"/>
    <w:rsid w:val="00F63F15"/>
    <w:rsid w:val="00F6420F"/>
    <w:rsid w:val="00F650A0"/>
    <w:rsid w:val="00F65D3C"/>
    <w:rsid w:val="00F704E9"/>
    <w:rsid w:val="00F74AD1"/>
    <w:rsid w:val="00F806CC"/>
    <w:rsid w:val="00F81829"/>
    <w:rsid w:val="00F82A28"/>
    <w:rsid w:val="00F85AD6"/>
    <w:rsid w:val="00F861C6"/>
    <w:rsid w:val="00F9055C"/>
    <w:rsid w:val="00F92336"/>
    <w:rsid w:val="00F9294E"/>
    <w:rsid w:val="00F96BF2"/>
    <w:rsid w:val="00F97D1C"/>
    <w:rsid w:val="00FA37EE"/>
    <w:rsid w:val="00FA673B"/>
    <w:rsid w:val="00FB454C"/>
    <w:rsid w:val="00FB7FBE"/>
    <w:rsid w:val="00FC0E45"/>
    <w:rsid w:val="00FC190F"/>
    <w:rsid w:val="00FC1F1E"/>
    <w:rsid w:val="00FC3F44"/>
    <w:rsid w:val="00FD2281"/>
    <w:rsid w:val="00FD5C4C"/>
    <w:rsid w:val="00FD6B85"/>
    <w:rsid w:val="00FE0AD4"/>
    <w:rsid w:val="00FE2C4F"/>
    <w:rsid w:val="00FE4B88"/>
    <w:rsid w:val="00FE5C36"/>
    <w:rsid w:val="00FF360E"/>
    <w:rsid w:val="00FF3ABF"/>
    <w:rsid w:val="00FF3E51"/>
    <w:rsid w:val="00FF476A"/>
    <w:rsid w:val="00FF76E4"/>
    <w:rsid w:val="00FF78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79992"/>
  <w15:docId w15:val="{5BDFF7E9-C2EA-474E-9437-872D9A64A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D4FF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2AD9"/>
    <w:rPr>
      <w:color w:val="0563C1" w:themeColor="hyperlink"/>
      <w:u w:val="single"/>
    </w:rPr>
  </w:style>
  <w:style w:type="character" w:styleId="CommentReference">
    <w:name w:val="annotation reference"/>
    <w:uiPriority w:val="99"/>
    <w:semiHidden/>
    <w:rsid w:val="00382AD9"/>
    <w:rPr>
      <w:sz w:val="16"/>
      <w:szCs w:val="16"/>
    </w:rPr>
  </w:style>
  <w:style w:type="paragraph" w:styleId="CommentText">
    <w:name w:val="annotation text"/>
    <w:basedOn w:val="Normal"/>
    <w:link w:val="CommentTextChar"/>
    <w:uiPriority w:val="99"/>
    <w:semiHidden/>
    <w:rsid w:val="00382AD9"/>
    <w:pPr>
      <w:spacing w:after="0" w:line="240" w:lineRule="auto"/>
    </w:pPr>
    <w:rPr>
      <w:rFonts w:ascii="Times New Roman" w:eastAsia="Times New Roman" w:hAnsi="Times New Roman" w:cs="Times New Roman"/>
      <w:snapToGrid w:val="0"/>
      <w:kern w:val="0"/>
      <w:sz w:val="20"/>
      <w:szCs w:val="20"/>
      <w14:ligatures w14:val="none"/>
    </w:rPr>
  </w:style>
  <w:style w:type="character" w:customStyle="1" w:styleId="CommentTextChar">
    <w:name w:val="Comment Text Char"/>
    <w:basedOn w:val="DefaultParagraphFont"/>
    <w:link w:val="CommentText"/>
    <w:uiPriority w:val="99"/>
    <w:semiHidden/>
    <w:rsid w:val="00382AD9"/>
    <w:rPr>
      <w:rFonts w:ascii="Times New Roman" w:eastAsia="Times New Roman" w:hAnsi="Times New Roman" w:cs="Times New Roman"/>
      <w:snapToGrid w:val="0"/>
      <w:kern w:val="0"/>
      <w:sz w:val="20"/>
      <w:szCs w:val="20"/>
      <w14:ligatures w14:val="none"/>
    </w:rPr>
  </w:style>
  <w:style w:type="paragraph" w:customStyle="1" w:styleId="v1msonormal">
    <w:name w:val="v1msonormal"/>
    <w:basedOn w:val="Normal"/>
    <w:rsid w:val="006641E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pf0">
    <w:name w:val="pf0"/>
    <w:basedOn w:val="Normal"/>
    <w:rsid w:val="00E801E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cf01">
    <w:name w:val="cf01"/>
    <w:basedOn w:val="DefaultParagraphFont"/>
    <w:rsid w:val="00E801E6"/>
    <w:rPr>
      <w:rFonts w:ascii="Segoe UI" w:hAnsi="Segoe UI" w:cs="Segoe UI" w:hint="default"/>
      <w:sz w:val="18"/>
      <w:szCs w:val="18"/>
    </w:rPr>
  </w:style>
  <w:style w:type="table" w:styleId="TableGrid">
    <w:name w:val="Table Grid"/>
    <w:basedOn w:val="TableNormal"/>
    <w:uiPriority w:val="39"/>
    <w:rsid w:val="0021164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2656"/>
    <w:pPr>
      <w:spacing w:line="254" w:lineRule="auto"/>
      <w:ind w:left="720"/>
      <w:contextualSpacing/>
    </w:pPr>
    <w:rPr>
      <w:kern w:val="0"/>
    </w:rPr>
  </w:style>
  <w:style w:type="paragraph" w:styleId="Bibliography">
    <w:name w:val="Bibliography"/>
    <w:basedOn w:val="Normal"/>
    <w:next w:val="Normal"/>
    <w:uiPriority w:val="37"/>
    <w:unhideWhenUsed/>
    <w:rsid w:val="00B70188"/>
    <w:pPr>
      <w:tabs>
        <w:tab w:val="left" w:pos="504"/>
      </w:tabs>
      <w:spacing w:after="0" w:line="480" w:lineRule="auto"/>
      <w:ind w:left="504" w:hanging="504"/>
    </w:pPr>
  </w:style>
  <w:style w:type="paragraph" w:styleId="Revision">
    <w:name w:val="Revision"/>
    <w:hidden/>
    <w:uiPriority w:val="99"/>
    <w:semiHidden/>
    <w:rsid w:val="00512BC6"/>
    <w:pPr>
      <w:spacing w:after="0" w:line="240" w:lineRule="auto"/>
    </w:pPr>
  </w:style>
  <w:style w:type="paragraph" w:styleId="CommentSubject">
    <w:name w:val="annotation subject"/>
    <w:basedOn w:val="CommentText"/>
    <w:next w:val="CommentText"/>
    <w:link w:val="CommentSubjectChar"/>
    <w:uiPriority w:val="99"/>
    <w:semiHidden/>
    <w:unhideWhenUsed/>
    <w:rsid w:val="006717B1"/>
    <w:pPr>
      <w:spacing w:after="160"/>
    </w:pPr>
    <w:rPr>
      <w:rFonts w:asciiTheme="minorHAnsi" w:eastAsiaTheme="minorHAnsi" w:hAnsiTheme="minorHAnsi" w:cstheme="minorBidi"/>
      <w:b/>
      <w:bCs/>
      <w:snapToGrid/>
      <w:kern w:val="2"/>
      <w14:ligatures w14:val="standardContextual"/>
    </w:rPr>
  </w:style>
  <w:style w:type="character" w:customStyle="1" w:styleId="CommentSubjectChar">
    <w:name w:val="Comment Subject Char"/>
    <w:basedOn w:val="CommentTextChar"/>
    <w:link w:val="CommentSubject"/>
    <w:uiPriority w:val="99"/>
    <w:semiHidden/>
    <w:rsid w:val="006717B1"/>
    <w:rPr>
      <w:rFonts w:ascii="Times New Roman" w:eastAsia="Times New Roman" w:hAnsi="Times New Roman" w:cs="Times New Roman"/>
      <w:b/>
      <w:bCs/>
      <w:snapToGrid/>
      <w:kern w:val="0"/>
      <w:sz w:val="20"/>
      <w:szCs w:val="20"/>
      <w14:ligatures w14:val="none"/>
    </w:rPr>
  </w:style>
  <w:style w:type="paragraph" w:customStyle="1" w:styleId="xnormal">
    <w:name w:val="x_normal"/>
    <w:basedOn w:val="Normal"/>
    <w:rsid w:val="00582B8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BalloonText">
    <w:name w:val="Balloon Text"/>
    <w:basedOn w:val="Normal"/>
    <w:link w:val="BalloonTextChar"/>
    <w:uiPriority w:val="99"/>
    <w:semiHidden/>
    <w:unhideWhenUsed/>
    <w:rsid w:val="006616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16F2"/>
    <w:rPr>
      <w:rFonts w:ascii="Segoe UI" w:hAnsi="Segoe UI" w:cs="Segoe UI"/>
      <w:sz w:val="18"/>
      <w:szCs w:val="18"/>
    </w:rPr>
  </w:style>
  <w:style w:type="character" w:styleId="UnresolvedMention">
    <w:name w:val="Unresolved Mention"/>
    <w:basedOn w:val="DefaultParagraphFont"/>
    <w:uiPriority w:val="99"/>
    <w:semiHidden/>
    <w:unhideWhenUsed/>
    <w:rsid w:val="00CF61CF"/>
    <w:rPr>
      <w:color w:val="605E5C"/>
      <w:shd w:val="clear" w:color="auto" w:fill="E1DFDD"/>
    </w:rPr>
  </w:style>
  <w:style w:type="character" w:customStyle="1" w:styleId="Heading2Char">
    <w:name w:val="Heading 2 Char"/>
    <w:basedOn w:val="DefaultParagraphFont"/>
    <w:link w:val="Heading2"/>
    <w:uiPriority w:val="9"/>
    <w:semiHidden/>
    <w:rsid w:val="004D4FFD"/>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1E29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6966">
      <w:bodyDiv w:val="1"/>
      <w:marLeft w:val="0"/>
      <w:marRight w:val="0"/>
      <w:marTop w:val="0"/>
      <w:marBottom w:val="0"/>
      <w:divBdr>
        <w:top w:val="none" w:sz="0" w:space="0" w:color="auto"/>
        <w:left w:val="none" w:sz="0" w:space="0" w:color="auto"/>
        <w:bottom w:val="none" w:sz="0" w:space="0" w:color="auto"/>
        <w:right w:val="none" w:sz="0" w:space="0" w:color="auto"/>
      </w:divBdr>
    </w:div>
    <w:div w:id="51199777">
      <w:bodyDiv w:val="1"/>
      <w:marLeft w:val="0"/>
      <w:marRight w:val="0"/>
      <w:marTop w:val="0"/>
      <w:marBottom w:val="0"/>
      <w:divBdr>
        <w:top w:val="none" w:sz="0" w:space="0" w:color="auto"/>
        <w:left w:val="none" w:sz="0" w:space="0" w:color="auto"/>
        <w:bottom w:val="none" w:sz="0" w:space="0" w:color="auto"/>
        <w:right w:val="none" w:sz="0" w:space="0" w:color="auto"/>
      </w:divBdr>
    </w:div>
    <w:div w:id="70010931">
      <w:bodyDiv w:val="1"/>
      <w:marLeft w:val="0"/>
      <w:marRight w:val="0"/>
      <w:marTop w:val="0"/>
      <w:marBottom w:val="0"/>
      <w:divBdr>
        <w:top w:val="none" w:sz="0" w:space="0" w:color="auto"/>
        <w:left w:val="none" w:sz="0" w:space="0" w:color="auto"/>
        <w:bottom w:val="none" w:sz="0" w:space="0" w:color="auto"/>
        <w:right w:val="none" w:sz="0" w:space="0" w:color="auto"/>
      </w:divBdr>
    </w:div>
    <w:div w:id="110367482">
      <w:bodyDiv w:val="1"/>
      <w:marLeft w:val="0"/>
      <w:marRight w:val="0"/>
      <w:marTop w:val="0"/>
      <w:marBottom w:val="0"/>
      <w:divBdr>
        <w:top w:val="none" w:sz="0" w:space="0" w:color="auto"/>
        <w:left w:val="none" w:sz="0" w:space="0" w:color="auto"/>
        <w:bottom w:val="none" w:sz="0" w:space="0" w:color="auto"/>
        <w:right w:val="none" w:sz="0" w:space="0" w:color="auto"/>
      </w:divBdr>
    </w:div>
    <w:div w:id="1090735206">
      <w:bodyDiv w:val="1"/>
      <w:marLeft w:val="0"/>
      <w:marRight w:val="0"/>
      <w:marTop w:val="0"/>
      <w:marBottom w:val="0"/>
      <w:divBdr>
        <w:top w:val="none" w:sz="0" w:space="0" w:color="auto"/>
        <w:left w:val="none" w:sz="0" w:space="0" w:color="auto"/>
        <w:bottom w:val="none" w:sz="0" w:space="0" w:color="auto"/>
        <w:right w:val="none" w:sz="0" w:space="0" w:color="auto"/>
      </w:divBdr>
    </w:div>
    <w:div w:id="1415081217">
      <w:bodyDiv w:val="1"/>
      <w:marLeft w:val="0"/>
      <w:marRight w:val="0"/>
      <w:marTop w:val="0"/>
      <w:marBottom w:val="0"/>
      <w:divBdr>
        <w:top w:val="none" w:sz="0" w:space="0" w:color="auto"/>
        <w:left w:val="none" w:sz="0" w:space="0" w:color="auto"/>
        <w:bottom w:val="none" w:sz="0" w:space="0" w:color="auto"/>
        <w:right w:val="none" w:sz="0" w:space="0" w:color="auto"/>
      </w:divBdr>
    </w:div>
    <w:div w:id="1444571875">
      <w:bodyDiv w:val="1"/>
      <w:marLeft w:val="0"/>
      <w:marRight w:val="0"/>
      <w:marTop w:val="0"/>
      <w:marBottom w:val="0"/>
      <w:divBdr>
        <w:top w:val="none" w:sz="0" w:space="0" w:color="auto"/>
        <w:left w:val="none" w:sz="0" w:space="0" w:color="auto"/>
        <w:bottom w:val="none" w:sz="0" w:space="0" w:color="auto"/>
        <w:right w:val="none" w:sz="0" w:space="0" w:color="auto"/>
      </w:divBdr>
    </w:div>
    <w:div w:id="1650593769">
      <w:bodyDiv w:val="1"/>
      <w:marLeft w:val="0"/>
      <w:marRight w:val="0"/>
      <w:marTop w:val="0"/>
      <w:marBottom w:val="0"/>
      <w:divBdr>
        <w:top w:val="none" w:sz="0" w:space="0" w:color="auto"/>
        <w:left w:val="none" w:sz="0" w:space="0" w:color="auto"/>
        <w:bottom w:val="none" w:sz="0" w:space="0" w:color="auto"/>
        <w:right w:val="none" w:sz="0" w:space="0" w:color="auto"/>
      </w:divBdr>
    </w:div>
    <w:div w:id="1695423513">
      <w:bodyDiv w:val="1"/>
      <w:marLeft w:val="0"/>
      <w:marRight w:val="0"/>
      <w:marTop w:val="0"/>
      <w:marBottom w:val="0"/>
      <w:divBdr>
        <w:top w:val="none" w:sz="0" w:space="0" w:color="auto"/>
        <w:left w:val="none" w:sz="0" w:space="0" w:color="auto"/>
        <w:bottom w:val="none" w:sz="0" w:space="0" w:color="auto"/>
        <w:right w:val="none" w:sz="0" w:space="0" w:color="auto"/>
      </w:divBdr>
      <w:divsChild>
        <w:div w:id="79299563">
          <w:marLeft w:val="360"/>
          <w:marRight w:val="0"/>
          <w:marTop w:val="200"/>
          <w:marBottom w:val="0"/>
          <w:divBdr>
            <w:top w:val="none" w:sz="0" w:space="0" w:color="auto"/>
            <w:left w:val="none" w:sz="0" w:space="0" w:color="auto"/>
            <w:bottom w:val="none" w:sz="0" w:space="0" w:color="auto"/>
            <w:right w:val="none" w:sz="0" w:space="0" w:color="auto"/>
          </w:divBdr>
        </w:div>
      </w:divsChild>
    </w:div>
    <w:div w:id="1703746744">
      <w:bodyDiv w:val="1"/>
      <w:marLeft w:val="0"/>
      <w:marRight w:val="0"/>
      <w:marTop w:val="0"/>
      <w:marBottom w:val="0"/>
      <w:divBdr>
        <w:top w:val="none" w:sz="0" w:space="0" w:color="auto"/>
        <w:left w:val="none" w:sz="0" w:space="0" w:color="auto"/>
        <w:bottom w:val="none" w:sz="0" w:space="0" w:color="auto"/>
        <w:right w:val="none" w:sz="0" w:space="0" w:color="auto"/>
      </w:divBdr>
    </w:div>
    <w:div w:id="2031443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dc.gov/dpdx/amebiasis/" TargetMode="External"/><Relationship Id="rId18" Type="http://schemas.openxmlformats.org/officeDocument/2006/relationships/image" Target="media/image5.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hyperlink" Target="https://orcid.org/0000-0001-8217-8950" TargetMode="External"/><Relationship Id="rId12" Type="http://schemas.openxmlformats.org/officeDocument/2006/relationships/hyperlink" Target="https://orcid.org/0000-0003-1568-3978"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cdc.gov/dpdx/amebiasis/"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hyperlink" Target="https://orcid.org/0000-0002-9295-1625" TargetMode="External"/><Relationship Id="rId11" Type="http://schemas.openxmlformats.org/officeDocument/2006/relationships/hyperlink" Target="https://orcid.org/0000-0001-6452-6763" TargetMode="Externa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s://orcid.org/0000-0002-5846-8517" TargetMode="External"/><Relationship Id="rId19" Type="http://schemas.openxmlformats.org/officeDocument/2006/relationships/image" Target="media/image6.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orcid.org/0000-0002-9459-3403" TargetMode="External"/><Relationship Id="rId14" Type="http://schemas.openxmlformats.org/officeDocument/2006/relationships/image" Target="media/image1.jp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8" Type="http://schemas.openxmlformats.org/officeDocument/2006/relationships/hyperlink" Target="https://orcid.org/0000-0003-0317-70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A97CF-8AD9-4153-A8C7-0CEE1B46B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109095</Words>
  <Characters>621843</Characters>
  <Application>Microsoft Office Word</Application>
  <DocSecurity>0</DocSecurity>
  <Lines>5182</Lines>
  <Paragraphs>1458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Cooney</dc:creator>
  <cp:keywords/>
  <dc:description/>
  <cp:lastModifiedBy>Philip Smith</cp:lastModifiedBy>
  <cp:revision>2</cp:revision>
  <dcterms:created xsi:type="dcterms:W3CDTF">2024-08-16T18:28:00Z</dcterms:created>
  <dcterms:modified xsi:type="dcterms:W3CDTF">2024-08-16T18:28:00Z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id="a8fprzkY"/&gt;&lt;style id="http://www.zotero.org/styles/nature" hasBibliography="1" bibliographyStyleHasBeenSet="1"/&gt;&lt;prefs&gt;&lt;pref name="fieldType" value="Field"/&gt;&lt;pref name="dontAskDelayCitationUpdate</vt:lpwstr>
  </property>
  <property fmtid="{D5CDD505-2E9C-101B-9397-08002B2CF9AE}" pid="3" name="ZOTERO_PREF_2">
    <vt:lpwstr>s" value="true"/&gt;&lt;/prefs&gt;&lt;/data&gt;</vt:lpwstr>
  </property>
</Properties>
</file>