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95ED7" w14:textId="77777777" w:rsidR="008314E1" w:rsidRDefault="008314E1" w:rsidP="008314E1">
      <w:pPr>
        <w:spacing w:after="0"/>
        <w:rPr>
          <w:rFonts w:ascii="Calibri" w:eastAsia="Calibri" w:hAnsi="Calibri" w:cs="Calibri"/>
          <w:b/>
          <w:bCs/>
        </w:rPr>
      </w:pPr>
      <w:r w:rsidRPr="00837734">
        <w:rPr>
          <w:rFonts w:ascii="Calibri" w:eastAsia="Calibri" w:hAnsi="Calibri" w:cs="Calibri"/>
          <w:b/>
          <w:bCs/>
        </w:rPr>
        <w:t>S</w:t>
      </w:r>
      <w:r w:rsidRPr="461C3626">
        <w:rPr>
          <w:rFonts w:ascii="Calibri" w:eastAsia="Calibri" w:hAnsi="Calibri" w:cs="Calibri"/>
          <w:b/>
          <w:bCs/>
        </w:rPr>
        <w:t>UPPLEMENTARY APPENDIX</w:t>
      </w:r>
    </w:p>
    <w:p w14:paraId="3CE83480" w14:textId="77777777" w:rsidR="008314E1" w:rsidRPr="00645CFE" w:rsidRDefault="008314E1" w:rsidP="008314E1">
      <w:pPr>
        <w:spacing w:after="0"/>
        <w:rPr>
          <w:rFonts w:ascii="Calibri" w:eastAsia="Calibri" w:hAnsi="Calibri" w:cs="Calibri"/>
          <w:b/>
          <w:bCs/>
        </w:rPr>
      </w:pPr>
    </w:p>
    <w:p w14:paraId="3332D689" w14:textId="77777777" w:rsidR="008314E1" w:rsidRPr="00F4585A" w:rsidRDefault="008314E1" w:rsidP="008314E1">
      <w:pPr>
        <w:spacing w:after="0"/>
        <w:rPr>
          <w:rFonts w:ascii="Calibri" w:eastAsia="Calibri" w:hAnsi="Calibri" w:cs="Calibri"/>
          <w:b/>
          <w:bCs/>
        </w:rPr>
      </w:pPr>
      <w:r w:rsidRPr="00F4585A">
        <w:rPr>
          <w:rFonts w:ascii="Calibri" w:eastAsia="Calibri" w:hAnsi="Calibri" w:cs="Calibri"/>
          <w:b/>
          <w:bCs/>
        </w:rPr>
        <w:t>Contents:</w:t>
      </w:r>
    </w:p>
    <w:p w14:paraId="405D1CE9" w14:textId="77777777" w:rsidR="008314E1" w:rsidRPr="00F4585A" w:rsidRDefault="008314E1" w:rsidP="008314E1">
      <w:pPr>
        <w:pStyle w:val="ListParagraph"/>
        <w:numPr>
          <w:ilvl w:val="0"/>
          <w:numId w:val="1"/>
        </w:numPr>
        <w:spacing w:after="0"/>
        <w:rPr>
          <w:rFonts w:ascii="Calibri" w:eastAsia="Calibri" w:hAnsi="Calibri" w:cs="Calibri"/>
          <w:b/>
          <w:bCs/>
        </w:rPr>
      </w:pPr>
      <w:r w:rsidRPr="00F4585A">
        <w:rPr>
          <w:rFonts w:ascii="Calibri" w:eastAsia="Calibri" w:hAnsi="Calibri" w:cs="Calibri"/>
          <w:b/>
          <w:bCs/>
        </w:rPr>
        <w:t>Full Exclusion criteria</w:t>
      </w:r>
    </w:p>
    <w:p w14:paraId="4F2AFA00" w14:textId="77777777" w:rsidR="008314E1" w:rsidRPr="00F4585A" w:rsidRDefault="008314E1" w:rsidP="008314E1">
      <w:pPr>
        <w:pStyle w:val="ListParagraph"/>
        <w:numPr>
          <w:ilvl w:val="0"/>
          <w:numId w:val="1"/>
        </w:numPr>
        <w:spacing w:after="0"/>
        <w:rPr>
          <w:rFonts w:ascii="Calibri" w:hAnsi="Calibri" w:cs="Calibri"/>
          <w:b/>
          <w:bCs/>
        </w:rPr>
      </w:pPr>
      <w:r w:rsidRPr="00F4585A">
        <w:rPr>
          <w:rFonts w:ascii="Calibri" w:hAnsi="Calibri" w:cs="Calibri"/>
          <w:b/>
          <w:bCs/>
        </w:rPr>
        <w:t>Trial schedule</w:t>
      </w:r>
    </w:p>
    <w:p w14:paraId="3EC5A64B" w14:textId="77777777" w:rsidR="008314E1" w:rsidRPr="00F4585A" w:rsidRDefault="008314E1" w:rsidP="008314E1">
      <w:pPr>
        <w:pStyle w:val="ListParagraph"/>
        <w:numPr>
          <w:ilvl w:val="0"/>
          <w:numId w:val="1"/>
        </w:numPr>
        <w:spacing w:after="0"/>
        <w:rPr>
          <w:rFonts w:ascii="Calibri" w:eastAsia="Calibri" w:hAnsi="Calibri" w:cs="Calibri"/>
          <w:b/>
          <w:bCs/>
        </w:rPr>
      </w:pPr>
      <w:r w:rsidRPr="00F4585A">
        <w:rPr>
          <w:rFonts w:ascii="Calibri" w:eastAsia="Calibri" w:hAnsi="Calibri" w:cs="Calibri"/>
          <w:b/>
          <w:bCs/>
        </w:rPr>
        <w:t>Processes to manage risk of bleeding</w:t>
      </w:r>
    </w:p>
    <w:p w14:paraId="3F897259" w14:textId="77777777" w:rsidR="008314E1" w:rsidRPr="00F4585A" w:rsidRDefault="008314E1" w:rsidP="008314E1">
      <w:pPr>
        <w:pStyle w:val="ListParagraph"/>
        <w:numPr>
          <w:ilvl w:val="0"/>
          <w:numId w:val="1"/>
        </w:numPr>
        <w:spacing w:after="0"/>
        <w:rPr>
          <w:rFonts w:ascii="Calibri" w:eastAsia="Calibri" w:hAnsi="Calibri" w:cs="Calibri"/>
          <w:b/>
          <w:bCs/>
        </w:rPr>
      </w:pPr>
      <w:r w:rsidRPr="00F4585A">
        <w:rPr>
          <w:rFonts w:ascii="Calibri" w:eastAsia="Calibri" w:hAnsi="Calibri" w:cs="Calibri"/>
          <w:b/>
          <w:bCs/>
        </w:rPr>
        <w:t>Criteria for anticoagulation review during the trial</w:t>
      </w:r>
    </w:p>
    <w:p w14:paraId="16F497C7" w14:textId="77777777" w:rsidR="008314E1" w:rsidRPr="00F4585A" w:rsidRDefault="008314E1" w:rsidP="008314E1">
      <w:pPr>
        <w:pStyle w:val="ListParagraph"/>
        <w:numPr>
          <w:ilvl w:val="0"/>
          <w:numId w:val="1"/>
        </w:numPr>
        <w:spacing w:after="0"/>
        <w:rPr>
          <w:rFonts w:ascii="Calibri" w:eastAsia="Calibri" w:hAnsi="Calibri" w:cs="Calibri"/>
          <w:b/>
          <w:bCs/>
        </w:rPr>
      </w:pPr>
      <w:r w:rsidRPr="00F4585A">
        <w:rPr>
          <w:rFonts w:ascii="Calibri" w:eastAsia="Calibri" w:hAnsi="Calibri" w:cs="Calibri"/>
          <w:b/>
          <w:bCs/>
        </w:rPr>
        <w:t>Further information regarding statistical methods</w:t>
      </w:r>
    </w:p>
    <w:p w14:paraId="406F5FCC" w14:textId="77777777" w:rsidR="008314E1" w:rsidRPr="00F4585A" w:rsidRDefault="008314E1" w:rsidP="008314E1">
      <w:pPr>
        <w:pStyle w:val="ListParagraph"/>
        <w:numPr>
          <w:ilvl w:val="0"/>
          <w:numId w:val="1"/>
        </w:numPr>
        <w:spacing w:after="0"/>
        <w:rPr>
          <w:rFonts w:ascii="Calibri" w:eastAsia="Calibri" w:hAnsi="Calibri" w:cs="Calibri"/>
          <w:b/>
          <w:bCs/>
        </w:rPr>
      </w:pPr>
      <w:r w:rsidRPr="00F4585A">
        <w:rPr>
          <w:rFonts w:ascii="Calibri" w:eastAsia="Calibri" w:hAnsi="Calibri" w:cs="Calibri"/>
          <w:b/>
          <w:bCs/>
        </w:rPr>
        <w:t>Changes to the protocol since first approval</w:t>
      </w:r>
    </w:p>
    <w:p w14:paraId="0BBAD8EC" w14:textId="77777777" w:rsidR="008314E1" w:rsidRPr="00E23C9E" w:rsidRDefault="008314E1" w:rsidP="008314E1">
      <w:pPr>
        <w:spacing w:after="0"/>
        <w:rPr>
          <w:rFonts w:ascii="Calibri" w:eastAsia="Calibri" w:hAnsi="Calibri" w:cs="Calibri"/>
          <w:b/>
          <w:bCs/>
        </w:rPr>
      </w:pPr>
    </w:p>
    <w:p w14:paraId="1A2097F9" w14:textId="77777777" w:rsidR="008314E1" w:rsidRPr="009E7CF3" w:rsidRDefault="008314E1" w:rsidP="008314E1">
      <w:pPr>
        <w:pStyle w:val="ListParagraph"/>
        <w:numPr>
          <w:ilvl w:val="0"/>
          <w:numId w:val="5"/>
        </w:numPr>
        <w:rPr>
          <w:b/>
          <w:bCs/>
        </w:rPr>
      </w:pPr>
      <w:r w:rsidRPr="009E7CF3">
        <w:rPr>
          <w:b/>
          <w:bCs/>
        </w:rPr>
        <w:t>Full Exclusion criteria</w:t>
      </w:r>
    </w:p>
    <w:p w14:paraId="6F72F4CF" w14:textId="77777777" w:rsidR="008314E1" w:rsidRPr="00837734" w:rsidRDefault="008314E1" w:rsidP="008314E1">
      <w:pPr>
        <w:spacing w:after="0"/>
        <w:rPr>
          <w:rFonts w:ascii="Calibri" w:eastAsia="Calibri" w:hAnsi="Calibri" w:cs="Calibri"/>
          <w:b/>
          <w:bCs/>
        </w:rPr>
      </w:pPr>
    </w:p>
    <w:p w14:paraId="2826A2BC"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1. Patients who are triple positive for antiphospholipid antibodies (presence of lupus </w:t>
      </w:r>
    </w:p>
    <w:p w14:paraId="6D3DD1BF" w14:textId="4E5EDCA3" w:rsidR="008314E1" w:rsidRPr="00837734" w:rsidRDefault="008314E1" w:rsidP="008314E1">
      <w:pPr>
        <w:spacing w:after="0"/>
        <w:rPr>
          <w:rFonts w:ascii="Calibri" w:eastAsia="Calibri" w:hAnsi="Calibri" w:cs="Calibri"/>
        </w:rPr>
      </w:pPr>
      <w:r w:rsidRPr="00837734">
        <w:rPr>
          <w:rFonts w:ascii="Calibri" w:eastAsia="Calibri" w:hAnsi="Calibri" w:cs="Calibri"/>
        </w:rPr>
        <w:t>anticoagulant, anticardiolipin and anti-beta 2 glycoprotein I antibodies</w:t>
      </w:r>
      <w:r w:rsidR="0045665F">
        <w:rPr>
          <w:rFonts w:ascii="Calibri" w:eastAsia="Calibri" w:hAnsi="Calibri" w:cs="Calibri"/>
        </w:rPr>
        <w:t xml:space="preserve"> (</w:t>
      </w:r>
      <w:r w:rsidR="0045665F" w:rsidRPr="00837734">
        <w:rPr>
          <w:rFonts w:ascii="Calibri" w:eastAsia="Calibri" w:hAnsi="Calibri" w:cs="Calibri"/>
        </w:rPr>
        <w:t>IgG and/or IgM</w:t>
      </w:r>
      <w:r w:rsidR="0045665F">
        <w:rPr>
          <w:rFonts w:ascii="Calibri" w:eastAsia="Calibri" w:hAnsi="Calibri" w:cs="Calibri"/>
        </w:rPr>
        <w:t>)</w:t>
      </w:r>
      <w:r w:rsidRPr="00837734">
        <w:rPr>
          <w:rFonts w:ascii="Calibri" w:eastAsia="Calibri" w:hAnsi="Calibri" w:cs="Calibri"/>
        </w:rPr>
        <w:t xml:space="preserve"> at &gt;40 </w:t>
      </w:r>
    </w:p>
    <w:p w14:paraId="77A48937"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GPL or MPL units or &gt; the 99th centile of normal.* </w:t>
      </w:r>
    </w:p>
    <w:p w14:paraId="7E30F47E"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*patients who have previously been triple aPL-positive and have single or double aPL </w:t>
      </w:r>
    </w:p>
    <w:p w14:paraId="37208D2B"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positivity on at least 2 occasions over at least 6 months, including once within 1 month prior </w:t>
      </w:r>
    </w:p>
    <w:p w14:paraId="76D48D26"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to randomisation, can be recruited to the trial</w:t>
      </w:r>
      <w:r>
        <w:rPr>
          <w:rFonts w:ascii="Calibri" w:eastAsia="Calibri" w:hAnsi="Calibri" w:cs="Calibri"/>
        </w:rPr>
        <w:t>.</w:t>
      </w:r>
    </w:p>
    <w:p w14:paraId="5337E589"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2. Pregnant or lactating women </w:t>
      </w:r>
    </w:p>
    <w:p w14:paraId="226DA6FE"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3. Severe renal impairment with creatinine clearance (Cockcroft &amp; Gault</w:t>
      </w:r>
      <w:r>
        <w:rPr>
          <w:rFonts w:ascii="Calibri" w:eastAsia="Calibri" w:hAnsi="Calibri" w:cs="Calibri"/>
        </w:rPr>
        <w:t xml:space="preserve"> </w:t>
      </w:r>
      <w:r w:rsidRPr="00837734">
        <w:rPr>
          <w:rFonts w:ascii="Calibri" w:eastAsia="Calibri" w:hAnsi="Calibri" w:cs="Calibri"/>
        </w:rPr>
        <w:t xml:space="preserve">&lt;30 </w:t>
      </w:r>
    </w:p>
    <w:p w14:paraId="63AC192A"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mL/min (i.e. 29 mL/min or less) </w:t>
      </w:r>
    </w:p>
    <w:p w14:paraId="5C4E579E"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4. Liver function tests alanine transaminase (ALT) &gt; 3 x (upper limit of normal) ULN </w:t>
      </w:r>
    </w:p>
    <w:p w14:paraId="44842FCD"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5. Cirrhotic patients with Child Pugh B or C </w:t>
      </w:r>
    </w:p>
    <w:p w14:paraId="1E2A986D"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6. Thrombocytopenia (platelets &lt; 75 x 10</w:t>
      </w:r>
      <w:r w:rsidRPr="00837734">
        <w:rPr>
          <w:rFonts w:ascii="Calibri" w:eastAsia="Calibri" w:hAnsi="Calibri" w:cs="Calibri"/>
          <w:vertAlign w:val="superscript"/>
        </w:rPr>
        <w:t>9</w:t>
      </w:r>
      <w:r w:rsidRPr="00837734">
        <w:rPr>
          <w:rFonts w:ascii="Calibri" w:eastAsia="Calibri" w:hAnsi="Calibri" w:cs="Calibri"/>
        </w:rPr>
        <w:t xml:space="preserve">/L) </w:t>
      </w:r>
    </w:p>
    <w:p w14:paraId="632655FA"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7. Non-adherence on warfarin (based on clinical assessment) </w:t>
      </w:r>
    </w:p>
    <w:p w14:paraId="50BD437E"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8. Patients taking strong inhibitors of both CYP3A4 and P-gp pathways such as </w:t>
      </w:r>
    </w:p>
    <w:p w14:paraId="07D3134A"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a. Systemic azole antifungals (e.g. ketoconazole, itraconazole, voriconazole, posaconazole) b. Patients on human immunodeficiency virus (HIV) protease inhibitors (e.g. ritonavir) </w:t>
      </w:r>
    </w:p>
    <w:p w14:paraId="4797C18B"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9. Patients on strong CYP3A4 inducers (e.g. rifampicin, phenytoin, carbamazepine, </w:t>
      </w:r>
    </w:p>
    <w:p w14:paraId="23E8CC29"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phenobarbital or St. John's Wort) </w:t>
      </w:r>
    </w:p>
    <w:p w14:paraId="34ED127E"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10. Patients on dronedarone </w:t>
      </w:r>
    </w:p>
    <w:p w14:paraId="05EB3E33"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11. Patients on levetiracetam, sodium valproate/valproic acid, oxcarbazepine or topiramate </w:t>
      </w:r>
    </w:p>
    <w:p w14:paraId="2CBDD683"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12. Patients less than 18 years of age </w:t>
      </w:r>
    </w:p>
    <w:p w14:paraId="09DB2AF9"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13. Refusal to consent to the site informing General Practitioner and Healthcare Professional </w:t>
      </w:r>
    </w:p>
    <w:p w14:paraId="380C3B98"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responsible for anticoagulation care of the participant </w:t>
      </w:r>
    </w:p>
    <w:p w14:paraId="48570558"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14. Contraindications to MRI (e.g. cardiac pacemaker, severe claustrophobia, inability to lie flat: </w:t>
      </w:r>
    </w:p>
    <w:p w14:paraId="4D74D39D"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patients who do not meet local safety rules for MRI)</w:t>
      </w:r>
    </w:p>
    <w:p w14:paraId="15E7154A"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15. Patients at high risk of bleeding and not suitable for anticoagulation therapy</w:t>
      </w:r>
    </w:p>
    <w:p w14:paraId="5D2876E5"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16. Previous known allergy or intolerance to warfarin or rivaroxaban</w:t>
      </w:r>
    </w:p>
    <w:p w14:paraId="7466262D"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17. Women planning to become pregnant within the 2-year follow-up period</w:t>
      </w:r>
    </w:p>
    <w:p w14:paraId="0DD37746"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18. Patients with known galactose intolerance, total lactase deficiency or galactose </w:t>
      </w:r>
    </w:p>
    <w:p w14:paraId="049373B4"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malabsorption</w:t>
      </w:r>
    </w:p>
    <w:p w14:paraId="27CA6781"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19. Patients are excluded if they have had active cancer (excluding non-melanoma skin cancers) </w:t>
      </w:r>
    </w:p>
    <w:p w14:paraId="1AF192A9"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within the last 2 years </w:t>
      </w:r>
    </w:p>
    <w:p w14:paraId="40942C38" w14:textId="77777777" w:rsidR="008314E1" w:rsidRPr="00837734" w:rsidRDefault="008314E1" w:rsidP="008314E1">
      <w:pPr>
        <w:spacing w:after="0"/>
        <w:rPr>
          <w:rFonts w:ascii="Calibri" w:eastAsia="Calibri" w:hAnsi="Calibri" w:cs="Calibri"/>
        </w:rPr>
      </w:pPr>
      <w:r w:rsidRPr="00837734">
        <w:rPr>
          <w:rFonts w:ascii="Calibri" w:eastAsia="Calibri" w:hAnsi="Calibri" w:cs="Calibri"/>
        </w:rPr>
        <w:t xml:space="preserve">20. Any other reason that the PI or delegate considers would make the patient unsuitable to </w:t>
      </w:r>
    </w:p>
    <w:p w14:paraId="0F713D7C" w14:textId="77777777" w:rsidR="008314E1" w:rsidRDefault="008314E1" w:rsidP="008314E1">
      <w:pPr>
        <w:spacing w:after="0"/>
        <w:rPr>
          <w:rFonts w:ascii="Calibri" w:eastAsia="Calibri" w:hAnsi="Calibri" w:cs="Calibri"/>
        </w:rPr>
      </w:pPr>
      <w:r w:rsidRPr="00837734">
        <w:rPr>
          <w:rFonts w:ascii="Calibri" w:eastAsia="Calibri" w:hAnsi="Calibri" w:cs="Calibri"/>
        </w:rPr>
        <w:t>enter RISAPS.</w:t>
      </w:r>
    </w:p>
    <w:p w14:paraId="0650690F" w14:textId="77777777" w:rsidR="008314E1" w:rsidRPr="00837734" w:rsidRDefault="008314E1" w:rsidP="008314E1">
      <w:pPr>
        <w:spacing w:after="0"/>
        <w:rPr>
          <w:rFonts w:ascii="Calibri" w:eastAsia="Calibri" w:hAnsi="Calibri" w:cs="Calibri"/>
        </w:rPr>
      </w:pPr>
    </w:p>
    <w:p w14:paraId="55DB21F7" w14:textId="77777777" w:rsidR="008314E1" w:rsidRPr="009E7CF3" w:rsidRDefault="008314E1" w:rsidP="008314E1">
      <w:pPr>
        <w:pStyle w:val="ListParagraph"/>
        <w:numPr>
          <w:ilvl w:val="0"/>
          <w:numId w:val="5"/>
        </w:numPr>
        <w:rPr>
          <w:b/>
          <w:bCs/>
        </w:rPr>
      </w:pPr>
      <w:r w:rsidRPr="009E7CF3">
        <w:rPr>
          <w:b/>
          <w:bCs/>
        </w:rPr>
        <w:lastRenderedPageBreak/>
        <w:t>Trial schedule</w:t>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69"/>
        <w:gridCol w:w="1226"/>
        <w:gridCol w:w="696"/>
        <w:gridCol w:w="613"/>
        <w:gridCol w:w="613"/>
        <w:gridCol w:w="613"/>
        <w:gridCol w:w="696"/>
        <w:gridCol w:w="789"/>
      </w:tblGrid>
      <w:tr w:rsidR="008314E1" w14:paraId="0323EDA3" w14:textId="77777777" w:rsidTr="0027650F">
        <w:trPr>
          <w:trHeight w:val="390"/>
          <w:tblHeader/>
        </w:trPr>
        <w:tc>
          <w:tcPr>
            <w:tcW w:w="3769" w:type="dxa"/>
            <w:tcBorders>
              <w:top w:val="single" w:sz="12" w:space="0" w:color="auto"/>
              <w:left w:val="single" w:sz="8" w:space="0" w:color="auto"/>
              <w:bottom w:val="single" w:sz="12" w:space="0" w:color="auto"/>
              <w:right w:val="single" w:sz="12" w:space="0" w:color="auto"/>
            </w:tcBorders>
          </w:tcPr>
          <w:p w14:paraId="52B2DF70" w14:textId="77777777" w:rsidR="008314E1" w:rsidRDefault="008314E1" w:rsidP="0027650F">
            <w:pPr>
              <w:spacing w:after="0"/>
              <w:rPr>
                <w:rFonts w:ascii="Calibri" w:eastAsia="Calibri" w:hAnsi="Calibri" w:cs="Calibri"/>
                <w:sz w:val="20"/>
                <w:szCs w:val="20"/>
              </w:rPr>
            </w:pPr>
          </w:p>
        </w:tc>
        <w:tc>
          <w:tcPr>
            <w:tcW w:w="122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32BC4E"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b/>
                <w:bCs/>
                <w:color w:val="000000" w:themeColor="text1"/>
                <w:sz w:val="20"/>
                <w:szCs w:val="20"/>
              </w:rPr>
              <w:t>Screening</w:t>
            </w:r>
            <w:r w:rsidRPr="3224E6AA">
              <w:rPr>
                <w:rFonts w:ascii="Calibri" w:eastAsia="Calibri" w:hAnsi="Calibri" w:cs="Calibri"/>
                <w:b/>
                <w:bCs/>
                <w:color w:val="000000" w:themeColor="text1"/>
                <w:sz w:val="16"/>
                <w:szCs w:val="16"/>
                <w:vertAlign w:val="superscript"/>
              </w:rPr>
              <w:t>1</w:t>
            </w:r>
            <w:r w:rsidRPr="3224E6AA">
              <w:rPr>
                <w:rFonts w:ascii="Calibri" w:eastAsia="Calibri" w:hAnsi="Calibri" w:cs="Calibri"/>
                <w:b/>
                <w:bCs/>
                <w:color w:val="000000" w:themeColor="text1"/>
                <w:sz w:val="20"/>
                <w:szCs w:val="20"/>
              </w:rPr>
              <w:t xml:space="preserve">, Baseline &amp; Randomisation  </w:t>
            </w:r>
            <w:r w:rsidRPr="3224E6AA">
              <w:rPr>
                <w:rFonts w:ascii="Calibri" w:eastAsia="Calibri" w:hAnsi="Calibri" w:cs="Calibri"/>
                <w:color w:val="000000" w:themeColor="text1"/>
                <w:sz w:val="20"/>
                <w:szCs w:val="20"/>
              </w:rPr>
              <w:t xml:space="preserve"> </w:t>
            </w:r>
          </w:p>
        </w:tc>
        <w:tc>
          <w:tcPr>
            <w:tcW w:w="4020" w:type="dxa"/>
            <w:gridSpan w:val="6"/>
            <w:tcBorders>
              <w:top w:val="single" w:sz="12" w:space="0" w:color="auto"/>
              <w:left w:val="single" w:sz="12" w:space="0" w:color="auto"/>
              <w:bottom w:val="single" w:sz="8" w:space="0" w:color="262626" w:themeColor="text1" w:themeTint="D9"/>
              <w:right w:val="single" w:sz="8" w:space="0" w:color="262626" w:themeColor="text1" w:themeTint="D9"/>
            </w:tcBorders>
            <w:shd w:val="clear" w:color="auto" w:fill="FFFFFF" w:themeFill="background1"/>
          </w:tcPr>
          <w:p w14:paraId="3C6ED666" w14:textId="77777777" w:rsidR="008314E1" w:rsidRDefault="008314E1" w:rsidP="0027650F">
            <w:pPr>
              <w:spacing w:after="0"/>
              <w:jc w:val="center"/>
              <w:rPr>
                <w:rFonts w:ascii="Calibri" w:eastAsia="Calibri" w:hAnsi="Calibri" w:cs="Calibri"/>
                <w:color w:val="000000" w:themeColor="text1"/>
                <w:sz w:val="20"/>
                <w:szCs w:val="20"/>
              </w:rPr>
            </w:pPr>
            <w:r w:rsidRPr="3224E6AA">
              <w:rPr>
                <w:rFonts w:ascii="Calibri" w:eastAsia="Calibri" w:hAnsi="Calibri" w:cs="Calibri"/>
                <w:b/>
                <w:bCs/>
                <w:color w:val="000000" w:themeColor="text1"/>
                <w:sz w:val="20"/>
                <w:szCs w:val="20"/>
              </w:rPr>
              <w:t xml:space="preserve">Post Allocation </w:t>
            </w:r>
            <w:r w:rsidRPr="3224E6AA">
              <w:rPr>
                <w:rFonts w:ascii="Calibri" w:eastAsia="Calibri" w:hAnsi="Calibri" w:cs="Calibri"/>
                <w:color w:val="000000" w:themeColor="text1"/>
                <w:sz w:val="20"/>
                <w:szCs w:val="20"/>
              </w:rPr>
              <w:t xml:space="preserve"> </w:t>
            </w:r>
          </w:p>
        </w:tc>
      </w:tr>
      <w:tr w:rsidR="008314E1" w14:paraId="297C7032" w14:textId="77777777" w:rsidTr="0027650F">
        <w:trPr>
          <w:trHeight w:val="780"/>
        </w:trPr>
        <w:tc>
          <w:tcPr>
            <w:tcW w:w="3769" w:type="dxa"/>
            <w:tcBorders>
              <w:top w:val="single" w:sz="12" w:space="0" w:color="auto"/>
              <w:left w:val="single" w:sz="8" w:space="0" w:color="262626" w:themeColor="text1" w:themeTint="D9"/>
              <w:bottom w:val="single" w:sz="12" w:space="0" w:color="262626" w:themeColor="text1" w:themeTint="D9"/>
              <w:right w:val="single" w:sz="12" w:space="0" w:color="auto"/>
            </w:tcBorders>
            <w:shd w:val="clear" w:color="auto" w:fill="FFFFFF" w:themeFill="background1"/>
            <w:vAlign w:val="center"/>
          </w:tcPr>
          <w:p w14:paraId="14602CE1"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b/>
                <w:bCs/>
                <w:color w:val="000000" w:themeColor="text1"/>
                <w:sz w:val="20"/>
                <w:szCs w:val="20"/>
              </w:rPr>
              <w:t>TIMEPOINT</w:t>
            </w:r>
            <w:r w:rsidRPr="3224E6AA">
              <w:rPr>
                <w:rFonts w:ascii="Calibri" w:eastAsia="Calibri" w:hAnsi="Calibri" w:cs="Calibri"/>
                <w:color w:val="000000" w:themeColor="text1"/>
                <w:sz w:val="20"/>
                <w:szCs w:val="20"/>
              </w:rPr>
              <w:t xml:space="preserve"> </w:t>
            </w:r>
          </w:p>
        </w:tc>
        <w:tc>
          <w:tcPr>
            <w:tcW w:w="1226" w:type="dxa"/>
            <w:tcBorders>
              <w:top w:val="single" w:sz="12" w:space="0" w:color="auto"/>
              <w:left w:val="single" w:sz="12" w:space="0" w:color="auto"/>
              <w:bottom w:val="single" w:sz="12" w:space="0" w:color="262626" w:themeColor="text1" w:themeTint="D9"/>
              <w:right w:val="single" w:sz="12" w:space="0" w:color="262626" w:themeColor="text1" w:themeTint="D9"/>
            </w:tcBorders>
            <w:shd w:val="clear" w:color="auto" w:fill="FFFFFF" w:themeFill="background1"/>
            <w:vAlign w:val="center"/>
          </w:tcPr>
          <w:p w14:paraId="48A68317"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 </w:t>
            </w:r>
          </w:p>
          <w:p w14:paraId="36FFE18C"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0 </w:t>
            </w:r>
          </w:p>
        </w:tc>
        <w:tc>
          <w:tcPr>
            <w:tcW w:w="696" w:type="dxa"/>
            <w:tcBorders>
              <w:top w:val="single" w:sz="8"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FFFFFF" w:themeFill="background1"/>
          </w:tcPr>
          <w:p w14:paraId="117C89AF"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i/>
                <w:iCs/>
                <w:color w:val="000000" w:themeColor="text1"/>
                <w:sz w:val="20"/>
                <w:szCs w:val="20"/>
              </w:rPr>
              <w:t>Baseline MRI</w:t>
            </w:r>
            <w:r w:rsidRPr="3224E6AA">
              <w:rPr>
                <w:rFonts w:ascii="Calibri" w:eastAsia="Calibri" w:hAnsi="Calibri" w:cs="Calibri"/>
                <w:color w:val="000000" w:themeColor="text1"/>
                <w:sz w:val="20"/>
                <w:szCs w:val="20"/>
              </w:rPr>
              <w:t xml:space="preserve"> </w:t>
            </w:r>
          </w:p>
        </w:tc>
        <w:tc>
          <w:tcPr>
            <w:tcW w:w="613" w:type="dxa"/>
            <w:tcBorders>
              <w:top w:val="nil"/>
              <w:left w:val="single" w:sz="12" w:space="0" w:color="262626" w:themeColor="text1" w:themeTint="D9"/>
              <w:bottom w:val="single" w:sz="12" w:space="0" w:color="262626" w:themeColor="text1" w:themeTint="D9"/>
              <w:right w:val="single" w:sz="8" w:space="0" w:color="262626" w:themeColor="text1" w:themeTint="D9"/>
            </w:tcBorders>
            <w:shd w:val="clear" w:color="auto" w:fill="FFFFFF" w:themeFill="background1"/>
            <w:vAlign w:val="center"/>
          </w:tcPr>
          <w:p w14:paraId="71BABF89"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i/>
                <w:iCs/>
                <w:color w:val="000000" w:themeColor="text1"/>
                <w:sz w:val="20"/>
                <w:szCs w:val="20"/>
              </w:rPr>
              <w:t>Day 42</w:t>
            </w:r>
            <w:r w:rsidRPr="3224E6AA">
              <w:rPr>
                <w:rFonts w:ascii="Calibri" w:eastAsia="Calibri" w:hAnsi="Calibri" w:cs="Calibri"/>
                <w:color w:val="000000" w:themeColor="text1"/>
                <w:sz w:val="20"/>
                <w:szCs w:val="20"/>
              </w:rPr>
              <w:t xml:space="preserve"> </w:t>
            </w:r>
          </w:p>
          <w:p w14:paraId="2452D71E"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i/>
                <w:iCs/>
                <w:color w:val="000000" w:themeColor="text1"/>
                <w:sz w:val="20"/>
                <w:szCs w:val="20"/>
              </w:rPr>
              <w:t>(+/- 10 days)</w:t>
            </w:r>
            <w:r w:rsidRPr="3224E6AA">
              <w:rPr>
                <w:rFonts w:ascii="Calibri" w:eastAsia="Calibri" w:hAnsi="Calibri" w:cs="Calibri"/>
                <w:color w:val="000000" w:themeColor="text1"/>
                <w:sz w:val="20"/>
                <w:szCs w:val="20"/>
              </w:rPr>
              <w:t xml:space="preserve"> </w:t>
            </w:r>
          </w:p>
        </w:tc>
        <w:tc>
          <w:tcPr>
            <w:tcW w:w="613" w:type="dxa"/>
            <w:tcBorders>
              <w:top w:val="nil"/>
              <w:left w:val="single" w:sz="8" w:space="0" w:color="262626" w:themeColor="text1" w:themeTint="D9"/>
              <w:bottom w:val="single" w:sz="12" w:space="0" w:color="262626" w:themeColor="text1" w:themeTint="D9"/>
              <w:right w:val="single" w:sz="8" w:space="0" w:color="262626" w:themeColor="text1" w:themeTint="D9"/>
            </w:tcBorders>
            <w:shd w:val="clear" w:color="auto" w:fill="FFFFFF" w:themeFill="background1"/>
            <w:vAlign w:val="center"/>
          </w:tcPr>
          <w:p w14:paraId="1913668E"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i/>
                <w:iCs/>
                <w:color w:val="000000" w:themeColor="text1"/>
                <w:sz w:val="20"/>
                <w:szCs w:val="20"/>
              </w:rPr>
              <w:t>6m</w:t>
            </w:r>
            <w:r w:rsidRPr="3224E6AA">
              <w:rPr>
                <w:rFonts w:ascii="Calibri" w:eastAsia="Calibri" w:hAnsi="Calibri" w:cs="Calibri"/>
                <w:color w:val="000000" w:themeColor="text1"/>
                <w:sz w:val="20"/>
                <w:szCs w:val="20"/>
              </w:rPr>
              <w:t xml:space="preserve"> </w:t>
            </w:r>
          </w:p>
          <w:p w14:paraId="18520219"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i/>
                <w:iCs/>
                <w:color w:val="000000" w:themeColor="text1"/>
                <w:sz w:val="20"/>
                <w:szCs w:val="20"/>
              </w:rPr>
              <w:t>(+/- 14 days)</w:t>
            </w:r>
            <w:r w:rsidRPr="3224E6AA">
              <w:rPr>
                <w:rFonts w:ascii="Calibri" w:eastAsia="Calibri" w:hAnsi="Calibri" w:cs="Calibri"/>
                <w:color w:val="000000" w:themeColor="text1"/>
                <w:sz w:val="20"/>
                <w:szCs w:val="20"/>
              </w:rPr>
              <w:t xml:space="preserve"> </w:t>
            </w:r>
          </w:p>
        </w:tc>
        <w:tc>
          <w:tcPr>
            <w:tcW w:w="613" w:type="dxa"/>
            <w:tcBorders>
              <w:top w:val="nil"/>
              <w:left w:val="single" w:sz="8" w:space="0" w:color="262626" w:themeColor="text1" w:themeTint="D9"/>
              <w:bottom w:val="single" w:sz="12" w:space="0" w:color="262626" w:themeColor="text1" w:themeTint="D9"/>
              <w:right w:val="single" w:sz="8" w:space="0" w:color="262626" w:themeColor="text1" w:themeTint="D9"/>
            </w:tcBorders>
            <w:shd w:val="clear" w:color="auto" w:fill="FFFFFF" w:themeFill="background1"/>
            <w:vAlign w:val="center"/>
          </w:tcPr>
          <w:p w14:paraId="1D272884"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i/>
                <w:iCs/>
                <w:color w:val="000000" w:themeColor="text1"/>
                <w:sz w:val="20"/>
                <w:szCs w:val="20"/>
              </w:rPr>
              <w:t>12m</w:t>
            </w:r>
            <w:r w:rsidRPr="3224E6AA">
              <w:rPr>
                <w:rFonts w:ascii="Calibri" w:eastAsia="Calibri" w:hAnsi="Calibri" w:cs="Calibri"/>
                <w:color w:val="000000" w:themeColor="text1"/>
                <w:sz w:val="20"/>
                <w:szCs w:val="20"/>
              </w:rPr>
              <w:t xml:space="preserve"> </w:t>
            </w:r>
          </w:p>
          <w:p w14:paraId="024A029C"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i/>
                <w:iCs/>
                <w:color w:val="000000" w:themeColor="text1"/>
                <w:sz w:val="20"/>
                <w:szCs w:val="20"/>
              </w:rPr>
              <w:t>(+/- 14 days)</w:t>
            </w:r>
            <w:r w:rsidRPr="3224E6AA">
              <w:rPr>
                <w:rFonts w:ascii="Calibri" w:eastAsia="Calibri" w:hAnsi="Calibri" w:cs="Calibri"/>
                <w:color w:val="000000" w:themeColor="text1"/>
                <w:sz w:val="20"/>
                <w:szCs w:val="20"/>
              </w:rPr>
              <w:t xml:space="preserve"> </w:t>
            </w:r>
          </w:p>
        </w:tc>
        <w:tc>
          <w:tcPr>
            <w:tcW w:w="696" w:type="dxa"/>
            <w:tcBorders>
              <w:top w:val="nil"/>
              <w:left w:val="single" w:sz="8" w:space="0" w:color="262626" w:themeColor="text1" w:themeTint="D9"/>
              <w:bottom w:val="single" w:sz="12" w:space="0" w:color="262626" w:themeColor="text1" w:themeTint="D9"/>
              <w:right w:val="single" w:sz="8" w:space="0" w:color="262626" w:themeColor="text1" w:themeTint="D9"/>
            </w:tcBorders>
            <w:shd w:val="clear" w:color="auto" w:fill="FFFFFF" w:themeFill="background1"/>
            <w:vAlign w:val="center"/>
          </w:tcPr>
          <w:p w14:paraId="6C52C60E"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i/>
                <w:iCs/>
                <w:color w:val="000000" w:themeColor="text1"/>
                <w:sz w:val="20"/>
                <w:szCs w:val="20"/>
              </w:rPr>
              <w:t>18m</w:t>
            </w:r>
            <w:r w:rsidRPr="3224E6AA">
              <w:rPr>
                <w:rFonts w:ascii="Calibri" w:eastAsia="Calibri" w:hAnsi="Calibri" w:cs="Calibri"/>
                <w:color w:val="000000" w:themeColor="text1"/>
                <w:sz w:val="20"/>
                <w:szCs w:val="20"/>
              </w:rPr>
              <w:t xml:space="preserve"> </w:t>
            </w:r>
          </w:p>
          <w:p w14:paraId="3E84E772"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i/>
                <w:iCs/>
                <w:color w:val="000000" w:themeColor="text1"/>
                <w:sz w:val="20"/>
                <w:szCs w:val="20"/>
              </w:rPr>
              <w:t>(+/- 14 days)</w:t>
            </w:r>
            <w:r w:rsidRPr="3224E6AA">
              <w:rPr>
                <w:rFonts w:ascii="Calibri" w:eastAsia="Calibri" w:hAnsi="Calibri" w:cs="Calibri"/>
                <w:color w:val="000000" w:themeColor="text1"/>
                <w:sz w:val="20"/>
                <w:szCs w:val="20"/>
              </w:rPr>
              <w:t xml:space="preserve"> </w:t>
            </w:r>
          </w:p>
        </w:tc>
        <w:tc>
          <w:tcPr>
            <w:tcW w:w="789" w:type="dxa"/>
            <w:tcBorders>
              <w:top w:val="nil"/>
              <w:left w:val="single" w:sz="8" w:space="0" w:color="262626" w:themeColor="text1" w:themeTint="D9"/>
              <w:bottom w:val="single" w:sz="12" w:space="0" w:color="262626" w:themeColor="text1" w:themeTint="D9"/>
              <w:right w:val="single" w:sz="8" w:space="0" w:color="262626" w:themeColor="text1" w:themeTint="D9"/>
            </w:tcBorders>
            <w:shd w:val="clear" w:color="auto" w:fill="FFFFFF" w:themeFill="background1"/>
            <w:vAlign w:val="center"/>
          </w:tcPr>
          <w:p w14:paraId="0BAFE199"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i/>
                <w:iCs/>
                <w:color w:val="000000" w:themeColor="text1"/>
                <w:sz w:val="20"/>
                <w:szCs w:val="20"/>
              </w:rPr>
              <w:t>24m</w:t>
            </w:r>
            <w:r w:rsidRPr="3224E6AA">
              <w:rPr>
                <w:rFonts w:ascii="Calibri" w:eastAsia="Calibri" w:hAnsi="Calibri" w:cs="Calibri"/>
                <w:color w:val="000000" w:themeColor="text1"/>
                <w:sz w:val="20"/>
                <w:szCs w:val="20"/>
              </w:rPr>
              <w:t xml:space="preserve"> </w:t>
            </w:r>
          </w:p>
          <w:p w14:paraId="756E749C"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i/>
                <w:iCs/>
                <w:color w:val="000000" w:themeColor="text1"/>
                <w:sz w:val="20"/>
                <w:szCs w:val="20"/>
              </w:rPr>
              <w:t>(+/- 14 days)</w:t>
            </w:r>
            <w:r w:rsidRPr="3224E6AA">
              <w:rPr>
                <w:rFonts w:ascii="Calibri" w:eastAsia="Calibri" w:hAnsi="Calibri" w:cs="Calibri"/>
                <w:color w:val="000000" w:themeColor="text1"/>
                <w:sz w:val="20"/>
                <w:szCs w:val="20"/>
              </w:rPr>
              <w:t xml:space="preserve"> </w:t>
            </w:r>
          </w:p>
        </w:tc>
      </w:tr>
      <w:tr w:rsidR="008314E1" w14:paraId="75EAF6CB" w14:textId="77777777" w:rsidTr="0027650F">
        <w:trPr>
          <w:trHeight w:val="150"/>
        </w:trPr>
        <w:tc>
          <w:tcPr>
            <w:tcW w:w="9015" w:type="dxa"/>
            <w:gridSpan w:val="8"/>
            <w:tcBorders>
              <w:top w:val="single" w:sz="12" w:space="0" w:color="262626" w:themeColor="text1" w:themeTint="D9"/>
              <w:left w:val="single" w:sz="8" w:space="0" w:color="262626" w:themeColor="text1" w:themeTint="D9"/>
              <w:bottom w:val="single" w:sz="12" w:space="0" w:color="262626" w:themeColor="text1" w:themeTint="D9"/>
              <w:right w:val="single" w:sz="8" w:space="0" w:color="262626" w:themeColor="text1" w:themeTint="D9"/>
            </w:tcBorders>
            <w:shd w:val="clear" w:color="auto" w:fill="D9D9D9" w:themeFill="background1" w:themeFillShade="D9"/>
          </w:tcPr>
          <w:p w14:paraId="25E8FAD1" w14:textId="77777777" w:rsidR="008314E1" w:rsidRDefault="008314E1" w:rsidP="0027650F">
            <w:pPr>
              <w:spacing w:after="0"/>
              <w:jc w:val="center"/>
              <w:rPr>
                <w:rFonts w:ascii="Calibri" w:eastAsia="Calibri" w:hAnsi="Calibri" w:cs="Calibri"/>
                <w:color w:val="000000" w:themeColor="text1"/>
                <w:sz w:val="20"/>
                <w:szCs w:val="20"/>
              </w:rPr>
            </w:pPr>
            <w:r w:rsidRPr="3224E6AA">
              <w:rPr>
                <w:rFonts w:ascii="Calibri" w:eastAsia="Calibri" w:hAnsi="Calibri" w:cs="Calibri"/>
                <w:b/>
                <w:bCs/>
                <w:color w:val="000000" w:themeColor="text1"/>
                <w:sz w:val="20"/>
                <w:szCs w:val="20"/>
              </w:rPr>
              <w:t>ALL PARTICIPANTS</w:t>
            </w:r>
            <w:r w:rsidRPr="3224E6AA">
              <w:rPr>
                <w:rFonts w:ascii="Calibri" w:eastAsia="Calibri" w:hAnsi="Calibri" w:cs="Calibri"/>
                <w:color w:val="000000" w:themeColor="text1"/>
                <w:sz w:val="20"/>
                <w:szCs w:val="20"/>
              </w:rPr>
              <w:t xml:space="preserve"> </w:t>
            </w:r>
          </w:p>
        </w:tc>
      </w:tr>
      <w:tr w:rsidR="008314E1" w14:paraId="61599892" w14:textId="77777777" w:rsidTr="0027650F">
        <w:trPr>
          <w:trHeight w:val="285"/>
        </w:trPr>
        <w:tc>
          <w:tcPr>
            <w:tcW w:w="3769" w:type="dxa"/>
            <w:tcBorders>
              <w:top w:val="single" w:sz="12" w:space="0" w:color="262626" w:themeColor="text1" w:themeTint="D9"/>
              <w:left w:val="single" w:sz="8" w:space="0" w:color="262626" w:themeColor="text1" w:themeTint="D9"/>
              <w:bottom w:val="single" w:sz="8" w:space="0" w:color="262626" w:themeColor="text1" w:themeTint="D9"/>
              <w:right w:val="single" w:sz="12" w:space="0" w:color="262626" w:themeColor="text1" w:themeTint="D9"/>
            </w:tcBorders>
            <w:shd w:val="clear" w:color="auto" w:fill="FFFFFF" w:themeFill="background1"/>
            <w:vAlign w:val="center"/>
          </w:tcPr>
          <w:p w14:paraId="520AC5E7"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Consent </w:t>
            </w:r>
          </w:p>
        </w:tc>
        <w:tc>
          <w:tcPr>
            <w:tcW w:w="1226" w:type="dxa"/>
            <w:tcBorders>
              <w:top w:val="nil"/>
              <w:left w:val="single" w:sz="12" w:space="0" w:color="auto"/>
              <w:bottom w:val="single" w:sz="8" w:space="0" w:color="262626" w:themeColor="text1" w:themeTint="D9"/>
              <w:right w:val="single" w:sz="12" w:space="0" w:color="262626" w:themeColor="text1" w:themeTint="D9"/>
            </w:tcBorders>
            <w:shd w:val="clear" w:color="auto" w:fill="FFFFFF" w:themeFill="background1"/>
            <w:vAlign w:val="bottom"/>
          </w:tcPr>
          <w:p w14:paraId="0257080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nil"/>
              <w:left w:val="single" w:sz="12" w:space="0" w:color="262626" w:themeColor="text1" w:themeTint="D9"/>
              <w:bottom w:val="single" w:sz="8" w:space="0" w:color="262626" w:themeColor="text1" w:themeTint="D9"/>
              <w:right w:val="single" w:sz="12" w:space="0" w:color="262626" w:themeColor="text1" w:themeTint="D9"/>
            </w:tcBorders>
            <w:shd w:val="clear" w:color="auto" w:fill="BFBFBF" w:themeFill="background1" w:themeFillShade="BF"/>
          </w:tcPr>
          <w:p w14:paraId="5FDB0D7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nil"/>
              <w:left w:val="single" w:sz="12" w:space="0" w:color="262626" w:themeColor="text1" w:themeTint="D9"/>
              <w:bottom w:val="single" w:sz="8" w:space="0" w:color="262626" w:themeColor="text1" w:themeTint="D9"/>
              <w:right w:val="single" w:sz="8" w:space="0" w:color="262626" w:themeColor="text1" w:themeTint="D9"/>
            </w:tcBorders>
            <w:shd w:val="clear" w:color="auto" w:fill="BFBFBF" w:themeFill="background1" w:themeFillShade="BF"/>
            <w:vAlign w:val="bottom"/>
          </w:tcPr>
          <w:p w14:paraId="719F844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nil"/>
              <w:left w:val="single" w:sz="8" w:space="0" w:color="262626" w:themeColor="text1" w:themeTint="D9"/>
              <w:bottom w:val="single" w:sz="8" w:space="0" w:color="262626" w:themeColor="text1" w:themeTint="D9"/>
              <w:right w:val="single" w:sz="8" w:space="0" w:color="262626" w:themeColor="text1" w:themeTint="D9"/>
            </w:tcBorders>
            <w:shd w:val="clear" w:color="auto" w:fill="BFBFBF" w:themeFill="background1" w:themeFillShade="BF"/>
            <w:vAlign w:val="bottom"/>
          </w:tcPr>
          <w:p w14:paraId="0FA2EC5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nil"/>
              <w:left w:val="single" w:sz="8" w:space="0" w:color="262626" w:themeColor="text1" w:themeTint="D9"/>
              <w:bottom w:val="single" w:sz="8" w:space="0" w:color="262626" w:themeColor="text1" w:themeTint="D9"/>
              <w:right w:val="single" w:sz="8" w:space="0" w:color="262626" w:themeColor="text1" w:themeTint="D9"/>
            </w:tcBorders>
            <w:shd w:val="clear" w:color="auto" w:fill="BFBFBF" w:themeFill="background1" w:themeFillShade="BF"/>
            <w:vAlign w:val="bottom"/>
          </w:tcPr>
          <w:p w14:paraId="785291C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nil"/>
              <w:left w:val="single" w:sz="8" w:space="0" w:color="262626" w:themeColor="text1" w:themeTint="D9"/>
              <w:bottom w:val="single" w:sz="8" w:space="0" w:color="262626" w:themeColor="text1" w:themeTint="D9"/>
              <w:right w:val="single" w:sz="8" w:space="0" w:color="262626" w:themeColor="text1" w:themeTint="D9"/>
            </w:tcBorders>
            <w:shd w:val="clear" w:color="auto" w:fill="BFBFBF" w:themeFill="background1" w:themeFillShade="BF"/>
            <w:vAlign w:val="bottom"/>
          </w:tcPr>
          <w:p w14:paraId="12AEC7D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nil"/>
              <w:left w:val="single" w:sz="8" w:space="0" w:color="262626" w:themeColor="text1" w:themeTint="D9"/>
              <w:bottom w:val="single" w:sz="8" w:space="0" w:color="262626" w:themeColor="text1" w:themeTint="D9"/>
              <w:right w:val="single" w:sz="8" w:space="0" w:color="262626" w:themeColor="text1" w:themeTint="D9"/>
            </w:tcBorders>
            <w:shd w:val="clear" w:color="auto" w:fill="BFBFBF" w:themeFill="background1" w:themeFillShade="BF"/>
            <w:vAlign w:val="bottom"/>
          </w:tcPr>
          <w:p w14:paraId="563599C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644E7114"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453F101A"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Eligibility screen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1F5980F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47B5ADE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FDCF11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7A19394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34B7F8D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0D14C7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486EF8D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4B69D1C3"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305505F3"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Randomisation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48D2148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3E69F29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018CF84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81E939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680FE33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448D7E0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0328B30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077602C6"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35A11017" w14:textId="77777777" w:rsidR="008314E1" w:rsidRDefault="008314E1" w:rsidP="0027650F">
            <w:pPr>
              <w:spacing w:after="0"/>
              <w:rPr>
                <w:rFonts w:ascii="Calibri" w:eastAsia="Calibri" w:hAnsi="Calibri" w:cs="Calibri"/>
                <w:color w:val="000000" w:themeColor="text1"/>
                <w:sz w:val="16"/>
                <w:szCs w:val="16"/>
              </w:rPr>
            </w:pPr>
            <w:r w:rsidRPr="3224E6AA">
              <w:rPr>
                <w:rFonts w:ascii="Calibri" w:eastAsia="Calibri" w:hAnsi="Calibri" w:cs="Calibri"/>
                <w:color w:val="000000" w:themeColor="text1"/>
                <w:sz w:val="20"/>
                <w:szCs w:val="20"/>
              </w:rPr>
              <w:t>Medical history and demographics</w:t>
            </w:r>
            <w:r w:rsidRPr="3224E6AA">
              <w:rPr>
                <w:rFonts w:ascii="Calibri" w:eastAsia="Calibri" w:hAnsi="Calibri" w:cs="Calibri"/>
                <w:color w:val="000000" w:themeColor="text1"/>
                <w:sz w:val="16"/>
                <w:szCs w:val="16"/>
                <w:vertAlign w:val="superscript"/>
              </w:rPr>
              <w:t>2</w:t>
            </w:r>
            <w:r w:rsidRPr="3224E6AA">
              <w:rPr>
                <w:rFonts w:ascii="Calibri" w:eastAsia="Calibri" w:hAnsi="Calibri" w:cs="Calibri"/>
                <w:color w:val="000000" w:themeColor="text1"/>
                <w:sz w:val="16"/>
                <w:szCs w:val="16"/>
              </w:rPr>
              <w:t xml:space="preserve">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7EF3228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5081D0D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F35C2E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6C8359A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06145DC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565E4E9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7AFAED7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3AC32A2B"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55550D1E" w14:textId="77777777" w:rsidR="008314E1" w:rsidRDefault="008314E1" w:rsidP="0027650F">
            <w:pPr>
              <w:spacing w:after="0"/>
              <w:rPr>
                <w:rFonts w:ascii="Calibri" w:eastAsia="Calibri" w:hAnsi="Calibri" w:cs="Calibri"/>
                <w:color w:val="000000" w:themeColor="text1"/>
                <w:sz w:val="16"/>
                <w:szCs w:val="16"/>
              </w:rPr>
            </w:pPr>
            <w:r w:rsidRPr="3224E6AA">
              <w:rPr>
                <w:rFonts w:ascii="Calibri" w:eastAsia="Calibri" w:hAnsi="Calibri" w:cs="Calibri"/>
                <w:color w:val="000000" w:themeColor="text1"/>
                <w:sz w:val="20"/>
                <w:szCs w:val="20"/>
              </w:rPr>
              <w:t>Anti-DNA</w:t>
            </w:r>
            <w:r w:rsidRPr="3224E6AA">
              <w:rPr>
                <w:rFonts w:ascii="Calibri" w:eastAsia="Calibri" w:hAnsi="Calibri" w:cs="Calibri"/>
                <w:color w:val="000000" w:themeColor="text1"/>
                <w:sz w:val="16"/>
                <w:szCs w:val="16"/>
                <w:vertAlign w:val="superscript"/>
              </w:rPr>
              <w:t>3</w:t>
            </w:r>
            <w:r w:rsidRPr="3224E6AA">
              <w:rPr>
                <w:rFonts w:ascii="Calibri" w:eastAsia="Calibri" w:hAnsi="Calibri" w:cs="Calibri"/>
                <w:color w:val="000000" w:themeColor="text1"/>
                <w:sz w:val="16"/>
                <w:szCs w:val="16"/>
              </w:rPr>
              <w:t xml:space="preserve">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3AE511A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00E3717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3084996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69FCEC1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26FA092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613D262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01EEA1D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5174A4F6"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6C357987" w14:textId="77777777" w:rsidR="008314E1" w:rsidRDefault="008314E1" w:rsidP="0027650F">
            <w:pPr>
              <w:spacing w:after="0"/>
              <w:rPr>
                <w:rFonts w:ascii="Calibri" w:eastAsia="Calibri" w:hAnsi="Calibri" w:cs="Calibri"/>
                <w:color w:val="000000" w:themeColor="text1"/>
                <w:sz w:val="16"/>
                <w:szCs w:val="16"/>
              </w:rPr>
            </w:pPr>
            <w:r w:rsidRPr="3224E6AA">
              <w:rPr>
                <w:rFonts w:ascii="Calibri" w:eastAsia="Calibri" w:hAnsi="Calibri" w:cs="Calibri"/>
                <w:color w:val="000000" w:themeColor="text1"/>
                <w:sz w:val="20"/>
                <w:szCs w:val="20"/>
              </w:rPr>
              <w:t>aPL</w:t>
            </w:r>
            <w:r w:rsidRPr="3224E6AA">
              <w:rPr>
                <w:rFonts w:ascii="Calibri" w:eastAsia="Calibri" w:hAnsi="Calibri" w:cs="Calibri"/>
                <w:color w:val="000000" w:themeColor="text1"/>
                <w:sz w:val="16"/>
                <w:szCs w:val="16"/>
                <w:vertAlign w:val="superscript"/>
              </w:rPr>
              <w:t>4</w:t>
            </w:r>
            <w:r w:rsidRPr="3224E6AA">
              <w:rPr>
                <w:rFonts w:ascii="Calibri" w:eastAsia="Calibri" w:hAnsi="Calibri" w:cs="Calibri"/>
                <w:color w:val="000000" w:themeColor="text1"/>
                <w:sz w:val="16"/>
                <w:szCs w:val="16"/>
              </w:rPr>
              <w:t xml:space="preserve">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5A8432F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1CA32DF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3B27B54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7D62160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36F3A49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3BFF235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45FB36D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6A7D54E9"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02E941B2"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Height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4989F25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4C233260"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7D5068E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0D4A86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494D4C7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357B2AE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512A9AB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47F231C6"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652F5BF7"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Weight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64E7ED1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307F8DC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286FFAB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6AF31BD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0B81137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71D504A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1420C35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r>
      <w:tr w:rsidR="008314E1" w14:paraId="2AAC2B31"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316C64FA"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BMI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266AA1D0"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63CE7DF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03C3E2B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0CDD933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2B64C3A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53B2930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04BEE6E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6B5A6DA1"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2A01CE65"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Blood pressure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2257B92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1A6608EC"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577108B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2668638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0DBEB5A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684B23A0"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25A2A32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r>
      <w:tr w:rsidR="008314E1" w14:paraId="1FA80C22"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072C9E7F"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Concomitant medication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55C91BE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1F40DF8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16CC6A7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3B1CBC4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586EFAD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3499827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002ED4D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r>
      <w:tr w:rsidR="008314E1" w14:paraId="73D2CD84"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0CE62788"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Documentation of INRs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7487509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062B95F0"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5123CD0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657CC81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7F15696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7378A99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770E1F4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2A5798A1"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7923425A" w14:textId="77777777" w:rsidR="008314E1" w:rsidRDefault="008314E1" w:rsidP="0027650F">
            <w:pPr>
              <w:spacing w:after="0"/>
              <w:rPr>
                <w:rFonts w:ascii="Calibri" w:eastAsia="Calibri" w:hAnsi="Calibri" w:cs="Calibri"/>
                <w:color w:val="000000" w:themeColor="text1"/>
                <w:sz w:val="16"/>
                <w:szCs w:val="16"/>
              </w:rPr>
            </w:pPr>
            <w:r w:rsidRPr="3224E6AA">
              <w:rPr>
                <w:rFonts w:ascii="Calibri" w:eastAsia="Calibri" w:hAnsi="Calibri" w:cs="Calibri"/>
                <w:color w:val="000000" w:themeColor="text1"/>
                <w:sz w:val="20"/>
                <w:szCs w:val="20"/>
              </w:rPr>
              <w:t>MRI brain scan</w:t>
            </w:r>
            <w:r w:rsidRPr="3224E6AA">
              <w:rPr>
                <w:rFonts w:ascii="Calibri" w:eastAsia="Calibri" w:hAnsi="Calibri" w:cs="Calibri"/>
                <w:color w:val="000000" w:themeColor="text1"/>
                <w:sz w:val="16"/>
                <w:szCs w:val="16"/>
                <w:vertAlign w:val="superscript"/>
              </w:rPr>
              <w:t xml:space="preserve"> </w:t>
            </w:r>
            <w:r w:rsidRPr="3224E6AA">
              <w:rPr>
                <w:rFonts w:ascii="Calibri" w:eastAsia="Calibri" w:hAnsi="Calibri" w:cs="Calibri"/>
                <w:color w:val="000000" w:themeColor="text1"/>
                <w:sz w:val="20"/>
                <w:szCs w:val="20"/>
              </w:rPr>
              <w:t>at Chenies Mews Imaging Centre</w:t>
            </w:r>
            <w:r w:rsidRPr="3224E6AA">
              <w:rPr>
                <w:rFonts w:ascii="Calibri" w:eastAsia="Calibri" w:hAnsi="Calibri" w:cs="Calibri"/>
                <w:color w:val="000000" w:themeColor="text1"/>
                <w:sz w:val="16"/>
                <w:szCs w:val="16"/>
                <w:vertAlign w:val="superscript"/>
              </w:rPr>
              <w:t>5</w:t>
            </w:r>
            <w:r w:rsidRPr="3224E6AA">
              <w:rPr>
                <w:rFonts w:ascii="Calibri" w:eastAsia="Calibri" w:hAnsi="Calibri" w:cs="Calibri"/>
                <w:color w:val="000000" w:themeColor="text1"/>
                <w:sz w:val="16"/>
                <w:szCs w:val="16"/>
              </w:rPr>
              <w:t xml:space="preserve">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BFBFBF" w:themeFill="background1" w:themeFillShade="BF"/>
            <w:vAlign w:val="bottom"/>
          </w:tcPr>
          <w:p w14:paraId="58B56B3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tcPr>
          <w:p w14:paraId="42DEBB7A" w14:textId="77777777" w:rsidR="008314E1" w:rsidRDefault="008314E1" w:rsidP="0027650F">
            <w:pPr>
              <w:spacing w:after="0"/>
              <w:rPr>
                <w:rFonts w:ascii="Calibri" w:eastAsia="Calibri" w:hAnsi="Calibri" w:cs="Calibri"/>
              </w:rPr>
            </w:pPr>
            <w:r w:rsidRPr="3224E6AA">
              <w:rPr>
                <w:rFonts w:ascii="Calibri" w:eastAsia="Calibri" w:hAnsi="Calibri" w:cs="Calibri"/>
              </w:rPr>
              <w:t xml:space="preserve">X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75CB0E6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09F3C85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6859FD2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5F52E1C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09AC196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r>
      <w:tr w:rsidR="008314E1" w14:paraId="48EBC13F" w14:textId="77777777" w:rsidTr="0027650F">
        <w:trPr>
          <w:trHeight w:val="435"/>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7D8716E6" w14:textId="77777777" w:rsidR="008314E1" w:rsidRDefault="008314E1" w:rsidP="0027650F">
            <w:pPr>
              <w:spacing w:after="0"/>
              <w:rPr>
                <w:rFonts w:ascii="Calibri" w:eastAsia="Calibri" w:hAnsi="Calibri" w:cs="Calibri"/>
                <w:color w:val="000000" w:themeColor="text1"/>
                <w:sz w:val="16"/>
                <w:szCs w:val="16"/>
              </w:rPr>
            </w:pPr>
            <w:r w:rsidRPr="3224E6AA">
              <w:rPr>
                <w:rFonts w:ascii="Calibri" w:eastAsia="Calibri" w:hAnsi="Calibri" w:cs="Calibri"/>
                <w:color w:val="000000" w:themeColor="text1"/>
                <w:sz w:val="20"/>
                <w:szCs w:val="20"/>
              </w:rPr>
              <w:t xml:space="preserve">Baseline blood samples for </w:t>
            </w:r>
            <w:r w:rsidRPr="3224E6AA">
              <w:rPr>
                <w:rFonts w:ascii="Calibri" w:eastAsia="Calibri" w:hAnsi="Calibri" w:cs="Calibri"/>
                <w:b/>
                <w:bCs/>
                <w:color w:val="000000" w:themeColor="text1"/>
                <w:sz w:val="20"/>
                <w:szCs w:val="20"/>
              </w:rPr>
              <w:t xml:space="preserve">local analysis </w:t>
            </w:r>
            <w:r w:rsidRPr="3224E6AA">
              <w:rPr>
                <w:rFonts w:ascii="Calibri" w:eastAsia="Calibri" w:hAnsi="Calibri" w:cs="Calibri"/>
                <w:color w:val="000000" w:themeColor="text1"/>
                <w:sz w:val="20"/>
                <w:szCs w:val="20"/>
              </w:rPr>
              <w:t>(FBC, U&amp;E, CrCl, LFTs &amp; INR)</w:t>
            </w:r>
            <w:r w:rsidRPr="3224E6AA">
              <w:rPr>
                <w:rFonts w:ascii="Calibri" w:eastAsia="Calibri" w:hAnsi="Calibri" w:cs="Calibri"/>
                <w:color w:val="000000" w:themeColor="text1"/>
                <w:sz w:val="16"/>
                <w:szCs w:val="16"/>
                <w:vertAlign w:val="superscript"/>
              </w:rPr>
              <w:t>6</w:t>
            </w:r>
            <w:r w:rsidRPr="3224E6AA">
              <w:rPr>
                <w:rFonts w:ascii="Calibri" w:eastAsia="Calibri" w:hAnsi="Calibri" w:cs="Calibri"/>
                <w:color w:val="000000" w:themeColor="text1"/>
                <w:sz w:val="16"/>
                <w:szCs w:val="16"/>
              </w:rPr>
              <w:t xml:space="preserve"> </w:t>
            </w:r>
          </w:p>
        </w:tc>
        <w:tc>
          <w:tcPr>
            <w:tcW w:w="1226" w:type="dxa"/>
            <w:tcBorders>
              <w:top w:val="single" w:sz="8" w:space="0" w:color="auto"/>
              <w:left w:val="single" w:sz="12" w:space="0" w:color="auto"/>
              <w:bottom w:val="single" w:sz="8" w:space="0" w:color="auto"/>
              <w:right w:val="single" w:sz="12" w:space="0" w:color="262626" w:themeColor="text1" w:themeTint="D9"/>
            </w:tcBorders>
            <w:vAlign w:val="bottom"/>
          </w:tcPr>
          <w:p w14:paraId="42868185" w14:textId="77777777" w:rsidR="008314E1" w:rsidRDefault="008314E1" w:rsidP="0027650F">
            <w:pPr>
              <w:spacing w:after="0"/>
              <w:rPr>
                <w:rFonts w:ascii="Calibri" w:eastAsia="Calibri" w:hAnsi="Calibri" w:cs="Calibri"/>
              </w:rPr>
            </w:pPr>
            <w:r w:rsidRPr="3224E6AA">
              <w:rPr>
                <w:rFonts w:ascii="Calibri" w:eastAsia="Calibri" w:hAnsi="Calibri" w:cs="Calibri"/>
                <w:lang w:val="en-US"/>
              </w:rPr>
              <w:t>X</w:t>
            </w:r>
            <w:r w:rsidRPr="3224E6AA">
              <w:rPr>
                <w:rFonts w:ascii="Calibri" w:eastAsia="Calibri" w:hAnsi="Calibri" w:cs="Calibri"/>
              </w:rPr>
              <w:t xml:space="preserve">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3D23B0D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D442D0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5B80483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635F950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64E479E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2C26007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16602AE2"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176171B2"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Baseline blood sample (14mL) for </w:t>
            </w:r>
            <w:r w:rsidRPr="3224E6AA">
              <w:rPr>
                <w:rFonts w:ascii="Calibri" w:eastAsia="Calibri" w:hAnsi="Calibri" w:cs="Calibri"/>
                <w:b/>
                <w:bCs/>
                <w:color w:val="000000" w:themeColor="text1"/>
                <w:sz w:val="20"/>
                <w:szCs w:val="20"/>
              </w:rPr>
              <w:t>centralised analysis</w:t>
            </w:r>
            <w:r w:rsidRPr="3224E6AA">
              <w:rPr>
                <w:rFonts w:ascii="Calibri" w:eastAsia="Calibri" w:hAnsi="Calibri" w:cs="Calibri"/>
                <w:color w:val="000000" w:themeColor="text1"/>
                <w:sz w:val="16"/>
                <w:szCs w:val="16"/>
                <w:vertAlign w:val="superscript"/>
              </w:rPr>
              <w:t>6</w:t>
            </w:r>
            <w:r w:rsidRPr="3224E6AA">
              <w:rPr>
                <w:rFonts w:ascii="Calibri" w:eastAsia="Calibri" w:hAnsi="Calibri" w:cs="Calibri"/>
                <w:color w:val="000000" w:themeColor="text1"/>
                <w:sz w:val="20"/>
                <w:szCs w:val="20"/>
              </w:rPr>
              <w:t xml:space="preserve">: Citrated plasma &amp; Clotted SST </w:t>
            </w:r>
          </w:p>
        </w:tc>
        <w:tc>
          <w:tcPr>
            <w:tcW w:w="1226" w:type="dxa"/>
            <w:tcBorders>
              <w:top w:val="single" w:sz="8" w:space="0" w:color="auto"/>
              <w:left w:val="single" w:sz="12" w:space="0" w:color="auto"/>
              <w:bottom w:val="single" w:sz="8" w:space="0" w:color="auto"/>
              <w:right w:val="single" w:sz="12" w:space="0" w:color="262626" w:themeColor="text1" w:themeTint="D9"/>
            </w:tcBorders>
            <w:vAlign w:val="center"/>
          </w:tcPr>
          <w:p w14:paraId="10536B0C" w14:textId="77777777" w:rsidR="008314E1" w:rsidRDefault="008314E1" w:rsidP="0027650F">
            <w:pPr>
              <w:spacing w:after="0"/>
              <w:rPr>
                <w:rFonts w:ascii="Calibri" w:eastAsia="Calibri" w:hAnsi="Calibri" w:cs="Calibri"/>
              </w:rPr>
            </w:pPr>
            <w:r w:rsidRPr="3224E6AA">
              <w:rPr>
                <w:rFonts w:ascii="Calibri" w:eastAsia="Calibri" w:hAnsi="Calibri" w:cs="Calibri"/>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6B3E535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51113D3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D65B7B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624536A0"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44D87D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7D613CA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567913C4"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0259E8B6"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Baseline blood samples (26.5mL) for </w:t>
            </w:r>
            <w:r w:rsidRPr="3224E6AA">
              <w:rPr>
                <w:rFonts w:ascii="Calibri" w:eastAsia="Calibri" w:hAnsi="Calibri" w:cs="Calibri"/>
                <w:b/>
                <w:bCs/>
                <w:color w:val="000000" w:themeColor="text1"/>
                <w:sz w:val="20"/>
                <w:szCs w:val="20"/>
              </w:rPr>
              <w:t>translational research</w:t>
            </w:r>
            <w:r w:rsidRPr="3224E6AA">
              <w:rPr>
                <w:rFonts w:ascii="Calibri" w:eastAsia="Calibri" w:hAnsi="Calibri" w:cs="Calibri"/>
                <w:color w:val="000000" w:themeColor="text1"/>
                <w:sz w:val="20"/>
                <w:szCs w:val="20"/>
              </w:rPr>
              <w:t xml:space="preserve"> (optional): Citrated plasma, EDTA &amp; Clotted SST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center"/>
          </w:tcPr>
          <w:p w14:paraId="4E4141F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388C953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04466DA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CEA4CE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6394351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47C4CB8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63BFF72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128EA37D" w14:textId="77777777" w:rsidTr="0027650F">
        <w:trPr>
          <w:trHeight w:val="405"/>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7DF8316C"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Blood sample (4.5mL) for </w:t>
            </w:r>
            <w:r w:rsidRPr="3224E6AA">
              <w:rPr>
                <w:rFonts w:ascii="Calibri" w:eastAsia="Calibri" w:hAnsi="Calibri" w:cs="Calibri"/>
                <w:b/>
                <w:bCs/>
                <w:color w:val="000000" w:themeColor="text1"/>
                <w:sz w:val="20"/>
                <w:szCs w:val="20"/>
              </w:rPr>
              <w:t>centralised analysis</w:t>
            </w:r>
            <w:r w:rsidRPr="3224E6AA">
              <w:rPr>
                <w:rFonts w:ascii="Calibri" w:eastAsia="Calibri" w:hAnsi="Calibri" w:cs="Calibri"/>
                <w:b/>
                <w:bCs/>
                <w:color w:val="000000" w:themeColor="text1"/>
                <w:sz w:val="16"/>
                <w:szCs w:val="16"/>
                <w:vertAlign w:val="superscript"/>
              </w:rPr>
              <w:t>7</w:t>
            </w:r>
            <w:r w:rsidRPr="3224E6AA">
              <w:rPr>
                <w:rFonts w:ascii="Calibri" w:eastAsia="Calibri" w:hAnsi="Calibri" w:cs="Calibri"/>
                <w:color w:val="000000" w:themeColor="text1"/>
                <w:sz w:val="20"/>
                <w:szCs w:val="20"/>
              </w:rPr>
              <w:t xml:space="preserve">: Citrated plasma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BFBFBF" w:themeFill="background1" w:themeFillShade="BF"/>
            <w:vAlign w:val="center"/>
          </w:tcPr>
          <w:p w14:paraId="358CF9A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7C52CB4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vAlign w:val="bottom"/>
          </w:tcPr>
          <w:p w14:paraId="0F4DE29A" w14:textId="77777777" w:rsidR="008314E1" w:rsidRDefault="008314E1" w:rsidP="0027650F">
            <w:pPr>
              <w:spacing w:after="0"/>
              <w:rPr>
                <w:rFonts w:ascii="Calibri" w:eastAsia="Calibri" w:hAnsi="Calibri" w:cs="Calibri"/>
              </w:rPr>
            </w:pPr>
            <w:r w:rsidRPr="3224E6AA">
              <w:rPr>
                <w:rFonts w:ascii="Calibri" w:eastAsia="Calibri" w:hAnsi="Calibri" w:cs="Calibri"/>
                <w:lang w:val="en-US"/>
              </w:rPr>
              <w:t>X</w:t>
            </w:r>
            <w:r w:rsidRPr="3224E6AA">
              <w:rPr>
                <w:rFonts w:ascii="Calibri" w:eastAsia="Calibri" w:hAnsi="Calibri" w:cs="Calibri"/>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vAlign w:val="bottom"/>
          </w:tcPr>
          <w:p w14:paraId="39FAE638" w14:textId="77777777" w:rsidR="008314E1" w:rsidRDefault="008314E1" w:rsidP="0027650F">
            <w:pPr>
              <w:spacing w:after="0"/>
              <w:rPr>
                <w:rFonts w:ascii="Calibri" w:eastAsia="Calibri" w:hAnsi="Calibri" w:cs="Calibri"/>
              </w:rPr>
            </w:pPr>
            <w:r w:rsidRPr="3224E6AA">
              <w:rPr>
                <w:rFonts w:ascii="Calibri" w:eastAsia="Calibri" w:hAnsi="Calibri" w:cs="Calibri"/>
                <w:lang w:val="en-US"/>
              </w:rPr>
              <w:t>X</w:t>
            </w:r>
            <w:r w:rsidRPr="3224E6AA">
              <w:rPr>
                <w:rFonts w:ascii="Calibri" w:eastAsia="Calibri" w:hAnsi="Calibri" w:cs="Calibri"/>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vAlign w:val="bottom"/>
          </w:tcPr>
          <w:p w14:paraId="695EB5A1" w14:textId="77777777" w:rsidR="008314E1" w:rsidRDefault="008314E1" w:rsidP="0027650F">
            <w:pPr>
              <w:spacing w:after="0"/>
              <w:rPr>
                <w:rFonts w:ascii="Calibri" w:eastAsia="Calibri" w:hAnsi="Calibri" w:cs="Calibri"/>
              </w:rPr>
            </w:pPr>
            <w:r w:rsidRPr="3224E6AA">
              <w:rPr>
                <w:rFonts w:ascii="Calibri" w:eastAsia="Calibri" w:hAnsi="Calibri" w:cs="Calibri"/>
                <w:lang w:val="en-US"/>
              </w:rPr>
              <w:t>X</w:t>
            </w:r>
            <w:r w:rsidRPr="3224E6AA">
              <w:rPr>
                <w:rFonts w:ascii="Calibri" w:eastAsia="Calibri" w:hAnsi="Calibri" w:cs="Calibri"/>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vAlign w:val="bottom"/>
          </w:tcPr>
          <w:p w14:paraId="716ABFAC" w14:textId="77777777" w:rsidR="008314E1" w:rsidRDefault="008314E1" w:rsidP="0027650F">
            <w:pPr>
              <w:spacing w:after="0"/>
              <w:rPr>
                <w:rFonts w:ascii="Calibri" w:eastAsia="Calibri" w:hAnsi="Calibri" w:cs="Calibri"/>
              </w:rPr>
            </w:pPr>
            <w:r w:rsidRPr="3224E6AA">
              <w:rPr>
                <w:rFonts w:ascii="Calibri" w:eastAsia="Calibri" w:hAnsi="Calibri" w:cs="Calibri"/>
                <w:lang w:val="en-US"/>
              </w:rPr>
              <w:t>X</w:t>
            </w:r>
            <w:r w:rsidRPr="3224E6AA">
              <w:rPr>
                <w:rFonts w:ascii="Calibri" w:eastAsia="Calibri" w:hAnsi="Calibri" w:cs="Calibri"/>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vAlign w:val="bottom"/>
          </w:tcPr>
          <w:p w14:paraId="27480FB0" w14:textId="77777777" w:rsidR="008314E1" w:rsidRDefault="008314E1" w:rsidP="0027650F">
            <w:pPr>
              <w:spacing w:after="0"/>
              <w:rPr>
                <w:rFonts w:ascii="Calibri" w:eastAsia="Calibri" w:hAnsi="Calibri" w:cs="Calibri"/>
              </w:rPr>
            </w:pPr>
            <w:r w:rsidRPr="3224E6AA">
              <w:rPr>
                <w:rFonts w:ascii="Calibri" w:eastAsia="Calibri" w:hAnsi="Calibri" w:cs="Calibri"/>
                <w:lang w:val="en-US"/>
              </w:rPr>
              <w:t>X</w:t>
            </w:r>
            <w:r w:rsidRPr="3224E6AA">
              <w:rPr>
                <w:rFonts w:ascii="Calibri" w:eastAsia="Calibri" w:hAnsi="Calibri" w:cs="Calibri"/>
              </w:rPr>
              <w:t xml:space="preserve"> </w:t>
            </w:r>
          </w:p>
        </w:tc>
      </w:tr>
      <w:tr w:rsidR="008314E1" w14:paraId="66B4CEE4"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0522B001"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Blood samples (22.5mL) for </w:t>
            </w:r>
            <w:r w:rsidRPr="3224E6AA">
              <w:rPr>
                <w:rFonts w:ascii="Calibri" w:eastAsia="Calibri" w:hAnsi="Calibri" w:cs="Calibri"/>
                <w:b/>
                <w:bCs/>
                <w:color w:val="000000" w:themeColor="text1"/>
                <w:sz w:val="20"/>
                <w:szCs w:val="20"/>
              </w:rPr>
              <w:t>translational research</w:t>
            </w:r>
            <w:r w:rsidRPr="3224E6AA">
              <w:rPr>
                <w:rFonts w:ascii="Calibri" w:eastAsia="Calibri" w:hAnsi="Calibri" w:cs="Calibri"/>
                <w:color w:val="000000" w:themeColor="text1"/>
                <w:sz w:val="20"/>
                <w:szCs w:val="20"/>
              </w:rPr>
              <w:t xml:space="preserve"> (optional): Citrated plasma, EDTA &amp; Clotted SST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BFBFBF" w:themeFill="background1" w:themeFillShade="BF"/>
            <w:vAlign w:val="center"/>
          </w:tcPr>
          <w:p w14:paraId="1EC6D5A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4D003A5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1CCB1C6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370DA4D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2179848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4DDE004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58BD06A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r>
      <w:tr w:rsidR="008314E1" w14:paraId="5C487A87"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4171F0B2" w14:textId="77777777" w:rsidR="008314E1" w:rsidRDefault="008314E1" w:rsidP="0027650F">
            <w:pPr>
              <w:spacing w:after="0"/>
              <w:rPr>
                <w:rFonts w:ascii="Calibri" w:eastAsia="Calibri" w:hAnsi="Calibri" w:cs="Calibri"/>
                <w:color w:val="000000" w:themeColor="text1"/>
                <w:sz w:val="16"/>
                <w:szCs w:val="16"/>
              </w:rPr>
            </w:pPr>
            <w:r w:rsidRPr="3224E6AA">
              <w:rPr>
                <w:rFonts w:ascii="Calibri" w:eastAsia="Calibri" w:hAnsi="Calibri" w:cs="Calibri"/>
                <w:color w:val="000000" w:themeColor="text1"/>
                <w:sz w:val="20"/>
                <w:szCs w:val="20"/>
              </w:rPr>
              <w:t>Pregnancy test (urine dipstick)</w:t>
            </w:r>
            <w:r w:rsidRPr="3224E6AA">
              <w:rPr>
                <w:rFonts w:ascii="Calibri" w:eastAsia="Calibri" w:hAnsi="Calibri" w:cs="Calibri"/>
                <w:color w:val="000000" w:themeColor="text1"/>
                <w:sz w:val="16"/>
                <w:szCs w:val="16"/>
                <w:vertAlign w:val="superscript"/>
              </w:rPr>
              <w:t>8</w:t>
            </w:r>
            <w:r w:rsidRPr="3224E6AA">
              <w:rPr>
                <w:rFonts w:ascii="Calibri" w:eastAsia="Calibri" w:hAnsi="Calibri" w:cs="Calibri"/>
                <w:color w:val="000000" w:themeColor="text1"/>
                <w:sz w:val="16"/>
                <w:szCs w:val="16"/>
              </w:rPr>
              <w:t xml:space="preserve">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center"/>
          </w:tcPr>
          <w:p w14:paraId="4B2BBDC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681C17F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8D1348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2CD9F7C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4103CFC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4A48005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474279D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r>
      <w:tr w:rsidR="008314E1" w14:paraId="7ED355A9"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639175F1"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Local lipid analysis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5E6683C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1DDA525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5B95C6C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BF75460"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7A6CB46C"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3752935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75EC21A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r>
      <w:tr w:rsidR="008314E1" w14:paraId="78BC57D2"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0C8A2085"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Cognitive function assessments (MoCA &amp; Queen Square measures)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2A0E45F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009FD32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0E753E2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42DDA7EC"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4C7FDA9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5FF1D0E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5AE75BD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r>
      <w:tr w:rsidR="008314E1" w14:paraId="2E607866"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6C81FD03"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Quality of life (EQ-5D-5L)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51D4415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56DAA98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BFBFBF" w:themeFill="background1" w:themeFillShade="BF"/>
            <w:vAlign w:val="bottom"/>
          </w:tcPr>
          <w:p w14:paraId="1DA759F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383441F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47D3484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0F893B7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1EBC06E0"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r>
      <w:tr w:rsidR="008314E1" w14:paraId="0A0285C4"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45F79D4C"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Medication Adherence Rating Scale (MARs)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475A47F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6D86F8DC"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6E0609F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78B9B7F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07D3CAE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631C256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49D4F68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r>
      <w:tr w:rsidR="008314E1" w14:paraId="43BABC33"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1DD27930"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Enquiry for recurrent thrombosis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center"/>
          </w:tcPr>
          <w:p w14:paraId="2E7FD6C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795EFD1C"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4C21083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2A4424B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1341E71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624BFA7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17D439D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r>
      <w:tr w:rsidR="008314E1" w14:paraId="35584C68"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6DD2CFFC"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Enquiry for bleeding symptoms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center"/>
          </w:tcPr>
          <w:p w14:paraId="4B81E01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507FDC8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543CFE8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42FCDA0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7944403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4A604E6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6BABB55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r>
      <w:tr w:rsidR="008314E1" w14:paraId="122E2D89" w14:textId="77777777" w:rsidTr="0027650F">
        <w:trPr>
          <w:trHeight w:val="36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1777F30C" w14:textId="77777777" w:rsidR="008314E1" w:rsidRDefault="008314E1" w:rsidP="0027650F">
            <w:pPr>
              <w:spacing w:after="0"/>
              <w:rPr>
                <w:rFonts w:ascii="Calibri" w:eastAsia="Calibri" w:hAnsi="Calibri" w:cs="Calibri"/>
                <w:color w:val="000000" w:themeColor="text1"/>
                <w:sz w:val="16"/>
                <w:szCs w:val="16"/>
              </w:rPr>
            </w:pPr>
            <w:r w:rsidRPr="3224E6AA">
              <w:rPr>
                <w:rFonts w:ascii="Calibri" w:eastAsia="Calibri" w:hAnsi="Calibri" w:cs="Calibri"/>
                <w:color w:val="000000" w:themeColor="text1"/>
                <w:sz w:val="20"/>
                <w:szCs w:val="20"/>
              </w:rPr>
              <w:lastRenderedPageBreak/>
              <w:t>Documentation of AEs</w:t>
            </w:r>
            <w:r w:rsidRPr="3224E6AA">
              <w:rPr>
                <w:rFonts w:ascii="Calibri" w:eastAsia="Calibri" w:hAnsi="Calibri" w:cs="Calibri"/>
                <w:color w:val="000000" w:themeColor="text1"/>
                <w:sz w:val="16"/>
                <w:szCs w:val="16"/>
                <w:vertAlign w:val="superscript"/>
              </w:rPr>
              <w:t>9</w:t>
            </w:r>
            <w:r w:rsidRPr="3224E6AA">
              <w:rPr>
                <w:rFonts w:ascii="Calibri" w:eastAsia="Calibri" w:hAnsi="Calibri" w:cs="Calibri"/>
                <w:color w:val="000000" w:themeColor="text1"/>
                <w:sz w:val="16"/>
                <w:szCs w:val="16"/>
              </w:rPr>
              <w:t xml:space="preserve">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center"/>
          </w:tcPr>
          <w:p w14:paraId="6FB3CED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p w14:paraId="6013639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62DFEB4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4351B35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305A2BC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0E4E785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736A7B0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56FF10A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r>
      <w:tr w:rsidR="008314E1" w14:paraId="7734936A"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10959EF7" w14:textId="77777777" w:rsidR="008314E1" w:rsidRDefault="008314E1" w:rsidP="0027650F">
            <w:pPr>
              <w:spacing w:after="0"/>
              <w:rPr>
                <w:rFonts w:ascii="Calibri" w:eastAsia="Calibri" w:hAnsi="Calibri" w:cs="Calibri"/>
                <w:color w:val="000000" w:themeColor="text1"/>
                <w:sz w:val="16"/>
                <w:szCs w:val="16"/>
              </w:rPr>
            </w:pPr>
            <w:r w:rsidRPr="3224E6AA">
              <w:rPr>
                <w:rFonts w:ascii="Calibri" w:eastAsia="Calibri" w:hAnsi="Calibri" w:cs="Calibri"/>
                <w:color w:val="000000" w:themeColor="text1"/>
                <w:sz w:val="20"/>
                <w:szCs w:val="20"/>
              </w:rPr>
              <w:t>Reporting of SAEs</w:t>
            </w:r>
            <w:r w:rsidRPr="3224E6AA">
              <w:rPr>
                <w:rFonts w:ascii="Calibri" w:eastAsia="Calibri" w:hAnsi="Calibri" w:cs="Calibri"/>
                <w:color w:val="000000" w:themeColor="text1"/>
                <w:sz w:val="16"/>
                <w:szCs w:val="16"/>
                <w:vertAlign w:val="superscript"/>
              </w:rPr>
              <w:t>10</w:t>
            </w:r>
            <w:r w:rsidRPr="3224E6AA">
              <w:rPr>
                <w:rFonts w:ascii="Calibri" w:eastAsia="Calibri" w:hAnsi="Calibri" w:cs="Calibri"/>
                <w:color w:val="000000" w:themeColor="text1"/>
                <w:sz w:val="16"/>
                <w:szCs w:val="16"/>
              </w:rPr>
              <w:t xml:space="preserve">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center"/>
          </w:tcPr>
          <w:p w14:paraId="57001410"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390E9BB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007825D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1C4FFCE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43A5D6F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4C3413F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04EF9BB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r>
      <w:tr w:rsidR="008314E1" w14:paraId="2AFA1B3F"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3708399A"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Review of tolerability to trial treatment </w:t>
            </w:r>
          </w:p>
        </w:tc>
        <w:tc>
          <w:tcPr>
            <w:tcW w:w="1226" w:type="dxa"/>
            <w:tcBorders>
              <w:top w:val="single" w:sz="8" w:space="0" w:color="auto"/>
              <w:left w:val="single" w:sz="12" w:space="0" w:color="auto"/>
              <w:bottom w:val="single" w:sz="8" w:space="0" w:color="262626" w:themeColor="text1" w:themeTint="D9"/>
              <w:right w:val="single" w:sz="12" w:space="0" w:color="262626" w:themeColor="text1" w:themeTint="D9"/>
            </w:tcBorders>
            <w:shd w:val="clear" w:color="auto" w:fill="BFBFBF" w:themeFill="background1" w:themeFillShade="BF"/>
            <w:vAlign w:val="bottom"/>
          </w:tcPr>
          <w:p w14:paraId="5196989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auto"/>
              <w:left w:val="single" w:sz="12" w:space="0" w:color="262626" w:themeColor="text1" w:themeTint="D9"/>
              <w:bottom w:val="single" w:sz="8" w:space="0" w:color="262626" w:themeColor="text1" w:themeTint="D9"/>
              <w:right w:val="single" w:sz="12" w:space="0" w:color="262626" w:themeColor="text1" w:themeTint="D9"/>
            </w:tcBorders>
            <w:shd w:val="clear" w:color="auto" w:fill="BFBFBF" w:themeFill="background1" w:themeFillShade="BF"/>
          </w:tcPr>
          <w:p w14:paraId="1968DC4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262626" w:themeColor="text1" w:themeTint="D9"/>
              <w:right w:val="single" w:sz="8" w:space="0" w:color="262626" w:themeColor="text1" w:themeTint="D9"/>
            </w:tcBorders>
            <w:shd w:val="clear" w:color="auto" w:fill="FFFFFF" w:themeFill="background1"/>
            <w:vAlign w:val="bottom"/>
          </w:tcPr>
          <w:p w14:paraId="66D7808F"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262626" w:themeColor="text1" w:themeTint="D9"/>
              <w:right w:val="single" w:sz="8" w:space="0" w:color="262626" w:themeColor="text1" w:themeTint="D9"/>
            </w:tcBorders>
            <w:shd w:val="clear" w:color="auto" w:fill="FFFFFF" w:themeFill="background1"/>
            <w:vAlign w:val="bottom"/>
          </w:tcPr>
          <w:p w14:paraId="746BD5F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262626" w:themeColor="text1" w:themeTint="D9"/>
              <w:right w:val="single" w:sz="8" w:space="0" w:color="262626" w:themeColor="text1" w:themeTint="D9"/>
            </w:tcBorders>
            <w:shd w:val="clear" w:color="auto" w:fill="FFFFFF" w:themeFill="background1"/>
            <w:vAlign w:val="bottom"/>
          </w:tcPr>
          <w:p w14:paraId="67FBA99C"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262626" w:themeColor="text1" w:themeTint="D9"/>
              <w:right w:val="single" w:sz="8" w:space="0" w:color="262626" w:themeColor="text1" w:themeTint="D9"/>
            </w:tcBorders>
            <w:shd w:val="clear" w:color="auto" w:fill="FFFFFF" w:themeFill="background1"/>
            <w:vAlign w:val="bottom"/>
          </w:tcPr>
          <w:p w14:paraId="3CA6B9E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262626" w:themeColor="text1" w:themeTint="D9"/>
              <w:right w:val="single" w:sz="8" w:space="0" w:color="auto"/>
            </w:tcBorders>
            <w:shd w:val="clear" w:color="auto" w:fill="FFFFFF" w:themeFill="background1"/>
            <w:vAlign w:val="bottom"/>
          </w:tcPr>
          <w:p w14:paraId="633608B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r>
      <w:tr w:rsidR="008314E1" w14:paraId="0331F9B5"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57F3F888"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Dispensing of Proton Pump Inhibitor </w:t>
            </w:r>
          </w:p>
        </w:tc>
        <w:tc>
          <w:tcPr>
            <w:tcW w:w="1226" w:type="dxa"/>
            <w:tcBorders>
              <w:top w:val="single" w:sz="8" w:space="0" w:color="262626" w:themeColor="text1" w:themeTint="D9"/>
              <w:left w:val="single" w:sz="12" w:space="0" w:color="auto"/>
              <w:bottom w:val="single" w:sz="8" w:space="0" w:color="262626" w:themeColor="text1" w:themeTint="D9"/>
              <w:right w:val="single" w:sz="12" w:space="0" w:color="262626" w:themeColor="text1" w:themeTint="D9"/>
            </w:tcBorders>
            <w:vAlign w:val="bottom"/>
          </w:tcPr>
          <w:p w14:paraId="45925F89" w14:textId="77777777" w:rsidR="008314E1" w:rsidRDefault="008314E1" w:rsidP="0027650F">
            <w:pPr>
              <w:spacing w:after="0"/>
              <w:rPr>
                <w:rFonts w:ascii="Calibri" w:eastAsia="Calibri" w:hAnsi="Calibri" w:cs="Calibri"/>
              </w:rPr>
            </w:pPr>
            <w:r w:rsidRPr="3224E6AA">
              <w:rPr>
                <w:rFonts w:ascii="Calibri" w:eastAsia="Calibri" w:hAnsi="Calibri" w:cs="Calibri"/>
              </w:rPr>
              <w:t xml:space="preserve">X </w:t>
            </w:r>
          </w:p>
        </w:tc>
        <w:tc>
          <w:tcPr>
            <w:tcW w:w="696" w:type="dxa"/>
            <w:tcBorders>
              <w:top w:val="single" w:sz="8" w:space="0" w:color="262626" w:themeColor="text1" w:themeTint="D9"/>
              <w:left w:val="single" w:sz="12" w:space="0" w:color="262626" w:themeColor="text1" w:themeTint="D9"/>
              <w:bottom w:val="single" w:sz="8" w:space="0" w:color="262626" w:themeColor="text1" w:themeTint="D9"/>
              <w:right w:val="single" w:sz="12" w:space="0" w:color="262626" w:themeColor="text1" w:themeTint="D9"/>
            </w:tcBorders>
            <w:shd w:val="clear" w:color="auto" w:fill="BFBFBF" w:themeFill="background1" w:themeFillShade="BF"/>
          </w:tcPr>
          <w:p w14:paraId="1B67D45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262626" w:themeColor="text1" w:themeTint="D9"/>
              <w:left w:val="single" w:sz="12" w:space="0" w:color="262626" w:themeColor="text1" w:themeTint="D9"/>
              <w:bottom w:val="single" w:sz="8" w:space="0" w:color="262626" w:themeColor="text1" w:themeTint="D9"/>
              <w:right w:val="single" w:sz="8" w:space="0" w:color="262626" w:themeColor="text1" w:themeTint="D9"/>
            </w:tcBorders>
            <w:shd w:val="clear" w:color="auto" w:fill="FFFFFF" w:themeFill="background1"/>
            <w:vAlign w:val="bottom"/>
          </w:tcPr>
          <w:p w14:paraId="794A426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FFFFF" w:themeFill="background1"/>
            <w:vAlign w:val="bottom"/>
          </w:tcPr>
          <w:p w14:paraId="30E2751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FFFFF" w:themeFill="background1"/>
            <w:vAlign w:val="bottom"/>
          </w:tcPr>
          <w:p w14:paraId="7AB296A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shd w:val="clear" w:color="auto" w:fill="FFFFFF" w:themeFill="background1"/>
            <w:vAlign w:val="bottom"/>
          </w:tcPr>
          <w:p w14:paraId="304A26F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262626" w:themeColor="text1" w:themeTint="D9"/>
              <w:left w:val="single" w:sz="8" w:space="0" w:color="262626" w:themeColor="text1" w:themeTint="D9"/>
              <w:bottom w:val="single" w:sz="8" w:space="0" w:color="262626" w:themeColor="text1" w:themeTint="D9"/>
              <w:right w:val="single" w:sz="8" w:space="0" w:color="auto"/>
            </w:tcBorders>
            <w:shd w:val="clear" w:color="auto" w:fill="FFFFFF" w:themeFill="background1"/>
            <w:vAlign w:val="bottom"/>
          </w:tcPr>
          <w:p w14:paraId="27C672E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r>
      <w:tr w:rsidR="008314E1" w14:paraId="115B00D1" w14:textId="77777777" w:rsidTr="0027650F">
        <w:trPr>
          <w:trHeight w:val="270"/>
        </w:trPr>
        <w:tc>
          <w:tcPr>
            <w:tcW w:w="9015" w:type="dxa"/>
            <w:gridSpan w:val="8"/>
            <w:tcBorders>
              <w:top w:val="single" w:sz="8" w:space="0" w:color="auto"/>
              <w:left w:val="single" w:sz="8" w:space="0" w:color="262626" w:themeColor="text1" w:themeTint="D9"/>
              <w:bottom w:val="single" w:sz="8" w:space="0" w:color="auto"/>
              <w:right w:val="single" w:sz="8" w:space="0" w:color="auto"/>
            </w:tcBorders>
            <w:shd w:val="clear" w:color="auto" w:fill="C1E4F5" w:themeFill="accent1" w:themeFillTint="33"/>
          </w:tcPr>
          <w:p w14:paraId="2F4551AC" w14:textId="77777777" w:rsidR="008314E1" w:rsidRDefault="008314E1" w:rsidP="0027650F">
            <w:pPr>
              <w:spacing w:after="0"/>
              <w:jc w:val="center"/>
              <w:rPr>
                <w:rFonts w:ascii="Calibri" w:eastAsia="Calibri" w:hAnsi="Calibri" w:cs="Calibri"/>
                <w:color w:val="000000" w:themeColor="text1"/>
              </w:rPr>
            </w:pPr>
            <w:r w:rsidRPr="3224E6AA">
              <w:rPr>
                <w:rFonts w:ascii="Calibri" w:eastAsia="Calibri" w:hAnsi="Calibri" w:cs="Calibri"/>
                <w:b/>
                <w:bCs/>
                <w:caps/>
                <w:color w:val="000000" w:themeColor="text1"/>
              </w:rPr>
              <w:t>RIVAROXABAN PARTICIPANTS ONLY</w:t>
            </w:r>
            <w:r w:rsidRPr="3224E6AA">
              <w:rPr>
                <w:rFonts w:ascii="Calibri" w:eastAsia="Calibri" w:hAnsi="Calibri" w:cs="Calibri"/>
                <w:color w:val="000000" w:themeColor="text1"/>
              </w:rPr>
              <w:t xml:space="preserve"> </w:t>
            </w:r>
          </w:p>
        </w:tc>
      </w:tr>
      <w:tr w:rsidR="008314E1" w14:paraId="116AEED9"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6B3B076C" w14:textId="77777777" w:rsidR="008314E1" w:rsidRDefault="008314E1" w:rsidP="0027650F">
            <w:pPr>
              <w:spacing w:after="0"/>
              <w:rPr>
                <w:rFonts w:ascii="Calibri" w:eastAsia="Calibri" w:hAnsi="Calibri" w:cs="Calibri"/>
                <w:color w:val="000000" w:themeColor="text1"/>
                <w:sz w:val="16"/>
                <w:szCs w:val="16"/>
              </w:rPr>
            </w:pPr>
            <w:r w:rsidRPr="3224E6AA">
              <w:rPr>
                <w:rFonts w:ascii="Calibri" w:eastAsia="Calibri" w:hAnsi="Calibri" w:cs="Calibri"/>
                <w:color w:val="000000" w:themeColor="text1"/>
                <w:sz w:val="20"/>
                <w:szCs w:val="20"/>
              </w:rPr>
              <w:t xml:space="preserve">PK modelling blood samples (8.5mL; total of 25.5mL if all 3 samples are collected) </w:t>
            </w:r>
            <w:r w:rsidRPr="3224E6AA">
              <w:rPr>
                <w:rFonts w:ascii="Calibri" w:eastAsia="Calibri" w:hAnsi="Calibri" w:cs="Calibri"/>
                <w:color w:val="000000" w:themeColor="text1"/>
                <w:sz w:val="16"/>
                <w:szCs w:val="16"/>
                <w:vertAlign w:val="superscript"/>
              </w:rPr>
              <w:t>11</w:t>
            </w:r>
            <w:r w:rsidRPr="3224E6AA">
              <w:rPr>
                <w:rFonts w:ascii="Calibri" w:eastAsia="Calibri" w:hAnsi="Calibri" w:cs="Calibri"/>
                <w:color w:val="000000" w:themeColor="text1"/>
                <w:sz w:val="16"/>
                <w:szCs w:val="16"/>
              </w:rPr>
              <w:t xml:space="preserve"> </w:t>
            </w:r>
          </w:p>
        </w:tc>
        <w:tc>
          <w:tcPr>
            <w:tcW w:w="1226" w:type="dxa"/>
            <w:tcBorders>
              <w:top w:val="nil"/>
              <w:left w:val="single" w:sz="12" w:space="0" w:color="auto"/>
              <w:bottom w:val="single" w:sz="8" w:space="0" w:color="262626" w:themeColor="text1" w:themeTint="D9"/>
              <w:right w:val="single" w:sz="12" w:space="0" w:color="262626" w:themeColor="text1" w:themeTint="D9"/>
            </w:tcBorders>
            <w:shd w:val="clear" w:color="auto" w:fill="BFBFBF" w:themeFill="background1" w:themeFillShade="BF"/>
            <w:vAlign w:val="bottom"/>
          </w:tcPr>
          <w:p w14:paraId="5298AE9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nil"/>
              <w:left w:val="single" w:sz="12" w:space="0" w:color="262626" w:themeColor="text1" w:themeTint="D9"/>
              <w:bottom w:val="single" w:sz="8" w:space="0" w:color="262626" w:themeColor="text1" w:themeTint="D9"/>
              <w:right w:val="single" w:sz="12" w:space="0" w:color="262626" w:themeColor="text1" w:themeTint="D9"/>
            </w:tcBorders>
            <w:shd w:val="clear" w:color="auto" w:fill="BFBFBF" w:themeFill="background1" w:themeFillShade="BF"/>
          </w:tcPr>
          <w:p w14:paraId="466F00D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nil"/>
              <w:left w:val="single" w:sz="12" w:space="0" w:color="262626" w:themeColor="text1" w:themeTint="D9"/>
              <w:bottom w:val="single" w:sz="8" w:space="0" w:color="262626" w:themeColor="text1" w:themeTint="D9"/>
              <w:right w:val="single" w:sz="8" w:space="0" w:color="262626" w:themeColor="text1" w:themeTint="D9"/>
            </w:tcBorders>
            <w:shd w:val="clear" w:color="auto" w:fill="FFFFFF" w:themeFill="background1"/>
            <w:vAlign w:val="bottom"/>
          </w:tcPr>
          <w:p w14:paraId="2B8123F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nil"/>
              <w:left w:val="single" w:sz="8" w:space="0" w:color="262626" w:themeColor="text1" w:themeTint="D9"/>
              <w:bottom w:val="single" w:sz="8" w:space="0" w:color="262626" w:themeColor="text1" w:themeTint="D9"/>
              <w:right w:val="single" w:sz="8" w:space="0" w:color="262626" w:themeColor="text1" w:themeTint="D9"/>
            </w:tcBorders>
            <w:shd w:val="clear" w:color="auto" w:fill="A6A6A6" w:themeFill="background1" w:themeFillShade="A6"/>
            <w:vAlign w:val="bottom"/>
          </w:tcPr>
          <w:p w14:paraId="144D49A5"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nil"/>
              <w:left w:val="single" w:sz="8" w:space="0" w:color="262626" w:themeColor="text1" w:themeTint="D9"/>
              <w:bottom w:val="single" w:sz="8" w:space="0" w:color="262626" w:themeColor="text1" w:themeTint="D9"/>
              <w:right w:val="single" w:sz="8" w:space="0" w:color="262626" w:themeColor="text1" w:themeTint="D9"/>
            </w:tcBorders>
            <w:shd w:val="clear" w:color="auto" w:fill="A6A6A6" w:themeFill="background1" w:themeFillShade="A6"/>
            <w:vAlign w:val="bottom"/>
          </w:tcPr>
          <w:p w14:paraId="740EF80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nil"/>
              <w:left w:val="single" w:sz="8" w:space="0" w:color="262626" w:themeColor="text1" w:themeTint="D9"/>
              <w:bottom w:val="single" w:sz="8" w:space="0" w:color="262626" w:themeColor="text1" w:themeTint="D9"/>
              <w:right w:val="single" w:sz="8" w:space="0" w:color="262626" w:themeColor="text1" w:themeTint="D9"/>
            </w:tcBorders>
            <w:shd w:val="clear" w:color="auto" w:fill="A6A6A6" w:themeFill="background1" w:themeFillShade="A6"/>
            <w:vAlign w:val="bottom"/>
          </w:tcPr>
          <w:p w14:paraId="7D4E5AD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789" w:type="dxa"/>
            <w:tcBorders>
              <w:top w:val="nil"/>
              <w:left w:val="single" w:sz="8" w:space="0" w:color="262626" w:themeColor="text1" w:themeTint="D9"/>
              <w:bottom w:val="single" w:sz="8" w:space="0" w:color="262626" w:themeColor="text1" w:themeTint="D9"/>
              <w:right w:val="single" w:sz="8" w:space="0" w:color="auto"/>
            </w:tcBorders>
            <w:shd w:val="clear" w:color="auto" w:fill="A6A6A6" w:themeFill="background1" w:themeFillShade="A6"/>
            <w:vAlign w:val="bottom"/>
          </w:tcPr>
          <w:p w14:paraId="41FFE7C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679633DF"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4E59A77D" w14:textId="77777777" w:rsidR="008314E1" w:rsidRDefault="008314E1" w:rsidP="0027650F">
            <w:pPr>
              <w:spacing w:after="0"/>
              <w:rPr>
                <w:rFonts w:ascii="Calibri" w:eastAsia="Calibri" w:hAnsi="Calibri" w:cs="Calibri"/>
                <w:color w:val="000000" w:themeColor="text1"/>
                <w:sz w:val="16"/>
                <w:szCs w:val="16"/>
              </w:rPr>
            </w:pPr>
            <w:r w:rsidRPr="3224E6AA">
              <w:rPr>
                <w:rFonts w:ascii="Calibri" w:eastAsia="Calibri" w:hAnsi="Calibri" w:cs="Calibri"/>
                <w:color w:val="000000" w:themeColor="text1"/>
                <w:sz w:val="20"/>
                <w:szCs w:val="20"/>
              </w:rPr>
              <w:t xml:space="preserve">Blood samples for </w:t>
            </w:r>
            <w:r w:rsidRPr="3224E6AA">
              <w:rPr>
                <w:rFonts w:ascii="Calibri" w:eastAsia="Calibri" w:hAnsi="Calibri" w:cs="Calibri"/>
                <w:b/>
                <w:bCs/>
                <w:color w:val="000000" w:themeColor="text1"/>
                <w:sz w:val="20"/>
                <w:szCs w:val="20"/>
              </w:rPr>
              <w:t>local analysis</w:t>
            </w:r>
            <w:r w:rsidRPr="3224E6AA">
              <w:rPr>
                <w:rFonts w:ascii="Calibri" w:eastAsia="Calibri" w:hAnsi="Calibri" w:cs="Calibri"/>
                <w:color w:val="000000" w:themeColor="text1"/>
                <w:sz w:val="20"/>
                <w:szCs w:val="20"/>
              </w:rPr>
              <w:t>: FBC, U&amp;E, CrCl, LFTs</w:t>
            </w:r>
            <w:r w:rsidRPr="3224E6AA">
              <w:rPr>
                <w:rFonts w:ascii="Calibri" w:eastAsia="Calibri" w:hAnsi="Calibri" w:cs="Calibri"/>
                <w:color w:val="000000" w:themeColor="text1"/>
                <w:sz w:val="16"/>
                <w:szCs w:val="16"/>
                <w:vertAlign w:val="superscript"/>
              </w:rPr>
              <w:t>12</w:t>
            </w:r>
            <w:r w:rsidRPr="3224E6AA">
              <w:rPr>
                <w:rFonts w:ascii="Calibri" w:eastAsia="Calibri" w:hAnsi="Calibri" w:cs="Calibri"/>
                <w:color w:val="000000" w:themeColor="text1"/>
                <w:sz w:val="16"/>
                <w:szCs w:val="16"/>
              </w:rPr>
              <w:t xml:space="preserve"> </w:t>
            </w:r>
          </w:p>
        </w:tc>
        <w:tc>
          <w:tcPr>
            <w:tcW w:w="1226" w:type="dxa"/>
            <w:tcBorders>
              <w:top w:val="single" w:sz="8" w:space="0" w:color="262626" w:themeColor="text1" w:themeTint="D9"/>
              <w:left w:val="single" w:sz="12" w:space="0" w:color="auto"/>
              <w:bottom w:val="single" w:sz="8" w:space="0" w:color="auto"/>
              <w:right w:val="single" w:sz="12" w:space="0" w:color="262626" w:themeColor="text1" w:themeTint="D9"/>
            </w:tcBorders>
            <w:shd w:val="clear" w:color="auto" w:fill="A6A6A6" w:themeFill="background1" w:themeFillShade="A6"/>
            <w:vAlign w:val="center"/>
          </w:tcPr>
          <w:p w14:paraId="607B4A2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single" w:sz="8" w:space="0" w:color="262626" w:themeColor="text1" w:themeTint="D9"/>
              <w:left w:val="single" w:sz="12" w:space="0" w:color="262626" w:themeColor="text1" w:themeTint="D9"/>
              <w:bottom w:val="single" w:sz="8" w:space="0" w:color="auto"/>
              <w:right w:val="single" w:sz="12" w:space="0" w:color="262626" w:themeColor="text1" w:themeTint="D9"/>
            </w:tcBorders>
            <w:shd w:val="clear" w:color="auto" w:fill="A6A6A6" w:themeFill="background1" w:themeFillShade="A6"/>
          </w:tcPr>
          <w:p w14:paraId="74D817D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262626" w:themeColor="text1" w:themeTint="D9"/>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2117D8B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613" w:type="dxa"/>
            <w:tcBorders>
              <w:top w:val="single" w:sz="8" w:space="0" w:color="262626" w:themeColor="text1" w:themeTint="D9"/>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2AE0D7B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613" w:type="dxa"/>
            <w:tcBorders>
              <w:top w:val="single" w:sz="8" w:space="0" w:color="262626" w:themeColor="text1" w:themeTint="D9"/>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0EBF6F8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696" w:type="dxa"/>
            <w:tcBorders>
              <w:top w:val="single" w:sz="8" w:space="0" w:color="262626" w:themeColor="text1" w:themeTint="D9"/>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612659C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789" w:type="dxa"/>
            <w:tcBorders>
              <w:top w:val="single" w:sz="8" w:space="0" w:color="262626" w:themeColor="text1" w:themeTint="D9"/>
              <w:left w:val="single" w:sz="8" w:space="0" w:color="262626" w:themeColor="text1" w:themeTint="D9"/>
              <w:bottom w:val="single" w:sz="8" w:space="0" w:color="auto"/>
              <w:right w:val="single" w:sz="8" w:space="0" w:color="auto"/>
            </w:tcBorders>
            <w:shd w:val="clear" w:color="auto" w:fill="FFFFFF" w:themeFill="background1"/>
            <w:vAlign w:val="bottom"/>
          </w:tcPr>
          <w:p w14:paraId="174FB31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r>
      <w:tr w:rsidR="008314E1" w14:paraId="11ACC55F"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0850ECE6"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Dispensing of rivaroxaban </w:t>
            </w:r>
          </w:p>
        </w:tc>
        <w:tc>
          <w:tcPr>
            <w:tcW w:w="1226" w:type="dxa"/>
            <w:tcBorders>
              <w:top w:val="single" w:sz="8" w:space="0" w:color="auto"/>
              <w:left w:val="single" w:sz="12" w:space="0" w:color="auto"/>
              <w:bottom w:val="single" w:sz="8" w:space="0" w:color="auto"/>
              <w:right w:val="single" w:sz="12" w:space="0" w:color="262626" w:themeColor="text1" w:themeTint="D9"/>
            </w:tcBorders>
            <w:shd w:val="clear" w:color="auto" w:fill="FFFFFF" w:themeFill="background1"/>
            <w:vAlign w:val="bottom"/>
          </w:tcPr>
          <w:p w14:paraId="239CE2D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54B6F6D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0A27B048"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2FA27367"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0632079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485914A6"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BFBFBF" w:themeFill="background1" w:themeFillShade="BF"/>
            <w:vAlign w:val="bottom"/>
          </w:tcPr>
          <w:p w14:paraId="1C7A0F6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r>
      <w:tr w:rsidR="008314E1" w14:paraId="5E2B28F5" w14:textId="77777777" w:rsidTr="0027650F">
        <w:trPr>
          <w:trHeight w:val="270"/>
        </w:trPr>
        <w:tc>
          <w:tcPr>
            <w:tcW w:w="9015" w:type="dxa"/>
            <w:gridSpan w:val="8"/>
            <w:tcBorders>
              <w:top w:val="single" w:sz="8" w:space="0" w:color="auto"/>
              <w:left w:val="single" w:sz="8" w:space="0" w:color="262626" w:themeColor="text1" w:themeTint="D9"/>
              <w:bottom w:val="single" w:sz="8" w:space="0" w:color="auto"/>
              <w:right w:val="single" w:sz="8" w:space="0" w:color="auto"/>
            </w:tcBorders>
            <w:shd w:val="clear" w:color="auto" w:fill="C1E4F5" w:themeFill="accent1" w:themeFillTint="33"/>
          </w:tcPr>
          <w:p w14:paraId="2C1C8BC7" w14:textId="77777777" w:rsidR="008314E1" w:rsidRDefault="008314E1" w:rsidP="0027650F">
            <w:pPr>
              <w:spacing w:after="0"/>
              <w:jc w:val="center"/>
              <w:rPr>
                <w:rFonts w:ascii="Calibri" w:eastAsia="Calibri" w:hAnsi="Calibri" w:cs="Calibri"/>
                <w:color w:val="000000" w:themeColor="text1"/>
              </w:rPr>
            </w:pPr>
            <w:r w:rsidRPr="3224E6AA">
              <w:rPr>
                <w:rFonts w:ascii="Calibri" w:eastAsia="Calibri" w:hAnsi="Calibri" w:cs="Calibri"/>
                <w:b/>
                <w:bCs/>
                <w:color w:val="000000" w:themeColor="text1"/>
              </w:rPr>
              <w:t>WARFARIN PARTICIPANTS ONLY</w:t>
            </w:r>
            <w:r w:rsidRPr="3224E6AA">
              <w:rPr>
                <w:rFonts w:ascii="Calibri" w:eastAsia="Calibri" w:hAnsi="Calibri" w:cs="Calibri"/>
                <w:color w:val="000000" w:themeColor="text1"/>
              </w:rPr>
              <w:t xml:space="preserve"> </w:t>
            </w:r>
          </w:p>
        </w:tc>
      </w:tr>
      <w:tr w:rsidR="008314E1" w14:paraId="378DF73C"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38CF2CC6" w14:textId="77777777" w:rsidR="008314E1" w:rsidRDefault="008314E1" w:rsidP="0027650F">
            <w:pPr>
              <w:spacing w:after="0"/>
              <w:rPr>
                <w:rFonts w:ascii="Calibri" w:eastAsia="Calibri" w:hAnsi="Calibri" w:cs="Calibri"/>
                <w:color w:val="000000" w:themeColor="text1"/>
                <w:sz w:val="20"/>
                <w:szCs w:val="20"/>
              </w:rPr>
            </w:pPr>
            <w:r w:rsidRPr="3224E6AA">
              <w:rPr>
                <w:rFonts w:ascii="Calibri" w:eastAsia="Calibri" w:hAnsi="Calibri" w:cs="Calibri"/>
                <w:color w:val="000000" w:themeColor="text1"/>
                <w:sz w:val="20"/>
                <w:szCs w:val="20"/>
              </w:rPr>
              <w:t xml:space="preserve">Blood samples for </w:t>
            </w:r>
            <w:r w:rsidRPr="3224E6AA">
              <w:rPr>
                <w:rFonts w:ascii="Calibri" w:eastAsia="Calibri" w:hAnsi="Calibri" w:cs="Calibri"/>
                <w:b/>
                <w:bCs/>
                <w:color w:val="000000" w:themeColor="text1"/>
                <w:sz w:val="20"/>
                <w:szCs w:val="20"/>
              </w:rPr>
              <w:t>local analysis</w:t>
            </w:r>
            <w:r w:rsidRPr="3224E6AA">
              <w:rPr>
                <w:rFonts w:ascii="Calibri" w:eastAsia="Calibri" w:hAnsi="Calibri" w:cs="Calibri"/>
                <w:color w:val="000000" w:themeColor="text1"/>
                <w:sz w:val="20"/>
                <w:szCs w:val="20"/>
              </w:rPr>
              <w:t xml:space="preserve">: FBC, U&amp;E, CrCl, LFTs &amp; INR </w:t>
            </w:r>
          </w:p>
        </w:tc>
        <w:tc>
          <w:tcPr>
            <w:tcW w:w="1226" w:type="dxa"/>
            <w:tcBorders>
              <w:top w:val="nil"/>
              <w:left w:val="single" w:sz="12" w:space="0" w:color="auto"/>
              <w:bottom w:val="single" w:sz="8" w:space="0" w:color="auto"/>
              <w:right w:val="single" w:sz="12" w:space="0" w:color="262626" w:themeColor="text1" w:themeTint="D9"/>
            </w:tcBorders>
            <w:shd w:val="clear" w:color="auto" w:fill="BFBFBF" w:themeFill="background1" w:themeFillShade="BF"/>
            <w:vAlign w:val="center"/>
          </w:tcPr>
          <w:p w14:paraId="7EF585BD"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96" w:type="dxa"/>
            <w:tcBorders>
              <w:top w:val="nil"/>
              <w:left w:val="single" w:sz="12" w:space="0" w:color="262626" w:themeColor="text1" w:themeTint="D9"/>
              <w:bottom w:val="single" w:sz="8" w:space="0" w:color="auto"/>
              <w:right w:val="single" w:sz="12" w:space="0" w:color="262626" w:themeColor="text1" w:themeTint="D9"/>
            </w:tcBorders>
            <w:shd w:val="clear" w:color="auto" w:fill="BFBFBF" w:themeFill="background1" w:themeFillShade="BF"/>
          </w:tcPr>
          <w:p w14:paraId="2C188D6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nil"/>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44F4CDD4"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613" w:type="dxa"/>
            <w:tcBorders>
              <w:top w:val="nil"/>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7E892710"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613" w:type="dxa"/>
            <w:tcBorders>
              <w:top w:val="nil"/>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6EAC83FA"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696" w:type="dxa"/>
            <w:tcBorders>
              <w:top w:val="nil"/>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6B4FEEB3"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c>
          <w:tcPr>
            <w:tcW w:w="789" w:type="dxa"/>
            <w:tcBorders>
              <w:top w:val="nil"/>
              <w:left w:val="single" w:sz="8" w:space="0" w:color="262626" w:themeColor="text1" w:themeTint="D9"/>
              <w:bottom w:val="single" w:sz="8" w:space="0" w:color="auto"/>
              <w:right w:val="single" w:sz="8" w:space="0" w:color="auto"/>
            </w:tcBorders>
            <w:shd w:val="clear" w:color="auto" w:fill="FFFFFF" w:themeFill="background1"/>
            <w:vAlign w:val="bottom"/>
          </w:tcPr>
          <w:p w14:paraId="748543FB"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lang w:val="en-US"/>
              </w:rPr>
              <w:t>X</w:t>
            </w:r>
            <w:r w:rsidRPr="3224E6AA">
              <w:rPr>
                <w:rFonts w:ascii="Calibri" w:eastAsia="Calibri" w:hAnsi="Calibri" w:cs="Calibri"/>
                <w:color w:val="000000" w:themeColor="text1"/>
              </w:rPr>
              <w:t xml:space="preserve"> </w:t>
            </w:r>
          </w:p>
        </w:tc>
      </w:tr>
      <w:tr w:rsidR="008314E1" w14:paraId="5807B0E1" w14:textId="77777777" w:rsidTr="0027650F">
        <w:trPr>
          <w:trHeight w:val="270"/>
        </w:trPr>
        <w:tc>
          <w:tcPr>
            <w:tcW w:w="3769" w:type="dxa"/>
            <w:tcBorders>
              <w:top w:val="single" w:sz="8" w:space="0" w:color="auto"/>
              <w:left w:val="single" w:sz="8" w:space="0" w:color="262626" w:themeColor="text1" w:themeTint="D9"/>
              <w:bottom w:val="single" w:sz="8" w:space="0" w:color="auto"/>
              <w:right w:val="single" w:sz="12" w:space="0" w:color="auto"/>
            </w:tcBorders>
            <w:shd w:val="clear" w:color="auto" w:fill="FFFFFF" w:themeFill="background1"/>
            <w:vAlign w:val="center"/>
          </w:tcPr>
          <w:p w14:paraId="5C5286CC" w14:textId="77777777" w:rsidR="008314E1" w:rsidRDefault="008314E1" w:rsidP="0027650F">
            <w:pPr>
              <w:spacing w:after="0"/>
              <w:rPr>
                <w:rFonts w:ascii="Calibri" w:eastAsia="Calibri" w:hAnsi="Calibri" w:cs="Calibri"/>
                <w:color w:val="000000" w:themeColor="text1"/>
                <w:sz w:val="16"/>
                <w:szCs w:val="16"/>
              </w:rPr>
            </w:pPr>
            <w:r w:rsidRPr="3224E6AA">
              <w:rPr>
                <w:rFonts w:ascii="Calibri" w:eastAsia="Calibri" w:hAnsi="Calibri" w:cs="Calibri"/>
                <w:color w:val="000000" w:themeColor="text1"/>
                <w:sz w:val="20"/>
                <w:szCs w:val="20"/>
              </w:rPr>
              <w:t xml:space="preserve">Documentation of INRs since enrolment/last visit </w:t>
            </w:r>
            <w:r w:rsidRPr="3224E6AA">
              <w:rPr>
                <w:rFonts w:ascii="Calibri" w:eastAsia="Calibri" w:hAnsi="Calibri" w:cs="Calibri"/>
                <w:color w:val="000000" w:themeColor="text1"/>
                <w:sz w:val="16"/>
                <w:szCs w:val="16"/>
                <w:vertAlign w:val="superscript"/>
              </w:rPr>
              <w:t>13</w:t>
            </w:r>
            <w:r w:rsidRPr="3224E6AA">
              <w:rPr>
                <w:rFonts w:ascii="Calibri" w:eastAsia="Calibri" w:hAnsi="Calibri" w:cs="Calibri"/>
                <w:color w:val="000000" w:themeColor="text1"/>
                <w:sz w:val="16"/>
                <w:szCs w:val="16"/>
              </w:rPr>
              <w:t xml:space="preserve"> </w:t>
            </w:r>
          </w:p>
        </w:tc>
        <w:tc>
          <w:tcPr>
            <w:tcW w:w="1226" w:type="dxa"/>
            <w:tcBorders>
              <w:top w:val="single" w:sz="8" w:space="0" w:color="auto"/>
              <w:left w:val="single" w:sz="12" w:space="0" w:color="auto"/>
              <w:bottom w:val="single" w:sz="8" w:space="0" w:color="auto"/>
              <w:right w:val="single" w:sz="12" w:space="0" w:color="262626" w:themeColor="text1" w:themeTint="D9"/>
            </w:tcBorders>
            <w:vAlign w:val="bottom"/>
          </w:tcPr>
          <w:p w14:paraId="650A1D51" w14:textId="77777777" w:rsidR="008314E1" w:rsidRDefault="008314E1" w:rsidP="0027650F">
            <w:pPr>
              <w:spacing w:after="0"/>
              <w:rPr>
                <w:rFonts w:ascii="Calibri" w:eastAsia="Calibri" w:hAnsi="Calibri" w:cs="Calibri"/>
              </w:rPr>
            </w:pPr>
            <w:r w:rsidRPr="3224E6AA">
              <w:rPr>
                <w:rFonts w:ascii="Calibri" w:eastAsia="Calibri" w:hAnsi="Calibri" w:cs="Calibri"/>
              </w:rPr>
              <w:t xml:space="preserve">X </w:t>
            </w:r>
          </w:p>
        </w:tc>
        <w:tc>
          <w:tcPr>
            <w:tcW w:w="696" w:type="dxa"/>
            <w:tcBorders>
              <w:top w:val="single" w:sz="8" w:space="0" w:color="auto"/>
              <w:left w:val="single" w:sz="12" w:space="0" w:color="262626" w:themeColor="text1" w:themeTint="D9"/>
              <w:bottom w:val="single" w:sz="8" w:space="0" w:color="auto"/>
              <w:right w:val="single" w:sz="12" w:space="0" w:color="262626" w:themeColor="text1" w:themeTint="D9"/>
            </w:tcBorders>
            <w:shd w:val="clear" w:color="auto" w:fill="A6A6A6" w:themeFill="background1" w:themeFillShade="A6"/>
          </w:tcPr>
          <w:p w14:paraId="5013AB21"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 xml:space="preserve"> </w:t>
            </w:r>
          </w:p>
        </w:tc>
        <w:tc>
          <w:tcPr>
            <w:tcW w:w="613" w:type="dxa"/>
            <w:tcBorders>
              <w:top w:val="single" w:sz="8" w:space="0" w:color="auto"/>
              <w:left w:val="single" w:sz="12" w:space="0" w:color="262626" w:themeColor="text1" w:themeTint="D9"/>
              <w:bottom w:val="single" w:sz="8" w:space="0" w:color="auto"/>
              <w:right w:val="single" w:sz="8" w:space="0" w:color="262626" w:themeColor="text1" w:themeTint="D9"/>
            </w:tcBorders>
            <w:shd w:val="clear" w:color="auto" w:fill="FFFFFF" w:themeFill="background1"/>
            <w:vAlign w:val="bottom"/>
          </w:tcPr>
          <w:p w14:paraId="1D98F0C0"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0F58AE79"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13"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582A1EB0"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696" w:type="dxa"/>
            <w:tcBorders>
              <w:top w:val="single" w:sz="8" w:space="0" w:color="auto"/>
              <w:left w:val="single" w:sz="8" w:space="0" w:color="262626" w:themeColor="text1" w:themeTint="D9"/>
              <w:bottom w:val="single" w:sz="8" w:space="0" w:color="auto"/>
              <w:right w:val="single" w:sz="8" w:space="0" w:color="262626" w:themeColor="text1" w:themeTint="D9"/>
            </w:tcBorders>
            <w:shd w:val="clear" w:color="auto" w:fill="FFFFFF" w:themeFill="background1"/>
            <w:vAlign w:val="bottom"/>
          </w:tcPr>
          <w:p w14:paraId="62E831C2"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aps/>
                <w:color w:val="000000" w:themeColor="text1"/>
              </w:rPr>
              <w:t>X</w:t>
            </w:r>
            <w:r w:rsidRPr="3224E6AA">
              <w:rPr>
                <w:rFonts w:ascii="Calibri" w:eastAsia="Calibri" w:hAnsi="Calibri" w:cs="Calibri"/>
                <w:color w:val="000000" w:themeColor="text1"/>
              </w:rPr>
              <w:t xml:space="preserve"> </w:t>
            </w:r>
          </w:p>
        </w:tc>
        <w:tc>
          <w:tcPr>
            <w:tcW w:w="789" w:type="dxa"/>
            <w:tcBorders>
              <w:top w:val="single" w:sz="8" w:space="0" w:color="auto"/>
              <w:left w:val="single" w:sz="8" w:space="0" w:color="262626" w:themeColor="text1" w:themeTint="D9"/>
              <w:bottom w:val="single" w:sz="8" w:space="0" w:color="auto"/>
              <w:right w:val="single" w:sz="8" w:space="0" w:color="auto"/>
            </w:tcBorders>
            <w:shd w:val="clear" w:color="auto" w:fill="FFFFFF" w:themeFill="background1"/>
            <w:vAlign w:val="bottom"/>
          </w:tcPr>
          <w:p w14:paraId="00C9C7EE" w14:textId="77777777" w:rsidR="008314E1" w:rsidRDefault="008314E1" w:rsidP="0027650F">
            <w:pPr>
              <w:spacing w:after="0"/>
              <w:rPr>
                <w:rFonts w:ascii="Calibri" w:eastAsia="Calibri" w:hAnsi="Calibri" w:cs="Calibri"/>
                <w:color w:val="000000" w:themeColor="text1"/>
              </w:rPr>
            </w:pPr>
            <w:r w:rsidRPr="3224E6AA">
              <w:rPr>
                <w:rFonts w:ascii="Calibri" w:eastAsia="Calibri" w:hAnsi="Calibri" w:cs="Calibri"/>
                <w:color w:val="000000" w:themeColor="text1"/>
              </w:rPr>
              <w:t>X</w:t>
            </w:r>
          </w:p>
        </w:tc>
      </w:tr>
    </w:tbl>
    <w:p w14:paraId="3A198327" w14:textId="77777777" w:rsidR="008314E1" w:rsidRPr="00645CFE" w:rsidRDefault="008314E1" w:rsidP="008314E1">
      <w:pPr>
        <w:tabs>
          <w:tab w:val="left" w:pos="880"/>
          <w:tab w:val="left" w:pos="1320"/>
          <w:tab w:val="right" w:leader="dot" w:pos="9016"/>
        </w:tabs>
        <w:autoSpaceDE w:val="0"/>
        <w:autoSpaceDN w:val="0"/>
        <w:adjustRightInd w:val="0"/>
        <w:jc w:val="both"/>
        <w:rPr>
          <w:rFonts w:ascii="Calibri" w:eastAsia="Calibri" w:hAnsi="Calibri" w:cs="Calibri"/>
          <w:b/>
          <w:u w:val="single"/>
        </w:rPr>
      </w:pPr>
      <w:r w:rsidRPr="00645CFE">
        <w:rPr>
          <w:rFonts w:ascii="Calibri" w:eastAsia="Calibri" w:hAnsi="Calibri" w:cs="Calibri"/>
          <w:b/>
          <w:u w:val="single"/>
        </w:rPr>
        <w:t xml:space="preserve">Footnotes: </w:t>
      </w:r>
    </w:p>
    <w:p w14:paraId="7FC9452F" w14:textId="77777777" w:rsidR="008314E1" w:rsidRPr="00645CFE" w:rsidRDefault="008314E1" w:rsidP="008314E1">
      <w:pPr>
        <w:numPr>
          <w:ilvl w:val="0"/>
          <w:numId w:val="3"/>
        </w:numPr>
        <w:spacing w:after="0" w:line="276" w:lineRule="auto"/>
        <w:ind w:left="-142"/>
        <w:contextualSpacing/>
        <w:jc w:val="both"/>
        <w:rPr>
          <w:rFonts w:ascii="Calibri" w:eastAsia="Calibri" w:hAnsi="Calibri" w:cs="Calibri"/>
          <w:sz w:val="20"/>
          <w:szCs w:val="20"/>
        </w:rPr>
      </w:pPr>
      <w:r w:rsidRPr="00645CFE">
        <w:rPr>
          <w:rFonts w:ascii="Calibri" w:eastAsia="Calibri" w:hAnsi="Calibri" w:cs="Calibri"/>
          <w:sz w:val="20"/>
          <w:szCs w:val="20"/>
        </w:rPr>
        <w:t>All screening procedures must be carried out within 30 days prior to randomisation</w:t>
      </w:r>
    </w:p>
    <w:p w14:paraId="677009FE" w14:textId="77777777" w:rsidR="008314E1" w:rsidRPr="00645CFE" w:rsidRDefault="008314E1" w:rsidP="008314E1">
      <w:pPr>
        <w:numPr>
          <w:ilvl w:val="0"/>
          <w:numId w:val="3"/>
        </w:numPr>
        <w:spacing w:after="0" w:line="276" w:lineRule="auto"/>
        <w:ind w:left="-142"/>
        <w:contextualSpacing/>
        <w:jc w:val="both"/>
        <w:rPr>
          <w:rFonts w:ascii="Calibri" w:eastAsia="Calibri" w:hAnsi="Calibri" w:cs="Calibri"/>
          <w:sz w:val="20"/>
          <w:szCs w:val="20"/>
        </w:rPr>
      </w:pPr>
      <w:r w:rsidRPr="00645CFE">
        <w:rPr>
          <w:rFonts w:ascii="Calibri" w:eastAsia="Calibri" w:hAnsi="Calibri" w:cs="Calibri"/>
          <w:sz w:val="20"/>
          <w:szCs w:val="20"/>
        </w:rPr>
        <w:t xml:space="preserve">Documentation of past thrombosis history; minor, clinically relevant non-major and major bleeding events. </w:t>
      </w:r>
    </w:p>
    <w:p w14:paraId="503C4118" w14:textId="77777777" w:rsidR="008314E1" w:rsidRPr="00645CFE" w:rsidRDefault="008314E1" w:rsidP="008314E1">
      <w:pPr>
        <w:numPr>
          <w:ilvl w:val="0"/>
          <w:numId w:val="3"/>
        </w:numPr>
        <w:spacing w:after="0" w:line="276" w:lineRule="auto"/>
        <w:ind w:left="-142"/>
        <w:contextualSpacing/>
        <w:jc w:val="both"/>
        <w:rPr>
          <w:rFonts w:ascii="Calibri" w:eastAsia="Calibri" w:hAnsi="Calibri" w:cs="Calibri"/>
          <w:sz w:val="20"/>
          <w:szCs w:val="20"/>
        </w:rPr>
      </w:pPr>
      <w:r w:rsidRPr="00645CFE">
        <w:rPr>
          <w:rFonts w:ascii="Calibri" w:eastAsia="Calibri" w:hAnsi="Calibri" w:cs="Calibri"/>
          <w:sz w:val="20"/>
          <w:szCs w:val="20"/>
        </w:rPr>
        <w:t xml:space="preserve">Results of anti-DNA should be within 3 months of the screening visit. </w:t>
      </w:r>
    </w:p>
    <w:p w14:paraId="329A1E2C" w14:textId="77777777" w:rsidR="008314E1" w:rsidRPr="00645CFE" w:rsidRDefault="008314E1" w:rsidP="008314E1">
      <w:pPr>
        <w:numPr>
          <w:ilvl w:val="0"/>
          <w:numId w:val="3"/>
        </w:numPr>
        <w:spacing w:after="0" w:line="276" w:lineRule="auto"/>
        <w:ind w:left="-142"/>
        <w:contextualSpacing/>
        <w:jc w:val="both"/>
        <w:rPr>
          <w:rFonts w:ascii="Calibri" w:hAnsi="Calibri" w:cs="Calibri"/>
        </w:rPr>
      </w:pPr>
      <w:r w:rsidRPr="00645CFE">
        <w:rPr>
          <w:rFonts w:ascii="Calibri" w:eastAsia="Calibri" w:hAnsi="Calibri" w:cs="Calibri"/>
          <w:sz w:val="20"/>
          <w:szCs w:val="20"/>
        </w:rPr>
        <w:t xml:space="preserve">Results of aPL tests establishing a diagnosis of thrombotic APS, with the dates of when tests were done. </w:t>
      </w:r>
    </w:p>
    <w:p w14:paraId="5D843967" w14:textId="77777777" w:rsidR="008314E1" w:rsidRPr="00645CFE" w:rsidRDefault="008314E1" w:rsidP="008314E1">
      <w:pPr>
        <w:numPr>
          <w:ilvl w:val="0"/>
          <w:numId w:val="3"/>
        </w:numPr>
        <w:spacing w:after="0" w:line="276" w:lineRule="auto"/>
        <w:ind w:left="-142"/>
        <w:contextualSpacing/>
        <w:jc w:val="both"/>
        <w:rPr>
          <w:rFonts w:ascii="Calibri" w:hAnsi="Calibri" w:cs="Calibri"/>
        </w:rPr>
      </w:pPr>
      <w:r w:rsidRPr="00645CFE">
        <w:rPr>
          <w:rFonts w:ascii="Calibri" w:eastAsia="Calibri" w:hAnsi="Calibri" w:cs="Calibri"/>
          <w:sz w:val="20"/>
          <w:szCs w:val="20"/>
        </w:rPr>
        <w:t xml:space="preserve">Baseline MRI scans to be booked </w:t>
      </w:r>
      <w:r w:rsidRPr="00645CFE">
        <w:rPr>
          <w:rFonts w:ascii="Calibri" w:hAnsi="Calibri" w:cs="Calibri"/>
          <w:sz w:val="20"/>
          <w:szCs w:val="20"/>
        </w:rPr>
        <w:t>after consent. MRI to be performed as soon as possible after randomisation, in time for participant to start the IMP following randomisation, and within 2 weeks after the baseline MRI scan.</w:t>
      </w:r>
    </w:p>
    <w:p w14:paraId="349AFFD5" w14:textId="77777777" w:rsidR="008314E1" w:rsidRPr="00645CFE" w:rsidRDefault="008314E1" w:rsidP="008314E1">
      <w:pPr>
        <w:numPr>
          <w:ilvl w:val="0"/>
          <w:numId w:val="3"/>
        </w:numPr>
        <w:spacing w:after="0" w:line="276" w:lineRule="auto"/>
        <w:ind w:left="-142"/>
        <w:contextualSpacing/>
        <w:jc w:val="both"/>
        <w:rPr>
          <w:rFonts w:ascii="Calibri" w:hAnsi="Calibri" w:cs="Calibri"/>
          <w:sz w:val="20"/>
          <w:szCs w:val="20"/>
        </w:rPr>
      </w:pPr>
      <w:r w:rsidRPr="00645CFE">
        <w:rPr>
          <w:rFonts w:ascii="Calibri" w:hAnsi="Calibri" w:cs="Calibri"/>
          <w:sz w:val="20"/>
          <w:szCs w:val="20"/>
        </w:rPr>
        <w:t xml:space="preserve">Blood results should be within one month prior to consent date. Perform PT/ INR/ your local coagulation test(s) for patients not yet on anticoagulation. </w:t>
      </w:r>
    </w:p>
    <w:p w14:paraId="395558EF" w14:textId="77777777" w:rsidR="008314E1" w:rsidRPr="00645CFE" w:rsidRDefault="008314E1" w:rsidP="008314E1">
      <w:pPr>
        <w:numPr>
          <w:ilvl w:val="0"/>
          <w:numId w:val="3"/>
        </w:numPr>
        <w:spacing w:after="0" w:line="276" w:lineRule="auto"/>
        <w:ind w:left="-142"/>
        <w:contextualSpacing/>
        <w:jc w:val="both"/>
        <w:rPr>
          <w:rFonts w:ascii="Calibri" w:eastAsia="Calibri" w:hAnsi="Calibri" w:cs="Calibri"/>
          <w:sz w:val="20"/>
          <w:szCs w:val="20"/>
        </w:rPr>
      </w:pPr>
      <w:r w:rsidRPr="00645CFE">
        <w:rPr>
          <w:rFonts w:ascii="Calibri" w:eastAsia="Calibri" w:hAnsi="Calibri" w:cs="Calibri"/>
          <w:sz w:val="20"/>
          <w:szCs w:val="20"/>
        </w:rPr>
        <w:t xml:space="preserve">Samples will be sent to the UCL Haemostasis Research Unit for centralised analysis. Please see the RISAPS Laboratory Management Plan for more information. </w:t>
      </w:r>
    </w:p>
    <w:p w14:paraId="1A419867" w14:textId="77777777" w:rsidR="008314E1" w:rsidRPr="00645CFE" w:rsidRDefault="008314E1" w:rsidP="008314E1">
      <w:pPr>
        <w:numPr>
          <w:ilvl w:val="0"/>
          <w:numId w:val="3"/>
        </w:numPr>
        <w:spacing w:after="0" w:line="276" w:lineRule="auto"/>
        <w:ind w:left="-142"/>
        <w:contextualSpacing/>
        <w:jc w:val="both"/>
        <w:rPr>
          <w:rFonts w:ascii="Calibri" w:eastAsia="Calibri" w:hAnsi="Calibri" w:cs="Calibri"/>
          <w:sz w:val="20"/>
          <w:szCs w:val="20"/>
        </w:rPr>
      </w:pPr>
      <w:r w:rsidRPr="00645CFE">
        <w:rPr>
          <w:rFonts w:ascii="Calibri" w:eastAsia="Calibri" w:hAnsi="Calibri" w:cs="Calibri"/>
          <w:sz w:val="20"/>
          <w:szCs w:val="20"/>
        </w:rPr>
        <w:t xml:space="preserve">Females of childbearing potential only. </w:t>
      </w:r>
    </w:p>
    <w:p w14:paraId="61805725" w14:textId="77777777" w:rsidR="008314E1" w:rsidRPr="00645CFE" w:rsidRDefault="008314E1" w:rsidP="008314E1">
      <w:pPr>
        <w:numPr>
          <w:ilvl w:val="0"/>
          <w:numId w:val="3"/>
        </w:numPr>
        <w:spacing w:after="0" w:line="276" w:lineRule="auto"/>
        <w:ind w:left="-142"/>
        <w:contextualSpacing/>
        <w:jc w:val="both"/>
        <w:rPr>
          <w:rFonts w:ascii="Calibri" w:eastAsia="Calibri" w:hAnsi="Calibri" w:cs="Calibri"/>
          <w:sz w:val="20"/>
          <w:szCs w:val="20"/>
        </w:rPr>
      </w:pPr>
      <w:r w:rsidRPr="00645CFE">
        <w:rPr>
          <w:rFonts w:ascii="Calibri" w:eastAsia="Calibri" w:hAnsi="Calibri" w:cs="Calibri"/>
          <w:sz w:val="20"/>
          <w:szCs w:val="20"/>
        </w:rPr>
        <w:t>All AEs should be reported from the time of randomisation until 30 days after the last follow-up (approximately 24 months post randomisation).</w:t>
      </w:r>
    </w:p>
    <w:p w14:paraId="139C1B55" w14:textId="77777777" w:rsidR="008314E1" w:rsidRPr="00645CFE" w:rsidRDefault="008314E1" w:rsidP="008314E1">
      <w:pPr>
        <w:numPr>
          <w:ilvl w:val="0"/>
          <w:numId w:val="3"/>
        </w:numPr>
        <w:spacing w:after="0" w:line="276" w:lineRule="auto"/>
        <w:ind w:left="-142"/>
        <w:contextualSpacing/>
        <w:jc w:val="both"/>
        <w:rPr>
          <w:rFonts w:ascii="Calibri" w:eastAsia="Calibri" w:hAnsi="Calibri" w:cs="Calibri"/>
          <w:sz w:val="20"/>
          <w:szCs w:val="20"/>
        </w:rPr>
      </w:pPr>
      <w:r w:rsidRPr="00645CFE">
        <w:rPr>
          <w:rFonts w:ascii="Calibri" w:eastAsia="Calibri" w:hAnsi="Calibri" w:cs="Calibri"/>
          <w:sz w:val="20"/>
          <w:szCs w:val="20"/>
        </w:rPr>
        <w:t>All SAEs should be reported from the time of consent until 30 days after last follow-up (approximately 24 months post randomisation).</w:t>
      </w:r>
    </w:p>
    <w:p w14:paraId="66D14D24" w14:textId="77777777" w:rsidR="008314E1" w:rsidRPr="00645CFE" w:rsidRDefault="008314E1" w:rsidP="008314E1">
      <w:pPr>
        <w:numPr>
          <w:ilvl w:val="0"/>
          <w:numId w:val="3"/>
        </w:numPr>
        <w:spacing w:after="0" w:line="276" w:lineRule="auto"/>
        <w:ind w:left="-142"/>
        <w:contextualSpacing/>
        <w:jc w:val="both"/>
        <w:rPr>
          <w:rFonts w:ascii="Calibri" w:eastAsia="Calibri" w:hAnsi="Calibri" w:cs="Calibri"/>
          <w:sz w:val="20"/>
          <w:szCs w:val="20"/>
        </w:rPr>
      </w:pPr>
      <w:r w:rsidRPr="00645CFE">
        <w:rPr>
          <w:rFonts w:ascii="Calibri" w:eastAsia="Calibri" w:hAnsi="Calibri" w:cs="Calibri"/>
          <w:sz w:val="20"/>
          <w:szCs w:val="20"/>
        </w:rPr>
        <w:t xml:space="preserve">PK Modelling venous blood samples at: a) trough (pre-dose) and b) peak (ideally 1 and 3 hours post-dose). Please refer to the Laboratory Management Plan for the type of blood samples required. 8.5mL to be collected per timepoint, and up to a total of 25.5mL if all 3 time points are collected. PK modelling studies are to be done at the Day 42 visit. In exceptional cases, if it is not possible to do the PK modelling studies on Day 42, these studies are permitted to be collected at a subsequent patient visit. </w:t>
      </w:r>
    </w:p>
    <w:p w14:paraId="06893FF0" w14:textId="77777777" w:rsidR="008314E1" w:rsidRPr="00645CFE" w:rsidRDefault="008314E1" w:rsidP="008314E1">
      <w:pPr>
        <w:spacing w:after="0" w:line="240" w:lineRule="auto"/>
        <w:rPr>
          <w:rFonts w:ascii="Calibri" w:hAnsi="Calibri" w:cs="Calibri"/>
          <w:b/>
          <w:bCs/>
        </w:rPr>
      </w:pPr>
      <w:r w:rsidRPr="00645CFE">
        <w:rPr>
          <w:rFonts w:ascii="Calibri" w:eastAsia="Calibri" w:hAnsi="Calibri" w:cs="Calibri"/>
          <w:sz w:val="20"/>
          <w:szCs w:val="20"/>
        </w:rPr>
        <w:t>Participants on rivaroxaban should attend for a 3 monthly (+/- 14 days) FBC blood test in addition to the standard trial follow-up visits as part of safety monitoring. In addition to trial follow-up visits, participants on warfarin should continue to attend their routine INR screening.</w:t>
      </w:r>
    </w:p>
    <w:p w14:paraId="5A669634" w14:textId="77777777" w:rsidR="008314E1" w:rsidRDefault="008314E1" w:rsidP="008314E1">
      <w:pPr>
        <w:spacing w:after="0" w:line="240" w:lineRule="auto"/>
      </w:pPr>
    </w:p>
    <w:p w14:paraId="2C9D35B0" w14:textId="77777777" w:rsidR="008314E1" w:rsidRDefault="008314E1" w:rsidP="008314E1">
      <w:pPr>
        <w:spacing w:after="0" w:line="240" w:lineRule="auto"/>
      </w:pPr>
    </w:p>
    <w:p w14:paraId="262170E3" w14:textId="77777777" w:rsidR="008314E1" w:rsidRDefault="008314E1" w:rsidP="008314E1">
      <w:pPr>
        <w:spacing w:after="0" w:line="240" w:lineRule="auto"/>
      </w:pPr>
    </w:p>
    <w:p w14:paraId="6BF48709" w14:textId="77777777" w:rsidR="008314E1" w:rsidRDefault="008314E1" w:rsidP="008314E1">
      <w:pPr>
        <w:spacing w:after="0" w:line="240" w:lineRule="auto"/>
      </w:pPr>
    </w:p>
    <w:p w14:paraId="1EED448E" w14:textId="77777777" w:rsidR="008314E1" w:rsidRPr="009E7CF3" w:rsidRDefault="008314E1" w:rsidP="008314E1">
      <w:pPr>
        <w:spacing w:after="0" w:line="240" w:lineRule="auto"/>
      </w:pPr>
    </w:p>
    <w:p w14:paraId="0F6BBECD" w14:textId="77777777" w:rsidR="008314E1" w:rsidRPr="009E7CF3" w:rsidRDefault="008314E1" w:rsidP="008314E1">
      <w:pPr>
        <w:pStyle w:val="ListParagraph"/>
        <w:numPr>
          <w:ilvl w:val="0"/>
          <w:numId w:val="5"/>
        </w:numPr>
        <w:rPr>
          <w:rFonts w:ascii="Calibri" w:eastAsia="Calibri" w:hAnsi="Calibri" w:cs="Calibri"/>
          <w:b/>
          <w:bCs/>
        </w:rPr>
      </w:pPr>
      <w:r w:rsidRPr="009E7CF3">
        <w:rPr>
          <w:rFonts w:ascii="Calibri" w:eastAsia="Calibri" w:hAnsi="Calibri" w:cs="Calibri"/>
          <w:b/>
          <w:bCs/>
        </w:rPr>
        <w:lastRenderedPageBreak/>
        <w:t>Processes to manage risk of bleeding</w:t>
      </w:r>
    </w:p>
    <w:p w14:paraId="33836F54" w14:textId="77777777" w:rsidR="008314E1" w:rsidRPr="004A5F5A" w:rsidRDefault="008314E1" w:rsidP="008314E1">
      <w:pPr>
        <w:spacing w:after="0" w:line="240" w:lineRule="auto"/>
        <w:rPr>
          <w:rFonts w:ascii="Calibri" w:eastAsia="Calibri" w:hAnsi="Calibri" w:cs="Calibri"/>
          <w:b/>
          <w:bCs/>
        </w:rPr>
      </w:pPr>
    </w:p>
    <w:p w14:paraId="5452AD7A" w14:textId="77777777" w:rsidR="008314E1" w:rsidRPr="004A5F5A" w:rsidRDefault="008314E1" w:rsidP="008314E1">
      <w:pPr>
        <w:spacing w:after="0" w:line="240" w:lineRule="auto"/>
        <w:rPr>
          <w:rFonts w:ascii="Calibri" w:eastAsia="Calibri" w:hAnsi="Calibri" w:cs="Calibri"/>
        </w:rPr>
      </w:pPr>
      <w:r w:rsidRPr="461C3626">
        <w:rPr>
          <w:rFonts w:ascii="Calibri" w:eastAsia="Calibri" w:hAnsi="Calibri" w:cs="Calibri"/>
        </w:rPr>
        <w:t xml:space="preserve">To manage the risk of bleeding, the following processes </w:t>
      </w:r>
      <w:r>
        <w:rPr>
          <w:rFonts w:ascii="Calibri" w:eastAsia="Calibri" w:hAnsi="Calibri" w:cs="Calibri"/>
        </w:rPr>
        <w:t>are</w:t>
      </w:r>
      <w:r w:rsidRPr="461C3626">
        <w:rPr>
          <w:rFonts w:ascii="Calibri" w:eastAsia="Calibri" w:hAnsi="Calibri" w:cs="Calibri"/>
        </w:rPr>
        <w:t xml:space="preserve"> followed for all participants enrolled in RISAPS:</w:t>
      </w:r>
    </w:p>
    <w:p w14:paraId="02D5F17F" w14:textId="77777777" w:rsidR="008314E1" w:rsidRPr="004A5F5A" w:rsidRDefault="008314E1" w:rsidP="008314E1">
      <w:pPr>
        <w:pStyle w:val="ListParagraph"/>
        <w:numPr>
          <w:ilvl w:val="0"/>
          <w:numId w:val="2"/>
        </w:numPr>
        <w:spacing w:after="0" w:line="240" w:lineRule="auto"/>
        <w:rPr>
          <w:rFonts w:ascii="Calibri" w:eastAsia="Calibri" w:hAnsi="Calibri" w:cs="Calibri"/>
        </w:rPr>
      </w:pPr>
      <w:r w:rsidRPr="3224E6AA">
        <w:rPr>
          <w:rFonts w:ascii="Calibri" w:eastAsia="Calibri" w:hAnsi="Calibri" w:cs="Calibri"/>
        </w:rPr>
        <w:t>To minimise the risk of gastrointestinal bleeds, all participants enrolled into the trial</w:t>
      </w:r>
      <w:r>
        <w:rPr>
          <w:rFonts w:ascii="Calibri" w:eastAsia="Calibri" w:hAnsi="Calibri" w:cs="Calibri"/>
        </w:rPr>
        <w:t xml:space="preserve"> are </w:t>
      </w:r>
      <w:r w:rsidRPr="3224E6AA">
        <w:rPr>
          <w:rFonts w:ascii="Calibri" w:eastAsia="Calibri" w:hAnsi="Calibri" w:cs="Calibri"/>
        </w:rPr>
        <w:t>prescribed a proton pump inhibitor (PPI) (lansoprazole 30mg once daily or equivalent).</w:t>
      </w:r>
    </w:p>
    <w:p w14:paraId="649E563F" w14:textId="77777777" w:rsidR="008314E1" w:rsidRPr="004A5F5A" w:rsidRDefault="008314E1" w:rsidP="008314E1">
      <w:pPr>
        <w:pStyle w:val="ListParagraph"/>
        <w:numPr>
          <w:ilvl w:val="0"/>
          <w:numId w:val="2"/>
        </w:numPr>
        <w:spacing w:after="0" w:line="240" w:lineRule="auto"/>
        <w:rPr>
          <w:rFonts w:ascii="Calibri" w:eastAsia="Calibri" w:hAnsi="Calibri" w:cs="Calibri"/>
        </w:rPr>
      </w:pPr>
      <w:r w:rsidRPr="3224E6AA">
        <w:rPr>
          <w:rFonts w:ascii="Calibri" w:eastAsia="Calibri" w:hAnsi="Calibri" w:cs="Calibri"/>
        </w:rPr>
        <w:t>All participants on rivaroxaban have three monthly full blood counts (FBCs) to screen for iron deficiency which may be secondary to occult gastrointestinal blood loss.</w:t>
      </w:r>
    </w:p>
    <w:p w14:paraId="295FA92C" w14:textId="77777777" w:rsidR="008314E1" w:rsidRPr="004A5F5A" w:rsidRDefault="008314E1" w:rsidP="008314E1">
      <w:pPr>
        <w:pStyle w:val="ListParagraph"/>
        <w:numPr>
          <w:ilvl w:val="0"/>
          <w:numId w:val="2"/>
        </w:numPr>
        <w:spacing w:after="0" w:line="240" w:lineRule="auto"/>
        <w:rPr>
          <w:rFonts w:ascii="Calibri" w:eastAsia="Calibri" w:hAnsi="Calibri" w:cs="Calibri"/>
        </w:rPr>
      </w:pPr>
      <w:r w:rsidRPr="3224E6AA">
        <w:rPr>
          <w:rFonts w:ascii="Calibri" w:eastAsia="Calibri" w:hAnsi="Calibri" w:cs="Calibri"/>
        </w:rPr>
        <w:t xml:space="preserve">All participants </w:t>
      </w:r>
      <w:r>
        <w:rPr>
          <w:rFonts w:ascii="Calibri" w:eastAsia="Calibri" w:hAnsi="Calibri" w:cs="Calibri"/>
        </w:rPr>
        <w:t>are</w:t>
      </w:r>
      <w:r w:rsidRPr="3224E6AA">
        <w:rPr>
          <w:rFonts w:ascii="Calibri" w:eastAsia="Calibri" w:hAnsi="Calibri" w:cs="Calibri"/>
        </w:rPr>
        <w:t xml:space="preserve"> supplied with information, contained within the Patient Information Sheet (PIS) and Participant Adverse Events (AE) diary card, on the symptoms and patient-observable signs of bleeding, and advice on what to do if they experience a bleeding event. All participants who experience bleeding </w:t>
      </w:r>
      <w:r>
        <w:rPr>
          <w:rFonts w:ascii="Calibri" w:eastAsia="Calibri" w:hAnsi="Calibri" w:cs="Calibri"/>
        </w:rPr>
        <w:t>are</w:t>
      </w:r>
      <w:r w:rsidRPr="3224E6AA">
        <w:rPr>
          <w:rFonts w:ascii="Calibri" w:eastAsia="Calibri" w:hAnsi="Calibri" w:cs="Calibri"/>
        </w:rPr>
        <w:t xml:space="preserve"> managed according to local and national/international guidelines.</w:t>
      </w:r>
    </w:p>
    <w:p w14:paraId="55E9D83F" w14:textId="77777777" w:rsidR="008314E1" w:rsidRPr="004A5F5A" w:rsidRDefault="008314E1" w:rsidP="008314E1">
      <w:pPr>
        <w:pStyle w:val="ListParagraph"/>
        <w:numPr>
          <w:ilvl w:val="0"/>
          <w:numId w:val="2"/>
        </w:numPr>
        <w:spacing w:after="0" w:line="240" w:lineRule="auto"/>
        <w:rPr>
          <w:rFonts w:ascii="Calibri" w:eastAsia="Calibri" w:hAnsi="Calibri" w:cs="Calibri"/>
        </w:rPr>
      </w:pPr>
      <w:r>
        <w:rPr>
          <w:rFonts w:ascii="Calibri" w:eastAsia="Calibri" w:hAnsi="Calibri" w:cs="Calibri"/>
        </w:rPr>
        <w:t>Sites are provided with g</w:t>
      </w:r>
      <w:r w:rsidRPr="3224E6AA">
        <w:rPr>
          <w:rFonts w:ascii="Calibri" w:eastAsia="Calibri" w:hAnsi="Calibri" w:cs="Calibri"/>
        </w:rPr>
        <w:t>uidance on reviewing of anticoagulation</w:t>
      </w:r>
      <w:r>
        <w:rPr>
          <w:rFonts w:ascii="Calibri" w:eastAsia="Calibri" w:hAnsi="Calibri" w:cs="Calibri"/>
        </w:rPr>
        <w:t xml:space="preserve"> f</w:t>
      </w:r>
      <w:r w:rsidRPr="3224E6AA">
        <w:rPr>
          <w:rFonts w:ascii="Calibri" w:eastAsia="Calibri" w:hAnsi="Calibri" w:cs="Calibri"/>
        </w:rPr>
        <w:t>ollowing a clinically relevant or major bleeding episode.</w:t>
      </w:r>
    </w:p>
    <w:p w14:paraId="0719CBDF" w14:textId="77777777" w:rsidR="008314E1" w:rsidRPr="004A5F5A" w:rsidRDefault="008314E1" w:rsidP="008314E1">
      <w:pPr>
        <w:spacing w:after="0" w:line="240" w:lineRule="auto"/>
        <w:rPr>
          <w:rFonts w:ascii="Calibri" w:eastAsia="Calibri" w:hAnsi="Calibri" w:cs="Calibri"/>
          <w:b/>
          <w:bCs/>
        </w:rPr>
      </w:pPr>
      <w:r w:rsidRPr="461C3626">
        <w:rPr>
          <w:rFonts w:ascii="Calibri" w:eastAsia="Calibri" w:hAnsi="Calibri" w:cs="Calibri"/>
        </w:rPr>
        <w:t xml:space="preserve"> </w:t>
      </w:r>
    </w:p>
    <w:p w14:paraId="03AEDB78" w14:textId="77777777" w:rsidR="008314E1" w:rsidRPr="004A5F5A" w:rsidRDefault="008314E1" w:rsidP="008314E1">
      <w:pPr>
        <w:spacing w:after="0" w:line="240" w:lineRule="auto"/>
        <w:rPr>
          <w:rFonts w:ascii="Calibri" w:eastAsia="Calibri" w:hAnsi="Calibri" w:cs="Calibri"/>
        </w:rPr>
      </w:pPr>
    </w:p>
    <w:p w14:paraId="66263992" w14:textId="77777777" w:rsidR="008314E1" w:rsidRPr="004A5F5A" w:rsidRDefault="008314E1" w:rsidP="008314E1">
      <w:pPr>
        <w:spacing w:after="0" w:line="240" w:lineRule="auto"/>
        <w:rPr>
          <w:rFonts w:ascii="Calibri" w:eastAsia="Calibri" w:hAnsi="Calibri" w:cs="Calibri"/>
        </w:rPr>
      </w:pPr>
    </w:p>
    <w:p w14:paraId="637B91F8" w14:textId="77777777" w:rsidR="008314E1" w:rsidRPr="009E7CF3" w:rsidRDefault="008314E1" w:rsidP="008314E1">
      <w:pPr>
        <w:pStyle w:val="ListParagraph"/>
        <w:numPr>
          <w:ilvl w:val="0"/>
          <w:numId w:val="5"/>
        </w:numPr>
        <w:rPr>
          <w:b/>
          <w:bCs/>
        </w:rPr>
      </w:pPr>
      <w:r w:rsidRPr="009E7CF3">
        <w:rPr>
          <w:b/>
          <w:bCs/>
        </w:rPr>
        <w:t xml:space="preserve">Criteria for anticoagulation review during the trial </w:t>
      </w:r>
    </w:p>
    <w:p w14:paraId="169BC192" w14:textId="77777777" w:rsidR="008314E1" w:rsidRPr="004A5F5A" w:rsidRDefault="008314E1" w:rsidP="008314E1">
      <w:pPr>
        <w:spacing w:after="0" w:line="240" w:lineRule="auto"/>
        <w:rPr>
          <w:rFonts w:ascii="Calibri" w:eastAsia="Calibri" w:hAnsi="Calibri" w:cs="Calibri"/>
          <w:b/>
          <w:bCs/>
        </w:rPr>
      </w:pPr>
    </w:p>
    <w:p w14:paraId="705DB5C8" w14:textId="77777777" w:rsidR="008314E1" w:rsidRPr="004A5F5A" w:rsidRDefault="008314E1" w:rsidP="008314E1">
      <w:pPr>
        <w:spacing w:after="0" w:line="240" w:lineRule="auto"/>
        <w:rPr>
          <w:rFonts w:ascii="Calibri" w:eastAsia="Calibri" w:hAnsi="Calibri" w:cs="Calibri"/>
          <w:i/>
          <w:iCs/>
        </w:rPr>
      </w:pPr>
      <w:r w:rsidRPr="3224E6AA">
        <w:rPr>
          <w:rFonts w:ascii="Calibri" w:eastAsia="Calibri" w:hAnsi="Calibri" w:cs="Calibri"/>
          <w:i/>
          <w:iCs/>
        </w:rPr>
        <w:t xml:space="preserve">Bleeding </w:t>
      </w:r>
    </w:p>
    <w:p w14:paraId="5613BF41" w14:textId="77777777" w:rsidR="008314E1" w:rsidRPr="004A5F5A" w:rsidRDefault="008314E1" w:rsidP="008314E1">
      <w:pPr>
        <w:spacing w:after="0" w:line="240" w:lineRule="auto"/>
        <w:rPr>
          <w:rFonts w:ascii="Calibri" w:eastAsia="Calibri" w:hAnsi="Calibri" w:cs="Calibri"/>
        </w:rPr>
      </w:pPr>
      <w:r w:rsidRPr="461C3626">
        <w:rPr>
          <w:rFonts w:ascii="Calibri" w:eastAsia="Calibri" w:hAnsi="Calibri" w:cs="Calibri"/>
        </w:rPr>
        <w:t>Participants who experience</w:t>
      </w:r>
      <w:r>
        <w:rPr>
          <w:rFonts w:ascii="Calibri" w:eastAsia="Calibri" w:hAnsi="Calibri" w:cs="Calibri"/>
        </w:rPr>
        <w:t xml:space="preserve"> a </w:t>
      </w:r>
      <w:r w:rsidRPr="461C3626">
        <w:rPr>
          <w:rFonts w:ascii="Calibri" w:eastAsia="Calibri" w:hAnsi="Calibri" w:cs="Calibri"/>
        </w:rPr>
        <w:t xml:space="preserve">major or clinically relevant non-major bleeding complication during the trial should be assessed by the PI or delegate for subsequent appropriate anticoagulation, based on the ongoing bleeding risk. The UCL CCTU should be informed, followed by discussion between the PI or delegate and CI or delegate, via UCL CCTU, on ongoing management of the patient from the trial treatment perspective. </w:t>
      </w:r>
    </w:p>
    <w:p w14:paraId="4E9CF55B" w14:textId="77777777" w:rsidR="008314E1" w:rsidRPr="004A5F5A" w:rsidRDefault="008314E1" w:rsidP="008314E1">
      <w:pPr>
        <w:spacing w:after="0" w:line="240" w:lineRule="auto"/>
        <w:rPr>
          <w:rFonts w:ascii="Calibri" w:eastAsia="Calibri" w:hAnsi="Calibri" w:cs="Calibri"/>
        </w:rPr>
      </w:pPr>
      <w:r w:rsidRPr="3224E6AA">
        <w:rPr>
          <w:rFonts w:ascii="Calibri" w:eastAsia="Calibri" w:hAnsi="Calibri" w:cs="Calibri"/>
        </w:rPr>
        <w:t xml:space="preserve">Participants in the warfarin arm should be considered for the following options: reduction of target anticoagulation intensity such as warfarin target INR 2.5 (range 2.0-3.0), </w:t>
      </w:r>
      <w:r>
        <w:rPr>
          <w:rFonts w:ascii="Calibri" w:eastAsia="Calibri" w:hAnsi="Calibri" w:cs="Calibri"/>
        </w:rPr>
        <w:t xml:space="preserve">change to </w:t>
      </w:r>
      <w:r w:rsidRPr="3224E6AA">
        <w:rPr>
          <w:rFonts w:ascii="Calibri" w:eastAsia="Calibri" w:hAnsi="Calibri" w:cs="Calibri"/>
        </w:rPr>
        <w:t xml:space="preserve">subcutaneous LMWH during short-term bleeds with consideration of split dose LMWH, or temporary cessation of anticoagulation. </w:t>
      </w:r>
    </w:p>
    <w:p w14:paraId="767D8E9B" w14:textId="77777777" w:rsidR="008314E1" w:rsidRPr="004A5F5A" w:rsidRDefault="008314E1" w:rsidP="008314E1">
      <w:pPr>
        <w:spacing w:after="0" w:line="240" w:lineRule="auto"/>
        <w:rPr>
          <w:rFonts w:ascii="Calibri" w:eastAsia="Calibri" w:hAnsi="Calibri" w:cs="Calibri"/>
        </w:rPr>
      </w:pPr>
      <w:r w:rsidRPr="3224E6AA">
        <w:rPr>
          <w:rFonts w:ascii="Calibri" w:eastAsia="Calibri" w:hAnsi="Calibri" w:cs="Calibri"/>
        </w:rPr>
        <w:t xml:space="preserve">Participants in the rivaroxaban arm should be considered for the following options: </w:t>
      </w:r>
      <w:r>
        <w:rPr>
          <w:rFonts w:ascii="Calibri" w:eastAsia="Calibri" w:hAnsi="Calibri" w:cs="Calibri"/>
        </w:rPr>
        <w:t xml:space="preserve">continuation of </w:t>
      </w:r>
      <w:r w:rsidRPr="3224E6AA">
        <w:rPr>
          <w:rFonts w:ascii="Calibri" w:eastAsia="Calibri" w:hAnsi="Calibri" w:cs="Calibri"/>
        </w:rPr>
        <w:t xml:space="preserve">rivaroxaban 15mg BD if the PI or delegate assess this to be clinically appropriate, </w:t>
      </w:r>
      <w:r>
        <w:rPr>
          <w:rFonts w:ascii="Calibri" w:eastAsia="Calibri" w:hAnsi="Calibri" w:cs="Calibri"/>
        </w:rPr>
        <w:t xml:space="preserve">change to </w:t>
      </w:r>
      <w:r w:rsidRPr="3224E6AA">
        <w:rPr>
          <w:rFonts w:ascii="Calibri" w:eastAsia="Calibri" w:hAnsi="Calibri" w:cs="Calibri"/>
        </w:rPr>
        <w:t xml:space="preserve">subcutaneous LMWH during short-term bleeds with consideration of split dose LMWH, or temporary cessation of anticoagulation. </w:t>
      </w:r>
    </w:p>
    <w:p w14:paraId="49D4B563" w14:textId="77777777" w:rsidR="008314E1" w:rsidRPr="004A5F5A" w:rsidRDefault="008314E1" w:rsidP="008314E1">
      <w:pPr>
        <w:spacing w:after="0" w:line="240" w:lineRule="auto"/>
        <w:rPr>
          <w:rFonts w:ascii="Calibri" w:eastAsia="Calibri" w:hAnsi="Calibri" w:cs="Calibri"/>
        </w:rPr>
      </w:pPr>
      <w:r w:rsidRPr="3224E6AA">
        <w:rPr>
          <w:rFonts w:ascii="Calibri" w:eastAsia="Calibri" w:hAnsi="Calibri" w:cs="Calibri"/>
        </w:rPr>
        <w:t xml:space="preserve">If the participant on warfarin or rivaroxaban experiences a prolonged bleeding episode, including </w:t>
      </w:r>
      <w:r>
        <w:rPr>
          <w:rFonts w:ascii="Calibri" w:eastAsia="Calibri" w:hAnsi="Calibri" w:cs="Calibri"/>
        </w:rPr>
        <w:t>abnormal uterine bleeding</w:t>
      </w:r>
      <w:r w:rsidRPr="3224E6AA">
        <w:rPr>
          <w:rFonts w:ascii="Calibri" w:eastAsia="Calibri" w:hAnsi="Calibri" w:cs="Calibri"/>
        </w:rPr>
        <w:t>, the local PI should review and decide if continued participation in RISAPS is appropriate.</w:t>
      </w:r>
    </w:p>
    <w:p w14:paraId="003F7228" w14:textId="77777777" w:rsidR="008314E1" w:rsidRPr="004A5F5A" w:rsidRDefault="008314E1" w:rsidP="008314E1">
      <w:pPr>
        <w:spacing w:after="0" w:line="240" w:lineRule="auto"/>
        <w:rPr>
          <w:rFonts w:ascii="Calibri" w:eastAsia="Calibri" w:hAnsi="Calibri" w:cs="Calibri"/>
        </w:rPr>
      </w:pPr>
    </w:p>
    <w:p w14:paraId="1D0B1E2F" w14:textId="77777777" w:rsidR="008314E1" w:rsidRDefault="008314E1" w:rsidP="008314E1">
      <w:pPr>
        <w:spacing w:after="0" w:line="240" w:lineRule="auto"/>
        <w:rPr>
          <w:rFonts w:ascii="Calibri" w:eastAsia="Calibri" w:hAnsi="Calibri" w:cs="Calibri"/>
          <w:i/>
          <w:iCs/>
        </w:rPr>
      </w:pPr>
      <w:r w:rsidRPr="461C3626">
        <w:rPr>
          <w:rFonts w:ascii="Calibri" w:eastAsia="Calibri" w:hAnsi="Calibri" w:cs="Calibri"/>
          <w:i/>
          <w:iCs/>
        </w:rPr>
        <w:t xml:space="preserve">Suspected thrombosis </w:t>
      </w:r>
    </w:p>
    <w:p w14:paraId="4E91A6A6" w14:textId="77777777" w:rsidR="008314E1" w:rsidRPr="004A5F5A" w:rsidRDefault="008314E1" w:rsidP="008314E1">
      <w:pPr>
        <w:spacing w:after="0" w:line="240" w:lineRule="auto"/>
        <w:rPr>
          <w:rFonts w:ascii="Calibri" w:eastAsia="Calibri" w:hAnsi="Calibri" w:cs="Calibri"/>
        </w:rPr>
      </w:pPr>
      <w:r w:rsidRPr="3224E6AA">
        <w:rPr>
          <w:rFonts w:ascii="Calibri" w:eastAsia="Calibri" w:hAnsi="Calibri" w:cs="Calibri"/>
        </w:rPr>
        <w:t xml:space="preserve">For participants on rivaroxaban who develop recurrent thrombosis, arterial, VTE, or other thrombosis, the rivaroxaban will be stopped, and the patient will be commenced initially on subcutaneous LMWH, generally at standard therapeutic dose (or fondaparinux in participants known to have allergy or intolerance to LMWH), with expert clinical review at the participating centre. A similar approach will be undertaken in patients on warfarin. Further anticoagulant management will be decided by the clinician responsible for the participant. </w:t>
      </w:r>
    </w:p>
    <w:p w14:paraId="44B311A9" w14:textId="77777777" w:rsidR="008314E1" w:rsidRPr="004A5F5A" w:rsidRDefault="008314E1" w:rsidP="008314E1">
      <w:pPr>
        <w:spacing w:after="0" w:line="240" w:lineRule="auto"/>
        <w:rPr>
          <w:rFonts w:ascii="Calibri" w:eastAsia="Calibri" w:hAnsi="Calibri" w:cs="Calibri"/>
        </w:rPr>
      </w:pPr>
    </w:p>
    <w:p w14:paraId="24B954B1" w14:textId="77777777" w:rsidR="008314E1" w:rsidRPr="004A5F5A" w:rsidRDefault="008314E1" w:rsidP="008314E1">
      <w:pPr>
        <w:spacing w:after="0" w:line="240" w:lineRule="auto"/>
        <w:rPr>
          <w:rFonts w:ascii="Calibri" w:eastAsia="Calibri" w:hAnsi="Calibri" w:cs="Calibri"/>
        </w:rPr>
      </w:pPr>
      <w:r w:rsidRPr="461C3626">
        <w:rPr>
          <w:rFonts w:ascii="Calibri" w:eastAsia="Calibri" w:hAnsi="Calibri" w:cs="Calibri"/>
          <w:i/>
          <w:iCs/>
        </w:rPr>
        <w:t>Changes in weight</w:t>
      </w:r>
      <w:r w:rsidRPr="461C3626">
        <w:rPr>
          <w:rFonts w:ascii="Calibri" w:eastAsia="Calibri" w:hAnsi="Calibri" w:cs="Calibri"/>
        </w:rPr>
        <w:t xml:space="preserve"> </w:t>
      </w:r>
    </w:p>
    <w:p w14:paraId="74F2CB09" w14:textId="77777777" w:rsidR="008314E1" w:rsidRPr="004A5F5A" w:rsidRDefault="008314E1" w:rsidP="008314E1">
      <w:pPr>
        <w:spacing w:after="0" w:line="240" w:lineRule="auto"/>
        <w:rPr>
          <w:rFonts w:ascii="Calibri" w:eastAsia="Calibri" w:hAnsi="Calibri" w:cs="Calibri"/>
        </w:rPr>
      </w:pPr>
      <w:r w:rsidRPr="461C3626">
        <w:rPr>
          <w:rFonts w:ascii="Calibri" w:eastAsia="Calibri" w:hAnsi="Calibri" w:cs="Calibri"/>
        </w:rPr>
        <w:t xml:space="preserve">If a participant experiences a reduction in weight of 10% or more between two trial follow-ups, the UCL CCTU should be informed and the PI or delegate should ensure appropriate clinical review (e.g. by the GP) and, if on rivaroxaban, also closer monitoring of weight between trial visits. If a </w:t>
      </w:r>
      <w:r w:rsidRPr="461C3626">
        <w:rPr>
          <w:rFonts w:ascii="Calibri" w:eastAsia="Calibri" w:hAnsi="Calibri" w:cs="Calibri"/>
        </w:rPr>
        <w:lastRenderedPageBreak/>
        <w:t xml:space="preserve">participant on rivaroxaban experiences a weight reduction to less than 50kg, or a weight increase to over 135kg, further management of the participant from the trial treatment perspective should be discussed between the PI or delegate and CI or delegate, via the UCL CCTU. </w:t>
      </w:r>
    </w:p>
    <w:p w14:paraId="21641614" w14:textId="77777777" w:rsidR="008314E1" w:rsidRPr="004A5F5A" w:rsidRDefault="008314E1" w:rsidP="008314E1">
      <w:pPr>
        <w:spacing w:after="0" w:line="240" w:lineRule="auto"/>
        <w:rPr>
          <w:rFonts w:ascii="Calibri" w:eastAsia="Calibri" w:hAnsi="Calibri" w:cs="Calibri"/>
        </w:rPr>
      </w:pPr>
    </w:p>
    <w:p w14:paraId="17AFAFD8" w14:textId="77777777" w:rsidR="008314E1" w:rsidRPr="004A5F5A" w:rsidRDefault="008314E1" w:rsidP="008314E1">
      <w:pPr>
        <w:spacing w:after="0" w:line="240" w:lineRule="auto"/>
        <w:rPr>
          <w:rFonts w:ascii="Calibri" w:eastAsia="Calibri" w:hAnsi="Calibri" w:cs="Calibri"/>
        </w:rPr>
      </w:pPr>
      <w:r w:rsidRPr="461C3626">
        <w:rPr>
          <w:rFonts w:ascii="Calibri" w:eastAsia="Calibri" w:hAnsi="Calibri" w:cs="Calibri"/>
          <w:i/>
          <w:iCs/>
        </w:rPr>
        <w:t>Moderate or severe renal impairment</w:t>
      </w:r>
      <w:r w:rsidRPr="461C3626">
        <w:rPr>
          <w:rFonts w:ascii="Calibri" w:eastAsia="Calibri" w:hAnsi="Calibri" w:cs="Calibri"/>
        </w:rPr>
        <w:t xml:space="preserve"> </w:t>
      </w:r>
    </w:p>
    <w:p w14:paraId="49F9BC3F" w14:textId="77777777" w:rsidR="008314E1" w:rsidRPr="004A5F5A" w:rsidRDefault="008314E1" w:rsidP="008314E1">
      <w:pPr>
        <w:spacing w:after="0" w:line="240" w:lineRule="auto"/>
        <w:rPr>
          <w:rFonts w:ascii="Calibri" w:eastAsia="Calibri" w:hAnsi="Calibri" w:cs="Calibri"/>
        </w:rPr>
      </w:pPr>
      <w:r w:rsidRPr="3224E6AA">
        <w:rPr>
          <w:rFonts w:ascii="Calibri" w:eastAsia="Calibri" w:hAnsi="Calibri" w:cs="Calibri"/>
        </w:rPr>
        <w:t>Participants in the rivaroxaban arm of the trial who develop moderate renal impairment (Creatinine clearance 30 – 49 mL/min) during the trial, after randomisation, will require discussion, between the PI or delegate and CI or delegate, via the UCL CCTU, on management of the patient from the trial treatment perspective. In the event that a participant develops severe renal impairment while on the trial, (creatinine clearance &lt;30 mL/min [i.e. 29 mL/min or less]) they should be withdrawn from trial treatment but continue trial follow up.</w:t>
      </w:r>
    </w:p>
    <w:p w14:paraId="0CB7A15E" w14:textId="77777777" w:rsidR="008314E1" w:rsidRPr="004A5F5A" w:rsidRDefault="008314E1" w:rsidP="008314E1">
      <w:pPr>
        <w:spacing w:after="0"/>
      </w:pPr>
    </w:p>
    <w:p w14:paraId="7BB65CE0" w14:textId="77777777" w:rsidR="008314E1" w:rsidRDefault="008314E1" w:rsidP="008314E1">
      <w:pPr>
        <w:spacing w:after="0"/>
        <w:rPr>
          <w:rFonts w:ascii="Calibri" w:eastAsia="Calibri" w:hAnsi="Calibri" w:cs="Calibri"/>
          <w:b/>
          <w:bCs/>
        </w:rPr>
      </w:pPr>
    </w:p>
    <w:p w14:paraId="1E15F364" w14:textId="77777777" w:rsidR="008314E1" w:rsidRPr="00E23C9E" w:rsidRDefault="008314E1" w:rsidP="008314E1">
      <w:pPr>
        <w:spacing w:after="0"/>
        <w:rPr>
          <w:rFonts w:ascii="Calibri" w:eastAsia="Calibri" w:hAnsi="Calibri" w:cs="Calibri"/>
          <w:b/>
          <w:bCs/>
        </w:rPr>
      </w:pPr>
    </w:p>
    <w:p w14:paraId="4B26FA1A" w14:textId="77777777" w:rsidR="008314E1" w:rsidRPr="00025C6F" w:rsidRDefault="008314E1" w:rsidP="008314E1">
      <w:pPr>
        <w:pStyle w:val="ListParagraph"/>
        <w:numPr>
          <w:ilvl w:val="0"/>
          <w:numId w:val="5"/>
        </w:numPr>
        <w:rPr>
          <w:rFonts w:ascii="Calibri" w:eastAsia="Calibri" w:hAnsi="Calibri" w:cs="Calibri"/>
          <w:b/>
          <w:bCs/>
        </w:rPr>
      </w:pPr>
      <w:r w:rsidRPr="009E7CF3">
        <w:rPr>
          <w:b/>
          <w:bCs/>
        </w:rPr>
        <w:t>Further information regarding statistical methods</w:t>
      </w:r>
    </w:p>
    <w:p w14:paraId="315588D2" w14:textId="77777777" w:rsidR="008314E1" w:rsidRPr="00645CFE" w:rsidRDefault="008314E1" w:rsidP="008314E1">
      <w:pPr>
        <w:spacing w:after="0"/>
        <w:rPr>
          <w:rFonts w:ascii="Calibri" w:eastAsia="Calibri" w:hAnsi="Calibri" w:cs="Calibri"/>
          <w:i/>
          <w:iCs/>
        </w:rPr>
      </w:pPr>
      <w:r w:rsidRPr="00645CFE">
        <w:rPr>
          <w:rFonts w:ascii="Calibri" w:eastAsia="Calibri" w:hAnsi="Calibri" w:cs="Calibri"/>
          <w:i/>
          <w:iCs/>
        </w:rPr>
        <w:t>Methods for additional analyses (e.g subgroup and adjusted analyses)</w:t>
      </w:r>
    </w:p>
    <w:p w14:paraId="396E9DCE" w14:textId="77777777" w:rsidR="008314E1" w:rsidRPr="00645CFE" w:rsidRDefault="008314E1" w:rsidP="008314E1">
      <w:pPr>
        <w:spacing w:after="0"/>
        <w:rPr>
          <w:rFonts w:ascii="Calibri" w:eastAsia="Segoe UI" w:hAnsi="Calibri" w:cs="Calibri"/>
        </w:rPr>
      </w:pPr>
      <w:r w:rsidRPr="00645CFE">
        <w:rPr>
          <w:rFonts w:ascii="Calibri" w:eastAsia="Segoe UI" w:hAnsi="Calibri" w:cs="Calibri"/>
        </w:rPr>
        <w:t xml:space="preserve">While the factor “SLE status at baseline” was used as a minimisation factor in the randomisation algorithm, we do not anticipate that we will have recruited sufficient numbers of eligible participants to provide sufficient power to warrant any subgroup analyses. </w:t>
      </w:r>
    </w:p>
    <w:p w14:paraId="63A8C68B" w14:textId="77777777" w:rsidR="008314E1" w:rsidRPr="00645CFE" w:rsidRDefault="008314E1" w:rsidP="008314E1">
      <w:pPr>
        <w:spacing w:after="0"/>
        <w:rPr>
          <w:rFonts w:ascii="Calibri" w:eastAsia="Segoe UI" w:hAnsi="Calibri" w:cs="Calibri"/>
        </w:rPr>
      </w:pPr>
      <w:r w:rsidRPr="00645CFE">
        <w:rPr>
          <w:rFonts w:ascii="Calibri" w:hAnsi="Calibri" w:cs="Calibri"/>
        </w:rPr>
        <w:t>We will report per protocol analyses and the results of all supportive sub analyses, sensitivity analyses and threshold analyses as appropriate.</w:t>
      </w:r>
    </w:p>
    <w:p w14:paraId="5CD5B31D" w14:textId="77777777" w:rsidR="008314E1" w:rsidRPr="00645CFE" w:rsidRDefault="008314E1" w:rsidP="008314E1">
      <w:pPr>
        <w:shd w:val="clear" w:color="auto" w:fill="FFFFFF" w:themeFill="background1"/>
        <w:spacing w:after="0"/>
        <w:rPr>
          <w:rFonts w:ascii="Calibri" w:eastAsia="Segoe UI" w:hAnsi="Calibri" w:cs="Calibri"/>
        </w:rPr>
      </w:pPr>
      <w:r w:rsidRPr="00645CFE">
        <w:rPr>
          <w:rFonts w:ascii="Calibri" w:eastAsia="Segoe UI" w:hAnsi="Calibri" w:cs="Calibri"/>
        </w:rPr>
        <w:t xml:space="preserve">Further post-hoc subgroup analyses looking at the relative effects of the intervention may be carried out, if appropriate, for the following subgroups: </w:t>
      </w:r>
    </w:p>
    <w:p w14:paraId="0D45399A" w14:textId="77777777" w:rsidR="008314E1" w:rsidRPr="00645CFE" w:rsidRDefault="008314E1" w:rsidP="008314E1">
      <w:pPr>
        <w:shd w:val="clear" w:color="auto" w:fill="FFFFFF" w:themeFill="background1"/>
        <w:spacing w:after="0"/>
        <w:ind w:firstLine="720"/>
        <w:rPr>
          <w:rFonts w:ascii="Calibri" w:eastAsia="Segoe UI" w:hAnsi="Calibri" w:cs="Calibri"/>
        </w:rPr>
      </w:pPr>
      <w:r w:rsidRPr="00645CFE">
        <w:rPr>
          <w:rFonts w:ascii="Calibri" w:eastAsia="Segoe UI" w:hAnsi="Calibri" w:cs="Calibri"/>
        </w:rPr>
        <w:t xml:space="preserve">Age </w:t>
      </w:r>
    </w:p>
    <w:p w14:paraId="33BF8929" w14:textId="77777777" w:rsidR="008314E1" w:rsidRPr="00645CFE" w:rsidRDefault="008314E1" w:rsidP="008314E1">
      <w:pPr>
        <w:shd w:val="clear" w:color="auto" w:fill="FFFFFF" w:themeFill="background1"/>
        <w:spacing w:after="0"/>
        <w:ind w:firstLine="720"/>
        <w:rPr>
          <w:rFonts w:ascii="Calibri" w:eastAsia="Segoe UI" w:hAnsi="Calibri" w:cs="Calibri"/>
        </w:rPr>
      </w:pPr>
      <w:r w:rsidRPr="00645CFE">
        <w:rPr>
          <w:rFonts w:ascii="Calibri" w:eastAsia="Segoe UI" w:hAnsi="Calibri" w:cs="Calibri"/>
        </w:rPr>
        <w:t xml:space="preserve">Sex </w:t>
      </w:r>
    </w:p>
    <w:p w14:paraId="55FDB6EB" w14:textId="77777777" w:rsidR="008314E1" w:rsidRPr="00645CFE" w:rsidRDefault="008314E1" w:rsidP="008314E1">
      <w:pPr>
        <w:shd w:val="clear" w:color="auto" w:fill="FFFFFF" w:themeFill="background1"/>
        <w:spacing w:after="0"/>
        <w:ind w:firstLine="720"/>
        <w:rPr>
          <w:rFonts w:ascii="Calibri" w:eastAsia="Segoe UI" w:hAnsi="Calibri" w:cs="Calibri"/>
        </w:rPr>
      </w:pPr>
      <w:r w:rsidRPr="00645CFE">
        <w:rPr>
          <w:rFonts w:ascii="Calibri" w:eastAsia="Segoe UI" w:hAnsi="Calibri" w:cs="Calibri"/>
        </w:rPr>
        <w:t xml:space="preserve">Type of initial stroke </w:t>
      </w:r>
    </w:p>
    <w:p w14:paraId="015F4B16" w14:textId="77777777" w:rsidR="008314E1" w:rsidRPr="00645CFE" w:rsidRDefault="008314E1" w:rsidP="008314E1">
      <w:pPr>
        <w:shd w:val="clear" w:color="auto" w:fill="FFFFFF" w:themeFill="background1"/>
        <w:spacing w:after="0"/>
        <w:ind w:firstLine="720"/>
        <w:rPr>
          <w:rFonts w:ascii="Calibri" w:eastAsia="Segoe UI" w:hAnsi="Calibri" w:cs="Calibri"/>
        </w:rPr>
      </w:pPr>
      <w:r w:rsidRPr="00645CFE">
        <w:rPr>
          <w:rFonts w:ascii="Calibri" w:eastAsia="Segoe UI" w:hAnsi="Calibri" w:cs="Calibri"/>
        </w:rPr>
        <w:t xml:space="preserve">BMI </w:t>
      </w:r>
    </w:p>
    <w:p w14:paraId="3FD04C2E" w14:textId="77777777" w:rsidR="008314E1" w:rsidRPr="00645CFE" w:rsidRDefault="008314E1" w:rsidP="008314E1">
      <w:pPr>
        <w:shd w:val="clear" w:color="auto" w:fill="FFFFFF" w:themeFill="background1"/>
        <w:spacing w:after="0"/>
        <w:ind w:firstLine="720"/>
        <w:rPr>
          <w:rFonts w:ascii="Calibri" w:eastAsia="Segoe UI" w:hAnsi="Calibri" w:cs="Calibri"/>
        </w:rPr>
      </w:pPr>
      <w:r w:rsidRPr="00645CFE">
        <w:rPr>
          <w:rFonts w:ascii="Calibri" w:eastAsia="Segoe UI" w:hAnsi="Calibri" w:cs="Calibri"/>
        </w:rPr>
        <w:t xml:space="preserve">Smoking  </w:t>
      </w:r>
    </w:p>
    <w:p w14:paraId="35075B9A" w14:textId="77777777" w:rsidR="008314E1" w:rsidRPr="00645CFE" w:rsidRDefault="008314E1" w:rsidP="008314E1">
      <w:pPr>
        <w:shd w:val="clear" w:color="auto" w:fill="FFFFFF" w:themeFill="background1"/>
        <w:spacing w:after="0"/>
        <w:ind w:firstLine="720"/>
        <w:rPr>
          <w:rFonts w:ascii="Calibri" w:eastAsia="Segoe UI" w:hAnsi="Calibri" w:cs="Calibri"/>
        </w:rPr>
      </w:pPr>
      <w:r w:rsidRPr="00645CFE">
        <w:rPr>
          <w:rFonts w:ascii="Calibri" w:eastAsia="Segoe UI" w:hAnsi="Calibri" w:cs="Calibri"/>
        </w:rPr>
        <w:t xml:space="preserve">Presence/absence of hyperlipidaemia  </w:t>
      </w:r>
    </w:p>
    <w:p w14:paraId="7651EE8C" w14:textId="77777777" w:rsidR="008314E1" w:rsidRPr="00645CFE" w:rsidRDefault="008314E1" w:rsidP="008314E1">
      <w:pPr>
        <w:shd w:val="clear" w:color="auto" w:fill="FFFFFF" w:themeFill="background1"/>
        <w:spacing w:after="0"/>
        <w:ind w:firstLine="720"/>
        <w:rPr>
          <w:rFonts w:ascii="Calibri" w:eastAsia="Segoe UI" w:hAnsi="Calibri" w:cs="Calibri"/>
        </w:rPr>
      </w:pPr>
      <w:r w:rsidRPr="00645CFE">
        <w:rPr>
          <w:rFonts w:ascii="Calibri" w:eastAsia="Segoe UI" w:hAnsi="Calibri" w:cs="Calibri"/>
        </w:rPr>
        <w:t xml:space="preserve">Presence/absence of diabetes mellitus </w:t>
      </w:r>
    </w:p>
    <w:p w14:paraId="40395543" w14:textId="77777777" w:rsidR="008314E1" w:rsidRPr="00645CFE" w:rsidRDefault="008314E1" w:rsidP="008314E1">
      <w:pPr>
        <w:shd w:val="clear" w:color="auto" w:fill="FFFFFF" w:themeFill="background1"/>
        <w:spacing w:after="0"/>
        <w:ind w:firstLine="720"/>
        <w:rPr>
          <w:rFonts w:ascii="Calibri" w:eastAsia="Segoe UI" w:hAnsi="Calibri" w:cs="Calibri"/>
        </w:rPr>
      </w:pPr>
      <w:r w:rsidRPr="00645CFE">
        <w:rPr>
          <w:rFonts w:ascii="Calibri" w:eastAsia="Segoe UI" w:hAnsi="Calibri" w:cs="Calibri"/>
        </w:rPr>
        <w:t xml:space="preserve">Presence/Absence of hypertension </w:t>
      </w:r>
    </w:p>
    <w:p w14:paraId="7288D476" w14:textId="77777777" w:rsidR="008314E1" w:rsidRPr="00645CFE" w:rsidRDefault="008314E1" w:rsidP="008314E1">
      <w:pPr>
        <w:shd w:val="clear" w:color="auto" w:fill="FFFFFF" w:themeFill="background1"/>
        <w:spacing w:after="0"/>
        <w:ind w:firstLine="720"/>
        <w:rPr>
          <w:rFonts w:ascii="Calibri" w:eastAsia="Segoe UI" w:hAnsi="Calibri" w:cs="Calibri"/>
        </w:rPr>
      </w:pPr>
      <w:r w:rsidRPr="00645CFE">
        <w:rPr>
          <w:rFonts w:ascii="Calibri" w:eastAsia="Segoe UI" w:hAnsi="Calibri" w:cs="Calibri"/>
        </w:rPr>
        <w:t xml:space="preserve">Single of double antiphospholipid antibody positivity </w:t>
      </w:r>
    </w:p>
    <w:p w14:paraId="064BAD01" w14:textId="77777777" w:rsidR="008314E1" w:rsidRPr="00645CFE" w:rsidRDefault="008314E1" w:rsidP="008314E1">
      <w:pPr>
        <w:shd w:val="clear" w:color="auto" w:fill="FFFFFF" w:themeFill="background1"/>
        <w:spacing w:after="0"/>
        <w:rPr>
          <w:rFonts w:ascii="Calibri" w:eastAsia="Segoe UI" w:hAnsi="Calibri" w:cs="Calibri"/>
        </w:rPr>
      </w:pPr>
      <w:r w:rsidRPr="00645CFE">
        <w:rPr>
          <w:rFonts w:ascii="Calibri" w:eastAsia="Segoe UI" w:hAnsi="Calibri" w:cs="Calibri"/>
        </w:rPr>
        <w:t>We will perform accompanying secondary analyses in which we introduce data from participants who have missing data and models which include the covariates of age, sex and SLE status inter alia to assess the stability of the results to different modelling environments. We will assess the results with respect to comparable analyses of covariance (ANCOVA) models. Where appropriate, we will report the results of the comparative supportive analyses (either in the primary report of the outcome of the study, or in separate journal articles which focus on the innovative methodological techniques employed in the analyses of these data.</w:t>
      </w:r>
    </w:p>
    <w:p w14:paraId="2038B5D7" w14:textId="77777777" w:rsidR="008314E1" w:rsidRPr="00645CFE" w:rsidRDefault="008314E1" w:rsidP="008314E1">
      <w:pPr>
        <w:shd w:val="clear" w:color="auto" w:fill="FFFFFF" w:themeFill="background1"/>
        <w:spacing w:after="0"/>
        <w:rPr>
          <w:rFonts w:ascii="Calibri" w:eastAsia="Segoe UI" w:hAnsi="Calibri" w:cs="Calibri"/>
        </w:rPr>
      </w:pPr>
    </w:p>
    <w:p w14:paraId="3AA4AE9B" w14:textId="77777777" w:rsidR="008314E1" w:rsidRPr="00645CFE" w:rsidRDefault="008314E1" w:rsidP="008314E1">
      <w:pPr>
        <w:spacing w:after="0"/>
        <w:rPr>
          <w:rFonts w:ascii="Calibri" w:eastAsia="Calibri" w:hAnsi="Calibri" w:cs="Calibri"/>
          <w:b/>
          <w:bCs/>
        </w:rPr>
      </w:pPr>
    </w:p>
    <w:p w14:paraId="5ACB3E4F" w14:textId="77777777" w:rsidR="008314E1" w:rsidRPr="00645CFE" w:rsidRDefault="008314E1" w:rsidP="008314E1">
      <w:pPr>
        <w:spacing w:after="0"/>
        <w:rPr>
          <w:rFonts w:ascii="Calibri" w:eastAsia="Calibri" w:hAnsi="Calibri" w:cs="Calibri"/>
          <w:i/>
          <w:iCs/>
        </w:rPr>
      </w:pPr>
      <w:r w:rsidRPr="00645CFE">
        <w:rPr>
          <w:rFonts w:ascii="Calibri" w:eastAsia="Calibri" w:hAnsi="Calibri" w:cs="Calibri"/>
          <w:i/>
          <w:iCs/>
        </w:rPr>
        <w:t>Definition of analysis population relating to protocol non-adherence and statistical methods to handle missing data</w:t>
      </w:r>
    </w:p>
    <w:p w14:paraId="422239E9" w14:textId="77777777" w:rsidR="008314E1" w:rsidRPr="00645CFE" w:rsidRDefault="008314E1" w:rsidP="008314E1">
      <w:pPr>
        <w:spacing w:after="0"/>
        <w:rPr>
          <w:rFonts w:ascii="Calibri" w:hAnsi="Calibri" w:cs="Calibri"/>
        </w:rPr>
      </w:pPr>
      <w:r w:rsidRPr="00645CFE">
        <w:rPr>
          <w:rFonts w:ascii="Calibri" w:eastAsia="Segoe UI" w:hAnsi="Calibri" w:cs="Calibri"/>
        </w:rPr>
        <w:t xml:space="preserve">We will use a completers-only analysis for the primary outcome (i.e., the analysis population will be limited to those participants who provided analysable data from MRI scans at both timepoints required in the treatment protocol). Supportive analyses will employ all available data and use multiple imputation by chained equations where possible. </w:t>
      </w:r>
      <w:r w:rsidRPr="00645CFE">
        <w:rPr>
          <w:rFonts w:ascii="Calibri" w:hAnsi="Calibri" w:cs="Calibri"/>
        </w:rPr>
        <w:t xml:space="preserve"> </w:t>
      </w:r>
    </w:p>
    <w:p w14:paraId="361477FC" w14:textId="77777777" w:rsidR="008314E1" w:rsidRPr="009E7CF3" w:rsidRDefault="008314E1" w:rsidP="008314E1">
      <w:pPr>
        <w:spacing w:after="0"/>
        <w:rPr>
          <w:b/>
          <w:bCs/>
        </w:rPr>
      </w:pPr>
    </w:p>
    <w:p w14:paraId="4A4BDE4E" w14:textId="77777777" w:rsidR="008314E1" w:rsidRPr="009E7CF3" w:rsidRDefault="008314E1" w:rsidP="008314E1">
      <w:pPr>
        <w:pStyle w:val="ListParagraph"/>
        <w:numPr>
          <w:ilvl w:val="0"/>
          <w:numId w:val="5"/>
        </w:numPr>
        <w:rPr>
          <w:b/>
          <w:bCs/>
        </w:rPr>
      </w:pPr>
      <w:r w:rsidRPr="009E7CF3">
        <w:rPr>
          <w:b/>
          <w:bCs/>
        </w:rPr>
        <w:lastRenderedPageBreak/>
        <w:t>Changes to the protocol since first approval</w:t>
      </w:r>
    </w:p>
    <w:tbl>
      <w:tblPr>
        <w:tblStyle w:val="TableGrid"/>
        <w:tblW w:w="9778" w:type="dxa"/>
        <w:tblInd w:w="-5" w:type="dxa"/>
        <w:tblLook w:val="04A0" w:firstRow="1" w:lastRow="0" w:firstColumn="1" w:lastColumn="0" w:noHBand="0" w:noVBand="1"/>
      </w:tblPr>
      <w:tblGrid>
        <w:gridCol w:w="2221"/>
        <w:gridCol w:w="7557"/>
      </w:tblGrid>
      <w:tr w:rsidR="008314E1" w:rsidRPr="00A66AA5" w14:paraId="0CDB8D8E" w14:textId="77777777" w:rsidTr="0027650F">
        <w:trPr>
          <w:trHeight w:val="385"/>
          <w:tblHeader/>
        </w:trPr>
        <w:tc>
          <w:tcPr>
            <w:tcW w:w="2221" w:type="dxa"/>
          </w:tcPr>
          <w:p w14:paraId="5B9C356B" w14:textId="77777777" w:rsidR="008314E1" w:rsidRPr="00A66AA5" w:rsidRDefault="008314E1" w:rsidP="0027650F">
            <w:pPr>
              <w:rPr>
                <w:rFonts w:cstheme="minorHAnsi"/>
              </w:rPr>
            </w:pPr>
            <w:r w:rsidRPr="00A66AA5">
              <w:rPr>
                <w:rFonts w:cstheme="minorHAnsi"/>
              </w:rPr>
              <w:t xml:space="preserve">Version amended </w:t>
            </w:r>
          </w:p>
        </w:tc>
        <w:tc>
          <w:tcPr>
            <w:tcW w:w="7557" w:type="dxa"/>
          </w:tcPr>
          <w:p w14:paraId="12BA36F8" w14:textId="77777777" w:rsidR="008314E1" w:rsidRPr="00A66AA5" w:rsidRDefault="008314E1" w:rsidP="0027650F">
            <w:pPr>
              <w:rPr>
                <w:rFonts w:cstheme="minorHAnsi"/>
              </w:rPr>
            </w:pPr>
            <w:r w:rsidRPr="00A66AA5">
              <w:rPr>
                <w:rFonts w:cstheme="minorHAnsi"/>
              </w:rPr>
              <w:t xml:space="preserve">Reason for Amendment </w:t>
            </w:r>
          </w:p>
        </w:tc>
      </w:tr>
      <w:tr w:rsidR="008314E1" w:rsidRPr="00A66AA5" w14:paraId="2F301ABA" w14:textId="77777777" w:rsidTr="0027650F">
        <w:trPr>
          <w:trHeight w:val="395"/>
        </w:trPr>
        <w:tc>
          <w:tcPr>
            <w:tcW w:w="2221" w:type="dxa"/>
          </w:tcPr>
          <w:p w14:paraId="5DD242AC" w14:textId="77777777" w:rsidR="008314E1" w:rsidRPr="00BE6CE4" w:rsidRDefault="008314E1" w:rsidP="0027650F">
            <w:pPr>
              <w:rPr>
                <w:rFonts w:cstheme="minorHAnsi"/>
              </w:rPr>
            </w:pPr>
            <w:r w:rsidRPr="00BE6CE4">
              <w:rPr>
                <w:rFonts w:cstheme="minorHAnsi"/>
              </w:rPr>
              <w:t xml:space="preserve">Version 1.0 </w:t>
            </w:r>
          </w:p>
          <w:p w14:paraId="6654A244" w14:textId="77777777" w:rsidR="008314E1" w:rsidRPr="00BE6CE4" w:rsidRDefault="008314E1" w:rsidP="0027650F">
            <w:pPr>
              <w:rPr>
                <w:rFonts w:cstheme="minorHAnsi"/>
              </w:rPr>
            </w:pPr>
          </w:p>
        </w:tc>
        <w:tc>
          <w:tcPr>
            <w:tcW w:w="7557" w:type="dxa"/>
          </w:tcPr>
          <w:p w14:paraId="57E1E61D" w14:textId="77777777" w:rsidR="008314E1" w:rsidRPr="00366D63" w:rsidRDefault="008314E1" w:rsidP="008314E1">
            <w:pPr>
              <w:pStyle w:val="ListParagraph"/>
              <w:numPr>
                <w:ilvl w:val="0"/>
                <w:numId w:val="4"/>
              </w:numPr>
              <w:spacing w:line="240" w:lineRule="auto"/>
              <w:ind w:left="372"/>
              <w:jc w:val="both"/>
            </w:pPr>
            <w:r w:rsidRPr="0054437E">
              <w:rPr>
                <w:rFonts w:cstheme="minorHAnsi"/>
              </w:rPr>
              <w:t xml:space="preserve"> At the </w:t>
            </w:r>
            <w:r w:rsidRPr="00366D63">
              <w:t>request of the MHRA some administrative changes were made, to commence reporting of Adverse Events from the time of consent and change of wording from 1 day to 24 hours regarding timelines for events reporting.</w:t>
            </w:r>
          </w:p>
          <w:p w14:paraId="1045D775" w14:textId="77777777" w:rsidR="008314E1" w:rsidRPr="00366D63" w:rsidRDefault="008314E1" w:rsidP="008314E1">
            <w:pPr>
              <w:pStyle w:val="ListParagraph"/>
              <w:numPr>
                <w:ilvl w:val="0"/>
                <w:numId w:val="4"/>
              </w:numPr>
              <w:spacing w:line="240" w:lineRule="auto"/>
              <w:ind w:left="372"/>
              <w:jc w:val="both"/>
            </w:pPr>
            <w:r w:rsidRPr="00366D63">
              <w:t xml:space="preserve">Expectedness of SAE assessed by the sponsor clinical reviewer only </w:t>
            </w:r>
          </w:p>
          <w:p w14:paraId="62674CB6" w14:textId="77777777" w:rsidR="008314E1" w:rsidRPr="00366D63" w:rsidRDefault="008314E1" w:rsidP="008314E1">
            <w:pPr>
              <w:pStyle w:val="ListParagraph"/>
              <w:numPr>
                <w:ilvl w:val="0"/>
                <w:numId w:val="4"/>
              </w:numPr>
              <w:spacing w:line="240" w:lineRule="auto"/>
              <w:ind w:left="372"/>
              <w:jc w:val="both"/>
            </w:pPr>
            <w:r w:rsidRPr="00366D63">
              <w:t xml:space="preserve">Update to the wording for the health economics analysis and administrative change to the Health Economic section to allow clearer delineation from the main trial analysis. </w:t>
            </w:r>
          </w:p>
          <w:p w14:paraId="2FF6DE93" w14:textId="77777777" w:rsidR="008314E1" w:rsidRPr="00366D63" w:rsidRDefault="008314E1" w:rsidP="008314E1">
            <w:pPr>
              <w:pStyle w:val="ListParagraph"/>
              <w:numPr>
                <w:ilvl w:val="0"/>
                <w:numId w:val="4"/>
              </w:numPr>
              <w:spacing w:line="240" w:lineRule="auto"/>
              <w:ind w:left="372"/>
              <w:jc w:val="both"/>
            </w:pPr>
            <w:r w:rsidRPr="00366D63">
              <w:t>Administration changes to the NAE reporting section to make timelines for sites reporting events clearer.</w:t>
            </w:r>
          </w:p>
          <w:p w14:paraId="2CC57BEE" w14:textId="77777777" w:rsidR="008314E1" w:rsidRPr="00366D63" w:rsidRDefault="008314E1" w:rsidP="008314E1">
            <w:pPr>
              <w:pStyle w:val="ListParagraph"/>
              <w:numPr>
                <w:ilvl w:val="0"/>
                <w:numId w:val="4"/>
              </w:numPr>
              <w:spacing w:line="240" w:lineRule="auto"/>
              <w:ind w:left="372"/>
              <w:jc w:val="both"/>
              <w:rPr>
                <w:rFonts w:cstheme="minorHAnsi"/>
              </w:rPr>
            </w:pPr>
            <w:r w:rsidRPr="00366D63">
              <w:t>Appendix 4 removed, readers are referred to the current and approved</w:t>
            </w:r>
            <w:r>
              <w:rPr>
                <w:rFonts w:cstheme="minorHAnsi"/>
              </w:rPr>
              <w:t xml:space="preserve"> versions of SPCs for the study (section 4.8) </w:t>
            </w:r>
          </w:p>
        </w:tc>
      </w:tr>
      <w:tr w:rsidR="008314E1" w:rsidRPr="00A66AA5" w14:paraId="26146EA8" w14:textId="77777777" w:rsidTr="0027650F">
        <w:trPr>
          <w:trHeight w:val="395"/>
        </w:trPr>
        <w:tc>
          <w:tcPr>
            <w:tcW w:w="2221" w:type="dxa"/>
          </w:tcPr>
          <w:p w14:paraId="637E0D10" w14:textId="77777777" w:rsidR="008314E1" w:rsidRPr="00BE6CE4" w:rsidRDefault="008314E1" w:rsidP="0027650F">
            <w:pPr>
              <w:rPr>
                <w:rFonts w:cstheme="minorHAnsi"/>
              </w:rPr>
            </w:pPr>
            <w:r>
              <w:rPr>
                <w:rFonts w:cstheme="minorHAnsi"/>
              </w:rPr>
              <w:t xml:space="preserve">Version 2.0 </w:t>
            </w:r>
          </w:p>
        </w:tc>
        <w:tc>
          <w:tcPr>
            <w:tcW w:w="7557" w:type="dxa"/>
          </w:tcPr>
          <w:p w14:paraId="75C80131" w14:textId="77777777" w:rsidR="008314E1" w:rsidRPr="00366D63" w:rsidRDefault="008314E1" w:rsidP="008314E1">
            <w:pPr>
              <w:pStyle w:val="ListParagraph"/>
              <w:numPr>
                <w:ilvl w:val="0"/>
                <w:numId w:val="4"/>
              </w:numPr>
              <w:spacing w:line="240" w:lineRule="auto"/>
              <w:ind w:left="372"/>
              <w:jc w:val="both"/>
            </w:pPr>
            <w:r w:rsidRPr="00366D63">
              <w:t xml:space="preserve">Participant timeline amended to make trial assessments clearer and to distinguish between treatment arms. </w:t>
            </w:r>
          </w:p>
          <w:p w14:paraId="14E2A19A" w14:textId="77777777" w:rsidR="008314E1" w:rsidRPr="00366D63" w:rsidRDefault="008314E1" w:rsidP="008314E1">
            <w:pPr>
              <w:pStyle w:val="ListParagraph"/>
              <w:numPr>
                <w:ilvl w:val="0"/>
                <w:numId w:val="4"/>
              </w:numPr>
              <w:spacing w:line="240" w:lineRule="auto"/>
              <w:ind w:left="372"/>
              <w:jc w:val="both"/>
            </w:pPr>
            <w:r w:rsidRPr="00366D63">
              <w:t xml:space="preserve">Information on EMA recommendation regarding the use of DOACs added. </w:t>
            </w:r>
          </w:p>
          <w:p w14:paraId="555E3A88" w14:textId="77777777" w:rsidR="008314E1" w:rsidRPr="00366D63" w:rsidRDefault="008314E1" w:rsidP="008314E1">
            <w:pPr>
              <w:pStyle w:val="ListParagraph"/>
              <w:numPr>
                <w:ilvl w:val="0"/>
                <w:numId w:val="4"/>
              </w:numPr>
              <w:spacing w:line="240" w:lineRule="auto"/>
              <w:ind w:left="372"/>
              <w:jc w:val="both"/>
            </w:pPr>
            <w:r w:rsidRPr="00366D63">
              <w:t xml:space="preserve">Advice from the new EULAR guidelines regarding the optimal INR range based on the risk of bleeding and recurrent thrombosis has been incorporated. </w:t>
            </w:r>
          </w:p>
          <w:p w14:paraId="1AF845FB" w14:textId="77777777" w:rsidR="008314E1" w:rsidRPr="00366D63" w:rsidRDefault="008314E1" w:rsidP="008314E1">
            <w:pPr>
              <w:pStyle w:val="ListParagraph"/>
              <w:numPr>
                <w:ilvl w:val="0"/>
                <w:numId w:val="4"/>
              </w:numPr>
              <w:spacing w:line="240" w:lineRule="auto"/>
              <w:ind w:left="372"/>
              <w:jc w:val="both"/>
            </w:pPr>
            <w:r w:rsidRPr="00366D63">
              <w:t xml:space="preserve">Minor change to wording in inclusion criteria. </w:t>
            </w:r>
          </w:p>
          <w:p w14:paraId="41A1681A" w14:textId="77777777" w:rsidR="008314E1" w:rsidRPr="00366D63" w:rsidRDefault="008314E1" w:rsidP="008314E1">
            <w:pPr>
              <w:pStyle w:val="ListParagraph"/>
              <w:numPr>
                <w:ilvl w:val="0"/>
                <w:numId w:val="4"/>
              </w:numPr>
              <w:spacing w:line="240" w:lineRule="auto"/>
              <w:ind w:left="372"/>
              <w:jc w:val="both"/>
            </w:pPr>
            <w:r w:rsidRPr="00366D63">
              <w:t xml:space="preserve">Removed requirement to include rivaroxaban manufacturer’s patient information leaflet as per the advice of the Sponsor. </w:t>
            </w:r>
          </w:p>
          <w:p w14:paraId="682396F1" w14:textId="77777777" w:rsidR="008314E1" w:rsidRPr="00366D63" w:rsidRDefault="008314E1" w:rsidP="008314E1">
            <w:pPr>
              <w:pStyle w:val="ListParagraph"/>
              <w:numPr>
                <w:ilvl w:val="0"/>
                <w:numId w:val="4"/>
              </w:numPr>
              <w:spacing w:line="240" w:lineRule="auto"/>
              <w:ind w:left="372"/>
              <w:jc w:val="both"/>
            </w:pPr>
            <w:r w:rsidRPr="00366D63">
              <w:t xml:space="preserve">Regular safety reports, initially monthly, to the Independent Data Monitoring Committee (IDMC) added to address the need for additional safety measures due to the EMA recommendation. </w:t>
            </w:r>
          </w:p>
          <w:p w14:paraId="3862922A" w14:textId="77777777" w:rsidR="008314E1" w:rsidRPr="00366D63" w:rsidRDefault="008314E1" w:rsidP="008314E1">
            <w:pPr>
              <w:pStyle w:val="ListParagraph"/>
              <w:numPr>
                <w:ilvl w:val="0"/>
                <w:numId w:val="4"/>
              </w:numPr>
              <w:spacing w:line="240" w:lineRule="auto"/>
              <w:ind w:left="372"/>
              <w:jc w:val="both"/>
            </w:pPr>
            <w:r w:rsidRPr="00366D63">
              <w:t xml:space="preserve">The requirement to collect pregnancy outcomes, should a participant fall pregnant while on the trial or in follow up, has been incorporated in the protocol. </w:t>
            </w:r>
          </w:p>
          <w:p w14:paraId="388E1D57" w14:textId="77777777" w:rsidR="008314E1" w:rsidRPr="00366D63" w:rsidRDefault="008314E1" w:rsidP="008314E1">
            <w:pPr>
              <w:pStyle w:val="ListParagraph"/>
              <w:numPr>
                <w:ilvl w:val="0"/>
                <w:numId w:val="4"/>
              </w:numPr>
              <w:spacing w:line="240" w:lineRule="auto"/>
              <w:ind w:left="372"/>
              <w:jc w:val="both"/>
            </w:pPr>
            <w:r w:rsidRPr="00366D63">
              <w:t>Clarification on NAE reporting</w:t>
            </w:r>
          </w:p>
          <w:p w14:paraId="3F086268" w14:textId="77777777" w:rsidR="008314E1" w:rsidRPr="00366D63" w:rsidRDefault="008314E1" w:rsidP="008314E1">
            <w:pPr>
              <w:pStyle w:val="ListParagraph"/>
              <w:numPr>
                <w:ilvl w:val="0"/>
                <w:numId w:val="4"/>
              </w:numPr>
              <w:spacing w:line="240" w:lineRule="auto"/>
              <w:ind w:left="372"/>
              <w:jc w:val="both"/>
            </w:pPr>
            <w:r w:rsidRPr="00366D63">
              <w:t>St George’s Hospital has been added as a new participating site with Dr Arvind Kaul as Principal Investigator</w:t>
            </w:r>
          </w:p>
          <w:p w14:paraId="3FB3F46A" w14:textId="77777777" w:rsidR="008314E1" w:rsidRPr="00366D63" w:rsidRDefault="008314E1" w:rsidP="008314E1">
            <w:pPr>
              <w:pStyle w:val="ListParagraph"/>
              <w:numPr>
                <w:ilvl w:val="0"/>
                <w:numId w:val="4"/>
              </w:numPr>
              <w:spacing w:line="240" w:lineRule="auto"/>
              <w:ind w:left="372"/>
              <w:jc w:val="both"/>
            </w:pPr>
            <w:r w:rsidRPr="00366D63">
              <w:t xml:space="preserve">Lists of members of the IDMC and TMG have been updated. </w:t>
            </w:r>
          </w:p>
          <w:p w14:paraId="75B46F08" w14:textId="77777777" w:rsidR="008314E1" w:rsidRPr="0054437E" w:rsidRDefault="008314E1" w:rsidP="008314E1">
            <w:pPr>
              <w:pStyle w:val="ListParagraph"/>
              <w:numPr>
                <w:ilvl w:val="0"/>
                <w:numId w:val="4"/>
              </w:numPr>
              <w:spacing w:line="240" w:lineRule="auto"/>
              <w:ind w:left="372"/>
              <w:jc w:val="both"/>
              <w:rPr>
                <w:rFonts w:cstheme="minorHAnsi"/>
              </w:rPr>
            </w:pPr>
            <w:r w:rsidRPr="00366D63">
              <w:t>Administrative</w:t>
            </w:r>
            <w:r>
              <w:rPr>
                <w:rFonts w:cstheme="minorHAnsi"/>
              </w:rPr>
              <w:t xml:space="preserve"> changes throughout the protocol </w:t>
            </w:r>
          </w:p>
        </w:tc>
      </w:tr>
      <w:tr w:rsidR="008314E1" w:rsidRPr="00A66AA5" w14:paraId="299275E8" w14:textId="77777777" w:rsidTr="0027650F">
        <w:trPr>
          <w:trHeight w:val="395"/>
        </w:trPr>
        <w:tc>
          <w:tcPr>
            <w:tcW w:w="2221" w:type="dxa"/>
          </w:tcPr>
          <w:p w14:paraId="78E5FA78" w14:textId="77777777" w:rsidR="008314E1" w:rsidRDefault="008314E1" w:rsidP="0027650F">
            <w:pPr>
              <w:rPr>
                <w:rFonts w:cstheme="minorHAnsi"/>
              </w:rPr>
            </w:pPr>
            <w:r>
              <w:rPr>
                <w:rFonts w:cstheme="minorHAnsi"/>
              </w:rPr>
              <w:t>Version 3.0</w:t>
            </w:r>
          </w:p>
        </w:tc>
        <w:tc>
          <w:tcPr>
            <w:tcW w:w="7557" w:type="dxa"/>
          </w:tcPr>
          <w:p w14:paraId="29C6CCD3" w14:textId="77777777" w:rsidR="008314E1" w:rsidRPr="00366D63" w:rsidRDefault="008314E1" w:rsidP="008314E1">
            <w:pPr>
              <w:pStyle w:val="ListParagraph"/>
              <w:numPr>
                <w:ilvl w:val="0"/>
                <w:numId w:val="4"/>
              </w:numPr>
              <w:spacing w:line="240" w:lineRule="auto"/>
              <w:ind w:left="372"/>
              <w:jc w:val="both"/>
            </w:pPr>
            <w:r>
              <w:t>Date of first enrolment amended to March 2020 to reflect amended timelines</w:t>
            </w:r>
          </w:p>
          <w:p w14:paraId="4AAC7E9D" w14:textId="77777777" w:rsidR="008314E1" w:rsidRPr="00366D63" w:rsidRDefault="008314E1" w:rsidP="008314E1">
            <w:pPr>
              <w:pStyle w:val="ListParagraph"/>
              <w:numPr>
                <w:ilvl w:val="0"/>
                <w:numId w:val="4"/>
              </w:numPr>
              <w:spacing w:line="240" w:lineRule="auto"/>
              <w:ind w:left="372"/>
              <w:jc w:val="both"/>
            </w:pPr>
            <w:r>
              <w:t xml:space="preserve">Exclusion criterion 17 added which clarifies that participants should be excluded if the PI assesses that there is any other reason, not already listed in the exclusion criteria, which would make the participant unsuitable for trial treatment. </w:t>
            </w:r>
          </w:p>
          <w:p w14:paraId="56821D35" w14:textId="77777777" w:rsidR="008314E1" w:rsidRPr="00627F10" w:rsidRDefault="008314E1" w:rsidP="008314E1">
            <w:pPr>
              <w:pStyle w:val="ListParagraph"/>
              <w:numPr>
                <w:ilvl w:val="0"/>
                <w:numId w:val="4"/>
              </w:numPr>
              <w:spacing w:line="240" w:lineRule="auto"/>
              <w:ind w:left="372"/>
              <w:jc w:val="both"/>
              <w:rPr>
                <w:rFonts w:cstheme="minorHAnsi"/>
              </w:rPr>
            </w:pPr>
            <w:r>
              <w:t>All references to enrolling participants who require standard-intensity anticoagulation (standard dose rivaroxaban (20mg daily) or standard intensity warfarin (target INR 2.5, range 2.0-3.0) at enrolment, if they are deemed unsuitable for higher intensity/ dose treatment, has been removed.</w:t>
            </w:r>
          </w:p>
          <w:p w14:paraId="58A761BB" w14:textId="77777777" w:rsidR="008314E1" w:rsidRPr="00366D63" w:rsidRDefault="008314E1" w:rsidP="008314E1">
            <w:pPr>
              <w:pStyle w:val="ListParagraph"/>
              <w:numPr>
                <w:ilvl w:val="0"/>
                <w:numId w:val="4"/>
              </w:numPr>
              <w:spacing w:line="240" w:lineRule="auto"/>
              <w:ind w:left="372"/>
              <w:jc w:val="both"/>
            </w:pPr>
            <w:r>
              <w:t xml:space="preserve">The following statement has been added in relation to prescribing ranitidine, for patients who are allergic to or intolerant of PPIs:   Participants allergic to or intolerant to PPIs, will be prescribed ranitidine (if </w:t>
            </w:r>
            <w:r>
              <w:lastRenderedPageBreak/>
              <w:t>available) or a suitable equivalent, in accordance with local policy at the trial site.</w:t>
            </w:r>
          </w:p>
          <w:p w14:paraId="285D16DB" w14:textId="0C413FDB" w:rsidR="008314E1" w:rsidRPr="003A05D4" w:rsidRDefault="008314E1" w:rsidP="008314E1">
            <w:pPr>
              <w:pStyle w:val="ListParagraph"/>
              <w:numPr>
                <w:ilvl w:val="0"/>
                <w:numId w:val="4"/>
              </w:numPr>
              <w:spacing w:line="240" w:lineRule="auto"/>
              <w:ind w:left="372"/>
              <w:jc w:val="both"/>
              <w:rPr>
                <w:i/>
                <w:iCs/>
              </w:rPr>
            </w:pPr>
            <w:r>
              <w:t xml:space="preserve">Section 6.4.4.1 (Criteria for </w:t>
            </w:r>
            <w:r w:rsidR="0045665F">
              <w:t>anticoagulation review</w:t>
            </w:r>
            <w:r>
              <w:t xml:space="preserve"> during the trial) has been reworded to</w:t>
            </w:r>
            <w:r w:rsidR="0045665F" w:rsidRPr="0045665F">
              <w:t xml:space="preserve"> remove the option of dose reduction of rivaroxaban to 20mg once daily in patients who experience </w:t>
            </w:r>
            <w:r w:rsidR="0045665F">
              <w:t xml:space="preserve">major or </w:t>
            </w:r>
            <w:r w:rsidR="0045665F" w:rsidRPr="0045665F">
              <w:t xml:space="preserve">clinically relevant, non-major bleeding on </w:t>
            </w:r>
            <w:r w:rsidR="0045665F">
              <w:t xml:space="preserve">high-dose </w:t>
            </w:r>
            <w:r w:rsidR="0045665F" w:rsidRPr="0045665F">
              <w:t>rivaroxaban</w:t>
            </w:r>
            <w:r w:rsidR="0045665F">
              <w:t xml:space="preserve"> (15mg twice daily)</w:t>
            </w:r>
            <w:r w:rsidR="0045665F" w:rsidRPr="0045665F">
              <w:t xml:space="preserve"> and are assessed as suitable for standard-intensity anticoagulation</w:t>
            </w:r>
            <w:r w:rsidRPr="00366D63">
              <w:t xml:space="preserve">.  The following alternative options have also been provided for patients who experience bleeding: </w:t>
            </w:r>
            <w:r>
              <w:t>s</w:t>
            </w:r>
            <w:r w:rsidRPr="00CD5368">
              <w:t>ubcutaneous</w:t>
            </w:r>
            <w:r>
              <w:t xml:space="preserve"> LMWH during short-term bleeds with consideration of split-dose LMWH, or temporary cessation of anticoagulation.</w:t>
            </w:r>
            <w:r w:rsidR="0045665F">
              <w:t xml:space="preserve"> </w:t>
            </w:r>
            <w:r w:rsidR="0045665F" w:rsidRPr="003A05D4">
              <w:rPr>
                <w:i/>
                <w:iCs/>
              </w:rPr>
              <w:t>(</w:t>
            </w:r>
            <w:proofErr w:type="spellStart"/>
            <w:proofErr w:type="gramStart"/>
            <w:r w:rsidR="0045665F" w:rsidRPr="003A05D4">
              <w:rPr>
                <w:i/>
                <w:iCs/>
              </w:rPr>
              <w:t>nb</w:t>
            </w:r>
            <w:proofErr w:type="gramEnd"/>
            <w:r w:rsidR="0045665F" w:rsidRPr="003A05D4">
              <w:rPr>
                <w:i/>
                <w:iCs/>
              </w:rPr>
              <w:t>.</w:t>
            </w:r>
            <w:proofErr w:type="spellEnd"/>
            <w:r w:rsidR="0045665F" w:rsidRPr="003A05D4">
              <w:rPr>
                <w:i/>
                <w:iCs/>
              </w:rPr>
              <w:t xml:space="preserve"> This change was made prior to active enrolment of participants).</w:t>
            </w:r>
          </w:p>
          <w:p w14:paraId="164293D2" w14:textId="77777777" w:rsidR="008314E1" w:rsidRPr="00366D63" w:rsidRDefault="008314E1" w:rsidP="008314E1">
            <w:pPr>
              <w:pStyle w:val="ListParagraph"/>
              <w:numPr>
                <w:ilvl w:val="0"/>
                <w:numId w:val="4"/>
              </w:numPr>
              <w:spacing w:line="240" w:lineRule="auto"/>
              <w:ind w:left="372"/>
              <w:jc w:val="both"/>
            </w:pPr>
            <w:r w:rsidRPr="00366D63">
              <w:t xml:space="preserve">The existing table which outlines initiation/ switching regimens at enrolment has been amended and new information added for participants on subcutaneous LMWH randomised to warfarin, participants on an antiplatelet agent randomised to rivaroxaban or warfarin and for patients not on anticoagulation or an antiplatelet agent, randomised to rivaroxaban or warfarin.  </w:t>
            </w:r>
          </w:p>
          <w:p w14:paraId="132DA4FA" w14:textId="77777777" w:rsidR="008314E1" w:rsidRPr="00366D63" w:rsidRDefault="008314E1" w:rsidP="008314E1">
            <w:pPr>
              <w:pStyle w:val="ListParagraph"/>
              <w:numPr>
                <w:ilvl w:val="0"/>
                <w:numId w:val="4"/>
              </w:numPr>
              <w:spacing w:line="240" w:lineRule="auto"/>
              <w:ind w:left="372"/>
              <w:jc w:val="both"/>
            </w:pPr>
            <w:r w:rsidRPr="00366D63">
              <w:t>Participants are advised to attend their nearest A&amp;E/ emergency department immediately in the event of a suspected thrombosis or bleed (or other emergency). Previously the advice given was to attend their nearest A&amp;E department.</w:t>
            </w:r>
          </w:p>
          <w:p w14:paraId="591EBB73" w14:textId="77777777" w:rsidR="008314E1" w:rsidRPr="00366D63" w:rsidRDefault="008314E1" w:rsidP="008314E1">
            <w:pPr>
              <w:pStyle w:val="ListParagraph"/>
              <w:numPr>
                <w:ilvl w:val="0"/>
                <w:numId w:val="4"/>
              </w:numPr>
              <w:spacing w:line="240" w:lineRule="auto"/>
              <w:ind w:left="372"/>
              <w:jc w:val="both"/>
            </w:pPr>
            <w:r w:rsidRPr="00366D63">
              <w:t xml:space="preserve">It has been clarified that in case of weight reduction of 10% or more between trial visits, or a weight reduction to less than 50kg, the UCL Comprehensive Clinical Trials Unit (CCTU) should be informed to discuss the clinical management of the patient.   </w:t>
            </w:r>
          </w:p>
          <w:p w14:paraId="0B0A0033" w14:textId="77777777" w:rsidR="008314E1" w:rsidRPr="00366D63" w:rsidRDefault="008314E1" w:rsidP="008314E1">
            <w:pPr>
              <w:pStyle w:val="ListParagraph"/>
              <w:numPr>
                <w:ilvl w:val="0"/>
                <w:numId w:val="4"/>
              </w:numPr>
              <w:spacing w:line="240" w:lineRule="auto"/>
              <w:ind w:left="372"/>
              <w:jc w:val="both"/>
            </w:pPr>
            <w:r>
              <w:t>Clarification has been added that CCTU will provide information relating to the pregnancy for participants on rivaroxaban only.</w:t>
            </w:r>
          </w:p>
          <w:p w14:paraId="19B65AB4" w14:textId="77777777" w:rsidR="008314E1" w:rsidRPr="00366D63" w:rsidRDefault="008314E1" w:rsidP="008314E1">
            <w:pPr>
              <w:pStyle w:val="ListParagraph"/>
              <w:numPr>
                <w:ilvl w:val="0"/>
                <w:numId w:val="4"/>
              </w:numPr>
              <w:spacing w:line="240" w:lineRule="auto"/>
              <w:ind w:left="372"/>
              <w:jc w:val="both"/>
            </w:pPr>
            <w:r>
              <w:t xml:space="preserve">Reference to recirculating unused rivaroxaban in to general hospital stock has been removed as there is no arrangement for this. </w:t>
            </w:r>
          </w:p>
          <w:p w14:paraId="03C26B62" w14:textId="77777777" w:rsidR="008314E1" w:rsidRPr="00366D63" w:rsidRDefault="008314E1" w:rsidP="008314E1">
            <w:pPr>
              <w:pStyle w:val="ListParagraph"/>
              <w:numPr>
                <w:ilvl w:val="0"/>
                <w:numId w:val="4"/>
              </w:numPr>
              <w:spacing w:line="240" w:lineRule="auto"/>
              <w:ind w:left="372"/>
              <w:jc w:val="both"/>
            </w:pPr>
            <w:r w:rsidRPr="00366D63">
              <w:t>Antiepileptic medications have been added to medications to be used with care and to pre-randomisation notifications to UCL CCTU</w:t>
            </w:r>
          </w:p>
          <w:p w14:paraId="549E46B9" w14:textId="77777777" w:rsidR="008314E1" w:rsidRPr="00366D63" w:rsidRDefault="008314E1" w:rsidP="008314E1">
            <w:pPr>
              <w:pStyle w:val="ListParagraph"/>
              <w:numPr>
                <w:ilvl w:val="0"/>
                <w:numId w:val="4"/>
              </w:numPr>
              <w:spacing w:line="240" w:lineRule="auto"/>
              <w:ind w:left="372"/>
              <w:jc w:val="both"/>
            </w:pPr>
            <w:r w:rsidRPr="00366D63">
              <w:t>Clarification on dispensing has been added</w:t>
            </w:r>
          </w:p>
          <w:p w14:paraId="570C02EB" w14:textId="77777777" w:rsidR="008314E1" w:rsidRPr="00366D63" w:rsidRDefault="008314E1" w:rsidP="008314E1">
            <w:pPr>
              <w:pStyle w:val="ListParagraph"/>
              <w:numPr>
                <w:ilvl w:val="0"/>
                <w:numId w:val="4"/>
              </w:numPr>
              <w:spacing w:line="240" w:lineRule="auto"/>
              <w:ind w:left="372"/>
              <w:jc w:val="both"/>
            </w:pPr>
            <w:r>
              <w:t>Section 6.9.2.1 has been updated with additional information in relation to the handling of imaging data.</w:t>
            </w:r>
          </w:p>
          <w:p w14:paraId="02D8D7CD" w14:textId="77777777" w:rsidR="008314E1" w:rsidRPr="00366D63" w:rsidRDefault="008314E1" w:rsidP="008314E1">
            <w:pPr>
              <w:pStyle w:val="ListParagraph"/>
              <w:numPr>
                <w:ilvl w:val="0"/>
                <w:numId w:val="4"/>
              </w:numPr>
              <w:spacing w:line="240" w:lineRule="auto"/>
              <w:ind w:left="372"/>
              <w:jc w:val="both"/>
            </w:pPr>
            <w:r w:rsidRPr="00366D63">
              <w:t xml:space="preserve">This is the fourth version of the RISAPS protocol and there have been three substantial amendments to the original protocol. </w:t>
            </w:r>
          </w:p>
          <w:p w14:paraId="53DB9290" w14:textId="77777777" w:rsidR="008314E1" w:rsidRPr="00792D86" w:rsidRDefault="008314E1" w:rsidP="008314E1">
            <w:pPr>
              <w:pStyle w:val="ListParagraph"/>
              <w:numPr>
                <w:ilvl w:val="0"/>
                <w:numId w:val="4"/>
              </w:numPr>
              <w:spacing w:line="240" w:lineRule="auto"/>
              <w:ind w:left="372"/>
              <w:jc w:val="both"/>
              <w:rPr>
                <w:rFonts w:cstheme="minorHAnsi"/>
              </w:rPr>
            </w:pPr>
            <w:r w:rsidRPr="00366D63">
              <w:t>Minor administrative changes have been made throughout the document</w:t>
            </w:r>
            <w:r>
              <w:rPr>
                <w:rFonts w:cstheme="minorHAnsi"/>
              </w:rPr>
              <w:t xml:space="preserve">. </w:t>
            </w:r>
          </w:p>
        </w:tc>
      </w:tr>
      <w:tr w:rsidR="008314E1" w:rsidRPr="00A66AA5" w14:paraId="4F2717FB" w14:textId="77777777" w:rsidTr="0027650F">
        <w:trPr>
          <w:trHeight w:val="395"/>
        </w:trPr>
        <w:tc>
          <w:tcPr>
            <w:tcW w:w="2221" w:type="dxa"/>
          </w:tcPr>
          <w:p w14:paraId="72C21CB8" w14:textId="77777777" w:rsidR="008314E1" w:rsidRDefault="008314E1" w:rsidP="0027650F">
            <w:pPr>
              <w:rPr>
                <w:rFonts w:cstheme="minorHAnsi"/>
              </w:rPr>
            </w:pPr>
            <w:r>
              <w:rPr>
                <w:rFonts w:cstheme="minorHAnsi"/>
              </w:rPr>
              <w:lastRenderedPageBreak/>
              <w:t>Version 4.0</w:t>
            </w:r>
          </w:p>
        </w:tc>
        <w:tc>
          <w:tcPr>
            <w:tcW w:w="7557" w:type="dxa"/>
          </w:tcPr>
          <w:p w14:paraId="1BD4BE13" w14:textId="77777777" w:rsidR="008314E1" w:rsidRDefault="008314E1" w:rsidP="008314E1">
            <w:pPr>
              <w:pStyle w:val="ListParagraph"/>
              <w:numPr>
                <w:ilvl w:val="0"/>
                <w:numId w:val="4"/>
              </w:numPr>
              <w:spacing w:line="240" w:lineRule="auto"/>
              <w:ind w:left="372"/>
              <w:jc w:val="both"/>
            </w:pPr>
            <w:r>
              <w:t>Administrative changes to TMT,TMG, TSC and IDMC</w:t>
            </w:r>
          </w:p>
          <w:p w14:paraId="4B8CA2DD" w14:textId="77777777" w:rsidR="008314E1" w:rsidRDefault="008314E1" w:rsidP="008314E1">
            <w:pPr>
              <w:pStyle w:val="ListParagraph"/>
              <w:numPr>
                <w:ilvl w:val="0"/>
                <w:numId w:val="4"/>
              </w:numPr>
              <w:spacing w:line="240" w:lineRule="auto"/>
              <w:ind w:left="372"/>
              <w:jc w:val="both"/>
            </w:pPr>
            <w:r>
              <w:t>Clarification added to 5.1 Background &amp; rationale</w:t>
            </w:r>
          </w:p>
          <w:p w14:paraId="6D50C875" w14:textId="77777777" w:rsidR="008314E1" w:rsidRDefault="008314E1" w:rsidP="008314E1">
            <w:pPr>
              <w:pStyle w:val="ListParagraph"/>
              <w:numPr>
                <w:ilvl w:val="0"/>
                <w:numId w:val="4"/>
              </w:numPr>
              <w:spacing w:line="240" w:lineRule="auto"/>
              <w:ind w:left="372"/>
              <w:jc w:val="both"/>
            </w:pPr>
            <w:r>
              <w:t xml:space="preserve">Clarification added to </w:t>
            </w:r>
            <w:r w:rsidRPr="00CA0E75">
              <w:t>6.3.1.7</w:t>
            </w:r>
            <w:r>
              <w:t xml:space="preserve"> </w:t>
            </w:r>
            <w:r w:rsidRPr="00CA0E75">
              <w:t>Screening Procedures and Pre-randomisation Investigations</w:t>
            </w:r>
            <w:r>
              <w:t xml:space="preserve"> regarding enrolment of </w:t>
            </w:r>
            <w:r w:rsidRPr="00CA0E75">
              <w:t>triple aPL-positive</w:t>
            </w:r>
          </w:p>
        </w:tc>
      </w:tr>
      <w:tr w:rsidR="008314E1" w:rsidRPr="00A66AA5" w14:paraId="6C059B9F" w14:textId="77777777" w:rsidTr="0027650F">
        <w:trPr>
          <w:trHeight w:val="395"/>
        </w:trPr>
        <w:tc>
          <w:tcPr>
            <w:tcW w:w="2221" w:type="dxa"/>
          </w:tcPr>
          <w:p w14:paraId="29CFCC2E" w14:textId="77777777" w:rsidR="008314E1" w:rsidRDefault="008314E1" w:rsidP="0027650F">
            <w:pPr>
              <w:rPr>
                <w:rFonts w:cstheme="minorHAnsi"/>
              </w:rPr>
            </w:pPr>
            <w:r>
              <w:rPr>
                <w:rFonts w:cstheme="minorHAnsi"/>
              </w:rPr>
              <w:t>Version 4.1</w:t>
            </w:r>
          </w:p>
        </w:tc>
        <w:tc>
          <w:tcPr>
            <w:tcW w:w="7557" w:type="dxa"/>
          </w:tcPr>
          <w:p w14:paraId="23D8CBF1" w14:textId="77777777" w:rsidR="008314E1" w:rsidRDefault="008314E1" w:rsidP="008314E1">
            <w:pPr>
              <w:pStyle w:val="ListParagraph"/>
              <w:numPr>
                <w:ilvl w:val="0"/>
                <w:numId w:val="4"/>
              </w:numPr>
              <w:spacing w:line="240" w:lineRule="auto"/>
              <w:ind w:left="372"/>
              <w:jc w:val="both"/>
            </w:pPr>
            <w:r>
              <w:t>Provided further information on assessing triple positivity aPL diagnosis</w:t>
            </w:r>
          </w:p>
          <w:p w14:paraId="4F149E1D" w14:textId="77777777" w:rsidR="008314E1" w:rsidRDefault="008314E1" w:rsidP="008314E1">
            <w:pPr>
              <w:pStyle w:val="ListParagraph"/>
              <w:numPr>
                <w:ilvl w:val="0"/>
                <w:numId w:val="4"/>
              </w:numPr>
              <w:spacing w:line="240" w:lineRule="auto"/>
              <w:ind w:left="372"/>
              <w:jc w:val="both"/>
            </w:pPr>
            <w:r>
              <w:t>Added to the exclusion criteria:</w:t>
            </w:r>
          </w:p>
          <w:p w14:paraId="650295E6" w14:textId="77777777" w:rsidR="008314E1" w:rsidRDefault="008314E1" w:rsidP="008314E1">
            <w:pPr>
              <w:pStyle w:val="ListParagraph"/>
              <w:numPr>
                <w:ilvl w:val="1"/>
                <w:numId w:val="4"/>
              </w:numPr>
              <w:spacing w:line="240" w:lineRule="auto"/>
              <w:ind w:left="931"/>
              <w:jc w:val="both"/>
            </w:pPr>
            <w:r>
              <w:t>triple positive aPL antibodies</w:t>
            </w:r>
          </w:p>
          <w:p w14:paraId="2F3D90D1" w14:textId="77777777" w:rsidR="008314E1" w:rsidRDefault="008314E1" w:rsidP="008314E1">
            <w:pPr>
              <w:pStyle w:val="ListParagraph"/>
              <w:numPr>
                <w:ilvl w:val="1"/>
                <w:numId w:val="4"/>
              </w:numPr>
              <w:spacing w:line="240" w:lineRule="auto"/>
              <w:ind w:left="931"/>
              <w:jc w:val="both"/>
            </w:pPr>
            <w:r>
              <w:t>weight restriction</w:t>
            </w:r>
          </w:p>
          <w:p w14:paraId="67E969DB" w14:textId="77777777" w:rsidR="008314E1" w:rsidRDefault="008314E1" w:rsidP="008314E1">
            <w:pPr>
              <w:pStyle w:val="ListParagraph"/>
              <w:numPr>
                <w:ilvl w:val="1"/>
                <w:numId w:val="4"/>
              </w:numPr>
              <w:spacing w:line="240" w:lineRule="auto"/>
              <w:ind w:left="931"/>
              <w:jc w:val="both"/>
            </w:pPr>
            <w:r>
              <w:t>sodium valproate/valproic acid and topiramate</w:t>
            </w:r>
          </w:p>
          <w:p w14:paraId="008EDECA" w14:textId="77777777" w:rsidR="008314E1" w:rsidRDefault="008314E1" w:rsidP="008314E1">
            <w:pPr>
              <w:pStyle w:val="ListParagraph"/>
              <w:numPr>
                <w:ilvl w:val="1"/>
                <w:numId w:val="4"/>
              </w:numPr>
              <w:spacing w:line="240" w:lineRule="auto"/>
              <w:ind w:left="931"/>
              <w:jc w:val="both"/>
            </w:pPr>
            <w:r>
              <w:t>patients who have had active cancer</w:t>
            </w:r>
          </w:p>
          <w:p w14:paraId="040591E6" w14:textId="77777777" w:rsidR="008314E1" w:rsidRDefault="008314E1" w:rsidP="008314E1">
            <w:pPr>
              <w:pStyle w:val="ListParagraph"/>
              <w:numPr>
                <w:ilvl w:val="0"/>
                <w:numId w:val="4"/>
              </w:numPr>
              <w:spacing w:line="240" w:lineRule="auto"/>
              <w:ind w:left="372"/>
              <w:jc w:val="both"/>
            </w:pPr>
            <w:r>
              <w:t>Site to discuss and/or notify UCL CCTU on the following:</w:t>
            </w:r>
          </w:p>
          <w:p w14:paraId="64BAE5F7" w14:textId="77777777" w:rsidR="008314E1" w:rsidRDefault="008314E1" w:rsidP="008314E1">
            <w:pPr>
              <w:pStyle w:val="ListParagraph"/>
              <w:numPr>
                <w:ilvl w:val="1"/>
                <w:numId w:val="4"/>
              </w:numPr>
              <w:spacing w:line="240" w:lineRule="auto"/>
              <w:ind w:left="931"/>
              <w:jc w:val="both"/>
            </w:pPr>
            <w:r>
              <w:lastRenderedPageBreak/>
              <w:t>Pre-existing moderate renal impairment or development of moderate or severe renal impairment during the trial</w:t>
            </w:r>
          </w:p>
          <w:p w14:paraId="71153005" w14:textId="77777777" w:rsidR="008314E1" w:rsidRDefault="008314E1" w:rsidP="008314E1">
            <w:pPr>
              <w:pStyle w:val="ListParagraph"/>
              <w:numPr>
                <w:ilvl w:val="1"/>
                <w:numId w:val="4"/>
              </w:numPr>
              <w:spacing w:line="240" w:lineRule="auto"/>
              <w:ind w:left="931"/>
              <w:jc w:val="both"/>
            </w:pPr>
            <w:r>
              <w:t>Participants taking antiplatelets, long-term NSAIDs, SSRI or SNRI during the trial</w:t>
            </w:r>
          </w:p>
          <w:p w14:paraId="54E010FF" w14:textId="77777777" w:rsidR="008314E1" w:rsidRDefault="008314E1" w:rsidP="008314E1">
            <w:pPr>
              <w:pStyle w:val="ListParagraph"/>
              <w:numPr>
                <w:ilvl w:val="1"/>
                <w:numId w:val="4"/>
              </w:numPr>
              <w:spacing w:line="240" w:lineRule="auto"/>
              <w:ind w:left="931"/>
              <w:jc w:val="both"/>
            </w:pPr>
            <w:r>
              <w:t>Severe or persistent bleeding or symptoms of thrombosis</w:t>
            </w:r>
          </w:p>
          <w:p w14:paraId="32F8F71B" w14:textId="77777777" w:rsidR="008314E1" w:rsidRDefault="008314E1" w:rsidP="008314E1">
            <w:pPr>
              <w:pStyle w:val="ListParagraph"/>
              <w:numPr>
                <w:ilvl w:val="1"/>
                <w:numId w:val="4"/>
              </w:numPr>
              <w:spacing w:line="240" w:lineRule="auto"/>
              <w:ind w:left="931"/>
              <w:jc w:val="both"/>
            </w:pPr>
            <w:r>
              <w:t>Significant changes in weight</w:t>
            </w:r>
          </w:p>
          <w:p w14:paraId="142C92F0" w14:textId="77777777" w:rsidR="008314E1" w:rsidRDefault="008314E1" w:rsidP="008314E1">
            <w:pPr>
              <w:pStyle w:val="ListParagraph"/>
              <w:numPr>
                <w:ilvl w:val="0"/>
                <w:numId w:val="4"/>
              </w:numPr>
              <w:spacing w:line="240" w:lineRule="auto"/>
              <w:ind w:left="372"/>
              <w:jc w:val="both"/>
            </w:pPr>
            <w:r>
              <w:t>FBC (for patients on rivaroxaban) can be collected outside of recruiting site if needed</w:t>
            </w:r>
          </w:p>
          <w:p w14:paraId="0D0DC9A6" w14:textId="77777777" w:rsidR="008314E1" w:rsidRDefault="008314E1" w:rsidP="008314E1">
            <w:pPr>
              <w:pStyle w:val="ListParagraph"/>
              <w:numPr>
                <w:ilvl w:val="0"/>
                <w:numId w:val="4"/>
              </w:numPr>
              <w:spacing w:line="240" w:lineRule="auto"/>
              <w:ind w:left="372"/>
              <w:jc w:val="both"/>
            </w:pPr>
            <w:r>
              <w:t xml:space="preserve">Updated guidance in initiating/switching regimens </w:t>
            </w:r>
          </w:p>
          <w:p w14:paraId="64FD8B37" w14:textId="77777777" w:rsidR="008314E1" w:rsidRDefault="008314E1" w:rsidP="008314E1">
            <w:pPr>
              <w:pStyle w:val="ListParagraph"/>
              <w:numPr>
                <w:ilvl w:val="0"/>
                <w:numId w:val="4"/>
              </w:numPr>
              <w:spacing w:line="240" w:lineRule="auto"/>
              <w:ind w:left="372"/>
              <w:jc w:val="both"/>
            </w:pPr>
            <w:r>
              <w:t>Clarified participant guidance if they experience severe or persistent bleeding or symptoms of thrombosis to see their A&amp;E hospital. Guidance is also given to site on how to manage their trial medication regimen.</w:t>
            </w:r>
          </w:p>
          <w:p w14:paraId="6DD2B9BC" w14:textId="77777777" w:rsidR="008314E1" w:rsidRDefault="008314E1" w:rsidP="008314E1">
            <w:pPr>
              <w:pStyle w:val="ListParagraph"/>
              <w:numPr>
                <w:ilvl w:val="0"/>
                <w:numId w:val="4"/>
              </w:numPr>
              <w:spacing w:line="240" w:lineRule="auto"/>
              <w:ind w:left="372"/>
              <w:jc w:val="both"/>
            </w:pPr>
            <w:r>
              <w:t>Added new trial results published recently to the trial background</w:t>
            </w:r>
          </w:p>
          <w:p w14:paraId="482C4BB2" w14:textId="77777777" w:rsidR="008314E1" w:rsidRDefault="008314E1" w:rsidP="008314E1">
            <w:pPr>
              <w:pStyle w:val="ListParagraph"/>
              <w:numPr>
                <w:ilvl w:val="0"/>
                <w:numId w:val="4"/>
              </w:numPr>
              <w:spacing w:line="240" w:lineRule="auto"/>
              <w:ind w:left="372"/>
              <w:jc w:val="both"/>
            </w:pPr>
            <w:r>
              <w:t>Clarified that safety reports sent to IDMC will only continue unless otherwise indicated by the IDMC</w:t>
            </w:r>
          </w:p>
          <w:p w14:paraId="6660C2CE" w14:textId="77777777" w:rsidR="008314E1" w:rsidRDefault="008314E1" w:rsidP="008314E1">
            <w:pPr>
              <w:pStyle w:val="ListParagraph"/>
              <w:numPr>
                <w:ilvl w:val="0"/>
                <w:numId w:val="4"/>
              </w:numPr>
              <w:spacing w:line="240" w:lineRule="auto"/>
              <w:ind w:left="372"/>
              <w:jc w:val="both"/>
            </w:pPr>
            <w:r>
              <w:t>PK modelling blood samples can be collected at next visit if missed at Day 42</w:t>
            </w:r>
          </w:p>
          <w:p w14:paraId="291E3C31" w14:textId="77777777" w:rsidR="008314E1" w:rsidRDefault="008314E1" w:rsidP="008314E1">
            <w:pPr>
              <w:pStyle w:val="ListParagraph"/>
              <w:numPr>
                <w:ilvl w:val="0"/>
                <w:numId w:val="4"/>
              </w:numPr>
              <w:spacing w:line="240" w:lineRule="auto"/>
              <w:ind w:left="372"/>
              <w:jc w:val="both"/>
            </w:pPr>
            <w:r>
              <w:t>Moved the ancillary and post-care section further up the protocol</w:t>
            </w:r>
          </w:p>
          <w:p w14:paraId="07F7F819" w14:textId="77777777" w:rsidR="008314E1" w:rsidRDefault="008314E1" w:rsidP="008314E1">
            <w:pPr>
              <w:pStyle w:val="ListParagraph"/>
              <w:numPr>
                <w:ilvl w:val="0"/>
                <w:numId w:val="4"/>
              </w:numPr>
              <w:spacing w:line="240" w:lineRule="auto"/>
              <w:ind w:left="372"/>
              <w:jc w:val="both"/>
            </w:pPr>
            <w:r>
              <w:t>Clarified what information will be documented in the MRI research governance report</w:t>
            </w:r>
          </w:p>
          <w:p w14:paraId="4EF597D2" w14:textId="77777777" w:rsidR="008314E1" w:rsidRDefault="008314E1" w:rsidP="008314E1">
            <w:pPr>
              <w:pStyle w:val="ListParagraph"/>
              <w:numPr>
                <w:ilvl w:val="0"/>
                <w:numId w:val="4"/>
              </w:numPr>
              <w:spacing w:line="240" w:lineRule="auto"/>
              <w:ind w:left="372"/>
              <w:jc w:val="both"/>
            </w:pPr>
            <w:r>
              <w:t>Updated the EDC section that sites can remotely enter data into MACRO</w:t>
            </w:r>
          </w:p>
          <w:p w14:paraId="3ECE2ABB" w14:textId="77777777" w:rsidR="008314E1" w:rsidRDefault="008314E1" w:rsidP="008314E1">
            <w:pPr>
              <w:pStyle w:val="ListParagraph"/>
              <w:numPr>
                <w:ilvl w:val="0"/>
                <w:numId w:val="4"/>
              </w:numPr>
              <w:spacing w:line="240" w:lineRule="auto"/>
              <w:ind w:left="372"/>
              <w:jc w:val="both"/>
            </w:pPr>
            <w:r>
              <w:t>Added if the participant contracted COVID-19 and meets the SAE definition, expedited reporting is required</w:t>
            </w:r>
          </w:p>
          <w:p w14:paraId="064A20CD" w14:textId="77777777" w:rsidR="008314E1" w:rsidRDefault="008314E1" w:rsidP="008314E1">
            <w:pPr>
              <w:pStyle w:val="ListParagraph"/>
              <w:numPr>
                <w:ilvl w:val="0"/>
                <w:numId w:val="4"/>
              </w:numPr>
              <w:spacing w:line="240" w:lineRule="auto"/>
              <w:ind w:left="372"/>
              <w:jc w:val="both"/>
            </w:pPr>
            <w:r>
              <w:t xml:space="preserve">Added a ‘delegate’ for CI or PI </w:t>
            </w:r>
          </w:p>
          <w:p w14:paraId="64D91C48" w14:textId="77777777" w:rsidR="008314E1" w:rsidRDefault="008314E1" w:rsidP="008314E1">
            <w:pPr>
              <w:pStyle w:val="ListParagraph"/>
              <w:numPr>
                <w:ilvl w:val="0"/>
                <w:numId w:val="4"/>
              </w:numPr>
              <w:spacing w:line="240" w:lineRule="auto"/>
              <w:ind w:left="372"/>
              <w:jc w:val="both"/>
            </w:pPr>
            <w:r>
              <w:t>Updated the reference list</w:t>
            </w:r>
          </w:p>
          <w:p w14:paraId="781EDEC1" w14:textId="26D8FF30" w:rsidR="008314E1" w:rsidRDefault="008314E1" w:rsidP="008314E1">
            <w:pPr>
              <w:pStyle w:val="ListParagraph"/>
              <w:numPr>
                <w:ilvl w:val="0"/>
                <w:numId w:val="4"/>
              </w:numPr>
              <w:spacing w:line="240" w:lineRule="auto"/>
              <w:ind w:left="372"/>
              <w:jc w:val="both"/>
            </w:pPr>
            <w:r>
              <w:t>Administrative changes to TMT,</w:t>
            </w:r>
            <w:r w:rsidR="003B7DD4">
              <w:t xml:space="preserve"> </w:t>
            </w:r>
            <w:r>
              <w:t>TMG, and IDMC</w:t>
            </w:r>
          </w:p>
          <w:p w14:paraId="535481D5" w14:textId="77777777" w:rsidR="008314E1" w:rsidRDefault="008314E1" w:rsidP="008314E1">
            <w:pPr>
              <w:pStyle w:val="ListParagraph"/>
              <w:numPr>
                <w:ilvl w:val="0"/>
                <w:numId w:val="4"/>
              </w:numPr>
              <w:spacing w:line="240" w:lineRule="auto"/>
              <w:ind w:left="372"/>
              <w:jc w:val="both"/>
            </w:pPr>
            <w:r w:rsidRPr="00366D63">
              <w:t>Minor administrative changes have been made throughout the document</w:t>
            </w:r>
          </w:p>
        </w:tc>
      </w:tr>
      <w:tr w:rsidR="008314E1" w:rsidRPr="00A66AA5" w14:paraId="227B7EE9" w14:textId="77777777" w:rsidTr="0027650F">
        <w:trPr>
          <w:trHeight w:val="395"/>
        </w:trPr>
        <w:tc>
          <w:tcPr>
            <w:tcW w:w="2221" w:type="dxa"/>
          </w:tcPr>
          <w:p w14:paraId="2E301B66" w14:textId="77777777" w:rsidR="008314E1" w:rsidRDefault="008314E1" w:rsidP="0027650F">
            <w:pPr>
              <w:rPr>
                <w:rFonts w:cstheme="minorHAnsi"/>
              </w:rPr>
            </w:pPr>
            <w:r>
              <w:rPr>
                <w:rFonts w:cstheme="minorHAnsi"/>
              </w:rPr>
              <w:lastRenderedPageBreak/>
              <w:t>Version 5.0</w:t>
            </w:r>
          </w:p>
        </w:tc>
        <w:tc>
          <w:tcPr>
            <w:tcW w:w="7557" w:type="dxa"/>
          </w:tcPr>
          <w:p w14:paraId="0697DC9E" w14:textId="77777777" w:rsidR="008314E1" w:rsidRDefault="008314E1" w:rsidP="008314E1">
            <w:pPr>
              <w:pStyle w:val="ListParagraph"/>
              <w:numPr>
                <w:ilvl w:val="0"/>
                <w:numId w:val="4"/>
              </w:numPr>
              <w:spacing w:line="240" w:lineRule="auto"/>
              <w:ind w:left="372"/>
              <w:jc w:val="both"/>
            </w:pPr>
            <w:r>
              <w:t>Trial changed to Phase IIb, proof of principle trial and wording relating to this changed throughout protocol.</w:t>
            </w:r>
          </w:p>
          <w:p w14:paraId="0AF75498" w14:textId="77777777" w:rsidR="008314E1" w:rsidRDefault="008314E1" w:rsidP="008314E1">
            <w:pPr>
              <w:pStyle w:val="ListParagraph"/>
              <w:numPr>
                <w:ilvl w:val="0"/>
                <w:numId w:val="4"/>
              </w:numPr>
              <w:spacing w:line="240" w:lineRule="auto"/>
              <w:ind w:left="372"/>
              <w:jc w:val="both"/>
            </w:pPr>
            <w:r>
              <w:t>Signatories for protocol updated</w:t>
            </w:r>
          </w:p>
          <w:p w14:paraId="4D7511BA" w14:textId="77777777" w:rsidR="008314E1" w:rsidRDefault="008314E1" w:rsidP="008314E1">
            <w:pPr>
              <w:pStyle w:val="ListParagraph"/>
              <w:numPr>
                <w:ilvl w:val="0"/>
                <w:numId w:val="4"/>
              </w:numPr>
              <w:spacing w:line="240" w:lineRule="auto"/>
              <w:ind w:left="372"/>
              <w:jc w:val="both"/>
            </w:pPr>
            <w:r>
              <w:t>Sample size amended from 140 patients to 40 patients, wording changed throughout protocol.</w:t>
            </w:r>
          </w:p>
          <w:p w14:paraId="1F35E37D" w14:textId="77777777" w:rsidR="008314E1" w:rsidRDefault="008314E1" w:rsidP="008314E1">
            <w:pPr>
              <w:pStyle w:val="ListParagraph"/>
              <w:numPr>
                <w:ilvl w:val="0"/>
                <w:numId w:val="4"/>
              </w:numPr>
              <w:spacing w:line="240" w:lineRule="auto"/>
              <w:ind w:left="372"/>
              <w:jc w:val="both"/>
            </w:pPr>
            <w:r>
              <w:t xml:space="preserve">Sections 1.3 and 5.2.1 Clarifications added around Primary, secondary and exploratory outcomes </w:t>
            </w:r>
          </w:p>
          <w:p w14:paraId="716500DB" w14:textId="77777777" w:rsidR="008314E1" w:rsidRDefault="008314E1" w:rsidP="008314E1">
            <w:pPr>
              <w:pStyle w:val="ListParagraph"/>
              <w:numPr>
                <w:ilvl w:val="0"/>
                <w:numId w:val="4"/>
              </w:numPr>
              <w:spacing w:line="240" w:lineRule="auto"/>
              <w:ind w:left="372"/>
              <w:jc w:val="both"/>
            </w:pPr>
            <w:r>
              <w:t>Roles and responsibilities in Section 1.4 updated to add / remove trial staff.</w:t>
            </w:r>
          </w:p>
          <w:p w14:paraId="4ADED894" w14:textId="77777777" w:rsidR="008314E1" w:rsidRDefault="008314E1" w:rsidP="008314E1">
            <w:pPr>
              <w:pStyle w:val="ListParagraph"/>
              <w:numPr>
                <w:ilvl w:val="0"/>
                <w:numId w:val="4"/>
              </w:numPr>
              <w:spacing w:line="240" w:lineRule="auto"/>
              <w:ind w:left="372"/>
              <w:jc w:val="both"/>
            </w:pPr>
            <w:r>
              <w:t>Section 5.1.1 updated to state that DOACS have fewer drug-food interactions and significantly fewer drug-drug interactions.  Previously stated no drug interactions.</w:t>
            </w:r>
          </w:p>
          <w:p w14:paraId="62278BE4" w14:textId="77777777" w:rsidR="008314E1" w:rsidRDefault="008314E1" w:rsidP="008314E1">
            <w:pPr>
              <w:pStyle w:val="ListParagraph"/>
              <w:numPr>
                <w:ilvl w:val="0"/>
                <w:numId w:val="4"/>
              </w:numPr>
              <w:spacing w:line="240" w:lineRule="auto"/>
              <w:ind w:left="372"/>
              <w:jc w:val="both"/>
            </w:pPr>
            <w:r>
              <w:t>Section 6.4.3 Dispensing: Added in sentence permitting use of hospital stock of rivaroxaban in exceptional circumstances with prior approval from the sponsor and Chief investigator.</w:t>
            </w:r>
          </w:p>
          <w:p w14:paraId="222E99C6" w14:textId="77777777" w:rsidR="008314E1" w:rsidRDefault="008314E1" w:rsidP="008314E1">
            <w:pPr>
              <w:pStyle w:val="ListParagraph"/>
              <w:numPr>
                <w:ilvl w:val="0"/>
                <w:numId w:val="4"/>
              </w:numPr>
              <w:spacing w:line="240" w:lineRule="auto"/>
              <w:ind w:left="372"/>
              <w:jc w:val="both"/>
            </w:pPr>
            <w:r>
              <w:t>Section 6.4.9 (2) stopping guidelines for safety updated to include lower expected number of thrombotic and bleed events based on a reduced sample size of 40 patients.</w:t>
            </w:r>
          </w:p>
          <w:p w14:paraId="70CE02A4" w14:textId="77777777" w:rsidR="008314E1" w:rsidRDefault="008314E1" w:rsidP="008314E1">
            <w:pPr>
              <w:pStyle w:val="ListParagraph"/>
              <w:numPr>
                <w:ilvl w:val="0"/>
                <w:numId w:val="4"/>
              </w:numPr>
              <w:spacing w:line="240" w:lineRule="auto"/>
              <w:ind w:left="372"/>
              <w:jc w:val="both"/>
            </w:pPr>
            <w:r>
              <w:t>Section 6.5 PK modelling blood samples can be collected at subsequent visit if missed at Day 42.  Previously stated ‘next visit’ after Day 42.</w:t>
            </w:r>
          </w:p>
          <w:p w14:paraId="2A4832E2" w14:textId="77777777" w:rsidR="008314E1" w:rsidRDefault="008314E1" w:rsidP="008314E1">
            <w:pPr>
              <w:pStyle w:val="ListParagraph"/>
              <w:numPr>
                <w:ilvl w:val="0"/>
                <w:numId w:val="4"/>
              </w:numPr>
              <w:spacing w:line="240" w:lineRule="auto"/>
              <w:ind w:left="372"/>
              <w:jc w:val="both"/>
            </w:pPr>
            <w:r>
              <w:t>Section 6.6 Sample Size: updated to reflect statistical reasoning for reduced sample size of 40 patients.</w:t>
            </w:r>
          </w:p>
          <w:p w14:paraId="2ED4D1C2" w14:textId="77777777" w:rsidR="008314E1" w:rsidRDefault="008314E1" w:rsidP="008314E1">
            <w:pPr>
              <w:pStyle w:val="ListParagraph"/>
              <w:numPr>
                <w:ilvl w:val="0"/>
                <w:numId w:val="4"/>
              </w:numPr>
              <w:spacing w:line="240" w:lineRule="auto"/>
              <w:ind w:left="372"/>
              <w:jc w:val="both"/>
            </w:pPr>
            <w:r>
              <w:lastRenderedPageBreak/>
              <w:t>Section 6.8.1.1 Sequence generation:  Sentence added around minimisation used in the study.</w:t>
            </w:r>
          </w:p>
          <w:p w14:paraId="357FC828" w14:textId="77777777" w:rsidR="008314E1" w:rsidRDefault="008314E1" w:rsidP="008314E1">
            <w:pPr>
              <w:pStyle w:val="ListParagraph"/>
              <w:numPr>
                <w:ilvl w:val="0"/>
                <w:numId w:val="4"/>
              </w:numPr>
              <w:spacing w:line="240" w:lineRule="auto"/>
              <w:ind w:left="372"/>
              <w:jc w:val="both"/>
            </w:pPr>
            <w:r>
              <w:t xml:space="preserve">Section 6.9.2.1 Section updated with reference to the transfer and format of the MRI data to Kings College for analysis.  </w:t>
            </w:r>
          </w:p>
          <w:p w14:paraId="022E87B8" w14:textId="77777777" w:rsidR="008314E1" w:rsidRDefault="008314E1" w:rsidP="008314E1">
            <w:pPr>
              <w:pStyle w:val="ListParagraph"/>
              <w:numPr>
                <w:ilvl w:val="0"/>
                <w:numId w:val="4"/>
              </w:numPr>
              <w:spacing w:line="240" w:lineRule="auto"/>
              <w:ind w:left="372"/>
              <w:jc w:val="both"/>
            </w:pPr>
            <w:r>
              <w:t>The statistical analysis of the trial is updated in Sections 6.9.4.2, 6.9.4.4 and 6.9.5 to account for the change to a phase IIb and a reduction in sample size from 140 to 40 participants.</w:t>
            </w:r>
          </w:p>
          <w:p w14:paraId="4E194182" w14:textId="77777777" w:rsidR="008314E1" w:rsidRDefault="008314E1" w:rsidP="008314E1">
            <w:pPr>
              <w:pStyle w:val="ListParagraph"/>
              <w:numPr>
                <w:ilvl w:val="0"/>
                <w:numId w:val="4"/>
              </w:numPr>
              <w:spacing w:line="240" w:lineRule="auto"/>
              <w:ind w:left="372"/>
              <w:jc w:val="both"/>
            </w:pPr>
            <w:r>
              <w:t xml:space="preserve">Section 6.9.4.3 Additional </w:t>
            </w:r>
            <w:proofErr w:type="gramStart"/>
            <w:r>
              <w:t>Analyses  -</w:t>
            </w:r>
            <w:proofErr w:type="gramEnd"/>
            <w:r>
              <w:t>Subgroup updated to specify the different sub-group analyses that may be carried out including; Age, Sex; Ethnicity, Qualifying inclusion criteria, cerebral microbleeds at baseline, concurrent antiplatelet use, atrial fibrillation, BMI, Smoking, presence/absence of hyperlipidaemia, diabetes, hypertension, single or double antiphospholipid antibody positivity.</w:t>
            </w:r>
          </w:p>
          <w:p w14:paraId="39F303C0" w14:textId="77777777" w:rsidR="008314E1" w:rsidRDefault="008314E1" w:rsidP="008314E1">
            <w:pPr>
              <w:pStyle w:val="ListParagraph"/>
              <w:numPr>
                <w:ilvl w:val="0"/>
                <w:numId w:val="4"/>
              </w:numPr>
              <w:spacing w:line="240" w:lineRule="auto"/>
              <w:ind w:left="372"/>
              <w:jc w:val="both"/>
            </w:pPr>
            <w:r>
              <w:t>Section 6.9.6 health economic evaluation updated based on reduction in trial sample size.</w:t>
            </w:r>
          </w:p>
          <w:p w14:paraId="3AE3C055" w14:textId="77777777" w:rsidR="008314E1" w:rsidRDefault="008314E1" w:rsidP="008314E1">
            <w:pPr>
              <w:pStyle w:val="ListParagraph"/>
              <w:numPr>
                <w:ilvl w:val="0"/>
                <w:numId w:val="4"/>
              </w:numPr>
              <w:spacing w:line="240" w:lineRule="auto"/>
              <w:ind w:left="372"/>
              <w:jc w:val="both"/>
            </w:pPr>
            <w:r>
              <w:t>Section 6.10.2: removal of IDMC review of sample size calculation assumptions as no longer applicable due to reduction in sample size.</w:t>
            </w:r>
          </w:p>
          <w:p w14:paraId="4E563FB7" w14:textId="77777777" w:rsidR="008314E1" w:rsidRDefault="008314E1" w:rsidP="008314E1">
            <w:pPr>
              <w:pStyle w:val="ListParagraph"/>
              <w:numPr>
                <w:ilvl w:val="0"/>
                <w:numId w:val="4"/>
              </w:numPr>
              <w:spacing w:line="240" w:lineRule="auto"/>
              <w:ind w:left="372"/>
              <w:jc w:val="both"/>
            </w:pPr>
            <w:r>
              <w:t>Updated the reference list</w:t>
            </w:r>
          </w:p>
          <w:p w14:paraId="5DD72A38" w14:textId="77777777" w:rsidR="008314E1" w:rsidRDefault="008314E1" w:rsidP="008314E1">
            <w:pPr>
              <w:pStyle w:val="ListParagraph"/>
              <w:numPr>
                <w:ilvl w:val="0"/>
                <w:numId w:val="4"/>
              </w:numPr>
              <w:spacing w:line="240" w:lineRule="auto"/>
              <w:ind w:left="372"/>
              <w:jc w:val="both"/>
            </w:pPr>
            <w:r>
              <w:t>Minor administrative changes have been made throughout the document.</w:t>
            </w:r>
          </w:p>
        </w:tc>
      </w:tr>
    </w:tbl>
    <w:p w14:paraId="76C07EF1" w14:textId="77777777" w:rsidR="008314E1" w:rsidRDefault="008314E1" w:rsidP="008314E1"/>
    <w:p w14:paraId="51D2DCA2" w14:textId="77777777" w:rsidR="008314E1" w:rsidRDefault="008314E1" w:rsidP="008314E1">
      <w:pPr>
        <w:spacing w:after="0"/>
        <w:rPr>
          <w:rFonts w:ascii="Calibri" w:eastAsia="Calibri" w:hAnsi="Calibri" w:cs="Calibri"/>
          <w:b/>
          <w:bCs/>
        </w:rPr>
      </w:pPr>
    </w:p>
    <w:p w14:paraId="21672113" w14:textId="77777777" w:rsidR="008314E1" w:rsidRDefault="008314E1" w:rsidP="008314E1">
      <w:pPr>
        <w:spacing w:after="0"/>
        <w:rPr>
          <w:rFonts w:ascii="Calibri" w:eastAsia="Calibri" w:hAnsi="Calibri" w:cs="Calibri"/>
          <w:b/>
          <w:bCs/>
        </w:rPr>
      </w:pPr>
    </w:p>
    <w:p w14:paraId="0C6C90CD" w14:textId="77777777" w:rsidR="008314E1" w:rsidRDefault="008314E1" w:rsidP="008314E1">
      <w:pPr>
        <w:spacing w:after="0"/>
        <w:rPr>
          <w:rFonts w:ascii="Calibri" w:eastAsia="Calibri" w:hAnsi="Calibri" w:cs="Calibri"/>
          <w:b/>
          <w:bCs/>
        </w:rPr>
      </w:pPr>
    </w:p>
    <w:p w14:paraId="3BFBB31C" w14:textId="77777777" w:rsidR="008314E1" w:rsidRDefault="008314E1" w:rsidP="008314E1">
      <w:pPr>
        <w:spacing w:after="0"/>
        <w:rPr>
          <w:rFonts w:ascii="Calibri" w:eastAsia="Calibri" w:hAnsi="Calibri" w:cs="Calibri"/>
          <w:b/>
          <w:bCs/>
        </w:rPr>
      </w:pPr>
    </w:p>
    <w:p w14:paraId="4212FA36" w14:textId="77777777" w:rsidR="008314E1" w:rsidRDefault="008314E1" w:rsidP="008314E1">
      <w:pPr>
        <w:spacing w:after="0"/>
        <w:rPr>
          <w:rFonts w:ascii="Calibri" w:eastAsia="Calibri" w:hAnsi="Calibri" w:cs="Calibri"/>
          <w:b/>
          <w:bCs/>
        </w:rPr>
      </w:pPr>
    </w:p>
    <w:p w14:paraId="6D15B691" w14:textId="77777777" w:rsidR="008314E1" w:rsidRDefault="008314E1" w:rsidP="008314E1">
      <w:pPr>
        <w:spacing w:after="0"/>
        <w:rPr>
          <w:rFonts w:ascii="Calibri" w:eastAsia="Calibri" w:hAnsi="Calibri" w:cs="Calibri"/>
          <w:b/>
          <w:bCs/>
        </w:rPr>
      </w:pPr>
    </w:p>
    <w:p w14:paraId="7509C76B" w14:textId="77777777" w:rsidR="008314E1" w:rsidRDefault="008314E1" w:rsidP="008314E1">
      <w:pPr>
        <w:spacing w:after="0"/>
        <w:rPr>
          <w:rFonts w:ascii="Calibri" w:eastAsia="Calibri" w:hAnsi="Calibri" w:cs="Calibri"/>
          <w:b/>
          <w:bCs/>
        </w:rPr>
      </w:pPr>
    </w:p>
    <w:p w14:paraId="13343FB2" w14:textId="77777777" w:rsidR="008314E1" w:rsidRDefault="008314E1" w:rsidP="008314E1">
      <w:pPr>
        <w:spacing w:after="0"/>
        <w:rPr>
          <w:rFonts w:ascii="Calibri" w:eastAsia="Calibri" w:hAnsi="Calibri" w:cs="Calibri"/>
          <w:b/>
          <w:bCs/>
        </w:rPr>
      </w:pPr>
    </w:p>
    <w:p w14:paraId="567C51D3" w14:textId="77777777" w:rsidR="008314E1" w:rsidRDefault="008314E1" w:rsidP="008314E1">
      <w:pPr>
        <w:spacing w:after="0"/>
        <w:rPr>
          <w:rFonts w:ascii="Calibri" w:eastAsia="Calibri" w:hAnsi="Calibri" w:cs="Calibri"/>
          <w:b/>
          <w:bCs/>
          <w:color w:val="156082" w:themeColor="accent1"/>
        </w:rPr>
      </w:pPr>
    </w:p>
    <w:p w14:paraId="7A5BF466" w14:textId="77777777" w:rsidR="008314E1" w:rsidRDefault="008314E1" w:rsidP="008314E1">
      <w:pPr>
        <w:rPr>
          <w:rFonts w:ascii="Calibri" w:eastAsia="Calibri" w:hAnsi="Calibri" w:cs="Calibri"/>
          <w:b/>
        </w:rPr>
      </w:pPr>
      <w:r w:rsidRPr="27FDD4B0">
        <w:rPr>
          <w:rFonts w:ascii="Arial" w:eastAsia="Arial" w:hAnsi="Arial" w:cs="Arial"/>
          <w:sz w:val="20"/>
          <w:szCs w:val="20"/>
        </w:rPr>
        <w:t xml:space="preserve"> </w:t>
      </w:r>
    </w:p>
    <w:p w14:paraId="34BBEAB6" w14:textId="77777777" w:rsidR="008314E1" w:rsidRDefault="008314E1" w:rsidP="008314E1">
      <w:pPr>
        <w:rPr>
          <w:rFonts w:ascii="Segoe UI" w:eastAsia="Segoe UI" w:hAnsi="Segoe UI" w:cs="Segoe UI"/>
          <w:color w:val="333333"/>
          <w:sz w:val="18"/>
          <w:szCs w:val="18"/>
        </w:rPr>
      </w:pPr>
    </w:p>
    <w:p w14:paraId="2828131F" w14:textId="77777777" w:rsidR="008314E1" w:rsidRDefault="008314E1" w:rsidP="008314E1">
      <w:pPr>
        <w:spacing w:line="480" w:lineRule="auto"/>
      </w:pPr>
      <w:r w:rsidRPr="27FDD4B0">
        <w:rPr>
          <w:rFonts w:ascii="Calibri" w:eastAsia="Calibri" w:hAnsi="Calibri" w:cs="Calibri"/>
          <w:color w:val="000000" w:themeColor="text1"/>
        </w:rPr>
        <w:t xml:space="preserve"> </w:t>
      </w:r>
    </w:p>
    <w:p w14:paraId="24725F49" w14:textId="77777777" w:rsidR="008314E1" w:rsidRDefault="008314E1" w:rsidP="008314E1">
      <w:pPr>
        <w:spacing w:line="257" w:lineRule="auto"/>
      </w:pPr>
      <w:r w:rsidRPr="27FDD4B0">
        <w:rPr>
          <w:rFonts w:ascii="Calibri" w:eastAsia="Calibri" w:hAnsi="Calibri" w:cs="Calibri"/>
          <w:b/>
          <w:bCs/>
        </w:rPr>
        <w:t xml:space="preserve"> </w:t>
      </w:r>
    </w:p>
    <w:p w14:paraId="52BE30E3" w14:textId="77777777" w:rsidR="008314E1" w:rsidRDefault="008314E1" w:rsidP="008314E1">
      <w:r>
        <w:br/>
      </w:r>
    </w:p>
    <w:p w14:paraId="39A20C1C" w14:textId="77777777" w:rsidR="008314E1" w:rsidRDefault="008314E1"/>
    <w:sectPr w:rsidR="00831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AFC"/>
    <w:multiLevelType w:val="hybridMultilevel"/>
    <w:tmpl w:val="ECDC3E58"/>
    <w:lvl w:ilvl="0" w:tplc="08090001">
      <w:start w:val="1"/>
      <w:numFmt w:val="bullet"/>
      <w:lvlText w:val=""/>
      <w:lvlJc w:val="left"/>
      <w:pPr>
        <w:ind w:left="72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46AF6BD1"/>
    <w:multiLevelType w:val="multilevel"/>
    <w:tmpl w:val="5240EC90"/>
    <w:lvl w:ilvl="0">
      <w:start w:val="1"/>
      <w:numFmt w:val="decimal"/>
      <w:lvlText w:val="%1."/>
      <w:lvlJc w:val="left"/>
      <w:pPr>
        <w:ind w:left="720" w:hanging="360"/>
      </w:pPr>
      <w:rPr>
        <w:rFonts w:hint="default"/>
        <w:sz w:val="20"/>
        <w:szCs w:val="20"/>
        <w:vertAlign w:val="superscript"/>
      </w:rPr>
    </w:lvl>
    <w:lvl w:ilvl="1">
      <w:start w:val="10"/>
      <w:numFmt w:val="decimal"/>
      <w:isLgl/>
      <w:lvlText w:val="%1.%2"/>
      <w:lvlJc w:val="left"/>
      <w:pPr>
        <w:ind w:left="1800" w:hanging="1440"/>
      </w:pPr>
      <w:rPr>
        <w:rFonts w:hint="default"/>
      </w:rPr>
    </w:lvl>
    <w:lvl w:ilvl="2">
      <w:start w:val="3"/>
      <w:numFmt w:val="decimal"/>
      <w:isLgl/>
      <w:lvlText w:val="6.%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83F2AAC"/>
    <w:multiLevelType w:val="hybridMultilevel"/>
    <w:tmpl w:val="D9D8B8B4"/>
    <w:lvl w:ilvl="0" w:tplc="85F4840A">
      <w:start w:val="1"/>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B8F289"/>
    <w:multiLevelType w:val="hybridMultilevel"/>
    <w:tmpl w:val="9FF63B4A"/>
    <w:lvl w:ilvl="0" w:tplc="E21CEE7C">
      <w:start w:val="1"/>
      <w:numFmt w:val="upperRoman"/>
      <w:lvlText w:val="%1."/>
      <w:lvlJc w:val="left"/>
      <w:pPr>
        <w:ind w:left="720" w:hanging="360"/>
      </w:pPr>
    </w:lvl>
    <w:lvl w:ilvl="1" w:tplc="9356EA0A">
      <w:start w:val="1"/>
      <w:numFmt w:val="lowerLetter"/>
      <w:lvlText w:val="%2."/>
      <w:lvlJc w:val="left"/>
      <w:pPr>
        <w:ind w:left="1440" w:hanging="360"/>
      </w:pPr>
    </w:lvl>
    <w:lvl w:ilvl="2" w:tplc="18C2224E">
      <w:start w:val="1"/>
      <w:numFmt w:val="lowerRoman"/>
      <w:lvlText w:val="%3."/>
      <w:lvlJc w:val="right"/>
      <w:pPr>
        <w:ind w:left="2160" w:hanging="180"/>
      </w:pPr>
    </w:lvl>
    <w:lvl w:ilvl="3" w:tplc="5AD27EE2">
      <w:start w:val="1"/>
      <w:numFmt w:val="decimal"/>
      <w:lvlText w:val="%4."/>
      <w:lvlJc w:val="left"/>
      <w:pPr>
        <w:ind w:left="2880" w:hanging="360"/>
      </w:pPr>
    </w:lvl>
    <w:lvl w:ilvl="4" w:tplc="42F8A2CA">
      <w:start w:val="1"/>
      <w:numFmt w:val="lowerLetter"/>
      <w:lvlText w:val="%5."/>
      <w:lvlJc w:val="left"/>
      <w:pPr>
        <w:ind w:left="3600" w:hanging="360"/>
      </w:pPr>
    </w:lvl>
    <w:lvl w:ilvl="5" w:tplc="B5F4FA5E">
      <w:start w:val="1"/>
      <w:numFmt w:val="lowerRoman"/>
      <w:lvlText w:val="%6."/>
      <w:lvlJc w:val="right"/>
      <w:pPr>
        <w:ind w:left="4320" w:hanging="180"/>
      </w:pPr>
    </w:lvl>
    <w:lvl w:ilvl="6" w:tplc="70444D9E">
      <w:start w:val="1"/>
      <w:numFmt w:val="decimal"/>
      <w:lvlText w:val="%7."/>
      <w:lvlJc w:val="left"/>
      <w:pPr>
        <w:ind w:left="5040" w:hanging="360"/>
      </w:pPr>
    </w:lvl>
    <w:lvl w:ilvl="7" w:tplc="3CDAC914">
      <w:start w:val="1"/>
      <w:numFmt w:val="lowerLetter"/>
      <w:lvlText w:val="%8."/>
      <w:lvlJc w:val="left"/>
      <w:pPr>
        <w:ind w:left="5760" w:hanging="360"/>
      </w:pPr>
    </w:lvl>
    <w:lvl w:ilvl="8" w:tplc="A6BCECAA">
      <w:start w:val="1"/>
      <w:numFmt w:val="lowerRoman"/>
      <w:lvlText w:val="%9."/>
      <w:lvlJc w:val="right"/>
      <w:pPr>
        <w:ind w:left="6480" w:hanging="180"/>
      </w:pPr>
    </w:lvl>
  </w:abstractNum>
  <w:abstractNum w:abstractNumId="4" w15:restartNumberingAfterBreak="0">
    <w:nsid w:val="69F6FCFA"/>
    <w:multiLevelType w:val="hybridMultilevel"/>
    <w:tmpl w:val="F1BA2B6C"/>
    <w:lvl w:ilvl="0" w:tplc="5442E0A8">
      <w:start w:val="1"/>
      <w:numFmt w:val="bullet"/>
      <w:lvlText w:val=""/>
      <w:lvlJc w:val="left"/>
      <w:pPr>
        <w:ind w:left="720" w:hanging="360"/>
      </w:pPr>
      <w:rPr>
        <w:rFonts w:ascii="Symbol" w:hAnsi="Symbol" w:hint="default"/>
      </w:rPr>
    </w:lvl>
    <w:lvl w:ilvl="1" w:tplc="1DE4FE30">
      <w:start w:val="1"/>
      <w:numFmt w:val="bullet"/>
      <w:lvlText w:val="o"/>
      <w:lvlJc w:val="left"/>
      <w:pPr>
        <w:ind w:left="1440" w:hanging="360"/>
      </w:pPr>
      <w:rPr>
        <w:rFonts w:ascii="Courier New" w:hAnsi="Courier New" w:hint="default"/>
      </w:rPr>
    </w:lvl>
    <w:lvl w:ilvl="2" w:tplc="FBC43ED6">
      <w:start w:val="1"/>
      <w:numFmt w:val="bullet"/>
      <w:lvlText w:val=""/>
      <w:lvlJc w:val="left"/>
      <w:pPr>
        <w:ind w:left="2160" w:hanging="360"/>
      </w:pPr>
      <w:rPr>
        <w:rFonts w:ascii="Wingdings" w:hAnsi="Wingdings" w:hint="default"/>
      </w:rPr>
    </w:lvl>
    <w:lvl w:ilvl="3" w:tplc="E7F2D944">
      <w:start w:val="1"/>
      <w:numFmt w:val="bullet"/>
      <w:lvlText w:val=""/>
      <w:lvlJc w:val="left"/>
      <w:pPr>
        <w:ind w:left="2880" w:hanging="360"/>
      </w:pPr>
      <w:rPr>
        <w:rFonts w:ascii="Symbol" w:hAnsi="Symbol" w:hint="default"/>
      </w:rPr>
    </w:lvl>
    <w:lvl w:ilvl="4" w:tplc="847AD5A2">
      <w:start w:val="1"/>
      <w:numFmt w:val="bullet"/>
      <w:lvlText w:val="o"/>
      <w:lvlJc w:val="left"/>
      <w:pPr>
        <w:ind w:left="3600" w:hanging="360"/>
      </w:pPr>
      <w:rPr>
        <w:rFonts w:ascii="Courier New" w:hAnsi="Courier New" w:hint="default"/>
      </w:rPr>
    </w:lvl>
    <w:lvl w:ilvl="5" w:tplc="37EE0F4A">
      <w:start w:val="1"/>
      <w:numFmt w:val="bullet"/>
      <w:lvlText w:val=""/>
      <w:lvlJc w:val="left"/>
      <w:pPr>
        <w:ind w:left="4320" w:hanging="360"/>
      </w:pPr>
      <w:rPr>
        <w:rFonts w:ascii="Wingdings" w:hAnsi="Wingdings" w:hint="default"/>
      </w:rPr>
    </w:lvl>
    <w:lvl w:ilvl="6" w:tplc="D5FA71E2">
      <w:start w:val="1"/>
      <w:numFmt w:val="bullet"/>
      <w:lvlText w:val=""/>
      <w:lvlJc w:val="left"/>
      <w:pPr>
        <w:ind w:left="5040" w:hanging="360"/>
      </w:pPr>
      <w:rPr>
        <w:rFonts w:ascii="Symbol" w:hAnsi="Symbol" w:hint="default"/>
      </w:rPr>
    </w:lvl>
    <w:lvl w:ilvl="7" w:tplc="85E0644C">
      <w:start w:val="1"/>
      <w:numFmt w:val="bullet"/>
      <w:lvlText w:val="o"/>
      <w:lvlJc w:val="left"/>
      <w:pPr>
        <w:ind w:left="5760" w:hanging="360"/>
      </w:pPr>
      <w:rPr>
        <w:rFonts w:ascii="Courier New" w:hAnsi="Courier New" w:hint="default"/>
      </w:rPr>
    </w:lvl>
    <w:lvl w:ilvl="8" w:tplc="39028544">
      <w:start w:val="1"/>
      <w:numFmt w:val="bullet"/>
      <w:lvlText w:val=""/>
      <w:lvlJc w:val="left"/>
      <w:pPr>
        <w:ind w:left="6480" w:hanging="360"/>
      </w:pPr>
      <w:rPr>
        <w:rFonts w:ascii="Wingdings" w:hAnsi="Wingdings" w:hint="default"/>
      </w:rPr>
    </w:lvl>
  </w:abstractNum>
  <w:num w:numId="1" w16cid:durableId="1317227164">
    <w:abstractNumId w:val="3"/>
  </w:num>
  <w:num w:numId="2" w16cid:durableId="910971547">
    <w:abstractNumId w:val="4"/>
  </w:num>
  <w:num w:numId="3" w16cid:durableId="1886335704">
    <w:abstractNumId w:val="1"/>
  </w:num>
  <w:num w:numId="4" w16cid:durableId="1951088860">
    <w:abstractNumId w:val="0"/>
  </w:num>
  <w:num w:numId="5" w16cid:durableId="1261719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E1"/>
    <w:rsid w:val="003A05D4"/>
    <w:rsid w:val="003B7DD4"/>
    <w:rsid w:val="0045665F"/>
    <w:rsid w:val="008314E1"/>
    <w:rsid w:val="00B619B3"/>
    <w:rsid w:val="00F4585A"/>
    <w:rsid w:val="00FF5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E16F"/>
  <w15:chartTrackingRefBased/>
  <w15:docId w15:val="{2C01214A-47B5-4ACE-92FF-1FC1E722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E1"/>
    <w:pPr>
      <w:spacing w:line="259" w:lineRule="auto"/>
    </w:pPr>
    <w:rPr>
      <w:kern w:val="0"/>
      <w:sz w:val="22"/>
      <w:szCs w:val="22"/>
      <w14:ligatures w14:val="none"/>
    </w:rPr>
  </w:style>
  <w:style w:type="paragraph" w:styleId="Heading1">
    <w:name w:val="heading 1"/>
    <w:basedOn w:val="Normal"/>
    <w:next w:val="Normal"/>
    <w:link w:val="Heading1Char"/>
    <w:uiPriority w:val="9"/>
    <w:qFormat/>
    <w:rsid w:val="00831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4E1"/>
    <w:rPr>
      <w:rFonts w:eastAsiaTheme="majorEastAsia" w:cstheme="majorBidi"/>
      <w:color w:val="272727" w:themeColor="text1" w:themeTint="D8"/>
    </w:rPr>
  </w:style>
  <w:style w:type="paragraph" w:styleId="Title">
    <w:name w:val="Title"/>
    <w:basedOn w:val="Normal"/>
    <w:next w:val="Normal"/>
    <w:link w:val="TitleChar"/>
    <w:uiPriority w:val="10"/>
    <w:qFormat/>
    <w:rsid w:val="00831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4E1"/>
    <w:pPr>
      <w:spacing w:before="160"/>
      <w:jc w:val="center"/>
    </w:pPr>
    <w:rPr>
      <w:i/>
      <w:iCs/>
      <w:color w:val="404040" w:themeColor="text1" w:themeTint="BF"/>
    </w:rPr>
  </w:style>
  <w:style w:type="character" w:customStyle="1" w:styleId="QuoteChar">
    <w:name w:val="Quote Char"/>
    <w:basedOn w:val="DefaultParagraphFont"/>
    <w:link w:val="Quote"/>
    <w:uiPriority w:val="29"/>
    <w:rsid w:val="008314E1"/>
    <w:rPr>
      <w:i/>
      <w:iCs/>
      <w:color w:val="404040" w:themeColor="text1" w:themeTint="BF"/>
    </w:rPr>
  </w:style>
  <w:style w:type="paragraph" w:styleId="ListParagraph">
    <w:name w:val="List Paragraph"/>
    <w:basedOn w:val="Normal"/>
    <w:uiPriority w:val="34"/>
    <w:qFormat/>
    <w:rsid w:val="008314E1"/>
    <w:pPr>
      <w:ind w:left="720"/>
      <w:contextualSpacing/>
    </w:pPr>
  </w:style>
  <w:style w:type="character" w:styleId="IntenseEmphasis">
    <w:name w:val="Intense Emphasis"/>
    <w:basedOn w:val="DefaultParagraphFont"/>
    <w:uiPriority w:val="21"/>
    <w:qFormat/>
    <w:rsid w:val="008314E1"/>
    <w:rPr>
      <w:i/>
      <w:iCs/>
      <w:color w:val="0F4761" w:themeColor="accent1" w:themeShade="BF"/>
    </w:rPr>
  </w:style>
  <w:style w:type="paragraph" w:styleId="IntenseQuote">
    <w:name w:val="Intense Quote"/>
    <w:basedOn w:val="Normal"/>
    <w:next w:val="Normal"/>
    <w:link w:val="IntenseQuoteChar"/>
    <w:uiPriority w:val="30"/>
    <w:qFormat/>
    <w:rsid w:val="00831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4E1"/>
    <w:rPr>
      <w:i/>
      <w:iCs/>
      <w:color w:val="0F4761" w:themeColor="accent1" w:themeShade="BF"/>
    </w:rPr>
  </w:style>
  <w:style w:type="character" w:styleId="IntenseReference">
    <w:name w:val="Intense Reference"/>
    <w:basedOn w:val="DefaultParagraphFont"/>
    <w:uiPriority w:val="32"/>
    <w:qFormat/>
    <w:rsid w:val="008314E1"/>
    <w:rPr>
      <w:b/>
      <w:bCs/>
      <w:smallCaps/>
      <w:color w:val="0F4761" w:themeColor="accent1" w:themeShade="BF"/>
      <w:spacing w:val="5"/>
    </w:rPr>
  </w:style>
  <w:style w:type="table" w:styleId="TableGrid">
    <w:name w:val="Table Grid"/>
    <w:basedOn w:val="TableNormal"/>
    <w:uiPriority w:val="59"/>
    <w:rsid w:val="008314E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9B3"/>
    <w:rPr>
      <w:sz w:val="16"/>
      <w:szCs w:val="16"/>
    </w:rPr>
  </w:style>
  <w:style w:type="paragraph" w:styleId="CommentText">
    <w:name w:val="annotation text"/>
    <w:basedOn w:val="Normal"/>
    <w:link w:val="CommentTextChar"/>
    <w:uiPriority w:val="99"/>
    <w:unhideWhenUsed/>
    <w:rsid w:val="00B619B3"/>
    <w:pPr>
      <w:spacing w:line="240" w:lineRule="auto"/>
    </w:pPr>
    <w:rPr>
      <w:sz w:val="20"/>
      <w:szCs w:val="20"/>
    </w:rPr>
  </w:style>
  <w:style w:type="character" w:customStyle="1" w:styleId="CommentTextChar">
    <w:name w:val="Comment Text Char"/>
    <w:basedOn w:val="DefaultParagraphFont"/>
    <w:link w:val="CommentText"/>
    <w:uiPriority w:val="99"/>
    <w:rsid w:val="00B619B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19B3"/>
    <w:rPr>
      <w:b/>
      <w:bCs/>
    </w:rPr>
  </w:style>
  <w:style w:type="character" w:customStyle="1" w:styleId="CommentSubjectChar">
    <w:name w:val="Comment Subject Char"/>
    <w:basedOn w:val="CommentTextChar"/>
    <w:link w:val="CommentSubject"/>
    <w:uiPriority w:val="99"/>
    <w:semiHidden/>
    <w:rsid w:val="00B619B3"/>
    <w:rPr>
      <w:b/>
      <w:bCs/>
      <w:kern w:val="0"/>
      <w:sz w:val="20"/>
      <w:szCs w:val="20"/>
      <w14:ligatures w14:val="none"/>
    </w:rPr>
  </w:style>
  <w:style w:type="paragraph" w:styleId="Revision">
    <w:name w:val="Revision"/>
    <w:hidden/>
    <w:uiPriority w:val="99"/>
    <w:semiHidden/>
    <w:rsid w:val="003B7DD4"/>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Prabal Mittal</dc:creator>
  <cp:keywords/>
  <dc:description/>
  <cp:lastModifiedBy>MITTAL, Prabal (UNIVERSITY COLLEGE LONDON HOSPITALS NHS FOUNDATION TRUST)</cp:lastModifiedBy>
  <cp:revision>2</cp:revision>
  <dcterms:created xsi:type="dcterms:W3CDTF">2024-05-05T23:32:00Z</dcterms:created>
  <dcterms:modified xsi:type="dcterms:W3CDTF">2024-05-05T23:32:00Z</dcterms:modified>
</cp:coreProperties>
</file>