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F5CD4" w14:textId="57F9CEED" w:rsidR="00B3306C" w:rsidRPr="00734302" w:rsidRDefault="00B3306C" w:rsidP="000C225D">
      <w:pPr>
        <w:rPr>
          <w:rFonts w:ascii="Arial" w:eastAsiaTheme="minorEastAsia" w:hAnsi="Arial" w:cs="Arial"/>
        </w:rPr>
      </w:pPr>
      <w:r w:rsidRPr="00734302">
        <w:rPr>
          <w:rFonts w:ascii="Arial" w:eastAsiaTheme="minorEastAsia" w:hAnsi="Arial" w:cs="Arial"/>
        </w:rPr>
        <w:t>Crucial role for sensory nerves and Na/H exchanger inhibition in dapagliflozin and empagliflozin-induced arterial relaxation.</w:t>
      </w:r>
    </w:p>
    <w:p w14:paraId="606D94F3" w14:textId="77777777" w:rsidR="00B3306C" w:rsidRPr="00734302" w:rsidRDefault="00B3306C" w:rsidP="000C225D">
      <w:pPr>
        <w:rPr>
          <w:rFonts w:ascii="Arial" w:eastAsiaTheme="minorEastAsia" w:hAnsi="Arial" w:cs="Arial"/>
        </w:rPr>
      </w:pPr>
    </w:p>
    <w:p w14:paraId="34711778" w14:textId="01647CCE" w:rsidR="000C225D" w:rsidRPr="00734302" w:rsidRDefault="00B3306C" w:rsidP="000C225D">
      <w:pPr>
        <w:rPr>
          <w:rFonts w:ascii="Arial" w:hAnsi="Arial" w:cs="Arial"/>
        </w:rPr>
      </w:pPr>
      <w:r w:rsidRPr="00734302">
        <w:rPr>
          <w:rFonts w:ascii="Arial" w:eastAsiaTheme="minorEastAsia" w:hAnsi="Arial" w:cs="Arial"/>
        </w:rPr>
        <w:t>S</w:t>
      </w:r>
      <w:r w:rsidR="000C225D" w:rsidRPr="00734302">
        <w:rPr>
          <w:rFonts w:ascii="Arial" w:hAnsi="Arial" w:cs="Arial"/>
        </w:rPr>
        <w:t xml:space="preserve">upplementary information </w:t>
      </w:r>
    </w:p>
    <w:p w14:paraId="719E2FD5" w14:textId="77777777" w:rsidR="000C225D" w:rsidRPr="00734302" w:rsidRDefault="000C225D" w:rsidP="000C225D">
      <w:pPr>
        <w:pStyle w:val="Heading1"/>
        <w:spacing w:after="240"/>
        <w:rPr>
          <w:rFonts w:ascii="Arial" w:hAnsi="Arial" w:cs="Arial"/>
          <w:b/>
          <w:color w:val="0A2F41" w:themeColor="accent1" w:themeShade="80"/>
          <w:sz w:val="22"/>
          <w:szCs w:val="22"/>
        </w:rPr>
      </w:pPr>
      <w:r w:rsidRPr="00734302">
        <w:rPr>
          <w:rFonts w:ascii="Arial" w:hAnsi="Arial" w:cs="Arial"/>
          <w:b/>
          <w:color w:val="0A2F41" w:themeColor="accent1" w:themeShade="80"/>
          <w:sz w:val="22"/>
          <w:szCs w:val="22"/>
        </w:rPr>
        <w:t>Methods</w:t>
      </w:r>
    </w:p>
    <w:p w14:paraId="5C9DE507" w14:textId="77777777" w:rsidR="000C225D" w:rsidRPr="00734302" w:rsidRDefault="000C225D" w:rsidP="000C225D">
      <w:pPr>
        <w:pStyle w:val="Heading2"/>
        <w:spacing w:after="240"/>
        <w:rPr>
          <w:rFonts w:ascii="Arial" w:hAnsi="Arial" w:cs="Arial"/>
          <w:bCs/>
          <w:color w:val="0A2F41" w:themeColor="accent1" w:themeShade="80"/>
          <w:sz w:val="22"/>
          <w:szCs w:val="22"/>
        </w:rPr>
      </w:pPr>
      <w:r w:rsidRPr="00734302">
        <w:rPr>
          <w:rFonts w:ascii="Arial" w:hAnsi="Arial" w:cs="Arial"/>
          <w:bCs/>
          <w:color w:val="0A2F41" w:themeColor="accent1" w:themeShade="80"/>
          <w:sz w:val="22"/>
          <w:szCs w:val="22"/>
        </w:rPr>
        <w:t xml:space="preserve">Animals </w:t>
      </w:r>
    </w:p>
    <w:p w14:paraId="3068380D" w14:textId="77777777" w:rsidR="000C225D" w:rsidRPr="00734302" w:rsidRDefault="000C225D" w:rsidP="000C225D">
      <w:pPr>
        <w:spacing w:line="360" w:lineRule="auto"/>
        <w:jc w:val="both"/>
        <w:rPr>
          <w:rFonts w:ascii="Arial" w:hAnsi="Arial" w:cs="Arial"/>
        </w:rPr>
      </w:pPr>
      <w:r w:rsidRPr="00734302">
        <w:rPr>
          <w:rFonts w:ascii="Arial" w:hAnsi="Arial" w:cs="Arial"/>
        </w:rPr>
        <w:t xml:space="preserve">Experiments were performed on </w:t>
      </w:r>
      <w:proofErr w:type="gramStart"/>
      <w:r w:rsidRPr="00734302">
        <w:rPr>
          <w:rFonts w:ascii="Arial" w:hAnsi="Arial" w:cs="Arial"/>
        </w:rPr>
        <w:t>mesenteric,  renal</w:t>
      </w:r>
      <w:proofErr w:type="gramEnd"/>
      <w:r w:rsidRPr="00734302">
        <w:rPr>
          <w:rFonts w:ascii="Arial" w:hAnsi="Arial" w:cs="Arial"/>
        </w:rPr>
        <w:t xml:space="preserve"> and coronary septal arteries from male rats aged 11-14 weeks and weighing 175-300g, housed within the Institute of Cancer Research facility (Surrey, UK). Rats were housed in cages with LSB Aspen woodchip bedding and a 12-hour light/dark cycle, maintained at constant temperature (21±1°C) and humidity (50%±10%), with free access to water and food, all in accordance with the Animal Scientific Procedures Act 1986 (ASPA). The tissues were transported each day to St George’s University of London, bathed and preserved in a salt solution containing (mmol·L</w:t>
      </w:r>
      <w:r w:rsidRPr="00734302">
        <w:rPr>
          <w:rFonts w:ascii="Arial" w:hAnsi="Arial" w:cs="Arial"/>
          <w:vertAlign w:val="superscript"/>
        </w:rPr>
        <w:t>-1</w:t>
      </w:r>
      <w:r w:rsidRPr="00734302">
        <w:rPr>
          <w:rFonts w:ascii="Arial" w:hAnsi="Arial" w:cs="Arial"/>
        </w:rPr>
        <w:t xml:space="preserve">): 126 NaCl, 6 </w:t>
      </w:r>
      <w:proofErr w:type="spellStart"/>
      <w:r w:rsidRPr="00734302">
        <w:rPr>
          <w:rFonts w:ascii="Arial" w:hAnsi="Arial" w:cs="Arial"/>
        </w:rPr>
        <w:t>KCl</w:t>
      </w:r>
      <w:proofErr w:type="spellEnd"/>
      <w:r w:rsidRPr="00734302">
        <w:rPr>
          <w:rFonts w:ascii="Arial" w:hAnsi="Arial" w:cs="Arial"/>
        </w:rPr>
        <w:t>, 10 Glucose, 11 HEPES, 1.2 MgCl</w:t>
      </w:r>
      <w:r w:rsidRPr="00734302">
        <w:rPr>
          <w:rFonts w:ascii="Arial" w:hAnsi="Arial" w:cs="Arial"/>
          <w:vertAlign w:val="subscript"/>
        </w:rPr>
        <w:t>2</w:t>
      </w:r>
      <w:r w:rsidRPr="00734302">
        <w:rPr>
          <w:rFonts w:ascii="Arial" w:hAnsi="Arial" w:cs="Arial"/>
        </w:rPr>
        <w:t xml:space="preserve"> and set to pH7.4 with NaOH. Animals were sacrificed by cervical dislocation and death confirmed via severing the femoral artery circulation in accordance with Schedule 1 of the ASPA 1986. </w:t>
      </w:r>
    </w:p>
    <w:p w14:paraId="293B23E4" w14:textId="77777777" w:rsidR="000C225D" w:rsidRPr="00734302" w:rsidRDefault="000C225D" w:rsidP="000C225D">
      <w:pPr>
        <w:spacing w:line="360" w:lineRule="auto"/>
        <w:jc w:val="both"/>
        <w:rPr>
          <w:rFonts w:ascii="Arial" w:hAnsi="Arial" w:cs="Arial"/>
        </w:rPr>
      </w:pPr>
      <w:r w:rsidRPr="00734302">
        <w:rPr>
          <w:rFonts w:ascii="Arial" w:hAnsi="Arial" w:cs="Arial"/>
        </w:rPr>
        <w:t xml:space="preserve">Second order mesenteric and the left and right main renal arteries were dissected, cleaned of fat and adjacent </w:t>
      </w:r>
      <w:proofErr w:type="gramStart"/>
      <w:r w:rsidRPr="00734302">
        <w:rPr>
          <w:rFonts w:ascii="Arial" w:hAnsi="Arial" w:cs="Arial"/>
        </w:rPr>
        <w:t>tissue</w:t>
      </w:r>
      <w:proofErr w:type="gramEnd"/>
      <w:r w:rsidRPr="00734302">
        <w:rPr>
          <w:rFonts w:ascii="Arial" w:hAnsi="Arial" w:cs="Arial"/>
        </w:rPr>
        <w:t xml:space="preserve"> and stored on ice in physiological Salt solution (PSS – see 1.9 solutions).</w:t>
      </w:r>
    </w:p>
    <w:p w14:paraId="5CDC9B26" w14:textId="77777777" w:rsidR="000C225D" w:rsidRPr="00734302" w:rsidRDefault="000C225D" w:rsidP="000C225D">
      <w:pPr>
        <w:rPr>
          <w:rFonts w:ascii="Arial" w:hAnsi="Arial" w:cs="Arial"/>
        </w:rPr>
      </w:pPr>
    </w:p>
    <w:p w14:paraId="1638D8EC" w14:textId="77777777" w:rsidR="000C225D" w:rsidRPr="00734302" w:rsidRDefault="000C225D" w:rsidP="000C225D">
      <w:pPr>
        <w:pStyle w:val="Heading2"/>
        <w:spacing w:after="240"/>
        <w:rPr>
          <w:rFonts w:ascii="Arial" w:hAnsi="Arial" w:cs="Arial"/>
          <w:color w:val="0A2F41" w:themeColor="accent1" w:themeShade="80"/>
          <w:sz w:val="22"/>
          <w:szCs w:val="22"/>
        </w:rPr>
      </w:pPr>
      <w:r w:rsidRPr="00734302">
        <w:rPr>
          <w:rFonts w:ascii="Arial" w:hAnsi="Arial" w:cs="Arial"/>
          <w:color w:val="0A2F41" w:themeColor="accent1" w:themeShade="80"/>
          <w:sz w:val="22"/>
          <w:szCs w:val="22"/>
        </w:rPr>
        <w:t>Myography</w:t>
      </w:r>
    </w:p>
    <w:p w14:paraId="1DE6A097"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All arteries were cut into ~2mm segments and mounted on 40µm stainless steel wires in a myograph (DMT, Aarhus, Denmark). The myograph chambers contained PSS that was bubbled with 95% oxygen and 5% carbon dioxide at 37°C. Tension in each segment was recorded using </w:t>
      </w:r>
      <w:proofErr w:type="spellStart"/>
      <w:r w:rsidRPr="00734302">
        <w:rPr>
          <w:rFonts w:ascii="Arial" w:hAnsi="Arial" w:cs="Arial"/>
        </w:rPr>
        <w:t>LabChart</w:t>
      </w:r>
      <w:proofErr w:type="spellEnd"/>
      <w:r w:rsidRPr="00734302">
        <w:rPr>
          <w:rFonts w:ascii="Arial" w:hAnsi="Arial" w:cs="Arial"/>
        </w:rPr>
        <w:t xml:space="preserve"> Pro Software (</w:t>
      </w:r>
      <w:proofErr w:type="spellStart"/>
      <w:r w:rsidRPr="00734302">
        <w:rPr>
          <w:rFonts w:ascii="Arial" w:hAnsi="Arial" w:cs="Arial"/>
        </w:rPr>
        <w:t>ADInstruments</w:t>
      </w:r>
      <w:proofErr w:type="spellEnd"/>
      <w:r w:rsidRPr="00734302">
        <w:rPr>
          <w:rFonts w:ascii="Arial" w:hAnsi="Arial" w:cs="Arial"/>
        </w:rPr>
        <w:t>, Oxford, UK).</w:t>
      </w:r>
    </w:p>
    <w:p w14:paraId="5EBD53D8" w14:textId="77777777" w:rsidR="00734302" w:rsidRPr="00734302" w:rsidRDefault="00734302" w:rsidP="00734302">
      <w:pPr>
        <w:spacing w:after="240" w:line="360" w:lineRule="auto"/>
        <w:jc w:val="both"/>
        <w:rPr>
          <w:rFonts w:ascii="Arial" w:hAnsi="Arial" w:cs="Arial"/>
        </w:rPr>
      </w:pPr>
      <w:r w:rsidRPr="00734302">
        <w:rPr>
          <w:rFonts w:ascii="Arial" w:hAnsi="Arial" w:cs="Arial"/>
        </w:rPr>
        <w:t xml:space="preserve">Arteries were cut into ~2mm segments and mounted on 40µm stainless steel wires in a myograph (DMT, Aarhus, Denmark). The myograph chambers contained physiological salt solution (PSS, composition in Supplement section 1.9) that was bubbled with 95% oxygen and 5% carbon dioxide at 37°C. Tension in each segment was recorded using </w:t>
      </w:r>
      <w:proofErr w:type="spellStart"/>
      <w:r w:rsidRPr="00734302">
        <w:rPr>
          <w:rFonts w:ascii="Arial" w:hAnsi="Arial" w:cs="Arial"/>
        </w:rPr>
        <w:t>LabChart</w:t>
      </w:r>
      <w:proofErr w:type="spellEnd"/>
      <w:r w:rsidRPr="00734302">
        <w:rPr>
          <w:rFonts w:ascii="Arial" w:hAnsi="Arial" w:cs="Arial"/>
        </w:rPr>
        <w:t xml:space="preserve"> Pro Software (</w:t>
      </w:r>
      <w:proofErr w:type="spellStart"/>
      <w:r w:rsidRPr="00734302">
        <w:rPr>
          <w:rFonts w:ascii="Arial" w:hAnsi="Arial" w:cs="Arial"/>
        </w:rPr>
        <w:t>ADInstruments</w:t>
      </w:r>
      <w:proofErr w:type="spellEnd"/>
      <w:r w:rsidRPr="00734302">
        <w:rPr>
          <w:rFonts w:ascii="Arial" w:hAnsi="Arial" w:cs="Arial"/>
        </w:rPr>
        <w:t>, Oxford, UK). All vessels were subject to a normalisation procedure</w:t>
      </w:r>
      <w:r w:rsidRPr="00734302">
        <w:rPr>
          <w:rFonts w:ascii="Arial" w:hAnsi="Arial" w:cs="Arial"/>
          <w:vertAlign w:val="superscript"/>
        </w:rPr>
        <w:t>22</w:t>
      </w:r>
      <w:r w:rsidRPr="00734302">
        <w:rPr>
          <w:rFonts w:ascii="Arial" w:hAnsi="Arial" w:cs="Arial"/>
        </w:rPr>
        <w:t xml:space="preserve"> to standardise the experimental conditions and arteries were set to an internal circumference 90% of the diameter at in-vivo transmural pressure (13.3 kPa or 10.3 kPa for septal arteries). Endothelial integrity was estimated by the response to 10µM carbachol </w:t>
      </w:r>
      <w:r w:rsidRPr="00734302">
        <w:rPr>
          <w:rFonts w:ascii="Arial" w:hAnsi="Arial" w:cs="Arial"/>
        </w:rPr>
        <w:lastRenderedPageBreak/>
        <w:t xml:space="preserve">applied to arteries constricted with 10µM of the α1-adrenoreceptor agonist, methoxamine. The endothelium was denuded by mechanical abrasion </w:t>
      </w:r>
      <w:r w:rsidRPr="00AC34A9">
        <w:rPr>
          <w:rFonts w:ascii="Arial" w:hAnsi="Arial" w:cs="Arial"/>
        </w:rPr>
        <w:t xml:space="preserve">with an eyebrow hair and effectiveness of removal ascertained by a carbachol challenge </w:t>
      </w:r>
      <w:r w:rsidRPr="00734302">
        <w:rPr>
          <w:rFonts w:ascii="Arial" w:hAnsi="Arial" w:cs="Arial"/>
        </w:rPr>
        <w:t>in all experiments with septal arteries.</w:t>
      </w:r>
    </w:p>
    <w:p w14:paraId="563E3428"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Arterial segments were </w:t>
      </w:r>
      <w:proofErr w:type="spellStart"/>
      <w:r w:rsidRPr="00734302">
        <w:rPr>
          <w:rFonts w:ascii="Arial" w:hAnsi="Arial" w:cs="Arial"/>
        </w:rPr>
        <w:t>preconstricted</w:t>
      </w:r>
      <w:proofErr w:type="spellEnd"/>
      <w:r w:rsidRPr="00734302">
        <w:rPr>
          <w:rFonts w:ascii="Arial" w:hAnsi="Arial" w:cs="Arial"/>
        </w:rPr>
        <w:t xml:space="preserve"> with 10 µM methoxamine and responses to the SGLT2 inhibitors dapagliflozin, empagliflozin, ertugliflozin (1 to 100 µM), the SGLT1 inhibitor </w:t>
      </w:r>
      <w:proofErr w:type="spellStart"/>
      <w:r w:rsidRPr="00734302">
        <w:rPr>
          <w:rFonts w:ascii="Arial" w:hAnsi="Arial" w:cs="Arial"/>
        </w:rPr>
        <w:t>mizagliflozin</w:t>
      </w:r>
      <w:proofErr w:type="spellEnd"/>
      <w:r w:rsidRPr="00734302">
        <w:rPr>
          <w:rFonts w:ascii="Arial" w:hAnsi="Arial" w:cs="Arial"/>
        </w:rPr>
        <w:t xml:space="preserve"> (1-30µM), NHE1 inhibitor </w:t>
      </w:r>
      <w:proofErr w:type="spellStart"/>
      <w:r w:rsidRPr="00734302">
        <w:rPr>
          <w:rFonts w:ascii="Arial" w:hAnsi="Arial" w:cs="Arial"/>
        </w:rPr>
        <w:t>cariporide</w:t>
      </w:r>
      <w:proofErr w:type="spellEnd"/>
      <w:r w:rsidRPr="00734302">
        <w:rPr>
          <w:rFonts w:ascii="Arial" w:hAnsi="Arial" w:cs="Arial"/>
        </w:rPr>
        <w:t xml:space="preserve">, CGRP (10pM- 10nM) and capsaicin (10 µM) determined. Vessels were pre-incubated in the presence or absence of a combination of solvent control dimethyl </w:t>
      </w:r>
      <w:proofErr w:type="spellStart"/>
      <w:r w:rsidRPr="00734302">
        <w:rPr>
          <w:rFonts w:ascii="Arial" w:hAnsi="Arial" w:cs="Arial"/>
        </w:rPr>
        <w:t>sulphoxide</w:t>
      </w:r>
      <w:proofErr w:type="spellEnd"/>
      <w:r w:rsidRPr="00734302">
        <w:rPr>
          <w:rFonts w:ascii="Arial" w:hAnsi="Arial" w:cs="Arial"/>
        </w:rPr>
        <w:t xml:space="preserve"> (DMSO) or pharmacological agents: </w:t>
      </w:r>
      <w:proofErr w:type="spellStart"/>
      <w:r w:rsidRPr="00734302">
        <w:rPr>
          <w:rFonts w:ascii="Arial" w:hAnsi="Arial" w:cs="Arial"/>
        </w:rPr>
        <w:t>Linopirdine</w:t>
      </w:r>
      <w:proofErr w:type="spellEnd"/>
      <w:r w:rsidRPr="00734302">
        <w:rPr>
          <w:rFonts w:ascii="Arial" w:hAnsi="Arial" w:cs="Arial"/>
        </w:rPr>
        <w:t xml:space="preserve"> (pan Kv7 channel blocker, 10µM), BIBN-4096 (CGRP receptor blocker, 1µM), Capsaicin (TRPV1 agonist, 10µM), AMG-517 (TRPV1 blocker, 1µM), AM0902 (TRPA1 channel blocker, 1 and 10 </w:t>
      </w:r>
      <w:r w:rsidRPr="00734302">
        <w:rPr>
          <w:rFonts w:ascii="Arial" w:hAnsi="Arial" w:cs="Arial"/>
          <w:kern w:val="0"/>
          <w14:ligatures w14:val="none"/>
        </w:rPr>
        <w:t xml:space="preserve">µM), </w:t>
      </w:r>
      <w:r w:rsidRPr="00734302">
        <w:rPr>
          <w:rFonts w:ascii="Arial" w:hAnsi="Arial" w:cs="Arial"/>
        </w:rPr>
        <w:t>HMR-1556 (Kv7.1 channel blocker, 10µM), Iberiotoxin (</w:t>
      </w:r>
      <w:proofErr w:type="spellStart"/>
      <w:r w:rsidRPr="00734302">
        <w:rPr>
          <w:rFonts w:ascii="Arial" w:hAnsi="Arial" w:cs="Arial"/>
        </w:rPr>
        <w:t>BK</w:t>
      </w:r>
      <w:r w:rsidRPr="00734302">
        <w:rPr>
          <w:rFonts w:ascii="Arial" w:hAnsi="Arial" w:cs="Arial"/>
          <w:vertAlign w:val="subscript"/>
        </w:rPr>
        <w:t>Ca</w:t>
      </w:r>
      <w:proofErr w:type="spellEnd"/>
      <w:r w:rsidRPr="00734302">
        <w:rPr>
          <w:rFonts w:ascii="Arial" w:hAnsi="Arial" w:cs="Arial"/>
        </w:rPr>
        <w:t xml:space="preserve"> channel blocker, 100nM), 4-aminopirydine (4-AP; 1mM), tetraethylammonium (TEA; 1mM) and </w:t>
      </w:r>
      <w:proofErr w:type="spellStart"/>
      <w:r w:rsidRPr="00734302">
        <w:rPr>
          <w:rFonts w:ascii="Arial" w:hAnsi="Arial" w:cs="Arial"/>
        </w:rPr>
        <w:t>glibenclamide</w:t>
      </w:r>
      <w:proofErr w:type="spellEnd"/>
      <w:r w:rsidRPr="00734302">
        <w:rPr>
          <w:rFonts w:ascii="Arial" w:hAnsi="Arial" w:cs="Arial"/>
        </w:rPr>
        <w:t xml:space="preserve"> (K</w:t>
      </w:r>
      <w:r w:rsidRPr="00734302">
        <w:rPr>
          <w:rFonts w:ascii="Arial" w:hAnsi="Arial" w:cs="Arial"/>
          <w:vertAlign w:val="subscript"/>
        </w:rPr>
        <w:t>ATP</w:t>
      </w:r>
      <w:r w:rsidRPr="00734302">
        <w:rPr>
          <w:rFonts w:ascii="Arial" w:hAnsi="Arial" w:cs="Arial"/>
        </w:rPr>
        <w:t xml:space="preserve"> channel blocker, 1 µM and 3 µM). To deplete sensory nerves relaxed arteries were challenged with 10µM capsaicin for 5 mins followed by extensive washout over 10 mins. This was repeated twice before contraction with methoxamine. A similar protocol was used for the </w:t>
      </w:r>
      <w:proofErr w:type="spellStart"/>
      <w:r w:rsidRPr="00734302">
        <w:rPr>
          <w:rFonts w:ascii="Arial" w:hAnsi="Arial" w:cs="Arial"/>
        </w:rPr>
        <w:t>cariporide</w:t>
      </w:r>
      <w:proofErr w:type="spellEnd"/>
      <w:r w:rsidRPr="00734302">
        <w:rPr>
          <w:rFonts w:ascii="Arial" w:hAnsi="Arial" w:cs="Arial"/>
        </w:rPr>
        <w:t xml:space="preserve"> pretreatment experiments, except </w:t>
      </w:r>
      <w:proofErr w:type="spellStart"/>
      <w:r w:rsidRPr="00734302">
        <w:rPr>
          <w:rFonts w:ascii="Arial" w:hAnsi="Arial" w:cs="Arial"/>
        </w:rPr>
        <w:t>cariporide</w:t>
      </w:r>
      <w:proofErr w:type="spellEnd"/>
      <w:r w:rsidRPr="00734302">
        <w:rPr>
          <w:rFonts w:ascii="Arial" w:hAnsi="Arial" w:cs="Arial"/>
        </w:rPr>
        <w:t xml:space="preserve"> was left in the bath at the time of contraction.</w:t>
      </w:r>
    </w:p>
    <w:p w14:paraId="2B63D8EB" w14:textId="77777777" w:rsidR="000C225D" w:rsidRPr="00734302" w:rsidRDefault="000C225D" w:rsidP="000C225D">
      <w:pPr>
        <w:pStyle w:val="Heading2"/>
        <w:spacing w:after="240"/>
        <w:rPr>
          <w:rFonts w:ascii="Arial" w:hAnsi="Arial" w:cs="Arial"/>
          <w:color w:val="auto"/>
          <w:sz w:val="22"/>
          <w:szCs w:val="22"/>
        </w:rPr>
      </w:pPr>
      <w:r w:rsidRPr="00734302">
        <w:rPr>
          <w:rFonts w:ascii="Arial" w:hAnsi="Arial" w:cs="Arial"/>
          <w:color w:val="0A2F41" w:themeColor="accent1" w:themeShade="80"/>
          <w:sz w:val="22"/>
          <w:szCs w:val="22"/>
        </w:rPr>
        <w:t>Immunohistochemistry</w:t>
      </w:r>
    </w:p>
    <w:p w14:paraId="308588E9" w14:textId="77777777" w:rsidR="000C225D" w:rsidRPr="00734302" w:rsidRDefault="000C225D" w:rsidP="000C225D">
      <w:pPr>
        <w:spacing w:after="0" w:line="360" w:lineRule="auto"/>
        <w:jc w:val="both"/>
        <w:rPr>
          <w:rFonts w:ascii="Arial" w:hAnsi="Arial" w:cs="Arial"/>
        </w:rPr>
      </w:pPr>
      <w:r w:rsidRPr="00734302">
        <w:rPr>
          <w:rFonts w:ascii="Arial" w:hAnsi="Arial" w:cs="Arial"/>
        </w:rPr>
        <w:t xml:space="preserve">After completion of functional myography experiments, mesenteric and renal arterial segments were fixed </w:t>
      </w:r>
      <w:r w:rsidRPr="00734302">
        <w:rPr>
          <w:rFonts w:ascii="Arial" w:hAnsi="Arial" w:cs="Arial"/>
          <w:i/>
          <w:iCs/>
        </w:rPr>
        <w:t>in situ</w:t>
      </w:r>
      <w:r w:rsidRPr="00734302">
        <w:rPr>
          <w:rFonts w:ascii="Arial" w:hAnsi="Arial" w:cs="Arial"/>
        </w:rPr>
        <w:t xml:space="preserve"> in myograph chambers with 4% paraformaldehyde (J61899, </w:t>
      </w:r>
      <w:proofErr w:type="spellStart"/>
      <w:r w:rsidRPr="00734302">
        <w:rPr>
          <w:rFonts w:ascii="Arial" w:hAnsi="Arial" w:cs="Arial"/>
        </w:rPr>
        <w:t>Thermo</w:t>
      </w:r>
      <w:proofErr w:type="spellEnd"/>
      <w:r w:rsidRPr="00734302">
        <w:rPr>
          <w:rFonts w:ascii="Arial" w:hAnsi="Arial" w:cs="Arial"/>
        </w:rPr>
        <w:t xml:space="preserve"> Scientific) for 1 hour at room temperature. Fixed arteries were washed with PBS, removed from wire myograph chambers by cutting open laterally and then separated into 2 fixed segments. Arteries were blocked for 90 minutes at room temperature with blocking buffer (1% BSA, 0.5% Triton X-100, 0.05% Tween 20 in PBS) and incubated overnight at 4°C with guinea pig anti-TRPV1 (Ab10295, 1:1000, Abcam) and goat anti-CGRP (Ab36001, 1:1000, Abcam), rabbit anti-NHE1 (PA5115917, 1:1000, Invitrogen),  mouse anti-SGLT2 (sc-393350, 1:200, Santa Cruz), rabbit  anti-smooth muscle Myosin heavy chain 11 (ab125884, 1:500, Abcam) and Goat anti mouse CD31/PECAM-1 (AF3628-SP, 1:150, R&amp;D Systems) diluted in blocking buffer. This was followed by a secondary antibody incubation with either goat anti-guinea pig (Alexa fluor 488, A11073, Life Technologies), donkey anti-goat (Alexa fluor 633, A21082, Life Technologies), donkey anti-rabbit (Alexa fluor 488, A21206, Life Technologies) or donkey anti-mouse (Alexa fluor 594, A21203, Invitrogen) diluted in blocking buffer for 90 minutes at room temperature. Arteries were then placed in mounting medium (</w:t>
      </w:r>
      <w:proofErr w:type="spellStart"/>
      <w:r w:rsidRPr="00734302">
        <w:rPr>
          <w:rFonts w:ascii="Arial" w:hAnsi="Arial" w:cs="Arial"/>
        </w:rPr>
        <w:t>Vectasheild</w:t>
      </w:r>
      <w:proofErr w:type="spellEnd"/>
      <w:r w:rsidRPr="00734302">
        <w:rPr>
          <w:rFonts w:ascii="Arial" w:hAnsi="Arial" w:cs="Arial"/>
        </w:rPr>
        <w:t xml:space="preserve"> plus Antifade, Vector Laboratories) and laid flat between 2 glass coverslips. Arteries were excited at 405, 488, 536 and 635 nm and fluorescence acquired through a water immersion objective (1.15, NAI, 1024 </w:t>
      </w:r>
      <w:r w:rsidRPr="00734302">
        <w:rPr>
          <w:rFonts w:ascii="Arial" w:hAnsi="Arial" w:cs="Arial"/>
        </w:rPr>
        <w:lastRenderedPageBreak/>
        <w:t xml:space="preserve">x 1024 pixels, x40 lens objective, Olympus) using a Fv1000 laser scanning confocal microscope (Olympus, Southend-on-Sea, UK). Z stacks were taken through every arterial segment starting from the arterial wall in 1µM increments using </w:t>
      </w:r>
      <w:proofErr w:type="spellStart"/>
      <w:r w:rsidRPr="00734302">
        <w:rPr>
          <w:rFonts w:ascii="Arial" w:hAnsi="Arial" w:cs="Arial"/>
        </w:rPr>
        <w:t>Fluaview</w:t>
      </w:r>
      <w:proofErr w:type="spellEnd"/>
      <w:r w:rsidRPr="00734302">
        <w:rPr>
          <w:rFonts w:ascii="Arial" w:hAnsi="Arial" w:cs="Arial"/>
        </w:rPr>
        <w:t xml:space="preserve"> version 4.1 and </w:t>
      </w:r>
      <w:proofErr w:type="spellStart"/>
      <w:r w:rsidRPr="00734302">
        <w:rPr>
          <w:rFonts w:ascii="Arial" w:hAnsi="Arial" w:cs="Arial"/>
        </w:rPr>
        <w:t>Imaris</w:t>
      </w:r>
      <w:proofErr w:type="spellEnd"/>
      <w:r w:rsidRPr="00734302">
        <w:rPr>
          <w:rFonts w:ascii="Arial" w:hAnsi="Arial" w:cs="Arial"/>
        </w:rPr>
        <w:t xml:space="preserve"> version 8.0.2 </w:t>
      </w:r>
      <w:proofErr w:type="spellStart"/>
      <w:r w:rsidRPr="00734302">
        <w:rPr>
          <w:rFonts w:ascii="Arial" w:hAnsi="Arial" w:cs="Arial"/>
        </w:rPr>
        <w:t>Bitplane</w:t>
      </w:r>
      <w:proofErr w:type="spellEnd"/>
      <w:r w:rsidRPr="00734302">
        <w:rPr>
          <w:rFonts w:ascii="Arial" w:hAnsi="Arial" w:cs="Arial"/>
        </w:rPr>
        <w:t xml:space="preserve"> software. </w:t>
      </w:r>
    </w:p>
    <w:p w14:paraId="0DE22ECF" w14:textId="77777777" w:rsidR="000C225D" w:rsidRPr="00734302" w:rsidRDefault="000C225D" w:rsidP="000C225D">
      <w:pPr>
        <w:pStyle w:val="Heading2"/>
        <w:spacing w:after="240"/>
        <w:rPr>
          <w:rFonts w:ascii="Arial" w:hAnsi="Arial" w:cs="Arial"/>
          <w:bCs/>
          <w:color w:val="0A2F41" w:themeColor="accent1" w:themeShade="80"/>
          <w:sz w:val="22"/>
          <w:szCs w:val="22"/>
        </w:rPr>
      </w:pPr>
      <w:r w:rsidRPr="00734302">
        <w:rPr>
          <w:rFonts w:ascii="Arial" w:hAnsi="Arial" w:cs="Arial"/>
          <w:bCs/>
          <w:color w:val="0A2F41" w:themeColor="accent1" w:themeShade="80"/>
          <w:sz w:val="22"/>
          <w:szCs w:val="22"/>
        </w:rPr>
        <w:t>Immunocytochemistry (ICC)</w:t>
      </w:r>
    </w:p>
    <w:p w14:paraId="392A7EB6" w14:textId="77777777" w:rsidR="000C225D" w:rsidRPr="00734302" w:rsidRDefault="000C225D" w:rsidP="000C225D">
      <w:pPr>
        <w:spacing w:after="240" w:line="360" w:lineRule="auto"/>
        <w:jc w:val="both"/>
        <w:rPr>
          <w:rFonts w:ascii="Arial" w:hAnsi="Arial" w:cs="Arial"/>
          <w:color w:val="222222"/>
        </w:rPr>
      </w:pPr>
      <w:r w:rsidRPr="00734302">
        <w:rPr>
          <w:rFonts w:ascii="Arial" w:hAnsi="Arial" w:cs="Arial"/>
        </w:rPr>
        <w:t>Vascular smooth muscle cells were isolated from whole mesenteric and renal arteries from Wister rats. Arteries were placed in a smooth muscle dissociation solution (SMDS- see solutions for composition) supplemented with 1.75 mg·ml−1 Collagenase Type IA, 0.9 mg·ml</w:t>
      </w:r>
      <w:r w:rsidRPr="00734302">
        <w:rPr>
          <w:rFonts w:ascii="Arial" w:hAnsi="Arial" w:cs="Arial"/>
          <w:vertAlign w:val="superscript"/>
        </w:rPr>
        <w:t>−1</w:t>
      </w:r>
      <w:r w:rsidRPr="00734302">
        <w:rPr>
          <w:rFonts w:ascii="Arial" w:hAnsi="Arial" w:cs="Arial"/>
        </w:rPr>
        <w:t xml:space="preserve"> protease, 1 mg·ml</w:t>
      </w:r>
      <w:r w:rsidRPr="00734302">
        <w:rPr>
          <w:rFonts w:ascii="Arial" w:hAnsi="Arial" w:cs="Arial"/>
          <w:vertAlign w:val="superscript"/>
        </w:rPr>
        <w:t>−1</w:t>
      </w:r>
      <w:r w:rsidRPr="00734302">
        <w:rPr>
          <w:rFonts w:ascii="Arial" w:hAnsi="Arial" w:cs="Arial"/>
        </w:rPr>
        <w:t xml:space="preserve"> trypsin inhibitor and 1 mg·ml</w:t>
      </w:r>
      <w:r w:rsidRPr="00734302">
        <w:rPr>
          <w:rFonts w:ascii="Arial" w:hAnsi="Arial" w:cs="Arial"/>
          <w:vertAlign w:val="superscript"/>
        </w:rPr>
        <w:t>−1</w:t>
      </w:r>
      <w:r w:rsidRPr="00734302">
        <w:rPr>
          <w:rFonts w:ascii="Arial" w:hAnsi="Arial" w:cs="Arial"/>
        </w:rPr>
        <w:t xml:space="preserve"> bovine serum albumin (Sigma, UK) at 37°C for 45 minutes. Vessels were washed in SMDS</w:t>
      </w:r>
      <w:r w:rsidRPr="00734302">
        <w:rPr>
          <w:rFonts w:ascii="Arial" w:hAnsi="Arial" w:cs="Arial"/>
          <w:color w:val="222222"/>
        </w:rPr>
        <w:t xml:space="preserve"> and underwent mechanical trituration using a glass Pasteur pipette to liberate vascular smooth muscle cells. The subsequent cell suspension was plated onto 13mm coverslips and left at room temperature</w:t>
      </w:r>
      <w:r w:rsidRPr="00734302">
        <w:rPr>
          <w:rFonts w:ascii="Arial" w:hAnsi="Arial" w:cs="Arial"/>
        </w:rPr>
        <w:t xml:space="preserve"> (</w:t>
      </w:r>
      <w:r w:rsidRPr="00734302">
        <w:rPr>
          <w:rFonts w:ascii="Arial" w:hAnsi="Arial" w:cs="Arial"/>
          <w:color w:val="222222"/>
        </w:rPr>
        <w:t xml:space="preserve">RT, 20-22°C) for 45 minutes to adhere. The VSMCs were fixed with 4% paraformaldehyde for 15 minutes and then stored in a 24-well plate with filtered PBS at 4°C until used for ICC experiments. </w:t>
      </w:r>
    </w:p>
    <w:p w14:paraId="2E4BD8D8" w14:textId="77777777" w:rsidR="000C225D" w:rsidRPr="00734302" w:rsidRDefault="000C225D" w:rsidP="000C225D">
      <w:pPr>
        <w:spacing w:after="240" w:line="360" w:lineRule="auto"/>
        <w:jc w:val="both"/>
        <w:rPr>
          <w:rFonts w:ascii="Arial" w:hAnsi="Arial" w:cs="Arial"/>
          <w:color w:val="222222"/>
        </w:rPr>
      </w:pPr>
      <w:r w:rsidRPr="00734302">
        <w:rPr>
          <w:rFonts w:ascii="Arial" w:hAnsi="Arial" w:cs="Arial"/>
          <w:color w:val="222222"/>
        </w:rPr>
        <w:t>The VSMCs were incubated in WGA Texas Red membrane stain (Thermos Fisher Scientific, Invitrogen) for 10 minutes. Cells were washed with PBS and incubated in 100 mmol·L−1 glycine in PBS for 5 minutes and subsequently in blocking solution (PBS containing 0.1% Triton X-100 and 10% FBS in PBS) for 45 minutes. Cells then underwent an overnight incubation with a mouse anti-SGLT2 antibody (dilution 1:200, Santa Cruz, Texas, USA), then washed in PBS and incubated with a donkey anti-mouse secondary antibody conjugated to Alexa Fluor 488 (dilution 1:100, Thermo-Fisher, Paisley, UK). The coverslips were washed in PBS before being mounted onto a microscope slide with 4’,6-diamidino-2-phenylindole (DAPI) (</w:t>
      </w:r>
      <w:proofErr w:type="spellStart"/>
      <w:r w:rsidRPr="00734302">
        <w:rPr>
          <w:rFonts w:ascii="Arial" w:hAnsi="Arial" w:cs="Arial"/>
          <w:color w:val="222222"/>
        </w:rPr>
        <w:t>Vectashield</w:t>
      </w:r>
      <w:proofErr w:type="spellEnd"/>
      <w:r w:rsidRPr="00734302">
        <w:rPr>
          <w:rFonts w:ascii="Arial" w:hAnsi="Arial" w:cs="Arial"/>
          <w:color w:val="222222"/>
        </w:rPr>
        <w:t xml:space="preserve">, Vector Laboratories, Burlingame, CA) mounting medium. </w:t>
      </w:r>
    </w:p>
    <w:p w14:paraId="2ECAB04F" w14:textId="77777777" w:rsidR="000C225D" w:rsidRPr="00734302" w:rsidRDefault="000C225D" w:rsidP="000C225D">
      <w:pPr>
        <w:pStyle w:val="Heading2"/>
        <w:spacing w:after="240"/>
        <w:rPr>
          <w:rFonts w:ascii="Arial" w:hAnsi="Arial" w:cs="Arial"/>
          <w:sz w:val="22"/>
          <w:szCs w:val="22"/>
        </w:rPr>
      </w:pPr>
      <w:r w:rsidRPr="00734302">
        <w:rPr>
          <w:rFonts w:ascii="Arial" w:hAnsi="Arial" w:cs="Arial"/>
          <w:sz w:val="22"/>
          <w:szCs w:val="22"/>
        </w:rPr>
        <w:t>Western Blot</w:t>
      </w:r>
    </w:p>
    <w:p w14:paraId="30DA985F" w14:textId="77777777" w:rsidR="000C225D" w:rsidRPr="00734302" w:rsidRDefault="000C225D" w:rsidP="000C225D">
      <w:pPr>
        <w:spacing w:after="240" w:line="360" w:lineRule="auto"/>
        <w:jc w:val="both"/>
        <w:rPr>
          <w:rFonts w:ascii="Arial" w:hAnsi="Arial" w:cs="Arial"/>
        </w:rPr>
      </w:pPr>
      <w:r w:rsidRPr="00734302">
        <w:rPr>
          <w:rFonts w:ascii="Arial" w:hAnsi="Arial" w:cs="Arial"/>
        </w:rPr>
        <w:t>Whole protein lysates from mesenteric and renal arteries were prepared using Triton Buffer (Fisher Scientific) supplemented with protease and phosphatase inhibitors (</w:t>
      </w:r>
      <w:proofErr w:type="spellStart"/>
      <w:r w:rsidRPr="00734302">
        <w:rPr>
          <w:rFonts w:ascii="Arial" w:hAnsi="Arial" w:cs="Arial"/>
        </w:rPr>
        <w:t>cOmplete</w:t>
      </w:r>
      <w:proofErr w:type="spellEnd"/>
      <w:r w:rsidRPr="00734302">
        <w:rPr>
          <w:rFonts w:ascii="Arial" w:hAnsi="Arial" w:cs="Arial"/>
        </w:rPr>
        <w:t xml:space="preserve">, mini and </w:t>
      </w:r>
      <w:proofErr w:type="spellStart"/>
      <w:r w:rsidRPr="00734302">
        <w:rPr>
          <w:rFonts w:ascii="Arial" w:hAnsi="Arial" w:cs="Arial"/>
        </w:rPr>
        <w:t>PhosSTOP</w:t>
      </w:r>
      <w:proofErr w:type="spellEnd"/>
      <w:r w:rsidRPr="00734302">
        <w:rPr>
          <w:rFonts w:ascii="Arial" w:hAnsi="Arial" w:cs="Arial"/>
        </w:rPr>
        <w:t xml:space="preserve"> from Roche). Protein concentrations were determined via the Pierce™ BCA Protein Assay Kit (</w:t>
      </w:r>
      <w:proofErr w:type="spellStart"/>
      <w:r w:rsidRPr="00734302">
        <w:rPr>
          <w:rFonts w:ascii="Arial" w:hAnsi="Arial" w:cs="Arial"/>
        </w:rPr>
        <w:t>Thermo</w:t>
      </w:r>
      <w:proofErr w:type="spellEnd"/>
      <w:r w:rsidRPr="00734302">
        <w:rPr>
          <w:rFonts w:ascii="Arial" w:hAnsi="Arial" w:cs="Arial"/>
        </w:rPr>
        <w:t xml:space="preserve"> Fisher Scientific, Loughborough, UK). The samples were run under reducing conditions with 4-12% Bolt™ Bis-Tris Plus pre-cast gels (Invitrogen) and proteins were transferred to a nitrocellulose membrane. Membranes were blocked for at least 0.5 hour in 3% BSA-PBS and incubated overnight at 4°C with the primary SGLT2 mouse monoclonal antibody (D-6, sc-393350, 1/200 dilution, Santa Cruz). The membranes were incubated with highly adsorbed horseradish peroxidase-conjugated goat anti-mouse IgG (A16078, Fisher Scientific) for 1h at RT and developed using Immobilon™ Western Chemiluminescent HRP </w:t>
      </w:r>
      <w:r w:rsidRPr="00734302">
        <w:rPr>
          <w:rFonts w:ascii="Arial" w:hAnsi="Arial" w:cs="Arial"/>
        </w:rPr>
        <w:lastRenderedPageBreak/>
        <w:t xml:space="preserve">Substrate (Millipore). Detection and quantification of chemiluminescence intensities were quantified by using </w:t>
      </w:r>
      <w:proofErr w:type="spellStart"/>
      <w:r w:rsidRPr="00734302">
        <w:rPr>
          <w:rFonts w:ascii="Arial" w:hAnsi="Arial" w:cs="Arial"/>
        </w:rPr>
        <w:t>Chemidoc</w:t>
      </w:r>
      <w:r w:rsidRPr="00734302">
        <w:rPr>
          <w:rFonts w:ascii="Arial" w:hAnsi="Arial" w:cs="Arial"/>
          <w:vertAlign w:val="superscript"/>
        </w:rPr>
        <w:t>TM</w:t>
      </w:r>
      <w:proofErr w:type="spellEnd"/>
      <w:r w:rsidRPr="00734302">
        <w:rPr>
          <w:rFonts w:ascii="Arial" w:hAnsi="Arial" w:cs="Arial"/>
        </w:rPr>
        <w:t xml:space="preserve"> imaging system and Image Lab 5.2.1 software (</w:t>
      </w:r>
      <w:proofErr w:type="spellStart"/>
      <w:r w:rsidRPr="00734302">
        <w:rPr>
          <w:rFonts w:ascii="Arial" w:hAnsi="Arial" w:cs="Arial"/>
        </w:rPr>
        <w:t>BioRad</w:t>
      </w:r>
      <w:proofErr w:type="spellEnd"/>
      <w:r w:rsidRPr="00734302">
        <w:rPr>
          <w:rFonts w:ascii="Arial" w:hAnsi="Arial" w:cs="Arial"/>
        </w:rPr>
        <w:t xml:space="preserve">). Blots were stripped with restore buffer (Fisher Scientific) according to the manufacturer’s instructions and re-probed with a rabbit-anti-actin antibody (#4970, Cell Signalling Technology) and </w:t>
      </w:r>
      <w:proofErr w:type="gramStart"/>
      <w:r w:rsidRPr="00734302">
        <w:rPr>
          <w:rFonts w:ascii="Arial" w:hAnsi="Arial" w:cs="Arial"/>
        </w:rPr>
        <w:t>highly-adsorbed</w:t>
      </w:r>
      <w:proofErr w:type="gramEnd"/>
      <w:r w:rsidRPr="00734302">
        <w:rPr>
          <w:rFonts w:ascii="Arial" w:hAnsi="Arial" w:cs="Arial"/>
        </w:rPr>
        <w:t xml:space="preserve"> horseradish peroxidase-conjugated donkey-anti rabbit IgG (Merks) as above. </w:t>
      </w:r>
    </w:p>
    <w:p w14:paraId="4D144DE7" w14:textId="77777777" w:rsidR="000C225D" w:rsidRPr="00734302" w:rsidRDefault="000C225D" w:rsidP="000C225D">
      <w:pPr>
        <w:rPr>
          <w:rFonts w:ascii="Arial" w:hAnsi="Arial" w:cs="Arial"/>
        </w:rPr>
      </w:pPr>
    </w:p>
    <w:p w14:paraId="1EFD6525" w14:textId="77777777" w:rsidR="000C225D" w:rsidRPr="00734302" w:rsidRDefault="000C225D" w:rsidP="000C225D">
      <w:pPr>
        <w:pStyle w:val="Heading2"/>
        <w:spacing w:after="240"/>
        <w:rPr>
          <w:rFonts w:ascii="Arial" w:hAnsi="Arial" w:cs="Arial"/>
          <w:bCs/>
          <w:color w:val="0A2F41" w:themeColor="accent1" w:themeShade="80"/>
          <w:sz w:val="22"/>
          <w:szCs w:val="22"/>
        </w:rPr>
      </w:pPr>
      <w:r w:rsidRPr="00734302">
        <w:rPr>
          <w:rFonts w:ascii="Arial" w:hAnsi="Arial" w:cs="Arial"/>
          <w:bCs/>
          <w:color w:val="0A2F41" w:themeColor="accent1" w:themeShade="80"/>
          <w:sz w:val="22"/>
          <w:szCs w:val="22"/>
        </w:rPr>
        <w:t xml:space="preserve">Cell Cultures </w:t>
      </w:r>
    </w:p>
    <w:p w14:paraId="7A1E0831"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HEK293 cells (ATCC® CRL-1573) were cultured in a complete growth medium containing Dulbecco's modified Eagle's medium with high-Glucose (DMEM </w:t>
      </w:r>
      <w:proofErr w:type="spellStart"/>
      <w:r w:rsidRPr="00734302">
        <w:rPr>
          <w:rFonts w:ascii="Arial" w:hAnsi="Arial" w:cs="Arial"/>
        </w:rPr>
        <w:t>GibcoTM</w:t>
      </w:r>
      <w:proofErr w:type="spellEnd"/>
      <w:r w:rsidRPr="00734302">
        <w:rPr>
          <w:rFonts w:ascii="Arial" w:hAnsi="Arial" w:cs="Arial"/>
        </w:rPr>
        <w:t xml:space="preserve">) complemented with 10% </w:t>
      </w:r>
      <w:proofErr w:type="spellStart"/>
      <w:r w:rsidRPr="00734302">
        <w:rPr>
          <w:rFonts w:ascii="Arial" w:hAnsi="Arial" w:cs="Arial"/>
        </w:rPr>
        <w:t>fetal</w:t>
      </w:r>
      <w:proofErr w:type="spellEnd"/>
      <w:r w:rsidRPr="00734302">
        <w:rPr>
          <w:rFonts w:ascii="Arial" w:hAnsi="Arial" w:cs="Arial"/>
        </w:rPr>
        <w:t xml:space="preserve"> bovine serum (</w:t>
      </w:r>
      <w:proofErr w:type="spellStart"/>
      <w:r w:rsidRPr="00734302">
        <w:rPr>
          <w:rFonts w:ascii="Arial" w:hAnsi="Arial" w:cs="Arial"/>
        </w:rPr>
        <w:t>HyCloneTM</w:t>
      </w:r>
      <w:proofErr w:type="spellEnd"/>
      <w:r w:rsidRPr="00734302">
        <w:rPr>
          <w:rFonts w:ascii="Arial" w:hAnsi="Arial" w:cs="Arial"/>
        </w:rPr>
        <w:t>) and 100 U/ml of Penicillin-Streptomycin (</w:t>
      </w:r>
      <w:proofErr w:type="spellStart"/>
      <w:r w:rsidRPr="00734302">
        <w:rPr>
          <w:rFonts w:ascii="Arial" w:hAnsi="Arial" w:cs="Arial"/>
        </w:rPr>
        <w:t>GibcoTM</w:t>
      </w:r>
      <w:proofErr w:type="spellEnd"/>
      <w:r w:rsidRPr="00734302">
        <w:rPr>
          <w:rFonts w:ascii="Arial" w:hAnsi="Arial" w:cs="Arial"/>
        </w:rPr>
        <w:t>). Cell cultures were maintained in a humidified incubator at 37°C with an atmosphere of 95% of air and 5% of CO</w:t>
      </w:r>
      <w:r w:rsidRPr="00734302">
        <w:rPr>
          <w:rFonts w:ascii="Arial" w:hAnsi="Arial" w:cs="Arial"/>
          <w:vertAlign w:val="subscript"/>
        </w:rPr>
        <w:t>2</w:t>
      </w:r>
      <w:r w:rsidRPr="00734302">
        <w:rPr>
          <w:rFonts w:ascii="Arial" w:hAnsi="Arial" w:cs="Arial"/>
        </w:rPr>
        <w:t xml:space="preserve">. Cells were </w:t>
      </w:r>
      <w:proofErr w:type="spellStart"/>
      <w:r w:rsidRPr="00734302">
        <w:rPr>
          <w:rFonts w:ascii="Arial" w:hAnsi="Arial" w:cs="Arial"/>
        </w:rPr>
        <w:t>subcultured</w:t>
      </w:r>
      <w:proofErr w:type="spellEnd"/>
      <w:r w:rsidRPr="00734302">
        <w:rPr>
          <w:rFonts w:ascii="Arial" w:hAnsi="Arial" w:cs="Arial"/>
        </w:rPr>
        <w:t xml:space="preserve"> every 3 days using 0.25% (w/V) Trypsin-EDTA solution (</w:t>
      </w:r>
      <w:proofErr w:type="spellStart"/>
      <w:r w:rsidRPr="00734302">
        <w:rPr>
          <w:rFonts w:ascii="Arial" w:hAnsi="Arial" w:cs="Arial"/>
        </w:rPr>
        <w:t>GibcoTM</w:t>
      </w:r>
      <w:proofErr w:type="spellEnd"/>
      <w:r w:rsidRPr="00734302">
        <w:rPr>
          <w:rFonts w:ascii="Arial" w:hAnsi="Arial" w:cs="Arial"/>
        </w:rPr>
        <w:t xml:space="preserve">). </w:t>
      </w:r>
    </w:p>
    <w:p w14:paraId="6D2D3224" w14:textId="77777777" w:rsidR="000C225D" w:rsidRPr="00734302" w:rsidRDefault="000C225D" w:rsidP="000C225D">
      <w:pPr>
        <w:pStyle w:val="Heading2"/>
        <w:spacing w:after="240"/>
        <w:rPr>
          <w:rFonts w:ascii="Arial" w:hAnsi="Arial" w:cs="Arial"/>
          <w:color w:val="0A2F41" w:themeColor="accent1" w:themeShade="80"/>
          <w:sz w:val="22"/>
          <w:szCs w:val="22"/>
        </w:rPr>
      </w:pPr>
      <w:r w:rsidRPr="00734302">
        <w:rPr>
          <w:rFonts w:ascii="Arial" w:hAnsi="Arial" w:cs="Arial"/>
          <w:color w:val="0A2F41" w:themeColor="accent1" w:themeShade="80"/>
          <w:sz w:val="22"/>
          <w:szCs w:val="22"/>
        </w:rPr>
        <w:t xml:space="preserve">Electrophysiology </w:t>
      </w:r>
    </w:p>
    <w:p w14:paraId="79E9701B" w14:textId="77777777" w:rsidR="000C225D" w:rsidRPr="00734302" w:rsidRDefault="000C225D" w:rsidP="000C225D">
      <w:pPr>
        <w:spacing w:after="240" w:line="360" w:lineRule="auto"/>
        <w:rPr>
          <w:rFonts w:ascii="Arial" w:hAnsi="Arial" w:cs="Arial"/>
        </w:rPr>
      </w:pPr>
      <w:r w:rsidRPr="00734302">
        <w:rPr>
          <w:rFonts w:ascii="Arial" w:hAnsi="Arial" w:cs="Arial"/>
        </w:rPr>
        <w:t xml:space="preserve">The effect of various SGLT2 inhibitors was assessed on currents generated by the over-expression of Kv7 and TRPV1 genes in </w:t>
      </w:r>
      <w:r w:rsidRPr="00734302">
        <w:rPr>
          <w:rFonts w:ascii="Arial" w:hAnsi="Arial" w:cs="Arial"/>
          <w:i/>
          <w:iCs/>
        </w:rPr>
        <w:t>Xenopus laevis</w:t>
      </w:r>
      <w:r w:rsidRPr="00734302">
        <w:rPr>
          <w:rFonts w:ascii="Arial" w:hAnsi="Arial" w:cs="Arial"/>
        </w:rPr>
        <w:t xml:space="preserve"> oocytes and HEK293 cells respectively.</w:t>
      </w:r>
    </w:p>
    <w:p w14:paraId="0B7EC4B5" w14:textId="77777777" w:rsidR="000C225D" w:rsidRPr="00734302" w:rsidRDefault="000C225D" w:rsidP="000C225D">
      <w:pPr>
        <w:pStyle w:val="Heading3"/>
        <w:numPr>
          <w:ilvl w:val="2"/>
          <w:numId w:val="1"/>
        </w:numPr>
        <w:tabs>
          <w:tab w:val="num" w:pos="360"/>
        </w:tabs>
        <w:spacing w:after="240"/>
        <w:ind w:left="0" w:firstLine="0"/>
        <w:rPr>
          <w:rFonts w:ascii="Arial" w:hAnsi="Arial" w:cs="Arial"/>
          <w:bCs/>
          <w:color w:val="0A2F41" w:themeColor="accent1" w:themeShade="80"/>
          <w:sz w:val="22"/>
          <w:szCs w:val="22"/>
        </w:rPr>
      </w:pPr>
      <w:r w:rsidRPr="00734302">
        <w:rPr>
          <w:rFonts w:ascii="Arial" w:hAnsi="Arial" w:cs="Arial"/>
          <w:bCs/>
          <w:color w:val="0A2F41" w:themeColor="accent1" w:themeShade="80"/>
          <w:sz w:val="22"/>
          <w:szCs w:val="22"/>
        </w:rPr>
        <w:t xml:space="preserve">Channel subunit </w:t>
      </w:r>
      <w:proofErr w:type="spellStart"/>
      <w:r w:rsidRPr="00734302">
        <w:rPr>
          <w:rFonts w:ascii="Arial" w:hAnsi="Arial" w:cs="Arial"/>
          <w:bCs/>
          <w:color w:val="0A2F41" w:themeColor="accent1" w:themeShade="80"/>
          <w:sz w:val="22"/>
          <w:szCs w:val="22"/>
        </w:rPr>
        <w:t>cRNA</w:t>
      </w:r>
      <w:proofErr w:type="spellEnd"/>
      <w:r w:rsidRPr="00734302">
        <w:rPr>
          <w:rFonts w:ascii="Arial" w:hAnsi="Arial" w:cs="Arial"/>
          <w:bCs/>
          <w:color w:val="0A2F41" w:themeColor="accent1" w:themeShade="80"/>
          <w:sz w:val="22"/>
          <w:szCs w:val="22"/>
        </w:rPr>
        <w:t xml:space="preserve"> preparation and </w:t>
      </w:r>
      <w:r w:rsidRPr="00734302">
        <w:rPr>
          <w:rFonts w:ascii="Arial" w:hAnsi="Arial" w:cs="Arial"/>
          <w:bCs/>
          <w:i/>
          <w:iCs/>
          <w:color w:val="0A2F41" w:themeColor="accent1" w:themeShade="80"/>
          <w:sz w:val="22"/>
          <w:szCs w:val="22"/>
        </w:rPr>
        <w:t>Xenopus laevis</w:t>
      </w:r>
      <w:r w:rsidRPr="00734302">
        <w:rPr>
          <w:rFonts w:ascii="Arial" w:hAnsi="Arial" w:cs="Arial"/>
          <w:bCs/>
          <w:color w:val="0A2F41" w:themeColor="accent1" w:themeShade="80"/>
          <w:sz w:val="22"/>
          <w:szCs w:val="22"/>
        </w:rPr>
        <w:t xml:space="preserve"> oocyte </w:t>
      </w:r>
      <w:proofErr w:type="gramStart"/>
      <w:r w:rsidRPr="00734302">
        <w:rPr>
          <w:rFonts w:ascii="Arial" w:hAnsi="Arial" w:cs="Arial"/>
          <w:bCs/>
          <w:color w:val="0A2F41" w:themeColor="accent1" w:themeShade="80"/>
          <w:sz w:val="22"/>
          <w:szCs w:val="22"/>
        </w:rPr>
        <w:t>injection</w:t>
      </w:r>
      <w:proofErr w:type="gramEnd"/>
    </w:p>
    <w:p w14:paraId="194D01D6"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We generated </w:t>
      </w:r>
      <w:proofErr w:type="spellStart"/>
      <w:r w:rsidRPr="00734302">
        <w:rPr>
          <w:rFonts w:ascii="Arial" w:hAnsi="Arial" w:cs="Arial"/>
        </w:rPr>
        <w:t>cRNA</w:t>
      </w:r>
      <w:proofErr w:type="spellEnd"/>
      <w:r w:rsidRPr="00734302">
        <w:rPr>
          <w:rFonts w:ascii="Arial" w:hAnsi="Arial" w:cs="Arial"/>
        </w:rPr>
        <w:t xml:space="preserve"> transcripts encoding human Kv7.4, Kv7.5 and KCNE4 by in vitro transcription using the </w:t>
      </w:r>
      <w:proofErr w:type="spellStart"/>
      <w:r w:rsidRPr="00734302">
        <w:rPr>
          <w:rFonts w:ascii="Arial" w:hAnsi="Arial" w:cs="Arial"/>
        </w:rPr>
        <w:t>mMessage</w:t>
      </w:r>
      <w:proofErr w:type="spellEnd"/>
      <w:r w:rsidRPr="00734302">
        <w:rPr>
          <w:rFonts w:ascii="Arial" w:hAnsi="Arial" w:cs="Arial"/>
        </w:rPr>
        <w:t xml:space="preserve"> </w:t>
      </w:r>
      <w:proofErr w:type="spellStart"/>
      <w:r w:rsidRPr="00734302">
        <w:rPr>
          <w:rFonts w:ascii="Arial" w:hAnsi="Arial" w:cs="Arial"/>
        </w:rPr>
        <w:t>mMachine</w:t>
      </w:r>
      <w:proofErr w:type="spellEnd"/>
      <w:r w:rsidRPr="00734302">
        <w:rPr>
          <w:rFonts w:ascii="Arial" w:hAnsi="Arial" w:cs="Arial"/>
        </w:rPr>
        <w:t xml:space="preserve"> kit (</w:t>
      </w:r>
      <w:proofErr w:type="spellStart"/>
      <w:r w:rsidRPr="00734302">
        <w:rPr>
          <w:rFonts w:ascii="Arial" w:hAnsi="Arial" w:cs="Arial"/>
        </w:rPr>
        <w:t>Thermo</w:t>
      </w:r>
      <w:proofErr w:type="spellEnd"/>
      <w:r w:rsidRPr="00734302">
        <w:rPr>
          <w:rFonts w:ascii="Arial" w:hAnsi="Arial" w:cs="Arial"/>
        </w:rPr>
        <w:t xml:space="preserve"> Fisher Scientific, Waltham, MA, USA) according to manufacturer’s instructions, after vector linearization, from cDNA sub-cloned into expression vectors (</w:t>
      </w:r>
      <w:proofErr w:type="spellStart"/>
      <w:r w:rsidRPr="00734302">
        <w:rPr>
          <w:rFonts w:ascii="Arial" w:hAnsi="Arial" w:cs="Arial"/>
        </w:rPr>
        <w:t>pTLNx</w:t>
      </w:r>
      <w:proofErr w:type="spellEnd"/>
      <w:r w:rsidRPr="00734302">
        <w:rPr>
          <w:rFonts w:ascii="Arial" w:hAnsi="Arial" w:cs="Arial"/>
        </w:rPr>
        <w:t xml:space="preserve"> and </w:t>
      </w:r>
      <w:proofErr w:type="spellStart"/>
      <w:r w:rsidRPr="00734302">
        <w:rPr>
          <w:rFonts w:ascii="Arial" w:hAnsi="Arial" w:cs="Arial"/>
        </w:rPr>
        <w:t>pXOOM</w:t>
      </w:r>
      <w:proofErr w:type="spellEnd"/>
      <w:r w:rsidRPr="00734302">
        <w:rPr>
          <w:rFonts w:ascii="Arial" w:hAnsi="Arial" w:cs="Arial"/>
        </w:rPr>
        <w:t xml:space="preserve">) incorporating </w:t>
      </w:r>
      <w:r w:rsidRPr="00734302">
        <w:rPr>
          <w:rFonts w:ascii="Arial" w:hAnsi="Arial" w:cs="Arial"/>
          <w:i/>
          <w:iCs/>
        </w:rPr>
        <w:t>Xenopus laevis</w:t>
      </w:r>
      <w:r w:rsidRPr="00734302">
        <w:rPr>
          <w:rFonts w:ascii="Arial" w:hAnsi="Arial" w:cs="Arial"/>
        </w:rPr>
        <w:t xml:space="preserve"> β-globin 5’ and 3’ UTRs flanking the coding region to enhance translation and </w:t>
      </w:r>
      <w:proofErr w:type="spellStart"/>
      <w:r w:rsidRPr="00734302">
        <w:rPr>
          <w:rFonts w:ascii="Arial" w:hAnsi="Arial" w:cs="Arial"/>
        </w:rPr>
        <w:t>cRNA</w:t>
      </w:r>
      <w:proofErr w:type="spellEnd"/>
      <w:r w:rsidRPr="00734302">
        <w:rPr>
          <w:rFonts w:ascii="Arial" w:hAnsi="Arial" w:cs="Arial"/>
        </w:rPr>
        <w:t xml:space="preserve"> stability.  We injected defolliculated stage V and VI </w:t>
      </w:r>
      <w:r w:rsidRPr="00734302">
        <w:rPr>
          <w:rFonts w:ascii="Arial" w:hAnsi="Arial" w:cs="Arial"/>
          <w:i/>
          <w:iCs/>
        </w:rPr>
        <w:t>Xenopus laevis</w:t>
      </w:r>
      <w:r w:rsidRPr="00734302">
        <w:rPr>
          <w:rFonts w:ascii="Arial" w:hAnsi="Arial" w:cs="Arial"/>
        </w:rPr>
        <w:t xml:space="preserve"> oocytes (</w:t>
      </w:r>
      <w:proofErr w:type="spellStart"/>
      <w:r w:rsidRPr="00734302">
        <w:rPr>
          <w:rFonts w:ascii="Arial" w:hAnsi="Arial" w:cs="Arial"/>
        </w:rPr>
        <w:t>Xenoocyte</w:t>
      </w:r>
      <w:proofErr w:type="spellEnd"/>
      <w:r w:rsidRPr="00734302">
        <w:rPr>
          <w:rFonts w:ascii="Arial" w:hAnsi="Arial" w:cs="Arial"/>
        </w:rPr>
        <w:t xml:space="preserve">, Dexter, MI, USA) with Kv7 and KCNE4 </w:t>
      </w:r>
      <w:proofErr w:type="spellStart"/>
      <w:r w:rsidRPr="00734302">
        <w:rPr>
          <w:rFonts w:ascii="Arial" w:hAnsi="Arial" w:cs="Arial"/>
        </w:rPr>
        <w:t>cRNAs</w:t>
      </w:r>
      <w:proofErr w:type="spellEnd"/>
      <w:r w:rsidRPr="00734302">
        <w:rPr>
          <w:rFonts w:ascii="Arial" w:hAnsi="Arial" w:cs="Arial"/>
        </w:rPr>
        <w:t xml:space="preserve"> (2-10 ng) and incubated the oocytes at 16 </w:t>
      </w:r>
      <w:proofErr w:type="spellStart"/>
      <w:r w:rsidRPr="00734302">
        <w:rPr>
          <w:rFonts w:ascii="Arial" w:hAnsi="Arial" w:cs="Arial"/>
          <w:vertAlign w:val="superscript"/>
        </w:rPr>
        <w:t>o</w:t>
      </w:r>
      <w:r w:rsidRPr="00734302">
        <w:rPr>
          <w:rFonts w:ascii="Arial" w:hAnsi="Arial" w:cs="Arial"/>
        </w:rPr>
        <w:t>C</w:t>
      </w:r>
      <w:proofErr w:type="spellEnd"/>
      <w:r w:rsidRPr="00734302">
        <w:rPr>
          <w:rFonts w:ascii="Arial" w:hAnsi="Arial" w:cs="Arial"/>
        </w:rPr>
        <w:t xml:space="preserve"> in ND96 oocyte storage solution containing penicillin and streptomycin, with daily washing, for 2-5 days prior to two-electrode voltage-clamp (TEVC) recording.</w:t>
      </w:r>
    </w:p>
    <w:p w14:paraId="3A4C3D6B" w14:textId="77777777" w:rsidR="000C225D" w:rsidRPr="00734302" w:rsidRDefault="000C225D" w:rsidP="000C225D">
      <w:pPr>
        <w:pStyle w:val="Heading2"/>
        <w:spacing w:after="240"/>
        <w:rPr>
          <w:rFonts w:ascii="Arial" w:hAnsi="Arial" w:cs="Arial"/>
          <w:bCs/>
          <w:color w:val="0A2F41" w:themeColor="accent1" w:themeShade="80"/>
          <w:sz w:val="22"/>
          <w:szCs w:val="22"/>
        </w:rPr>
      </w:pPr>
      <w:r w:rsidRPr="00734302">
        <w:rPr>
          <w:rFonts w:ascii="Arial" w:hAnsi="Arial" w:cs="Arial"/>
          <w:bCs/>
          <w:color w:val="0A2F41" w:themeColor="accent1" w:themeShade="80"/>
          <w:sz w:val="22"/>
          <w:szCs w:val="22"/>
        </w:rPr>
        <w:t xml:space="preserve">Two-electrode voltage clamp (TEVC) </w:t>
      </w:r>
    </w:p>
    <w:p w14:paraId="19DD0113"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We performed TEVC at room temperature using an OC-725C amplifier (Warner Instruments, Hamden, CT, USA) and pClamp10 software (Molecular Devices, Sunnyvale, CA, USA) 2-5 days after </w:t>
      </w:r>
      <w:proofErr w:type="spellStart"/>
      <w:r w:rsidRPr="00734302">
        <w:rPr>
          <w:rFonts w:ascii="Arial" w:hAnsi="Arial" w:cs="Arial"/>
        </w:rPr>
        <w:t>cRNA</w:t>
      </w:r>
      <w:proofErr w:type="spellEnd"/>
      <w:r w:rsidRPr="00734302">
        <w:rPr>
          <w:rFonts w:ascii="Arial" w:hAnsi="Arial" w:cs="Arial"/>
        </w:rPr>
        <w:t xml:space="preserve"> injection. We placed oocytes in a small-volume oocyte bath (Warner) and viewed them with a dissection microscope for cellular electrophysiology.  We sourced </w:t>
      </w:r>
      <w:r w:rsidRPr="00734302">
        <w:rPr>
          <w:rFonts w:ascii="Arial" w:hAnsi="Arial" w:cs="Arial"/>
        </w:rPr>
        <w:lastRenderedPageBreak/>
        <w:t xml:space="preserve">chemicals from Sigma-Aldrich (St. Louis, MO, USA). SGLT2 inhibitors were introduced into the oocyte recording bath by gravity perfusion at a constant flow of 1 ml per minute for 3 minutes prior to recording.  Pipettes were of 1-2 MΩ resistance when filled with 3 M </w:t>
      </w:r>
      <w:proofErr w:type="spellStart"/>
      <w:r w:rsidRPr="00734302">
        <w:rPr>
          <w:rFonts w:ascii="Arial" w:hAnsi="Arial" w:cs="Arial"/>
        </w:rPr>
        <w:t>KCl</w:t>
      </w:r>
      <w:proofErr w:type="spellEnd"/>
      <w:r w:rsidRPr="00734302">
        <w:rPr>
          <w:rFonts w:ascii="Arial" w:hAnsi="Arial" w:cs="Arial"/>
        </w:rPr>
        <w:t xml:space="preserve">.  Currents were recorded in response to voltage pulses between -80 mV and +40 mV at 20 mV intervals from a holding potential of -80 mV, to yield current-voltage relationships. Data were </w:t>
      </w:r>
      <w:proofErr w:type="spellStart"/>
      <w:r w:rsidRPr="00734302">
        <w:rPr>
          <w:rFonts w:ascii="Arial" w:hAnsi="Arial" w:cs="Arial"/>
        </w:rPr>
        <w:t>analyzed</w:t>
      </w:r>
      <w:proofErr w:type="spellEnd"/>
      <w:r w:rsidRPr="00734302">
        <w:rPr>
          <w:rFonts w:ascii="Arial" w:hAnsi="Arial" w:cs="Arial"/>
        </w:rPr>
        <w:t xml:space="preserve"> using </w:t>
      </w:r>
      <w:proofErr w:type="spellStart"/>
      <w:r w:rsidRPr="00734302">
        <w:rPr>
          <w:rFonts w:ascii="Arial" w:hAnsi="Arial" w:cs="Arial"/>
        </w:rPr>
        <w:t>Clampfit</w:t>
      </w:r>
      <w:proofErr w:type="spellEnd"/>
      <w:r w:rsidRPr="00734302">
        <w:rPr>
          <w:rFonts w:ascii="Arial" w:hAnsi="Arial" w:cs="Arial"/>
        </w:rPr>
        <w:t xml:space="preserve"> (Molecular Devices) and </w:t>
      </w:r>
      <w:proofErr w:type="spellStart"/>
      <w:r w:rsidRPr="00734302">
        <w:rPr>
          <w:rFonts w:ascii="Arial" w:hAnsi="Arial" w:cs="Arial"/>
        </w:rPr>
        <w:t>Graphpad</w:t>
      </w:r>
      <w:proofErr w:type="spellEnd"/>
      <w:r w:rsidRPr="00734302">
        <w:rPr>
          <w:rFonts w:ascii="Arial" w:hAnsi="Arial" w:cs="Arial"/>
        </w:rPr>
        <w:t xml:space="preserve"> Prism software (GraphPad, San Diego, CA, USA), stating values as mean ± SEM. Raw tail currents were plotted versus </w:t>
      </w:r>
      <w:proofErr w:type="spellStart"/>
      <w:r w:rsidRPr="00734302">
        <w:rPr>
          <w:rFonts w:ascii="Arial" w:hAnsi="Arial" w:cs="Arial"/>
        </w:rPr>
        <w:t>prepulse</w:t>
      </w:r>
      <w:proofErr w:type="spellEnd"/>
      <w:r w:rsidRPr="00734302">
        <w:rPr>
          <w:rFonts w:ascii="Arial" w:hAnsi="Arial" w:cs="Arial"/>
        </w:rPr>
        <w:t xml:space="preserve"> voltage and fitted with a single Boltzmann function:</w:t>
      </w:r>
    </w:p>
    <w:p w14:paraId="4E7EE927" w14:textId="77777777" w:rsidR="000C225D" w:rsidRPr="00734302" w:rsidRDefault="000C225D" w:rsidP="000C225D">
      <w:pPr>
        <w:spacing w:after="240"/>
        <w:rPr>
          <w:rFonts w:ascii="Arial" w:hAnsi="Arial" w:cs="Arial"/>
        </w:rPr>
      </w:pPr>
      <w:r w:rsidRPr="00734302">
        <w:rPr>
          <w:rFonts w:ascii="Arial" w:hAnsi="Arial" w:cs="Arial"/>
        </w:rPr>
        <w:t xml:space="preserve">Eq. 1:          </w:t>
      </w:r>
      <w:r w:rsidRPr="00734302">
        <w:rPr>
          <w:rFonts w:ascii="Arial" w:eastAsia="Times New Roman" w:hAnsi="Arial" w:cs="Arial"/>
          <w:b/>
          <w:i/>
          <w:kern w:val="0"/>
          <w14:ligatures w14:val="none"/>
        </w:rPr>
        <w:br/>
      </w:r>
      <m:oMathPara>
        <m:oMath>
          <m:r>
            <m:rPr>
              <m:sty m:val="bi"/>
            </m:rPr>
            <w:rPr>
              <w:rFonts w:ascii="Cambria Math" w:hAnsi="Cambria Math" w:cs="Arial"/>
            </w:rPr>
            <m:t>g=</m:t>
          </m:r>
          <m:f>
            <m:fPr>
              <m:ctrlPr>
                <w:rPr>
                  <w:rFonts w:ascii="Cambria Math" w:hAnsi="Cambria Math" w:cs="Arial"/>
                  <w:b/>
                </w:rPr>
              </m:ctrlPr>
            </m:fPr>
            <m:num>
              <m:r>
                <m:rPr>
                  <m:sty m:val="b"/>
                </m:rPr>
                <w:rPr>
                  <w:rFonts w:ascii="Cambria Math" w:hAnsi="Cambria Math" w:cs="Arial"/>
                </w:rPr>
                <m:t>(</m:t>
              </m:r>
              <m:sSub>
                <m:sSubPr>
                  <m:ctrlPr>
                    <w:rPr>
                      <w:rFonts w:ascii="Cambria Math" w:hAnsi="Cambria Math" w:cs="Arial"/>
                      <w:b/>
                    </w:rPr>
                  </m:ctrlPr>
                </m:sSubPr>
                <m:e>
                  <m:r>
                    <m:rPr>
                      <m:sty m:val="bi"/>
                    </m:rPr>
                    <w:rPr>
                      <w:rFonts w:ascii="Cambria Math" w:hAnsi="Cambria Math" w:cs="Arial"/>
                    </w:rPr>
                    <m:t>A</m:t>
                  </m:r>
                </m:e>
                <m:sub>
                  <m:r>
                    <m:rPr>
                      <m:sty m:val="bi"/>
                    </m:rPr>
                    <w:rPr>
                      <w:rFonts w:ascii="Cambria Math" w:hAnsi="Cambria Math" w:cs="Arial"/>
                    </w:rPr>
                    <m:t>1</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m:t>
                  </m:r>
                </m:e>
                <m:sub>
                  <m:r>
                    <m:rPr>
                      <m:sty m:val="bi"/>
                    </m:rPr>
                    <w:rPr>
                      <w:rFonts w:ascii="Cambria Math" w:hAnsi="Cambria Math" w:cs="Arial"/>
                    </w:rPr>
                    <m:t>2</m:t>
                  </m:r>
                </m:sub>
              </m:sSub>
              <m:r>
                <m:rPr>
                  <m:sty m:val="bi"/>
                </m:rPr>
                <w:rPr>
                  <w:rFonts w:ascii="Cambria Math" w:hAnsi="Cambria Math" w:cs="Arial"/>
                </w:rPr>
                <m:t>)</m:t>
              </m:r>
            </m:num>
            <m:den>
              <m:d>
                <m:dPr>
                  <m:begChr m:val="{"/>
                  <m:endChr m:val="}"/>
                  <m:ctrlPr>
                    <w:rPr>
                      <w:rFonts w:ascii="Cambria Math" w:hAnsi="Cambria Math" w:cs="Arial"/>
                      <w:b/>
                      <w:i/>
                    </w:rPr>
                  </m:ctrlPr>
                </m:dPr>
                <m:e>
                  <m:r>
                    <m:rPr>
                      <m:sty m:val="bi"/>
                    </m:rPr>
                    <w:rPr>
                      <w:rFonts w:ascii="Cambria Math" w:hAnsi="Cambria Math" w:cs="Arial"/>
                    </w:rPr>
                    <m:t>1 + exp [</m:t>
                  </m:r>
                  <m:sSub>
                    <m:sSubPr>
                      <m:ctrlPr>
                        <w:rPr>
                          <w:rFonts w:ascii="Cambria Math" w:hAnsi="Cambria Math" w:cs="Arial"/>
                          <w:b/>
                          <w:i/>
                        </w:rPr>
                      </m:ctrlPr>
                    </m:sSubPr>
                    <m:e>
                      <m:r>
                        <m:rPr>
                          <m:sty m:val="bi"/>
                        </m:rPr>
                        <w:rPr>
                          <w:rFonts w:ascii="Cambria Math" w:hAnsi="Cambria Math" w:cs="Arial"/>
                        </w:rPr>
                        <m:t>V</m:t>
                      </m:r>
                    </m:e>
                    <m:sub>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2</m:t>
                          </m:r>
                        </m:den>
                      </m:f>
                    </m:sub>
                  </m:sSub>
                  <m:r>
                    <m:rPr>
                      <m:sty m:val="bi"/>
                    </m:rPr>
                    <w:rPr>
                      <w:rFonts w:ascii="Cambria Math" w:hAnsi="Cambria Math" w:cs="Arial"/>
                    </w:rPr>
                    <m:t>-V/Vs]</m:t>
                  </m:r>
                </m:e>
              </m:d>
              <m:r>
                <m:rPr>
                  <m:sty m:val="bi"/>
                </m:rPr>
                <w:rPr>
                  <w:rFonts w:ascii="Cambria Math" w:hAnsi="Cambria Math" w:cs="Arial"/>
                </w:rPr>
                <m:t xml:space="preserve"> y+ </m:t>
              </m:r>
              <m:sSub>
                <m:sSubPr>
                  <m:ctrlPr>
                    <w:rPr>
                      <w:rFonts w:ascii="Cambria Math" w:hAnsi="Cambria Math" w:cs="Arial"/>
                      <w:b/>
                      <w:i/>
                    </w:rPr>
                  </m:ctrlPr>
                </m:sSubPr>
                <m:e>
                  <m:r>
                    <m:rPr>
                      <m:sty m:val="bi"/>
                    </m:rPr>
                    <w:rPr>
                      <w:rFonts w:ascii="Cambria Math" w:hAnsi="Cambria Math" w:cs="Arial"/>
                    </w:rPr>
                    <m:t>A</m:t>
                  </m:r>
                </m:e>
                <m:sub>
                  <m:r>
                    <m:rPr>
                      <m:sty m:val="bi"/>
                    </m:rPr>
                    <w:rPr>
                      <w:rFonts w:ascii="Cambria Math" w:hAnsi="Cambria Math" w:cs="Arial"/>
                    </w:rPr>
                    <m:t>2</m:t>
                  </m:r>
                </m:sub>
              </m:sSub>
            </m:den>
          </m:f>
        </m:oMath>
      </m:oMathPara>
    </w:p>
    <w:p w14:paraId="75C3604C" w14:textId="77777777" w:rsidR="000C225D" w:rsidRPr="00734302" w:rsidRDefault="000C225D" w:rsidP="000C225D">
      <w:pPr>
        <w:spacing w:after="240" w:line="360" w:lineRule="auto"/>
        <w:rPr>
          <w:rFonts w:ascii="Arial" w:hAnsi="Arial" w:cs="Arial"/>
        </w:rPr>
      </w:pPr>
      <w:r w:rsidRPr="00734302">
        <w:rPr>
          <w:rFonts w:ascii="Arial" w:hAnsi="Arial" w:cs="Arial"/>
        </w:rPr>
        <w:t>where g is the normalized tail conductance, A</w:t>
      </w:r>
      <w:r w:rsidRPr="00734302">
        <w:rPr>
          <w:rFonts w:ascii="Arial" w:hAnsi="Arial" w:cs="Arial"/>
          <w:vertAlign w:val="subscript"/>
        </w:rPr>
        <w:t>1</w:t>
      </w:r>
      <w:r w:rsidRPr="00734302">
        <w:rPr>
          <w:rFonts w:ascii="Arial" w:hAnsi="Arial" w:cs="Arial"/>
        </w:rPr>
        <w:t xml:space="preserve"> is the initial value at -∞, A</w:t>
      </w:r>
      <w:r w:rsidRPr="00734302">
        <w:rPr>
          <w:rFonts w:ascii="Arial" w:hAnsi="Arial" w:cs="Arial"/>
          <w:vertAlign w:val="subscript"/>
        </w:rPr>
        <w:t>2</w:t>
      </w:r>
      <w:r w:rsidRPr="00734302">
        <w:rPr>
          <w:rFonts w:ascii="Arial" w:hAnsi="Arial" w:cs="Arial"/>
        </w:rPr>
        <w:t xml:space="preserve"> is the final value at +∞, V</w:t>
      </w:r>
      <w:r w:rsidRPr="00734302">
        <w:rPr>
          <w:rFonts w:ascii="Arial" w:hAnsi="Arial" w:cs="Arial"/>
          <w:vertAlign w:val="subscript"/>
        </w:rPr>
        <w:t>1/2</w:t>
      </w:r>
      <w:r w:rsidRPr="00734302">
        <w:rPr>
          <w:rFonts w:ascii="Arial" w:hAnsi="Arial" w:cs="Arial"/>
        </w:rPr>
        <w:t xml:space="preserve"> is the half-maximal voltage of activation and Vs the slope factor.</w:t>
      </w:r>
    </w:p>
    <w:p w14:paraId="6352295C" w14:textId="77777777" w:rsidR="000C225D" w:rsidRPr="00734302" w:rsidRDefault="000C225D" w:rsidP="000C225D">
      <w:pPr>
        <w:spacing w:after="240"/>
        <w:rPr>
          <w:rFonts w:ascii="Arial" w:hAnsi="Arial" w:cs="Arial"/>
        </w:rPr>
      </w:pPr>
    </w:p>
    <w:p w14:paraId="6209A209" w14:textId="77777777" w:rsidR="000C225D" w:rsidRPr="00734302" w:rsidRDefault="000C225D" w:rsidP="000C225D">
      <w:pPr>
        <w:pStyle w:val="Heading3"/>
        <w:numPr>
          <w:ilvl w:val="2"/>
          <w:numId w:val="1"/>
        </w:numPr>
        <w:tabs>
          <w:tab w:val="num" w:pos="360"/>
        </w:tabs>
        <w:spacing w:after="240"/>
        <w:ind w:left="0" w:firstLine="0"/>
        <w:rPr>
          <w:rFonts w:ascii="Arial" w:hAnsi="Arial" w:cs="Arial"/>
          <w:color w:val="0A2F41" w:themeColor="accent1" w:themeShade="80"/>
          <w:sz w:val="22"/>
          <w:szCs w:val="22"/>
        </w:rPr>
      </w:pPr>
      <w:r w:rsidRPr="00734302">
        <w:rPr>
          <w:rFonts w:ascii="Arial" w:hAnsi="Arial" w:cs="Arial"/>
          <w:color w:val="0A2F41" w:themeColor="accent1" w:themeShade="80"/>
          <w:sz w:val="22"/>
          <w:szCs w:val="22"/>
        </w:rPr>
        <w:t>Transient cell transfection and patch-clamp</w:t>
      </w:r>
    </w:p>
    <w:p w14:paraId="269A1787"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For patch-clamp experiments, the cells </w:t>
      </w:r>
      <w:r w:rsidRPr="00734302">
        <w:rPr>
          <w:rFonts w:ascii="Arial" w:eastAsia="Arial" w:hAnsi="Arial" w:cs="Arial"/>
          <w:color w:val="000000" w:themeColor="text1"/>
        </w:rPr>
        <w:t xml:space="preserve">were seeded </w:t>
      </w:r>
      <w:r w:rsidRPr="00734302">
        <w:rPr>
          <w:rFonts w:ascii="Arial" w:eastAsia="Arial" w:hAnsi="Arial" w:cs="Arial"/>
        </w:rPr>
        <w:t xml:space="preserve">on </w:t>
      </w:r>
      <w:r w:rsidRPr="00734302">
        <w:rPr>
          <w:rFonts w:ascii="Arial" w:eastAsia="Arial" w:hAnsi="Arial" w:cs="Arial"/>
          <w:color w:val="1F1F1F"/>
        </w:rPr>
        <w:t>poly-</w:t>
      </w:r>
      <w:r w:rsidRPr="00734302">
        <w:rPr>
          <w:rFonts w:ascii="Arial" w:eastAsia="Arial" w:hAnsi="Arial" w:cs="Arial"/>
          <w:smallCaps/>
          <w:color w:val="1F1F1F"/>
        </w:rPr>
        <w:t>d</w:t>
      </w:r>
      <w:r w:rsidRPr="00734302">
        <w:rPr>
          <w:rFonts w:ascii="Arial" w:eastAsia="Arial" w:hAnsi="Arial" w:cs="Arial"/>
          <w:color w:val="1F1F1F"/>
        </w:rPr>
        <w:t xml:space="preserve">-lysine (1 mg/ml, Sigma) coated </w:t>
      </w:r>
      <w:r w:rsidRPr="00734302">
        <w:rPr>
          <w:rFonts w:ascii="Arial" w:eastAsia="Arial" w:hAnsi="Arial" w:cs="Arial"/>
        </w:rPr>
        <w:t xml:space="preserve">coverslips for patch-clamp experiments. After 24 hrs, HEK293 cells were </w:t>
      </w:r>
      <w:r w:rsidRPr="00734302">
        <w:rPr>
          <w:rFonts w:ascii="Arial" w:hAnsi="Arial" w:cs="Arial"/>
        </w:rPr>
        <w:t xml:space="preserve">transfected with plasmids pcDNA3.1 containing the rat wild-type TRPV1 channel (1.5 µg) and pcDNA3.1 with green fluorescent protein (GFP, 500 ng) to identify successfully transfected cells using </w:t>
      </w:r>
      <w:proofErr w:type="spellStart"/>
      <w:r w:rsidRPr="00734302">
        <w:rPr>
          <w:rFonts w:ascii="Arial" w:hAnsi="Arial" w:cs="Arial"/>
        </w:rPr>
        <w:t>jetPEI</w:t>
      </w:r>
      <w:proofErr w:type="spellEnd"/>
      <w:r w:rsidRPr="00734302">
        <w:rPr>
          <w:rFonts w:ascii="Arial" w:hAnsi="Arial" w:cs="Arial"/>
        </w:rPr>
        <w:t xml:space="preserve">™ </w:t>
      </w:r>
      <w:proofErr w:type="spellStart"/>
      <w:r w:rsidRPr="00734302">
        <w:rPr>
          <w:rFonts w:ascii="Arial" w:hAnsi="Arial" w:cs="Arial"/>
        </w:rPr>
        <w:t>Polyplus</w:t>
      </w:r>
      <w:proofErr w:type="spellEnd"/>
      <w:r w:rsidRPr="00734302">
        <w:rPr>
          <w:rFonts w:ascii="Arial" w:hAnsi="Arial" w:cs="Arial"/>
        </w:rPr>
        <w:t xml:space="preserve"> transfection reagent, per manufacturer's instructions.</w:t>
      </w:r>
    </w:p>
    <w:p w14:paraId="00854ADF"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TRPV1 currents were recorded from transiently transfected HEK-293 using the patch-clamp technique in the outside-out configuration (Hamill et al., 1981). Solutions were changed with an RSC-200 rapid solution changer (Molecular Kinetics). Currents were </w:t>
      </w:r>
      <w:proofErr w:type="gramStart"/>
      <w:r w:rsidRPr="00734302">
        <w:rPr>
          <w:rFonts w:ascii="Arial" w:hAnsi="Arial" w:cs="Arial"/>
        </w:rPr>
        <w:t>low-pass</w:t>
      </w:r>
      <w:proofErr w:type="gramEnd"/>
      <w:r w:rsidRPr="00734302">
        <w:rPr>
          <w:rFonts w:ascii="Arial" w:hAnsi="Arial" w:cs="Arial"/>
        </w:rPr>
        <w:t xml:space="preserve"> filtered at 2 kHz and sampled at 10 kHz with an EPC 10 amplifier (HEKA </w:t>
      </w:r>
      <w:proofErr w:type="spellStart"/>
      <w:r w:rsidRPr="00734302">
        <w:rPr>
          <w:rFonts w:ascii="Arial" w:hAnsi="Arial" w:cs="Arial"/>
        </w:rPr>
        <w:t>Elektronik</w:t>
      </w:r>
      <w:proofErr w:type="spellEnd"/>
      <w:r w:rsidRPr="00734302">
        <w:rPr>
          <w:rFonts w:ascii="Arial" w:hAnsi="Arial" w:cs="Arial"/>
        </w:rPr>
        <w:t>) and were plotted and analysed with Igor Pro (</w:t>
      </w:r>
      <w:proofErr w:type="spellStart"/>
      <w:r w:rsidRPr="00734302">
        <w:rPr>
          <w:rFonts w:ascii="Arial" w:hAnsi="Arial" w:cs="Arial"/>
        </w:rPr>
        <w:t>Wavemetrics</w:t>
      </w:r>
      <w:proofErr w:type="spellEnd"/>
      <w:r w:rsidRPr="00734302">
        <w:rPr>
          <w:rFonts w:ascii="Arial" w:hAnsi="Arial" w:cs="Arial"/>
        </w:rPr>
        <w:t xml:space="preserve"> Inc.). The capsaicin stock was prepared at 10 mM in absolute ethanol and then diluted to 250 </w:t>
      </w:r>
      <w:proofErr w:type="spellStart"/>
      <w:r w:rsidRPr="00734302">
        <w:rPr>
          <w:rFonts w:ascii="Arial" w:hAnsi="Arial" w:cs="Arial"/>
        </w:rPr>
        <w:t>nM</w:t>
      </w:r>
      <w:proofErr w:type="spellEnd"/>
      <w:r w:rsidRPr="00734302">
        <w:rPr>
          <w:rFonts w:ascii="Arial" w:hAnsi="Arial" w:cs="Arial"/>
        </w:rPr>
        <w:t xml:space="preserve"> in recording solution. Experiments were performed at room temperature (24 °C) and mean current values were measured after channel activation had reached the </w:t>
      </w:r>
      <w:proofErr w:type="gramStart"/>
      <w:r w:rsidRPr="00734302">
        <w:rPr>
          <w:rFonts w:ascii="Arial" w:hAnsi="Arial" w:cs="Arial"/>
        </w:rPr>
        <w:t>steady-state</w:t>
      </w:r>
      <w:proofErr w:type="gramEnd"/>
      <w:r w:rsidRPr="00734302">
        <w:rPr>
          <w:rFonts w:ascii="Arial" w:hAnsi="Arial" w:cs="Arial"/>
        </w:rPr>
        <w:t xml:space="preserve">. Pipettes were fabricated with borosilicate glass and had a resistance of 5 MΩ. </w:t>
      </w:r>
    </w:p>
    <w:p w14:paraId="149602AA"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Currents were obtained using voltage protocols where the holding potential was 0 mV and then stepped from -120 to 120 mV for 100 </w:t>
      </w:r>
      <w:proofErr w:type="spellStart"/>
      <w:r w:rsidRPr="00734302">
        <w:rPr>
          <w:rFonts w:ascii="Arial" w:hAnsi="Arial" w:cs="Arial"/>
        </w:rPr>
        <w:t>ms</w:t>
      </w:r>
      <w:proofErr w:type="spellEnd"/>
      <w:r w:rsidRPr="00734302">
        <w:rPr>
          <w:rFonts w:ascii="Arial" w:hAnsi="Arial" w:cs="Arial"/>
        </w:rPr>
        <w:t xml:space="preserve"> using a square voltage protocol. Briefly, leak currents were obtained in the absence of agonists or dapagliflozin and then excised membrane patches containing TRPV1 channels were exposed to DAPA, capsaicin, capsaicin </w:t>
      </w:r>
      <w:r w:rsidRPr="00734302">
        <w:rPr>
          <w:rFonts w:ascii="Arial" w:hAnsi="Arial" w:cs="Arial"/>
        </w:rPr>
        <w:lastRenderedPageBreak/>
        <w:t>+ DAPA, pH 6 or pH 6 + DAPA. All currents were leak-subtracted and normalized to currents activated either by capsaicin or pH alone.</w:t>
      </w:r>
    </w:p>
    <w:p w14:paraId="59F0E955" w14:textId="77777777" w:rsidR="000C225D" w:rsidRPr="00734302" w:rsidRDefault="000C225D" w:rsidP="000C225D">
      <w:pPr>
        <w:pStyle w:val="Heading3"/>
        <w:numPr>
          <w:ilvl w:val="1"/>
          <w:numId w:val="1"/>
        </w:numPr>
        <w:tabs>
          <w:tab w:val="num" w:pos="360"/>
        </w:tabs>
        <w:spacing w:after="240"/>
        <w:ind w:left="0" w:firstLine="0"/>
        <w:rPr>
          <w:rFonts w:ascii="Arial" w:hAnsi="Arial" w:cs="Arial"/>
          <w:color w:val="0A2F41" w:themeColor="accent1" w:themeShade="80"/>
          <w:sz w:val="22"/>
          <w:szCs w:val="22"/>
        </w:rPr>
      </w:pPr>
      <w:r w:rsidRPr="00734302">
        <w:rPr>
          <w:rFonts w:ascii="Arial" w:hAnsi="Arial" w:cs="Arial"/>
          <w:color w:val="0A2F41" w:themeColor="accent1" w:themeShade="80"/>
          <w:sz w:val="22"/>
          <w:szCs w:val="22"/>
        </w:rPr>
        <w:t>Solutions</w:t>
      </w:r>
    </w:p>
    <w:p w14:paraId="0A34425A"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Physiological salt solution (PSS) contained (mM): 119 NaCl, 4.5 </w:t>
      </w:r>
      <w:proofErr w:type="spellStart"/>
      <w:r w:rsidRPr="00734302">
        <w:rPr>
          <w:rFonts w:ascii="Arial" w:hAnsi="Arial" w:cs="Arial"/>
        </w:rPr>
        <w:t>KCl</w:t>
      </w:r>
      <w:proofErr w:type="spellEnd"/>
      <w:r w:rsidRPr="00734302">
        <w:rPr>
          <w:rFonts w:ascii="Arial" w:hAnsi="Arial" w:cs="Arial"/>
        </w:rPr>
        <w:t>, 1.17 MgSO</w:t>
      </w:r>
      <w:r w:rsidRPr="00734302">
        <w:rPr>
          <w:rFonts w:ascii="Arial" w:hAnsi="Arial" w:cs="Arial"/>
          <w:vertAlign w:val="subscript"/>
        </w:rPr>
        <w:t>4</w:t>
      </w:r>
      <w:r w:rsidRPr="00734302">
        <w:rPr>
          <w:rFonts w:ascii="Arial" w:hAnsi="Arial" w:cs="Arial"/>
        </w:rPr>
        <w:t>·7H</w:t>
      </w:r>
      <w:r w:rsidRPr="00734302">
        <w:rPr>
          <w:rFonts w:ascii="Arial" w:hAnsi="Arial" w:cs="Arial"/>
          <w:vertAlign w:val="subscript"/>
        </w:rPr>
        <w:t>2</w:t>
      </w:r>
      <w:r w:rsidRPr="00734302">
        <w:rPr>
          <w:rFonts w:ascii="Arial" w:hAnsi="Arial" w:cs="Arial"/>
        </w:rPr>
        <w:t>0, 1.18 NaH</w:t>
      </w:r>
      <w:r w:rsidRPr="00734302">
        <w:rPr>
          <w:rFonts w:ascii="Arial" w:hAnsi="Arial" w:cs="Arial"/>
          <w:vertAlign w:val="subscript"/>
        </w:rPr>
        <w:t>2</w:t>
      </w:r>
      <w:r w:rsidRPr="00734302">
        <w:rPr>
          <w:rFonts w:ascii="Arial" w:hAnsi="Arial" w:cs="Arial"/>
        </w:rPr>
        <w:t>PO</w:t>
      </w:r>
      <w:r w:rsidRPr="00734302">
        <w:rPr>
          <w:rFonts w:ascii="Arial" w:hAnsi="Arial" w:cs="Arial"/>
          <w:vertAlign w:val="subscript"/>
        </w:rPr>
        <w:t>4</w:t>
      </w:r>
      <w:r w:rsidRPr="00734302">
        <w:rPr>
          <w:rFonts w:ascii="Arial" w:hAnsi="Arial" w:cs="Arial"/>
        </w:rPr>
        <w:t>, 25 NaHCO</w:t>
      </w:r>
      <w:r w:rsidRPr="00734302">
        <w:rPr>
          <w:rFonts w:ascii="Arial" w:hAnsi="Arial" w:cs="Arial"/>
          <w:vertAlign w:val="subscript"/>
        </w:rPr>
        <w:t>3</w:t>
      </w:r>
      <w:r w:rsidRPr="00734302">
        <w:rPr>
          <w:rFonts w:ascii="Arial" w:hAnsi="Arial" w:cs="Arial"/>
        </w:rPr>
        <w:t>, 5 glucose, 1.25 CaCl</w:t>
      </w:r>
      <w:r w:rsidRPr="00734302">
        <w:rPr>
          <w:rFonts w:ascii="Arial" w:hAnsi="Arial" w:cs="Arial"/>
          <w:vertAlign w:val="subscript"/>
        </w:rPr>
        <w:t>2</w:t>
      </w:r>
      <w:r w:rsidRPr="00734302">
        <w:rPr>
          <w:rFonts w:ascii="Arial" w:hAnsi="Arial" w:cs="Arial"/>
        </w:rPr>
        <w:t>.</w:t>
      </w:r>
    </w:p>
    <w:p w14:paraId="11E23809" w14:textId="77777777" w:rsidR="000C225D" w:rsidRPr="00734302" w:rsidRDefault="000C225D" w:rsidP="000C225D">
      <w:pPr>
        <w:spacing w:after="240" w:line="360" w:lineRule="auto"/>
        <w:jc w:val="both"/>
        <w:rPr>
          <w:rFonts w:ascii="Arial" w:hAnsi="Arial" w:cs="Arial"/>
          <w:vertAlign w:val="subscript"/>
        </w:rPr>
      </w:pPr>
      <w:r w:rsidRPr="00734302">
        <w:rPr>
          <w:rFonts w:ascii="Arial" w:hAnsi="Arial" w:cs="Arial"/>
        </w:rPr>
        <w:t xml:space="preserve">Smooth muscle dissociation solution (SMDS) contained (mM); 120 NaCl, 6 </w:t>
      </w:r>
      <w:proofErr w:type="spellStart"/>
      <w:r w:rsidRPr="00734302">
        <w:rPr>
          <w:rFonts w:ascii="Arial" w:hAnsi="Arial" w:cs="Arial"/>
        </w:rPr>
        <w:t>KCl</w:t>
      </w:r>
      <w:proofErr w:type="spellEnd"/>
      <w:r w:rsidRPr="00734302">
        <w:rPr>
          <w:rFonts w:ascii="Arial" w:hAnsi="Arial" w:cs="Arial"/>
        </w:rPr>
        <w:t>, 12 glucose, 10 HEPES and 1.2 MgCl</w:t>
      </w:r>
      <w:r w:rsidRPr="00734302">
        <w:rPr>
          <w:rFonts w:ascii="Arial" w:hAnsi="Arial" w:cs="Arial"/>
          <w:vertAlign w:val="subscript"/>
        </w:rPr>
        <w:t>2.</w:t>
      </w:r>
    </w:p>
    <w:p w14:paraId="2E8C73BB"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PBS contained (mM) 10 mM phosphate buffer, 2.7 mM </w:t>
      </w:r>
      <w:proofErr w:type="spellStart"/>
      <w:r w:rsidRPr="00734302">
        <w:rPr>
          <w:rFonts w:ascii="Arial" w:hAnsi="Arial" w:cs="Arial"/>
        </w:rPr>
        <w:t>KCl</w:t>
      </w:r>
      <w:proofErr w:type="spellEnd"/>
      <w:r w:rsidRPr="00734302">
        <w:rPr>
          <w:rFonts w:ascii="Arial" w:hAnsi="Arial" w:cs="Arial"/>
        </w:rPr>
        <w:t xml:space="preserve">, 137 mM NaCl, pH 7.4.  </w:t>
      </w:r>
    </w:p>
    <w:p w14:paraId="5D40AB31" w14:textId="77777777" w:rsidR="000C225D" w:rsidRPr="00734302" w:rsidRDefault="000C225D" w:rsidP="000C225D">
      <w:pPr>
        <w:spacing w:after="240" w:line="360" w:lineRule="auto"/>
        <w:jc w:val="both"/>
        <w:rPr>
          <w:rFonts w:ascii="Arial" w:hAnsi="Arial" w:cs="Arial"/>
        </w:rPr>
      </w:pPr>
      <w:r w:rsidRPr="00734302">
        <w:rPr>
          <w:rFonts w:ascii="Arial" w:hAnsi="Arial" w:cs="Arial"/>
        </w:rPr>
        <w:t>Intracellular and extracellular recording solutions for TRPV1 recordings in HEK cells contained (in mM): 130 NaCl, 3 HEPES (pH 7.2) and 1 EDTA for experiments at pH 7.2 and HEPES was replaced by 3 mM MES for experiments were TRPV1 was activated by pH 6.</w:t>
      </w:r>
    </w:p>
    <w:p w14:paraId="14F463F9" w14:textId="77777777" w:rsidR="000C225D" w:rsidRPr="00734302" w:rsidRDefault="000C225D" w:rsidP="000C225D">
      <w:pPr>
        <w:spacing w:after="240" w:line="360" w:lineRule="auto"/>
        <w:jc w:val="both"/>
        <w:rPr>
          <w:rFonts w:ascii="Arial" w:hAnsi="Arial" w:cs="Arial"/>
        </w:rPr>
      </w:pPr>
      <w:r w:rsidRPr="00734302">
        <w:rPr>
          <w:rFonts w:ascii="Arial" w:hAnsi="Arial" w:cs="Arial"/>
        </w:rPr>
        <w:t xml:space="preserve">External solution for Kv7 channel recording in xenopus oocytes contained (in mM): 96 NaCl, 4 </w:t>
      </w:r>
      <w:proofErr w:type="spellStart"/>
      <w:r w:rsidRPr="00734302">
        <w:rPr>
          <w:rFonts w:ascii="Arial" w:hAnsi="Arial" w:cs="Arial"/>
        </w:rPr>
        <w:t>KCl</w:t>
      </w:r>
      <w:proofErr w:type="spellEnd"/>
      <w:r w:rsidRPr="00734302">
        <w:rPr>
          <w:rFonts w:ascii="Arial" w:hAnsi="Arial" w:cs="Arial"/>
        </w:rPr>
        <w:t>, 1 MgCl2, 1 CaCl</w:t>
      </w:r>
      <w:r w:rsidRPr="00734302">
        <w:rPr>
          <w:rFonts w:ascii="Arial" w:hAnsi="Arial" w:cs="Arial"/>
          <w:vertAlign w:val="subscript"/>
        </w:rPr>
        <w:t>2</w:t>
      </w:r>
      <w:r w:rsidRPr="00734302">
        <w:rPr>
          <w:rFonts w:ascii="Arial" w:hAnsi="Arial" w:cs="Arial"/>
        </w:rPr>
        <w:t xml:space="preserve">, 10 HEPES (pH 7.6).  </w:t>
      </w:r>
    </w:p>
    <w:p w14:paraId="58F155C8" w14:textId="630DEE2D" w:rsidR="00FC5016" w:rsidRPr="00734302" w:rsidRDefault="003A3240">
      <w:pPr>
        <w:rPr>
          <w:rFonts w:ascii="Arial" w:hAnsi="Arial" w:cs="Arial"/>
        </w:rPr>
      </w:pPr>
      <w:r w:rsidRPr="00734302">
        <w:rPr>
          <w:rFonts w:ascii="Arial" w:hAnsi="Arial" w:cs="Arial"/>
          <w:noProof/>
        </w:rPr>
        <w:lastRenderedPageBreak/>
        <w:drawing>
          <wp:anchor distT="0" distB="0" distL="114300" distR="114300" simplePos="0" relativeHeight="251658240" behindDoc="1" locked="0" layoutInCell="1" allowOverlap="1" wp14:anchorId="48D4C86C" wp14:editId="333C9730">
            <wp:simplePos x="0" y="0"/>
            <wp:positionH relativeFrom="column">
              <wp:posOffset>427355</wp:posOffset>
            </wp:positionH>
            <wp:positionV relativeFrom="paragraph">
              <wp:posOffset>-219075</wp:posOffset>
            </wp:positionV>
            <wp:extent cx="5163820" cy="6956425"/>
            <wp:effectExtent l="0" t="0" r="0" b="0"/>
            <wp:wrapSquare wrapText="bothSides"/>
            <wp:docPr id="180848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3820" cy="6956425"/>
                    </a:xfrm>
                    <a:prstGeom prst="rect">
                      <a:avLst/>
                    </a:prstGeom>
                    <a:noFill/>
                  </pic:spPr>
                </pic:pic>
              </a:graphicData>
            </a:graphic>
          </wp:anchor>
        </w:drawing>
      </w:r>
    </w:p>
    <w:p w14:paraId="7D202E1C" w14:textId="77777777" w:rsidR="003A3240" w:rsidRPr="00734302" w:rsidRDefault="003A3240" w:rsidP="003A3240">
      <w:pPr>
        <w:rPr>
          <w:rFonts w:ascii="Arial" w:hAnsi="Arial" w:cs="Arial"/>
        </w:rPr>
      </w:pPr>
    </w:p>
    <w:p w14:paraId="4D545B67" w14:textId="77777777" w:rsidR="003A3240" w:rsidRPr="00734302" w:rsidRDefault="003A3240" w:rsidP="003A3240">
      <w:pPr>
        <w:rPr>
          <w:rFonts w:ascii="Arial" w:hAnsi="Arial" w:cs="Arial"/>
        </w:rPr>
      </w:pPr>
    </w:p>
    <w:p w14:paraId="09199F1C" w14:textId="77777777" w:rsidR="003A3240" w:rsidRPr="00734302" w:rsidRDefault="003A3240" w:rsidP="003A3240">
      <w:pPr>
        <w:rPr>
          <w:rFonts w:ascii="Arial" w:hAnsi="Arial" w:cs="Arial"/>
        </w:rPr>
      </w:pPr>
    </w:p>
    <w:p w14:paraId="25993985" w14:textId="77777777" w:rsidR="003A3240" w:rsidRPr="00734302" w:rsidRDefault="003A3240" w:rsidP="003A3240">
      <w:pPr>
        <w:rPr>
          <w:rFonts w:ascii="Arial" w:hAnsi="Arial" w:cs="Arial"/>
        </w:rPr>
      </w:pPr>
    </w:p>
    <w:p w14:paraId="7973D9BC" w14:textId="77777777" w:rsidR="003A3240" w:rsidRPr="00734302" w:rsidRDefault="003A3240" w:rsidP="003A3240">
      <w:pPr>
        <w:rPr>
          <w:rFonts w:ascii="Arial" w:hAnsi="Arial" w:cs="Arial"/>
        </w:rPr>
      </w:pPr>
    </w:p>
    <w:p w14:paraId="5D6EAF47" w14:textId="77777777" w:rsidR="003A3240" w:rsidRPr="00734302" w:rsidRDefault="003A3240" w:rsidP="003A3240">
      <w:pPr>
        <w:rPr>
          <w:rFonts w:ascii="Arial" w:hAnsi="Arial" w:cs="Arial"/>
        </w:rPr>
      </w:pPr>
    </w:p>
    <w:p w14:paraId="158F0EEB" w14:textId="77777777" w:rsidR="003A3240" w:rsidRPr="00734302" w:rsidRDefault="003A3240" w:rsidP="003A3240">
      <w:pPr>
        <w:rPr>
          <w:rFonts w:ascii="Arial" w:hAnsi="Arial" w:cs="Arial"/>
        </w:rPr>
      </w:pPr>
    </w:p>
    <w:p w14:paraId="191B26EA" w14:textId="77777777" w:rsidR="003A3240" w:rsidRPr="00734302" w:rsidRDefault="003A3240" w:rsidP="003A3240">
      <w:pPr>
        <w:rPr>
          <w:rFonts w:ascii="Arial" w:hAnsi="Arial" w:cs="Arial"/>
        </w:rPr>
      </w:pPr>
    </w:p>
    <w:p w14:paraId="30911275" w14:textId="77777777" w:rsidR="003A3240" w:rsidRPr="00734302" w:rsidRDefault="003A3240" w:rsidP="003A3240">
      <w:pPr>
        <w:rPr>
          <w:rFonts w:ascii="Arial" w:hAnsi="Arial" w:cs="Arial"/>
        </w:rPr>
      </w:pPr>
    </w:p>
    <w:p w14:paraId="21064779" w14:textId="77777777" w:rsidR="003A3240" w:rsidRPr="00734302" w:rsidRDefault="003A3240" w:rsidP="003A3240">
      <w:pPr>
        <w:rPr>
          <w:rFonts w:ascii="Arial" w:hAnsi="Arial" w:cs="Arial"/>
        </w:rPr>
      </w:pPr>
    </w:p>
    <w:p w14:paraId="1327C9E9" w14:textId="77777777" w:rsidR="003A3240" w:rsidRPr="00734302" w:rsidRDefault="003A3240" w:rsidP="003A3240">
      <w:pPr>
        <w:rPr>
          <w:rFonts w:ascii="Arial" w:hAnsi="Arial" w:cs="Arial"/>
        </w:rPr>
      </w:pPr>
    </w:p>
    <w:p w14:paraId="70F48595" w14:textId="77777777" w:rsidR="003A3240" w:rsidRPr="00734302" w:rsidRDefault="003A3240" w:rsidP="003A3240">
      <w:pPr>
        <w:rPr>
          <w:rFonts w:ascii="Arial" w:hAnsi="Arial" w:cs="Arial"/>
        </w:rPr>
      </w:pPr>
    </w:p>
    <w:p w14:paraId="23922249" w14:textId="77777777" w:rsidR="003A3240" w:rsidRPr="00734302" w:rsidRDefault="003A3240" w:rsidP="003A3240">
      <w:pPr>
        <w:rPr>
          <w:rFonts w:ascii="Arial" w:hAnsi="Arial" w:cs="Arial"/>
        </w:rPr>
      </w:pPr>
    </w:p>
    <w:p w14:paraId="295831AF" w14:textId="77777777" w:rsidR="003A3240" w:rsidRPr="00734302" w:rsidRDefault="003A3240" w:rsidP="003A3240">
      <w:pPr>
        <w:rPr>
          <w:rFonts w:ascii="Arial" w:hAnsi="Arial" w:cs="Arial"/>
        </w:rPr>
      </w:pPr>
    </w:p>
    <w:p w14:paraId="61958D57" w14:textId="77777777" w:rsidR="003A3240" w:rsidRPr="00734302" w:rsidRDefault="003A3240" w:rsidP="003A3240">
      <w:pPr>
        <w:rPr>
          <w:rFonts w:ascii="Arial" w:hAnsi="Arial" w:cs="Arial"/>
        </w:rPr>
      </w:pPr>
    </w:p>
    <w:p w14:paraId="086DF40D" w14:textId="77777777" w:rsidR="003A3240" w:rsidRPr="00734302" w:rsidRDefault="003A3240" w:rsidP="003A3240">
      <w:pPr>
        <w:rPr>
          <w:rFonts w:ascii="Arial" w:hAnsi="Arial" w:cs="Arial"/>
        </w:rPr>
      </w:pPr>
    </w:p>
    <w:p w14:paraId="74B40A7D" w14:textId="77777777" w:rsidR="003A3240" w:rsidRPr="00734302" w:rsidRDefault="003A3240" w:rsidP="003A3240">
      <w:pPr>
        <w:rPr>
          <w:rFonts w:ascii="Arial" w:hAnsi="Arial" w:cs="Arial"/>
        </w:rPr>
      </w:pPr>
    </w:p>
    <w:p w14:paraId="2BE0BC2A" w14:textId="77777777" w:rsidR="003A3240" w:rsidRPr="00734302" w:rsidRDefault="003A3240" w:rsidP="003A3240">
      <w:pPr>
        <w:rPr>
          <w:rFonts w:ascii="Arial" w:hAnsi="Arial" w:cs="Arial"/>
        </w:rPr>
      </w:pPr>
    </w:p>
    <w:p w14:paraId="6B3E3831" w14:textId="77777777" w:rsidR="003A3240" w:rsidRPr="00734302" w:rsidRDefault="003A3240" w:rsidP="003A3240">
      <w:pPr>
        <w:rPr>
          <w:rFonts w:ascii="Arial" w:hAnsi="Arial" w:cs="Arial"/>
        </w:rPr>
      </w:pPr>
    </w:p>
    <w:p w14:paraId="5E1271CE" w14:textId="77777777" w:rsidR="003A3240" w:rsidRPr="00734302" w:rsidRDefault="003A3240" w:rsidP="003A3240">
      <w:pPr>
        <w:rPr>
          <w:rFonts w:ascii="Arial" w:hAnsi="Arial" w:cs="Arial"/>
        </w:rPr>
      </w:pPr>
    </w:p>
    <w:p w14:paraId="44314220" w14:textId="77777777" w:rsidR="003A3240" w:rsidRPr="00734302" w:rsidRDefault="003A3240" w:rsidP="003A3240">
      <w:pPr>
        <w:rPr>
          <w:rFonts w:ascii="Arial" w:hAnsi="Arial" w:cs="Arial"/>
        </w:rPr>
      </w:pPr>
    </w:p>
    <w:p w14:paraId="370D3727" w14:textId="77777777" w:rsidR="003A3240" w:rsidRPr="00734302" w:rsidRDefault="003A3240" w:rsidP="003A3240">
      <w:pPr>
        <w:rPr>
          <w:rFonts w:ascii="Arial" w:hAnsi="Arial" w:cs="Arial"/>
        </w:rPr>
      </w:pPr>
    </w:p>
    <w:p w14:paraId="37DDBE54" w14:textId="77777777" w:rsidR="003A3240" w:rsidRPr="00734302" w:rsidRDefault="003A3240" w:rsidP="003A3240">
      <w:pPr>
        <w:rPr>
          <w:rFonts w:ascii="Arial" w:hAnsi="Arial" w:cs="Arial"/>
        </w:rPr>
      </w:pPr>
    </w:p>
    <w:p w14:paraId="0A72DF9C" w14:textId="77777777" w:rsidR="003A3240" w:rsidRPr="00734302" w:rsidRDefault="003A3240" w:rsidP="003A3240">
      <w:pPr>
        <w:rPr>
          <w:rFonts w:ascii="Arial" w:hAnsi="Arial" w:cs="Arial"/>
        </w:rPr>
      </w:pPr>
    </w:p>
    <w:p w14:paraId="0BFB3E5B" w14:textId="77777777" w:rsidR="003A3240" w:rsidRPr="00734302" w:rsidRDefault="003A3240" w:rsidP="003A3240">
      <w:pPr>
        <w:jc w:val="both"/>
        <w:rPr>
          <w:rFonts w:ascii="Arial" w:hAnsi="Arial" w:cs="Arial"/>
          <w:b/>
          <w:bCs/>
        </w:rPr>
      </w:pPr>
      <w:r w:rsidRPr="00734302">
        <w:rPr>
          <w:rFonts w:ascii="Arial" w:hAnsi="Arial" w:cs="Arial"/>
          <w:b/>
          <w:bCs/>
        </w:rPr>
        <w:t>Supplement Figure 1. Lack of TRPV1 and CGRP expression in mesenteric and renal smooth muscle cells (SMC) and endothelial cell (EC) layers.</w:t>
      </w:r>
    </w:p>
    <w:p w14:paraId="377DED05" w14:textId="22AA4E19" w:rsidR="003A3240" w:rsidRPr="00734302" w:rsidRDefault="003A3240" w:rsidP="003A3240">
      <w:pPr>
        <w:jc w:val="both"/>
        <w:rPr>
          <w:rFonts w:ascii="Arial" w:hAnsi="Arial" w:cs="Arial"/>
        </w:rPr>
      </w:pPr>
      <w:r w:rsidRPr="00734302">
        <w:rPr>
          <w:rFonts w:ascii="Arial" w:hAnsi="Arial" w:cs="Arial"/>
        </w:rPr>
        <w:t>The top panel in yellow shows representative staining for the myosin heavy chain (smooth muscle marker) and CD31 (endothelial cell marker). The middle row shows no TRPV1 (green) or CGRP (magenta) in the smooth muscle cells (SMC) and endothelial cells (EC) of mesenteric arteries and the bottom row shows renal arteries. Nuclei were labelled in blue (representative of N=4).  </w:t>
      </w:r>
    </w:p>
    <w:p w14:paraId="359EAEF5" w14:textId="77777777" w:rsidR="003A3240" w:rsidRPr="00734302" w:rsidRDefault="003A3240" w:rsidP="003A3240">
      <w:pPr>
        <w:jc w:val="both"/>
        <w:rPr>
          <w:rFonts w:ascii="Arial" w:hAnsi="Arial" w:cs="Arial"/>
        </w:rPr>
      </w:pPr>
    </w:p>
    <w:p w14:paraId="68AF68BE" w14:textId="65831CD8" w:rsidR="003A3240" w:rsidRPr="00734302" w:rsidRDefault="00333BFC" w:rsidP="003A3240">
      <w:pPr>
        <w:jc w:val="both"/>
        <w:rPr>
          <w:rFonts w:ascii="Arial" w:hAnsi="Arial" w:cs="Arial"/>
        </w:rPr>
      </w:pPr>
      <w:r w:rsidRPr="00734302">
        <w:rPr>
          <w:rFonts w:ascii="Arial" w:hAnsi="Arial" w:cs="Arial"/>
          <w:noProof/>
        </w:rPr>
        <w:lastRenderedPageBreak/>
        <w:drawing>
          <wp:inline distT="0" distB="0" distL="0" distR="0" wp14:anchorId="383C6908" wp14:editId="46439A1D">
            <wp:extent cx="6007735" cy="3391275"/>
            <wp:effectExtent l="0" t="0" r="0" b="0"/>
            <wp:docPr id="17416484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6592" cy="3396275"/>
                    </a:xfrm>
                    <a:prstGeom prst="rect">
                      <a:avLst/>
                    </a:prstGeom>
                    <a:noFill/>
                  </pic:spPr>
                </pic:pic>
              </a:graphicData>
            </a:graphic>
          </wp:inline>
        </w:drawing>
      </w:r>
    </w:p>
    <w:p w14:paraId="4F10DE0D" w14:textId="77777777" w:rsidR="003A3240" w:rsidRPr="00734302" w:rsidRDefault="003A3240" w:rsidP="003A3240">
      <w:pPr>
        <w:jc w:val="both"/>
        <w:rPr>
          <w:rFonts w:ascii="Arial" w:hAnsi="Arial" w:cs="Arial"/>
          <w:b/>
          <w:bCs/>
        </w:rPr>
      </w:pPr>
      <w:r w:rsidRPr="00734302">
        <w:rPr>
          <w:rFonts w:ascii="Arial" w:hAnsi="Arial" w:cs="Arial"/>
          <w:b/>
          <w:bCs/>
          <w:lang w:val="en-US"/>
        </w:rPr>
        <w:t>Supplement figure 2. The contraction to KCL and methoxamine in all 3 artery beds.</w:t>
      </w:r>
    </w:p>
    <w:p w14:paraId="55237C27" w14:textId="1D4E3729" w:rsidR="003A3240" w:rsidRPr="00734302" w:rsidRDefault="003A3240" w:rsidP="003A3240">
      <w:pPr>
        <w:jc w:val="both"/>
        <w:rPr>
          <w:rFonts w:ascii="Arial" w:hAnsi="Arial" w:cs="Arial"/>
        </w:rPr>
      </w:pPr>
      <w:r w:rsidRPr="00734302">
        <w:rPr>
          <w:rFonts w:ascii="Arial" w:hAnsi="Arial" w:cs="Arial"/>
          <w:lang w:val="en-US"/>
        </w:rPr>
        <w:t xml:space="preserve">The contraction to 60 mM KCL in raw </w:t>
      </w:r>
      <w:proofErr w:type="spellStart"/>
      <w:r w:rsidRPr="00734302">
        <w:rPr>
          <w:rFonts w:ascii="Arial" w:hAnsi="Arial" w:cs="Arial"/>
          <w:lang w:val="en-US"/>
        </w:rPr>
        <w:t>mN</w:t>
      </w:r>
      <w:proofErr w:type="spellEnd"/>
      <w:r w:rsidRPr="00734302">
        <w:rPr>
          <w:rFonts w:ascii="Arial" w:hAnsi="Arial" w:cs="Arial"/>
          <w:lang w:val="en-US"/>
        </w:rPr>
        <w:t xml:space="preserve"> from mesenteric (red</w:t>
      </w:r>
      <w:r w:rsidR="00666AB9" w:rsidRPr="00734302">
        <w:rPr>
          <w:rFonts w:ascii="Arial" w:hAnsi="Arial" w:cs="Arial"/>
          <w:lang w:val="en-US"/>
        </w:rPr>
        <w:t>, N=</w:t>
      </w:r>
      <w:r w:rsidR="00631EE2" w:rsidRPr="00734302">
        <w:rPr>
          <w:rFonts w:ascii="Arial" w:hAnsi="Arial" w:cs="Arial"/>
          <w:lang w:val="en-US"/>
        </w:rPr>
        <w:t>14</w:t>
      </w:r>
      <w:r w:rsidRPr="00734302">
        <w:rPr>
          <w:rFonts w:ascii="Arial" w:hAnsi="Arial" w:cs="Arial"/>
          <w:lang w:val="en-US"/>
        </w:rPr>
        <w:t>), renal (grey</w:t>
      </w:r>
      <w:r w:rsidR="00631EE2" w:rsidRPr="00734302">
        <w:rPr>
          <w:rFonts w:ascii="Arial" w:hAnsi="Arial" w:cs="Arial"/>
          <w:lang w:val="en-US"/>
        </w:rPr>
        <w:t>, N=13</w:t>
      </w:r>
      <w:r w:rsidRPr="00734302">
        <w:rPr>
          <w:rFonts w:ascii="Arial" w:hAnsi="Arial" w:cs="Arial"/>
          <w:lang w:val="en-US"/>
        </w:rPr>
        <w:t>) and septal (beige</w:t>
      </w:r>
      <w:r w:rsidR="00631EE2" w:rsidRPr="00734302">
        <w:rPr>
          <w:rFonts w:ascii="Arial" w:hAnsi="Arial" w:cs="Arial"/>
          <w:lang w:val="en-US"/>
        </w:rPr>
        <w:t>, N=12</w:t>
      </w:r>
      <w:r w:rsidRPr="00734302">
        <w:rPr>
          <w:rFonts w:ascii="Arial" w:hAnsi="Arial" w:cs="Arial"/>
          <w:lang w:val="en-US"/>
        </w:rPr>
        <w:t>) arteries is shown in panel A</w:t>
      </w:r>
      <w:r w:rsidR="00613018" w:rsidRPr="00734302">
        <w:rPr>
          <w:rFonts w:ascii="Arial" w:hAnsi="Arial" w:cs="Arial"/>
          <w:lang w:val="en-US"/>
        </w:rPr>
        <w:t>. Panel</w:t>
      </w:r>
      <w:r w:rsidRPr="00734302">
        <w:rPr>
          <w:rFonts w:ascii="Arial" w:hAnsi="Arial" w:cs="Arial"/>
          <w:lang w:val="en-US"/>
        </w:rPr>
        <w:t xml:space="preserve"> B shows the contraction to 10µM methoxamine </w:t>
      </w:r>
      <w:proofErr w:type="spellStart"/>
      <w:r w:rsidRPr="00734302">
        <w:rPr>
          <w:rFonts w:ascii="Arial" w:hAnsi="Arial" w:cs="Arial"/>
          <w:lang w:val="en-US"/>
        </w:rPr>
        <w:t>normalised</w:t>
      </w:r>
      <w:proofErr w:type="spellEnd"/>
      <w:r w:rsidRPr="00734302">
        <w:rPr>
          <w:rFonts w:ascii="Arial" w:hAnsi="Arial" w:cs="Arial"/>
          <w:lang w:val="en-US"/>
        </w:rPr>
        <w:t xml:space="preserve"> as a percentage of the contraction to </w:t>
      </w:r>
      <w:proofErr w:type="spellStart"/>
      <w:r w:rsidRPr="00734302">
        <w:rPr>
          <w:rFonts w:ascii="Arial" w:hAnsi="Arial" w:cs="Arial"/>
          <w:lang w:val="en-US"/>
        </w:rPr>
        <w:t>KCl</w:t>
      </w:r>
      <w:proofErr w:type="spellEnd"/>
      <w:r w:rsidRPr="00734302">
        <w:rPr>
          <w:rFonts w:ascii="Arial" w:hAnsi="Arial" w:cs="Arial"/>
          <w:lang w:val="en-US"/>
        </w:rPr>
        <w:t xml:space="preserve"> in mesenteric (red</w:t>
      </w:r>
      <w:r w:rsidR="00D06F61" w:rsidRPr="00734302">
        <w:rPr>
          <w:rFonts w:ascii="Arial" w:hAnsi="Arial" w:cs="Arial"/>
          <w:lang w:val="en-US"/>
        </w:rPr>
        <w:t>, N=13</w:t>
      </w:r>
      <w:r w:rsidRPr="00734302">
        <w:rPr>
          <w:rFonts w:ascii="Arial" w:hAnsi="Arial" w:cs="Arial"/>
          <w:lang w:val="en-US"/>
        </w:rPr>
        <w:t>), renal (grey</w:t>
      </w:r>
      <w:r w:rsidR="00D06F61" w:rsidRPr="00734302">
        <w:rPr>
          <w:rFonts w:ascii="Arial" w:hAnsi="Arial" w:cs="Arial"/>
          <w:lang w:val="en-US"/>
        </w:rPr>
        <w:t>, N=</w:t>
      </w:r>
      <w:r w:rsidR="00613018" w:rsidRPr="00734302">
        <w:rPr>
          <w:rFonts w:ascii="Arial" w:hAnsi="Arial" w:cs="Arial"/>
          <w:lang w:val="en-US"/>
        </w:rPr>
        <w:t>17) arteries</w:t>
      </w:r>
      <w:r w:rsidRPr="00734302">
        <w:rPr>
          <w:rFonts w:ascii="Arial" w:hAnsi="Arial" w:cs="Arial"/>
          <w:lang w:val="en-US"/>
        </w:rPr>
        <w:t>. Data is shown as Mean</w:t>
      </w:r>
      <w:r w:rsidR="00613018" w:rsidRPr="00734302">
        <w:rPr>
          <w:rFonts w:ascii="Arial" w:hAnsi="Arial" w:cs="Arial"/>
          <w:lang w:val="en-US"/>
        </w:rPr>
        <w:t xml:space="preserve"> </w:t>
      </w:r>
      <w:r w:rsidRPr="00734302">
        <w:rPr>
          <w:rFonts w:ascii="Arial" w:hAnsi="Arial" w:cs="Arial"/>
          <w:lang w:val="en-US"/>
        </w:rPr>
        <w:t>±SEM denoted by error bars</w:t>
      </w:r>
      <w:bookmarkStart w:id="0" w:name="OLE_LINK1"/>
      <w:r w:rsidR="00613018" w:rsidRPr="00734302">
        <w:rPr>
          <w:rFonts w:ascii="Arial" w:hAnsi="Arial" w:cs="Arial"/>
          <w:lang w:val="en-US"/>
        </w:rPr>
        <w:t>, and a non-parametric Mann-Whitney t-test</w:t>
      </w:r>
      <w:r w:rsidR="00905488" w:rsidRPr="00734302">
        <w:rPr>
          <w:rFonts w:ascii="Arial" w:hAnsi="Arial" w:cs="Arial"/>
          <w:lang w:val="en-US"/>
        </w:rPr>
        <w:t xml:space="preserve"> was </w:t>
      </w:r>
      <w:r w:rsidR="008643BE" w:rsidRPr="00734302">
        <w:rPr>
          <w:rFonts w:ascii="Arial" w:hAnsi="Arial" w:cs="Arial"/>
          <w:lang w:val="en-US"/>
        </w:rPr>
        <w:t>used to generate significant values</w:t>
      </w:r>
      <w:bookmarkEnd w:id="0"/>
      <w:r w:rsidR="008643BE" w:rsidRPr="00734302">
        <w:rPr>
          <w:rFonts w:ascii="Arial" w:hAnsi="Arial" w:cs="Arial"/>
          <w:lang w:val="en-US"/>
        </w:rPr>
        <w:t xml:space="preserve"> (**=P&lt;0.01, ***=P&lt;0.001) (N= number of animals used).</w:t>
      </w:r>
    </w:p>
    <w:p w14:paraId="69722D31" w14:textId="77777777" w:rsidR="003A3240" w:rsidRPr="00734302" w:rsidRDefault="003A3240" w:rsidP="003A3240">
      <w:pPr>
        <w:jc w:val="both"/>
        <w:rPr>
          <w:rFonts w:ascii="Arial" w:hAnsi="Arial" w:cs="Arial"/>
        </w:rPr>
      </w:pPr>
    </w:p>
    <w:p w14:paraId="1A8B3CA6" w14:textId="77777777" w:rsidR="003A3240" w:rsidRPr="00734302" w:rsidRDefault="003A3240" w:rsidP="003A3240">
      <w:pPr>
        <w:jc w:val="both"/>
        <w:rPr>
          <w:rFonts w:ascii="Arial" w:hAnsi="Arial" w:cs="Arial"/>
        </w:rPr>
      </w:pPr>
    </w:p>
    <w:p w14:paraId="7349C16D" w14:textId="77777777" w:rsidR="003A3240" w:rsidRPr="00734302" w:rsidRDefault="003A3240" w:rsidP="003A3240">
      <w:pPr>
        <w:jc w:val="both"/>
        <w:rPr>
          <w:rFonts w:ascii="Arial" w:hAnsi="Arial" w:cs="Arial"/>
        </w:rPr>
      </w:pPr>
    </w:p>
    <w:p w14:paraId="47722D3C" w14:textId="77777777" w:rsidR="003A3240" w:rsidRPr="00734302" w:rsidRDefault="003A3240" w:rsidP="003A3240">
      <w:pPr>
        <w:jc w:val="both"/>
        <w:rPr>
          <w:rFonts w:ascii="Arial" w:hAnsi="Arial" w:cs="Arial"/>
        </w:rPr>
      </w:pPr>
    </w:p>
    <w:p w14:paraId="28FED651" w14:textId="77777777" w:rsidR="003A3240" w:rsidRPr="00734302" w:rsidRDefault="003A3240" w:rsidP="003A3240">
      <w:pPr>
        <w:jc w:val="both"/>
        <w:rPr>
          <w:rFonts w:ascii="Arial" w:hAnsi="Arial" w:cs="Arial"/>
        </w:rPr>
      </w:pPr>
    </w:p>
    <w:p w14:paraId="24602450" w14:textId="77777777" w:rsidR="003A3240" w:rsidRPr="00734302" w:rsidRDefault="003A3240" w:rsidP="003A3240">
      <w:pPr>
        <w:jc w:val="both"/>
        <w:rPr>
          <w:rFonts w:ascii="Arial" w:hAnsi="Arial" w:cs="Arial"/>
        </w:rPr>
      </w:pPr>
    </w:p>
    <w:p w14:paraId="08C75491" w14:textId="77777777" w:rsidR="003A3240" w:rsidRPr="00734302" w:rsidRDefault="003A3240" w:rsidP="003A3240">
      <w:pPr>
        <w:jc w:val="both"/>
        <w:rPr>
          <w:rFonts w:ascii="Arial" w:hAnsi="Arial" w:cs="Arial"/>
        </w:rPr>
      </w:pPr>
    </w:p>
    <w:p w14:paraId="7C92346F" w14:textId="77777777" w:rsidR="003A3240" w:rsidRPr="00734302" w:rsidRDefault="003A3240" w:rsidP="003A3240">
      <w:pPr>
        <w:jc w:val="both"/>
        <w:rPr>
          <w:rFonts w:ascii="Arial" w:hAnsi="Arial" w:cs="Arial"/>
        </w:rPr>
      </w:pPr>
    </w:p>
    <w:p w14:paraId="6730CE94" w14:textId="77777777" w:rsidR="003A3240" w:rsidRPr="00734302" w:rsidRDefault="003A3240" w:rsidP="003A3240">
      <w:pPr>
        <w:jc w:val="both"/>
        <w:rPr>
          <w:rFonts w:ascii="Arial" w:hAnsi="Arial" w:cs="Arial"/>
        </w:rPr>
      </w:pPr>
    </w:p>
    <w:p w14:paraId="4F111573" w14:textId="77777777" w:rsidR="003A3240" w:rsidRPr="00734302" w:rsidRDefault="003A3240" w:rsidP="003A3240">
      <w:pPr>
        <w:jc w:val="both"/>
        <w:rPr>
          <w:rFonts w:ascii="Arial" w:hAnsi="Arial" w:cs="Arial"/>
        </w:rPr>
      </w:pPr>
    </w:p>
    <w:p w14:paraId="46A20E03" w14:textId="77777777" w:rsidR="003A3240" w:rsidRPr="00734302" w:rsidRDefault="003A3240" w:rsidP="003A3240">
      <w:pPr>
        <w:jc w:val="both"/>
        <w:rPr>
          <w:rFonts w:ascii="Arial" w:hAnsi="Arial" w:cs="Arial"/>
        </w:rPr>
      </w:pPr>
    </w:p>
    <w:p w14:paraId="7439321F" w14:textId="77777777" w:rsidR="003A3240" w:rsidRPr="00734302" w:rsidRDefault="003A3240" w:rsidP="003A3240">
      <w:pPr>
        <w:jc w:val="both"/>
        <w:rPr>
          <w:rFonts w:ascii="Arial" w:hAnsi="Arial" w:cs="Arial"/>
        </w:rPr>
      </w:pPr>
    </w:p>
    <w:p w14:paraId="55E0D089" w14:textId="77777777" w:rsidR="003A3240" w:rsidRPr="00734302" w:rsidRDefault="003A3240" w:rsidP="003A3240">
      <w:pPr>
        <w:jc w:val="both"/>
        <w:rPr>
          <w:rFonts w:ascii="Arial" w:hAnsi="Arial" w:cs="Arial"/>
        </w:rPr>
      </w:pPr>
    </w:p>
    <w:p w14:paraId="00846D72" w14:textId="77777777" w:rsidR="003A3240" w:rsidRPr="00734302" w:rsidRDefault="003A3240" w:rsidP="003A3240">
      <w:pPr>
        <w:jc w:val="both"/>
        <w:rPr>
          <w:rFonts w:ascii="Arial" w:hAnsi="Arial" w:cs="Arial"/>
        </w:rPr>
      </w:pPr>
    </w:p>
    <w:p w14:paraId="5E65AD8C" w14:textId="5A839E87" w:rsidR="003A3240" w:rsidRPr="00734302" w:rsidRDefault="003A3240" w:rsidP="003A3240">
      <w:pPr>
        <w:jc w:val="both"/>
        <w:rPr>
          <w:rFonts w:ascii="Arial" w:hAnsi="Arial" w:cs="Arial"/>
        </w:rPr>
      </w:pPr>
      <w:r w:rsidRPr="00734302">
        <w:rPr>
          <w:rFonts w:ascii="Arial" w:hAnsi="Arial" w:cs="Arial"/>
          <w:noProof/>
        </w:rPr>
        <w:lastRenderedPageBreak/>
        <w:drawing>
          <wp:inline distT="0" distB="0" distL="0" distR="0" wp14:anchorId="0665800E" wp14:editId="7EEE58D9">
            <wp:extent cx="5645150" cy="4154805"/>
            <wp:effectExtent l="0" t="0" r="0" b="0"/>
            <wp:docPr id="1823154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5150" cy="4154805"/>
                    </a:xfrm>
                    <a:prstGeom prst="rect">
                      <a:avLst/>
                    </a:prstGeom>
                    <a:noFill/>
                    <a:ln>
                      <a:noFill/>
                    </a:ln>
                  </pic:spPr>
                </pic:pic>
              </a:graphicData>
            </a:graphic>
          </wp:inline>
        </w:drawing>
      </w:r>
    </w:p>
    <w:p w14:paraId="1E7CB4B7" w14:textId="77777777" w:rsidR="003A3240" w:rsidRPr="00734302" w:rsidRDefault="003A3240" w:rsidP="003A3240">
      <w:pPr>
        <w:jc w:val="both"/>
        <w:rPr>
          <w:rFonts w:ascii="Arial" w:hAnsi="Arial" w:cs="Arial"/>
          <w:b/>
          <w:bCs/>
        </w:rPr>
      </w:pPr>
      <w:r w:rsidRPr="00734302">
        <w:rPr>
          <w:rFonts w:ascii="Arial" w:hAnsi="Arial" w:cs="Arial"/>
          <w:b/>
          <w:bCs/>
        </w:rPr>
        <w:t>Supplement Figure 3. Lack of correlation between SGLT2 inhibitor and carbachol response in mesenteric arteries</w:t>
      </w:r>
    </w:p>
    <w:p w14:paraId="3D214194" w14:textId="0A940C52" w:rsidR="003A3240" w:rsidRPr="00734302" w:rsidRDefault="003A3240" w:rsidP="003A3240">
      <w:pPr>
        <w:jc w:val="both"/>
        <w:rPr>
          <w:rFonts w:ascii="Arial" w:hAnsi="Arial" w:cs="Arial"/>
        </w:rPr>
      </w:pPr>
      <w:r w:rsidRPr="00734302">
        <w:rPr>
          <w:rFonts w:ascii="Arial" w:hAnsi="Arial" w:cs="Arial"/>
        </w:rPr>
        <w:t>The percentage relaxation to 30 µM dapagliflozin (A, N=33) and empagliflozin (B, N=16) in mesenteric arteries with positive endothelium (&gt;90%) and denuded (&lt;10%). All values are expressed as mean ± SEM denoted by the error bars</w:t>
      </w:r>
      <w:r w:rsidR="00613018" w:rsidRPr="00734302">
        <w:rPr>
          <w:rFonts w:ascii="Arial" w:hAnsi="Arial" w:cs="Arial"/>
        </w:rPr>
        <w:t>, and a non-parametric Mann-Whitney t-test</w:t>
      </w:r>
      <w:r w:rsidR="003562F1" w:rsidRPr="00734302">
        <w:rPr>
          <w:rFonts w:ascii="Arial" w:hAnsi="Arial" w:cs="Arial"/>
          <w:lang w:val="en-US"/>
        </w:rPr>
        <w:t xml:space="preserve"> was used to generate significant values. </w:t>
      </w:r>
    </w:p>
    <w:p w14:paraId="36371204" w14:textId="085EDFFA" w:rsidR="003A3240" w:rsidRPr="00734302" w:rsidRDefault="003A3240" w:rsidP="003A3240">
      <w:pPr>
        <w:jc w:val="both"/>
        <w:rPr>
          <w:rFonts w:ascii="Arial" w:hAnsi="Arial" w:cs="Arial"/>
        </w:rPr>
      </w:pPr>
    </w:p>
    <w:p w14:paraId="1C1CAE83" w14:textId="77777777" w:rsidR="003A3240" w:rsidRPr="00734302" w:rsidRDefault="003A3240" w:rsidP="003A3240">
      <w:pPr>
        <w:jc w:val="both"/>
        <w:rPr>
          <w:rFonts w:ascii="Arial" w:hAnsi="Arial" w:cs="Arial"/>
        </w:rPr>
      </w:pPr>
    </w:p>
    <w:p w14:paraId="55D0E10B" w14:textId="77777777" w:rsidR="003A3240" w:rsidRPr="00734302" w:rsidRDefault="003A3240" w:rsidP="003A3240">
      <w:pPr>
        <w:jc w:val="both"/>
        <w:rPr>
          <w:rFonts w:ascii="Arial" w:hAnsi="Arial" w:cs="Arial"/>
        </w:rPr>
      </w:pPr>
    </w:p>
    <w:p w14:paraId="0BCA9688" w14:textId="77777777" w:rsidR="003A3240" w:rsidRPr="00734302" w:rsidRDefault="003A3240" w:rsidP="003A3240">
      <w:pPr>
        <w:jc w:val="both"/>
        <w:rPr>
          <w:rFonts w:ascii="Arial" w:hAnsi="Arial" w:cs="Arial"/>
        </w:rPr>
      </w:pPr>
    </w:p>
    <w:p w14:paraId="1B6060A1" w14:textId="77777777" w:rsidR="003A3240" w:rsidRPr="00734302" w:rsidRDefault="003A3240" w:rsidP="003A3240">
      <w:pPr>
        <w:jc w:val="both"/>
        <w:rPr>
          <w:rFonts w:ascii="Arial" w:hAnsi="Arial" w:cs="Arial"/>
        </w:rPr>
      </w:pPr>
    </w:p>
    <w:p w14:paraId="385DEF24" w14:textId="77777777" w:rsidR="003A3240" w:rsidRPr="00734302" w:rsidRDefault="003A3240" w:rsidP="003A3240">
      <w:pPr>
        <w:jc w:val="both"/>
        <w:rPr>
          <w:rFonts w:ascii="Arial" w:hAnsi="Arial" w:cs="Arial"/>
        </w:rPr>
      </w:pPr>
    </w:p>
    <w:p w14:paraId="0EB75E65" w14:textId="77777777" w:rsidR="003A3240" w:rsidRPr="00734302" w:rsidRDefault="003A3240" w:rsidP="003A3240">
      <w:pPr>
        <w:jc w:val="both"/>
        <w:rPr>
          <w:rFonts w:ascii="Arial" w:hAnsi="Arial" w:cs="Arial"/>
        </w:rPr>
      </w:pPr>
    </w:p>
    <w:p w14:paraId="29386DEE" w14:textId="77777777" w:rsidR="003A3240" w:rsidRPr="00734302" w:rsidRDefault="003A3240" w:rsidP="003A3240">
      <w:pPr>
        <w:jc w:val="both"/>
        <w:rPr>
          <w:rFonts w:ascii="Arial" w:hAnsi="Arial" w:cs="Arial"/>
        </w:rPr>
      </w:pPr>
    </w:p>
    <w:p w14:paraId="03E994C2" w14:textId="77777777" w:rsidR="003A3240" w:rsidRPr="00734302" w:rsidRDefault="003A3240" w:rsidP="003A3240">
      <w:pPr>
        <w:jc w:val="both"/>
        <w:rPr>
          <w:rFonts w:ascii="Arial" w:hAnsi="Arial" w:cs="Arial"/>
        </w:rPr>
      </w:pPr>
    </w:p>
    <w:p w14:paraId="1D002A6B" w14:textId="77777777" w:rsidR="003A3240" w:rsidRPr="00734302" w:rsidRDefault="003A3240" w:rsidP="003A3240">
      <w:pPr>
        <w:jc w:val="both"/>
        <w:rPr>
          <w:rFonts w:ascii="Arial" w:hAnsi="Arial" w:cs="Arial"/>
        </w:rPr>
      </w:pPr>
    </w:p>
    <w:p w14:paraId="75D7087F" w14:textId="77777777" w:rsidR="003A3240" w:rsidRPr="00734302" w:rsidRDefault="003A3240" w:rsidP="003A3240">
      <w:pPr>
        <w:jc w:val="both"/>
        <w:rPr>
          <w:rFonts w:ascii="Arial" w:hAnsi="Arial" w:cs="Arial"/>
        </w:rPr>
      </w:pPr>
    </w:p>
    <w:p w14:paraId="74B89636" w14:textId="2A54181C" w:rsidR="003A3240" w:rsidRPr="00734302" w:rsidRDefault="003A3240" w:rsidP="003A3240">
      <w:pPr>
        <w:jc w:val="both"/>
        <w:rPr>
          <w:rFonts w:ascii="Arial" w:hAnsi="Arial" w:cs="Arial"/>
        </w:rPr>
      </w:pPr>
      <w:r w:rsidRPr="00734302">
        <w:rPr>
          <w:rFonts w:ascii="Arial" w:hAnsi="Arial" w:cs="Arial"/>
          <w:noProof/>
        </w:rPr>
        <w:lastRenderedPageBreak/>
        <w:drawing>
          <wp:inline distT="0" distB="0" distL="0" distR="0" wp14:anchorId="772DB0C0" wp14:editId="2059C508">
            <wp:extent cx="5731510" cy="3423436"/>
            <wp:effectExtent l="0" t="0" r="0" b="0"/>
            <wp:docPr id="1512368550"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68550" name="Picture 5" descr="A screenshot of a video g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23436"/>
                    </a:xfrm>
                    <a:prstGeom prst="rect">
                      <a:avLst/>
                    </a:prstGeom>
                    <a:noFill/>
                  </pic:spPr>
                </pic:pic>
              </a:graphicData>
            </a:graphic>
          </wp:inline>
        </w:drawing>
      </w:r>
    </w:p>
    <w:p w14:paraId="2AB50BC7" w14:textId="0AADF616" w:rsidR="003A3240" w:rsidRPr="00734302" w:rsidRDefault="003A3240" w:rsidP="003A3240">
      <w:pPr>
        <w:jc w:val="both"/>
        <w:rPr>
          <w:rFonts w:ascii="Arial" w:hAnsi="Arial" w:cs="Arial"/>
        </w:rPr>
      </w:pPr>
      <w:r w:rsidRPr="00734302">
        <w:rPr>
          <w:rFonts w:ascii="Arial" w:hAnsi="Arial" w:cs="Arial"/>
          <w:b/>
          <w:bCs/>
        </w:rPr>
        <w:t>Supplement figure 4. Effect of CGRP receptor blocker, TRPV1 blocker and capsaicin incubation on capsaicin-induced relaxations.</w:t>
      </w:r>
      <w:r w:rsidRPr="00734302">
        <w:rPr>
          <w:rFonts w:ascii="Arial" w:hAnsi="Arial" w:cs="Arial"/>
        </w:rPr>
        <w:t xml:space="preserve"> </w:t>
      </w:r>
    </w:p>
    <w:p w14:paraId="6A07FE4E" w14:textId="294D69AB" w:rsidR="003A3240" w:rsidRPr="00734302" w:rsidRDefault="003A3240" w:rsidP="003A3240">
      <w:pPr>
        <w:jc w:val="both"/>
        <w:rPr>
          <w:rFonts w:ascii="Arial" w:hAnsi="Arial" w:cs="Arial"/>
        </w:rPr>
      </w:pPr>
      <w:r w:rsidRPr="00734302">
        <w:rPr>
          <w:rFonts w:ascii="Arial" w:hAnsi="Arial" w:cs="Arial"/>
        </w:rPr>
        <w:t>The mean effect of 10 µM capsaicin in arteries in the presence and absence of 1 µM CGRP blocker BIBN (A, N=6-8) or after sensory nerve depletion (B, 3-5 min pulses of capsaicin then wash out, N=5) or in the presence of the TRPV1 blocker AMG-517 (C, N=5). All values are expressed as mean ± SEM denoted by the error bars. A two-way statistical ANOVA with a post-hoc Sidak test was used to generate significant values (*=P&lt;0.05, **=P&lt;0.01, ***=P&lt;0.001, ****=P&lt;0.0001) (N= number of animals used).</w:t>
      </w:r>
    </w:p>
    <w:p w14:paraId="4465108F" w14:textId="40F8D0EB" w:rsidR="003A3240" w:rsidRPr="00734302" w:rsidRDefault="003A3240" w:rsidP="003A3240">
      <w:pPr>
        <w:jc w:val="both"/>
        <w:rPr>
          <w:rFonts w:ascii="Arial" w:hAnsi="Arial" w:cs="Arial"/>
        </w:rPr>
      </w:pPr>
    </w:p>
    <w:p w14:paraId="4AD16EE5" w14:textId="77777777" w:rsidR="003A3240" w:rsidRPr="00734302" w:rsidRDefault="003A3240" w:rsidP="003A3240">
      <w:pPr>
        <w:jc w:val="both"/>
        <w:rPr>
          <w:rFonts w:ascii="Arial" w:hAnsi="Arial" w:cs="Arial"/>
        </w:rPr>
      </w:pPr>
    </w:p>
    <w:p w14:paraId="69E78532" w14:textId="77777777" w:rsidR="003A3240" w:rsidRPr="00734302" w:rsidRDefault="003A3240" w:rsidP="003A3240">
      <w:pPr>
        <w:jc w:val="both"/>
        <w:rPr>
          <w:rFonts w:ascii="Arial" w:hAnsi="Arial" w:cs="Arial"/>
        </w:rPr>
      </w:pPr>
    </w:p>
    <w:p w14:paraId="4B335B14" w14:textId="77777777" w:rsidR="003A3240" w:rsidRPr="00734302" w:rsidRDefault="003A3240" w:rsidP="003A3240">
      <w:pPr>
        <w:jc w:val="both"/>
        <w:rPr>
          <w:rFonts w:ascii="Arial" w:hAnsi="Arial" w:cs="Arial"/>
        </w:rPr>
      </w:pPr>
    </w:p>
    <w:p w14:paraId="25B51808" w14:textId="77777777" w:rsidR="003A3240" w:rsidRPr="00734302" w:rsidRDefault="003A3240" w:rsidP="003A3240">
      <w:pPr>
        <w:jc w:val="both"/>
        <w:rPr>
          <w:rFonts w:ascii="Arial" w:hAnsi="Arial" w:cs="Arial"/>
        </w:rPr>
      </w:pPr>
    </w:p>
    <w:p w14:paraId="39E57137" w14:textId="77777777" w:rsidR="003A3240" w:rsidRPr="00734302" w:rsidRDefault="003A3240" w:rsidP="003A3240">
      <w:pPr>
        <w:jc w:val="both"/>
        <w:rPr>
          <w:rFonts w:ascii="Arial" w:hAnsi="Arial" w:cs="Arial"/>
        </w:rPr>
      </w:pPr>
    </w:p>
    <w:p w14:paraId="3C50D845" w14:textId="77777777" w:rsidR="003A3240" w:rsidRPr="00734302" w:rsidRDefault="003A3240" w:rsidP="003A3240">
      <w:pPr>
        <w:jc w:val="both"/>
        <w:rPr>
          <w:rFonts w:ascii="Arial" w:hAnsi="Arial" w:cs="Arial"/>
        </w:rPr>
      </w:pPr>
    </w:p>
    <w:p w14:paraId="182ECCA0" w14:textId="77777777" w:rsidR="003A3240" w:rsidRPr="00734302" w:rsidRDefault="003A3240" w:rsidP="003A3240">
      <w:pPr>
        <w:jc w:val="both"/>
        <w:rPr>
          <w:rFonts w:ascii="Arial" w:hAnsi="Arial" w:cs="Arial"/>
        </w:rPr>
      </w:pPr>
    </w:p>
    <w:p w14:paraId="1443D088" w14:textId="77777777" w:rsidR="003A3240" w:rsidRPr="00734302" w:rsidRDefault="003A3240" w:rsidP="003A3240">
      <w:pPr>
        <w:jc w:val="both"/>
        <w:rPr>
          <w:rFonts w:ascii="Arial" w:hAnsi="Arial" w:cs="Arial"/>
        </w:rPr>
      </w:pPr>
    </w:p>
    <w:p w14:paraId="0B496923" w14:textId="77777777" w:rsidR="003A3240" w:rsidRPr="00734302" w:rsidRDefault="003A3240" w:rsidP="003A3240">
      <w:pPr>
        <w:jc w:val="both"/>
        <w:rPr>
          <w:rFonts w:ascii="Arial" w:hAnsi="Arial" w:cs="Arial"/>
        </w:rPr>
      </w:pPr>
    </w:p>
    <w:p w14:paraId="7FDE8DC8" w14:textId="77777777" w:rsidR="003A3240" w:rsidRPr="00734302" w:rsidRDefault="003A3240" w:rsidP="003A3240">
      <w:pPr>
        <w:jc w:val="both"/>
        <w:rPr>
          <w:rFonts w:ascii="Arial" w:hAnsi="Arial" w:cs="Arial"/>
        </w:rPr>
      </w:pPr>
    </w:p>
    <w:p w14:paraId="3FD76909" w14:textId="77777777" w:rsidR="003A3240" w:rsidRPr="00734302" w:rsidRDefault="003A3240" w:rsidP="003A3240">
      <w:pPr>
        <w:jc w:val="both"/>
        <w:rPr>
          <w:rFonts w:ascii="Arial" w:hAnsi="Arial" w:cs="Arial"/>
        </w:rPr>
      </w:pPr>
    </w:p>
    <w:p w14:paraId="07220200" w14:textId="77777777" w:rsidR="003A3240" w:rsidRPr="00734302" w:rsidRDefault="003A3240" w:rsidP="003A3240">
      <w:pPr>
        <w:jc w:val="both"/>
        <w:rPr>
          <w:rFonts w:ascii="Arial" w:hAnsi="Arial" w:cs="Arial"/>
        </w:rPr>
      </w:pPr>
    </w:p>
    <w:p w14:paraId="02A16856" w14:textId="71D105D1" w:rsidR="003A3240" w:rsidRPr="00734302" w:rsidRDefault="003A3240" w:rsidP="003A3240">
      <w:pPr>
        <w:jc w:val="both"/>
        <w:rPr>
          <w:rFonts w:ascii="Arial" w:hAnsi="Arial" w:cs="Arial"/>
        </w:rPr>
      </w:pPr>
      <w:r w:rsidRPr="00734302">
        <w:rPr>
          <w:rFonts w:ascii="Arial" w:hAnsi="Arial" w:cs="Arial"/>
          <w:noProof/>
        </w:rPr>
        <w:lastRenderedPageBreak/>
        <w:drawing>
          <wp:anchor distT="0" distB="0" distL="114300" distR="114300" simplePos="0" relativeHeight="251661312" behindDoc="0" locked="0" layoutInCell="1" allowOverlap="1" wp14:anchorId="7AD904C7" wp14:editId="1E6BC321">
            <wp:simplePos x="0" y="0"/>
            <wp:positionH relativeFrom="column">
              <wp:posOffset>-357836</wp:posOffset>
            </wp:positionH>
            <wp:positionV relativeFrom="paragraph">
              <wp:posOffset>-635</wp:posOffset>
            </wp:positionV>
            <wp:extent cx="6539865" cy="2842895"/>
            <wp:effectExtent l="0" t="0" r="0" b="0"/>
            <wp:wrapSquare wrapText="bothSides"/>
            <wp:docPr id="198942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9865" cy="284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D6585" w14:textId="3F2C67DD" w:rsidR="003A3240" w:rsidRPr="00734302" w:rsidRDefault="003A3240" w:rsidP="003A3240">
      <w:pPr>
        <w:jc w:val="both"/>
        <w:rPr>
          <w:rFonts w:ascii="Arial" w:hAnsi="Arial" w:cs="Arial"/>
          <w:b/>
          <w:bCs/>
        </w:rPr>
      </w:pPr>
      <w:r w:rsidRPr="00734302">
        <w:rPr>
          <w:rFonts w:ascii="Arial" w:hAnsi="Arial" w:cs="Arial"/>
          <w:b/>
          <w:bCs/>
        </w:rPr>
        <w:t>Supplement figure 5. Effect of TRPA1 blocker and KATP blocker on dapagliflozin and empagliflozin induced relaxations.</w:t>
      </w:r>
    </w:p>
    <w:p w14:paraId="1093FD88" w14:textId="0DFC635B" w:rsidR="003A3240" w:rsidRPr="00734302" w:rsidRDefault="003A3240" w:rsidP="003A3240">
      <w:pPr>
        <w:jc w:val="both"/>
        <w:rPr>
          <w:rFonts w:ascii="Arial" w:hAnsi="Arial" w:cs="Arial"/>
        </w:rPr>
      </w:pPr>
      <w:r w:rsidRPr="00734302">
        <w:rPr>
          <w:rFonts w:ascii="Arial" w:hAnsi="Arial" w:cs="Arial"/>
        </w:rPr>
        <w:t>The mean response (1µM-100µM) to dapagliflozin (A, N=5) and empagliflozin (B, N=5) when pre-incubated with either DMSO (black), 10 µM AM0902 (Green) or 3 µM Glibenclamide (orange) (N=5). All values are expressed as mean ± SEM, where N</w:t>
      </w:r>
      <w:proofErr w:type="gramStart"/>
      <w:r w:rsidRPr="00734302">
        <w:rPr>
          <w:rFonts w:ascii="Arial" w:hAnsi="Arial" w:cs="Arial"/>
        </w:rPr>
        <w:t>=(</w:t>
      </w:r>
      <w:proofErr w:type="gramEnd"/>
      <w:r w:rsidRPr="00734302">
        <w:rPr>
          <w:rFonts w:ascii="Arial" w:hAnsi="Arial" w:cs="Arial"/>
        </w:rPr>
        <w:t>number of animals used).</w:t>
      </w:r>
    </w:p>
    <w:p w14:paraId="6A52E3B5" w14:textId="77777777" w:rsidR="003A3240" w:rsidRPr="00734302" w:rsidRDefault="003A3240" w:rsidP="003A3240">
      <w:pPr>
        <w:jc w:val="both"/>
        <w:rPr>
          <w:rFonts w:ascii="Arial" w:hAnsi="Arial" w:cs="Arial"/>
        </w:rPr>
      </w:pPr>
    </w:p>
    <w:p w14:paraId="7539CB86" w14:textId="77777777" w:rsidR="003A3240" w:rsidRPr="00734302" w:rsidRDefault="003A3240" w:rsidP="003A3240">
      <w:pPr>
        <w:jc w:val="both"/>
        <w:rPr>
          <w:rFonts w:ascii="Arial" w:hAnsi="Arial" w:cs="Arial"/>
        </w:rPr>
      </w:pPr>
    </w:p>
    <w:p w14:paraId="009F89E4" w14:textId="77777777" w:rsidR="0022087D" w:rsidRPr="00734302" w:rsidRDefault="0022087D" w:rsidP="003A3240">
      <w:pPr>
        <w:jc w:val="both"/>
        <w:rPr>
          <w:rFonts w:ascii="Arial" w:hAnsi="Arial" w:cs="Arial"/>
        </w:rPr>
      </w:pPr>
    </w:p>
    <w:p w14:paraId="6CC295C6" w14:textId="77777777" w:rsidR="0022087D" w:rsidRPr="00734302" w:rsidRDefault="0022087D" w:rsidP="003A3240">
      <w:pPr>
        <w:jc w:val="both"/>
        <w:rPr>
          <w:rFonts w:ascii="Arial" w:hAnsi="Arial" w:cs="Arial"/>
        </w:rPr>
      </w:pPr>
    </w:p>
    <w:p w14:paraId="04993F60" w14:textId="77777777" w:rsidR="0022087D" w:rsidRPr="00734302" w:rsidRDefault="0022087D" w:rsidP="003A3240">
      <w:pPr>
        <w:jc w:val="both"/>
        <w:rPr>
          <w:rFonts w:ascii="Arial" w:hAnsi="Arial" w:cs="Arial"/>
        </w:rPr>
      </w:pPr>
    </w:p>
    <w:p w14:paraId="3C6C27F3" w14:textId="77777777" w:rsidR="0022087D" w:rsidRPr="00734302" w:rsidRDefault="0022087D" w:rsidP="003A3240">
      <w:pPr>
        <w:jc w:val="both"/>
        <w:rPr>
          <w:rFonts w:ascii="Arial" w:hAnsi="Arial" w:cs="Arial"/>
        </w:rPr>
      </w:pPr>
    </w:p>
    <w:p w14:paraId="3000D559" w14:textId="77777777" w:rsidR="0022087D" w:rsidRPr="00734302" w:rsidRDefault="0022087D" w:rsidP="003A3240">
      <w:pPr>
        <w:jc w:val="both"/>
        <w:rPr>
          <w:rFonts w:ascii="Arial" w:hAnsi="Arial" w:cs="Arial"/>
        </w:rPr>
      </w:pPr>
    </w:p>
    <w:p w14:paraId="0ADC4D7E" w14:textId="77777777" w:rsidR="0022087D" w:rsidRPr="00734302" w:rsidRDefault="0022087D" w:rsidP="003A3240">
      <w:pPr>
        <w:jc w:val="both"/>
        <w:rPr>
          <w:rFonts w:ascii="Arial" w:hAnsi="Arial" w:cs="Arial"/>
        </w:rPr>
      </w:pPr>
    </w:p>
    <w:p w14:paraId="47929B7D" w14:textId="77777777" w:rsidR="0022087D" w:rsidRPr="00734302" w:rsidRDefault="0022087D" w:rsidP="003A3240">
      <w:pPr>
        <w:jc w:val="both"/>
        <w:rPr>
          <w:rFonts w:ascii="Arial" w:hAnsi="Arial" w:cs="Arial"/>
        </w:rPr>
      </w:pPr>
    </w:p>
    <w:p w14:paraId="36A8DA69" w14:textId="77777777" w:rsidR="0022087D" w:rsidRPr="00734302" w:rsidRDefault="0022087D" w:rsidP="003A3240">
      <w:pPr>
        <w:jc w:val="both"/>
        <w:rPr>
          <w:rFonts w:ascii="Arial" w:hAnsi="Arial" w:cs="Arial"/>
        </w:rPr>
      </w:pPr>
    </w:p>
    <w:p w14:paraId="693B429E" w14:textId="77777777" w:rsidR="0022087D" w:rsidRPr="00734302" w:rsidRDefault="0022087D" w:rsidP="003A3240">
      <w:pPr>
        <w:jc w:val="both"/>
        <w:rPr>
          <w:rFonts w:ascii="Arial" w:hAnsi="Arial" w:cs="Arial"/>
        </w:rPr>
      </w:pPr>
    </w:p>
    <w:p w14:paraId="03E1AD97" w14:textId="77777777" w:rsidR="0022087D" w:rsidRPr="00734302" w:rsidRDefault="0022087D" w:rsidP="003A3240">
      <w:pPr>
        <w:jc w:val="both"/>
        <w:rPr>
          <w:rFonts w:ascii="Arial" w:hAnsi="Arial" w:cs="Arial"/>
        </w:rPr>
      </w:pPr>
    </w:p>
    <w:p w14:paraId="719BA430" w14:textId="77777777" w:rsidR="0022087D" w:rsidRPr="00734302" w:rsidRDefault="0022087D" w:rsidP="003A3240">
      <w:pPr>
        <w:jc w:val="both"/>
        <w:rPr>
          <w:rFonts w:ascii="Arial" w:hAnsi="Arial" w:cs="Arial"/>
        </w:rPr>
      </w:pPr>
    </w:p>
    <w:p w14:paraId="6368AB9B" w14:textId="77777777" w:rsidR="0022087D" w:rsidRPr="00734302" w:rsidRDefault="0022087D" w:rsidP="003A3240">
      <w:pPr>
        <w:jc w:val="both"/>
        <w:rPr>
          <w:rFonts w:ascii="Arial" w:hAnsi="Arial" w:cs="Arial"/>
        </w:rPr>
      </w:pPr>
    </w:p>
    <w:p w14:paraId="3D0B6E06" w14:textId="77777777" w:rsidR="0022087D" w:rsidRPr="00734302" w:rsidRDefault="0022087D" w:rsidP="003A3240">
      <w:pPr>
        <w:jc w:val="both"/>
        <w:rPr>
          <w:rFonts w:ascii="Arial" w:hAnsi="Arial" w:cs="Arial"/>
        </w:rPr>
      </w:pPr>
    </w:p>
    <w:p w14:paraId="6BC6D7F3" w14:textId="77777777" w:rsidR="0022087D" w:rsidRPr="00734302" w:rsidRDefault="0022087D" w:rsidP="003A3240">
      <w:pPr>
        <w:jc w:val="both"/>
        <w:rPr>
          <w:rFonts w:ascii="Arial" w:hAnsi="Arial" w:cs="Arial"/>
        </w:rPr>
      </w:pPr>
    </w:p>
    <w:p w14:paraId="236CB6AE" w14:textId="77777777" w:rsidR="0022087D" w:rsidRPr="00734302" w:rsidRDefault="0022087D" w:rsidP="003A3240">
      <w:pPr>
        <w:jc w:val="both"/>
        <w:rPr>
          <w:rFonts w:ascii="Arial" w:hAnsi="Arial" w:cs="Arial"/>
        </w:rPr>
      </w:pPr>
    </w:p>
    <w:p w14:paraId="16F81E80" w14:textId="53B6050D" w:rsidR="0022087D" w:rsidRPr="00734302" w:rsidRDefault="0022087D" w:rsidP="003A3240">
      <w:pPr>
        <w:jc w:val="both"/>
        <w:rPr>
          <w:rFonts w:ascii="Arial" w:hAnsi="Arial" w:cs="Arial"/>
        </w:rPr>
      </w:pPr>
      <w:r w:rsidRPr="00734302">
        <w:rPr>
          <w:rFonts w:ascii="Arial" w:hAnsi="Arial" w:cs="Arial"/>
          <w:noProof/>
        </w:rPr>
        <w:lastRenderedPageBreak/>
        <w:drawing>
          <wp:inline distT="0" distB="0" distL="0" distR="0" wp14:anchorId="08ECA309" wp14:editId="7AC90AEF">
            <wp:extent cx="5731510" cy="3427926"/>
            <wp:effectExtent l="0" t="0" r="0" b="0"/>
            <wp:docPr id="430693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27926"/>
                    </a:xfrm>
                    <a:prstGeom prst="rect">
                      <a:avLst/>
                    </a:prstGeom>
                    <a:noFill/>
                    <a:ln>
                      <a:noFill/>
                    </a:ln>
                  </pic:spPr>
                </pic:pic>
              </a:graphicData>
            </a:graphic>
          </wp:inline>
        </w:drawing>
      </w:r>
    </w:p>
    <w:p w14:paraId="0514C8C6" w14:textId="77777777" w:rsidR="003A3240" w:rsidRPr="00734302" w:rsidRDefault="003A3240" w:rsidP="003A3240">
      <w:pPr>
        <w:jc w:val="both"/>
        <w:rPr>
          <w:rFonts w:ascii="Arial" w:hAnsi="Arial" w:cs="Arial"/>
        </w:rPr>
      </w:pPr>
    </w:p>
    <w:p w14:paraId="77086E1F" w14:textId="59C7837E" w:rsidR="0022087D" w:rsidRPr="00734302" w:rsidRDefault="0022087D" w:rsidP="0022087D">
      <w:pPr>
        <w:jc w:val="both"/>
        <w:rPr>
          <w:rFonts w:ascii="Arial" w:hAnsi="Arial" w:cs="Arial"/>
          <w:b/>
          <w:bCs/>
        </w:rPr>
      </w:pPr>
      <w:r w:rsidRPr="00734302">
        <w:rPr>
          <w:rFonts w:ascii="Arial" w:hAnsi="Arial" w:cs="Arial"/>
          <w:b/>
          <w:bCs/>
          <w:lang w:val="en-US"/>
        </w:rPr>
        <w:t>Supplement figure 6. Mean amplitude of methoxamine evoked contractions.</w:t>
      </w:r>
    </w:p>
    <w:p w14:paraId="1975897C" w14:textId="560C63FF" w:rsidR="0022087D" w:rsidRPr="00734302" w:rsidRDefault="0022087D" w:rsidP="0022087D">
      <w:pPr>
        <w:jc w:val="both"/>
        <w:rPr>
          <w:rFonts w:ascii="Arial" w:hAnsi="Arial" w:cs="Arial"/>
        </w:rPr>
      </w:pPr>
      <w:r w:rsidRPr="00734302">
        <w:rPr>
          <w:rFonts w:ascii="Arial" w:hAnsi="Arial" w:cs="Arial"/>
        </w:rPr>
        <w:t xml:space="preserve">(A) The mean amplitude of the contraction produced by 10µM Methoxamine under the different conditions pre-incubated with 10µM Capsaicin (orange) or 1µM AMG-517 (Purple, N= 5-10). (B) The mean amplitude of the contraction produced by 10µM Methoxamine in the presence and absence of 10µM </w:t>
      </w:r>
      <w:proofErr w:type="spellStart"/>
      <w:r w:rsidRPr="00734302">
        <w:rPr>
          <w:rFonts w:ascii="Arial" w:hAnsi="Arial" w:cs="Arial"/>
        </w:rPr>
        <w:t>Cariporide</w:t>
      </w:r>
      <w:proofErr w:type="spellEnd"/>
      <w:r w:rsidRPr="00734302">
        <w:rPr>
          <w:rFonts w:ascii="Arial" w:hAnsi="Arial" w:cs="Arial"/>
        </w:rPr>
        <w:t xml:space="preserve"> (Green, N=5-6). Data is shown as mean contraction (</w:t>
      </w:r>
      <w:proofErr w:type="spellStart"/>
      <w:r w:rsidRPr="00734302">
        <w:rPr>
          <w:rFonts w:ascii="Arial" w:hAnsi="Arial" w:cs="Arial"/>
        </w:rPr>
        <w:t>mN</w:t>
      </w:r>
      <w:proofErr w:type="spellEnd"/>
      <w:r w:rsidRPr="00734302">
        <w:rPr>
          <w:rFonts w:ascii="Arial" w:hAnsi="Arial" w:cs="Arial"/>
        </w:rPr>
        <w:t xml:space="preserve">) ± SEM, where N= (number of animals). </w:t>
      </w:r>
    </w:p>
    <w:p w14:paraId="4E7A6AA3" w14:textId="16F70D24" w:rsidR="003A3240" w:rsidRPr="00734302" w:rsidRDefault="003A3240" w:rsidP="003A3240">
      <w:pPr>
        <w:jc w:val="both"/>
        <w:rPr>
          <w:rFonts w:ascii="Arial" w:hAnsi="Arial" w:cs="Arial"/>
        </w:rPr>
      </w:pPr>
    </w:p>
    <w:p w14:paraId="227249C8" w14:textId="77777777" w:rsidR="0022087D" w:rsidRPr="00734302" w:rsidRDefault="0022087D" w:rsidP="003A3240">
      <w:pPr>
        <w:jc w:val="both"/>
        <w:rPr>
          <w:rFonts w:ascii="Arial" w:hAnsi="Arial" w:cs="Arial"/>
        </w:rPr>
      </w:pPr>
    </w:p>
    <w:p w14:paraId="3184197B" w14:textId="77777777" w:rsidR="0022087D" w:rsidRPr="00734302" w:rsidRDefault="0022087D" w:rsidP="003A3240">
      <w:pPr>
        <w:jc w:val="both"/>
        <w:rPr>
          <w:rFonts w:ascii="Arial" w:hAnsi="Arial" w:cs="Arial"/>
        </w:rPr>
      </w:pPr>
    </w:p>
    <w:p w14:paraId="2885CD6A" w14:textId="77777777" w:rsidR="0022087D" w:rsidRPr="00734302" w:rsidRDefault="0022087D" w:rsidP="003A3240">
      <w:pPr>
        <w:jc w:val="both"/>
        <w:rPr>
          <w:rFonts w:ascii="Arial" w:hAnsi="Arial" w:cs="Arial"/>
        </w:rPr>
      </w:pPr>
    </w:p>
    <w:p w14:paraId="41447242" w14:textId="77777777" w:rsidR="0022087D" w:rsidRPr="00734302" w:rsidRDefault="0022087D" w:rsidP="003A3240">
      <w:pPr>
        <w:jc w:val="both"/>
        <w:rPr>
          <w:rFonts w:ascii="Arial" w:hAnsi="Arial" w:cs="Arial"/>
        </w:rPr>
      </w:pPr>
    </w:p>
    <w:p w14:paraId="28DCDDA8" w14:textId="77777777" w:rsidR="0022087D" w:rsidRPr="00734302" w:rsidRDefault="0022087D" w:rsidP="003A3240">
      <w:pPr>
        <w:jc w:val="both"/>
        <w:rPr>
          <w:rFonts w:ascii="Arial" w:hAnsi="Arial" w:cs="Arial"/>
        </w:rPr>
      </w:pPr>
    </w:p>
    <w:p w14:paraId="23FC351E" w14:textId="77777777" w:rsidR="0022087D" w:rsidRPr="00734302" w:rsidRDefault="0022087D" w:rsidP="003A3240">
      <w:pPr>
        <w:jc w:val="both"/>
        <w:rPr>
          <w:rFonts w:ascii="Arial" w:hAnsi="Arial" w:cs="Arial"/>
        </w:rPr>
      </w:pPr>
    </w:p>
    <w:p w14:paraId="7FCCDA70" w14:textId="77777777" w:rsidR="0022087D" w:rsidRPr="00734302" w:rsidRDefault="0022087D" w:rsidP="003A3240">
      <w:pPr>
        <w:jc w:val="both"/>
        <w:rPr>
          <w:rFonts w:ascii="Arial" w:hAnsi="Arial" w:cs="Arial"/>
        </w:rPr>
      </w:pPr>
    </w:p>
    <w:p w14:paraId="1888B076" w14:textId="77777777" w:rsidR="0022087D" w:rsidRPr="00734302" w:rsidRDefault="0022087D" w:rsidP="003A3240">
      <w:pPr>
        <w:jc w:val="both"/>
        <w:rPr>
          <w:rFonts w:ascii="Arial" w:hAnsi="Arial" w:cs="Arial"/>
        </w:rPr>
      </w:pPr>
    </w:p>
    <w:p w14:paraId="76C376B0" w14:textId="77777777" w:rsidR="0022087D" w:rsidRPr="00734302" w:rsidRDefault="0022087D" w:rsidP="003A3240">
      <w:pPr>
        <w:jc w:val="both"/>
        <w:rPr>
          <w:rFonts w:ascii="Arial" w:hAnsi="Arial" w:cs="Arial"/>
        </w:rPr>
      </w:pPr>
    </w:p>
    <w:p w14:paraId="65D4583D" w14:textId="77777777" w:rsidR="0022087D" w:rsidRPr="00734302" w:rsidRDefault="0022087D" w:rsidP="003A3240">
      <w:pPr>
        <w:jc w:val="both"/>
        <w:rPr>
          <w:rFonts w:ascii="Arial" w:hAnsi="Arial" w:cs="Arial"/>
        </w:rPr>
      </w:pPr>
    </w:p>
    <w:p w14:paraId="1BDB9136" w14:textId="77777777" w:rsidR="0022087D" w:rsidRPr="00734302" w:rsidRDefault="0022087D" w:rsidP="003A3240">
      <w:pPr>
        <w:jc w:val="both"/>
        <w:rPr>
          <w:rFonts w:ascii="Arial" w:hAnsi="Arial" w:cs="Arial"/>
        </w:rPr>
      </w:pPr>
    </w:p>
    <w:p w14:paraId="30CA5B8A" w14:textId="59F5C5A2" w:rsidR="0022087D" w:rsidRPr="00734302" w:rsidRDefault="0022087D" w:rsidP="003A3240">
      <w:pPr>
        <w:jc w:val="both"/>
        <w:rPr>
          <w:rFonts w:ascii="Arial" w:hAnsi="Arial" w:cs="Arial"/>
        </w:rPr>
      </w:pPr>
      <w:r w:rsidRPr="00734302">
        <w:rPr>
          <w:rFonts w:ascii="Arial" w:hAnsi="Arial" w:cs="Arial"/>
          <w:noProof/>
        </w:rPr>
        <w:lastRenderedPageBreak/>
        <w:drawing>
          <wp:inline distT="0" distB="0" distL="0" distR="0" wp14:anchorId="44ABBDD4" wp14:editId="56651646">
            <wp:extent cx="4859020" cy="4742815"/>
            <wp:effectExtent l="0" t="0" r="0" b="0"/>
            <wp:docPr id="1721773332" name="Picture 9" descr="A collage of imag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73332" name="Picture 9" descr="A collage of images of cell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020" cy="4742815"/>
                    </a:xfrm>
                    <a:prstGeom prst="rect">
                      <a:avLst/>
                    </a:prstGeom>
                    <a:noFill/>
                  </pic:spPr>
                </pic:pic>
              </a:graphicData>
            </a:graphic>
          </wp:inline>
        </w:drawing>
      </w:r>
    </w:p>
    <w:p w14:paraId="056CEED2" w14:textId="74DBAFAD" w:rsidR="0022087D" w:rsidRPr="00734302" w:rsidRDefault="0022087D" w:rsidP="003A3240">
      <w:pPr>
        <w:jc w:val="both"/>
        <w:rPr>
          <w:rFonts w:ascii="Arial" w:hAnsi="Arial" w:cs="Arial"/>
          <w:b/>
          <w:bCs/>
        </w:rPr>
      </w:pPr>
    </w:p>
    <w:p w14:paraId="68C9EE01" w14:textId="2458D274" w:rsidR="0022087D" w:rsidRPr="00734302" w:rsidRDefault="0022087D" w:rsidP="0022087D">
      <w:pPr>
        <w:jc w:val="both"/>
        <w:rPr>
          <w:rFonts w:ascii="Arial" w:hAnsi="Arial" w:cs="Arial"/>
          <w:b/>
          <w:bCs/>
        </w:rPr>
      </w:pPr>
      <w:r w:rsidRPr="00734302">
        <w:rPr>
          <w:rFonts w:ascii="Arial" w:hAnsi="Arial" w:cs="Arial"/>
          <w:b/>
          <w:bCs/>
        </w:rPr>
        <w:t>Supplement figure 7: Expression of NHE and SGLT2 in mesenteric artery layers​.</w:t>
      </w:r>
    </w:p>
    <w:p w14:paraId="477E9D44" w14:textId="25BC91B4" w:rsidR="0022087D" w:rsidRPr="00734302" w:rsidRDefault="0022087D" w:rsidP="0022087D">
      <w:pPr>
        <w:jc w:val="both"/>
        <w:rPr>
          <w:rFonts w:ascii="Arial" w:hAnsi="Arial" w:cs="Arial"/>
        </w:rPr>
      </w:pPr>
      <w:r w:rsidRPr="00734302">
        <w:rPr>
          <w:rFonts w:ascii="Arial" w:hAnsi="Arial" w:cs="Arial"/>
        </w:rPr>
        <w:t>Immunohistochemistry labelling of SGLT2 (magenta) with TRPV1 (Green) in panel A in the adventitia of whole mesenteric arteries. Labelling of SGLT2 (magenta) in panel B and NHE1 in panel C (magenta) in smooth muscle cell layer of mesenteric arteries. Nuclei were labelled in blue. Images are representative of 3 such experiments.​</w:t>
      </w:r>
    </w:p>
    <w:p w14:paraId="1BFE3C4D" w14:textId="57528DFD" w:rsidR="0022087D" w:rsidRPr="00734302" w:rsidRDefault="0022087D" w:rsidP="003A3240">
      <w:pPr>
        <w:jc w:val="both"/>
        <w:rPr>
          <w:rFonts w:ascii="Arial" w:hAnsi="Arial" w:cs="Arial"/>
        </w:rPr>
      </w:pPr>
    </w:p>
    <w:p w14:paraId="00168D98" w14:textId="77777777" w:rsidR="0022087D" w:rsidRPr="00734302" w:rsidRDefault="0022087D" w:rsidP="003A3240">
      <w:pPr>
        <w:jc w:val="both"/>
        <w:rPr>
          <w:rFonts w:ascii="Arial" w:hAnsi="Arial" w:cs="Arial"/>
        </w:rPr>
      </w:pPr>
    </w:p>
    <w:p w14:paraId="28198CA3" w14:textId="77777777" w:rsidR="0022087D" w:rsidRPr="00734302" w:rsidRDefault="0022087D" w:rsidP="003A3240">
      <w:pPr>
        <w:jc w:val="both"/>
        <w:rPr>
          <w:rFonts w:ascii="Arial" w:hAnsi="Arial" w:cs="Arial"/>
        </w:rPr>
      </w:pPr>
    </w:p>
    <w:p w14:paraId="4B91AD23" w14:textId="77777777" w:rsidR="0022087D" w:rsidRPr="00734302" w:rsidRDefault="0022087D" w:rsidP="003A3240">
      <w:pPr>
        <w:jc w:val="both"/>
        <w:rPr>
          <w:rFonts w:ascii="Arial" w:hAnsi="Arial" w:cs="Arial"/>
        </w:rPr>
      </w:pPr>
    </w:p>
    <w:p w14:paraId="17EE08C6" w14:textId="77777777" w:rsidR="0022087D" w:rsidRPr="00734302" w:rsidRDefault="0022087D" w:rsidP="003A3240">
      <w:pPr>
        <w:jc w:val="both"/>
        <w:rPr>
          <w:rFonts w:ascii="Arial" w:hAnsi="Arial" w:cs="Arial"/>
        </w:rPr>
      </w:pPr>
    </w:p>
    <w:p w14:paraId="4441519B" w14:textId="77777777" w:rsidR="0022087D" w:rsidRPr="00734302" w:rsidRDefault="0022087D" w:rsidP="003A3240">
      <w:pPr>
        <w:jc w:val="both"/>
        <w:rPr>
          <w:rFonts w:ascii="Arial" w:hAnsi="Arial" w:cs="Arial"/>
        </w:rPr>
      </w:pPr>
    </w:p>
    <w:p w14:paraId="0F867423" w14:textId="77777777" w:rsidR="0022087D" w:rsidRPr="00734302" w:rsidRDefault="0022087D" w:rsidP="003A3240">
      <w:pPr>
        <w:jc w:val="both"/>
        <w:rPr>
          <w:rFonts w:ascii="Arial" w:hAnsi="Arial" w:cs="Arial"/>
        </w:rPr>
      </w:pPr>
    </w:p>
    <w:p w14:paraId="38A90E8B" w14:textId="77777777" w:rsidR="0022087D" w:rsidRPr="00734302" w:rsidRDefault="0022087D" w:rsidP="003A3240">
      <w:pPr>
        <w:jc w:val="both"/>
        <w:rPr>
          <w:rFonts w:ascii="Arial" w:hAnsi="Arial" w:cs="Arial"/>
        </w:rPr>
      </w:pPr>
    </w:p>
    <w:p w14:paraId="32E8B82D" w14:textId="77777777" w:rsidR="0022087D" w:rsidRPr="00734302" w:rsidRDefault="0022087D" w:rsidP="003A3240">
      <w:pPr>
        <w:jc w:val="both"/>
        <w:rPr>
          <w:rFonts w:ascii="Arial" w:hAnsi="Arial" w:cs="Arial"/>
        </w:rPr>
      </w:pPr>
    </w:p>
    <w:p w14:paraId="6864495A" w14:textId="2347F5B4" w:rsidR="0022087D" w:rsidRPr="00734302" w:rsidRDefault="0022087D" w:rsidP="003A3240">
      <w:pPr>
        <w:jc w:val="both"/>
        <w:rPr>
          <w:rFonts w:ascii="Arial" w:hAnsi="Arial" w:cs="Arial"/>
        </w:rPr>
      </w:pPr>
      <w:r w:rsidRPr="00734302">
        <w:rPr>
          <w:rFonts w:ascii="Arial" w:hAnsi="Arial" w:cs="Arial"/>
          <w:noProof/>
        </w:rPr>
        <w:lastRenderedPageBreak/>
        <w:drawing>
          <wp:anchor distT="0" distB="0" distL="114300" distR="114300" simplePos="0" relativeHeight="251660288" behindDoc="0" locked="0" layoutInCell="1" allowOverlap="1" wp14:anchorId="45D0A43C" wp14:editId="76BCFE88">
            <wp:simplePos x="0" y="0"/>
            <wp:positionH relativeFrom="column">
              <wp:posOffset>387626</wp:posOffset>
            </wp:positionH>
            <wp:positionV relativeFrom="paragraph">
              <wp:posOffset>-248478</wp:posOffset>
            </wp:positionV>
            <wp:extent cx="4938395" cy="4742815"/>
            <wp:effectExtent l="0" t="0" r="0" b="0"/>
            <wp:wrapTopAndBottom/>
            <wp:docPr id="1223070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8395" cy="4742815"/>
                    </a:xfrm>
                    <a:prstGeom prst="rect">
                      <a:avLst/>
                    </a:prstGeom>
                    <a:noFill/>
                  </pic:spPr>
                </pic:pic>
              </a:graphicData>
            </a:graphic>
          </wp:anchor>
        </w:drawing>
      </w:r>
    </w:p>
    <w:p w14:paraId="56C509A9" w14:textId="77777777" w:rsidR="0022087D" w:rsidRPr="00734302" w:rsidRDefault="0022087D" w:rsidP="003A3240">
      <w:pPr>
        <w:jc w:val="both"/>
        <w:rPr>
          <w:rFonts w:ascii="Arial" w:hAnsi="Arial" w:cs="Arial"/>
        </w:rPr>
      </w:pPr>
    </w:p>
    <w:p w14:paraId="409E63E3" w14:textId="6D6502C4" w:rsidR="0022087D" w:rsidRPr="00734302" w:rsidRDefault="0022087D" w:rsidP="0022087D">
      <w:pPr>
        <w:jc w:val="both"/>
        <w:rPr>
          <w:rFonts w:ascii="Arial" w:hAnsi="Arial" w:cs="Arial"/>
          <w:b/>
          <w:bCs/>
        </w:rPr>
      </w:pPr>
      <w:r w:rsidRPr="00734302">
        <w:rPr>
          <w:rFonts w:ascii="Arial" w:hAnsi="Arial" w:cs="Arial"/>
          <w:b/>
          <w:bCs/>
        </w:rPr>
        <w:t>Supplement figure 8: Lack of expression of NHE and SGLT2 in renal artery adventitia.</w:t>
      </w:r>
    </w:p>
    <w:p w14:paraId="74681D88" w14:textId="5728089F" w:rsidR="0022087D" w:rsidRPr="00734302" w:rsidRDefault="0022087D" w:rsidP="0022087D">
      <w:pPr>
        <w:jc w:val="both"/>
        <w:rPr>
          <w:rFonts w:ascii="Arial" w:hAnsi="Arial" w:cs="Arial"/>
        </w:rPr>
      </w:pPr>
      <w:r w:rsidRPr="00734302">
        <w:rPr>
          <w:rFonts w:ascii="Arial" w:hAnsi="Arial" w:cs="Arial"/>
        </w:rPr>
        <w:t>Immunohistochemistry labelling of SGLT2 (magenta) with TRPV1 (Green) in panel A in the adventitia of whole renal arteries. Labelling of SGLT2 (magenta) in panel B and NHE1 in panel C (magenta) in the smooth muscle cell layer of renal arteries. Nuclei were labelled in blue. Images are representative of 3 such experiments.​</w:t>
      </w:r>
    </w:p>
    <w:p w14:paraId="4F9602A5" w14:textId="77777777" w:rsidR="0022087D" w:rsidRPr="00734302" w:rsidRDefault="0022087D" w:rsidP="003A3240">
      <w:pPr>
        <w:jc w:val="both"/>
        <w:rPr>
          <w:rFonts w:ascii="Arial" w:hAnsi="Arial" w:cs="Arial"/>
        </w:rPr>
      </w:pPr>
    </w:p>
    <w:p w14:paraId="5E107FE4" w14:textId="77777777" w:rsidR="0022087D" w:rsidRPr="00734302" w:rsidRDefault="0022087D" w:rsidP="003A3240">
      <w:pPr>
        <w:jc w:val="both"/>
        <w:rPr>
          <w:rFonts w:ascii="Arial" w:hAnsi="Arial" w:cs="Arial"/>
        </w:rPr>
      </w:pPr>
    </w:p>
    <w:p w14:paraId="41D9C227" w14:textId="77777777" w:rsidR="0022087D" w:rsidRPr="00734302" w:rsidRDefault="0022087D" w:rsidP="003A3240">
      <w:pPr>
        <w:jc w:val="both"/>
        <w:rPr>
          <w:rFonts w:ascii="Arial" w:hAnsi="Arial" w:cs="Arial"/>
        </w:rPr>
      </w:pPr>
    </w:p>
    <w:p w14:paraId="6CA823B5" w14:textId="77777777" w:rsidR="0022087D" w:rsidRPr="00734302" w:rsidRDefault="0022087D" w:rsidP="003A3240">
      <w:pPr>
        <w:jc w:val="both"/>
        <w:rPr>
          <w:rFonts w:ascii="Arial" w:hAnsi="Arial" w:cs="Arial"/>
        </w:rPr>
      </w:pPr>
    </w:p>
    <w:p w14:paraId="7AA1191D" w14:textId="77777777" w:rsidR="0022087D" w:rsidRPr="00734302" w:rsidRDefault="0022087D" w:rsidP="003A3240">
      <w:pPr>
        <w:jc w:val="both"/>
        <w:rPr>
          <w:rFonts w:ascii="Arial" w:hAnsi="Arial" w:cs="Arial"/>
        </w:rPr>
      </w:pPr>
    </w:p>
    <w:p w14:paraId="5F27C37B" w14:textId="77777777" w:rsidR="0022087D" w:rsidRPr="00734302" w:rsidRDefault="0022087D" w:rsidP="003A3240">
      <w:pPr>
        <w:jc w:val="both"/>
        <w:rPr>
          <w:rFonts w:ascii="Arial" w:hAnsi="Arial" w:cs="Arial"/>
        </w:rPr>
      </w:pPr>
    </w:p>
    <w:p w14:paraId="2C429C7A" w14:textId="77777777" w:rsidR="0022087D" w:rsidRPr="00734302" w:rsidRDefault="0022087D" w:rsidP="003A3240">
      <w:pPr>
        <w:jc w:val="both"/>
        <w:rPr>
          <w:rFonts w:ascii="Arial" w:hAnsi="Arial" w:cs="Arial"/>
        </w:rPr>
      </w:pPr>
    </w:p>
    <w:p w14:paraId="64403F93" w14:textId="77777777" w:rsidR="0022087D" w:rsidRPr="00734302" w:rsidRDefault="0022087D" w:rsidP="003A3240">
      <w:pPr>
        <w:jc w:val="both"/>
        <w:rPr>
          <w:rFonts w:ascii="Arial" w:hAnsi="Arial" w:cs="Arial"/>
        </w:rPr>
      </w:pPr>
    </w:p>
    <w:p w14:paraId="4E973C98" w14:textId="18C5CBB2" w:rsidR="0022087D" w:rsidRPr="00734302" w:rsidRDefault="00BC305E" w:rsidP="003A3240">
      <w:pPr>
        <w:jc w:val="both"/>
        <w:rPr>
          <w:rFonts w:ascii="Arial" w:hAnsi="Arial" w:cs="Arial"/>
        </w:rPr>
      </w:pPr>
      <w:r w:rsidRPr="00734302">
        <w:rPr>
          <w:rFonts w:ascii="Arial" w:hAnsi="Arial" w:cs="Arial"/>
          <w:noProof/>
        </w:rPr>
        <w:lastRenderedPageBreak/>
        <w:drawing>
          <wp:anchor distT="0" distB="0" distL="114300" distR="114300" simplePos="0" relativeHeight="251662336" behindDoc="1" locked="0" layoutInCell="1" allowOverlap="1" wp14:anchorId="12360D28" wp14:editId="74BFEA0F">
            <wp:simplePos x="0" y="0"/>
            <wp:positionH relativeFrom="margin">
              <wp:align>center</wp:align>
            </wp:positionH>
            <wp:positionV relativeFrom="paragraph">
              <wp:posOffset>0</wp:posOffset>
            </wp:positionV>
            <wp:extent cx="3733800" cy="5181811"/>
            <wp:effectExtent l="0" t="0" r="0" b="0"/>
            <wp:wrapTopAndBottom/>
            <wp:docPr id="9" name="Picture 8">
              <a:extLst xmlns:a="http://schemas.openxmlformats.org/drawingml/2006/main">
                <a:ext uri="{FF2B5EF4-FFF2-40B4-BE49-F238E27FC236}">
                  <a16:creationId xmlns:a16="http://schemas.microsoft.com/office/drawing/2014/main" id="{2D7AB8D8-7928-5535-8379-12E05F06E6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D7AB8D8-7928-5535-8379-12E05F06E628}"/>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33800" cy="5181811"/>
                    </a:xfrm>
                    <a:prstGeom prst="rect">
                      <a:avLst/>
                    </a:prstGeom>
                  </pic:spPr>
                </pic:pic>
              </a:graphicData>
            </a:graphic>
          </wp:anchor>
        </w:drawing>
      </w:r>
    </w:p>
    <w:p w14:paraId="61AB81B7" w14:textId="03C78855" w:rsidR="0022087D" w:rsidRPr="00734302" w:rsidRDefault="0022087D" w:rsidP="003A3240">
      <w:pPr>
        <w:jc w:val="both"/>
        <w:rPr>
          <w:rFonts w:ascii="Arial" w:hAnsi="Arial" w:cs="Arial"/>
        </w:rPr>
      </w:pPr>
    </w:p>
    <w:p w14:paraId="76CFAFA1" w14:textId="77777777" w:rsidR="0022087D" w:rsidRPr="00734302" w:rsidRDefault="0022087D" w:rsidP="0022087D">
      <w:pPr>
        <w:jc w:val="both"/>
        <w:rPr>
          <w:rFonts w:ascii="Arial" w:hAnsi="Arial" w:cs="Arial"/>
          <w:b/>
          <w:bCs/>
        </w:rPr>
      </w:pPr>
      <w:r w:rsidRPr="00734302">
        <w:rPr>
          <w:rFonts w:ascii="Arial" w:hAnsi="Arial" w:cs="Arial"/>
          <w:b/>
          <w:bCs/>
        </w:rPr>
        <w:t xml:space="preserve">Supplement figure 9: Mean amplitude of methoxamine evoked contractions in morpholino incubated vessels compared to fresh vessels.  </w:t>
      </w:r>
    </w:p>
    <w:p w14:paraId="000C7214" w14:textId="7355DAFA" w:rsidR="0022087D" w:rsidRPr="00734302" w:rsidRDefault="0022087D" w:rsidP="0022087D">
      <w:pPr>
        <w:jc w:val="both"/>
        <w:rPr>
          <w:rFonts w:ascii="Arial" w:hAnsi="Arial" w:cs="Arial"/>
        </w:rPr>
      </w:pPr>
      <w:r w:rsidRPr="00734302">
        <w:rPr>
          <w:rFonts w:ascii="Arial" w:hAnsi="Arial" w:cs="Arial"/>
        </w:rPr>
        <w:t>Contraction to 10µM methoxamine in scrambled control morpholinos (black</w:t>
      </w:r>
      <w:r w:rsidR="00E20B5C" w:rsidRPr="00734302">
        <w:rPr>
          <w:rFonts w:ascii="Arial" w:hAnsi="Arial" w:cs="Arial"/>
        </w:rPr>
        <w:t>, N=10</w:t>
      </w:r>
      <w:r w:rsidRPr="00734302">
        <w:rPr>
          <w:rFonts w:ascii="Arial" w:hAnsi="Arial" w:cs="Arial"/>
        </w:rPr>
        <w:t>) compared to targeted morpholino (Green</w:t>
      </w:r>
      <w:r w:rsidR="00E20B5C" w:rsidRPr="00734302">
        <w:rPr>
          <w:rFonts w:ascii="Arial" w:hAnsi="Arial" w:cs="Arial"/>
        </w:rPr>
        <w:t>, N=</w:t>
      </w:r>
      <w:r w:rsidR="00666AB9" w:rsidRPr="00734302">
        <w:rPr>
          <w:rFonts w:ascii="Arial" w:hAnsi="Arial" w:cs="Arial"/>
        </w:rPr>
        <w:t>10</w:t>
      </w:r>
      <w:r w:rsidRPr="00734302">
        <w:rPr>
          <w:rFonts w:ascii="Arial" w:hAnsi="Arial" w:cs="Arial"/>
        </w:rPr>
        <w:t>) and fresh arteries (grey</w:t>
      </w:r>
      <w:r w:rsidR="00666AB9" w:rsidRPr="00734302">
        <w:rPr>
          <w:rFonts w:ascii="Arial" w:hAnsi="Arial" w:cs="Arial"/>
        </w:rPr>
        <w:t>, N=13</w:t>
      </w:r>
      <w:r w:rsidRPr="00734302">
        <w:rPr>
          <w:rFonts w:ascii="Arial" w:hAnsi="Arial" w:cs="Arial"/>
        </w:rPr>
        <w:t>).</w:t>
      </w:r>
      <w:r w:rsidR="000167D4" w:rsidRPr="00734302">
        <w:rPr>
          <w:rFonts w:ascii="Arial" w:hAnsi="Arial" w:cs="Arial"/>
        </w:rPr>
        <w:t xml:space="preserve"> Data is shown as Mean ±SEM denoted by error bars, and a non-parametric Mann-Whitney t-test was used to generate significant values (**=P&lt;0.01</w:t>
      </w:r>
      <w:r w:rsidR="00E20B5C" w:rsidRPr="00734302">
        <w:rPr>
          <w:rFonts w:ascii="Arial" w:hAnsi="Arial" w:cs="Arial"/>
        </w:rPr>
        <w:t xml:space="preserve">), </w:t>
      </w:r>
      <w:r w:rsidR="000167D4" w:rsidRPr="00734302">
        <w:rPr>
          <w:rFonts w:ascii="Arial" w:hAnsi="Arial" w:cs="Arial"/>
        </w:rPr>
        <w:t>(N= number of animals used).</w:t>
      </w:r>
    </w:p>
    <w:p w14:paraId="0A4CECD1" w14:textId="2892A23A" w:rsidR="0022087D" w:rsidRPr="00734302" w:rsidRDefault="0022087D" w:rsidP="003A3240">
      <w:pPr>
        <w:jc w:val="both"/>
        <w:rPr>
          <w:rFonts w:ascii="Arial" w:hAnsi="Arial" w:cs="Arial"/>
        </w:rPr>
      </w:pPr>
    </w:p>
    <w:p w14:paraId="1F37F6A1" w14:textId="77777777" w:rsidR="0022087D" w:rsidRPr="00734302" w:rsidRDefault="0022087D" w:rsidP="003A3240">
      <w:pPr>
        <w:jc w:val="both"/>
        <w:rPr>
          <w:rFonts w:ascii="Arial" w:hAnsi="Arial" w:cs="Arial"/>
        </w:rPr>
      </w:pPr>
    </w:p>
    <w:p w14:paraId="50A2D22A" w14:textId="77777777" w:rsidR="0022087D" w:rsidRPr="00734302" w:rsidRDefault="0022087D" w:rsidP="003A3240">
      <w:pPr>
        <w:jc w:val="both"/>
        <w:rPr>
          <w:rFonts w:ascii="Arial" w:hAnsi="Arial" w:cs="Arial"/>
        </w:rPr>
      </w:pPr>
    </w:p>
    <w:p w14:paraId="7AEE090E" w14:textId="77777777" w:rsidR="0022087D" w:rsidRPr="00734302" w:rsidRDefault="0022087D" w:rsidP="003A3240">
      <w:pPr>
        <w:jc w:val="both"/>
        <w:rPr>
          <w:rFonts w:ascii="Arial" w:hAnsi="Arial" w:cs="Arial"/>
        </w:rPr>
      </w:pPr>
    </w:p>
    <w:sectPr w:rsidR="0022087D" w:rsidRPr="007343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FB78FC"/>
    <w:multiLevelType w:val="multilevel"/>
    <w:tmpl w:val="3B0EE70A"/>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7798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240"/>
    <w:rsid w:val="00001C48"/>
    <w:rsid w:val="000167D4"/>
    <w:rsid w:val="000C225D"/>
    <w:rsid w:val="000D0C5B"/>
    <w:rsid w:val="001B6842"/>
    <w:rsid w:val="0022087D"/>
    <w:rsid w:val="00333BFC"/>
    <w:rsid w:val="00345FC9"/>
    <w:rsid w:val="003562F1"/>
    <w:rsid w:val="003A3240"/>
    <w:rsid w:val="00456FC7"/>
    <w:rsid w:val="00613018"/>
    <w:rsid w:val="00631EE2"/>
    <w:rsid w:val="00666AB9"/>
    <w:rsid w:val="00676D07"/>
    <w:rsid w:val="00734302"/>
    <w:rsid w:val="008643BE"/>
    <w:rsid w:val="008B5323"/>
    <w:rsid w:val="009039B6"/>
    <w:rsid w:val="00905488"/>
    <w:rsid w:val="00AC34A9"/>
    <w:rsid w:val="00B3306C"/>
    <w:rsid w:val="00BA540A"/>
    <w:rsid w:val="00BB127C"/>
    <w:rsid w:val="00BC305E"/>
    <w:rsid w:val="00C00530"/>
    <w:rsid w:val="00C14843"/>
    <w:rsid w:val="00CF37DC"/>
    <w:rsid w:val="00D06F61"/>
    <w:rsid w:val="00E20B5C"/>
    <w:rsid w:val="00FC5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0AAC4"/>
  <w15:chartTrackingRefBased/>
  <w15:docId w15:val="{B2E38051-FAB1-4B90-88C0-575AE9978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32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A32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A32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A32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A32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32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32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32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32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2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A32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A32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32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32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32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32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32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3240"/>
    <w:rPr>
      <w:rFonts w:eastAsiaTheme="majorEastAsia" w:cstheme="majorBidi"/>
      <w:color w:val="272727" w:themeColor="text1" w:themeTint="D8"/>
    </w:rPr>
  </w:style>
  <w:style w:type="paragraph" w:styleId="Title">
    <w:name w:val="Title"/>
    <w:basedOn w:val="Normal"/>
    <w:next w:val="Normal"/>
    <w:link w:val="TitleChar"/>
    <w:uiPriority w:val="10"/>
    <w:qFormat/>
    <w:rsid w:val="003A32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2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32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32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3240"/>
    <w:pPr>
      <w:spacing w:before="160"/>
      <w:jc w:val="center"/>
    </w:pPr>
    <w:rPr>
      <w:i/>
      <w:iCs/>
      <w:color w:val="404040" w:themeColor="text1" w:themeTint="BF"/>
    </w:rPr>
  </w:style>
  <w:style w:type="character" w:customStyle="1" w:styleId="QuoteChar">
    <w:name w:val="Quote Char"/>
    <w:basedOn w:val="DefaultParagraphFont"/>
    <w:link w:val="Quote"/>
    <w:uiPriority w:val="29"/>
    <w:rsid w:val="003A3240"/>
    <w:rPr>
      <w:i/>
      <w:iCs/>
      <w:color w:val="404040" w:themeColor="text1" w:themeTint="BF"/>
    </w:rPr>
  </w:style>
  <w:style w:type="paragraph" w:styleId="ListParagraph">
    <w:name w:val="List Paragraph"/>
    <w:basedOn w:val="Normal"/>
    <w:uiPriority w:val="34"/>
    <w:qFormat/>
    <w:rsid w:val="003A3240"/>
    <w:pPr>
      <w:ind w:left="720"/>
      <w:contextualSpacing/>
    </w:pPr>
  </w:style>
  <w:style w:type="character" w:styleId="IntenseEmphasis">
    <w:name w:val="Intense Emphasis"/>
    <w:basedOn w:val="DefaultParagraphFont"/>
    <w:uiPriority w:val="21"/>
    <w:qFormat/>
    <w:rsid w:val="003A3240"/>
    <w:rPr>
      <w:i/>
      <w:iCs/>
      <w:color w:val="0F4761" w:themeColor="accent1" w:themeShade="BF"/>
    </w:rPr>
  </w:style>
  <w:style w:type="paragraph" w:styleId="IntenseQuote">
    <w:name w:val="Intense Quote"/>
    <w:basedOn w:val="Normal"/>
    <w:next w:val="Normal"/>
    <w:link w:val="IntenseQuoteChar"/>
    <w:uiPriority w:val="30"/>
    <w:qFormat/>
    <w:rsid w:val="003A32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3240"/>
    <w:rPr>
      <w:i/>
      <w:iCs/>
      <w:color w:val="0F4761" w:themeColor="accent1" w:themeShade="BF"/>
    </w:rPr>
  </w:style>
  <w:style w:type="character" w:styleId="IntenseReference">
    <w:name w:val="Intense Reference"/>
    <w:basedOn w:val="DefaultParagraphFont"/>
    <w:uiPriority w:val="32"/>
    <w:qFormat/>
    <w:rsid w:val="003A324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80727">
      <w:bodyDiv w:val="1"/>
      <w:marLeft w:val="0"/>
      <w:marRight w:val="0"/>
      <w:marTop w:val="0"/>
      <w:marBottom w:val="0"/>
      <w:divBdr>
        <w:top w:val="none" w:sz="0" w:space="0" w:color="auto"/>
        <w:left w:val="none" w:sz="0" w:space="0" w:color="auto"/>
        <w:bottom w:val="none" w:sz="0" w:space="0" w:color="auto"/>
        <w:right w:val="none" w:sz="0" w:space="0" w:color="auto"/>
      </w:divBdr>
    </w:div>
    <w:div w:id="876312738">
      <w:bodyDiv w:val="1"/>
      <w:marLeft w:val="0"/>
      <w:marRight w:val="0"/>
      <w:marTop w:val="0"/>
      <w:marBottom w:val="0"/>
      <w:divBdr>
        <w:top w:val="none" w:sz="0" w:space="0" w:color="auto"/>
        <w:left w:val="none" w:sz="0" w:space="0" w:color="auto"/>
        <w:bottom w:val="none" w:sz="0" w:space="0" w:color="auto"/>
        <w:right w:val="none" w:sz="0" w:space="0" w:color="auto"/>
      </w:divBdr>
    </w:div>
    <w:div w:id="119172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2667</Words>
  <Characters>15422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Forrester</dc:creator>
  <cp:keywords/>
  <dc:description/>
  <cp:lastModifiedBy>Iain Greenwood</cp:lastModifiedBy>
  <cp:revision>6</cp:revision>
  <dcterms:created xsi:type="dcterms:W3CDTF">2024-05-30T14:02:00Z</dcterms:created>
  <dcterms:modified xsi:type="dcterms:W3CDTF">2024-06-05T07:57:00Z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f9435267-51d0-415b-85a5-1e9c91cb9eb6</vt:lpwstr>
  </property>
</Properties>
</file>