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F24" w14:textId="53DF6D28" w:rsidR="005E5667" w:rsidRDefault="005E5667" w:rsidP="005E5667">
      <w:pPr>
        <w:rPr>
          <w:b/>
          <w:bCs/>
        </w:rPr>
      </w:pPr>
      <w:r w:rsidRPr="00D275DB">
        <w:rPr>
          <w:b/>
          <w:bCs/>
        </w:rPr>
        <w:t xml:space="preserve">Table </w:t>
      </w:r>
      <w:r>
        <w:rPr>
          <w:b/>
          <w:bCs/>
        </w:rPr>
        <w:t>S1</w:t>
      </w:r>
      <w:r w:rsidRPr="00D275DB">
        <w:rPr>
          <w:b/>
          <w:bCs/>
        </w:rPr>
        <w:t xml:space="preserve">. </w:t>
      </w:r>
      <w:r w:rsidRPr="00167B37">
        <w:t xml:space="preserve">List of </w:t>
      </w:r>
      <w:r w:rsidRPr="00D275DB">
        <w:t>all the quality indicators included in the modified Delphi voting</w:t>
      </w:r>
      <w:r w:rsidRPr="00D275DB">
        <w:rPr>
          <w:b/>
          <w:bCs/>
        </w:rPr>
        <w:t xml:space="preserve"> </w:t>
      </w:r>
    </w:p>
    <w:tbl>
      <w:tblPr>
        <w:tblW w:w="89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5"/>
        <w:gridCol w:w="29"/>
        <w:gridCol w:w="22"/>
        <w:gridCol w:w="1277"/>
        <w:gridCol w:w="124"/>
        <w:gridCol w:w="2844"/>
        <w:gridCol w:w="34"/>
        <w:gridCol w:w="3013"/>
      </w:tblGrid>
      <w:tr w:rsidR="00F77248" w:rsidRPr="00FE44A4" w14:paraId="536B2841" w14:textId="77777777" w:rsidTr="00D12EBF">
        <w:trPr>
          <w:trHeight w:val="32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0000"/>
          </w:tcPr>
          <w:p w14:paraId="3CCB0427" w14:textId="77777777" w:rsidR="00F77248" w:rsidRPr="00612F89" w:rsidRDefault="00F77248" w:rsidP="00D12EBF">
            <w:pPr>
              <w:adjustRightInd w:val="0"/>
              <w:snapToGrid w:val="0"/>
              <w:jc w:val="both"/>
              <w:rPr>
                <w:b/>
                <w:bCs/>
                <w:color w:val="FFFFFF" w:themeColor="background1"/>
              </w:rPr>
            </w:pPr>
            <w:r w:rsidRPr="00612F89">
              <w:rPr>
                <w:b/>
                <w:bCs/>
                <w:color w:val="FFFFFF" w:themeColor="background1"/>
              </w:rPr>
              <w:t>Domain1: Structural QIs</w:t>
            </w:r>
          </w:p>
        </w:tc>
      </w:tr>
      <w:tr w:rsidR="00F77248" w:rsidRPr="00FE44A4" w14:paraId="41C3472A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50F42885" w14:textId="77777777" w:rsidR="00F77248" w:rsidRPr="00852DE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2"/>
                <w:szCs w:val="22"/>
              </w:rPr>
            </w:pPr>
            <w:r w:rsidRPr="00852DE4">
              <w:rPr>
                <w:b/>
                <w:bCs/>
                <w:sz w:val="22"/>
                <w:szCs w:val="22"/>
              </w:rPr>
              <w:t xml:space="preserve">Main (1): Centre should have a dedicated </w:t>
            </w:r>
            <w:r w:rsidRPr="00852DE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multidisciplinary team to manage patients with HF</w:t>
            </w:r>
          </w:p>
        </w:tc>
      </w:tr>
      <w:tr w:rsidR="00F77248" w:rsidRPr="00FE44A4" w14:paraId="4F919727" w14:textId="77777777" w:rsidTr="00D12EBF">
        <w:trPr>
          <w:trHeight w:val="386"/>
        </w:trPr>
        <w:tc>
          <w:tcPr>
            <w:tcW w:w="30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8DEFB8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ED175B">
              <w:t xml:space="preserve"> </w:t>
            </w:r>
            <w:r w:rsidRPr="005E5667">
              <w:rPr>
                <w:bCs/>
                <w:sz w:val="20"/>
                <w:szCs w:val="20"/>
              </w:rPr>
              <w:t>Keep: 100 %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F326167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Remove</w:t>
            </w:r>
          </w:p>
          <w:p w14:paraId="1ACF7420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6C2F3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57F9E148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1F6099D2" w14:textId="77777777" w:rsidR="00F77248" w:rsidRPr="00852DE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2"/>
                <w:szCs w:val="22"/>
              </w:rPr>
            </w:pPr>
            <w:r w:rsidRPr="00852DE4">
              <w:rPr>
                <w:b/>
                <w:bCs/>
                <w:sz w:val="22"/>
                <w:szCs w:val="22"/>
              </w:rPr>
              <w:t>Main (2): Centres should have dedicated trained healthcare professional to deliver HF specific education to facilitate patient self-care</w:t>
            </w:r>
          </w:p>
        </w:tc>
      </w:tr>
      <w:tr w:rsidR="00F77248" w:rsidRPr="00FE44A4" w14:paraId="2ED7DE6C" w14:textId="77777777" w:rsidTr="00D12EBF">
        <w:trPr>
          <w:trHeight w:val="386"/>
        </w:trPr>
        <w:tc>
          <w:tcPr>
            <w:tcW w:w="30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84478C0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88.8 %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5D91F4F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  <w:r>
              <w:rPr>
                <w:sz w:val="20"/>
                <w:szCs w:val="20"/>
              </w:rPr>
              <w:t>: 12.2%</w:t>
            </w:r>
          </w:p>
          <w:p w14:paraId="5593176E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F6A8DD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  <w:p w14:paraId="3FB8C7DA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77248" w:rsidRPr="00FE44A4" w14:paraId="0A63F3F3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0000"/>
          </w:tcPr>
          <w:p w14:paraId="2A7CA21D" w14:textId="77777777" w:rsidR="00F77248" w:rsidRPr="00612F89" w:rsidRDefault="00F77248" w:rsidP="00D12EBF">
            <w:pPr>
              <w:adjustRightInd w:val="0"/>
              <w:snapToGrid w:val="0"/>
              <w:jc w:val="both"/>
              <w:rPr>
                <w:b/>
                <w:bCs/>
                <w:color w:val="FFFFFF" w:themeColor="background1"/>
              </w:rPr>
            </w:pPr>
            <w:r w:rsidRPr="00612F89">
              <w:rPr>
                <w:b/>
                <w:bCs/>
                <w:color w:val="FFFFFF" w:themeColor="background1"/>
              </w:rPr>
              <w:t>Domain 2</w:t>
            </w:r>
            <w:r w:rsidRPr="00612F89">
              <w:rPr>
                <w:b/>
                <w:bCs/>
              </w:rPr>
              <w:t xml:space="preserve">: Patient assessment </w:t>
            </w:r>
          </w:p>
        </w:tc>
      </w:tr>
      <w:tr w:rsidR="00F77248" w:rsidRPr="00FE44A4" w14:paraId="097A4BE5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37927AB5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/>
                <w:sz w:val="23"/>
                <w:szCs w:val="23"/>
              </w:rPr>
            </w:pPr>
            <w:r w:rsidRPr="00612F89">
              <w:rPr>
                <w:b/>
                <w:bCs/>
                <w:sz w:val="22"/>
                <w:szCs w:val="22"/>
              </w:rPr>
              <w:t>Main (1): Proportion of patients with HF who have a documentation of their HF clinical type (</w:t>
            </w:r>
            <w:proofErr w:type="spellStart"/>
            <w:r w:rsidRPr="00612F89">
              <w:rPr>
                <w:b/>
                <w:bCs/>
                <w:sz w:val="22"/>
                <w:szCs w:val="22"/>
              </w:rPr>
              <w:t>HFrEF</w:t>
            </w:r>
            <w:proofErr w:type="spellEnd"/>
            <w:r w:rsidRPr="00612F8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12F89">
              <w:rPr>
                <w:b/>
                <w:bCs/>
                <w:sz w:val="22"/>
                <w:szCs w:val="22"/>
              </w:rPr>
              <w:t>HFmrEF</w:t>
            </w:r>
            <w:proofErr w:type="spellEnd"/>
            <w:r w:rsidRPr="00612F8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12F89">
              <w:rPr>
                <w:b/>
                <w:bCs/>
                <w:sz w:val="22"/>
                <w:szCs w:val="22"/>
              </w:rPr>
              <w:t>HFpEF</w:t>
            </w:r>
            <w:proofErr w:type="spellEnd"/>
            <w:r w:rsidRPr="00612F8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77248" w:rsidRPr="00FE44A4" w14:paraId="487AEAB5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3BE5760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94.4 %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82AC6C8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  <w:r>
              <w:rPr>
                <w:sz w:val="20"/>
                <w:szCs w:val="20"/>
              </w:rPr>
              <w:t>: 5.6%</w:t>
            </w:r>
          </w:p>
          <w:p w14:paraId="0C18B662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198B45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  <w:p w14:paraId="0E009C5A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77248" w:rsidRPr="00FE44A4" w14:paraId="25082636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2E8AFC92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8F5108">
              <w:rPr>
                <w:b/>
                <w:bCs/>
                <w:sz w:val="22"/>
                <w:szCs w:val="22"/>
              </w:rPr>
              <w:t>Main (2): Proportion of patients with HF who have a documentation of their ECG findings</w:t>
            </w:r>
          </w:p>
        </w:tc>
      </w:tr>
      <w:tr w:rsidR="00F77248" w:rsidRPr="00FE44A4" w14:paraId="4B4BE682" w14:textId="77777777" w:rsidTr="00D12EBF">
        <w:trPr>
          <w:trHeight w:val="386"/>
        </w:trPr>
        <w:tc>
          <w:tcPr>
            <w:tcW w:w="30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4AEAFCC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1D6D64">
              <w:rPr>
                <w:b/>
                <w:bCs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100%</w:t>
            </w:r>
          </w:p>
        </w:tc>
        <w:tc>
          <w:tcPr>
            <w:tcW w:w="28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9AF834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030CD96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02C680E1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39D6DC19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8F5108">
              <w:rPr>
                <w:b/>
                <w:bCs/>
                <w:sz w:val="22"/>
                <w:szCs w:val="22"/>
              </w:rPr>
              <w:t>Main (3): Proportion of patients with HF who have their NPs measured</w:t>
            </w:r>
          </w:p>
        </w:tc>
      </w:tr>
      <w:tr w:rsidR="00F77248" w:rsidRPr="00FE44A4" w14:paraId="14E6D1BE" w14:textId="77777777" w:rsidTr="00D12EBF">
        <w:trPr>
          <w:trHeight w:val="386"/>
        </w:trPr>
        <w:tc>
          <w:tcPr>
            <w:tcW w:w="30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44AEA65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1D6D64">
              <w:rPr>
                <w:b/>
                <w:bCs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94.4%</w:t>
            </w:r>
          </w:p>
        </w:tc>
        <w:tc>
          <w:tcPr>
            <w:tcW w:w="28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90ED014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  <w:r>
              <w:rPr>
                <w:sz w:val="20"/>
                <w:szCs w:val="20"/>
              </w:rPr>
              <w:t>: 5.6%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516043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59F56933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760932F9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8F5108">
              <w:rPr>
                <w:b/>
                <w:bCs/>
                <w:sz w:val="22"/>
                <w:szCs w:val="22"/>
              </w:rPr>
              <w:t>Main (4): Proportion of patients with HF who have their blood tests checked</w:t>
            </w:r>
          </w:p>
        </w:tc>
      </w:tr>
      <w:tr w:rsidR="00F77248" w:rsidRPr="00FE44A4" w14:paraId="55EC0D19" w14:textId="77777777" w:rsidTr="00D12EBF">
        <w:trPr>
          <w:trHeight w:val="386"/>
        </w:trPr>
        <w:tc>
          <w:tcPr>
            <w:tcW w:w="30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D1B55A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1D6D64">
              <w:rPr>
                <w:b/>
                <w:bCs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100%</w:t>
            </w:r>
          </w:p>
        </w:tc>
        <w:tc>
          <w:tcPr>
            <w:tcW w:w="28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626FFC9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2F7D70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592BF493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5BBF68FF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8F5108">
              <w:rPr>
                <w:b/>
                <w:bCs/>
                <w:sz w:val="22"/>
                <w:szCs w:val="22"/>
              </w:rPr>
              <w:t>Main (5): Proportion of patients hospitalised with HF who have been referred for a cardiac rehabilitation program</w:t>
            </w:r>
            <w:r w:rsidRPr="00B2698B">
              <w:rPr>
                <w:b/>
                <w:bCs/>
              </w:rPr>
              <w:t xml:space="preserve">  </w:t>
            </w:r>
          </w:p>
        </w:tc>
      </w:tr>
      <w:tr w:rsidR="00F77248" w:rsidRPr="00FE44A4" w14:paraId="03149BAD" w14:textId="77777777" w:rsidTr="00D12EBF">
        <w:trPr>
          <w:trHeight w:val="386"/>
        </w:trPr>
        <w:tc>
          <w:tcPr>
            <w:tcW w:w="30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528180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94.4%</w:t>
            </w:r>
          </w:p>
        </w:tc>
        <w:tc>
          <w:tcPr>
            <w:tcW w:w="28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63EB3AA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  <w:r>
              <w:rPr>
                <w:sz w:val="20"/>
                <w:szCs w:val="20"/>
              </w:rPr>
              <w:t>: 5.6%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7F4205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7BC5C614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48A4F7DD" w14:textId="77777777" w:rsidR="00F77248" w:rsidRPr="001D6D64" w:rsidRDefault="00F77248" w:rsidP="00D12EBF">
            <w:pPr>
              <w:adjustRightInd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5E5667">
              <w:rPr>
                <w:b/>
                <w:bCs/>
                <w:i/>
                <w:iCs/>
                <w:sz w:val="22"/>
                <w:szCs w:val="22"/>
                <w:u w:val="single"/>
              </w:rPr>
              <w:t>(New) (6):</w:t>
            </w:r>
            <w:r w:rsidRPr="001D6D64">
              <w:rPr>
                <w:b/>
                <w:bCs/>
                <w:sz w:val="22"/>
                <w:szCs w:val="22"/>
              </w:rPr>
              <w:t xml:space="preserve"> Proportion of patients hospitalized with HF who have a follow up visit by a healthcare professional within 6 weeks from their hospital discharge</w:t>
            </w:r>
          </w:p>
        </w:tc>
      </w:tr>
      <w:tr w:rsidR="00F77248" w:rsidRPr="00FE44A4" w14:paraId="593CBAC6" w14:textId="77777777" w:rsidTr="00D12EBF">
        <w:trPr>
          <w:trHeight w:val="386"/>
        </w:trPr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4CFA94" w14:textId="77777777" w:rsidR="00F77248" w:rsidRPr="001622B7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1622B7">
              <w:rPr>
                <w:sz w:val="20"/>
                <w:szCs w:val="20"/>
              </w:rPr>
              <w:t>The QI is valid</w:t>
            </w:r>
          </w:p>
        </w:tc>
        <w:tc>
          <w:tcPr>
            <w:tcW w:w="731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35EFC9" w14:textId="77777777" w:rsidR="00F77248" w:rsidRPr="001622B7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(1.4)</w:t>
            </w:r>
          </w:p>
        </w:tc>
      </w:tr>
      <w:tr w:rsidR="00F77248" w:rsidRPr="00FE44A4" w14:paraId="79FDA8AA" w14:textId="77777777" w:rsidTr="00D12EBF">
        <w:trPr>
          <w:trHeight w:val="386"/>
        </w:trPr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9D62615" w14:textId="77777777" w:rsidR="00F77248" w:rsidRPr="001622B7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1622B7">
              <w:rPr>
                <w:sz w:val="20"/>
                <w:szCs w:val="20"/>
              </w:rPr>
              <w:t>The QI is feasible</w:t>
            </w:r>
          </w:p>
        </w:tc>
        <w:tc>
          <w:tcPr>
            <w:tcW w:w="731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77FB989" w14:textId="77777777" w:rsidR="00F77248" w:rsidRPr="001622B7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(1.4)</w:t>
            </w:r>
          </w:p>
        </w:tc>
      </w:tr>
      <w:tr w:rsidR="00F77248" w:rsidRPr="00FE44A4" w14:paraId="10CEA916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4C6E7" w:themeFill="accent1" w:themeFillTint="66"/>
          </w:tcPr>
          <w:p w14:paraId="133C712E" w14:textId="77777777" w:rsidR="00F77248" w:rsidRPr="005E5667" w:rsidRDefault="00F77248" w:rsidP="00D12EBF">
            <w:pPr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5E5667">
              <w:rPr>
                <w:b/>
                <w:bCs/>
                <w:i/>
                <w:iCs/>
                <w:sz w:val="22"/>
                <w:szCs w:val="22"/>
                <w:u w:val="single"/>
              </w:rPr>
              <w:t>(New) (7):</w:t>
            </w:r>
            <w:r w:rsidRPr="005E5667">
              <w:rPr>
                <w:b/>
                <w:bCs/>
                <w:sz w:val="22"/>
                <w:szCs w:val="22"/>
                <w:shd w:val="clear" w:color="auto" w:fill="D0CECE" w:themeFill="background2" w:themeFillShade="E6"/>
              </w:rPr>
              <w:t xml:space="preserve"> </w:t>
            </w:r>
            <w:r w:rsidRPr="005E5667">
              <w:rPr>
                <w:b/>
                <w:bCs/>
                <w:sz w:val="22"/>
                <w:szCs w:val="22"/>
                <w:shd w:val="clear" w:color="auto" w:fill="B4C6E7" w:themeFill="accent1" w:themeFillTint="66"/>
              </w:rPr>
              <w:t>Proportion of patients hospitalized with HF who at 6-week review have achieved initiation and rapid up-titration of evidence-based treatments.</w:t>
            </w:r>
          </w:p>
        </w:tc>
      </w:tr>
      <w:tr w:rsidR="00F77248" w:rsidRPr="00FE44A4" w14:paraId="2D544015" w14:textId="77777777" w:rsidTr="00D12EBF">
        <w:trPr>
          <w:trHeight w:val="386"/>
        </w:trPr>
        <w:tc>
          <w:tcPr>
            <w:tcW w:w="16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3396D62" w14:textId="77777777" w:rsidR="00F77248" w:rsidRPr="00E3542A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1622B7">
              <w:rPr>
                <w:sz w:val="20"/>
                <w:szCs w:val="20"/>
              </w:rPr>
              <w:t>The QI is valid</w:t>
            </w:r>
          </w:p>
        </w:tc>
        <w:tc>
          <w:tcPr>
            <w:tcW w:w="7343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2631E1" w14:textId="77777777" w:rsidR="00F77248" w:rsidRPr="00E3542A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(1)</w:t>
            </w:r>
          </w:p>
        </w:tc>
      </w:tr>
      <w:tr w:rsidR="00F77248" w:rsidRPr="00FE44A4" w14:paraId="070CAA59" w14:textId="77777777" w:rsidTr="00D12EBF">
        <w:trPr>
          <w:trHeight w:val="386"/>
        </w:trPr>
        <w:tc>
          <w:tcPr>
            <w:tcW w:w="16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42B3A13" w14:textId="77777777" w:rsidR="00F77248" w:rsidRPr="00E3542A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1622B7">
              <w:rPr>
                <w:sz w:val="20"/>
                <w:szCs w:val="20"/>
              </w:rPr>
              <w:t>The QI is feasible</w:t>
            </w:r>
          </w:p>
        </w:tc>
        <w:tc>
          <w:tcPr>
            <w:tcW w:w="7343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95FB993" w14:textId="77777777" w:rsidR="00F77248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(2.1)</w:t>
            </w:r>
          </w:p>
          <w:p w14:paraId="485F31F7" w14:textId="77777777" w:rsidR="00F77248" w:rsidRPr="00E3542A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77248" w:rsidRPr="00FE44A4" w14:paraId="0ACF05D7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0000"/>
          </w:tcPr>
          <w:p w14:paraId="0BEFD51A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275DB">
              <w:rPr>
                <w:b/>
                <w:bCs/>
                <w:color w:val="FFFFFF" w:themeColor="background1"/>
              </w:rPr>
              <w:t xml:space="preserve">Domain 3. Initial treatment  </w:t>
            </w:r>
          </w:p>
        </w:tc>
      </w:tr>
      <w:tr w:rsidR="00F77248" w:rsidRPr="00FE44A4" w14:paraId="31A9C7CA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431FAFD8" w14:textId="77777777" w:rsidR="00F77248" w:rsidRPr="00B2153B" w:rsidRDefault="00F77248" w:rsidP="00D12EBF">
            <w:pPr>
              <w:adjustRightInd w:val="0"/>
              <w:snapToGrid w:val="0"/>
              <w:jc w:val="both"/>
              <w:rPr>
                <w:rFonts w:ascii="Helvetica Neue" w:eastAsiaTheme="minorHAnsi" w:hAnsi="Helvetica Neue"/>
                <w:sz w:val="14"/>
                <w:szCs w:val="14"/>
                <w:lang w:eastAsia="en-US"/>
              </w:rPr>
            </w:pPr>
            <w:r w:rsidRPr="00B2153B">
              <w:rPr>
                <w:b/>
                <w:bCs/>
                <w:sz w:val="22"/>
                <w:szCs w:val="22"/>
              </w:rPr>
              <w:t>Main</w:t>
            </w:r>
            <w:r>
              <w:rPr>
                <w:b/>
                <w:bCs/>
                <w:sz w:val="22"/>
                <w:szCs w:val="22"/>
              </w:rPr>
              <w:t xml:space="preserve"> (1):</w:t>
            </w:r>
            <w:r w:rsidRPr="00B2153B">
              <w:rPr>
                <w:b/>
                <w:bCs/>
                <w:sz w:val="22"/>
                <w:szCs w:val="22"/>
              </w:rPr>
              <w:t xml:space="preserve"> Proportion of patients with </w:t>
            </w:r>
            <w:proofErr w:type="spellStart"/>
            <w:r w:rsidRPr="00B2153B">
              <w:rPr>
                <w:b/>
                <w:bCs/>
                <w:sz w:val="22"/>
                <w:szCs w:val="22"/>
              </w:rPr>
              <w:t>HFrEF</w:t>
            </w:r>
            <w:proofErr w:type="spellEnd"/>
            <w:r w:rsidRPr="00B2153B">
              <w:rPr>
                <w:b/>
                <w:bCs/>
                <w:sz w:val="22"/>
                <w:szCs w:val="22"/>
              </w:rPr>
              <w:t xml:space="preserve"> who are prescribed bisoprolol, carvedilol, sustained-release metoprolol succinate, or nebivolol in the absence of any contraindications</w:t>
            </w:r>
          </w:p>
        </w:tc>
      </w:tr>
      <w:tr w:rsidR="00F77248" w:rsidRPr="00FE44A4" w14:paraId="7CC6E889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9624D73" w14:textId="77777777" w:rsidR="00F77248" w:rsidRPr="005E5667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bCs/>
                <w:sz w:val="22"/>
                <w:szCs w:val="22"/>
              </w:rPr>
            </w:pPr>
            <w:r w:rsidRPr="005E5667">
              <w:rPr>
                <w:bCs/>
                <w:sz w:val="22"/>
                <w:szCs w:val="22"/>
              </w:rPr>
              <w:lastRenderedPageBreak/>
              <w:t xml:space="preserve"> Keep: 100 %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42100B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Remove</w:t>
            </w:r>
          </w:p>
          <w:p w14:paraId="206E329E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E9888DA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593A7CA6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75D3CBB3" w14:textId="77777777" w:rsidR="00F77248" w:rsidRPr="001D6D64" w:rsidRDefault="00F77248" w:rsidP="00D12EBF">
            <w:pPr>
              <w:tabs>
                <w:tab w:val="left" w:pos="1798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sz w:val="22"/>
                <w:szCs w:val="22"/>
              </w:rPr>
            </w:pPr>
            <w:r w:rsidRPr="001D6D64">
              <w:rPr>
                <w:b/>
                <w:bCs/>
                <w:sz w:val="22"/>
                <w:szCs w:val="22"/>
              </w:rPr>
              <w:t xml:space="preserve">Main (2): Proportion of patients with </w:t>
            </w:r>
            <w:proofErr w:type="spellStart"/>
            <w:r w:rsidRPr="001D6D64">
              <w:rPr>
                <w:b/>
                <w:bCs/>
                <w:sz w:val="22"/>
                <w:szCs w:val="22"/>
              </w:rPr>
              <w:t>HFrEF</w:t>
            </w:r>
            <w:proofErr w:type="spellEnd"/>
            <w:r w:rsidRPr="001D6D64">
              <w:rPr>
                <w:b/>
                <w:bCs/>
                <w:sz w:val="22"/>
                <w:szCs w:val="22"/>
              </w:rPr>
              <w:t xml:space="preserve"> who are prescribed ACE inhibitor, ARB or ARNI in the absence of any contraindications</w:t>
            </w:r>
          </w:p>
        </w:tc>
      </w:tr>
      <w:tr w:rsidR="00F77248" w:rsidRPr="00FE44A4" w14:paraId="6EA83BF0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3CCD86D" w14:textId="77777777" w:rsidR="00F77248" w:rsidRPr="005E5667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bCs/>
                <w:sz w:val="22"/>
                <w:szCs w:val="22"/>
              </w:rPr>
            </w:pPr>
            <w:r w:rsidRPr="00852DE4">
              <w:rPr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2"/>
                <w:szCs w:val="22"/>
              </w:rPr>
              <w:t>Keep: 100%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97AB8F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Remove</w:t>
            </w:r>
          </w:p>
          <w:p w14:paraId="599D5E3F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53573CD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58D097B2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4710566E" w14:textId="77777777" w:rsidR="00F77248" w:rsidRPr="001D6D64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sz w:val="22"/>
                <w:szCs w:val="22"/>
              </w:rPr>
            </w:pPr>
            <w:r w:rsidRPr="001D6D64">
              <w:rPr>
                <w:b/>
                <w:bCs/>
                <w:sz w:val="22"/>
                <w:szCs w:val="22"/>
              </w:rPr>
              <w:t xml:space="preserve">Main (3): Proportion of patients with </w:t>
            </w:r>
            <w:proofErr w:type="spellStart"/>
            <w:r w:rsidRPr="001D6D64">
              <w:rPr>
                <w:b/>
                <w:bCs/>
                <w:sz w:val="22"/>
                <w:szCs w:val="22"/>
              </w:rPr>
              <w:t>HFrEF</w:t>
            </w:r>
            <w:proofErr w:type="spellEnd"/>
            <w:r w:rsidRPr="001D6D64">
              <w:rPr>
                <w:b/>
                <w:bCs/>
                <w:sz w:val="22"/>
                <w:szCs w:val="22"/>
              </w:rPr>
              <w:t xml:space="preserve"> who are prescribed an MRA in the absence of any contraindications</w:t>
            </w:r>
          </w:p>
        </w:tc>
      </w:tr>
      <w:tr w:rsidR="00F77248" w:rsidRPr="00FE44A4" w14:paraId="7A1AECEC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586A6B" w14:textId="77777777" w:rsidR="00F77248" w:rsidRPr="005E5667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bCs/>
                <w:sz w:val="22"/>
                <w:szCs w:val="22"/>
              </w:rPr>
            </w:pPr>
            <w:r w:rsidRPr="005E5667">
              <w:rPr>
                <w:sz w:val="22"/>
                <w:szCs w:val="22"/>
              </w:rPr>
              <w:t xml:space="preserve"> </w:t>
            </w:r>
            <w:r w:rsidRPr="005E5667">
              <w:rPr>
                <w:bCs/>
                <w:sz w:val="22"/>
                <w:szCs w:val="22"/>
              </w:rPr>
              <w:t>Keep: 100%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F77425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Remove</w:t>
            </w:r>
          </w:p>
          <w:p w14:paraId="1F2F9126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E0333F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7B5D7009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76000F72" w14:textId="77777777" w:rsidR="00F77248" w:rsidRPr="001D6D64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sz w:val="22"/>
                <w:szCs w:val="22"/>
              </w:rPr>
            </w:pPr>
            <w:r w:rsidRPr="005E5667">
              <w:rPr>
                <w:b/>
                <w:bCs/>
                <w:i/>
                <w:iCs/>
                <w:sz w:val="22"/>
                <w:szCs w:val="22"/>
                <w:u w:val="single"/>
              </w:rPr>
              <w:t>New (4):</w:t>
            </w:r>
            <w:r w:rsidRPr="001D6D64">
              <w:rPr>
                <w:b/>
                <w:bCs/>
                <w:sz w:val="22"/>
                <w:szCs w:val="22"/>
              </w:rPr>
              <w:t xml:space="preserve"> Proportion of patients with HF regardless of LVEF who are prescribed a SGLT2 inhibitor in the absence of any contraindications</w:t>
            </w:r>
          </w:p>
        </w:tc>
      </w:tr>
      <w:tr w:rsidR="00F77248" w:rsidRPr="00FE44A4" w14:paraId="0878DDF2" w14:textId="77777777" w:rsidTr="00D12EBF">
        <w:trPr>
          <w:trHeight w:val="386"/>
        </w:trPr>
        <w:tc>
          <w:tcPr>
            <w:tcW w:w="16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A01190" w14:textId="77777777" w:rsidR="00F77248" w:rsidRPr="00FE44A4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622B7">
              <w:rPr>
                <w:sz w:val="20"/>
                <w:szCs w:val="20"/>
              </w:rPr>
              <w:t>The QI is valid</w:t>
            </w:r>
          </w:p>
        </w:tc>
        <w:tc>
          <w:tcPr>
            <w:tcW w:w="7343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9CEAABC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8 (1)</w:t>
            </w:r>
          </w:p>
        </w:tc>
      </w:tr>
      <w:tr w:rsidR="00F77248" w:rsidRPr="00FE44A4" w14:paraId="12097B13" w14:textId="77777777" w:rsidTr="00D12EBF">
        <w:trPr>
          <w:trHeight w:val="386"/>
        </w:trPr>
        <w:tc>
          <w:tcPr>
            <w:tcW w:w="16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FE732E8" w14:textId="77777777" w:rsidR="00F77248" w:rsidRPr="00FE44A4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622B7">
              <w:rPr>
                <w:sz w:val="20"/>
                <w:szCs w:val="20"/>
              </w:rPr>
              <w:t>The QI is feasible</w:t>
            </w:r>
          </w:p>
        </w:tc>
        <w:tc>
          <w:tcPr>
            <w:tcW w:w="7343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398A548" w14:textId="77777777" w:rsidR="00F77248" w:rsidRPr="00FE44A4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8 (1.3)</w:t>
            </w:r>
          </w:p>
        </w:tc>
      </w:tr>
      <w:tr w:rsidR="00F77248" w:rsidRPr="00FE44A4" w14:paraId="2C70ADEC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10C3390F" w14:textId="77777777" w:rsidR="00F77248" w:rsidRPr="00FE44A4" w:rsidRDefault="00F77248" w:rsidP="00D12EBF">
            <w:pPr>
              <w:tabs>
                <w:tab w:val="left" w:pos="1931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b/>
                <w:bCs/>
              </w:rPr>
              <w:t>Main (5):</w:t>
            </w:r>
            <w:r w:rsidRPr="00D275DB">
              <w:rPr>
                <w:b/>
                <w:bCs/>
              </w:rPr>
              <w:t xml:space="preserve"> </w:t>
            </w:r>
            <w:r w:rsidRPr="001D6D64">
              <w:rPr>
                <w:b/>
                <w:bCs/>
                <w:sz w:val="22"/>
                <w:szCs w:val="22"/>
              </w:rPr>
              <w:t>Proportion of patients with HF who are prescribed loop diuretic therapy if they have evidence of fluid retention</w:t>
            </w:r>
          </w:p>
        </w:tc>
      </w:tr>
      <w:tr w:rsidR="00F77248" w:rsidRPr="00FE44A4" w14:paraId="1B4AC9D3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9CCF66C" w14:textId="77777777" w:rsidR="00F77248" w:rsidRPr="005E5667" w:rsidRDefault="00F77248" w:rsidP="00D12EBF">
            <w:pPr>
              <w:autoSpaceDE w:val="0"/>
              <w:autoSpaceDN w:val="0"/>
              <w:adjustRightInd w:val="0"/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5E5667">
              <w:rPr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100 %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7167635" w14:textId="77777777" w:rsidR="00F77248" w:rsidRPr="002D0301" w:rsidRDefault="00F77248" w:rsidP="00D12EB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Remove</w:t>
            </w:r>
          </w:p>
          <w:p w14:paraId="43C1BB86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43EF93" w14:textId="77777777" w:rsidR="00F77248" w:rsidRPr="002D0301" w:rsidRDefault="00F77248" w:rsidP="00D12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01">
              <w:rPr>
                <w:sz w:val="20"/>
                <w:szCs w:val="20"/>
              </w:rPr>
              <w:t>Modify</w:t>
            </w:r>
          </w:p>
        </w:tc>
      </w:tr>
      <w:tr w:rsidR="00F77248" w:rsidRPr="00FE44A4" w14:paraId="0BCE0097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0000"/>
          </w:tcPr>
          <w:p w14:paraId="076A15AB" w14:textId="77777777" w:rsidR="00F77248" w:rsidRPr="00FE44A4" w:rsidRDefault="00F77248" w:rsidP="00D12EBF">
            <w:pPr>
              <w:adjustRightInd w:val="0"/>
              <w:snapToGrid w:val="0"/>
              <w:jc w:val="both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275DB">
              <w:rPr>
                <w:b/>
                <w:bCs/>
                <w:color w:val="FFFFFF" w:themeColor="background1"/>
              </w:rPr>
              <w:t xml:space="preserve">Domain 4. Therapy optimization  </w:t>
            </w:r>
          </w:p>
        </w:tc>
      </w:tr>
      <w:tr w:rsidR="00C167AE" w:rsidRPr="00FE44A4" w14:paraId="2E864A62" w14:textId="77777777" w:rsidTr="00C167AE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24A379D9" w14:textId="5D43603C" w:rsidR="00C167AE" w:rsidRPr="00E3542A" w:rsidRDefault="00C167AE" w:rsidP="00C167AE">
            <w:pPr>
              <w:adjustRightInd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5E5667">
              <w:rPr>
                <w:b/>
                <w:bCs/>
                <w:i/>
                <w:iCs/>
                <w:sz w:val="22"/>
                <w:szCs w:val="22"/>
                <w:u w:val="single"/>
              </w:rPr>
              <w:t>New) (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  <w:r w:rsidRPr="005E5667">
              <w:rPr>
                <w:b/>
                <w:bCs/>
                <w:i/>
                <w:iCs/>
                <w:sz w:val="22"/>
                <w:szCs w:val="22"/>
                <w:u w:val="single"/>
              </w:rPr>
              <w:t>):</w:t>
            </w:r>
            <w:r w:rsidRPr="00907BAE">
              <w:rPr>
                <w:b/>
                <w:bCs/>
              </w:rPr>
              <w:t xml:space="preserve"> </w:t>
            </w:r>
            <w:r w:rsidRPr="001D6D64">
              <w:rPr>
                <w:b/>
                <w:bCs/>
                <w:sz w:val="22"/>
                <w:szCs w:val="22"/>
              </w:rPr>
              <w:t xml:space="preserve">Proportion of patients with </w:t>
            </w:r>
            <w:proofErr w:type="spellStart"/>
            <w:r w:rsidRPr="001D6D64">
              <w:rPr>
                <w:b/>
                <w:bCs/>
                <w:sz w:val="22"/>
                <w:szCs w:val="22"/>
              </w:rPr>
              <w:t>HFrEF</w:t>
            </w:r>
            <w:proofErr w:type="spellEnd"/>
            <w:r w:rsidRPr="001D6D64"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1D6D64">
              <w:rPr>
                <w:b/>
                <w:bCs/>
                <w:sz w:val="22"/>
                <w:szCs w:val="22"/>
              </w:rPr>
              <w:t>HFmrEF</w:t>
            </w:r>
            <w:proofErr w:type="spellEnd"/>
            <w:r w:rsidRPr="001D6D64">
              <w:rPr>
                <w:b/>
                <w:bCs/>
                <w:sz w:val="22"/>
                <w:szCs w:val="22"/>
              </w:rPr>
              <w:t xml:space="preserve"> who are prescribed iv iron therapy if they have evidence of iron deficiency</w:t>
            </w:r>
            <w:r w:rsidRPr="00907BAE">
              <w:rPr>
                <w:b/>
                <w:bCs/>
              </w:rPr>
              <w:t xml:space="preserve">  </w:t>
            </w:r>
          </w:p>
        </w:tc>
      </w:tr>
      <w:tr w:rsidR="00C167AE" w:rsidRPr="00FE44A4" w14:paraId="2BC70047" w14:textId="77777777" w:rsidTr="00C167AE">
        <w:trPr>
          <w:trHeight w:val="386"/>
        </w:trPr>
        <w:tc>
          <w:tcPr>
            <w:tcW w:w="16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80BB21A" w14:textId="600DF421" w:rsidR="00C167AE" w:rsidRPr="005E5667" w:rsidRDefault="00C167AE" w:rsidP="00C167AE">
            <w:pPr>
              <w:adjustRightInd w:val="0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622B7">
              <w:rPr>
                <w:sz w:val="20"/>
                <w:szCs w:val="20"/>
              </w:rPr>
              <w:t>The QI is valid</w:t>
            </w:r>
          </w:p>
        </w:tc>
        <w:tc>
          <w:tcPr>
            <w:tcW w:w="729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111106" w14:textId="125B8D94" w:rsidR="00C167AE" w:rsidRPr="005E5667" w:rsidRDefault="00C167AE" w:rsidP="00C167AE">
            <w:pPr>
              <w:adjustRightInd w:val="0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8 (1.2)</w:t>
            </w:r>
          </w:p>
        </w:tc>
      </w:tr>
      <w:tr w:rsidR="00C167AE" w:rsidRPr="00FE44A4" w14:paraId="00F748D0" w14:textId="77777777" w:rsidTr="00C167AE">
        <w:trPr>
          <w:trHeight w:val="386"/>
        </w:trPr>
        <w:tc>
          <w:tcPr>
            <w:tcW w:w="16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B71CB3D" w14:textId="5D531658" w:rsidR="00C167AE" w:rsidRPr="005E5667" w:rsidRDefault="00C167AE" w:rsidP="00C167AE">
            <w:pPr>
              <w:adjustRightInd w:val="0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622B7">
              <w:rPr>
                <w:sz w:val="20"/>
                <w:szCs w:val="20"/>
              </w:rPr>
              <w:t>The QI is feasible</w:t>
            </w:r>
          </w:p>
        </w:tc>
        <w:tc>
          <w:tcPr>
            <w:tcW w:w="729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6CA4B3" w14:textId="578D14EB" w:rsidR="00C167AE" w:rsidRPr="005E5667" w:rsidRDefault="00C167AE" w:rsidP="00C167AE">
            <w:pPr>
              <w:adjustRightInd w:val="0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8 (1.2)</w:t>
            </w:r>
          </w:p>
        </w:tc>
      </w:tr>
      <w:tr w:rsidR="00C167AE" w:rsidRPr="00FE44A4" w14:paraId="0F47BC83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DED" w:themeFill="accent3" w:themeFillTint="33"/>
          </w:tcPr>
          <w:p w14:paraId="78F94E8F" w14:textId="48883118" w:rsidR="00C167AE" w:rsidRPr="00E3542A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2"/>
                <w:szCs w:val="22"/>
              </w:rPr>
            </w:pPr>
            <w:r w:rsidRPr="00E3542A">
              <w:rPr>
                <w:b/>
                <w:bCs/>
                <w:sz w:val="22"/>
                <w:szCs w:val="22"/>
              </w:rPr>
              <w:t>Secondary (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E3542A">
              <w:rPr>
                <w:b/>
                <w:bCs/>
                <w:sz w:val="22"/>
                <w:szCs w:val="22"/>
              </w:rPr>
              <w:t xml:space="preserve">): Proportion of symptomatic patients with </w:t>
            </w:r>
            <w:proofErr w:type="spellStart"/>
            <w:r w:rsidRPr="00E3542A">
              <w:rPr>
                <w:b/>
                <w:bCs/>
                <w:sz w:val="22"/>
                <w:szCs w:val="22"/>
              </w:rPr>
              <w:t>HFrEF</w:t>
            </w:r>
            <w:proofErr w:type="spellEnd"/>
            <w:r w:rsidRPr="00E3542A">
              <w:rPr>
                <w:b/>
                <w:bCs/>
                <w:sz w:val="22"/>
                <w:szCs w:val="22"/>
              </w:rPr>
              <w:t xml:space="preserve"> in sinus rhythm with a QRS duration ≥150 msec and LBBB QRS morphology and with LVEF ≤35% despite ≥3 months</w:t>
            </w:r>
            <w:r w:rsidRPr="00E3542A">
              <w:rPr>
                <w:sz w:val="22"/>
                <w:szCs w:val="22"/>
              </w:rPr>
              <w:t xml:space="preserve"> </w:t>
            </w:r>
            <w:r w:rsidRPr="00E3542A">
              <w:rPr>
                <w:b/>
                <w:bCs/>
                <w:sz w:val="22"/>
                <w:szCs w:val="22"/>
              </w:rPr>
              <w:t>OMT who are offered CRT</w:t>
            </w:r>
          </w:p>
        </w:tc>
      </w:tr>
      <w:tr w:rsidR="00C167AE" w:rsidRPr="00FE44A4" w14:paraId="196DA42E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17AB1B" w14:textId="77777777" w:rsidR="00C167AE" w:rsidRPr="005E5667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1D6D64">
              <w:rPr>
                <w:b/>
                <w:bCs/>
                <w:sz w:val="28"/>
                <w:szCs w:val="28"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100%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0C0984" w14:textId="77777777" w:rsidR="00C167AE" w:rsidRPr="00FE44A4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1D5FD92" w14:textId="77777777" w:rsidR="00C167AE" w:rsidRPr="00FE44A4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  <w:tr w:rsidR="00C167AE" w:rsidRPr="00FE44A4" w14:paraId="21DFFD19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DED" w:themeFill="accent3" w:themeFillTint="33"/>
          </w:tcPr>
          <w:p w14:paraId="1E403FE5" w14:textId="6D573750" w:rsidR="00C167AE" w:rsidRPr="00E3542A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2"/>
                <w:szCs w:val="22"/>
              </w:rPr>
            </w:pPr>
            <w:r w:rsidRPr="00E3542A">
              <w:rPr>
                <w:b/>
                <w:bCs/>
                <w:sz w:val="22"/>
                <w:szCs w:val="22"/>
              </w:rPr>
              <w:t>Secondary 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E3542A">
              <w:rPr>
                <w:b/>
                <w:bCs/>
                <w:sz w:val="22"/>
                <w:szCs w:val="22"/>
              </w:rPr>
              <w:t>): Proportion of symptomatic patients with HF, LVEF ≤35% despite ≥3 months of OMT, and IHD who are offered primary prevention ICD</w:t>
            </w:r>
          </w:p>
        </w:tc>
      </w:tr>
      <w:tr w:rsidR="00C167AE" w:rsidRPr="00FE44A4" w14:paraId="18E6D9D7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8FD77CF" w14:textId="77777777" w:rsidR="00C167AE" w:rsidRPr="005E5667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bCs/>
                <w:sz w:val="20"/>
                <w:szCs w:val="20"/>
              </w:rPr>
            </w:pPr>
            <w:r w:rsidRPr="005E5667">
              <w:rPr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0"/>
                <w:szCs w:val="20"/>
              </w:rPr>
              <w:t>Keep: 100 %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E9FDDE" w14:textId="77777777" w:rsidR="00C167AE" w:rsidRPr="00FE44A4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Remove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1BCF3EF" w14:textId="77777777" w:rsidR="00C167AE" w:rsidRPr="00FE44A4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sz w:val="20"/>
                <w:szCs w:val="20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  <w:tr w:rsidR="00C167AE" w:rsidRPr="00FE44A4" w14:paraId="07F14420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0000"/>
          </w:tcPr>
          <w:p w14:paraId="6B3FC18E" w14:textId="77777777" w:rsidR="00C167AE" w:rsidRPr="00FE44A4" w:rsidRDefault="00C167AE" w:rsidP="00C167AE">
            <w:pPr>
              <w:adjustRightInd w:val="0"/>
              <w:snapToGrid w:val="0"/>
              <w:jc w:val="both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5FA4">
              <w:rPr>
                <w:b/>
                <w:bCs/>
                <w:color w:val="FFFFFF" w:themeColor="background1"/>
              </w:rPr>
              <w:t xml:space="preserve">Domain 5. Patient </w:t>
            </w:r>
            <w:proofErr w:type="spellStart"/>
            <w:r w:rsidRPr="004C5FA4">
              <w:rPr>
                <w:b/>
                <w:bCs/>
                <w:color w:val="FFFFFF" w:themeColor="background1"/>
              </w:rPr>
              <w:t>HRQoL</w:t>
            </w:r>
            <w:proofErr w:type="spellEnd"/>
          </w:p>
        </w:tc>
      </w:tr>
      <w:tr w:rsidR="00C167AE" w:rsidRPr="00FE44A4" w14:paraId="1E925905" w14:textId="77777777" w:rsidTr="00D12EBF">
        <w:trPr>
          <w:trHeight w:val="386"/>
        </w:trPr>
        <w:tc>
          <w:tcPr>
            <w:tcW w:w="898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DED" w:themeFill="accent3" w:themeFillTint="33"/>
          </w:tcPr>
          <w:p w14:paraId="4DCF2384" w14:textId="77777777" w:rsidR="00C167AE" w:rsidRPr="00E3542A" w:rsidRDefault="00C167AE" w:rsidP="00C167AE">
            <w:pPr>
              <w:autoSpaceDE w:val="0"/>
              <w:autoSpaceDN w:val="0"/>
              <w:adjustRightInd w:val="0"/>
              <w:rPr>
                <w:rFonts w:ascii="Helvetica Neue" w:eastAsiaTheme="minorHAnsi" w:hAnsi="Helvetica Neue"/>
                <w:sz w:val="22"/>
                <w:szCs w:val="22"/>
                <w:lang w:eastAsia="en-US"/>
              </w:rPr>
            </w:pPr>
            <w:r w:rsidRPr="00E3542A">
              <w:rPr>
                <w:b/>
                <w:bCs/>
                <w:sz w:val="22"/>
                <w:szCs w:val="22"/>
              </w:rPr>
              <w:t xml:space="preserve">Secondary (1): Proportion of patients with HF who have an assessment of their </w:t>
            </w:r>
            <w:proofErr w:type="spellStart"/>
            <w:r w:rsidRPr="00E3542A">
              <w:rPr>
                <w:b/>
                <w:bCs/>
                <w:sz w:val="22"/>
                <w:szCs w:val="22"/>
              </w:rPr>
              <w:t>HRQoL</w:t>
            </w:r>
            <w:proofErr w:type="spellEnd"/>
            <w:r w:rsidRPr="00E3542A">
              <w:rPr>
                <w:b/>
                <w:bCs/>
                <w:sz w:val="22"/>
                <w:szCs w:val="22"/>
              </w:rPr>
              <w:t xml:space="preserve"> using a validated tool</w:t>
            </w:r>
          </w:p>
        </w:tc>
      </w:tr>
      <w:tr w:rsidR="00C167AE" w:rsidRPr="00FE44A4" w14:paraId="124AFF8A" w14:textId="77777777" w:rsidTr="00D12EBF">
        <w:trPr>
          <w:trHeight w:val="386"/>
        </w:trPr>
        <w:tc>
          <w:tcPr>
            <w:tcW w:w="29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F6DD507" w14:textId="77777777" w:rsidR="00C167AE" w:rsidRPr="005E5667" w:rsidRDefault="00C167AE" w:rsidP="00C167AE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Arial"/>
                <w:bCs/>
                <w:color w:val="000000"/>
                <w:sz w:val="22"/>
                <w:szCs w:val="22"/>
                <w:lang w:eastAsia="en-US"/>
              </w:rPr>
            </w:pPr>
            <w:r w:rsidRPr="001D6D64">
              <w:rPr>
                <w:b/>
                <w:bCs/>
                <w:sz w:val="20"/>
                <w:szCs w:val="20"/>
              </w:rPr>
              <w:t xml:space="preserve"> </w:t>
            </w:r>
            <w:r w:rsidRPr="005E5667">
              <w:rPr>
                <w:bCs/>
                <w:sz w:val="22"/>
                <w:szCs w:val="22"/>
              </w:rPr>
              <w:t>Keep: 72.2%</w:t>
            </w:r>
          </w:p>
        </w:tc>
        <w:tc>
          <w:tcPr>
            <w:tcW w:w="30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39260EE" w14:textId="77777777" w:rsidR="00C167AE" w:rsidRPr="00FB5B0F" w:rsidRDefault="00C167AE" w:rsidP="00C167AE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Arial"/>
                <w:color w:val="000000"/>
                <w:sz w:val="20"/>
                <w:szCs w:val="20"/>
                <w:lang w:eastAsia="en-US"/>
              </w:rPr>
            </w:pPr>
            <w:r w:rsidRPr="00FB5B0F">
              <w:rPr>
                <w:sz w:val="20"/>
                <w:szCs w:val="20"/>
              </w:rPr>
              <w:t>Remove: 27.8%</w:t>
            </w:r>
          </w:p>
        </w:tc>
        <w:tc>
          <w:tcPr>
            <w:tcW w:w="3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19D802D" w14:textId="77777777" w:rsidR="00C167AE" w:rsidRDefault="00C167AE" w:rsidP="00C167AE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Arial"/>
                <w:color w:val="000000"/>
                <w:sz w:val="23"/>
                <w:szCs w:val="23"/>
                <w:lang w:eastAsia="en-US"/>
              </w:rPr>
            </w:pPr>
            <w:r w:rsidRPr="00B2153B">
              <w:rPr>
                <w:sz w:val="20"/>
                <w:szCs w:val="20"/>
              </w:rPr>
              <w:t>Modify</w:t>
            </w:r>
          </w:p>
        </w:tc>
      </w:tr>
    </w:tbl>
    <w:p w14:paraId="2D9B6052" w14:textId="3652253F" w:rsidR="00F77248" w:rsidRPr="007177EB" w:rsidRDefault="00F77248" w:rsidP="007177EB">
      <w:pPr>
        <w:jc w:val="both"/>
        <w:rPr>
          <w:rFonts w:ascii="Helvetica Neue" w:hAnsi="Helvetica Neue"/>
          <w:sz w:val="16"/>
          <w:szCs w:val="16"/>
        </w:rPr>
      </w:pPr>
      <w:r w:rsidRPr="0059582B">
        <w:rPr>
          <w:sz w:val="16"/>
          <w:szCs w:val="16"/>
        </w:rPr>
        <w:t xml:space="preserve">ACE= angiotensin converting enzymes; ARB=angiotensin receptor blocker; ARNI=angiotensin-receptor </w:t>
      </w:r>
      <w:proofErr w:type="spellStart"/>
      <w:r w:rsidRPr="0059582B">
        <w:rPr>
          <w:sz w:val="16"/>
          <w:szCs w:val="16"/>
        </w:rPr>
        <w:t>neprilysin</w:t>
      </w:r>
      <w:proofErr w:type="spellEnd"/>
      <w:r w:rsidRPr="0059582B">
        <w:rPr>
          <w:sz w:val="16"/>
          <w:szCs w:val="16"/>
        </w:rPr>
        <w:t xml:space="preserve"> inhibitor; CRT=cardiac resynchronization therapy; ECG=electrocardiogram; ESC=European Society of Cardiology; FBC=full blood count; HbA1c=glycated haemoglobin; HF=heart failure; HFA=</w:t>
      </w:r>
      <w:r w:rsidRPr="001241C2">
        <w:rPr>
          <w:color w:val="FF0000"/>
          <w:sz w:val="16"/>
          <w:szCs w:val="16"/>
        </w:rPr>
        <w:t>Heart Failure Association</w:t>
      </w:r>
      <w:r w:rsidR="0098422E" w:rsidRPr="001241C2">
        <w:rPr>
          <w:color w:val="FF0000"/>
          <w:sz w:val="16"/>
          <w:szCs w:val="16"/>
        </w:rPr>
        <w:t xml:space="preserve"> of the ESC</w:t>
      </w:r>
      <w:r w:rsidRPr="0059582B">
        <w:rPr>
          <w:sz w:val="16"/>
          <w:szCs w:val="16"/>
        </w:rPr>
        <w:t xml:space="preserve">; HRQoL=health-related quality of life; </w:t>
      </w:r>
      <w:proofErr w:type="spellStart"/>
      <w:r w:rsidRPr="0059582B">
        <w:rPr>
          <w:sz w:val="16"/>
          <w:szCs w:val="16"/>
        </w:rPr>
        <w:t>HFmrEF</w:t>
      </w:r>
      <w:proofErr w:type="spellEnd"/>
      <w:r w:rsidRPr="0059582B">
        <w:rPr>
          <w:sz w:val="16"/>
          <w:szCs w:val="16"/>
        </w:rPr>
        <w:t xml:space="preserve">=heart failure with mildly reduced ejection fraction; </w:t>
      </w:r>
      <w:proofErr w:type="spellStart"/>
      <w:r w:rsidRPr="0059582B">
        <w:rPr>
          <w:sz w:val="16"/>
          <w:szCs w:val="16"/>
        </w:rPr>
        <w:t>HFpEF</w:t>
      </w:r>
      <w:proofErr w:type="spellEnd"/>
      <w:r w:rsidRPr="0059582B">
        <w:rPr>
          <w:sz w:val="16"/>
          <w:szCs w:val="16"/>
        </w:rPr>
        <w:t xml:space="preserve">=heart failure with preserved ejection fraction; </w:t>
      </w:r>
      <w:proofErr w:type="spellStart"/>
      <w:r w:rsidRPr="0059582B">
        <w:rPr>
          <w:sz w:val="16"/>
          <w:szCs w:val="16"/>
        </w:rPr>
        <w:t>HFrEF</w:t>
      </w:r>
      <w:proofErr w:type="spellEnd"/>
      <w:r w:rsidRPr="0059582B">
        <w:rPr>
          <w:sz w:val="16"/>
          <w:szCs w:val="16"/>
        </w:rPr>
        <w:t>=heart failure with reduced ejection fraction; ICD=implantable cardioverter defibrillator; IHD-ischaemic heart disease; LFTs=liver function tests, LVEF=left ventricular ejection fraction; MRA= Mineralocorticoid receptor antagonists; NP=natriuretic peptides; NYHA= New York Heart Association; OMT=optimal medical therapy; QIs=quality indicators; SGLT2=sodium-glucose transport protein 2, TSH=thyroid stimulating hormone; U&amp;Es=urea and electrolytes</w:t>
      </w:r>
    </w:p>
    <w:sectPr w:rsidR="00F77248" w:rsidRPr="007177EB" w:rsidSect="005E5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EF"/>
    <w:rsid w:val="0003331E"/>
    <w:rsid w:val="000A7C0B"/>
    <w:rsid w:val="001241C2"/>
    <w:rsid w:val="001B6315"/>
    <w:rsid w:val="001C3B86"/>
    <w:rsid w:val="002059F3"/>
    <w:rsid w:val="00225D04"/>
    <w:rsid w:val="002F1469"/>
    <w:rsid w:val="00317B42"/>
    <w:rsid w:val="00323EF5"/>
    <w:rsid w:val="004663D7"/>
    <w:rsid w:val="00472B15"/>
    <w:rsid w:val="00482447"/>
    <w:rsid w:val="00491194"/>
    <w:rsid w:val="00521E7B"/>
    <w:rsid w:val="005520C9"/>
    <w:rsid w:val="005A2404"/>
    <w:rsid w:val="005A347F"/>
    <w:rsid w:val="005E5667"/>
    <w:rsid w:val="00600209"/>
    <w:rsid w:val="007039CB"/>
    <w:rsid w:val="00714177"/>
    <w:rsid w:val="007177EB"/>
    <w:rsid w:val="00767859"/>
    <w:rsid w:val="007B1C92"/>
    <w:rsid w:val="007E25AF"/>
    <w:rsid w:val="008067A1"/>
    <w:rsid w:val="008F39EF"/>
    <w:rsid w:val="00930283"/>
    <w:rsid w:val="0098422E"/>
    <w:rsid w:val="009A357C"/>
    <w:rsid w:val="009A4227"/>
    <w:rsid w:val="009F45D1"/>
    <w:rsid w:val="00A15607"/>
    <w:rsid w:val="00A266A9"/>
    <w:rsid w:val="00A46FBD"/>
    <w:rsid w:val="00A77E40"/>
    <w:rsid w:val="00AE32E1"/>
    <w:rsid w:val="00AF1CC7"/>
    <w:rsid w:val="00B7532D"/>
    <w:rsid w:val="00BA779E"/>
    <w:rsid w:val="00BB503A"/>
    <w:rsid w:val="00BC5C12"/>
    <w:rsid w:val="00C167AE"/>
    <w:rsid w:val="00C347D6"/>
    <w:rsid w:val="00CB419F"/>
    <w:rsid w:val="00CD08B3"/>
    <w:rsid w:val="00CD1E48"/>
    <w:rsid w:val="00D34D7A"/>
    <w:rsid w:val="00D60B7D"/>
    <w:rsid w:val="00D86F76"/>
    <w:rsid w:val="00E278A2"/>
    <w:rsid w:val="00EF451F"/>
    <w:rsid w:val="00F2203C"/>
    <w:rsid w:val="00F77248"/>
    <w:rsid w:val="00F8034F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C6B56"/>
  <w15:chartTrackingRefBased/>
  <w15:docId w15:val="{2DD6CAFC-66EA-0B47-95DD-29780AAE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E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39E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F39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GridTable1Light">
    <w:name w:val="Grid Table 1 Light"/>
    <w:basedOn w:val="TableNormal"/>
    <w:uiPriority w:val="46"/>
    <w:rsid w:val="008F39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A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name">
    <w:name w:val="dbname"/>
    <w:basedOn w:val="DefaultParagraphFont"/>
    <w:rsid w:val="000A7C0B"/>
  </w:style>
  <w:style w:type="character" w:customStyle="1" w:styleId="dbdate">
    <w:name w:val="dbdate"/>
    <w:basedOn w:val="DefaultParagraphFont"/>
    <w:rsid w:val="000A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 Aktaa</dc:creator>
  <cp:keywords/>
  <dc:description/>
  <cp:lastModifiedBy>amr abdin</cp:lastModifiedBy>
  <cp:revision>19</cp:revision>
  <dcterms:created xsi:type="dcterms:W3CDTF">2021-02-19T15:49:00Z</dcterms:created>
  <dcterms:modified xsi:type="dcterms:W3CDTF">2024-03-24T20:31:00Z</dcterms:modified>
</cp:coreProperties>
</file>