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E92225" w14:textId="448C904D" w:rsidR="00F1519F" w:rsidRPr="000715D4" w:rsidRDefault="00F1519F">
      <w:pPr>
        <w:rPr>
          <w:b/>
          <w:bCs/>
          <w:u w:val="single"/>
        </w:rPr>
      </w:pPr>
      <w:r w:rsidRPr="000715D4">
        <w:rPr>
          <w:b/>
          <w:bCs/>
          <w:u w:val="single"/>
        </w:rPr>
        <w:t xml:space="preserve">Supplementary </w:t>
      </w:r>
      <w:r w:rsidR="00896706" w:rsidRPr="000715D4">
        <w:rPr>
          <w:b/>
          <w:bCs/>
          <w:u w:val="single"/>
        </w:rPr>
        <w:t>M</w:t>
      </w:r>
      <w:r w:rsidRPr="000715D4">
        <w:rPr>
          <w:b/>
          <w:bCs/>
          <w:u w:val="single"/>
        </w:rPr>
        <w:t>ethods</w:t>
      </w:r>
    </w:p>
    <w:p w14:paraId="6756F5AB" w14:textId="3998589C" w:rsidR="000F7DBF" w:rsidRPr="000715D4" w:rsidRDefault="000F7DBF" w:rsidP="00223E3D">
      <w:pPr>
        <w:rPr>
          <w:b/>
          <w:bCs/>
        </w:rPr>
      </w:pPr>
      <w:r w:rsidRPr="000715D4">
        <w:rPr>
          <w:b/>
          <w:bCs/>
        </w:rPr>
        <w:t>Brain Extract Validation</w:t>
      </w:r>
    </w:p>
    <w:p w14:paraId="2DFCA57C" w14:textId="717D3AA7" w:rsidR="000F7DBF" w:rsidRPr="000715D4" w:rsidRDefault="00964C0D" w:rsidP="00223E3D">
      <w:pPr>
        <w:rPr>
          <w:i/>
          <w:iCs/>
        </w:rPr>
      </w:pPr>
      <w:r w:rsidRPr="000715D4">
        <w:rPr>
          <w:i/>
          <w:iCs/>
        </w:rPr>
        <w:t>ELISA</w:t>
      </w:r>
    </w:p>
    <w:p w14:paraId="1E582E62" w14:textId="4C66BB11" w:rsidR="001E3993" w:rsidRPr="000715D4" w:rsidRDefault="00851765" w:rsidP="007445C0">
      <w:pPr>
        <w:spacing w:line="360" w:lineRule="auto"/>
        <w:rPr>
          <w:rFonts w:cstheme="minorHAnsi"/>
        </w:rPr>
      </w:pPr>
      <w:r w:rsidRPr="000715D4">
        <w:rPr>
          <w:rFonts w:cstheme="minorHAnsi"/>
        </w:rPr>
        <w:t>Total tau content</w:t>
      </w:r>
      <w:r w:rsidR="000A4C9E" w:rsidRPr="000715D4">
        <w:rPr>
          <w:rFonts w:cstheme="minorHAnsi"/>
        </w:rPr>
        <w:t xml:space="preserve"> was quantified in brain extracts by </w:t>
      </w:r>
      <w:r w:rsidR="00F6397F" w:rsidRPr="000715D4">
        <w:t xml:space="preserve">ELISA (Human Tau (total) ELISA kit (#KHB0041, Invitrogen, UK), </w:t>
      </w:r>
      <w:r w:rsidR="00F6397F" w:rsidRPr="000715D4">
        <w:rPr>
          <w:rFonts w:cstheme="minorHAnsi"/>
        </w:rPr>
        <w:t xml:space="preserve">as per the manufacturer’s instructions. Briefly, </w:t>
      </w:r>
      <w:r w:rsidR="002365AE" w:rsidRPr="000715D4">
        <w:rPr>
          <w:rFonts w:cstheme="minorHAnsi"/>
        </w:rPr>
        <w:t>homogenates were diluted 1:50,000 in standard diluent buffer</w:t>
      </w:r>
      <w:r w:rsidR="0003134F" w:rsidRPr="000715D4">
        <w:rPr>
          <w:rFonts w:cstheme="minorHAnsi"/>
        </w:rPr>
        <w:t xml:space="preserve"> and incubated </w:t>
      </w:r>
      <w:r w:rsidR="003C1B1A" w:rsidRPr="000715D4">
        <w:rPr>
          <w:rFonts w:cstheme="minorHAnsi"/>
        </w:rPr>
        <w:t>o</w:t>
      </w:r>
      <w:r w:rsidR="00A95DF9" w:rsidRPr="000715D4">
        <w:rPr>
          <w:rFonts w:cstheme="minorHAnsi"/>
        </w:rPr>
        <w:t>n</w:t>
      </w:r>
      <w:r w:rsidR="0003134F" w:rsidRPr="000715D4">
        <w:rPr>
          <w:rFonts w:cstheme="minorHAnsi"/>
        </w:rPr>
        <w:t xml:space="preserve"> the </w:t>
      </w:r>
      <w:r w:rsidR="000C305B" w:rsidRPr="000715D4">
        <w:rPr>
          <w:rFonts w:cstheme="minorHAnsi"/>
        </w:rPr>
        <w:t xml:space="preserve">capture antibody coated </w:t>
      </w:r>
      <w:r w:rsidR="00E723B8" w:rsidRPr="000715D4">
        <w:rPr>
          <w:rFonts w:cstheme="minorHAnsi"/>
        </w:rPr>
        <w:t xml:space="preserve">plate </w:t>
      </w:r>
      <w:r w:rsidR="004E5C74" w:rsidRPr="000715D4">
        <w:rPr>
          <w:rFonts w:cstheme="minorHAnsi"/>
        </w:rPr>
        <w:t xml:space="preserve">along with </w:t>
      </w:r>
      <w:r w:rsidR="005E0D9D" w:rsidRPr="000715D4">
        <w:rPr>
          <w:rFonts w:cstheme="minorHAnsi"/>
        </w:rPr>
        <w:t xml:space="preserve">prepared standards (0-1 µg/ml </w:t>
      </w:r>
      <w:r w:rsidR="00E723B8" w:rsidRPr="000715D4">
        <w:rPr>
          <w:rFonts w:cstheme="minorHAnsi"/>
        </w:rPr>
        <w:t>h</w:t>
      </w:r>
      <w:r w:rsidR="005E0D9D" w:rsidRPr="000715D4">
        <w:rPr>
          <w:rFonts w:cstheme="minorHAnsi"/>
        </w:rPr>
        <w:t xml:space="preserve">uman </w:t>
      </w:r>
      <w:r w:rsidR="00E723B8" w:rsidRPr="000715D4">
        <w:rPr>
          <w:rFonts w:cstheme="minorHAnsi"/>
        </w:rPr>
        <w:t xml:space="preserve">tau (total)) </w:t>
      </w:r>
      <w:r w:rsidR="00A95DF9" w:rsidRPr="000715D4">
        <w:rPr>
          <w:rFonts w:cstheme="minorHAnsi"/>
        </w:rPr>
        <w:t xml:space="preserve">for 2 hrs. </w:t>
      </w:r>
      <w:r w:rsidR="00993142" w:rsidRPr="000715D4">
        <w:rPr>
          <w:rFonts w:cstheme="minorHAnsi"/>
        </w:rPr>
        <w:t xml:space="preserve">Samples were </w:t>
      </w:r>
      <w:r w:rsidR="003C1B1A" w:rsidRPr="000715D4">
        <w:rPr>
          <w:rFonts w:cstheme="minorHAnsi"/>
        </w:rPr>
        <w:t xml:space="preserve">then </w:t>
      </w:r>
      <w:r w:rsidR="00993142" w:rsidRPr="000715D4">
        <w:rPr>
          <w:rFonts w:cstheme="minorHAnsi"/>
        </w:rPr>
        <w:t xml:space="preserve">removed and the wells </w:t>
      </w:r>
      <w:r w:rsidR="00E26B93" w:rsidRPr="000715D4">
        <w:rPr>
          <w:rFonts w:cstheme="minorHAnsi"/>
        </w:rPr>
        <w:t xml:space="preserve">were </w:t>
      </w:r>
      <w:r w:rsidR="00993142" w:rsidRPr="000715D4">
        <w:rPr>
          <w:rFonts w:cstheme="minorHAnsi"/>
        </w:rPr>
        <w:t>washed thoroughly prior to incubation with</w:t>
      </w:r>
      <w:r w:rsidR="00D77B34" w:rsidRPr="000715D4">
        <w:rPr>
          <w:rFonts w:cstheme="minorHAnsi"/>
        </w:rPr>
        <w:t xml:space="preserve"> the</w:t>
      </w:r>
      <w:r w:rsidR="00993142" w:rsidRPr="000715D4">
        <w:rPr>
          <w:rFonts w:cstheme="minorHAnsi"/>
        </w:rPr>
        <w:t xml:space="preserve"> </w:t>
      </w:r>
      <w:r w:rsidR="00B53EB5" w:rsidRPr="000715D4">
        <w:rPr>
          <w:rFonts w:cstheme="minorHAnsi"/>
        </w:rPr>
        <w:t>biotinylated-</w:t>
      </w:r>
      <w:r w:rsidR="00D77B34" w:rsidRPr="000715D4">
        <w:rPr>
          <w:rFonts w:cstheme="minorHAnsi"/>
        </w:rPr>
        <w:t>secondary antibody</w:t>
      </w:r>
      <w:r w:rsidR="00377861" w:rsidRPr="000715D4">
        <w:rPr>
          <w:rFonts w:cstheme="minorHAnsi"/>
        </w:rPr>
        <w:t xml:space="preserve"> for 1 hr. Wells were </w:t>
      </w:r>
      <w:r w:rsidR="00344F57" w:rsidRPr="000715D4">
        <w:rPr>
          <w:rFonts w:cstheme="minorHAnsi"/>
        </w:rPr>
        <w:t xml:space="preserve">thoroughly </w:t>
      </w:r>
      <w:r w:rsidR="00377861" w:rsidRPr="000715D4">
        <w:rPr>
          <w:rFonts w:cstheme="minorHAnsi"/>
        </w:rPr>
        <w:t xml:space="preserve">washed again prior to incubation with </w:t>
      </w:r>
      <w:r w:rsidR="00464BA1" w:rsidRPr="000715D4">
        <w:rPr>
          <w:rFonts w:cstheme="minorHAnsi"/>
        </w:rPr>
        <w:t>streptavidin-HRP for 30 min</w:t>
      </w:r>
      <w:r w:rsidR="00344F57" w:rsidRPr="000715D4">
        <w:rPr>
          <w:rFonts w:cstheme="minorHAnsi"/>
        </w:rPr>
        <w:t xml:space="preserve">. </w:t>
      </w:r>
      <w:r w:rsidR="00DD099B" w:rsidRPr="000715D4">
        <w:rPr>
          <w:rFonts w:cstheme="minorHAnsi"/>
        </w:rPr>
        <w:t xml:space="preserve">Wells were washed </w:t>
      </w:r>
      <w:r w:rsidR="00145000" w:rsidRPr="000715D4">
        <w:rPr>
          <w:rFonts w:cstheme="minorHAnsi"/>
        </w:rPr>
        <w:t>again and</w:t>
      </w:r>
      <w:r w:rsidR="00DD099B" w:rsidRPr="000715D4">
        <w:rPr>
          <w:rFonts w:cstheme="minorHAnsi"/>
        </w:rPr>
        <w:t xml:space="preserve"> incubated with the </w:t>
      </w:r>
      <w:r w:rsidR="00640D72" w:rsidRPr="000715D4">
        <w:rPr>
          <w:rFonts w:cstheme="minorHAnsi"/>
        </w:rPr>
        <w:t>stabilising</w:t>
      </w:r>
      <w:r w:rsidR="00DD099B" w:rsidRPr="000715D4">
        <w:rPr>
          <w:rFonts w:cstheme="minorHAnsi"/>
        </w:rPr>
        <w:t xml:space="preserve"> </w:t>
      </w:r>
      <w:r w:rsidR="00A9619A" w:rsidRPr="000715D4">
        <w:rPr>
          <w:rFonts w:cstheme="minorHAnsi"/>
        </w:rPr>
        <w:t xml:space="preserve">chromogen </w:t>
      </w:r>
      <w:r w:rsidR="00640D72" w:rsidRPr="000715D4">
        <w:rPr>
          <w:rFonts w:cstheme="minorHAnsi"/>
        </w:rPr>
        <w:t xml:space="preserve">for </w:t>
      </w:r>
      <w:r w:rsidR="00A9619A" w:rsidRPr="000715D4">
        <w:rPr>
          <w:rFonts w:cstheme="minorHAnsi"/>
        </w:rPr>
        <w:t xml:space="preserve">30 min </w:t>
      </w:r>
      <w:r w:rsidR="000E41DD" w:rsidRPr="000715D4">
        <w:rPr>
          <w:rFonts w:cstheme="minorHAnsi"/>
        </w:rPr>
        <w:t>ahead of</w:t>
      </w:r>
      <w:r w:rsidR="00A9619A" w:rsidRPr="000715D4">
        <w:rPr>
          <w:rFonts w:cstheme="minorHAnsi"/>
        </w:rPr>
        <w:t xml:space="preserve"> addition of the stop solution. Absorbance of the plate was read at 450</w:t>
      </w:r>
      <w:r w:rsidR="00750F2D" w:rsidRPr="000715D4">
        <w:rPr>
          <w:rFonts w:cstheme="minorHAnsi"/>
        </w:rPr>
        <w:t xml:space="preserve"> </w:t>
      </w:r>
      <w:r w:rsidR="00A9619A" w:rsidRPr="000715D4">
        <w:rPr>
          <w:rFonts w:cstheme="minorHAnsi"/>
        </w:rPr>
        <w:t xml:space="preserve">nm in a </w:t>
      </w:r>
      <w:proofErr w:type="spellStart"/>
      <w:r w:rsidR="001E177D" w:rsidRPr="000715D4">
        <w:rPr>
          <w:rFonts w:cstheme="minorHAnsi"/>
        </w:rPr>
        <w:t>Varioskan</w:t>
      </w:r>
      <w:proofErr w:type="spellEnd"/>
      <w:r w:rsidR="001E177D" w:rsidRPr="000715D4">
        <w:rPr>
          <w:rFonts w:cstheme="minorHAnsi"/>
        </w:rPr>
        <w:t xml:space="preserve"> LUX microplate reader (</w:t>
      </w:r>
      <w:proofErr w:type="spellStart"/>
      <w:r w:rsidR="001E177D" w:rsidRPr="000715D4">
        <w:rPr>
          <w:rFonts w:cstheme="minorHAnsi"/>
        </w:rPr>
        <w:t>ThermoFisher</w:t>
      </w:r>
      <w:proofErr w:type="spellEnd"/>
      <w:r w:rsidR="001E177D" w:rsidRPr="000715D4">
        <w:rPr>
          <w:rFonts w:cstheme="minorHAnsi"/>
        </w:rPr>
        <w:t xml:space="preserve"> Scientific, UK). </w:t>
      </w:r>
      <w:r w:rsidR="000C2C84" w:rsidRPr="000715D4">
        <w:rPr>
          <w:rFonts w:cstheme="minorHAnsi"/>
        </w:rPr>
        <w:t xml:space="preserve">Following background subtraction, </w:t>
      </w:r>
      <w:r w:rsidR="00A53C8C" w:rsidRPr="000715D4">
        <w:rPr>
          <w:rFonts w:cstheme="minorHAnsi"/>
        </w:rPr>
        <w:t xml:space="preserve">the absorbance of </w:t>
      </w:r>
      <w:r w:rsidR="000C2C84" w:rsidRPr="000715D4">
        <w:rPr>
          <w:rFonts w:cstheme="minorHAnsi"/>
        </w:rPr>
        <w:t xml:space="preserve">standards </w:t>
      </w:r>
      <w:r w:rsidR="00BD2043" w:rsidRPr="000715D4">
        <w:rPr>
          <w:rFonts w:cstheme="minorHAnsi"/>
        </w:rPr>
        <w:t>was</w:t>
      </w:r>
      <w:r w:rsidR="000C2C84" w:rsidRPr="000715D4">
        <w:rPr>
          <w:rFonts w:cstheme="minorHAnsi"/>
        </w:rPr>
        <w:t xml:space="preserve"> fitted to a 4</w:t>
      </w:r>
      <w:r w:rsidR="00DF7B1C" w:rsidRPr="000715D4">
        <w:rPr>
          <w:rFonts w:cstheme="minorHAnsi"/>
          <w:vertAlign w:val="superscript"/>
        </w:rPr>
        <w:t>th</w:t>
      </w:r>
      <w:r w:rsidR="00DF7B1C" w:rsidRPr="000715D4">
        <w:rPr>
          <w:rFonts w:cstheme="minorHAnsi"/>
        </w:rPr>
        <w:t xml:space="preserve"> order polynomial line of best fit</w:t>
      </w:r>
      <w:r w:rsidR="000C2C84" w:rsidRPr="000715D4">
        <w:rPr>
          <w:rFonts w:cstheme="minorHAnsi"/>
        </w:rPr>
        <w:t xml:space="preserve"> </w:t>
      </w:r>
      <w:r w:rsidR="00A53C8C" w:rsidRPr="000715D4">
        <w:rPr>
          <w:rFonts w:cstheme="minorHAnsi"/>
        </w:rPr>
        <w:t xml:space="preserve">in order </w:t>
      </w:r>
      <w:r w:rsidR="00FC5C8A" w:rsidRPr="000715D4">
        <w:rPr>
          <w:rFonts w:cstheme="minorHAnsi"/>
        </w:rPr>
        <w:t xml:space="preserve">calculate </w:t>
      </w:r>
      <w:r w:rsidR="00D11F52" w:rsidRPr="000715D4">
        <w:rPr>
          <w:rFonts w:cstheme="minorHAnsi"/>
        </w:rPr>
        <w:t xml:space="preserve">tau concentration in unknown samples. </w:t>
      </w:r>
    </w:p>
    <w:p w14:paraId="0E04B861" w14:textId="77777777" w:rsidR="00223E3D" w:rsidRPr="000715D4" w:rsidRDefault="00223E3D" w:rsidP="00223E3D">
      <w:pPr>
        <w:rPr>
          <w:i/>
          <w:iCs/>
        </w:rPr>
      </w:pPr>
      <w:r w:rsidRPr="000715D4">
        <w:rPr>
          <w:i/>
          <w:iCs/>
        </w:rPr>
        <w:t>Dot Blots</w:t>
      </w:r>
    </w:p>
    <w:p w14:paraId="617AE058" w14:textId="1D258EEB" w:rsidR="001E3993" w:rsidRPr="000715D4" w:rsidRDefault="00B25926" w:rsidP="007445C0">
      <w:pPr>
        <w:spacing w:line="360" w:lineRule="auto"/>
        <w:rPr>
          <w:rFonts w:cstheme="minorHAnsi"/>
        </w:rPr>
      </w:pPr>
      <w:r w:rsidRPr="000715D4">
        <w:rPr>
          <w:rFonts w:cstheme="minorHAnsi"/>
        </w:rPr>
        <w:t xml:space="preserve">In order to confirm immunoreactivity of </w:t>
      </w:r>
      <w:r w:rsidR="007D3EF4" w:rsidRPr="000715D4">
        <w:rPr>
          <w:rFonts w:cstheme="minorHAnsi"/>
          <w:vertAlign w:val="superscript"/>
        </w:rPr>
        <w:t>P301S</w:t>
      </w:r>
      <w:r w:rsidR="007D3EF4" w:rsidRPr="000715D4">
        <w:rPr>
          <w:rFonts w:cstheme="minorHAnsi"/>
        </w:rPr>
        <w:t xml:space="preserve">BE (and not </w:t>
      </w:r>
      <w:r w:rsidR="007D3EF4" w:rsidRPr="000715D4">
        <w:rPr>
          <w:rFonts w:cstheme="minorHAnsi"/>
          <w:vertAlign w:val="superscript"/>
        </w:rPr>
        <w:t>WT</w:t>
      </w:r>
      <w:r w:rsidR="007D3EF4" w:rsidRPr="000715D4">
        <w:rPr>
          <w:rFonts w:cstheme="minorHAnsi"/>
        </w:rPr>
        <w:t xml:space="preserve">BE) with </w:t>
      </w:r>
      <w:r w:rsidR="002573DE" w:rsidRPr="000715D4">
        <w:rPr>
          <w:rFonts w:cstheme="minorHAnsi"/>
        </w:rPr>
        <w:t>antibodies against common</w:t>
      </w:r>
      <w:r w:rsidR="00D5507C" w:rsidRPr="000715D4">
        <w:rPr>
          <w:rFonts w:cstheme="minorHAnsi"/>
        </w:rPr>
        <w:t xml:space="preserve"> epitopes</w:t>
      </w:r>
      <w:r w:rsidR="00F206CE" w:rsidRPr="000715D4">
        <w:rPr>
          <w:rFonts w:cstheme="minorHAnsi"/>
        </w:rPr>
        <w:t>, dot blots were performed. Brain extracts were serially diluted</w:t>
      </w:r>
      <w:r w:rsidR="00EA05AE" w:rsidRPr="000715D4">
        <w:rPr>
          <w:rFonts w:cstheme="minorHAnsi"/>
        </w:rPr>
        <w:t xml:space="preserve">, </w:t>
      </w:r>
      <w:r w:rsidR="00BF45E9" w:rsidRPr="000715D4">
        <w:rPr>
          <w:rFonts w:cstheme="minorHAnsi"/>
        </w:rPr>
        <w:t>loaded (1</w:t>
      </w:r>
      <w:r w:rsidR="003A1F41" w:rsidRPr="000715D4">
        <w:rPr>
          <w:rFonts w:cstheme="minorHAnsi"/>
        </w:rPr>
        <w:t>.5</w:t>
      </w:r>
      <w:r w:rsidR="00BF45E9" w:rsidRPr="000715D4">
        <w:rPr>
          <w:rFonts w:cstheme="minorHAnsi"/>
        </w:rPr>
        <w:t xml:space="preserve"> µl/sample) onto </w:t>
      </w:r>
      <w:r w:rsidR="00AE73EA" w:rsidRPr="000715D4">
        <w:rPr>
          <w:rFonts w:cstheme="minorHAnsi"/>
        </w:rPr>
        <w:t xml:space="preserve">0.45 µm </w:t>
      </w:r>
      <w:r w:rsidR="00BF45E9" w:rsidRPr="000715D4">
        <w:rPr>
          <w:rFonts w:cstheme="minorHAnsi"/>
        </w:rPr>
        <w:t xml:space="preserve">nitrocellulose </w:t>
      </w:r>
      <w:r w:rsidR="00C565E6" w:rsidRPr="000715D4">
        <w:rPr>
          <w:rFonts w:cstheme="minorHAnsi"/>
        </w:rPr>
        <w:t xml:space="preserve">membrane </w:t>
      </w:r>
      <w:r w:rsidR="005D56ED" w:rsidRPr="000715D4">
        <w:rPr>
          <w:rFonts w:cstheme="minorHAnsi"/>
        </w:rPr>
        <w:t xml:space="preserve">and left to dry </w:t>
      </w:r>
      <w:r w:rsidR="00680E99" w:rsidRPr="000715D4">
        <w:rPr>
          <w:rFonts w:cstheme="minorHAnsi"/>
        </w:rPr>
        <w:t>overnight at room temperature</w:t>
      </w:r>
      <w:r w:rsidR="005D56ED" w:rsidRPr="000715D4">
        <w:rPr>
          <w:rFonts w:cstheme="minorHAnsi"/>
        </w:rPr>
        <w:t xml:space="preserve">. Membranes were blocked in </w:t>
      </w:r>
      <w:r w:rsidR="004F7BB1" w:rsidRPr="000715D4">
        <w:rPr>
          <w:rFonts w:cstheme="minorHAnsi"/>
        </w:rPr>
        <w:t xml:space="preserve">5% non-fat milk in Tris-Buffered Saline with Tween-20 (0.1%) (TBST) for 3 hrs prior to incubation in primary </w:t>
      </w:r>
      <w:r w:rsidR="00D82105" w:rsidRPr="000715D4">
        <w:rPr>
          <w:rFonts w:cstheme="minorHAnsi"/>
        </w:rPr>
        <w:t>antibod</w:t>
      </w:r>
      <w:r w:rsidR="006A2941" w:rsidRPr="000715D4">
        <w:rPr>
          <w:rFonts w:cstheme="minorHAnsi"/>
        </w:rPr>
        <w:t xml:space="preserve">y (either </w:t>
      </w:r>
      <w:r w:rsidR="002A2CCA" w:rsidRPr="000715D4">
        <w:rPr>
          <w:rFonts w:cstheme="minorHAnsi"/>
        </w:rPr>
        <w:t>mouse anti-</w:t>
      </w:r>
      <w:r w:rsidR="00F00F55" w:rsidRPr="000715D4">
        <w:t>MC1 (abnormal AD tau conformation)</w:t>
      </w:r>
      <w:r w:rsidR="006D3CB8" w:rsidRPr="000715D4">
        <w:t xml:space="preserve"> (kind gift from the late Prof Peter Davies)</w:t>
      </w:r>
      <w:r w:rsidR="006A2941" w:rsidRPr="000715D4">
        <w:t xml:space="preserve">, </w:t>
      </w:r>
      <w:r w:rsidR="002A2CCA" w:rsidRPr="000715D4">
        <w:t>mouse anti-</w:t>
      </w:r>
      <w:r w:rsidR="00F00F55" w:rsidRPr="000715D4">
        <w:t xml:space="preserve">TG5 (total tau) (kind gift from the late Prof Peter Davies), </w:t>
      </w:r>
      <w:r w:rsidR="002A2CCA" w:rsidRPr="000715D4">
        <w:t>mouse anti-</w:t>
      </w:r>
      <w:r w:rsidR="00F00F55" w:rsidRPr="000715D4">
        <w:t xml:space="preserve">RD4 (1E/A6) (kind gift from Prof Rohan de Silva </w:t>
      </w:r>
      <w:r w:rsidR="00F00F55" w:rsidRPr="000715D4">
        <w:fldChar w:fldCharType="begin"/>
      </w:r>
      <w:r w:rsidR="00963E49" w:rsidRPr="000715D4">
        <w:instrText xml:space="preserve"> ADDIN EN.CITE &lt;EndNote&gt;&lt;Cite&gt;&lt;Author&gt;De Silva&lt;/Author&gt;&lt;Year&gt;2003&lt;/Year&gt;&lt;RecNum&gt;25&lt;/RecNum&gt;&lt;DisplayText&gt;(De Silva et al., 2003)&lt;/DisplayText&gt;&lt;record&gt;&lt;rec-number&gt;25&lt;/rec-number&gt;&lt;foreign-keys&gt;&lt;key app="EN" db-id="z2tttpzt3ew0wdespzcppp590zafefdawe2e" timestamp="1677509466"&gt;25&lt;/key&gt;&lt;/foreign-keys&gt;&lt;ref-type name="Journal Article"&gt;17&lt;/ref-type&gt;&lt;contributors&gt;&lt;authors&gt;&lt;author&gt;De Silva, R.&lt;/author&gt;&lt;author&gt;Lashley, T.&lt;/author&gt;&lt;author&gt;Gibb, G.&lt;/author&gt;&lt;author&gt;Hanger, D.&lt;/author&gt;&lt;author&gt;Hope, A.&lt;/author&gt;&lt;author&gt;Reid, A.&lt;/author&gt;&lt;author&gt;Bandopadhyay, R.&lt;/author&gt;&lt;author&gt;Utton, M.&lt;/author&gt;&lt;author&gt;Strand, C.&lt;/author&gt;&lt;author&gt;Jowett, T.&lt;/author&gt;&lt;author&gt;Khan, N.&lt;/author&gt;&lt;author&gt;Anderton, B.&lt;/author&gt;&lt;author&gt;Wood, N.&lt;/author&gt;&lt;author&gt;Holton, J.&lt;/author&gt;&lt;author&gt;Revesz, T.&lt;/author&gt;&lt;author&gt;Lees, A.&lt;/author&gt;&lt;/authors&gt;&lt;/contributors&gt;&lt;titles&gt;&lt;title&gt;Pathological inclusion bodies in tauopathies contain distinct complements of tau with three or four microtubule-binding repeat domains as demonstrated by new specific monoclonal antibodies&lt;/title&gt;&lt;secondary-title&gt;Neuropathology and Applied Neurobiology&lt;/secondary-title&gt;&lt;/titles&gt;&lt;periodical&gt;&lt;full-title&gt;Neuropathology and Applied Neurobiology&lt;/full-title&gt;&lt;/periodical&gt;&lt;pages&gt;288-302&lt;/pages&gt;&lt;volume&gt;29&lt;/volume&gt;&lt;number&gt;3&lt;/number&gt;&lt;dates&gt;&lt;year&gt;2003&lt;/year&gt;&lt;/dates&gt;&lt;isbn&gt;0305-1846&lt;/isbn&gt;&lt;urls&gt;&lt;related-urls&gt;&lt;url&gt;https://onlinelibrary.wiley.com/doi/abs/10.1046/j.1365-2990.2003.00463.x&lt;/url&gt;&lt;/related-urls&gt;&lt;/urls&gt;&lt;electronic-resource-num&gt;https://doi.org/10.1046/j.1365-2990.2003.00463.x&lt;/electronic-resource-num&gt;&lt;/record&gt;&lt;/Cite&gt;&lt;/EndNote&gt;</w:instrText>
      </w:r>
      <w:r w:rsidR="00F00F55" w:rsidRPr="000715D4">
        <w:fldChar w:fldCharType="separate"/>
      </w:r>
      <w:r w:rsidR="00963E49" w:rsidRPr="000715D4">
        <w:rPr>
          <w:noProof/>
        </w:rPr>
        <w:t>(De Silva et al., 2003)</w:t>
      </w:r>
      <w:r w:rsidR="00F00F55" w:rsidRPr="000715D4">
        <w:fldChar w:fldCharType="end"/>
      </w:r>
      <w:r w:rsidR="003255C9" w:rsidRPr="000715D4">
        <w:t>)</w:t>
      </w:r>
      <w:r w:rsidR="002A2CCA" w:rsidRPr="000715D4">
        <w:t>, or mouse anti-</w:t>
      </w:r>
      <w:r w:rsidR="002A2CCA" w:rsidRPr="000715D4">
        <w:rPr>
          <w:rFonts w:cstheme="minorHAnsi"/>
        </w:rPr>
        <w:t>β</w:t>
      </w:r>
      <w:r w:rsidR="002A2CCA" w:rsidRPr="000715D4">
        <w:t>-Actin</w:t>
      </w:r>
      <w:r w:rsidR="0048482C" w:rsidRPr="000715D4">
        <w:t xml:space="preserve"> (ab</w:t>
      </w:r>
      <w:r w:rsidR="00D96785" w:rsidRPr="000715D4">
        <w:t>8226, Abcam, UK)</w:t>
      </w:r>
      <w:r w:rsidR="00E86A35" w:rsidRPr="000715D4">
        <w:t>,</w:t>
      </w:r>
      <w:r w:rsidR="003255C9" w:rsidRPr="000715D4">
        <w:t xml:space="preserve"> at 1:500</w:t>
      </w:r>
      <w:r w:rsidR="00272A70" w:rsidRPr="000715D4">
        <w:t xml:space="preserve"> in 1% </w:t>
      </w:r>
      <w:r w:rsidR="00272A70" w:rsidRPr="000715D4">
        <w:rPr>
          <w:rFonts w:cstheme="minorHAnsi"/>
        </w:rPr>
        <w:t>non-fat milk in TBST overnight at 4</w:t>
      </w:r>
      <w:r w:rsidR="006F5767" w:rsidRPr="000715D4">
        <w:rPr>
          <w:rFonts w:cstheme="minorHAnsi"/>
        </w:rPr>
        <w:t xml:space="preserve"> </w:t>
      </w:r>
      <w:r w:rsidR="00272A70" w:rsidRPr="000715D4">
        <w:rPr>
          <w:rFonts w:cstheme="minorHAnsi"/>
        </w:rPr>
        <w:t xml:space="preserve">°C. </w:t>
      </w:r>
      <w:r w:rsidR="00D96785" w:rsidRPr="000715D4">
        <w:rPr>
          <w:rFonts w:cstheme="minorHAnsi"/>
        </w:rPr>
        <w:t xml:space="preserve">Membranes were then washed and incubated in </w:t>
      </w:r>
      <w:r w:rsidR="00224848" w:rsidRPr="000715D4">
        <w:rPr>
          <w:rFonts w:cstheme="minorHAnsi"/>
        </w:rPr>
        <w:t xml:space="preserve">goat </w:t>
      </w:r>
      <w:r w:rsidR="00D345C8" w:rsidRPr="000715D4">
        <w:rPr>
          <w:rFonts w:cstheme="minorHAnsi"/>
        </w:rPr>
        <w:t xml:space="preserve">anti-mouse </w:t>
      </w:r>
      <w:r w:rsidR="00D96785" w:rsidRPr="000715D4">
        <w:rPr>
          <w:rFonts w:cstheme="minorHAnsi"/>
        </w:rPr>
        <w:t xml:space="preserve">HRP-conjugated </w:t>
      </w:r>
      <w:r w:rsidR="00D345C8" w:rsidRPr="000715D4">
        <w:rPr>
          <w:rFonts w:cstheme="minorHAnsi"/>
        </w:rPr>
        <w:t>secondary antibody (</w:t>
      </w:r>
      <w:r w:rsidR="00B27ED5" w:rsidRPr="000715D4">
        <w:rPr>
          <w:rFonts w:cstheme="minorHAnsi"/>
        </w:rPr>
        <w:t>ab6789, Abcam, UK), 1:1</w:t>
      </w:r>
      <w:r w:rsidR="00392D61" w:rsidRPr="000715D4">
        <w:rPr>
          <w:rFonts w:cstheme="minorHAnsi"/>
        </w:rPr>
        <w:t>,</w:t>
      </w:r>
      <w:r w:rsidR="00B27ED5" w:rsidRPr="000715D4">
        <w:rPr>
          <w:rFonts w:cstheme="minorHAnsi"/>
        </w:rPr>
        <w:t xml:space="preserve">000 </w:t>
      </w:r>
      <w:r w:rsidR="00460E5D" w:rsidRPr="000715D4">
        <w:t xml:space="preserve">in 1% </w:t>
      </w:r>
      <w:r w:rsidR="00460E5D" w:rsidRPr="000715D4">
        <w:rPr>
          <w:rFonts w:cstheme="minorHAnsi"/>
        </w:rPr>
        <w:t xml:space="preserve">non-fat milk in TBST for 3 hrs at room temperature. </w:t>
      </w:r>
      <w:r w:rsidR="009729BE" w:rsidRPr="000715D4">
        <w:rPr>
          <w:rFonts w:cstheme="minorHAnsi"/>
        </w:rPr>
        <w:t xml:space="preserve">Membranes were </w:t>
      </w:r>
      <w:r w:rsidR="006B768B" w:rsidRPr="000715D4">
        <w:rPr>
          <w:rFonts w:cstheme="minorHAnsi"/>
        </w:rPr>
        <w:t xml:space="preserve">washed and then </w:t>
      </w:r>
      <w:r w:rsidR="005038A1" w:rsidRPr="000715D4">
        <w:rPr>
          <w:rFonts w:cstheme="minorHAnsi"/>
        </w:rPr>
        <w:t xml:space="preserve">incubated </w:t>
      </w:r>
      <w:r w:rsidR="00327621" w:rsidRPr="000715D4">
        <w:rPr>
          <w:rFonts w:cstheme="minorHAnsi"/>
        </w:rPr>
        <w:t>with</w:t>
      </w:r>
      <w:r w:rsidR="005038A1" w:rsidRPr="000715D4">
        <w:rPr>
          <w:rFonts w:cstheme="minorHAnsi"/>
        </w:rPr>
        <w:t xml:space="preserve"> chemiluminescent </w:t>
      </w:r>
      <w:r w:rsidR="00327621" w:rsidRPr="000715D4">
        <w:rPr>
          <w:rFonts w:cstheme="minorHAnsi"/>
        </w:rPr>
        <w:t>substrate</w:t>
      </w:r>
      <w:r w:rsidR="005038A1" w:rsidRPr="000715D4">
        <w:rPr>
          <w:rFonts w:cstheme="minorHAnsi"/>
        </w:rPr>
        <w:t xml:space="preserve"> (</w:t>
      </w:r>
      <w:proofErr w:type="spellStart"/>
      <w:r w:rsidR="005038A1" w:rsidRPr="000715D4">
        <w:rPr>
          <w:rFonts w:cstheme="minorHAnsi"/>
        </w:rPr>
        <w:t>SuperSignal</w:t>
      </w:r>
      <w:proofErr w:type="spellEnd"/>
      <w:r w:rsidR="005038A1" w:rsidRPr="000715D4">
        <w:rPr>
          <w:rFonts w:cstheme="minorHAnsi"/>
        </w:rPr>
        <w:t xml:space="preserve">™ West Pico PLUS, </w:t>
      </w:r>
      <w:proofErr w:type="spellStart"/>
      <w:r w:rsidR="005038A1" w:rsidRPr="000715D4">
        <w:rPr>
          <w:rFonts w:cstheme="minorHAnsi"/>
        </w:rPr>
        <w:t>ThermoFisher</w:t>
      </w:r>
      <w:proofErr w:type="spellEnd"/>
      <w:r w:rsidR="005038A1" w:rsidRPr="000715D4">
        <w:rPr>
          <w:rFonts w:cstheme="minorHAnsi"/>
        </w:rPr>
        <w:t xml:space="preserve"> Scientific, UK)</w:t>
      </w:r>
      <w:r w:rsidR="00A63B33" w:rsidRPr="000715D4">
        <w:rPr>
          <w:rFonts w:cstheme="minorHAnsi"/>
        </w:rPr>
        <w:t xml:space="preserve"> and imaged on </w:t>
      </w:r>
      <w:r w:rsidR="00D47DDD" w:rsidRPr="000715D4">
        <w:rPr>
          <w:rFonts w:cstheme="minorHAnsi"/>
        </w:rPr>
        <w:t xml:space="preserve">an </w:t>
      </w:r>
      <w:proofErr w:type="spellStart"/>
      <w:r w:rsidR="00D47DDD" w:rsidRPr="000715D4">
        <w:rPr>
          <w:rFonts w:cstheme="minorHAnsi"/>
        </w:rPr>
        <w:t>ImageQuant</w:t>
      </w:r>
      <w:proofErr w:type="spellEnd"/>
      <w:r w:rsidR="00D47DDD" w:rsidRPr="000715D4">
        <w:rPr>
          <w:rFonts w:cstheme="minorHAnsi"/>
        </w:rPr>
        <w:t xml:space="preserve"> 800 </w:t>
      </w:r>
      <w:r w:rsidR="00491E78" w:rsidRPr="000715D4">
        <w:rPr>
          <w:rFonts w:cstheme="minorHAnsi"/>
        </w:rPr>
        <w:t>multimode gel imager (</w:t>
      </w:r>
      <w:proofErr w:type="spellStart"/>
      <w:r w:rsidR="00491E78" w:rsidRPr="000715D4">
        <w:rPr>
          <w:rFonts w:cstheme="minorHAnsi"/>
        </w:rPr>
        <w:t>Cytiva</w:t>
      </w:r>
      <w:proofErr w:type="spellEnd"/>
      <w:r w:rsidR="00491E78" w:rsidRPr="000715D4">
        <w:rPr>
          <w:rFonts w:cstheme="minorHAnsi"/>
        </w:rPr>
        <w:t xml:space="preserve"> (GE Healthcare), UK). </w:t>
      </w:r>
    </w:p>
    <w:p w14:paraId="5883563A" w14:textId="77777777" w:rsidR="006E7BBD" w:rsidRPr="000715D4" w:rsidRDefault="00E22DC4" w:rsidP="00F1519F">
      <w:pPr>
        <w:spacing w:line="360" w:lineRule="auto"/>
        <w:rPr>
          <w:rFonts w:cstheme="minorHAnsi"/>
          <w:i/>
          <w:iCs/>
        </w:rPr>
      </w:pPr>
      <w:r w:rsidRPr="000715D4">
        <w:rPr>
          <w:rFonts w:cstheme="minorHAnsi"/>
          <w:i/>
          <w:iCs/>
        </w:rPr>
        <w:t>Thioflavin T</w:t>
      </w:r>
      <w:r w:rsidR="00CD38EB" w:rsidRPr="000715D4">
        <w:rPr>
          <w:rFonts w:cstheme="minorHAnsi"/>
          <w:i/>
          <w:iCs/>
        </w:rPr>
        <w:t xml:space="preserve"> </w:t>
      </w:r>
      <w:r w:rsidR="003337E3" w:rsidRPr="000715D4">
        <w:rPr>
          <w:rFonts w:cstheme="minorHAnsi"/>
          <w:i/>
          <w:iCs/>
        </w:rPr>
        <w:t>Incubation</w:t>
      </w:r>
    </w:p>
    <w:p w14:paraId="021BDB3E" w14:textId="4B01FE05" w:rsidR="001C68DF" w:rsidRPr="000715D4" w:rsidRDefault="001C68DF" w:rsidP="00F1519F">
      <w:pPr>
        <w:spacing w:line="360" w:lineRule="auto"/>
      </w:pPr>
      <w:r w:rsidRPr="000715D4">
        <w:t xml:space="preserve">The presence of amyloid structures in </w:t>
      </w:r>
      <w:r w:rsidRPr="000715D4">
        <w:rPr>
          <w:rFonts w:cstheme="minorHAnsi"/>
          <w:vertAlign w:val="superscript"/>
        </w:rPr>
        <w:t>P301S</w:t>
      </w:r>
      <w:r w:rsidRPr="000715D4">
        <w:rPr>
          <w:rFonts w:cstheme="minorHAnsi"/>
        </w:rPr>
        <w:t xml:space="preserve">BE (and not </w:t>
      </w:r>
      <w:r w:rsidRPr="000715D4">
        <w:rPr>
          <w:rFonts w:cstheme="minorHAnsi"/>
          <w:vertAlign w:val="superscript"/>
        </w:rPr>
        <w:t>WT</w:t>
      </w:r>
      <w:r w:rsidRPr="000715D4">
        <w:rPr>
          <w:rFonts w:cstheme="minorHAnsi"/>
        </w:rPr>
        <w:t>BE)</w:t>
      </w:r>
      <w:r w:rsidR="00940168" w:rsidRPr="000715D4">
        <w:rPr>
          <w:rFonts w:cstheme="minorHAnsi"/>
        </w:rPr>
        <w:t xml:space="preserve"> was confirmed </w:t>
      </w:r>
      <w:r w:rsidR="00DC2C48" w:rsidRPr="000715D4">
        <w:rPr>
          <w:rFonts w:cstheme="minorHAnsi"/>
        </w:rPr>
        <w:t>by</w:t>
      </w:r>
      <w:r w:rsidR="00DC2156" w:rsidRPr="000715D4">
        <w:rPr>
          <w:rFonts w:cstheme="minorHAnsi"/>
        </w:rPr>
        <w:t xml:space="preserve"> fluorescence upon</w:t>
      </w:r>
      <w:r w:rsidR="00DC2C48" w:rsidRPr="000715D4">
        <w:rPr>
          <w:rFonts w:cstheme="minorHAnsi"/>
        </w:rPr>
        <w:t xml:space="preserve"> incubation with Thioflavin </w:t>
      </w:r>
      <w:r w:rsidR="00B1048C" w:rsidRPr="000715D4">
        <w:rPr>
          <w:rFonts w:cstheme="minorHAnsi"/>
        </w:rPr>
        <w:t>T</w:t>
      </w:r>
      <w:r w:rsidR="003715D2" w:rsidRPr="000715D4">
        <w:rPr>
          <w:rFonts w:cstheme="minorHAnsi"/>
        </w:rPr>
        <w:t>. For this,</w:t>
      </w:r>
      <w:r w:rsidR="00CF4B12" w:rsidRPr="000715D4">
        <w:rPr>
          <w:rFonts w:cstheme="minorHAnsi"/>
        </w:rPr>
        <w:t xml:space="preserve"> brain extracts were diluted to a final concentration of 1:100 </w:t>
      </w:r>
      <w:r w:rsidR="004F167C" w:rsidRPr="000715D4">
        <w:rPr>
          <w:rFonts w:cstheme="minorHAnsi"/>
        </w:rPr>
        <w:t xml:space="preserve">in </w:t>
      </w:r>
      <w:r w:rsidR="00904628" w:rsidRPr="000715D4">
        <w:rPr>
          <w:rFonts w:cstheme="minorHAnsi"/>
        </w:rPr>
        <w:t>12.5 µM Thioflavin T in PBS</w:t>
      </w:r>
      <w:r w:rsidR="008F4189" w:rsidRPr="000715D4">
        <w:rPr>
          <w:rFonts w:cstheme="minorHAnsi"/>
        </w:rPr>
        <w:t xml:space="preserve">. </w:t>
      </w:r>
      <w:r w:rsidR="00E930CF" w:rsidRPr="000715D4">
        <w:rPr>
          <w:rFonts w:cstheme="minorHAnsi"/>
        </w:rPr>
        <w:t>Solution</w:t>
      </w:r>
      <w:r w:rsidR="00F55410" w:rsidRPr="000715D4">
        <w:rPr>
          <w:rFonts w:cstheme="minorHAnsi"/>
        </w:rPr>
        <w:t>s were plated in triplicate in a black, clear bottomed 96-well plate</w:t>
      </w:r>
      <w:r w:rsidR="008353D4" w:rsidRPr="000715D4">
        <w:rPr>
          <w:rFonts w:cstheme="minorHAnsi"/>
        </w:rPr>
        <w:t xml:space="preserve"> and fluorescence measured in wells on a </w:t>
      </w:r>
      <w:proofErr w:type="spellStart"/>
      <w:r w:rsidR="008353D4" w:rsidRPr="000715D4">
        <w:rPr>
          <w:rFonts w:cstheme="minorHAnsi"/>
        </w:rPr>
        <w:t>Varioskan</w:t>
      </w:r>
      <w:proofErr w:type="spellEnd"/>
      <w:r w:rsidR="008353D4" w:rsidRPr="000715D4">
        <w:rPr>
          <w:rFonts w:cstheme="minorHAnsi"/>
        </w:rPr>
        <w:t xml:space="preserve"> LUX microplate reader (</w:t>
      </w:r>
      <w:proofErr w:type="spellStart"/>
      <w:r w:rsidR="008353D4" w:rsidRPr="000715D4">
        <w:rPr>
          <w:rFonts w:cstheme="minorHAnsi"/>
        </w:rPr>
        <w:t>ThermoFisher</w:t>
      </w:r>
      <w:proofErr w:type="spellEnd"/>
      <w:r w:rsidR="008353D4" w:rsidRPr="000715D4">
        <w:rPr>
          <w:rFonts w:cstheme="minorHAnsi"/>
        </w:rPr>
        <w:t xml:space="preserve"> </w:t>
      </w:r>
      <w:r w:rsidR="008353D4" w:rsidRPr="000715D4">
        <w:rPr>
          <w:rFonts w:cstheme="minorHAnsi"/>
        </w:rPr>
        <w:lastRenderedPageBreak/>
        <w:t>Scientific, UK)</w:t>
      </w:r>
      <w:r w:rsidR="007047F6" w:rsidRPr="000715D4">
        <w:rPr>
          <w:rFonts w:cstheme="minorHAnsi"/>
        </w:rPr>
        <w:t xml:space="preserve">, with excitation at 444 nm and emission at 478 nm. </w:t>
      </w:r>
      <w:r w:rsidR="000A3295" w:rsidRPr="000715D4">
        <w:rPr>
          <w:rFonts w:cstheme="minorHAnsi"/>
        </w:rPr>
        <w:t xml:space="preserve">Background (12.5 µM Thioflavin T in PBS) readings were </w:t>
      </w:r>
      <w:r w:rsidR="00F47E68" w:rsidRPr="000715D4">
        <w:rPr>
          <w:rFonts w:cstheme="minorHAnsi"/>
        </w:rPr>
        <w:t>subtracted,</w:t>
      </w:r>
      <w:r w:rsidR="000A3295" w:rsidRPr="000715D4">
        <w:rPr>
          <w:rFonts w:cstheme="minorHAnsi"/>
        </w:rPr>
        <w:t xml:space="preserve"> and </w:t>
      </w:r>
      <w:r w:rsidR="007C4CD9" w:rsidRPr="000715D4">
        <w:rPr>
          <w:rFonts w:cstheme="minorHAnsi"/>
        </w:rPr>
        <w:t xml:space="preserve">signal intensities </w:t>
      </w:r>
      <w:r w:rsidR="00C32566" w:rsidRPr="000715D4">
        <w:rPr>
          <w:rFonts w:cstheme="minorHAnsi"/>
        </w:rPr>
        <w:t>(</w:t>
      </w:r>
      <w:proofErr w:type="spellStart"/>
      <w:r w:rsidR="00C32566" w:rsidRPr="000715D4">
        <w:rPr>
          <w:rFonts w:cstheme="minorHAnsi"/>
        </w:rPr>
        <w:t>a.u</w:t>
      </w:r>
      <w:proofErr w:type="spellEnd"/>
      <w:r w:rsidR="00C32566" w:rsidRPr="000715D4">
        <w:rPr>
          <w:rFonts w:cstheme="minorHAnsi"/>
        </w:rPr>
        <w:t xml:space="preserve">.) directly </w:t>
      </w:r>
      <w:r w:rsidR="007C4CD9" w:rsidRPr="000715D4">
        <w:rPr>
          <w:rFonts w:cstheme="minorHAnsi"/>
        </w:rPr>
        <w:t xml:space="preserve">reported. </w:t>
      </w:r>
    </w:p>
    <w:p w14:paraId="28C21F9C" w14:textId="77777777" w:rsidR="001E3993" w:rsidRPr="000715D4" w:rsidRDefault="001E3993" w:rsidP="00F1519F">
      <w:pPr>
        <w:spacing w:line="360" w:lineRule="auto"/>
        <w:rPr>
          <w:rFonts w:cstheme="minorHAnsi"/>
          <w:b/>
          <w:bCs/>
        </w:rPr>
      </w:pPr>
    </w:p>
    <w:p w14:paraId="5ACEEECC" w14:textId="1874D7B9" w:rsidR="00F1519F" w:rsidRPr="000715D4" w:rsidRDefault="00EC645D" w:rsidP="00F1519F">
      <w:pPr>
        <w:spacing w:line="360" w:lineRule="auto"/>
        <w:rPr>
          <w:rFonts w:cstheme="minorHAnsi"/>
          <w:b/>
          <w:bCs/>
        </w:rPr>
      </w:pPr>
      <w:r w:rsidRPr="000715D4">
        <w:rPr>
          <w:rFonts w:cstheme="minorHAnsi"/>
          <w:b/>
          <w:bCs/>
        </w:rPr>
        <w:t xml:space="preserve">Brain and </w:t>
      </w:r>
      <w:r w:rsidR="00F1519F" w:rsidRPr="000715D4">
        <w:rPr>
          <w:rFonts w:cstheme="minorHAnsi"/>
          <w:b/>
          <w:bCs/>
        </w:rPr>
        <w:t>CSF Extraction and Analysis</w:t>
      </w:r>
    </w:p>
    <w:p w14:paraId="1C093D79" w14:textId="6527D663" w:rsidR="00171A75" w:rsidRPr="000715D4" w:rsidRDefault="00F1519F" w:rsidP="00CF60E0">
      <w:pPr>
        <w:spacing w:line="360" w:lineRule="auto"/>
      </w:pPr>
      <w:r w:rsidRPr="000715D4">
        <w:t xml:space="preserve">For drug efficacy study of TGN-020 in relation to </w:t>
      </w:r>
      <w:r w:rsidRPr="000715D4">
        <w:rPr>
          <w:rFonts w:cstheme="minorHAnsi"/>
        </w:rPr>
        <w:t xml:space="preserve">brain tau clearance, </w:t>
      </w:r>
      <w:r w:rsidR="004307E6" w:rsidRPr="000715D4">
        <w:rPr>
          <w:rFonts w:cstheme="minorHAnsi"/>
        </w:rPr>
        <w:t xml:space="preserve">after drug treatment, CSF was extracted from mice </w:t>
      </w:r>
      <w:r w:rsidR="004307E6" w:rsidRPr="000715D4">
        <w:t>for quantification of tau content following its intracerebral infusion.</w:t>
      </w:r>
      <w:r w:rsidR="00EB4EE1" w:rsidRPr="000715D4">
        <w:rPr>
          <w:rFonts w:cstheme="minorHAnsi"/>
        </w:rPr>
        <w:t xml:space="preserve"> </w:t>
      </w:r>
      <w:r w:rsidRPr="000715D4">
        <w:t xml:space="preserve">For this, mice </w:t>
      </w:r>
      <w:r w:rsidR="004307E6" w:rsidRPr="000715D4">
        <w:rPr>
          <w:rFonts w:cstheme="minorHAnsi"/>
        </w:rPr>
        <w:t>were treated with TGN-020 (50 mg/kg</w:t>
      </w:r>
      <w:r w:rsidR="00CA563A" w:rsidRPr="000715D4">
        <w:rPr>
          <w:rFonts w:cstheme="minorHAnsi"/>
        </w:rPr>
        <w:t xml:space="preserve"> in 20mg/kg saline or 20mg/ml saline alone, </w:t>
      </w:r>
      <w:proofErr w:type="spellStart"/>
      <w:r w:rsidR="00CA563A" w:rsidRPr="000715D4">
        <w:rPr>
          <w:rFonts w:cstheme="minorHAnsi"/>
        </w:rPr>
        <w:t>i.p.</w:t>
      </w:r>
      <w:proofErr w:type="spellEnd"/>
      <w:r w:rsidR="004307E6" w:rsidRPr="000715D4">
        <w:rPr>
          <w:rFonts w:cstheme="minorHAnsi"/>
        </w:rPr>
        <w:t xml:space="preserve">) </w:t>
      </w:r>
      <w:r w:rsidR="00B65B0A" w:rsidRPr="000715D4">
        <w:rPr>
          <w:rFonts w:cstheme="minorHAnsi"/>
        </w:rPr>
        <w:t xml:space="preserve">ahead of being </w:t>
      </w:r>
      <w:r w:rsidRPr="000715D4">
        <w:t>anesthetized with 2% isoflurane in O</w:t>
      </w:r>
      <w:r w:rsidRPr="000715D4">
        <w:rPr>
          <w:vertAlign w:val="subscript"/>
        </w:rPr>
        <w:t>2</w:t>
      </w:r>
      <w:r w:rsidRPr="000715D4">
        <w:t xml:space="preserve"> at a delivery rate of 1 l/min and positioned in a stereotaxic frame</w:t>
      </w:r>
      <w:r w:rsidR="00CA4608" w:rsidRPr="000715D4">
        <w:t>. A midline incision was made on the top of the head to expose the skull and a burr hole made with a microdrill above the injection location (+2.5 mm anteroposterior, and +2 mm mediolateral to bregma). 2.5 µl</w:t>
      </w:r>
      <w:r w:rsidR="009735AD" w:rsidRPr="000715D4">
        <w:t xml:space="preserve"> of</w:t>
      </w:r>
      <w:r w:rsidR="00996DDE" w:rsidRPr="000715D4">
        <w:t xml:space="preserve"> either</w:t>
      </w:r>
      <w:r w:rsidR="00CA4608" w:rsidRPr="000715D4">
        <w:t xml:space="preserve"> </w:t>
      </w:r>
      <w:r w:rsidR="00CA4608" w:rsidRPr="000715D4">
        <w:rPr>
          <w:vertAlign w:val="superscript"/>
        </w:rPr>
        <w:t>P301S</w:t>
      </w:r>
      <w:r w:rsidR="00CA4608" w:rsidRPr="000715D4">
        <w:t xml:space="preserve">BE or </w:t>
      </w:r>
      <w:r w:rsidR="001F3A61" w:rsidRPr="000715D4">
        <w:t xml:space="preserve">artificial CSF (control) </w:t>
      </w:r>
      <w:r w:rsidR="00CA4608" w:rsidRPr="000715D4">
        <w:t xml:space="preserve">was infused at a rate of 0.5 µl/min into the hippocampus (-1.8 mm </w:t>
      </w:r>
      <w:proofErr w:type="spellStart"/>
      <w:r w:rsidR="00CA4608" w:rsidRPr="000715D4">
        <w:t>ventrodorsal</w:t>
      </w:r>
      <w:proofErr w:type="spellEnd"/>
      <w:r w:rsidR="00CA4608" w:rsidRPr="000715D4">
        <w:t xml:space="preserve"> to the brain surface respectively) using a 5 µl Hamilton syringe</w:t>
      </w:r>
      <w:r w:rsidR="00EB2990" w:rsidRPr="000715D4">
        <w:t>, 15</w:t>
      </w:r>
      <w:r w:rsidR="007B40AA" w:rsidRPr="000715D4">
        <w:t xml:space="preserve"> </w:t>
      </w:r>
      <w:r w:rsidR="00EB2990" w:rsidRPr="000715D4">
        <w:t>min after drug treatment.</w:t>
      </w:r>
      <w:r w:rsidR="004B19C7" w:rsidRPr="000715D4">
        <w:t xml:space="preserve"> </w:t>
      </w:r>
      <w:bookmarkStart w:id="0" w:name="_Int_U9kjArzc"/>
      <w:r w:rsidRPr="000715D4">
        <w:t xml:space="preserve">A midline incision was </w:t>
      </w:r>
      <w:r w:rsidR="004B19C7" w:rsidRPr="000715D4">
        <w:t xml:space="preserve">then </w:t>
      </w:r>
      <w:r w:rsidRPr="000715D4">
        <w:t>made at a midpoint between the skull base and the occipital margin to the first vertebrae.</w:t>
      </w:r>
      <w:bookmarkEnd w:id="0"/>
      <w:r w:rsidRPr="000715D4">
        <w:t xml:space="preserve"> The underlying muscles were parted to expose the </w:t>
      </w:r>
      <w:proofErr w:type="spellStart"/>
      <w:r w:rsidRPr="000715D4">
        <w:t>atlanto</w:t>
      </w:r>
      <w:proofErr w:type="spellEnd"/>
      <w:r w:rsidRPr="000715D4">
        <w:t xml:space="preserve">-occipital membrane and dura mater overlaying the cisterna magna, which was cleaned with saline. A durotomy was performed </w:t>
      </w:r>
      <w:r w:rsidR="004B19C7" w:rsidRPr="000715D4">
        <w:t>15</w:t>
      </w:r>
      <w:r w:rsidR="007B40AA" w:rsidRPr="000715D4">
        <w:t xml:space="preserve"> </w:t>
      </w:r>
      <w:r w:rsidR="004B19C7" w:rsidRPr="000715D4">
        <w:t>min after intracerebral injection</w:t>
      </w:r>
      <w:r w:rsidR="00862EBA" w:rsidRPr="000715D4">
        <w:t xml:space="preserve">, </w:t>
      </w:r>
      <w:r w:rsidRPr="000715D4">
        <w:t>using a 23-gauge needle</w:t>
      </w:r>
      <w:r w:rsidR="00862EBA" w:rsidRPr="000715D4">
        <w:t>,</w:t>
      </w:r>
      <w:r w:rsidRPr="000715D4">
        <w:t xml:space="preserve"> allowing free-flowing CSF to be collected using a narrow bore pipette tip. At the end of this procedure, mice were killed by overdose with sodium pentobarbital (10 ml/kg, given intraperitoneally). </w:t>
      </w:r>
      <w:r w:rsidR="00C5173E" w:rsidRPr="000715D4">
        <w:t>T</w:t>
      </w:r>
      <w:r w:rsidR="00C5173E" w:rsidRPr="000715D4">
        <w:rPr>
          <w:rFonts w:cstheme="minorHAnsi"/>
        </w:rPr>
        <w:t xml:space="preserve">he brain was removed from the skull and snap frozen immediately on dry ice and stored at -80 °C until further processing. </w:t>
      </w:r>
      <w:r w:rsidRPr="000715D4">
        <w:t xml:space="preserve">The collected CSF was centrifuged briefly to pellet any red blood cell contamination. Spectrophotometric analysis (417 nm, </w:t>
      </w:r>
      <w:proofErr w:type="spellStart"/>
      <w:r w:rsidRPr="000715D4">
        <w:t>NanoDrop</w:t>
      </w:r>
      <w:proofErr w:type="spellEnd"/>
      <w:r w:rsidRPr="000715D4">
        <w:t xml:space="preserve"> ND-1000, Fisher Scientific, UK) of </w:t>
      </w:r>
      <w:proofErr w:type="spellStart"/>
      <w:r w:rsidRPr="000715D4">
        <w:t>hypotonically</w:t>
      </w:r>
      <w:proofErr w:type="spellEnd"/>
      <w:r w:rsidRPr="000715D4">
        <w:t xml:space="preserve"> disrupted blood cell contaminants (freeze-thawing of rehydrated blood pellets) measured blood contamination to be &lt;0.02% in all samples. Total tau concentration in CSF samples</w:t>
      </w:r>
      <w:r w:rsidR="00266A6D" w:rsidRPr="000715D4">
        <w:t xml:space="preserve"> and homogenised </w:t>
      </w:r>
      <w:r w:rsidR="002E5D9A" w:rsidRPr="000715D4">
        <w:t xml:space="preserve">(10% (w/v) in sterile phosphate-buffered saline (containing protease inhibitor cocktail, phosphatase inhibitor cocktails I and II (Sigma, UK), at a final dilution of 1:100, and 1 mM phenylmethylsulphonyl fluoride)) </w:t>
      </w:r>
      <w:r w:rsidR="00266A6D" w:rsidRPr="000715D4">
        <w:t>brain tissue</w:t>
      </w:r>
      <w:r w:rsidR="00D5657F" w:rsidRPr="000715D4">
        <w:t xml:space="preserve"> </w:t>
      </w:r>
      <w:r w:rsidRPr="000715D4">
        <w:t>was quantified by ELISA (Human Tau (total) ELISA kit (#KHB0041, Invitrogen, UK))</w:t>
      </w:r>
      <w:r w:rsidR="00B01E27" w:rsidRPr="000715D4">
        <w:t xml:space="preserve"> as above</w:t>
      </w:r>
      <w:r w:rsidRPr="000715D4">
        <w:t xml:space="preserve">. </w:t>
      </w:r>
      <w:r w:rsidR="009C6FC7" w:rsidRPr="000715D4">
        <w:t>CSF tau concentration</w:t>
      </w:r>
      <w:r w:rsidR="00CF60E0" w:rsidRPr="000715D4">
        <w:t xml:space="preserve"> (ng/ml)</w:t>
      </w:r>
      <w:r w:rsidR="009C6FC7" w:rsidRPr="000715D4">
        <w:t xml:space="preserve">, </w:t>
      </w:r>
      <w:r w:rsidR="00CF60E0" w:rsidRPr="000715D4">
        <w:t>and</w:t>
      </w:r>
      <w:r w:rsidR="009C6FC7" w:rsidRPr="000715D4">
        <w:t xml:space="preserve"> total brain tau</w:t>
      </w:r>
      <w:r w:rsidR="00CF60E0" w:rsidRPr="000715D4">
        <w:t xml:space="preserve"> (ng)</w:t>
      </w:r>
      <w:r w:rsidR="009C6FC7" w:rsidRPr="000715D4">
        <w:t>, are reported.</w:t>
      </w:r>
    </w:p>
    <w:p w14:paraId="6DC6E984" w14:textId="77777777" w:rsidR="00F64373" w:rsidRPr="000715D4" w:rsidRDefault="00F64373" w:rsidP="00F64373">
      <w:pPr>
        <w:spacing w:line="360" w:lineRule="auto"/>
        <w:rPr>
          <w:rFonts w:cstheme="minorHAnsi"/>
          <w:b/>
          <w:bCs/>
        </w:rPr>
      </w:pPr>
    </w:p>
    <w:p w14:paraId="3E840939" w14:textId="671D655F" w:rsidR="00F64373" w:rsidRPr="000715D4" w:rsidRDefault="00F64373" w:rsidP="00F64373">
      <w:pPr>
        <w:spacing w:line="360" w:lineRule="auto"/>
        <w:rPr>
          <w:rFonts w:cstheme="minorHAnsi"/>
          <w:b/>
          <w:bCs/>
        </w:rPr>
      </w:pPr>
      <w:r w:rsidRPr="000715D4">
        <w:rPr>
          <w:rFonts w:cstheme="minorHAnsi"/>
          <w:b/>
          <w:bCs/>
        </w:rPr>
        <w:t>AQP4 mRNA Expression Analysis</w:t>
      </w:r>
    </w:p>
    <w:p w14:paraId="6A62B096" w14:textId="77777777" w:rsidR="00F64373" w:rsidRPr="000715D4" w:rsidRDefault="00F64373" w:rsidP="00F64373">
      <w:pPr>
        <w:spacing w:line="360" w:lineRule="auto"/>
        <w:rPr>
          <w:rFonts w:cstheme="minorHAnsi"/>
        </w:rPr>
      </w:pPr>
      <w:r w:rsidRPr="000715D4">
        <w:rPr>
          <w:rFonts w:cstheme="minorHAnsi"/>
        </w:rPr>
        <w:t xml:space="preserve">AQP4 expression was measured in the ipsilateral hippocampus of study mice at various stages throughout the pathological progression of tau, in order to confirm its continued expression with </w:t>
      </w:r>
      <w:r w:rsidRPr="000715D4">
        <w:rPr>
          <w:rFonts w:cstheme="minorHAnsi"/>
        </w:rPr>
        <w:lastRenderedPageBreak/>
        <w:t xml:space="preserve">disease development. Mice received intracerebral infusion with either </w:t>
      </w:r>
      <w:r w:rsidRPr="000715D4">
        <w:rPr>
          <w:rFonts w:cstheme="minorHAnsi"/>
          <w:vertAlign w:val="superscript"/>
        </w:rPr>
        <w:t>WT</w:t>
      </w:r>
      <w:r w:rsidRPr="000715D4">
        <w:rPr>
          <w:rFonts w:cstheme="minorHAnsi"/>
        </w:rPr>
        <w:t xml:space="preserve">BE or </w:t>
      </w:r>
      <w:r w:rsidRPr="000715D4">
        <w:rPr>
          <w:rFonts w:cstheme="minorHAnsi"/>
          <w:vertAlign w:val="superscript"/>
        </w:rPr>
        <w:t>P301S</w:t>
      </w:r>
      <w:r w:rsidRPr="000715D4">
        <w:rPr>
          <w:rFonts w:cstheme="minorHAnsi"/>
        </w:rPr>
        <w:t xml:space="preserve">BE (see main text materials and methods) and were left to age for the appropriate time period, after which animals were killed by overdose with sodium pentobarbital (10 ml/kg, given intraperitoneally), the brain was removed from the skull and the ipsilateral hippocampus rapidly dissected out. Excised tissue was snap frozen immediately on dry ice and stored at -80 °C until further processing. mRNA was extracted from brain samples using the </w:t>
      </w:r>
      <w:proofErr w:type="spellStart"/>
      <w:r w:rsidRPr="000715D4">
        <w:rPr>
          <w:rFonts w:cstheme="minorHAnsi"/>
        </w:rPr>
        <w:t>PureLink</w:t>
      </w:r>
      <w:proofErr w:type="spellEnd"/>
      <w:r w:rsidRPr="000715D4">
        <w:rPr>
          <w:rFonts w:cstheme="minorHAnsi"/>
        </w:rPr>
        <w:t>™ RNA Mini Kit (</w:t>
      </w:r>
      <w:proofErr w:type="spellStart"/>
      <w:r w:rsidRPr="000715D4">
        <w:rPr>
          <w:rFonts w:cstheme="minorHAnsi"/>
        </w:rPr>
        <w:t>ThermoFisher</w:t>
      </w:r>
      <w:proofErr w:type="spellEnd"/>
      <w:r w:rsidRPr="000715D4">
        <w:rPr>
          <w:rFonts w:cstheme="minorHAnsi"/>
        </w:rPr>
        <w:t xml:space="preserve"> Scientific, UK) as per the manufacturer’s instructions, which yielded RNA with a 260/280 absorbance ratio of 2.04 (±0.04). RNA was converted to cDNA using the </w:t>
      </w:r>
      <w:proofErr w:type="spellStart"/>
      <w:r w:rsidRPr="000715D4">
        <w:rPr>
          <w:rFonts w:cstheme="minorHAnsi"/>
        </w:rPr>
        <w:t>QuantiTect</w:t>
      </w:r>
      <w:proofErr w:type="spellEnd"/>
      <w:r w:rsidRPr="000715D4">
        <w:rPr>
          <w:rFonts w:cstheme="minorHAnsi"/>
        </w:rPr>
        <w:t xml:space="preserve"> Reverse Transcription Kit (Qiagen, UK) as per the manufacturer’s instructions, which was then quantified by </w:t>
      </w:r>
      <w:proofErr w:type="spellStart"/>
      <w:r w:rsidRPr="000715D4">
        <w:rPr>
          <w:rFonts w:cstheme="minorHAnsi"/>
        </w:rPr>
        <w:t>qRT</w:t>
      </w:r>
      <w:proofErr w:type="spellEnd"/>
      <w:r w:rsidRPr="000715D4">
        <w:rPr>
          <w:rFonts w:cstheme="minorHAnsi"/>
        </w:rPr>
        <w:t xml:space="preserve">-PCR using TaqMan™ Universal PCR Master Mix and TaqMan™ probes against AQP4 (Mm00802131_m1), using GAPDH (Mm99999915_g1) and ACTB (Mm02619580_g1) as housekeeper controls (all </w:t>
      </w:r>
      <w:proofErr w:type="spellStart"/>
      <w:r w:rsidRPr="000715D4">
        <w:rPr>
          <w:rFonts w:cstheme="minorHAnsi"/>
        </w:rPr>
        <w:t>ThermoFisher</w:t>
      </w:r>
      <w:proofErr w:type="spellEnd"/>
      <w:r w:rsidRPr="000715D4">
        <w:rPr>
          <w:rFonts w:cstheme="minorHAnsi"/>
        </w:rPr>
        <w:t xml:space="preserve"> Scientific, UK), using the 2</w:t>
      </w:r>
      <w:r w:rsidRPr="000715D4">
        <w:rPr>
          <w:rFonts w:cstheme="minorHAnsi"/>
          <w:vertAlign w:val="superscript"/>
        </w:rPr>
        <w:t>-ΔΔCt</w:t>
      </w:r>
      <w:r w:rsidRPr="000715D4">
        <w:rPr>
          <w:rFonts w:cstheme="minorHAnsi"/>
        </w:rPr>
        <w:t xml:space="preserve"> method for analysis </w:t>
      </w:r>
      <w:r w:rsidRPr="000715D4">
        <w:rPr>
          <w:rFonts w:cstheme="minorHAnsi"/>
        </w:rPr>
        <w:fldChar w:fldCharType="begin"/>
      </w:r>
      <w:r w:rsidRPr="000715D4">
        <w:rPr>
          <w:rFonts w:cstheme="minorHAnsi"/>
        </w:rPr>
        <w:instrText xml:space="preserve"> ADDIN EN.CITE &lt;EndNote&gt;&lt;Cite&gt;&lt;Author&gt;Rao&lt;/Author&gt;&lt;Year&gt;2013&lt;/Year&gt;&lt;RecNum&gt;38&lt;/RecNum&gt;&lt;DisplayText&gt;(Rao et al., 2013)&lt;/DisplayText&gt;&lt;record&gt;&lt;rec-number&gt;38&lt;/rec-number&gt;&lt;foreign-keys&gt;&lt;key app="EN" db-id="z2tttpzt3ew0wdespzcppp590zafefdawe2e" timestamp="1682669684"&gt;38&lt;/key&gt;&lt;/foreign-keys&gt;&lt;ref-type name="Journal Article"&gt;17&lt;/ref-type&gt;&lt;contributors&gt;&lt;authors&gt;&lt;author&gt;Rao, X.&lt;/author&gt;&lt;author&gt;Huang, X.&lt;/author&gt;&lt;author&gt;Zhou, Z.&lt;/author&gt;&lt;author&gt;Lin, X.&lt;/author&gt;&lt;/authors&gt;&lt;/contributors&gt;&lt;auth-address&gt;Division of Biostatistics, The University of Texas School of Public Health, Houston, Texas 77030, USA.&amp;#xD;Department of Biostatistics, The University of Texas MD Anderson Cancer Center, Houston, Texas 77230, USA.&amp;#xD;Department of Molecular and Cellular Oncology, The University of Texas MD Anderson Cancer Center, Houston, Texas 77230, USA.&lt;/auth-address&gt;&lt;titles&gt;&lt;title&gt;An improvement of the 2ˆ(-delta delta CT) method for quantitative real-time polymerase chain reaction data analysis&lt;/title&gt;&lt;secondary-title&gt;Biostat Bioinforma Biomath&lt;/secondary-title&gt;&lt;alt-title&gt;Biostatistics, bioinformatics and biomathematics&lt;/alt-title&gt;&lt;/titles&gt;&lt;periodical&gt;&lt;full-title&gt;Biostat Bioinforma Biomath&lt;/full-title&gt;&lt;abbr-1&gt;Biostatistics, bioinformatics and biomathematics&lt;/abbr-1&gt;&lt;/periodical&gt;&lt;alt-periodical&gt;&lt;full-title&gt;Biostat Bioinforma Biomath&lt;/full-title&gt;&lt;abbr-1&gt;Biostatistics, bioinformatics and biomathematics&lt;/abbr-1&gt;&lt;/alt-periodical&gt;&lt;pages&gt;71-85&lt;/pages&gt;&lt;volume&gt;3&lt;/volume&gt;&lt;number&gt;3&lt;/number&gt;&lt;edition&gt;2013/08/01&lt;/edition&gt;&lt;dates&gt;&lt;year&gt;2013&lt;/year&gt;&lt;pub-dates&gt;&lt;date&gt;Aug&lt;/date&gt;&lt;/pub-dates&gt;&lt;/dates&gt;&lt;isbn&gt;0976-1594 (Print)&amp;#xD;0976-1594&lt;/isbn&gt;&lt;accession-num&gt;25558171&lt;/accession-num&gt;&lt;urls&gt;&lt;/urls&gt;&lt;custom2&gt;PMC4280562&lt;/custom2&gt;&lt;custom6&gt;NIHMS633016&lt;/custom6&gt;&lt;remote-database-provider&gt;NLM&lt;/remote-database-provider&gt;&lt;language&gt;eng&lt;/language&gt;&lt;/record&gt;&lt;/Cite&gt;&lt;/EndNote&gt;</w:instrText>
      </w:r>
      <w:r w:rsidRPr="000715D4">
        <w:rPr>
          <w:rFonts w:cstheme="minorHAnsi"/>
        </w:rPr>
        <w:fldChar w:fldCharType="separate"/>
      </w:r>
      <w:r w:rsidRPr="000715D4">
        <w:rPr>
          <w:rFonts w:cstheme="minorHAnsi"/>
          <w:noProof/>
        </w:rPr>
        <w:t>(Rao et al., 2013)</w:t>
      </w:r>
      <w:r w:rsidRPr="000715D4">
        <w:rPr>
          <w:rFonts w:cstheme="minorHAnsi"/>
        </w:rPr>
        <w:fldChar w:fldCharType="end"/>
      </w:r>
      <w:r w:rsidRPr="000715D4">
        <w:rPr>
          <w:rFonts w:cstheme="minorHAnsi"/>
        </w:rPr>
        <w:t>, normalising to wildtype baseline data.</w:t>
      </w:r>
    </w:p>
    <w:p w14:paraId="286667A5" w14:textId="77777777" w:rsidR="002A28E5" w:rsidRPr="000715D4" w:rsidRDefault="002A28E5">
      <w:pPr>
        <w:rPr>
          <w:b/>
          <w:bCs/>
          <w:u w:val="single"/>
        </w:rPr>
      </w:pPr>
    </w:p>
    <w:p w14:paraId="2BBBBBE5" w14:textId="77777777" w:rsidR="00941D22" w:rsidRPr="000715D4" w:rsidRDefault="00941D22">
      <w:pPr>
        <w:rPr>
          <w:b/>
          <w:bCs/>
          <w:u w:val="single"/>
        </w:rPr>
      </w:pPr>
    </w:p>
    <w:p w14:paraId="6AF15129" w14:textId="77777777" w:rsidR="00941D22" w:rsidRPr="000715D4" w:rsidRDefault="00941D22">
      <w:pPr>
        <w:rPr>
          <w:b/>
          <w:bCs/>
          <w:u w:val="single"/>
        </w:rPr>
      </w:pPr>
    </w:p>
    <w:p w14:paraId="55C611E7" w14:textId="77777777" w:rsidR="00941D22" w:rsidRPr="000715D4" w:rsidRDefault="00941D22">
      <w:pPr>
        <w:rPr>
          <w:b/>
          <w:bCs/>
          <w:u w:val="single"/>
        </w:rPr>
      </w:pPr>
    </w:p>
    <w:p w14:paraId="4A6189CB" w14:textId="77777777" w:rsidR="00941D22" w:rsidRPr="000715D4" w:rsidRDefault="00941D22">
      <w:pPr>
        <w:rPr>
          <w:b/>
          <w:bCs/>
          <w:u w:val="single"/>
        </w:rPr>
      </w:pPr>
    </w:p>
    <w:p w14:paraId="0631C9E6" w14:textId="77777777" w:rsidR="00941D22" w:rsidRPr="000715D4" w:rsidRDefault="00941D22">
      <w:pPr>
        <w:rPr>
          <w:b/>
          <w:bCs/>
          <w:u w:val="single"/>
        </w:rPr>
      </w:pPr>
    </w:p>
    <w:p w14:paraId="139AF739" w14:textId="77777777" w:rsidR="00941D22" w:rsidRPr="000715D4" w:rsidRDefault="00941D22">
      <w:pPr>
        <w:rPr>
          <w:b/>
          <w:bCs/>
          <w:u w:val="single"/>
        </w:rPr>
      </w:pPr>
    </w:p>
    <w:p w14:paraId="327E89C9" w14:textId="77777777" w:rsidR="00941D22" w:rsidRPr="000715D4" w:rsidRDefault="00941D22">
      <w:pPr>
        <w:rPr>
          <w:b/>
          <w:bCs/>
          <w:u w:val="single"/>
        </w:rPr>
      </w:pPr>
    </w:p>
    <w:p w14:paraId="20EAA02D" w14:textId="77777777" w:rsidR="00941D22" w:rsidRPr="000715D4" w:rsidRDefault="00941D22">
      <w:pPr>
        <w:rPr>
          <w:b/>
          <w:bCs/>
          <w:u w:val="single"/>
        </w:rPr>
      </w:pPr>
    </w:p>
    <w:p w14:paraId="45E3EB9B" w14:textId="77777777" w:rsidR="00941D22" w:rsidRPr="000715D4" w:rsidRDefault="00941D22">
      <w:pPr>
        <w:rPr>
          <w:b/>
          <w:bCs/>
          <w:u w:val="single"/>
        </w:rPr>
      </w:pPr>
    </w:p>
    <w:p w14:paraId="4D27D880" w14:textId="77777777" w:rsidR="00941D22" w:rsidRPr="000715D4" w:rsidRDefault="00941D22">
      <w:pPr>
        <w:rPr>
          <w:b/>
          <w:bCs/>
          <w:u w:val="single"/>
        </w:rPr>
      </w:pPr>
    </w:p>
    <w:p w14:paraId="5E00B786" w14:textId="77777777" w:rsidR="00941D22" w:rsidRPr="000715D4" w:rsidRDefault="00941D22">
      <w:pPr>
        <w:rPr>
          <w:b/>
          <w:bCs/>
          <w:u w:val="single"/>
        </w:rPr>
      </w:pPr>
    </w:p>
    <w:p w14:paraId="3D1ACB2E" w14:textId="77777777" w:rsidR="00941D22" w:rsidRPr="000715D4" w:rsidRDefault="00941D22">
      <w:pPr>
        <w:rPr>
          <w:b/>
          <w:bCs/>
          <w:u w:val="single"/>
        </w:rPr>
      </w:pPr>
    </w:p>
    <w:p w14:paraId="163F3DD6" w14:textId="77777777" w:rsidR="00941D22" w:rsidRPr="000715D4" w:rsidRDefault="00941D22">
      <w:pPr>
        <w:rPr>
          <w:b/>
          <w:bCs/>
          <w:u w:val="single"/>
        </w:rPr>
      </w:pPr>
    </w:p>
    <w:p w14:paraId="4DB92450" w14:textId="77777777" w:rsidR="00941D22" w:rsidRPr="000715D4" w:rsidRDefault="00941D22">
      <w:pPr>
        <w:rPr>
          <w:b/>
          <w:bCs/>
          <w:u w:val="single"/>
        </w:rPr>
      </w:pPr>
    </w:p>
    <w:p w14:paraId="34F8D0F2" w14:textId="77777777" w:rsidR="00941D22" w:rsidRPr="000715D4" w:rsidRDefault="00941D22">
      <w:pPr>
        <w:rPr>
          <w:b/>
          <w:bCs/>
          <w:u w:val="single"/>
        </w:rPr>
      </w:pPr>
    </w:p>
    <w:p w14:paraId="3C12DB20" w14:textId="77777777" w:rsidR="00941D22" w:rsidRPr="000715D4" w:rsidRDefault="00941D22">
      <w:pPr>
        <w:rPr>
          <w:b/>
          <w:bCs/>
          <w:u w:val="single"/>
        </w:rPr>
      </w:pPr>
    </w:p>
    <w:p w14:paraId="0B825F65" w14:textId="77777777" w:rsidR="00941D22" w:rsidRPr="000715D4" w:rsidRDefault="00941D22">
      <w:pPr>
        <w:rPr>
          <w:b/>
          <w:bCs/>
          <w:u w:val="single"/>
        </w:rPr>
      </w:pPr>
    </w:p>
    <w:p w14:paraId="42E91BF9" w14:textId="77777777" w:rsidR="00941D22" w:rsidRPr="000715D4" w:rsidRDefault="00941D22">
      <w:pPr>
        <w:rPr>
          <w:b/>
          <w:bCs/>
          <w:u w:val="single"/>
        </w:rPr>
      </w:pPr>
    </w:p>
    <w:p w14:paraId="235338F2" w14:textId="23926994" w:rsidR="00CF267F" w:rsidRPr="000715D4" w:rsidRDefault="00CF267F">
      <w:pPr>
        <w:rPr>
          <w:b/>
          <w:bCs/>
          <w:u w:val="single"/>
        </w:rPr>
      </w:pPr>
      <w:r w:rsidRPr="000715D4">
        <w:rPr>
          <w:b/>
          <w:bCs/>
          <w:u w:val="single"/>
        </w:rPr>
        <w:lastRenderedPageBreak/>
        <w:t>Supplementary Figures</w:t>
      </w:r>
    </w:p>
    <w:p w14:paraId="399587F8" w14:textId="325659EB" w:rsidR="00187BCB" w:rsidRPr="000715D4" w:rsidRDefault="00BD18AB" w:rsidP="00941D22">
      <w:pPr>
        <w:spacing w:line="276" w:lineRule="auto"/>
        <w:jc w:val="center"/>
        <w:rPr>
          <w:rFonts w:cstheme="minorHAnsi"/>
          <w:b/>
          <w:bCs/>
          <w:sz w:val="18"/>
          <w:szCs w:val="18"/>
        </w:rPr>
      </w:pPr>
      <w:r w:rsidRPr="00BD18AB">
        <w:rPr>
          <w:b/>
          <w:bCs/>
          <w:noProof/>
        </w:rPr>
        <w:drawing>
          <wp:inline distT="0" distB="0" distL="0" distR="0" wp14:anchorId="3FFC492D" wp14:editId="3D57B5AB">
            <wp:extent cx="4838700" cy="6337300"/>
            <wp:effectExtent l="0" t="0" r="0" b="6350"/>
            <wp:docPr id="981865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8700" cy="6337300"/>
                    </a:xfrm>
                    <a:prstGeom prst="rect">
                      <a:avLst/>
                    </a:prstGeom>
                    <a:noFill/>
                    <a:ln>
                      <a:noFill/>
                    </a:ln>
                  </pic:spPr>
                </pic:pic>
              </a:graphicData>
            </a:graphic>
          </wp:inline>
        </w:drawing>
      </w:r>
    </w:p>
    <w:p w14:paraId="6BCFFB49" w14:textId="5D73ABE0" w:rsidR="001A7E64" w:rsidRPr="000715D4" w:rsidRDefault="001A7E64" w:rsidP="00187BCB">
      <w:pPr>
        <w:spacing w:line="276" w:lineRule="auto"/>
        <w:rPr>
          <w:rFonts w:cstheme="minorHAnsi"/>
          <w:sz w:val="18"/>
          <w:szCs w:val="18"/>
        </w:rPr>
      </w:pPr>
      <w:r w:rsidRPr="000715D4">
        <w:rPr>
          <w:rFonts w:cstheme="minorHAnsi"/>
          <w:b/>
          <w:bCs/>
          <w:sz w:val="18"/>
          <w:szCs w:val="18"/>
        </w:rPr>
        <w:t>Supplementary Figure 1 – Dot Blot Immunoreactivity Validation of Brain Extracts</w:t>
      </w:r>
    </w:p>
    <w:p w14:paraId="24E81B01" w14:textId="77777777" w:rsidR="001A7E64" w:rsidRPr="000715D4" w:rsidRDefault="001A7E64" w:rsidP="00187BCB">
      <w:pPr>
        <w:spacing w:line="276" w:lineRule="auto"/>
        <w:rPr>
          <w:rFonts w:cstheme="minorHAnsi"/>
          <w:sz w:val="18"/>
          <w:szCs w:val="18"/>
        </w:rPr>
      </w:pPr>
      <w:r w:rsidRPr="000715D4">
        <w:rPr>
          <w:rFonts w:cstheme="minorHAnsi"/>
          <w:sz w:val="18"/>
          <w:szCs w:val="18"/>
        </w:rPr>
        <w:t xml:space="preserve">Densitometric intensity analysis of brain extract dot blots illustrating preferential immunoreactivity of </w:t>
      </w:r>
      <w:r w:rsidRPr="000715D4">
        <w:rPr>
          <w:rFonts w:cstheme="minorHAnsi"/>
          <w:sz w:val="18"/>
          <w:szCs w:val="18"/>
          <w:vertAlign w:val="superscript"/>
        </w:rPr>
        <w:t>P301S</w:t>
      </w:r>
      <w:r w:rsidRPr="000715D4">
        <w:rPr>
          <w:rFonts w:cstheme="minorHAnsi"/>
          <w:sz w:val="18"/>
          <w:szCs w:val="18"/>
        </w:rPr>
        <w:t xml:space="preserve">BE over </w:t>
      </w:r>
      <w:r w:rsidRPr="000715D4">
        <w:rPr>
          <w:rFonts w:cstheme="minorHAnsi"/>
          <w:sz w:val="18"/>
          <w:szCs w:val="18"/>
          <w:vertAlign w:val="superscript"/>
        </w:rPr>
        <w:t>WT</w:t>
      </w:r>
      <w:r w:rsidRPr="000715D4">
        <w:rPr>
          <w:rFonts w:cstheme="minorHAnsi"/>
          <w:sz w:val="18"/>
          <w:szCs w:val="18"/>
        </w:rPr>
        <w:t>BE with (</w:t>
      </w:r>
      <w:r w:rsidRPr="000715D4">
        <w:rPr>
          <w:rFonts w:cstheme="minorHAnsi"/>
          <w:b/>
          <w:bCs/>
          <w:sz w:val="18"/>
          <w:szCs w:val="18"/>
        </w:rPr>
        <w:t>A</w:t>
      </w:r>
      <w:r w:rsidRPr="000715D4">
        <w:rPr>
          <w:rFonts w:cstheme="minorHAnsi"/>
          <w:sz w:val="18"/>
          <w:szCs w:val="18"/>
        </w:rPr>
        <w:t>) MC1, (</w:t>
      </w:r>
      <w:r w:rsidRPr="000715D4">
        <w:rPr>
          <w:rFonts w:cstheme="minorHAnsi"/>
          <w:b/>
          <w:bCs/>
          <w:sz w:val="18"/>
          <w:szCs w:val="18"/>
        </w:rPr>
        <w:t>B</w:t>
      </w:r>
      <w:r w:rsidRPr="000715D4">
        <w:rPr>
          <w:rFonts w:cstheme="minorHAnsi"/>
          <w:sz w:val="18"/>
          <w:szCs w:val="18"/>
        </w:rPr>
        <w:t>) TG5, and (</w:t>
      </w:r>
      <w:r w:rsidRPr="000715D4">
        <w:rPr>
          <w:rFonts w:cstheme="minorHAnsi"/>
          <w:b/>
          <w:bCs/>
          <w:sz w:val="18"/>
          <w:szCs w:val="18"/>
        </w:rPr>
        <w:t>C</w:t>
      </w:r>
      <w:r w:rsidRPr="000715D4">
        <w:rPr>
          <w:rFonts w:cstheme="minorHAnsi"/>
          <w:sz w:val="18"/>
          <w:szCs w:val="18"/>
        </w:rPr>
        <w:t xml:space="preserve">) RD4 antibodies. Graphical insets illustrate differences between immunoreactivity of </w:t>
      </w:r>
      <w:r w:rsidRPr="000715D4">
        <w:rPr>
          <w:rFonts w:cstheme="minorHAnsi"/>
          <w:sz w:val="18"/>
          <w:szCs w:val="18"/>
          <w:vertAlign w:val="superscript"/>
        </w:rPr>
        <w:t>P301S</w:t>
      </w:r>
      <w:r w:rsidRPr="000715D4">
        <w:rPr>
          <w:rFonts w:cstheme="minorHAnsi"/>
          <w:sz w:val="18"/>
          <w:szCs w:val="18"/>
        </w:rPr>
        <w:t xml:space="preserve">BE and </w:t>
      </w:r>
      <w:r w:rsidRPr="000715D4">
        <w:rPr>
          <w:rFonts w:cstheme="minorHAnsi"/>
          <w:sz w:val="18"/>
          <w:szCs w:val="18"/>
          <w:vertAlign w:val="superscript"/>
        </w:rPr>
        <w:t>WT</w:t>
      </w:r>
      <w:r w:rsidRPr="000715D4">
        <w:rPr>
          <w:rFonts w:cstheme="minorHAnsi"/>
          <w:sz w:val="18"/>
          <w:szCs w:val="18"/>
        </w:rPr>
        <w:t xml:space="preserve">BE when signals are normalised to </w:t>
      </w:r>
      <w:r w:rsidRPr="000715D4">
        <w:rPr>
          <w:rFonts w:cstheme="minorHAnsi"/>
          <w:sz w:val="18"/>
          <w:szCs w:val="18"/>
          <w:lang w:val="el-GR"/>
        </w:rPr>
        <w:t>β</w:t>
      </w:r>
      <w:r w:rsidRPr="000715D4">
        <w:rPr>
          <w:rFonts w:cstheme="minorHAnsi"/>
          <w:sz w:val="18"/>
          <w:szCs w:val="18"/>
        </w:rPr>
        <w:t>-Actin across loading amounts. (</w:t>
      </w:r>
      <w:r w:rsidRPr="000715D4">
        <w:rPr>
          <w:rFonts w:cstheme="minorHAnsi"/>
          <w:b/>
          <w:bCs/>
          <w:sz w:val="18"/>
          <w:szCs w:val="18"/>
        </w:rPr>
        <w:t>D</w:t>
      </w:r>
      <w:r w:rsidRPr="000715D4">
        <w:rPr>
          <w:rFonts w:cstheme="minorHAnsi"/>
          <w:sz w:val="18"/>
          <w:szCs w:val="18"/>
        </w:rPr>
        <w:t>) Representative example dot blots used to produce data shown in (</w:t>
      </w:r>
      <w:r w:rsidRPr="000715D4">
        <w:rPr>
          <w:rFonts w:cstheme="minorHAnsi"/>
          <w:b/>
          <w:bCs/>
          <w:sz w:val="18"/>
          <w:szCs w:val="18"/>
        </w:rPr>
        <w:t>A</w:t>
      </w:r>
      <w:r w:rsidRPr="000715D4">
        <w:rPr>
          <w:rFonts w:cstheme="minorHAnsi"/>
          <w:sz w:val="18"/>
          <w:szCs w:val="18"/>
        </w:rPr>
        <w:t>-</w:t>
      </w:r>
      <w:r w:rsidRPr="000715D4">
        <w:rPr>
          <w:rFonts w:cstheme="minorHAnsi"/>
          <w:b/>
          <w:bCs/>
          <w:sz w:val="18"/>
          <w:szCs w:val="18"/>
        </w:rPr>
        <w:t>C</w:t>
      </w:r>
      <w:r w:rsidRPr="000715D4">
        <w:rPr>
          <w:rFonts w:cstheme="minorHAnsi"/>
          <w:sz w:val="18"/>
          <w:szCs w:val="18"/>
        </w:rPr>
        <w:t xml:space="preserve">). *=p&lt;0.05, **=p&lt;0.01. </w:t>
      </w:r>
    </w:p>
    <w:p w14:paraId="39114457" w14:textId="77777777" w:rsidR="00187BCB" w:rsidRPr="000715D4" w:rsidRDefault="00187BCB" w:rsidP="00187BCB">
      <w:pPr>
        <w:spacing w:line="276" w:lineRule="auto"/>
        <w:rPr>
          <w:rFonts w:cstheme="minorHAnsi"/>
          <w:b/>
          <w:bCs/>
          <w:sz w:val="18"/>
          <w:szCs w:val="18"/>
        </w:rPr>
      </w:pPr>
    </w:p>
    <w:p w14:paraId="118D0989" w14:textId="77777777" w:rsidR="00187BCB" w:rsidRPr="000715D4" w:rsidRDefault="00187BCB" w:rsidP="00187BCB">
      <w:pPr>
        <w:spacing w:line="276" w:lineRule="auto"/>
        <w:rPr>
          <w:rFonts w:cstheme="minorHAnsi"/>
          <w:b/>
          <w:bCs/>
          <w:sz w:val="18"/>
          <w:szCs w:val="18"/>
        </w:rPr>
      </w:pPr>
    </w:p>
    <w:p w14:paraId="6BD19B3B" w14:textId="02DA41CE" w:rsidR="00941D22" w:rsidRPr="000715D4" w:rsidRDefault="00BD18AB" w:rsidP="00BD18AB">
      <w:pPr>
        <w:spacing w:line="276" w:lineRule="auto"/>
        <w:jc w:val="center"/>
        <w:rPr>
          <w:rFonts w:cstheme="minorHAnsi"/>
          <w:b/>
          <w:bCs/>
          <w:sz w:val="18"/>
          <w:szCs w:val="18"/>
        </w:rPr>
      </w:pPr>
      <w:r w:rsidRPr="00BD18AB">
        <w:rPr>
          <w:noProof/>
        </w:rPr>
        <w:lastRenderedPageBreak/>
        <w:drawing>
          <wp:inline distT="0" distB="0" distL="0" distR="0" wp14:anchorId="5AF67A89" wp14:editId="16A11963">
            <wp:extent cx="4495800" cy="6921500"/>
            <wp:effectExtent l="0" t="0" r="0" b="0"/>
            <wp:docPr id="244139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6921500"/>
                    </a:xfrm>
                    <a:prstGeom prst="rect">
                      <a:avLst/>
                    </a:prstGeom>
                    <a:noFill/>
                    <a:ln>
                      <a:noFill/>
                    </a:ln>
                  </pic:spPr>
                </pic:pic>
              </a:graphicData>
            </a:graphic>
          </wp:inline>
        </w:drawing>
      </w:r>
    </w:p>
    <w:p w14:paraId="163C9E0E" w14:textId="77777777" w:rsidR="002A6431" w:rsidRPr="000715D4" w:rsidRDefault="002A6431" w:rsidP="002A6431">
      <w:pPr>
        <w:spacing w:line="276" w:lineRule="auto"/>
        <w:rPr>
          <w:rFonts w:cstheme="minorHAnsi"/>
          <w:sz w:val="18"/>
          <w:szCs w:val="18"/>
        </w:rPr>
      </w:pPr>
      <w:r w:rsidRPr="000715D4">
        <w:rPr>
          <w:rFonts w:cstheme="minorHAnsi"/>
          <w:b/>
          <w:bCs/>
          <w:sz w:val="18"/>
          <w:szCs w:val="18"/>
        </w:rPr>
        <w:t>Supplementary Figure 2 – Reduction of Brain to CSF Tau Clearance Following TGN-020 Treatment</w:t>
      </w:r>
    </w:p>
    <w:p w14:paraId="2E8838B5" w14:textId="3DD4241B" w:rsidR="002A6431" w:rsidRPr="000715D4" w:rsidRDefault="002A6431" w:rsidP="002A6431">
      <w:pPr>
        <w:spacing w:line="276" w:lineRule="auto"/>
        <w:rPr>
          <w:rFonts w:cstheme="minorHAnsi"/>
          <w:sz w:val="18"/>
          <w:szCs w:val="18"/>
        </w:rPr>
      </w:pPr>
      <w:r w:rsidRPr="000715D4">
        <w:rPr>
          <w:rFonts w:cstheme="minorHAnsi"/>
          <w:sz w:val="18"/>
          <w:szCs w:val="18"/>
        </w:rPr>
        <w:t>(</w:t>
      </w:r>
      <w:r w:rsidRPr="000715D4">
        <w:rPr>
          <w:rFonts w:cstheme="minorHAnsi"/>
          <w:b/>
          <w:bCs/>
          <w:sz w:val="18"/>
          <w:szCs w:val="18"/>
        </w:rPr>
        <w:t>A</w:t>
      </w:r>
      <w:r w:rsidRPr="000715D4">
        <w:rPr>
          <w:rFonts w:cstheme="minorHAnsi"/>
          <w:sz w:val="18"/>
          <w:szCs w:val="18"/>
        </w:rPr>
        <w:t>) Experimental timeline and (</w:t>
      </w:r>
      <w:r w:rsidRPr="000715D4">
        <w:rPr>
          <w:rFonts w:cstheme="minorHAnsi"/>
          <w:b/>
          <w:bCs/>
          <w:sz w:val="18"/>
          <w:szCs w:val="18"/>
        </w:rPr>
        <w:t>B</w:t>
      </w:r>
      <w:r w:rsidRPr="000715D4">
        <w:rPr>
          <w:rFonts w:cstheme="minorHAnsi"/>
          <w:sz w:val="18"/>
          <w:szCs w:val="18"/>
        </w:rPr>
        <w:t>) schematic of brain injections/extractions. Mice were pre-treated (15 min prior) with either TGN-020 or vehicle, ahead of hippocampal infusion of tau (</w:t>
      </w:r>
      <w:r w:rsidRPr="000715D4">
        <w:rPr>
          <w:rFonts w:cstheme="minorHAnsi"/>
          <w:sz w:val="18"/>
          <w:szCs w:val="18"/>
          <w:vertAlign w:val="superscript"/>
        </w:rPr>
        <w:t>P301S</w:t>
      </w:r>
      <w:r w:rsidRPr="000715D4">
        <w:rPr>
          <w:rFonts w:cstheme="minorHAnsi"/>
          <w:sz w:val="18"/>
          <w:szCs w:val="18"/>
        </w:rPr>
        <w:t>BE). 15 min later, CSF samples and brains were extracted, and their tau content quantified by ELISA; CSF and brain tau content following treatments is shown in (</w:t>
      </w:r>
      <w:r w:rsidRPr="000715D4">
        <w:rPr>
          <w:rFonts w:cstheme="minorHAnsi"/>
          <w:b/>
          <w:bCs/>
          <w:sz w:val="18"/>
          <w:szCs w:val="18"/>
        </w:rPr>
        <w:t>C</w:t>
      </w:r>
      <w:r w:rsidRPr="000715D4">
        <w:rPr>
          <w:rFonts w:cstheme="minorHAnsi"/>
          <w:sz w:val="18"/>
          <w:szCs w:val="18"/>
        </w:rPr>
        <w:t>) and (</w:t>
      </w:r>
      <w:r w:rsidRPr="000715D4">
        <w:rPr>
          <w:rFonts w:cstheme="minorHAnsi"/>
          <w:b/>
          <w:bCs/>
          <w:sz w:val="18"/>
          <w:szCs w:val="18"/>
        </w:rPr>
        <w:t>D</w:t>
      </w:r>
      <w:r w:rsidRPr="000715D4">
        <w:rPr>
          <w:rFonts w:cstheme="minorHAnsi"/>
          <w:sz w:val="18"/>
          <w:szCs w:val="18"/>
        </w:rPr>
        <w:t xml:space="preserve">) respectively. As expected, significantly greater tau levels were detected in CSF extracted from </w:t>
      </w:r>
      <w:r w:rsidRPr="000715D4">
        <w:rPr>
          <w:rFonts w:cstheme="minorHAnsi"/>
          <w:sz w:val="18"/>
          <w:szCs w:val="18"/>
          <w:vertAlign w:val="superscript"/>
        </w:rPr>
        <w:t>P301S</w:t>
      </w:r>
      <w:r w:rsidRPr="000715D4">
        <w:rPr>
          <w:rFonts w:cstheme="minorHAnsi"/>
          <w:sz w:val="18"/>
          <w:szCs w:val="18"/>
        </w:rPr>
        <w:t xml:space="preserve">BE (vehicle) injected mice compared to </w:t>
      </w:r>
      <w:proofErr w:type="spellStart"/>
      <w:r w:rsidRPr="000715D4">
        <w:rPr>
          <w:rFonts w:cstheme="minorHAnsi"/>
          <w:sz w:val="18"/>
          <w:szCs w:val="18"/>
        </w:rPr>
        <w:t>aCSF</w:t>
      </w:r>
      <w:proofErr w:type="spellEnd"/>
      <w:r w:rsidRPr="000715D4">
        <w:rPr>
          <w:rFonts w:cstheme="minorHAnsi"/>
          <w:sz w:val="18"/>
          <w:szCs w:val="18"/>
        </w:rPr>
        <w:t xml:space="preserve"> (control) injected mice. This CSF tau content was significantly reduced in TGN-020 treated mice. </w:t>
      </w:r>
      <w:r w:rsidR="003C786F" w:rsidRPr="000715D4">
        <w:rPr>
          <w:rFonts w:cstheme="minorHAnsi"/>
          <w:sz w:val="18"/>
          <w:szCs w:val="18"/>
        </w:rPr>
        <w:t>A similar, inverse change</w:t>
      </w:r>
      <w:r w:rsidRPr="000715D4">
        <w:rPr>
          <w:rFonts w:cstheme="minorHAnsi"/>
          <w:sz w:val="18"/>
          <w:szCs w:val="18"/>
        </w:rPr>
        <w:t xml:space="preserve"> was observed in brain tau data, with TGN-020 treated mice exhibiting a significant increase in brain tau content compared to vehicle treated animals. *=p&lt;0.05, n=4-10 per group.</w:t>
      </w:r>
    </w:p>
    <w:p w14:paraId="36A3B96B" w14:textId="3A84BF52" w:rsidR="00187BCB" w:rsidRPr="00BD18AB" w:rsidRDefault="00BD18AB" w:rsidP="00BD18AB">
      <w:pPr>
        <w:spacing w:line="276" w:lineRule="auto"/>
        <w:jc w:val="center"/>
        <w:rPr>
          <w:rFonts w:cstheme="minorHAnsi"/>
          <w:sz w:val="18"/>
          <w:szCs w:val="18"/>
        </w:rPr>
      </w:pPr>
      <w:r>
        <w:rPr>
          <w:rFonts w:cstheme="minorHAnsi"/>
          <w:b/>
          <w:bCs/>
          <w:noProof/>
          <w:sz w:val="18"/>
          <w:szCs w:val="18"/>
        </w:rPr>
        <w:lastRenderedPageBreak/>
        <w:drawing>
          <wp:inline distT="0" distB="0" distL="0" distR="0" wp14:anchorId="1464A772" wp14:editId="378C262B">
            <wp:extent cx="4991100" cy="3276600"/>
            <wp:effectExtent l="0" t="0" r="0" b="0"/>
            <wp:docPr id="1478819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1100" cy="3276600"/>
                    </a:xfrm>
                    <a:prstGeom prst="rect">
                      <a:avLst/>
                    </a:prstGeom>
                    <a:noFill/>
                    <a:ln>
                      <a:noFill/>
                    </a:ln>
                  </pic:spPr>
                </pic:pic>
              </a:graphicData>
            </a:graphic>
          </wp:inline>
        </w:drawing>
      </w:r>
    </w:p>
    <w:p w14:paraId="4EB20B38" w14:textId="77777777" w:rsidR="00BB1764" w:rsidRPr="000715D4" w:rsidRDefault="00BB1764" w:rsidP="00BB1764">
      <w:pPr>
        <w:spacing w:line="276" w:lineRule="auto"/>
        <w:rPr>
          <w:rFonts w:cstheme="minorHAnsi"/>
          <w:sz w:val="18"/>
          <w:szCs w:val="18"/>
        </w:rPr>
      </w:pPr>
      <w:r w:rsidRPr="000715D4">
        <w:rPr>
          <w:rFonts w:cstheme="minorHAnsi"/>
          <w:b/>
          <w:bCs/>
          <w:sz w:val="18"/>
          <w:szCs w:val="18"/>
        </w:rPr>
        <w:t xml:space="preserve">Supplementary Figure 3 – </w:t>
      </w:r>
      <w:r w:rsidRPr="000715D4">
        <w:rPr>
          <w:rFonts w:cstheme="minorHAnsi"/>
          <w:b/>
          <w:bCs/>
          <w:sz w:val="18"/>
          <w:szCs w:val="18"/>
          <w:vertAlign w:val="superscript"/>
        </w:rPr>
        <w:t>P301S</w:t>
      </w:r>
      <w:r w:rsidRPr="000715D4">
        <w:rPr>
          <w:rFonts w:cstheme="minorHAnsi"/>
          <w:b/>
          <w:bCs/>
          <w:sz w:val="18"/>
          <w:szCs w:val="18"/>
        </w:rPr>
        <w:t>BE Injection Does Not Result in Tau Pathology in Wildtype Mice</w:t>
      </w:r>
    </w:p>
    <w:p w14:paraId="5FE4928A" w14:textId="7738895C" w:rsidR="00356F79" w:rsidRDefault="00BB1764" w:rsidP="00187BCB">
      <w:pPr>
        <w:spacing w:line="276" w:lineRule="auto"/>
        <w:rPr>
          <w:rFonts w:cstheme="minorHAnsi"/>
          <w:sz w:val="18"/>
          <w:szCs w:val="18"/>
        </w:rPr>
      </w:pPr>
      <w:r w:rsidRPr="000715D4">
        <w:rPr>
          <w:rFonts w:cstheme="minorHAnsi"/>
          <w:sz w:val="18"/>
          <w:szCs w:val="18"/>
        </w:rPr>
        <w:t>Hippocampal AT8 % area coverage (</w:t>
      </w:r>
      <w:r w:rsidRPr="000715D4">
        <w:rPr>
          <w:rFonts w:cstheme="minorHAnsi"/>
          <w:b/>
          <w:bCs/>
          <w:sz w:val="18"/>
          <w:szCs w:val="18"/>
        </w:rPr>
        <w:t>A</w:t>
      </w:r>
      <w:r w:rsidRPr="000715D4">
        <w:rPr>
          <w:rFonts w:cstheme="minorHAnsi"/>
          <w:sz w:val="18"/>
          <w:szCs w:val="18"/>
        </w:rPr>
        <w:t xml:space="preserve">) and </w:t>
      </w:r>
      <w:proofErr w:type="spellStart"/>
      <w:r w:rsidRPr="000715D4">
        <w:rPr>
          <w:rFonts w:cstheme="minorHAnsi"/>
          <w:sz w:val="18"/>
          <w:szCs w:val="18"/>
        </w:rPr>
        <w:t>immunopositive</w:t>
      </w:r>
      <w:proofErr w:type="spellEnd"/>
      <w:r w:rsidRPr="000715D4">
        <w:rPr>
          <w:rFonts w:cstheme="minorHAnsi"/>
          <w:sz w:val="18"/>
          <w:szCs w:val="18"/>
        </w:rPr>
        <w:t xml:space="preserve"> intensity (</w:t>
      </w:r>
      <w:r w:rsidRPr="000715D4">
        <w:rPr>
          <w:rFonts w:cstheme="minorHAnsi"/>
          <w:b/>
          <w:bCs/>
          <w:sz w:val="18"/>
          <w:szCs w:val="18"/>
        </w:rPr>
        <w:t>B</w:t>
      </w:r>
      <w:r w:rsidRPr="000715D4">
        <w:rPr>
          <w:rFonts w:cstheme="minorHAnsi"/>
          <w:sz w:val="18"/>
          <w:szCs w:val="18"/>
        </w:rPr>
        <w:t xml:space="preserve">) in wildtype mice injected with </w:t>
      </w:r>
      <w:r w:rsidRPr="000715D4">
        <w:rPr>
          <w:rFonts w:cstheme="minorHAnsi"/>
          <w:sz w:val="18"/>
          <w:szCs w:val="18"/>
          <w:vertAlign w:val="superscript"/>
        </w:rPr>
        <w:t>P301S</w:t>
      </w:r>
      <w:r w:rsidRPr="000715D4">
        <w:rPr>
          <w:rFonts w:cstheme="minorHAnsi"/>
          <w:sz w:val="18"/>
          <w:szCs w:val="18"/>
        </w:rPr>
        <w:t xml:space="preserve">BE and treated with vehicle or TGN-020, illustrating the lack of significant tau pathology induced by </w:t>
      </w:r>
      <w:r w:rsidRPr="000715D4">
        <w:rPr>
          <w:rFonts w:cstheme="minorHAnsi"/>
          <w:sz w:val="18"/>
          <w:szCs w:val="18"/>
          <w:vertAlign w:val="superscript"/>
        </w:rPr>
        <w:t>P301S</w:t>
      </w:r>
      <w:r w:rsidRPr="000715D4">
        <w:rPr>
          <w:rFonts w:cstheme="minorHAnsi"/>
          <w:sz w:val="18"/>
          <w:szCs w:val="18"/>
        </w:rPr>
        <w:t xml:space="preserve">BE infusion in the wildtype mouse brain. Y-axes are included at the same scale as the corresponding data from transgenic mice (Fig. 2B, C), illustrating the difference in tau level detected. </w:t>
      </w:r>
      <w:r w:rsidRPr="000715D4">
        <w:rPr>
          <w:rFonts w:ascii="Arial" w:hAnsi="Arial" w:cs="Arial"/>
          <w:sz w:val="18"/>
          <w:szCs w:val="18"/>
        </w:rPr>
        <w:t>▲</w:t>
      </w:r>
      <w:r w:rsidRPr="000715D4">
        <w:rPr>
          <w:rFonts w:cstheme="minorHAnsi"/>
          <w:sz w:val="18"/>
          <w:szCs w:val="18"/>
        </w:rPr>
        <w:t xml:space="preserve">=females, </w:t>
      </w:r>
      <w:r w:rsidRPr="000715D4">
        <w:rPr>
          <w:rFonts w:ascii="Arial" w:hAnsi="Arial" w:cs="Arial"/>
          <w:sz w:val="18"/>
          <w:szCs w:val="18"/>
        </w:rPr>
        <w:t>■</w:t>
      </w:r>
      <w:r w:rsidRPr="000715D4">
        <w:rPr>
          <w:rFonts w:cstheme="minorHAnsi"/>
          <w:sz w:val="18"/>
          <w:szCs w:val="18"/>
        </w:rPr>
        <w:t xml:space="preserve">=males. n=4-5 per group. </w:t>
      </w:r>
    </w:p>
    <w:p w14:paraId="1A44B943" w14:textId="77777777" w:rsidR="006C41E1" w:rsidRPr="000715D4" w:rsidRDefault="006C41E1" w:rsidP="00187BCB">
      <w:pPr>
        <w:spacing w:line="276" w:lineRule="auto"/>
        <w:rPr>
          <w:rFonts w:cstheme="minorHAnsi"/>
          <w:sz w:val="18"/>
          <w:szCs w:val="18"/>
        </w:rPr>
      </w:pPr>
    </w:p>
    <w:p w14:paraId="71542EB3" w14:textId="273493BE" w:rsidR="00356F79" w:rsidRPr="000715D4" w:rsidRDefault="006C41E1" w:rsidP="006C41E1">
      <w:pPr>
        <w:spacing w:line="276" w:lineRule="auto"/>
        <w:jc w:val="center"/>
        <w:rPr>
          <w:rFonts w:cstheme="minorHAnsi"/>
          <w:sz w:val="18"/>
          <w:szCs w:val="18"/>
        </w:rPr>
      </w:pPr>
      <w:r w:rsidRPr="006C41E1">
        <w:rPr>
          <w:rFonts w:cstheme="minorHAnsi"/>
          <w:b/>
          <w:bCs/>
          <w:noProof/>
          <w:sz w:val="18"/>
          <w:szCs w:val="18"/>
        </w:rPr>
        <w:drawing>
          <wp:inline distT="0" distB="0" distL="0" distR="0" wp14:anchorId="1153FAE8" wp14:editId="30AD4161">
            <wp:extent cx="3962400" cy="3441700"/>
            <wp:effectExtent l="0" t="0" r="0" b="6350"/>
            <wp:docPr id="937394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2400" cy="3441700"/>
                    </a:xfrm>
                    <a:prstGeom prst="rect">
                      <a:avLst/>
                    </a:prstGeom>
                    <a:noFill/>
                    <a:ln>
                      <a:noFill/>
                    </a:ln>
                  </pic:spPr>
                </pic:pic>
              </a:graphicData>
            </a:graphic>
          </wp:inline>
        </w:drawing>
      </w:r>
    </w:p>
    <w:p w14:paraId="0079BAFA" w14:textId="77777777" w:rsidR="001C61C9" w:rsidRPr="000715D4" w:rsidRDefault="001C61C9" w:rsidP="001C61C9">
      <w:pPr>
        <w:spacing w:line="276" w:lineRule="auto"/>
        <w:rPr>
          <w:rFonts w:cstheme="minorHAnsi"/>
          <w:b/>
          <w:bCs/>
          <w:sz w:val="18"/>
          <w:szCs w:val="18"/>
        </w:rPr>
      </w:pPr>
      <w:r w:rsidRPr="000715D4">
        <w:rPr>
          <w:rFonts w:cstheme="minorHAnsi"/>
          <w:b/>
          <w:bCs/>
          <w:sz w:val="18"/>
          <w:szCs w:val="18"/>
        </w:rPr>
        <w:t>Supplementary Figure 4 – AQP4 Expression with the Onset of Tau Propagation</w:t>
      </w:r>
    </w:p>
    <w:p w14:paraId="5906A704" w14:textId="77777777" w:rsidR="001C61C9" w:rsidRPr="000715D4" w:rsidRDefault="001C61C9" w:rsidP="001C61C9">
      <w:pPr>
        <w:spacing w:line="276" w:lineRule="auto"/>
        <w:rPr>
          <w:rFonts w:cstheme="minorHAnsi"/>
          <w:sz w:val="18"/>
          <w:szCs w:val="18"/>
        </w:rPr>
      </w:pPr>
      <w:r w:rsidRPr="000715D4">
        <w:rPr>
          <w:rFonts w:cstheme="minorHAnsi"/>
          <w:sz w:val="18"/>
          <w:szCs w:val="18"/>
        </w:rPr>
        <w:t>Hippocampal AQP4 (mRNA) expression measurements (</w:t>
      </w:r>
      <w:proofErr w:type="spellStart"/>
      <w:r w:rsidRPr="000715D4">
        <w:rPr>
          <w:rFonts w:cstheme="minorHAnsi"/>
          <w:sz w:val="18"/>
          <w:szCs w:val="18"/>
        </w:rPr>
        <w:t>qRT</w:t>
      </w:r>
      <w:proofErr w:type="spellEnd"/>
      <w:r w:rsidRPr="000715D4">
        <w:rPr>
          <w:rFonts w:cstheme="minorHAnsi"/>
          <w:sz w:val="18"/>
          <w:szCs w:val="18"/>
        </w:rPr>
        <w:t xml:space="preserve">-PCR) indicate that AQP4 expression remains relatively constant between genotypes, and throughout pathological development in the </w:t>
      </w:r>
      <w:r w:rsidRPr="000715D4">
        <w:rPr>
          <w:rFonts w:cstheme="minorHAnsi"/>
          <w:sz w:val="18"/>
          <w:szCs w:val="18"/>
          <w:vertAlign w:val="superscript"/>
        </w:rPr>
        <w:t>P301S</w:t>
      </w:r>
      <w:r w:rsidRPr="000715D4">
        <w:rPr>
          <w:rFonts w:cstheme="minorHAnsi"/>
          <w:sz w:val="18"/>
          <w:szCs w:val="18"/>
        </w:rPr>
        <w:t xml:space="preserve">BE injected transgenic mice. </w:t>
      </w:r>
    </w:p>
    <w:p w14:paraId="75F35D38" w14:textId="2C59EB87" w:rsidR="00187BCB" w:rsidRPr="000715D4" w:rsidRDefault="006C41E1" w:rsidP="00113210">
      <w:pPr>
        <w:spacing w:line="276" w:lineRule="auto"/>
        <w:jc w:val="center"/>
        <w:rPr>
          <w:rFonts w:cstheme="minorHAnsi"/>
          <w:b/>
          <w:bCs/>
          <w:sz w:val="18"/>
          <w:szCs w:val="18"/>
        </w:rPr>
      </w:pPr>
      <w:r>
        <w:rPr>
          <w:rFonts w:cstheme="minorHAnsi"/>
          <w:b/>
          <w:bCs/>
          <w:noProof/>
          <w:sz w:val="18"/>
          <w:szCs w:val="18"/>
        </w:rPr>
        <w:lastRenderedPageBreak/>
        <w:drawing>
          <wp:inline distT="0" distB="0" distL="0" distR="0" wp14:anchorId="41E598E8" wp14:editId="3508E105">
            <wp:extent cx="5727700" cy="4673600"/>
            <wp:effectExtent l="0" t="0" r="6350" b="0"/>
            <wp:docPr id="12380785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4673600"/>
                    </a:xfrm>
                    <a:prstGeom prst="rect">
                      <a:avLst/>
                    </a:prstGeom>
                    <a:noFill/>
                    <a:ln>
                      <a:noFill/>
                    </a:ln>
                  </pic:spPr>
                </pic:pic>
              </a:graphicData>
            </a:graphic>
          </wp:inline>
        </w:drawing>
      </w:r>
    </w:p>
    <w:p w14:paraId="0EB19285" w14:textId="77777777" w:rsidR="00FD4952" w:rsidRPr="000715D4" w:rsidRDefault="00FD4952" w:rsidP="00FD4952">
      <w:pPr>
        <w:spacing w:line="276" w:lineRule="auto"/>
        <w:rPr>
          <w:rFonts w:cstheme="minorHAnsi"/>
          <w:b/>
          <w:bCs/>
          <w:sz w:val="18"/>
          <w:szCs w:val="18"/>
        </w:rPr>
      </w:pPr>
      <w:r w:rsidRPr="000715D4">
        <w:rPr>
          <w:rFonts w:cstheme="minorHAnsi"/>
          <w:b/>
          <w:bCs/>
          <w:sz w:val="18"/>
          <w:szCs w:val="18"/>
        </w:rPr>
        <w:t>Supplementary Figure 5 – No Effect of Chronic TGN-020 Treatment in Control (Wildtype) Mice</w:t>
      </w:r>
    </w:p>
    <w:p w14:paraId="4D4EC258" w14:textId="77777777" w:rsidR="00FD4952" w:rsidRPr="000715D4" w:rsidRDefault="00FD4952" w:rsidP="00FD4952">
      <w:pPr>
        <w:spacing w:line="276" w:lineRule="auto"/>
        <w:rPr>
          <w:rFonts w:cstheme="minorHAnsi"/>
          <w:sz w:val="18"/>
          <w:szCs w:val="18"/>
        </w:rPr>
      </w:pPr>
      <w:r w:rsidRPr="000715D4">
        <w:rPr>
          <w:rFonts w:cstheme="minorHAnsi"/>
          <w:sz w:val="18"/>
          <w:szCs w:val="18"/>
        </w:rPr>
        <w:t>(</w:t>
      </w:r>
      <w:r w:rsidRPr="000715D4">
        <w:rPr>
          <w:rFonts w:cstheme="minorHAnsi"/>
          <w:b/>
          <w:bCs/>
          <w:sz w:val="18"/>
          <w:szCs w:val="18"/>
        </w:rPr>
        <w:t>A</w:t>
      </w:r>
      <w:r w:rsidRPr="000715D4">
        <w:rPr>
          <w:rFonts w:cstheme="minorHAnsi"/>
          <w:sz w:val="18"/>
          <w:szCs w:val="18"/>
        </w:rPr>
        <w:t>) Consistent with animal growth, both vehicle and TGN-020 treatment groups (n=10-11) increase in weight over the treatment period (70 days starting from 2-months-of-age). No effect on animal weight was observed with drug treatment. (</w:t>
      </w:r>
      <w:r w:rsidRPr="000715D4">
        <w:rPr>
          <w:rFonts w:cstheme="minorHAnsi"/>
          <w:b/>
          <w:bCs/>
          <w:sz w:val="18"/>
          <w:szCs w:val="18"/>
        </w:rPr>
        <w:t>B</w:t>
      </w:r>
      <w:r w:rsidRPr="000715D4">
        <w:rPr>
          <w:rFonts w:cstheme="minorHAnsi"/>
          <w:sz w:val="18"/>
          <w:szCs w:val="18"/>
        </w:rPr>
        <w:t>) Neither tau inoculation nor TGN-020 treatment affected wildtype animal performance in the novel object recognition task (n=5-6). (</w:t>
      </w:r>
      <w:r w:rsidRPr="000715D4">
        <w:rPr>
          <w:rFonts w:cstheme="minorHAnsi"/>
          <w:b/>
          <w:bCs/>
          <w:sz w:val="18"/>
          <w:szCs w:val="18"/>
        </w:rPr>
        <w:t>C</w:t>
      </w:r>
      <w:r w:rsidRPr="000715D4">
        <w:rPr>
          <w:rFonts w:cstheme="minorHAnsi"/>
          <w:sz w:val="18"/>
          <w:szCs w:val="18"/>
        </w:rPr>
        <w:t xml:space="preserve">) Likewise, aside from the reduced motility observed by animals at week 10 compared to their baseline performance, due to test arena familiarisation, no effect was observed as a result of tau inoculation or TGN-020 treatment in mice (n=5-6). </w:t>
      </w:r>
      <w:r w:rsidRPr="000715D4">
        <w:rPr>
          <w:rFonts w:ascii="Arial" w:hAnsi="Arial" w:cs="Arial"/>
          <w:sz w:val="18"/>
          <w:szCs w:val="18"/>
        </w:rPr>
        <w:t>▲</w:t>
      </w:r>
      <w:r w:rsidRPr="000715D4">
        <w:rPr>
          <w:rFonts w:cstheme="minorHAnsi"/>
          <w:sz w:val="18"/>
          <w:szCs w:val="18"/>
        </w:rPr>
        <w:t xml:space="preserve">=females, </w:t>
      </w:r>
      <w:r w:rsidRPr="000715D4">
        <w:rPr>
          <w:rFonts w:ascii="Arial" w:hAnsi="Arial" w:cs="Arial"/>
          <w:sz w:val="18"/>
          <w:szCs w:val="18"/>
        </w:rPr>
        <w:t>■</w:t>
      </w:r>
      <w:r w:rsidRPr="000715D4">
        <w:rPr>
          <w:rFonts w:cstheme="minorHAnsi"/>
          <w:sz w:val="18"/>
          <w:szCs w:val="18"/>
        </w:rPr>
        <w:t>=males. *=p&lt;0.05, **=p&lt;0.01, ****=p&lt;0.0001.</w:t>
      </w:r>
    </w:p>
    <w:p w14:paraId="45D5EFB6" w14:textId="688C82BE" w:rsidR="00187BCB" w:rsidRPr="000715D4" w:rsidRDefault="00187BCB" w:rsidP="00187BCB">
      <w:pPr>
        <w:spacing w:line="276" w:lineRule="auto"/>
        <w:rPr>
          <w:rFonts w:cstheme="minorHAnsi"/>
          <w:b/>
          <w:bCs/>
          <w:sz w:val="18"/>
          <w:szCs w:val="18"/>
        </w:rPr>
      </w:pPr>
    </w:p>
    <w:p w14:paraId="064E8138" w14:textId="7715461A" w:rsidR="00187BCB" w:rsidRPr="000715D4" w:rsidRDefault="002A54BB" w:rsidP="00113210">
      <w:pPr>
        <w:spacing w:line="276" w:lineRule="auto"/>
        <w:jc w:val="center"/>
        <w:rPr>
          <w:rFonts w:cstheme="minorHAnsi"/>
          <w:b/>
          <w:bCs/>
          <w:sz w:val="18"/>
          <w:szCs w:val="18"/>
        </w:rPr>
      </w:pPr>
      <w:r>
        <w:rPr>
          <w:rFonts w:cstheme="minorHAnsi"/>
          <w:b/>
          <w:bCs/>
          <w:noProof/>
          <w:sz w:val="18"/>
          <w:szCs w:val="18"/>
        </w:rPr>
        <w:lastRenderedPageBreak/>
        <w:drawing>
          <wp:inline distT="0" distB="0" distL="0" distR="0" wp14:anchorId="1898A1A3" wp14:editId="192E346E">
            <wp:extent cx="4076700" cy="3111500"/>
            <wp:effectExtent l="0" t="0" r="0" b="0"/>
            <wp:docPr id="13494503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6700" cy="3111500"/>
                    </a:xfrm>
                    <a:prstGeom prst="rect">
                      <a:avLst/>
                    </a:prstGeom>
                    <a:noFill/>
                    <a:ln>
                      <a:noFill/>
                    </a:ln>
                  </pic:spPr>
                </pic:pic>
              </a:graphicData>
            </a:graphic>
          </wp:inline>
        </w:drawing>
      </w:r>
    </w:p>
    <w:p w14:paraId="4DDF777F" w14:textId="77777777" w:rsidR="002F06CF" w:rsidRPr="000715D4" w:rsidRDefault="002F06CF" w:rsidP="002F06CF">
      <w:pPr>
        <w:spacing w:line="276" w:lineRule="auto"/>
        <w:rPr>
          <w:rFonts w:cstheme="minorHAnsi"/>
          <w:sz w:val="18"/>
          <w:szCs w:val="18"/>
        </w:rPr>
      </w:pPr>
      <w:r w:rsidRPr="000715D4">
        <w:rPr>
          <w:rFonts w:cstheme="minorHAnsi"/>
          <w:b/>
          <w:bCs/>
          <w:sz w:val="18"/>
          <w:szCs w:val="18"/>
        </w:rPr>
        <w:t>Supplementary Figure 6 – AQP4 Expression and Polarisation Are Unaffected Following Chronic TGN-020 Treatment</w:t>
      </w:r>
    </w:p>
    <w:p w14:paraId="10F81F4D" w14:textId="77777777" w:rsidR="002F06CF" w:rsidRPr="000715D4" w:rsidRDefault="002F06CF" w:rsidP="002F06CF">
      <w:pPr>
        <w:spacing w:line="276" w:lineRule="auto"/>
        <w:rPr>
          <w:rFonts w:cstheme="minorHAnsi"/>
          <w:sz w:val="18"/>
          <w:szCs w:val="18"/>
        </w:rPr>
      </w:pPr>
      <w:r w:rsidRPr="000715D4">
        <w:rPr>
          <w:rFonts w:cstheme="minorHAnsi"/>
          <w:sz w:val="18"/>
          <w:szCs w:val="18"/>
        </w:rPr>
        <w:t>Expression measurements of hippocampal AQP4 protein (</w:t>
      </w:r>
      <w:r w:rsidRPr="000715D4">
        <w:rPr>
          <w:rFonts w:cstheme="minorHAnsi"/>
          <w:b/>
          <w:bCs/>
          <w:sz w:val="18"/>
          <w:szCs w:val="18"/>
        </w:rPr>
        <w:t>A</w:t>
      </w:r>
      <w:r w:rsidRPr="000715D4">
        <w:rPr>
          <w:rFonts w:cstheme="minorHAnsi"/>
          <w:sz w:val="18"/>
          <w:szCs w:val="18"/>
        </w:rPr>
        <w:t>) and its polarised location (</w:t>
      </w:r>
      <w:r w:rsidRPr="000715D4">
        <w:rPr>
          <w:rFonts w:cstheme="minorHAnsi"/>
          <w:b/>
          <w:bCs/>
          <w:sz w:val="18"/>
          <w:szCs w:val="18"/>
        </w:rPr>
        <w:t>B</w:t>
      </w:r>
      <w:r w:rsidRPr="000715D4">
        <w:rPr>
          <w:rFonts w:cstheme="minorHAnsi"/>
          <w:sz w:val="18"/>
          <w:szCs w:val="18"/>
        </w:rPr>
        <w:t>) (immunohistochemistry) are unaffected by chronic (10 weeks) TGN-020 treatment.</w:t>
      </w:r>
    </w:p>
    <w:p w14:paraId="1DFCD6D6" w14:textId="77777777" w:rsidR="002F06CF" w:rsidRPr="000715D4" w:rsidRDefault="002F06CF" w:rsidP="00187BCB">
      <w:pPr>
        <w:spacing w:line="276" w:lineRule="auto"/>
        <w:rPr>
          <w:rFonts w:cstheme="minorHAnsi"/>
          <w:sz w:val="18"/>
          <w:szCs w:val="18"/>
        </w:rPr>
      </w:pPr>
    </w:p>
    <w:p w14:paraId="3DEBADC2" w14:textId="1924E42C" w:rsidR="00187BCB" w:rsidRPr="000715D4" w:rsidRDefault="00423870" w:rsidP="00C5383C">
      <w:pPr>
        <w:spacing w:line="276" w:lineRule="auto"/>
        <w:jc w:val="center"/>
        <w:rPr>
          <w:rFonts w:cstheme="minorHAnsi"/>
          <w:b/>
          <w:bCs/>
          <w:sz w:val="18"/>
          <w:szCs w:val="18"/>
        </w:rPr>
      </w:pPr>
      <w:r>
        <w:rPr>
          <w:rFonts w:cstheme="minorHAnsi"/>
          <w:b/>
          <w:bCs/>
          <w:noProof/>
          <w:sz w:val="18"/>
          <w:szCs w:val="18"/>
        </w:rPr>
        <w:lastRenderedPageBreak/>
        <w:drawing>
          <wp:inline distT="0" distB="0" distL="0" distR="0" wp14:anchorId="75839189" wp14:editId="54826416">
            <wp:extent cx="5727700" cy="4864100"/>
            <wp:effectExtent l="0" t="0" r="6350" b="0"/>
            <wp:docPr id="10887266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4864100"/>
                    </a:xfrm>
                    <a:prstGeom prst="rect">
                      <a:avLst/>
                    </a:prstGeom>
                    <a:noFill/>
                    <a:ln>
                      <a:noFill/>
                    </a:ln>
                  </pic:spPr>
                </pic:pic>
              </a:graphicData>
            </a:graphic>
          </wp:inline>
        </w:drawing>
      </w:r>
    </w:p>
    <w:p w14:paraId="5D58ECCD" w14:textId="77777777" w:rsidR="00AD7164" w:rsidRPr="000715D4" w:rsidRDefault="00AD7164" w:rsidP="00935AFE">
      <w:pPr>
        <w:spacing w:line="276" w:lineRule="auto"/>
        <w:rPr>
          <w:rFonts w:cstheme="minorHAnsi"/>
          <w:b/>
          <w:bCs/>
          <w:sz w:val="18"/>
          <w:szCs w:val="18"/>
        </w:rPr>
      </w:pPr>
      <w:r w:rsidRPr="000715D4">
        <w:rPr>
          <w:rFonts w:cstheme="minorHAnsi"/>
          <w:b/>
          <w:bCs/>
          <w:sz w:val="18"/>
          <w:szCs w:val="18"/>
        </w:rPr>
        <w:t>Supplementary Figure 7 – Chronic TGN-020 Treatment Leads to Motor Dysfunction in Tau Seeded Mice</w:t>
      </w:r>
    </w:p>
    <w:p w14:paraId="383FC0CE" w14:textId="53EE0455" w:rsidR="00935AFE" w:rsidRPr="000715D4" w:rsidRDefault="00935AFE" w:rsidP="00935AFE">
      <w:pPr>
        <w:spacing w:line="276" w:lineRule="auto"/>
        <w:rPr>
          <w:rFonts w:cstheme="minorHAnsi"/>
          <w:sz w:val="18"/>
          <w:szCs w:val="18"/>
        </w:rPr>
      </w:pPr>
      <w:r w:rsidRPr="000715D4">
        <w:rPr>
          <w:rFonts w:cstheme="minorHAnsi"/>
          <w:sz w:val="18"/>
          <w:szCs w:val="18"/>
        </w:rPr>
        <w:t>No inter- or intra-group differences were observed in distance travelled in an open field arena (</w:t>
      </w:r>
      <w:r w:rsidRPr="000715D4">
        <w:rPr>
          <w:rFonts w:cstheme="minorHAnsi"/>
          <w:b/>
          <w:bCs/>
          <w:sz w:val="18"/>
          <w:szCs w:val="18"/>
        </w:rPr>
        <w:t>A</w:t>
      </w:r>
      <w:r w:rsidRPr="000715D4">
        <w:rPr>
          <w:rFonts w:cstheme="minorHAnsi"/>
          <w:sz w:val="18"/>
          <w:szCs w:val="18"/>
        </w:rPr>
        <w:t>) or the amount of time spent in the centre of the open field arena (</w:t>
      </w:r>
      <w:r w:rsidRPr="000715D4">
        <w:rPr>
          <w:rFonts w:cstheme="minorHAnsi"/>
          <w:b/>
          <w:bCs/>
          <w:sz w:val="18"/>
          <w:szCs w:val="18"/>
        </w:rPr>
        <w:t>B</w:t>
      </w:r>
      <w:r w:rsidRPr="000715D4">
        <w:rPr>
          <w:rFonts w:cstheme="minorHAnsi"/>
          <w:sz w:val="18"/>
          <w:szCs w:val="18"/>
        </w:rPr>
        <w:t>) at baseline and after 10 weeks of treatment. (</w:t>
      </w:r>
      <w:r w:rsidRPr="000715D4">
        <w:rPr>
          <w:rFonts w:cstheme="minorHAnsi"/>
          <w:b/>
          <w:bCs/>
          <w:sz w:val="18"/>
          <w:szCs w:val="18"/>
        </w:rPr>
        <w:t>C</w:t>
      </w:r>
      <w:r w:rsidRPr="000715D4">
        <w:rPr>
          <w:rFonts w:cstheme="minorHAnsi"/>
          <w:sz w:val="18"/>
          <w:szCs w:val="18"/>
        </w:rPr>
        <w:t xml:space="preserve">) Time spent by P301S </w:t>
      </w:r>
      <w:r w:rsidRPr="000715D4">
        <w:rPr>
          <w:rFonts w:cstheme="minorHAnsi"/>
          <w:sz w:val="18"/>
          <w:szCs w:val="18"/>
          <w:vertAlign w:val="superscript"/>
        </w:rPr>
        <w:t>P301S</w:t>
      </w:r>
      <w:r w:rsidRPr="000715D4">
        <w:rPr>
          <w:rFonts w:cstheme="minorHAnsi"/>
          <w:sz w:val="18"/>
          <w:szCs w:val="18"/>
        </w:rPr>
        <w:t xml:space="preserve">BE injected TGN-020 treated mice exploring objects in the novel object recognition task considerably declined at week 10, resulting in exclusion of this timepoint from analysis. </w:t>
      </w:r>
      <w:r w:rsidRPr="000715D4">
        <w:rPr>
          <w:rFonts w:ascii="Arial" w:hAnsi="Arial" w:cs="Arial"/>
          <w:sz w:val="18"/>
          <w:szCs w:val="18"/>
        </w:rPr>
        <w:t>▲</w:t>
      </w:r>
      <w:r w:rsidRPr="000715D4">
        <w:rPr>
          <w:rFonts w:cstheme="minorHAnsi"/>
          <w:sz w:val="18"/>
          <w:szCs w:val="18"/>
        </w:rPr>
        <w:t xml:space="preserve">=females, </w:t>
      </w:r>
      <w:r w:rsidRPr="000715D4">
        <w:rPr>
          <w:rFonts w:ascii="Arial" w:hAnsi="Arial" w:cs="Arial"/>
          <w:sz w:val="18"/>
          <w:szCs w:val="18"/>
        </w:rPr>
        <w:t>■</w:t>
      </w:r>
      <w:r w:rsidRPr="000715D4">
        <w:rPr>
          <w:rFonts w:cstheme="minorHAnsi"/>
          <w:sz w:val="18"/>
          <w:szCs w:val="18"/>
        </w:rPr>
        <w:t xml:space="preserve">=males, *=p&lt;0.05, **=p&lt;0.01, n=5-8 per group. </w:t>
      </w:r>
    </w:p>
    <w:p w14:paraId="3D5336FC" w14:textId="77777777" w:rsidR="005C1632" w:rsidRPr="000715D4" w:rsidRDefault="005C1632" w:rsidP="00935AFE">
      <w:pPr>
        <w:spacing w:line="276" w:lineRule="auto"/>
        <w:rPr>
          <w:rFonts w:cstheme="minorHAnsi"/>
          <w:sz w:val="18"/>
          <w:szCs w:val="18"/>
        </w:rPr>
      </w:pPr>
    </w:p>
    <w:p w14:paraId="4C65948D" w14:textId="1A518B1B" w:rsidR="00C5383C" w:rsidRPr="000715D4" w:rsidRDefault="00C5383C" w:rsidP="00113210">
      <w:pPr>
        <w:spacing w:line="276" w:lineRule="auto"/>
        <w:jc w:val="center"/>
        <w:rPr>
          <w:rFonts w:cstheme="minorHAnsi"/>
          <w:b/>
          <w:bCs/>
          <w:sz w:val="18"/>
          <w:szCs w:val="18"/>
        </w:rPr>
      </w:pPr>
    </w:p>
    <w:p w14:paraId="63811630" w14:textId="7C5D60DA" w:rsidR="00187BCB" w:rsidRPr="000715D4" w:rsidRDefault="00423870" w:rsidP="00113210">
      <w:pPr>
        <w:spacing w:line="276" w:lineRule="auto"/>
        <w:jc w:val="center"/>
        <w:rPr>
          <w:rFonts w:cstheme="minorHAnsi"/>
          <w:b/>
          <w:bCs/>
          <w:sz w:val="18"/>
          <w:szCs w:val="18"/>
        </w:rPr>
      </w:pPr>
      <w:r>
        <w:rPr>
          <w:rFonts w:cstheme="minorHAnsi"/>
          <w:b/>
          <w:bCs/>
          <w:noProof/>
          <w:sz w:val="18"/>
          <w:szCs w:val="18"/>
        </w:rPr>
        <w:lastRenderedPageBreak/>
        <w:drawing>
          <wp:inline distT="0" distB="0" distL="0" distR="0" wp14:anchorId="5B84EAB0" wp14:editId="4F4CE88E">
            <wp:extent cx="5727700" cy="6121400"/>
            <wp:effectExtent l="0" t="0" r="6350" b="0"/>
            <wp:docPr id="13576944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6121400"/>
                    </a:xfrm>
                    <a:prstGeom prst="rect">
                      <a:avLst/>
                    </a:prstGeom>
                    <a:noFill/>
                    <a:ln>
                      <a:noFill/>
                    </a:ln>
                  </pic:spPr>
                </pic:pic>
              </a:graphicData>
            </a:graphic>
          </wp:inline>
        </w:drawing>
      </w:r>
    </w:p>
    <w:p w14:paraId="625FB8A2" w14:textId="1330A503" w:rsidR="00187BCB" w:rsidRPr="000715D4" w:rsidRDefault="00187BCB" w:rsidP="00187BCB">
      <w:pPr>
        <w:spacing w:line="276" w:lineRule="auto"/>
        <w:rPr>
          <w:rFonts w:cstheme="minorHAnsi"/>
          <w:sz w:val="18"/>
          <w:szCs w:val="18"/>
        </w:rPr>
      </w:pPr>
      <w:r w:rsidRPr="000715D4">
        <w:rPr>
          <w:rFonts w:cstheme="minorHAnsi"/>
          <w:b/>
          <w:bCs/>
          <w:sz w:val="18"/>
          <w:szCs w:val="18"/>
        </w:rPr>
        <w:t>Supplementary Figure 8 – Groupwise Interhemispheric Volume Ratio Differences</w:t>
      </w:r>
    </w:p>
    <w:p w14:paraId="0D3B092E" w14:textId="77777777" w:rsidR="00187BCB" w:rsidRDefault="00187BCB" w:rsidP="00187BCB">
      <w:pPr>
        <w:spacing w:line="276" w:lineRule="auto"/>
        <w:rPr>
          <w:rFonts w:cstheme="minorHAnsi"/>
          <w:sz w:val="18"/>
          <w:szCs w:val="18"/>
        </w:rPr>
      </w:pPr>
      <w:r w:rsidRPr="000715D4">
        <w:rPr>
          <w:rFonts w:cstheme="minorHAnsi"/>
          <w:sz w:val="18"/>
          <w:szCs w:val="18"/>
        </w:rPr>
        <w:t>For each brain region in each group, the interhemispheric volume ratio (ipsilateral/contralateral volume) was calculated and compared to hemispheric equality (interhemispheric volume ratio of 1) in order to appreciate the magnitude of groupwise interhemispheric inequality. Difference cells are colour coded based on the degree of difference: red denoting ipsilateral&gt;contralateral volume, blue denoting contralateral&gt;ipsilateral volume. Cells containing the resulting p values (adjusted for multiple comparisons) from multiple t-tests are also colour coded (greyscale) based on the</w:t>
      </w:r>
      <w:r w:rsidRPr="00187BCB">
        <w:rPr>
          <w:rFonts w:cstheme="minorHAnsi"/>
          <w:sz w:val="18"/>
          <w:szCs w:val="18"/>
        </w:rPr>
        <w:t xml:space="preserve"> level of statistical significance. For additional visualisation of data, significant regions (either ipsilateral&gt;contralateral (red) or contralateral&gt;ipsilateral (blue)) are displayed on a single hemisphere of horizontal MR images at two levels (left, -4 from Bregma; right, 2mm from Bregma), with colour bars denoting the degree of interhemispheric difference.</w:t>
      </w:r>
    </w:p>
    <w:p w14:paraId="60F39379" w14:textId="77777777" w:rsidR="00891B6E" w:rsidRDefault="00891B6E">
      <w:pPr>
        <w:rPr>
          <w:b/>
          <w:bCs/>
          <w:u w:val="single"/>
        </w:rPr>
      </w:pPr>
    </w:p>
    <w:p w14:paraId="7FF28CF5" w14:textId="005D2546" w:rsidR="00C409FB" w:rsidRPr="000715D4" w:rsidRDefault="00423870" w:rsidP="00C409FB">
      <w:pPr>
        <w:spacing w:line="276" w:lineRule="auto"/>
        <w:jc w:val="center"/>
        <w:rPr>
          <w:rFonts w:cstheme="minorHAnsi"/>
          <w:b/>
          <w:bCs/>
          <w:sz w:val="18"/>
          <w:szCs w:val="18"/>
        </w:rPr>
      </w:pPr>
      <w:r>
        <w:rPr>
          <w:rFonts w:cstheme="minorHAnsi"/>
          <w:b/>
          <w:bCs/>
          <w:noProof/>
          <w:sz w:val="18"/>
          <w:szCs w:val="18"/>
        </w:rPr>
        <w:lastRenderedPageBreak/>
        <w:drawing>
          <wp:inline distT="0" distB="0" distL="0" distR="0" wp14:anchorId="106B97A5" wp14:editId="01485762">
            <wp:extent cx="5727700" cy="2565400"/>
            <wp:effectExtent l="0" t="0" r="6350" b="6350"/>
            <wp:docPr id="3393863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2565400"/>
                    </a:xfrm>
                    <a:prstGeom prst="rect">
                      <a:avLst/>
                    </a:prstGeom>
                    <a:noFill/>
                    <a:ln>
                      <a:noFill/>
                    </a:ln>
                  </pic:spPr>
                </pic:pic>
              </a:graphicData>
            </a:graphic>
          </wp:inline>
        </w:drawing>
      </w:r>
    </w:p>
    <w:p w14:paraId="378B6B7A" w14:textId="5765E678" w:rsidR="00C5383C" w:rsidRDefault="00CE2342">
      <w:pPr>
        <w:rPr>
          <w:rFonts w:cstheme="minorHAnsi"/>
          <w:b/>
          <w:bCs/>
          <w:sz w:val="18"/>
          <w:szCs w:val="18"/>
        </w:rPr>
      </w:pPr>
      <w:r w:rsidRPr="00CE2342">
        <w:rPr>
          <w:rFonts w:cstheme="minorHAnsi"/>
          <w:b/>
          <w:bCs/>
          <w:sz w:val="18"/>
          <w:szCs w:val="18"/>
        </w:rPr>
        <w:t>Supplementary Figure 9 – Raw Brain Regional Volumes</w:t>
      </w:r>
    </w:p>
    <w:p w14:paraId="40422687" w14:textId="4C0A5FC9" w:rsidR="00CE2342" w:rsidRPr="00CE2342" w:rsidRDefault="00CE2342" w:rsidP="00CE2342">
      <w:pPr>
        <w:spacing w:line="276" w:lineRule="auto"/>
        <w:rPr>
          <w:rFonts w:cstheme="minorHAnsi"/>
          <w:sz w:val="18"/>
          <w:szCs w:val="18"/>
        </w:rPr>
      </w:pPr>
      <w:r w:rsidRPr="00CE2342">
        <w:rPr>
          <w:rFonts w:cstheme="minorHAnsi"/>
          <w:sz w:val="18"/>
          <w:szCs w:val="18"/>
        </w:rPr>
        <w:t>Table containing raw brain regional volumes extracted from MR images. Ipsilateral and contralateral regional volumes (mm3) are shown to 3 decimal places, and standard deviations (SDs) amongst groups are shown to 1 decimal place.</w:t>
      </w:r>
    </w:p>
    <w:p w14:paraId="02821147" w14:textId="77777777" w:rsidR="00CE2342" w:rsidRDefault="00CE2342">
      <w:pPr>
        <w:rPr>
          <w:b/>
          <w:bCs/>
          <w:u w:val="single"/>
        </w:rPr>
      </w:pPr>
    </w:p>
    <w:p w14:paraId="624CAD94" w14:textId="492C4274" w:rsidR="00171A75" w:rsidRPr="006435A0" w:rsidRDefault="002832DA">
      <w:pPr>
        <w:rPr>
          <w:b/>
          <w:bCs/>
          <w:u w:val="single"/>
        </w:rPr>
      </w:pPr>
      <w:r w:rsidRPr="006435A0">
        <w:rPr>
          <w:b/>
          <w:bCs/>
          <w:u w:val="single"/>
        </w:rPr>
        <w:t>Supplementary References</w:t>
      </w:r>
    </w:p>
    <w:p w14:paraId="311360B8" w14:textId="77777777" w:rsidR="00963E49" w:rsidRPr="00963E49" w:rsidRDefault="00171A75" w:rsidP="00963E49">
      <w:pPr>
        <w:pStyle w:val="EndNoteBibliography"/>
        <w:spacing w:after="0"/>
        <w:ind w:left="720" w:hanging="720"/>
      </w:pPr>
      <w:r>
        <w:fldChar w:fldCharType="begin"/>
      </w:r>
      <w:r>
        <w:instrText xml:space="preserve"> ADDIN EN.REFLIST </w:instrText>
      </w:r>
      <w:r>
        <w:fldChar w:fldCharType="separate"/>
      </w:r>
      <w:r w:rsidR="00963E49" w:rsidRPr="00963E49">
        <w:t xml:space="preserve">De Silva, R., T. Lashley, G. Gibb, D. Hanger, A. Hope, A. Reid, R. Bandopadhyay, M. Utton, C. Strand, T. Jowett, N. Khan, B. Anderton, N. Wood, J. Holton, T. Revesz, and A. Lees. 2003. Pathological inclusion bodies in tauopathies contain distinct complements of tau with three or four microtubule-binding repeat domains as demonstrated by new specific monoclonal antibodies. </w:t>
      </w:r>
      <w:r w:rsidR="00963E49" w:rsidRPr="00963E49">
        <w:rPr>
          <w:i/>
        </w:rPr>
        <w:t>Neuropathology and Applied Neurobiology</w:t>
      </w:r>
      <w:r w:rsidR="00963E49" w:rsidRPr="00963E49">
        <w:t xml:space="preserve"> 29:288-302.</w:t>
      </w:r>
    </w:p>
    <w:p w14:paraId="15E3596D" w14:textId="77777777" w:rsidR="00963E49" w:rsidRPr="00963E49" w:rsidRDefault="00963E49" w:rsidP="00963E49">
      <w:pPr>
        <w:pStyle w:val="EndNoteBibliography"/>
        <w:ind w:left="720" w:hanging="720"/>
      </w:pPr>
      <w:r w:rsidRPr="00963E49">
        <w:t xml:space="preserve">Rao, X., X. Huang, Z. Zhou, and X. Lin. 2013. An improvement of the 2ˆ(-delta delta CT) method for quantitative real-time polymerase chain reaction data analysis. </w:t>
      </w:r>
      <w:r w:rsidRPr="00963E49">
        <w:rPr>
          <w:i/>
        </w:rPr>
        <w:t>Biostatistics, bioinformatics and biomathematics</w:t>
      </w:r>
      <w:r w:rsidRPr="00963E49">
        <w:t xml:space="preserve"> 3:71-85.</w:t>
      </w:r>
    </w:p>
    <w:p w14:paraId="589A17CA" w14:textId="0DE8653E" w:rsidR="00AB2677" w:rsidRDefault="00171A75" w:rsidP="00D803AA">
      <w:pPr>
        <w:rPr>
          <w:rFonts w:cstheme="minorHAnsi"/>
          <w:b/>
          <w:bCs/>
        </w:rPr>
      </w:pPr>
      <w:r>
        <w:fldChar w:fldCharType="end"/>
      </w:r>
    </w:p>
    <w:p w14:paraId="12C3DDB5" w14:textId="77777777" w:rsidR="00B25FC1" w:rsidRPr="00AB2677" w:rsidRDefault="00B25FC1">
      <w:pPr>
        <w:spacing w:line="360" w:lineRule="auto"/>
      </w:pPr>
    </w:p>
    <w:sectPr w:rsidR="00B25FC1" w:rsidRPr="00AB2677">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2CAD71" w14:textId="77777777" w:rsidR="00EC5989" w:rsidRDefault="00EC5989" w:rsidP="00963E49">
      <w:pPr>
        <w:spacing w:after="0" w:line="240" w:lineRule="auto"/>
      </w:pPr>
      <w:r>
        <w:separator/>
      </w:r>
    </w:p>
  </w:endnote>
  <w:endnote w:type="continuationSeparator" w:id="0">
    <w:p w14:paraId="090AC131" w14:textId="77777777" w:rsidR="00EC5989" w:rsidRDefault="00EC5989" w:rsidP="00963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BA9D40" w14:textId="77777777" w:rsidR="00EC5989" w:rsidRDefault="00EC5989" w:rsidP="00963E49">
      <w:pPr>
        <w:spacing w:after="0" w:line="240" w:lineRule="auto"/>
      </w:pPr>
      <w:r>
        <w:separator/>
      </w:r>
    </w:p>
  </w:footnote>
  <w:footnote w:type="continuationSeparator" w:id="0">
    <w:p w14:paraId="39836E8B" w14:textId="77777777" w:rsidR="00EC5989" w:rsidRDefault="00EC5989" w:rsidP="00963E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6CB9D" w14:textId="7894E77D" w:rsidR="00963E49" w:rsidRPr="00963E49" w:rsidRDefault="00963E49">
    <w:pPr>
      <w:pStyle w:val="Header"/>
      <w:rPr>
        <w:b/>
        <w:bCs/>
        <w:u w:val="single"/>
      </w:rPr>
    </w:pPr>
    <w:r w:rsidRPr="00963E49">
      <w:rPr>
        <w:b/>
        <w:bCs/>
        <w:u w:val="single"/>
      </w:rPr>
      <w:t>Supplementary Material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J Experi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tttpzt3ew0wdespzcppp590zafefdawe2e&quot;&gt;My EndNote Library-Converted&lt;record-ids&gt;&lt;item&gt;25&lt;/item&gt;&lt;item&gt;38&lt;/item&gt;&lt;/record-ids&gt;&lt;/item&gt;&lt;/Libraries&gt;"/>
  </w:docVars>
  <w:rsids>
    <w:rsidRoot w:val="00F1519F"/>
    <w:rsid w:val="0003134F"/>
    <w:rsid w:val="00037A26"/>
    <w:rsid w:val="000476A9"/>
    <w:rsid w:val="000715D4"/>
    <w:rsid w:val="0008685A"/>
    <w:rsid w:val="000956E9"/>
    <w:rsid w:val="000A059C"/>
    <w:rsid w:val="000A3295"/>
    <w:rsid w:val="000A4C9E"/>
    <w:rsid w:val="000A761E"/>
    <w:rsid w:val="000C0ADE"/>
    <w:rsid w:val="000C2C84"/>
    <w:rsid w:val="000C305B"/>
    <w:rsid w:val="000E41DD"/>
    <w:rsid w:val="000F0DC2"/>
    <w:rsid w:val="000F7DBF"/>
    <w:rsid w:val="00104CE4"/>
    <w:rsid w:val="00106FE5"/>
    <w:rsid w:val="00113210"/>
    <w:rsid w:val="00126E96"/>
    <w:rsid w:val="00143293"/>
    <w:rsid w:val="00145000"/>
    <w:rsid w:val="00170E1F"/>
    <w:rsid w:val="00171A75"/>
    <w:rsid w:val="00187BCB"/>
    <w:rsid w:val="00197F29"/>
    <w:rsid w:val="001A7E64"/>
    <w:rsid w:val="001C05A1"/>
    <w:rsid w:val="001C61C9"/>
    <w:rsid w:val="001C68DF"/>
    <w:rsid w:val="001E177D"/>
    <w:rsid w:val="001E3993"/>
    <w:rsid w:val="001F3A61"/>
    <w:rsid w:val="00223E3D"/>
    <w:rsid w:val="00224848"/>
    <w:rsid w:val="002365AE"/>
    <w:rsid w:val="002573DE"/>
    <w:rsid w:val="00260C43"/>
    <w:rsid w:val="00266A6D"/>
    <w:rsid w:val="00272A70"/>
    <w:rsid w:val="002832DA"/>
    <w:rsid w:val="002A27F7"/>
    <w:rsid w:val="002A28E5"/>
    <w:rsid w:val="002A2CCA"/>
    <w:rsid w:val="002A54BB"/>
    <w:rsid w:val="002A6431"/>
    <w:rsid w:val="002E5D9A"/>
    <w:rsid w:val="002F06CF"/>
    <w:rsid w:val="003255C9"/>
    <w:rsid w:val="00327621"/>
    <w:rsid w:val="003337E3"/>
    <w:rsid w:val="00344F57"/>
    <w:rsid w:val="00356F79"/>
    <w:rsid w:val="003715D2"/>
    <w:rsid w:val="00377861"/>
    <w:rsid w:val="00392D61"/>
    <w:rsid w:val="003959E5"/>
    <w:rsid w:val="003A1F41"/>
    <w:rsid w:val="003A5D6B"/>
    <w:rsid w:val="003C1B1A"/>
    <w:rsid w:val="003C786F"/>
    <w:rsid w:val="003C7C81"/>
    <w:rsid w:val="003D2575"/>
    <w:rsid w:val="00404559"/>
    <w:rsid w:val="00423870"/>
    <w:rsid w:val="004307E6"/>
    <w:rsid w:val="00460E5D"/>
    <w:rsid w:val="00464BA1"/>
    <w:rsid w:val="0048482C"/>
    <w:rsid w:val="00491E78"/>
    <w:rsid w:val="004B19C7"/>
    <w:rsid w:val="004D3612"/>
    <w:rsid w:val="004E5C74"/>
    <w:rsid w:val="004F167C"/>
    <w:rsid w:val="004F7BB1"/>
    <w:rsid w:val="00501FB4"/>
    <w:rsid w:val="005038A1"/>
    <w:rsid w:val="00505A3C"/>
    <w:rsid w:val="00505D34"/>
    <w:rsid w:val="0054527B"/>
    <w:rsid w:val="00561C5E"/>
    <w:rsid w:val="0057551E"/>
    <w:rsid w:val="005823C2"/>
    <w:rsid w:val="005A0C4F"/>
    <w:rsid w:val="005A4E9A"/>
    <w:rsid w:val="005C1632"/>
    <w:rsid w:val="005D56ED"/>
    <w:rsid w:val="005D6D1F"/>
    <w:rsid w:val="005E0D9D"/>
    <w:rsid w:val="005F6A81"/>
    <w:rsid w:val="00631C2E"/>
    <w:rsid w:val="00640D72"/>
    <w:rsid w:val="006435A0"/>
    <w:rsid w:val="00680E99"/>
    <w:rsid w:val="006952FF"/>
    <w:rsid w:val="006A2941"/>
    <w:rsid w:val="006B768B"/>
    <w:rsid w:val="006C41E1"/>
    <w:rsid w:val="006D3CB8"/>
    <w:rsid w:val="006E7BBD"/>
    <w:rsid w:val="006F5767"/>
    <w:rsid w:val="006F7E54"/>
    <w:rsid w:val="007047F6"/>
    <w:rsid w:val="007445C0"/>
    <w:rsid w:val="00750F2D"/>
    <w:rsid w:val="007A65EB"/>
    <w:rsid w:val="007B0D42"/>
    <w:rsid w:val="007B40AA"/>
    <w:rsid w:val="007C4CD9"/>
    <w:rsid w:val="007D3EF4"/>
    <w:rsid w:val="008353D4"/>
    <w:rsid w:val="008364C1"/>
    <w:rsid w:val="00837868"/>
    <w:rsid w:val="00851765"/>
    <w:rsid w:val="00862EBA"/>
    <w:rsid w:val="00871B31"/>
    <w:rsid w:val="00891B6E"/>
    <w:rsid w:val="008952B9"/>
    <w:rsid w:val="00896706"/>
    <w:rsid w:val="008E039B"/>
    <w:rsid w:val="008E6726"/>
    <w:rsid w:val="008F4189"/>
    <w:rsid w:val="00904628"/>
    <w:rsid w:val="00935AFE"/>
    <w:rsid w:val="00940168"/>
    <w:rsid w:val="00941D22"/>
    <w:rsid w:val="00951884"/>
    <w:rsid w:val="00963E49"/>
    <w:rsid w:val="00964C0D"/>
    <w:rsid w:val="009729BE"/>
    <w:rsid w:val="009735AD"/>
    <w:rsid w:val="00981D2F"/>
    <w:rsid w:val="00993142"/>
    <w:rsid w:val="00993CBD"/>
    <w:rsid w:val="00996DDE"/>
    <w:rsid w:val="009A6332"/>
    <w:rsid w:val="009B17B8"/>
    <w:rsid w:val="009C6FC7"/>
    <w:rsid w:val="009D0563"/>
    <w:rsid w:val="00A02921"/>
    <w:rsid w:val="00A53C8C"/>
    <w:rsid w:val="00A61759"/>
    <w:rsid w:val="00A63B33"/>
    <w:rsid w:val="00A95DF9"/>
    <w:rsid w:val="00A9619A"/>
    <w:rsid w:val="00AA33B0"/>
    <w:rsid w:val="00AB2677"/>
    <w:rsid w:val="00AD7164"/>
    <w:rsid w:val="00AE1510"/>
    <w:rsid w:val="00AE73EA"/>
    <w:rsid w:val="00B01E27"/>
    <w:rsid w:val="00B1048C"/>
    <w:rsid w:val="00B24288"/>
    <w:rsid w:val="00B25926"/>
    <w:rsid w:val="00B25FC1"/>
    <w:rsid w:val="00B27ED5"/>
    <w:rsid w:val="00B53EB5"/>
    <w:rsid w:val="00B65B0A"/>
    <w:rsid w:val="00BA3B03"/>
    <w:rsid w:val="00BB1764"/>
    <w:rsid w:val="00BB7144"/>
    <w:rsid w:val="00BC1A23"/>
    <w:rsid w:val="00BD18AB"/>
    <w:rsid w:val="00BD2043"/>
    <w:rsid w:val="00BD349E"/>
    <w:rsid w:val="00BD434C"/>
    <w:rsid w:val="00BE366C"/>
    <w:rsid w:val="00BF45E9"/>
    <w:rsid w:val="00C14532"/>
    <w:rsid w:val="00C32566"/>
    <w:rsid w:val="00C409FB"/>
    <w:rsid w:val="00C4145C"/>
    <w:rsid w:val="00C5173E"/>
    <w:rsid w:val="00C5383C"/>
    <w:rsid w:val="00C565E6"/>
    <w:rsid w:val="00CA4608"/>
    <w:rsid w:val="00CA563A"/>
    <w:rsid w:val="00CB68B6"/>
    <w:rsid w:val="00CC6B9E"/>
    <w:rsid w:val="00CD38EB"/>
    <w:rsid w:val="00CD4BCE"/>
    <w:rsid w:val="00CE2342"/>
    <w:rsid w:val="00CE408F"/>
    <w:rsid w:val="00CF267F"/>
    <w:rsid w:val="00CF4B12"/>
    <w:rsid w:val="00CF60E0"/>
    <w:rsid w:val="00D11F52"/>
    <w:rsid w:val="00D331B9"/>
    <w:rsid w:val="00D345C8"/>
    <w:rsid w:val="00D47DDD"/>
    <w:rsid w:val="00D5507C"/>
    <w:rsid w:val="00D5657F"/>
    <w:rsid w:val="00D77B34"/>
    <w:rsid w:val="00D803AA"/>
    <w:rsid w:val="00D82105"/>
    <w:rsid w:val="00D9422E"/>
    <w:rsid w:val="00D96785"/>
    <w:rsid w:val="00DB7773"/>
    <w:rsid w:val="00DC2156"/>
    <w:rsid w:val="00DC2C48"/>
    <w:rsid w:val="00DC4E43"/>
    <w:rsid w:val="00DD099B"/>
    <w:rsid w:val="00DD3651"/>
    <w:rsid w:val="00DE39BD"/>
    <w:rsid w:val="00DF7B1C"/>
    <w:rsid w:val="00E22DC4"/>
    <w:rsid w:val="00E26B93"/>
    <w:rsid w:val="00E352CB"/>
    <w:rsid w:val="00E401B0"/>
    <w:rsid w:val="00E67D2A"/>
    <w:rsid w:val="00E723B8"/>
    <w:rsid w:val="00E86A35"/>
    <w:rsid w:val="00E930CF"/>
    <w:rsid w:val="00EA05AE"/>
    <w:rsid w:val="00EB2990"/>
    <w:rsid w:val="00EB4EE1"/>
    <w:rsid w:val="00EC5989"/>
    <w:rsid w:val="00EC645D"/>
    <w:rsid w:val="00EE23AA"/>
    <w:rsid w:val="00F00F55"/>
    <w:rsid w:val="00F01C98"/>
    <w:rsid w:val="00F02A02"/>
    <w:rsid w:val="00F1519F"/>
    <w:rsid w:val="00F206CE"/>
    <w:rsid w:val="00F47E68"/>
    <w:rsid w:val="00F55410"/>
    <w:rsid w:val="00F6397F"/>
    <w:rsid w:val="00F64373"/>
    <w:rsid w:val="00F648BC"/>
    <w:rsid w:val="00F8656B"/>
    <w:rsid w:val="00FC5C8A"/>
    <w:rsid w:val="00FD39A8"/>
    <w:rsid w:val="00FD4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D8256"/>
  <w15:chartTrackingRefBased/>
  <w15:docId w15:val="{18102409-E654-4484-A32C-6F7E549C6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171A75"/>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171A75"/>
    <w:rPr>
      <w:rFonts w:ascii="Calibri" w:hAnsi="Calibri" w:cs="Calibri"/>
      <w:noProof/>
      <w:lang w:val="en-US"/>
    </w:rPr>
  </w:style>
  <w:style w:type="paragraph" w:customStyle="1" w:styleId="EndNoteBibliography">
    <w:name w:val="EndNote Bibliography"/>
    <w:basedOn w:val="Normal"/>
    <w:link w:val="EndNoteBibliographyChar"/>
    <w:rsid w:val="00171A75"/>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171A75"/>
    <w:rPr>
      <w:rFonts w:ascii="Calibri" w:hAnsi="Calibri" w:cs="Calibri"/>
      <w:noProof/>
      <w:lang w:val="en-US"/>
    </w:rPr>
  </w:style>
  <w:style w:type="paragraph" w:styleId="ListParagraph">
    <w:name w:val="List Paragraph"/>
    <w:basedOn w:val="Normal"/>
    <w:uiPriority w:val="34"/>
    <w:qFormat/>
    <w:rsid w:val="00F01C98"/>
    <w:pPr>
      <w:ind w:left="720"/>
      <w:contextualSpacing/>
    </w:pPr>
  </w:style>
  <w:style w:type="paragraph" w:styleId="Header">
    <w:name w:val="header"/>
    <w:basedOn w:val="Normal"/>
    <w:link w:val="HeaderChar"/>
    <w:uiPriority w:val="99"/>
    <w:unhideWhenUsed/>
    <w:rsid w:val="00963E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E49"/>
  </w:style>
  <w:style w:type="paragraph" w:styleId="Footer">
    <w:name w:val="footer"/>
    <w:basedOn w:val="Normal"/>
    <w:link w:val="FooterChar"/>
    <w:uiPriority w:val="99"/>
    <w:unhideWhenUsed/>
    <w:rsid w:val="00963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E49"/>
  </w:style>
  <w:style w:type="character" w:styleId="Hyperlink">
    <w:name w:val="Hyperlink"/>
    <w:basedOn w:val="DefaultParagraphFont"/>
    <w:uiPriority w:val="99"/>
    <w:unhideWhenUsed/>
    <w:rsid w:val="00963E49"/>
    <w:rPr>
      <w:color w:val="0563C1" w:themeColor="hyperlink"/>
      <w:u w:val="single"/>
    </w:rPr>
  </w:style>
  <w:style w:type="character" w:styleId="UnresolvedMention">
    <w:name w:val="Unresolved Mention"/>
    <w:basedOn w:val="DefaultParagraphFont"/>
    <w:uiPriority w:val="99"/>
    <w:semiHidden/>
    <w:unhideWhenUsed/>
    <w:rsid w:val="00963E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2240428">
      <w:bodyDiv w:val="1"/>
      <w:marLeft w:val="0"/>
      <w:marRight w:val="0"/>
      <w:marTop w:val="0"/>
      <w:marBottom w:val="0"/>
      <w:divBdr>
        <w:top w:val="none" w:sz="0" w:space="0" w:color="auto"/>
        <w:left w:val="none" w:sz="0" w:space="0" w:color="auto"/>
        <w:bottom w:val="none" w:sz="0" w:space="0" w:color="auto"/>
        <w:right w:val="none" w:sz="0" w:space="0" w:color="auto"/>
      </w:divBdr>
    </w:div>
    <w:div w:id="732317434">
      <w:bodyDiv w:val="1"/>
      <w:marLeft w:val="0"/>
      <w:marRight w:val="0"/>
      <w:marTop w:val="0"/>
      <w:marBottom w:val="0"/>
      <w:divBdr>
        <w:top w:val="none" w:sz="0" w:space="0" w:color="auto"/>
        <w:left w:val="none" w:sz="0" w:space="0" w:color="auto"/>
        <w:bottom w:val="none" w:sz="0" w:space="0" w:color="auto"/>
        <w:right w:val="none" w:sz="0" w:space="0" w:color="auto"/>
      </w:divBdr>
    </w:div>
    <w:div w:id="1011614156">
      <w:bodyDiv w:val="1"/>
      <w:marLeft w:val="0"/>
      <w:marRight w:val="0"/>
      <w:marTop w:val="0"/>
      <w:marBottom w:val="0"/>
      <w:divBdr>
        <w:top w:val="none" w:sz="0" w:space="0" w:color="auto"/>
        <w:left w:val="none" w:sz="0" w:space="0" w:color="auto"/>
        <w:bottom w:val="none" w:sz="0" w:space="0" w:color="auto"/>
        <w:right w:val="none" w:sz="0" w:space="0" w:color="auto"/>
      </w:divBdr>
    </w:div>
    <w:div w:id="1019818344">
      <w:bodyDiv w:val="1"/>
      <w:marLeft w:val="0"/>
      <w:marRight w:val="0"/>
      <w:marTop w:val="0"/>
      <w:marBottom w:val="0"/>
      <w:divBdr>
        <w:top w:val="none" w:sz="0" w:space="0" w:color="auto"/>
        <w:left w:val="none" w:sz="0" w:space="0" w:color="auto"/>
        <w:bottom w:val="none" w:sz="0" w:space="0" w:color="auto"/>
        <w:right w:val="none" w:sz="0" w:space="0" w:color="auto"/>
      </w:divBdr>
    </w:div>
    <w:div w:id="1401631386">
      <w:bodyDiv w:val="1"/>
      <w:marLeft w:val="0"/>
      <w:marRight w:val="0"/>
      <w:marTop w:val="0"/>
      <w:marBottom w:val="0"/>
      <w:divBdr>
        <w:top w:val="none" w:sz="0" w:space="0" w:color="auto"/>
        <w:left w:val="none" w:sz="0" w:space="0" w:color="auto"/>
        <w:bottom w:val="none" w:sz="0" w:space="0" w:color="auto"/>
        <w:right w:val="none" w:sz="0" w:space="0" w:color="auto"/>
      </w:divBdr>
    </w:div>
    <w:div w:id="1531643236">
      <w:bodyDiv w:val="1"/>
      <w:marLeft w:val="0"/>
      <w:marRight w:val="0"/>
      <w:marTop w:val="0"/>
      <w:marBottom w:val="0"/>
      <w:divBdr>
        <w:top w:val="none" w:sz="0" w:space="0" w:color="auto"/>
        <w:left w:val="none" w:sz="0" w:space="0" w:color="auto"/>
        <w:bottom w:val="none" w:sz="0" w:space="0" w:color="auto"/>
        <w:right w:val="none" w:sz="0" w:space="0" w:color="auto"/>
      </w:divBdr>
    </w:div>
    <w:div w:id="1765222546">
      <w:bodyDiv w:val="1"/>
      <w:marLeft w:val="0"/>
      <w:marRight w:val="0"/>
      <w:marTop w:val="0"/>
      <w:marBottom w:val="0"/>
      <w:divBdr>
        <w:top w:val="none" w:sz="0" w:space="0" w:color="auto"/>
        <w:left w:val="none" w:sz="0" w:space="0" w:color="auto"/>
        <w:bottom w:val="none" w:sz="0" w:space="0" w:color="auto"/>
        <w:right w:val="none" w:sz="0" w:space="0" w:color="auto"/>
      </w:divBdr>
    </w:div>
    <w:div w:id="1865485169">
      <w:bodyDiv w:val="1"/>
      <w:marLeft w:val="0"/>
      <w:marRight w:val="0"/>
      <w:marTop w:val="0"/>
      <w:marBottom w:val="0"/>
      <w:divBdr>
        <w:top w:val="none" w:sz="0" w:space="0" w:color="auto"/>
        <w:left w:val="none" w:sz="0" w:space="0" w:color="auto"/>
        <w:bottom w:val="none" w:sz="0" w:space="0" w:color="auto"/>
        <w:right w:val="none" w:sz="0" w:space="0" w:color="auto"/>
      </w:divBdr>
    </w:div>
    <w:div w:id="2025206078">
      <w:bodyDiv w:val="1"/>
      <w:marLeft w:val="0"/>
      <w:marRight w:val="0"/>
      <w:marTop w:val="0"/>
      <w:marBottom w:val="0"/>
      <w:divBdr>
        <w:top w:val="none" w:sz="0" w:space="0" w:color="auto"/>
        <w:left w:val="none" w:sz="0" w:space="0" w:color="auto"/>
        <w:bottom w:val="none" w:sz="0" w:space="0" w:color="auto"/>
        <w:right w:val="none" w:sz="0" w:space="0" w:color="auto"/>
      </w:divBdr>
    </w:div>
    <w:div w:id="209061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DC2C9-25AD-4082-880A-9C29D4261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11</Pages>
  <Words>2359</Words>
  <Characters>13447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Ian</dc:creator>
  <cp:keywords/>
  <dc:description/>
  <cp:lastModifiedBy>Harrison, Ian</cp:lastModifiedBy>
  <cp:revision>64</cp:revision>
  <dcterms:created xsi:type="dcterms:W3CDTF">2023-12-04T14:57:00Z</dcterms:created>
  <dcterms:modified xsi:type="dcterms:W3CDTF">2024-03-24T17:56:00Z</dcterms:modified>
</cp:coreProperties>
</file>