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C57F" w14:textId="65819F00" w:rsidR="0063457F" w:rsidRPr="004E394E" w:rsidRDefault="00835F98" w:rsidP="00835F9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E394E">
        <w:rPr>
          <w:rFonts w:asciiTheme="minorHAnsi" w:hAnsiTheme="minorHAnsi" w:cstheme="minorHAnsi"/>
          <w:b/>
          <w:bCs/>
          <w:sz w:val="28"/>
          <w:szCs w:val="28"/>
        </w:rPr>
        <w:t>Supplemental material</w:t>
      </w:r>
    </w:p>
    <w:p w14:paraId="38BDB3EB" w14:textId="60AC0DF1" w:rsidR="00835F98" w:rsidRPr="004E394E" w:rsidRDefault="00835F98" w:rsidP="00835F9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9FD302" w14:textId="656EC240" w:rsidR="00835F98" w:rsidRPr="004E394E" w:rsidRDefault="00835F98" w:rsidP="00835F9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33195E8" w14:textId="445412A5" w:rsidR="001874AE" w:rsidRDefault="001874AE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E394E">
        <w:rPr>
          <w:rFonts w:asciiTheme="minorHAnsi" w:hAnsiTheme="minorHAnsi" w:cstheme="minorHAnsi"/>
          <w:b/>
          <w:bCs/>
          <w:sz w:val="24"/>
          <w:szCs w:val="24"/>
        </w:rPr>
        <w:t xml:space="preserve">Supplemental Table 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4E394E"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r w:rsidR="0016282C">
        <w:rPr>
          <w:rFonts w:asciiTheme="minorHAnsi" w:hAnsiTheme="minorHAnsi" w:cstheme="minorHAnsi"/>
          <w:b/>
          <w:bCs/>
          <w:sz w:val="24"/>
          <w:szCs w:val="24"/>
        </w:rPr>
        <w:t>“</w:t>
      </w:r>
      <w:r>
        <w:rPr>
          <w:rFonts w:asciiTheme="minorHAnsi" w:hAnsiTheme="minorHAnsi" w:cstheme="minorHAnsi"/>
          <w:b/>
          <w:bCs/>
          <w:sz w:val="24"/>
          <w:szCs w:val="24"/>
        </w:rPr>
        <w:t>Padua criteria</w:t>
      </w:r>
      <w:r w:rsidR="0016282C">
        <w:rPr>
          <w:rFonts w:asciiTheme="minorHAnsi" w:hAnsiTheme="minorHAnsi" w:cstheme="minorHAnsi"/>
          <w:b/>
          <w:bCs/>
          <w:sz w:val="24"/>
          <w:szCs w:val="24"/>
        </w:rPr>
        <w:t xml:space="preserve">” for the diagnosis of arrhythmogenic right ventricular cardiomyopathy. </w:t>
      </w:r>
    </w:p>
    <w:p w14:paraId="67FAE414" w14:textId="1F0CCE00" w:rsidR="0016282C" w:rsidRDefault="0016282C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9479DB5" w14:textId="13F9F6A4" w:rsidR="0016282C" w:rsidRDefault="0016282C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953"/>
        <w:gridCol w:w="5777"/>
      </w:tblGrid>
      <w:tr w:rsidR="0016282C" w:rsidRPr="0016282C" w14:paraId="52259FBD" w14:textId="77777777" w:rsidTr="0016282C">
        <w:tc>
          <w:tcPr>
            <w:tcW w:w="2547" w:type="dxa"/>
          </w:tcPr>
          <w:p w14:paraId="5C7704B0" w14:textId="7009921F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5953" w:type="dxa"/>
          </w:tcPr>
          <w:p w14:paraId="5CFBC348" w14:textId="3A379250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RV</w:t>
            </w:r>
          </w:p>
        </w:tc>
        <w:tc>
          <w:tcPr>
            <w:tcW w:w="5777" w:type="dxa"/>
          </w:tcPr>
          <w:p w14:paraId="417F77D9" w14:textId="00F4DE5C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LV</w:t>
            </w:r>
          </w:p>
        </w:tc>
      </w:tr>
      <w:tr w:rsidR="0016282C" w:rsidRPr="0016282C" w14:paraId="163F1D16" w14:textId="77777777" w:rsidTr="0016282C">
        <w:tc>
          <w:tcPr>
            <w:tcW w:w="2547" w:type="dxa"/>
          </w:tcPr>
          <w:p w14:paraId="299BB8FF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I. Morpho-functional</w:t>
            </w:r>
          </w:p>
          <w:p w14:paraId="5614CA94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ventricular</w:t>
            </w:r>
          </w:p>
          <w:p w14:paraId="086E02AF" w14:textId="76AC7597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abnormalities</w:t>
            </w:r>
          </w:p>
        </w:tc>
        <w:tc>
          <w:tcPr>
            <w:tcW w:w="5953" w:type="dxa"/>
          </w:tcPr>
          <w:p w14:paraId="35B016DE" w14:textId="4D767EAB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Echocardiography, CMR or angiography:</w:t>
            </w:r>
          </w:p>
          <w:p w14:paraId="3F6A1346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637228FD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Regional RV akinesia, dyskinesia, or bulging plus one of the following:</w:t>
            </w:r>
          </w:p>
          <w:p w14:paraId="3ADDE91A" w14:textId="7CFEEF38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- global RV dilatation (increase of RV EDV according to the imaging test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specific nomograms)</w:t>
            </w:r>
          </w:p>
          <w:p w14:paraId="7F69E0FC" w14:textId="4B221E9B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- global RV systolic dysfunction (reduction of RV EF according to the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imaging test specific nomograms)</w:t>
            </w:r>
          </w:p>
          <w:p w14:paraId="5AA88783" w14:textId="77777777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C5CCBB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7F69B210" w14:textId="71DEE420" w:rsidR="0016282C" w:rsidRPr="0016282C" w:rsidRDefault="0016282C" w:rsidP="008503E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Regional RV akinesia, dyskinesia or aneurysm of RV free wall</w:t>
            </w:r>
          </w:p>
        </w:tc>
        <w:tc>
          <w:tcPr>
            <w:tcW w:w="5777" w:type="dxa"/>
          </w:tcPr>
          <w:p w14:paraId="5A3659BC" w14:textId="7E2D86A8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Echocardiography, CMR or angiography:</w:t>
            </w:r>
          </w:p>
          <w:p w14:paraId="0175211A" w14:textId="19F4AA4F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67498F47" w14:textId="18D84F86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Global LV systolic dysfunction (depression of LV EF or reduction of echocardiographic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global longitudinal strain), with or without LV dilatation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(increase of LV EDV according to the imaging test specific nomograms for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age, sex, and BSA)</w:t>
            </w:r>
          </w:p>
          <w:p w14:paraId="6F0F736A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C0A7B8A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14E0FC63" w14:textId="093205BF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Regional LV hypokinesia or akinesia of LV free wall, septum, or both</w:t>
            </w:r>
          </w:p>
        </w:tc>
      </w:tr>
      <w:tr w:rsidR="0016282C" w:rsidRPr="0016282C" w14:paraId="4E2B1697" w14:textId="77777777" w:rsidTr="0016282C">
        <w:tc>
          <w:tcPr>
            <w:tcW w:w="2547" w:type="dxa"/>
          </w:tcPr>
          <w:p w14:paraId="2D03047C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 xml:space="preserve">II. </w:t>
            </w: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Structural</w:t>
            </w:r>
            <w:proofErr w:type="spellEnd"/>
          </w:p>
          <w:p w14:paraId="67CFCCB4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myocardial</w:t>
            </w:r>
            <w:proofErr w:type="spellEnd"/>
          </w:p>
          <w:p w14:paraId="0E4B9489" w14:textId="29ED166B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abnormalities</w:t>
            </w:r>
            <w:proofErr w:type="spellEnd"/>
          </w:p>
        </w:tc>
        <w:tc>
          <w:tcPr>
            <w:tcW w:w="5953" w:type="dxa"/>
          </w:tcPr>
          <w:p w14:paraId="0A229CF8" w14:textId="47A23D53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t>CMR:</w:t>
            </w:r>
          </w:p>
          <w:p w14:paraId="2E461CD0" w14:textId="6CEC7CAE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0766FCC4" w14:textId="3F904E33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Transmural LGE (stria pattern) of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="AdvTT5235d5a9+22" w:hAnsiTheme="minorHAnsi" w:cstheme="minorHAnsi"/>
                <w:sz w:val="24"/>
                <w:szCs w:val="24"/>
              </w:rPr>
              <w:t>≥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1 RV region(s) (inlet, outlet, and apex in 2 orthogonal views)</w:t>
            </w:r>
          </w:p>
          <w:p w14:paraId="6684290A" w14:textId="792537F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lastRenderedPageBreak/>
              <w:t>EMB:</w:t>
            </w:r>
          </w:p>
          <w:p w14:paraId="54A1C70F" w14:textId="77274C41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048E0073" w14:textId="68ABCF40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• Fibrous replacement of the myocardium in </w:t>
            </w:r>
            <w:r w:rsidRPr="0016282C">
              <w:rPr>
                <w:rFonts w:asciiTheme="minorHAnsi" w:eastAsia="AdvTT5235d5a9+22" w:hAnsiTheme="minorHAnsi" w:cstheme="minorHAnsi"/>
                <w:sz w:val="24"/>
                <w:szCs w:val="24"/>
              </w:rPr>
              <w:t>≥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1 sample, with or without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fatty tissue</w:t>
            </w:r>
          </w:p>
        </w:tc>
        <w:tc>
          <w:tcPr>
            <w:tcW w:w="5777" w:type="dxa"/>
          </w:tcPr>
          <w:p w14:paraId="465BD851" w14:textId="3B1F3D68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u w:val="single"/>
              </w:rPr>
              <w:lastRenderedPageBreak/>
              <w:t>CMR:</w:t>
            </w:r>
          </w:p>
          <w:p w14:paraId="3BC65FF2" w14:textId="4C867D35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56B3E37D" w14:textId="22047F36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• LV LGE (stria pattern) of </w:t>
            </w:r>
            <w:r w:rsidRPr="0016282C">
              <w:rPr>
                <w:rFonts w:asciiTheme="minorHAnsi" w:eastAsia="AdvTT5235d5a9+22" w:hAnsiTheme="minorHAnsi" w:cstheme="minorHAnsi"/>
                <w:sz w:val="24"/>
                <w:szCs w:val="24"/>
              </w:rPr>
              <w:t>≥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1 Bull's Eye segment(s) (in 2 orthogonal views)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of the free wall (subepicardial or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midmyocardial), septum, or both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(excluding septal junctional LGE)</w:t>
            </w:r>
          </w:p>
        </w:tc>
      </w:tr>
      <w:tr w:rsidR="0016282C" w:rsidRPr="0016282C" w14:paraId="7E1B27DE" w14:textId="77777777" w:rsidTr="0016282C">
        <w:tc>
          <w:tcPr>
            <w:tcW w:w="2547" w:type="dxa"/>
          </w:tcPr>
          <w:p w14:paraId="71C9FC45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lastRenderedPageBreak/>
              <w:t xml:space="preserve">III. </w:t>
            </w: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Repolarization</w:t>
            </w:r>
            <w:proofErr w:type="spellEnd"/>
          </w:p>
          <w:p w14:paraId="660E7313" w14:textId="6CDFDBB3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abnormalities</w:t>
            </w:r>
            <w:proofErr w:type="spellEnd"/>
          </w:p>
        </w:tc>
        <w:tc>
          <w:tcPr>
            <w:tcW w:w="5953" w:type="dxa"/>
          </w:tcPr>
          <w:p w14:paraId="05037C8C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61272D7A" w14:textId="02C778A6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Inverted T waves in right precordial leads (V1,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V2, and V3) or beyond in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individuals with complete pubertal development (in the absence of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complete RBBB)</w:t>
            </w:r>
          </w:p>
          <w:p w14:paraId="4FC639A5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37088D25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6104CAD3" w14:textId="6A3ADBC9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Inverted T waves in leads V1 and V2 in individuals with completed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pubertal development (in the absence of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complete RBBB)</w:t>
            </w:r>
          </w:p>
          <w:p w14:paraId="53618009" w14:textId="50E17726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Inverted T waves in V1,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V2,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V3 and V4 in individuals with completed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pubertal development in the presence of complete RBBB.</w:t>
            </w:r>
          </w:p>
        </w:tc>
        <w:tc>
          <w:tcPr>
            <w:tcW w:w="5777" w:type="dxa"/>
          </w:tcPr>
          <w:p w14:paraId="53CACBFF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5E79B4D5" w14:textId="65654F53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Inverted T waves in left precordial leads (V4-V6) (in the absence of complete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LBBB)</w:t>
            </w:r>
          </w:p>
        </w:tc>
      </w:tr>
      <w:tr w:rsidR="0016282C" w:rsidRPr="0016282C" w14:paraId="0DCA38B9" w14:textId="77777777" w:rsidTr="0016282C">
        <w:tc>
          <w:tcPr>
            <w:tcW w:w="2547" w:type="dxa"/>
          </w:tcPr>
          <w:p w14:paraId="167BE2D2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 xml:space="preserve">IV. </w:t>
            </w: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Depolarization</w:t>
            </w:r>
            <w:proofErr w:type="spellEnd"/>
          </w:p>
          <w:p w14:paraId="72D55D57" w14:textId="29B95E91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abnormalities</w:t>
            </w:r>
            <w:proofErr w:type="spellEnd"/>
          </w:p>
        </w:tc>
        <w:tc>
          <w:tcPr>
            <w:tcW w:w="5953" w:type="dxa"/>
          </w:tcPr>
          <w:p w14:paraId="0E9E0957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0F7D2840" w14:textId="7AF08B68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Epsilon wave (reproducible low-amplitude signals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between end of QRS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complex to onset of the T wave) in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the right precordial leads (V1 to V3)</w:t>
            </w:r>
          </w:p>
          <w:p w14:paraId="7E6ACFCF" w14:textId="7E65E45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 xml:space="preserve">• Terminal activation duration of QRS </w:t>
            </w:r>
            <w:r w:rsidRPr="0016282C">
              <w:rPr>
                <w:rFonts w:asciiTheme="minorHAnsi" w:eastAsia="AdvTT5235d5a9+22" w:hAnsiTheme="minorHAnsi" w:cstheme="minorHAnsi"/>
                <w:sz w:val="24"/>
                <w:szCs w:val="24"/>
              </w:rPr>
              <w:t>≥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55 </w:t>
            </w: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measured from the nadir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of the S wave to the end of the QRS, including R', in V1, V2, or V3 (in the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absence of complete RBBB)</w:t>
            </w:r>
          </w:p>
        </w:tc>
        <w:tc>
          <w:tcPr>
            <w:tcW w:w="5777" w:type="dxa"/>
          </w:tcPr>
          <w:p w14:paraId="239027F7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lastRenderedPageBreak/>
              <w:t>Minor</w:t>
            </w:r>
          </w:p>
          <w:p w14:paraId="62B3261E" w14:textId="6FE13F8F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Low QRS voltages (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>&lt;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0.5 mV peak to peak) in limb leads (in the absence of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obesity, emphysema, or pericardial effusion)</w:t>
            </w:r>
          </w:p>
        </w:tc>
      </w:tr>
      <w:tr w:rsidR="0016282C" w:rsidRPr="0016282C" w14:paraId="5CDDE28E" w14:textId="77777777" w:rsidTr="0016282C">
        <w:tc>
          <w:tcPr>
            <w:tcW w:w="2547" w:type="dxa"/>
          </w:tcPr>
          <w:p w14:paraId="2D55A5CA" w14:textId="6092ED06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 xml:space="preserve">V. </w:t>
            </w: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Ventricular</w:t>
            </w:r>
            <w:proofErr w:type="spellEnd"/>
          </w:p>
          <w:p w14:paraId="21EED34C" w14:textId="49C610D2" w:rsidR="0016282C" w:rsidRPr="0016282C" w:rsidRDefault="0016282C" w:rsidP="0016282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arrhythmias</w:t>
            </w:r>
            <w:proofErr w:type="spellEnd"/>
          </w:p>
        </w:tc>
        <w:tc>
          <w:tcPr>
            <w:tcW w:w="5953" w:type="dxa"/>
          </w:tcPr>
          <w:p w14:paraId="20A1C6BD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5920C819" w14:textId="36DE9B92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Frequent ventricular extrasystoles (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>&gt;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500 per 24 h), non-sustained or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sustained ventricular tachycardia of LBBB morphology</w:t>
            </w:r>
          </w:p>
          <w:p w14:paraId="641FC24A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59A95F0A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622CC607" w14:textId="30D56BF4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Frequent ventricular extrasystoles (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>&gt;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500 per 24 h), non-sustained or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sustained ventricular tachycardia of LBBB morphology with inferior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axis (“RVOT pattern”)</w:t>
            </w:r>
          </w:p>
        </w:tc>
        <w:tc>
          <w:tcPr>
            <w:tcW w:w="5777" w:type="dxa"/>
          </w:tcPr>
          <w:p w14:paraId="08309394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Minor</w:t>
            </w:r>
          </w:p>
          <w:p w14:paraId="6AB5D5F4" w14:textId="43F24D8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Frequent ventricular extrasystoles (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>&gt;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500 per 24 h), non-sustained or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sustained ventricular tachycardia with a RBBB morphology (excluding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the “fascicular pattern”)</w:t>
            </w:r>
          </w:p>
        </w:tc>
      </w:tr>
      <w:tr w:rsidR="0016282C" w:rsidRPr="0016282C" w14:paraId="57670861" w14:textId="77777777" w:rsidTr="0016282C">
        <w:tc>
          <w:tcPr>
            <w:tcW w:w="2547" w:type="dxa"/>
          </w:tcPr>
          <w:p w14:paraId="2F0EBE18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VI. Family</w:t>
            </w:r>
          </w:p>
          <w:p w14:paraId="1BD637AA" w14:textId="639F587D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history/</w:t>
            </w:r>
            <w:proofErr w:type="spellStart"/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  <w:lang w:val="it-IT"/>
              </w:rPr>
              <w:t>genetics</w:t>
            </w:r>
            <w:proofErr w:type="spellEnd"/>
          </w:p>
        </w:tc>
        <w:tc>
          <w:tcPr>
            <w:tcW w:w="5953" w:type="dxa"/>
          </w:tcPr>
          <w:p w14:paraId="7A90FF2D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t>Major</w:t>
            </w:r>
          </w:p>
          <w:p w14:paraId="279A58DC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ACM confirmed in a first-degree relative who meets diagnostic criteria</w:t>
            </w:r>
          </w:p>
          <w:p w14:paraId="674FBEF8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ACM confirmed pathologically at autopsy or surgery in a first degree relative</w:t>
            </w:r>
          </w:p>
          <w:p w14:paraId="795E2222" w14:textId="396C318D" w:rsid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Identification of a pathogenic or likely pathogenetic ACM mutation in the patient under evaluation</w:t>
            </w:r>
          </w:p>
          <w:p w14:paraId="06B5BF60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2B505DBA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i/>
                <w:iCs/>
                <w:sz w:val="24"/>
                <w:szCs w:val="24"/>
              </w:rPr>
              <w:lastRenderedPageBreak/>
              <w:t>Minor</w:t>
            </w:r>
          </w:p>
          <w:p w14:paraId="45286749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History of ACM in a first-degree relative in whom it is not possible or practical to determine whether the family member meets diagnostic criteria</w:t>
            </w:r>
          </w:p>
          <w:p w14:paraId="3A0F36A2" w14:textId="0E1128DA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Premature sudden death (</w:t>
            </w:r>
            <w:r w:rsidR="007926D5">
              <w:rPr>
                <w:rFonts w:asciiTheme="minorHAnsi" w:eastAsiaTheme="minorHAnsi" w:hAnsiTheme="minorHAnsi" w:cstheme="minorHAnsi"/>
                <w:sz w:val="24"/>
                <w:szCs w:val="24"/>
              </w:rPr>
              <w:t>&lt;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35 years of age) due to 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s</w:t>
            </w: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uspected ACM in a first-degree relative</w:t>
            </w:r>
          </w:p>
          <w:p w14:paraId="0422344D" w14:textId="74AFB9E4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16282C">
              <w:rPr>
                <w:rFonts w:asciiTheme="minorHAnsi" w:eastAsiaTheme="minorHAnsi" w:hAnsiTheme="minorHAnsi" w:cstheme="minorHAnsi"/>
                <w:sz w:val="24"/>
                <w:szCs w:val="24"/>
              </w:rPr>
              <w:t>• ACM confirmed pathologically or by diagnostic criteria in a second-degree relative</w:t>
            </w:r>
          </w:p>
        </w:tc>
        <w:tc>
          <w:tcPr>
            <w:tcW w:w="5777" w:type="dxa"/>
          </w:tcPr>
          <w:p w14:paraId="2F3D22A6" w14:textId="77777777" w:rsidR="0016282C" w:rsidRPr="0016282C" w:rsidRDefault="0016282C" w:rsidP="0016282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</w:tbl>
    <w:p w14:paraId="7777AB32" w14:textId="147B6641" w:rsidR="0016282C" w:rsidRDefault="0016282C" w:rsidP="00835F98">
      <w:pPr>
        <w:rPr>
          <w:rFonts w:asciiTheme="minorHAnsi" w:hAnsiTheme="minorHAnsi" w:cstheme="minorHAnsi"/>
          <w:sz w:val="24"/>
          <w:szCs w:val="24"/>
        </w:rPr>
      </w:pPr>
    </w:p>
    <w:p w14:paraId="5D0E79FE" w14:textId="260BAC4A" w:rsidR="0016282C" w:rsidRPr="0016282C" w:rsidRDefault="0016282C" w:rsidP="0016282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282C">
        <w:rPr>
          <w:rFonts w:asciiTheme="minorHAnsi" w:eastAsiaTheme="minorHAnsi" w:hAnsiTheme="minorHAnsi" w:cstheme="minorHAnsi"/>
          <w:sz w:val="24"/>
          <w:szCs w:val="24"/>
        </w:rPr>
        <w:t>ACM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arrhythmogenic cardiomyopathy; BSA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 xml:space="preserve">body surface area; 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CMR, cardiovascular magnetic resonance;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ED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V,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end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>-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diastolic volume; EF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ejection fraction; LBBB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left bundle-branch block;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LGE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 xml:space="preserve"> late gadolinium enhancement; LV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 xml:space="preserve"> left ventricle; RBBB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 xml:space="preserve"> right bundle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branch block; RV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 xml:space="preserve"> right ventricle; RVOT</w:t>
      </w:r>
      <w:r w:rsidR="008503E2">
        <w:rPr>
          <w:rFonts w:asciiTheme="minorHAnsi" w:eastAsiaTheme="minorHAnsi" w:hAnsiTheme="minorHAnsi" w:cstheme="minorHAnsi"/>
          <w:sz w:val="24"/>
          <w:szCs w:val="24"/>
        </w:rPr>
        <w:t xml:space="preserve">, </w:t>
      </w:r>
      <w:r w:rsidRPr="0016282C">
        <w:rPr>
          <w:rFonts w:asciiTheme="minorHAnsi" w:eastAsiaTheme="minorHAnsi" w:hAnsiTheme="minorHAnsi" w:cstheme="minorHAnsi"/>
          <w:sz w:val="24"/>
          <w:szCs w:val="24"/>
        </w:rPr>
        <w:t>right ventricular outflow tract.</w:t>
      </w:r>
      <w:r w:rsidR="00C10D92">
        <w:rPr>
          <w:rFonts w:asciiTheme="minorHAnsi" w:eastAsiaTheme="minorHAnsi" w:hAnsiTheme="minorHAnsi" w:cstheme="minorHAnsi"/>
          <w:sz w:val="24"/>
          <w:szCs w:val="24"/>
        </w:rPr>
        <w:t xml:space="preserve"> Modified from: </w:t>
      </w:r>
      <w:proofErr w:type="spellStart"/>
      <w:r w:rsidR="00C10D92">
        <w:rPr>
          <w:rFonts w:asciiTheme="minorHAnsi" w:eastAsiaTheme="minorHAnsi" w:hAnsiTheme="minorHAnsi" w:cstheme="minorHAnsi"/>
          <w:sz w:val="24"/>
          <w:szCs w:val="24"/>
        </w:rPr>
        <w:t>Corrado</w:t>
      </w:r>
      <w:proofErr w:type="spellEnd"/>
      <w:r w:rsidR="00C10D92">
        <w:rPr>
          <w:rFonts w:asciiTheme="minorHAnsi" w:eastAsiaTheme="minorHAnsi" w:hAnsiTheme="minorHAnsi" w:cstheme="minorHAnsi"/>
          <w:sz w:val="24"/>
          <w:szCs w:val="24"/>
        </w:rPr>
        <w:t xml:space="preserve"> et al., Int J </w:t>
      </w:r>
      <w:proofErr w:type="spellStart"/>
      <w:r w:rsidR="00C10D92">
        <w:rPr>
          <w:rFonts w:asciiTheme="minorHAnsi" w:eastAsiaTheme="minorHAnsi" w:hAnsiTheme="minorHAnsi" w:cstheme="minorHAnsi"/>
          <w:sz w:val="24"/>
          <w:szCs w:val="24"/>
        </w:rPr>
        <w:t>Cardiol</w:t>
      </w:r>
      <w:proofErr w:type="spellEnd"/>
      <w:r w:rsidR="00C10D92">
        <w:rPr>
          <w:rFonts w:asciiTheme="minorHAnsi" w:eastAsiaTheme="minorHAnsi" w:hAnsiTheme="minorHAnsi" w:cstheme="minorHAnsi"/>
          <w:sz w:val="24"/>
          <w:szCs w:val="24"/>
        </w:rPr>
        <w:t xml:space="preserve">. 2020. </w:t>
      </w:r>
    </w:p>
    <w:p w14:paraId="5CFE26DC" w14:textId="1D25B677" w:rsidR="001874AE" w:rsidRDefault="001874AE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196EF4A" w14:textId="77777777" w:rsidR="001874AE" w:rsidRDefault="001874AE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7A845A86" w14:textId="77777777" w:rsidR="001874AE" w:rsidRDefault="001874AE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651EF8E0" w14:textId="1666A2E8" w:rsidR="00835F98" w:rsidRPr="004E394E" w:rsidRDefault="00835F98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E394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Supplemental Table </w:t>
      </w:r>
      <w:r w:rsidR="001874A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4E394E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4E394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T1 mapping sequence for the 1.5T and 3.0T scanners. </w:t>
      </w:r>
    </w:p>
    <w:p w14:paraId="1EA1AB6A" w14:textId="77777777" w:rsidR="00835F98" w:rsidRPr="004E394E" w:rsidRDefault="00835F98" w:rsidP="00835F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979D922" w14:textId="2441F46E" w:rsidR="00835F98" w:rsidRPr="004E394E" w:rsidRDefault="00835F98">
      <w:pPr>
        <w:rPr>
          <w:rFonts w:asciiTheme="minorHAnsi" w:hAnsiTheme="minorHAnsi" w:cstheme="minorHAnsi"/>
        </w:rPr>
      </w:pPr>
    </w:p>
    <w:tbl>
      <w:tblPr>
        <w:tblStyle w:val="Grigliatabella"/>
        <w:tblW w:w="6013" w:type="pct"/>
        <w:jc w:val="center"/>
        <w:tblLook w:val="04A0" w:firstRow="1" w:lastRow="0" w:firstColumn="1" w:lastColumn="0" w:noHBand="0" w:noVBand="1"/>
      </w:tblPr>
      <w:tblGrid>
        <w:gridCol w:w="2745"/>
        <w:gridCol w:w="5360"/>
        <w:gridCol w:w="3571"/>
        <w:gridCol w:w="5494"/>
      </w:tblGrid>
      <w:tr w:rsidR="00835F98" w:rsidRPr="004E394E" w14:paraId="06209148" w14:textId="77777777" w:rsidTr="00D02E9E">
        <w:trPr>
          <w:trHeight w:val="20"/>
          <w:jc w:val="center"/>
        </w:trPr>
        <w:tc>
          <w:tcPr>
            <w:tcW w:w="799" w:type="pct"/>
            <w:vAlign w:val="center"/>
          </w:tcPr>
          <w:p w14:paraId="01502253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1391" w:right="-123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Scanners</w:t>
            </w:r>
          </w:p>
        </w:tc>
        <w:tc>
          <w:tcPr>
            <w:tcW w:w="1561" w:type="pct"/>
            <w:vAlign w:val="center"/>
          </w:tcPr>
          <w:p w14:paraId="7A418591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42" w:right="-1236"/>
              <w:jc w:val="center"/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  <w:t>3T scanner</w:t>
            </w:r>
          </w:p>
          <w:p w14:paraId="3EAE0D74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42" w:right="-1188"/>
              <w:jc w:val="center"/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</w:pPr>
            <w:proofErr w:type="spellStart"/>
            <w:r w:rsidRPr="004E394E"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  <w:t>Achieva</w:t>
            </w:r>
            <w:proofErr w:type="spellEnd"/>
            <w:r w:rsidRPr="004E394E"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  <w:t xml:space="preserve"> TX,</w:t>
            </w:r>
          </w:p>
          <w:p w14:paraId="3646F13C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42" w:right="-1236"/>
              <w:jc w:val="center"/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  <w:t>Philips Healthcare,</w:t>
            </w:r>
          </w:p>
          <w:p w14:paraId="5AA15952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42" w:right="-1236"/>
              <w:jc w:val="center"/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color w:val="2E2E2E"/>
                <w:sz w:val="24"/>
                <w:szCs w:val="24"/>
              </w:rPr>
              <w:t>the Netherlands</w:t>
            </w:r>
          </w:p>
        </w:tc>
        <w:tc>
          <w:tcPr>
            <w:tcW w:w="1040" w:type="pct"/>
            <w:vAlign w:val="center"/>
          </w:tcPr>
          <w:p w14:paraId="7AEC8669" w14:textId="77777777" w:rsidR="00835F98" w:rsidRPr="004E394E" w:rsidRDefault="00835F98" w:rsidP="00835F98">
            <w:pPr>
              <w:pStyle w:val="MediumGrid2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94E">
              <w:rPr>
                <w:rFonts w:asciiTheme="minorHAnsi" w:hAnsiTheme="minorHAnsi" w:cstheme="minorHAnsi"/>
                <w:b/>
                <w:bCs/>
              </w:rPr>
              <w:t>1.5T scanner</w:t>
            </w:r>
          </w:p>
          <w:p w14:paraId="5EED725D" w14:textId="77777777" w:rsidR="00835F98" w:rsidRPr="004E394E" w:rsidRDefault="00835F98" w:rsidP="00835F98">
            <w:pPr>
              <w:pStyle w:val="MediumGrid2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4E394E">
              <w:rPr>
                <w:rFonts w:asciiTheme="minorHAnsi" w:hAnsiTheme="minorHAnsi" w:cstheme="minorHAnsi"/>
                <w:b/>
                <w:bCs/>
              </w:rPr>
              <w:t>Ingenia</w:t>
            </w:r>
            <w:proofErr w:type="spellEnd"/>
            <w:r w:rsidRPr="004E394E">
              <w:rPr>
                <w:rFonts w:asciiTheme="minorHAnsi" w:hAnsiTheme="minorHAnsi" w:cstheme="minorHAnsi"/>
                <w:b/>
                <w:bCs/>
              </w:rPr>
              <w:t>,</w:t>
            </w:r>
          </w:p>
          <w:p w14:paraId="56493C51" w14:textId="77777777" w:rsidR="00835F98" w:rsidRPr="004E394E" w:rsidRDefault="00835F98" w:rsidP="00835F98">
            <w:pPr>
              <w:pStyle w:val="MediumGrid2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94E">
              <w:rPr>
                <w:rFonts w:asciiTheme="minorHAnsi" w:hAnsiTheme="minorHAnsi" w:cstheme="minorHAnsi"/>
                <w:b/>
                <w:bCs/>
              </w:rPr>
              <w:t>Philips Healthcare,</w:t>
            </w:r>
          </w:p>
          <w:p w14:paraId="529BC3CB" w14:textId="77777777" w:rsidR="00835F98" w:rsidRPr="004E394E" w:rsidRDefault="00835F98" w:rsidP="00835F98">
            <w:pPr>
              <w:pStyle w:val="MediumGrid2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94E">
              <w:rPr>
                <w:rFonts w:asciiTheme="minorHAnsi" w:hAnsiTheme="minorHAnsi" w:cstheme="minorHAnsi"/>
                <w:b/>
                <w:bCs/>
              </w:rPr>
              <w:t>the Netherlands</w:t>
            </w:r>
          </w:p>
        </w:tc>
        <w:tc>
          <w:tcPr>
            <w:tcW w:w="1600" w:type="pct"/>
            <w:vAlign w:val="center"/>
          </w:tcPr>
          <w:p w14:paraId="3CB330D1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1.5 T scanner</w:t>
            </w:r>
          </w:p>
          <w:p w14:paraId="4164953F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Magnetom</w:t>
            </w:r>
            <w:proofErr w:type="spellEnd"/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Aera,</w:t>
            </w:r>
          </w:p>
          <w:p w14:paraId="4ABE6B20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Siemens Healthcare GmbH, Germany</w:t>
            </w:r>
          </w:p>
        </w:tc>
      </w:tr>
      <w:tr w:rsidR="00835F98" w:rsidRPr="004E394E" w14:paraId="525B5C99" w14:textId="77777777" w:rsidTr="00D02E9E">
        <w:trPr>
          <w:trHeight w:val="20"/>
          <w:jc w:val="center"/>
        </w:trPr>
        <w:tc>
          <w:tcPr>
            <w:tcW w:w="799" w:type="pct"/>
            <w:vAlign w:val="center"/>
          </w:tcPr>
          <w:p w14:paraId="2A7224CA" w14:textId="77777777" w:rsidR="00835F98" w:rsidRPr="004E394E" w:rsidRDefault="00835F98" w:rsidP="00835F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42014407"/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Coil</w:t>
            </w:r>
          </w:p>
        </w:tc>
        <w:tc>
          <w:tcPr>
            <w:tcW w:w="4201" w:type="pct"/>
            <w:gridSpan w:val="3"/>
            <w:vAlign w:val="center"/>
          </w:tcPr>
          <w:p w14:paraId="77FA249C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right="-13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32-channel</w:t>
            </w:r>
          </w:p>
        </w:tc>
      </w:tr>
      <w:tr w:rsidR="00835F98" w:rsidRPr="004E394E" w14:paraId="7B966C2B" w14:textId="77777777" w:rsidTr="00D02E9E">
        <w:trPr>
          <w:trHeight w:val="20"/>
          <w:jc w:val="center"/>
        </w:trPr>
        <w:tc>
          <w:tcPr>
            <w:tcW w:w="799" w:type="pct"/>
            <w:vAlign w:val="center"/>
          </w:tcPr>
          <w:p w14:paraId="15FC3107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1391" w:right="-12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Technique</w:t>
            </w:r>
          </w:p>
        </w:tc>
        <w:tc>
          <w:tcPr>
            <w:tcW w:w="4201" w:type="pct"/>
            <w:gridSpan w:val="3"/>
            <w:vAlign w:val="center"/>
          </w:tcPr>
          <w:p w14:paraId="06F18C0C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right="-139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T1 mapping</w:t>
            </w:r>
          </w:p>
        </w:tc>
      </w:tr>
      <w:tr w:rsidR="00835F98" w:rsidRPr="004E394E" w14:paraId="403A82FC" w14:textId="77777777" w:rsidTr="00D02E9E">
        <w:trPr>
          <w:trHeight w:val="20"/>
          <w:jc w:val="center"/>
        </w:trPr>
        <w:tc>
          <w:tcPr>
            <w:tcW w:w="799" w:type="pct"/>
            <w:vAlign w:val="center"/>
          </w:tcPr>
          <w:p w14:paraId="54C09638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1391" w:right="-12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Sequence</w:t>
            </w:r>
          </w:p>
        </w:tc>
        <w:tc>
          <w:tcPr>
            <w:tcW w:w="4201" w:type="pct"/>
            <w:gridSpan w:val="3"/>
            <w:vAlign w:val="center"/>
          </w:tcPr>
          <w:p w14:paraId="7B4FD20F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2D Breath-hold </w:t>
            </w:r>
            <w:proofErr w:type="spellStart"/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MOdified</w:t>
            </w:r>
            <w:proofErr w:type="spellEnd"/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 Look-Locker Inversion-Recovery (MOLLI)</w:t>
            </w:r>
          </w:p>
        </w:tc>
      </w:tr>
      <w:tr w:rsidR="00835F98" w:rsidRPr="004E394E" w14:paraId="2ADB987B" w14:textId="77777777" w:rsidTr="00D02E9E">
        <w:trPr>
          <w:trHeight w:val="20"/>
          <w:jc w:val="center"/>
        </w:trPr>
        <w:tc>
          <w:tcPr>
            <w:tcW w:w="799" w:type="pct"/>
            <w:vAlign w:val="center"/>
          </w:tcPr>
          <w:p w14:paraId="1FBFC901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ind w:left="-1391" w:right="-12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Parameters</w:t>
            </w:r>
          </w:p>
        </w:tc>
        <w:tc>
          <w:tcPr>
            <w:tcW w:w="2601" w:type="pct"/>
            <w:gridSpan w:val="2"/>
            <w:vAlign w:val="center"/>
          </w:tcPr>
          <w:p w14:paraId="1B8EDB78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Acquisition Sampling Scheme:</w:t>
            </w:r>
          </w:p>
          <w:p w14:paraId="52865599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a) pre-contrast (native): 5(3)3</w:t>
            </w:r>
          </w:p>
          <w:p w14:paraId="068EA19B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b) Post-contrast: 4(1)3(1)2</w:t>
            </w:r>
          </w:p>
          <w:p w14:paraId="28DA74AD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Read-out: single-shot SSFP with trigger delay in mid-diastole.</w:t>
            </w:r>
          </w:p>
          <w:p w14:paraId="5FBAE19E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6E6343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Flip angle: 50°, </w:t>
            </w:r>
          </w:p>
          <w:p w14:paraId="68E2B44A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field of view: 320 × 320, </w:t>
            </w:r>
          </w:p>
          <w:p w14:paraId="5C2B6880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TR/TE: 330/1.57,</w:t>
            </w:r>
          </w:p>
          <w:p w14:paraId="0854ECBE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 interpolated voxel size: 0.9 × 0.9 × 8 mm, </w:t>
            </w:r>
          </w:p>
          <w:p w14:paraId="3D0ADA43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166 phase-encoding steps, </w:t>
            </w:r>
          </w:p>
          <w:p w14:paraId="646420BE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heart rate–adapted trigger delay, </w:t>
            </w:r>
          </w:p>
          <w:p w14:paraId="70490225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11 phases (3 + 3 + 5), and adiabatic pre-pulse to achieve a complete inversion</w:t>
            </w:r>
          </w:p>
          <w:p w14:paraId="3BE43F93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pct"/>
            <w:vAlign w:val="center"/>
          </w:tcPr>
          <w:p w14:paraId="3E67C73D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Acquisition Sampling Scheme:</w:t>
            </w:r>
          </w:p>
          <w:p w14:paraId="2E534B06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a) pre-contrast (native): 5(3)3</w:t>
            </w:r>
          </w:p>
          <w:p w14:paraId="4C71F32E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b) Post-contrast: 4(1)3(1)2</w:t>
            </w:r>
          </w:p>
          <w:p w14:paraId="4A8B08EC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E21E13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Read-out: single-shot SSFP with trigger delay in mid-diastole.</w:t>
            </w:r>
          </w:p>
          <w:p w14:paraId="47A89EA9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 xml:space="preserve">Flip angle: 35°; TR/TE: 272/1.2 </w:t>
            </w:r>
            <w:proofErr w:type="spellStart"/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ms</w:t>
            </w:r>
            <w:proofErr w:type="spellEnd"/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; BW: 1085 Hz/Pixel; voxel size: 1.5x1.5x8mm3; PAT: 2;  number of inversion pulse (180°) 2 and 3 for native and post-contrast, respectively</w:t>
            </w:r>
          </w:p>
        </w:tc>
      </w:tr>
      <w:tr w:rsidR="00835F98" w:rsidRPr="004E394E" w14:paraId="6B4F8A82" w14:textId="77777777" w:rsidTr="00D02E9E">
        <w:trPr>
          <w:trHeight w:val="20"/>
          <w:jc w:val="center"/>
        </w:trPr>
        <w:tc>
          <w:tcPr>
            <w:tcW w:w="799" w:type="pct"/>
            <w:vAlign w:val="center"/>
          </w:tcPr>
          <w:p w14:paraId="45756D6A" w14:textId="77777777" w:rsidR="00835F98" w:rsidRPr="004E394E" w:rsidRDefault="00835F98" w:rsidP="00835F98">
            <w:pPr>
              <w:pStyle w:val="MediumGrid21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94E">
              <w:rPr>
                <w:rFonts w:asciiTheme="minorHAnsi" w:hAnsiTheme="minorHAnsi" w:cstheme="minorHAnsi"/>
                <w:b/>
                <w:bCs/>
              </w:rPr>
              <w:t>Notes on Image Generation</w:t>
            </w:r>
          </w:p>
        </w:tc>
        <w:tc>
          <w:tcPr>
            <w:tcW w:w="2601" w:type="pct"/>
            <w:gridSpan w:val="2"/>
            <w:vAlign w:val="center"/>
          </w:tcPr>
          <w:p w14:paraId="44F36754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Motion correction image preparation step using a custom-made tool developed in house on the basis of a hierarchical adaptive local affine registration technique, Co-registered images were then used to derive T1 values.</w:t>
            </w:r>
          </w:p>
        </w:tc>
        <w:tc>
          <w:tcPr>
            <w:tcW w:w="1600" w:type="pct"/>
            <w:vAlign w:val="center"/>
          </w:tcPr>
          <w:p w14:paraId="48CFE9F7" w14:textId="77777777" w:rsidR="00835F98" w:rsidRPr="004E394E" w:rsidRDefault="00835F98" w:rsidP="00835F98">
            <w:pPr>
              <w:tabs>
                <w:tab w:val="left" w:pos="156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394E">
              <w:rPr>
                <w:rFonts w:asciiTheme="minorHAnsi" w:hAnsiTheme="minorHAnsi" w:cstheme="minorHAnsi"/>
                <w:sz w:val="24"/>
                <w:szCs w:val="24"/>
              </w:rPr>
              <w:t>Generation of inline motion corrected pixel-based T1-maps by acquiring a series of images over several heartbeats with shifted T1 times corrected by RR duration</w:t>
            </w:r>
          </w:p>
        </w:tc>
      </w:tr>
      <w:bookmarkEnd w:id="0"/>
    </w:tbl>
    <w:p w14:paraId="114AE56C" w14:textId="77777777" w:rsidR="00835F98" w:rsidRPr="004E394E" w:rsidRDefault="00835F98">
      <w:pPr>
        <w:rPr>
          <w:rFonts w:asciiTheme="minorHAnsi" w:hAnsiTheme="minorHAnsi" w:cstheme="minorHAnsi"/>
        </w:rPr>
      </w:pPr>
    </w:p>
    <w:sectPr w:rsidR="00835F98" w:rsidRPr="004E394E" w:rsidSect="00835F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TT5235d5a9+2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C3"/>
    <w:rsid w:val="0016282C"/>
    <w:rsid w:val="001874AE"/>
    <w:rsid w:val="004E394E"/>
    <w:rsid w:val="0063457F"/>
    <w:rsid w:val="006359C3"/>
    <w:rsid w:val="007926D5"/>
    <w:rsid w:val="00835F98"/>
    <w:rsid w:val="008503E2"/>
    <w:rsid w:val="00C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EFCB"/>
  <w15:chartTrackingRefBased/>
  <w15:docId w15:val="{26BBF47D-886A-4690-840A-5C5F759F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diumGrid21">
    <w:name w:val="Medium Grid 21"/>
    <w:qFormat/>
    <w:rsid w:val="00835F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83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3810-EB91-47B2-BB30-C30AD8A4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Aimo</dc:creator>
  <cp:keywords/>
  <dc:description/>
  <cp:lastModifiedBy>Alberto Aimo</cp:lastModifiedBy>
  <cp:revision>8</cp:revision>
  <dcterms:created xsi:type="dcterms:W3CDTF">2021-01-14T09:17:00Z</dcterms:created>
  <dcterms:modified xsi:type="dcterms:W3CDTF">2021-01-14T09:48:00Z</dcterms:modified>
</cp:coreProperties>
</file>