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8AD2" w14:textId="77777777" w:rsidR="009901C9" w:rsidRDefault="009901C9" w:rsidP="009901C9">
      <w:pPr>
        <w:pStyle w:val="Heading1"/>
        <w:pageBreakBefore/>
        <w:spacing w:line="480" w:lineRule="auto"/>
      </w:pPr>
      <w:r>
        <w:t>Supplemental Digital Content</w:t>
      </w:r>
    </w:p>
    <w:p w14:paraId="7D87618B" w14:textId="77777777" w:rsidR="009901C9" w:rsidRPr="006E18C2" w:rsidRDefault="009901C9" w:rsidP="009901C9">
      <w:pPr>
        <w:spacing w:line="480" w:lineRule="auto"/>
        <w:rPr>
          <w:rFonts w:ascii="Times New Roman" w:hAnsi="Times New Roman" w:cs="Times New Roman"/>
          <w:b/>
          <w:bCs/>
        </w:rPr>
      </w:pPr>
      <w:bookmarkStart w:id="0" w:name="_Ref108087781"/>
      <w:bookmarkStart w:id="1" w:name="_Toc109297408"/>
      <w:r w:rsidRPr="006E18C2">
        <w:rPr>
          <w:rFonts w:ascii="Times New Roman" w:hAnsi="Times New Roman" w:cs="Times New Roman"/>
          <w:b/>
          <w:bCs/>
        </w:rPr>
        <w:t xml:space="preserve">Figure </w:t>
      </w:r>
      <w:r>
        <w:rPr>
          <w:rFonts w:ascii="Times New Roman" w:hAnsi="Times New Roman" w:cs="Times New Roman"/>
          <w:b/>
          <w:bCs/>
        </w:rPr>
        <w:t>S</w:t>
      </w:r>
      <w:r w:rsidRPr="006E18C2">
        <w:rPr>
          <w:rFonts w:ascii="Times New Roman" w:hAnsi="Times New Roman" w:cs="Times New Roman"/>
          <w:b/>
          <w:bCs/>
        </w:rPr>
        <w:t xml:space="preserve">1: </w:t>
      </w:r>
      <w:r>
        <w:rPr>
          <w:rFonts w:ascii="Times New Roman" w:hAnsi="Times New Roman" w:cs="Times New Roman"/>
          <w:b/>
          <w:bCs/>
        </w:rPr>
        <w:t>Model schematic for the phenotype-specific HF models (</w:t>
      </w:r>
      <w:r w:rsidRPr="00A27F58">
        <w:rPr>
          <w:rFonts w:ascii="Times New Roman" w:hAnsi="Times New Roman" w:cs="Times New Roman"/>
          <w:b/>
          <w:bCs/>
        </w:rPr>
        <w:t xml:space="preserve">HF LVEF&gt;40% </w:t>
      </w:r>
      <w:r>
        <w:rPr>
          <w:rFonts w:ascii="Times New Roman" w:hAnsi="Times New Roman" w:cs="Times New Roman"/>
          <w:b/>
          <w:bCs/>
        </w:rPr>
        <w:t>and HFrEF)</w:t>
      </w:r>
    </w:p>
    <w:p w14:paraId="4DB607BC" w14:textId="77777777" w:rsidR="009901C9" w:rsidRPr="00462506" w:rsidRDefault="009901C9" w:rsidP="009901C9">
      <w:pPr>
        <w:spacing w:line="480" w:lineRule="auto"/>
        <w:jc w:val="center"/>
        <w:rPr>
          <w:rFonts w:cs="Times New Roman"/>
        </w:rPr>
      </w:pPr>
      <w:r w:rsidRPr="00462506">
        <w:rPr>
          <w:rFonts w:cs="Times New Roman"/>
          <w:noProof/>
        </w:rPr>
        <w:drawing>
          <wp:inline distT="0" distB="0" distL="0" distR="0" wp14:anchorId="580DAA8F" wp14:editId="1F550419">
            <wp:extent cx="5400040" cy="28365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3830C" w14:textId="77777777" w:rsidR="009901C9" w:rsidRPr="00E85E17" w:rsidRDefault="009901C9" w:rsidP="009901C9">
      <w:pPr>
        <w:spacing w:line="480" w:lineRule="auto"/>
        <w:rPr>
          <w:rFonts w:cs="Times New Roman"/>
          <w:i/>
          <w:iCs/>
          <w:sz w:val="18"/>
          <w:szCs w:val="18"/>
        </w:rPr>
      </w:pPr>
      <w:r w:rsidRPr="00E85E17">
        <w:rPr>
          <w:rFonts w:cs="Times New Roman"/>
          <w:i/>
          <w:iCs/>
          <w:sz w:val="18"/>
          <w:szCs w:val="18"/>
        </w:rPr>
        <w:t xml:space="preserve">Abbreviations: CSS = clinical summary score; CV = cardiovascular; </w:t>
      </w:r>
      <w:r w:rsidRPr="00EB71AF">
        <w:rPr>
          <w:rFonts w:cs="Times New Roman"/>
          <w:i/>
          <w:iCs/>
          <w:sz w:val="18"/>
          <w:szCs w:val="18"/>
        </w:rPr>
        <w:t xml:space="preserve">HFrEF, heart failure with reduced ejection fraction; </w:t>
      </w:r>
      <w:r w:rsidRPr="00206A0F">
        <w:rPr>
          <w:rFonts w:cs="Times New Roman"/>
          <w:i/>
          <w:iCs/>
          <w:sz w:val="18"/>
          <w:szCs w:val="18"/>
        </w:rPr>
        <w:t>HF LVEF &gt;40%</w:t>
      </w:r>
      <w:r w:rsidRPr="00EB71AF">
        <w:rPr>
          <w:rFonts w:cs="Times New Roman"/>
          <w:i/>
          <w:iCs/>
          <w:sz w:val="18"/>
          <w:szCs w:val="18"/>
        </w:rPr>
        <w:t xml:space="preserve">, heart failure with &gt;40% ejection fraction; </w:t>
      </w:r>
      <w:r w:rsidRPr="00E85E17">
        <w:rPr>
          <w:rFonts w:cs="Times New Roman"/>
          <w:i/>
          <w:iCs/>
          <w:sz w:val="18"/>
          <w:szCs w:val="18"/>
        </w:rPr>
        <w:t>hHF = hospitalisation due to heart failure;</w:t>
      </w:r>
      <w:r w:rsidRPr="000C156F">
        <w:rPr>
          <w:rFonts w:cs="Times New Roman"/>
        </w:rPr>
        <w:t xml:space="preserve"> </w:t>
      </w:r>
      <w:r w:rsidRPr="00E85E17">
        <w:rPr>
          <w:rFonts w:cs="Times New Roman"/>
          <w:i/>
          <w:iCs/>
          <w:sz w:val="18"/>
          <w:szCs w:val="18"/>
        </w:rPr>
        <w:t>KCCQ = Kansas City Cardiomyopathy Questionnaire</w:t>
      </w:r>
    </w:p>
    <w:p w14:paraId="2DD755B4" w14:textId="77777777" w:rsidR="009901C9" w:rsidRPr="006E18C2" w:rsidRDefault="009901C9" w:rsidP="009901C9">
      <w:pPr>
        <w:pStyle w:val="Caption"/>
        <w:keepNext/>
        <w:spacing w:line="480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lastRenderedPageBreak/>
        <w:t>Figure S2</w:t>
      </w:r>
      <w:r w:rsidRPr="006E18C2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Overview</w:t>
      </w:r>
      <w:r w:rsidRPr="006E18C2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 of the approach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used </w:t>
      </w:r>
      <w:r w:rsidRPr="006E18C2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to combine the PSA results of the phenotype-specific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HF models</w:t>
      </w:r>
    </w:p>
    <w:p w14:paraId="38FF94E9" w14:textId="77777777" w:rsidR="009901C9" w:rsidRDefault="009901C9" w:rsidP="009901C9">
      <w:pPr>
        <w:pStyle w:val="BodyCopy"/>
        <w:spacing w:line="480" w:lineRule="auto"/>
        <w:jc w:val="center"/>
      </w:pPr>
      <w:r>
        <w:rPr>
          <w:noProof/>
        </w:rPr>
        <w:drawing>
          <wp:inline distT="0" distB="0" distL="0" distR="0" wp14:anchorId="1B8AE5E3" wp14:editId="3AA1EEC9">
            <wp:extent cx="6216419" cy="32912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691" cy="3299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00832A" w14:textId="77777777" w:rsidR="009901C9" w:rsidRPr="00E673C3" w:rsidRDefault="009901C9" w:rsidP="009901C9">
      <w:pPr>
        <w:pStyle w:val="NoteAbbreviations"/>
        <w:spacing w:line="480" w:lineRule="auto"/>
        <w:rPr>
          <w:rFonts w:asciiTheme="minorHAnsi" w:hAnsiTheme="minorHAnsi" w:cs="Times New Roman"/>
          <w:i/>
          <w:iCs/>
          <w:color w:val="auto"/>
          <w:szCs w:val="18"/>
        </w:rPr>
      </w:pPr>
      <w:r w:rsidRPr="006E18C2">
        <w:rPr>
          <w:rFonts w:asciiTheme="minorHAnsi" w:hAnsiTheme="minorHAnsi" w:cs="Times New Roman"/>
          <w:i/>
          <w:iCs/>
          <w:color w:val="auto"/>
          <w:szCs w:val="18"/>
        </w:rPr>
        <w:t xml:space="preserve">Abbreviations: CEM, cost-effectiveness model; HF, heart failure; HFrEF, heart failure with reduced ejection fraction; </w:t>
      </w:r>
      <w:r w:rsidRPr="00206A0F">
        <w:rPr>
          <w:rFonts w:asciiTheme="minorHAnsi" w:hAnsiTheme="minorHAnsi" w:cs="Times New Roman"/>
          <w:i/>
          <w:iCs/>
          <w:color w:val="auto"/>
          <w:szCs w:val="18"/>
        </w:rPr>
        <w:t>HF LVEF &gt;40%</w:t>
      </w:r>
      <w:r w:rsidRPr="006E18C2">
        <w:rPr>
          <w:rFonts w:asciiTheme="minorHAnsi" w:hAnsiTheme="minorHAnsi" w:cs="Times New Roman"/>
          <w:i/>
          <w:iCs/>
          <w:color w:val="auto"/>
          <w:szCs w:val="18"/>
        </w:rPr>
        <w:t>, heart failure with &gt;40% ejection fraction; PSA, probabilistic sensitivity analysis; QALY, quality-adjusted life-year; SoC, standard of care.</w:t>
      </w:r>
    </w:p>
    <w:p w14:paraId="6EB4B7E6" w14:textId="77777777" w:rsidR="009901C9" w:rsidRPr="00F95D5E" w:rsidRDefault="009901C9" w:rsidP="009901C9">
      <w:pPr>
        <w:pStyle w:val="Caption"/>
        <w:keepNext/>
        <w:spacing w:line="480" w:lineRule="auto"/>
        <w:rPr>
          <w:rFonts w:ascii="Times New Roman" w:eastAsiaTheme="minorEastAsia" w:hAnsi="Times New Roman" w:cs="Times New Roman"/>
          <w:i w:val="0"/>
          <w:iCs w:val="0"/>
          <w:color w:val="auto"/>
          <w:sz w:val="22"/>
          <w:szCs w:val="22"/>
          <w:lang w:val="en-US" w:eastAsia="ja-JP"/>
        </w:rPr>
      </w:pPr>
      <w:r w:rsidRPr="00ED7FCA">
        <w:rPr>
          <w:rFonts w:ascii="Times New Roman" w:eastAsiaTheme="minorEastAsia" w:hAnsi="Times New Roman" w:cs="Times New Roman"/>
          <w:b/>
          <w:bCs/>
          <w:i w:val="0"/>
          <w:iCs w:val="0"/>
          <w:color w:val="auto"/>
          <w:sz w:val="22"/>
          <w:szCs w:val="22"/>
          <w:lang w:val="en-US" w:eastAsia="ja-JP"/>
        </w:rPr>
        <w:t>Table</w:t>
      </w:r>
      <w:bookmarkEnd w:id="0"/>
      <w:r w:rsidRPr="00ED7FCA">
        <w:rPr>
          <w:rFonts w:ascii="Times New Roman" w:eastAsiaTheme="minorEastAsia" w:hAnsi="Times New Roman" w:cs="Times New Roman"/>
          <w:b/>
          <w:bCs/>
          <w:i w:val="0"/>
          <w:iCs w:val="0"/>
          <w:color w:val="auto"/>
          <w:sz w:val="22"/>
          <w:szCs w:val="22"/>
          <w:lang w:val="en-US" w:eastAsia="ja-JP"/>
        </w:rPr>
        <w:t xml:space="preserve"> S1.</w:t>
      </w:r>
      <w:r w:rsidRPr="00F95D5E">
        <w:rPr>
          <w:rFonts w:ascii="Times New Roman" w:eastAsiaTheme="minorEastAsia" w:hAnsi="Times New Roman" w:cs="Times New Roman"/>
          <w:i w:val="0"/>
          <w:iCs w:val="0"/>
          <w:color w:val="auto"/>
          <w:sz w:val="22"/>
          <w:szCs w:val="22"/>
          <w:lang w:val="en-US" w:eastAsia="ja-JP"/>
        </w:rPr>
        <w:t xml:space="preserve"> Details of the subgroup analyses</w:t>
      </w:r>
      <w:bookmarkEnd w:id="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4"/>
        <w:gridCol w:w="5016"/>
      </w:tblGrid>
      <w:tr w:rsidR="009901C9" w:rsidRPr="005D31C1" w14:paraId="2E97A47A" w14:textId="77777777" w:rsidTr="00C33F05">
        <w:trPr>
          <w:trHeight w:val="1113"/>
        </w:trPr>
        <w:tc>
          <w:tcPr>
            <w:tcW w:w="2094" w:type="pct"/>
          </w:tcPr>
          <w:p w14:paraId="25FFE400" w14:textId="77777777" w:rsidR="009901C9" w:rsidRPr="00F95D5E" w:rsidRDefault="009901C9" w:rsidP="00C33F05">
            <w:pPr>
              <w:pStyle w:val="BodyCopy"/>
              <w:spacing w:line="480" w:lineRule="auto"/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Cs w:val="20"/>
              </w:rPr>
            </w:pPr>
            <w:r w:rsidRPr="00F95D5E"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 w:val="20"/>
                <w:szCs w:val="20"/>
              </w:rPr>
              <w:t>Subgroup</w:t>
            </w:r>
          </w:p>
        </w:tc>
        <w:tc>
          <w:tcPr>
            <w:tcW w:w="2906" w:type="pct"/>
          </w:tcPr>
          <w:p w14:paraId="64DA87C6" w14:textId="77777777" w:rsidR="009901C9" w:rsidRPr="00F95D5E" w:rsidRDefault="009901C9" w:rsidP="00C33F05">
            <w:pPr>
              <w:pStyle w:val="BodyCopy"/>
              <w:spacing w:line="480" w:lineRule="auto"/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Cs w:val="20"/>
              </w:rPr>
            </w:pPr>
            <w:r w:rsidRPr="00F95D5E"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Cs w:val="20"/>
              </w:rPr>
              <w:t>Description</w:t>
            </w:r>
          </w:p>
        </w:tc>
      </w:tr>
      <w:tr w:rsidR="009901C9" w:rsidRPr="005D31C1" w14:paraId="1A025CC7" w14:textId="77777777" w:rsidTr="00C33F05">
        <w:trPr>
          <w:trHeight w:val="1113"/>
        </w:trPr>
        <w:tc>
          <w:tcPr>
            <w:tcW w:w="2094" w:type="pct"/>
          </w:tcPr>
          <w:p w14:paraId="0A8DA53B" w14:textId="77777777" w:rsidR="009901C9" w:rsidRPr="00F95D5E" w:rsidRDefault="009901C9" w:rsidP="00C33F05">
            <w:pPr>
              <w:pStyle w:val="BodyCopy"/>
              <w:spacing w:line="480" w:lineRule="auto"/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</w:pPr>
            <w:r w:rsidRPr="00F95D5E"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  <w:t>T2DM at baseline</w:t>
            </w:r>
          </w:p>
        </w:tc>
        <w:tc>
          <w:tcPr>
            <w:tcW w:w="2906" w:type="pct"/>
          </w:tcPr>
          <w:p w14:paraId="770871CA" w14:textId="77777777" w:rsidR="009901C9" w:rsidRPr="00F95D5E" w:rsidRDefault="009901C9" w:rsidP="00C33F05">
            <w:pPr>
              <w:pStyle w:val="BodyCopy"/>
              <w:spacing w:line="480" w:lineRule="auto"/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</w:pPr>
            <w:r w:rsidRPr="00F95D5E"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  <w:t xml:space="preserve">Adjust mean patient characteristics to reflect subset of </w:t>
            </w:r>
            <w:r w:rsidRPr="00E673C3"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  <w:t>EMPEROR-Reduced and</w:t>
            </w:r>
            <w:r w:rsidRPr="00F95D5E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 xml:space="preserve"> </w:t>
            </w:r>
            <w:r w:rsidRPr="00F95D5E"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  <w:t>EMPEROR-Preserved population with T2DM at trial entry.</w:t>
            </w:r>
          </w:p>
        </w:tc>
      </w:tr>
      <w:tr w:rsidR="009901C9" w:rsidRPr="005D31C1" w14:paraId="71310DFE" w14:textId="77777777" w:rsidTr="00C33F05">
        <w:trPr>
          <w:trHeight w:val="1113"/>
        </w:trPr>
        <w:tc>
          <w:tcPr>
            <w:tcW w:w="2094" w:type="pct"/>
          </w:tcPr>
          <w:p w14:paraId="67AE04A6" w14:textId="77777777" w:rsidR="009901C9" w:rsidRPr="00F95D5E" w:rsidRDefault="009901C9" w:rsidP="00C33F05">
            <w:pPr>
              <w:pStyle w:val="BodyCopy"/>
              <w:spacing w:line="480" w:lineRule="auto"/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</w:pPr>
            <w:r w:rsidRPr="00F95D5E"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  <w:lastRenderedPageBreak/>
              <w:t>No T2DM at baseline</w:t>
            </w:r>
          </w:p>
        </w:tc>
        <w:tc>
          <w:tcPr>
            <w:tcW w:w="2906" w:type="pct"/>
          </w:tcPr>
          <w:p w14:paraId="19F543A7" w14:textId="77777777" w:rsidR="009901C9" w:rsidRPr="00F95D5E" w:rsidRDefault="009901C9" w:rsidP="00C33F05">
            <w:pPr>
              <w:pStyle w:val="BodyCopy"/>
              <w:spacing w:line="480" w:lineRule="auto"/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</w:pPr>
            <w:r w:rsidRPr="00F95D5E"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  <w:t xml:space="preserve">Adjust mean patient characteristics to reflect subset of </w:t>
            </w:r>
            <w:r w:rsidRPr="00F95D5E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 xml:space="preserve">EMPEROR-Reduced and </w:t>
            </w:r>
            <w:r w:rsidRPr="00F95D5E"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  <w:t>EMPEROR-Preserved population without T2DM at trial entry.</w:t>
            </w:r>
          </w:p>
        </w:tc>
      </w:tr>
      <w:tr w:rsidR="009901C9" w:rsidRPr="005D31C1" w14:paraId="348150CF" w14:textId="77777777" w:rsidTr="00C33F05">
        <w:trPr>
          <w:trHeight w:val="1113"/>
        </w:trPr>
        <w:tc>
          <w:tcPr>
            <w:tcW w:w="2094" w:type="pct"/>
          </w:tcPr>
          <w:p w14:paraId="01F2CF8D" w14:textId="77777777" w:rsidR="009901C9" w:rsidRPr="00F95D5E" w:rsidRDefault="009901C9" w:rsidP="00C33F05">
            <w:pPr>
              <w:pStyle w:val="BodyCopy"/>
              <w:spacing w:line="480" w:lineRule="auto"/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</w:pPr>
            <w:r w:rsidRPr="00F95D5E"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  <w:t>Baseline age &lt; 65 years</w:t>
            </w:r>
          </w:p>
        </w:tc>
        <w:tc>
          <w:tcPr>
            <w:tcW w:w="2906" w:type="pct"/>
          </w:tcPr>
          <w:p w14:paraId="5B10F484" w14:textId="77777777" w:rsidR="009901C9" w:rsidRPr="00F95D5E" w:rsidRDefault="009901C9" w:rsidP="00C33F05">
            <w:pPr>
              <w:pStyle w:val="BodyCopy"/>
              <w:spacing w:line="480" w:lineRule="auto"/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</w:pPr>
            <w:r w:rsidRPr="00F95D5E"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  <w:t xml:space="preserve">Adjust mean patient characteristics to reflect subset of </w:t>
            </w:r>
            <w:r w:rsidRPr="00F95D5E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 xml:space="preserve">EMPEROR-Reduced and </w:t>
            </w:r>
            <w:r w:rsidRPr="00F95D5E"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  <w:t xml:space="preserve">EMPEROR-Preserved population younger than 65 years of age. </w:t>
            </w:r>
          </w:p>
        </w:tc>
      </w:tr>
      <w:tr w:rsidR="009901C9" w:rsidRPr="005D31C1" w14:paraId="08CE3ACF" w14:textId="77777777" w:rsidTr="00C33F05">
        <w:trPr>
          <w:trHeight w:val="1113"/>
        </w:trPr>
        <w:tc>
          <w:tcPr>
            <w:tcW w:w="2094" w:type="pct"/>
          </w:tcPr>
          <w:p w14:paraId="6005F269" w14:textId="77777777" w:rsidR="009901C9" w:rsidRPr="00F95D5E" w:rsidRDefault="009901C9" w:rsidP="00C33F05">
            <w:pPr>
              <w:pStyle w:val="BodyCopy"/>
              <w:spacing w:line="480" w:lineRule="auto"/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</w:pPr>
            <w:r w:rsidRPr="00F95D5E"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  <w:t>Baseline age ≥ 65 years</w:t>
            </w:r>
          </w:p>
        </w:tc>
        <w:tc>
          <w:tcPr>
            <w:tcW w:w="2906" w:type="pct"/>
          </w:tcPr>
          <w:p w14:paraId="5F317E7C" w14:textId="77777777" w:rsidR="009901C9" w:rsidRPr="00F95D5E" w:rsidRDefault="009901C9" w:rsidP="00C33F05">
            <w:pPr>
              <w:pStyle w:val="BodyCopy"/>
              <w:spacing w:line="480" w:lineRule="auto"/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</w:pPr>
            <w:r w:rsidRPr="00F95D5E"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  <w:t xml:space="preserve">Adjust mean patient characteristics to reflect subset of </w:t>
            </w:r>
            <w:r w:rsidRPr="00F95D5E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 xml:space="preserve">EMPEROR-Reduced and </w:t>
            </w:r>
            <w:r w:rsidRPr="00F95D5E"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  <w:t xml:space="preserve">EMPEROR-Preserved population at least 65 years of age. </w:t>
            </w:r>
          </w:p>
        </w:tc>
      </w:tr>
      <w:tr w:rsidR="009901C9" w:rsidRPr="005D31C1" w14:paraId="5B2B5C0D" w14:textId="77777777" w:rsidTr="00C33F05">
        <w:trPr>
          <w:trHeight w:val="1113"/>
        </w:trPr>
        <w:tc>
          <w:tcPr>
            <w:tcW w:w="2094" w:type="pct"/>
          </w:tcPr>
          <w:p w14:paraId="6AB2CFEB" w14:textId="77777777" w:rsidR="009901C9" w:rsidRPr="00F95D5E" w:rsidRDefault="009901C9" w:rsidP="00C33F05">
            <w:pPr>
              <w:pStyle w:val="BodyCopy"/>
              <w:spacing w:line="480" w:lineRule="auto"/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</w:pPr>
            <w:r w:rsidRPr="00F95D5E"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  <w:t>Baseline eGFR &lt; 60 mL/min/1.73m2</w:t>
            </w:r>
          </w:p>
        </w:tc>
        <w:tc>
          <w:tcPr>
            <w:tcW w:w="2906" w:type="pct"/>
          </w:tcPr>
          <w:p w14:paraId="68DF5777" w14:textId="77777777" w:rsidR="009901C9" w:rsidRPr="00F95D5E" w:rsidRDefault="009901C9" w:rsidP="00C33F05">
            <w:pPr>
              <w:pStyle w:val="BodyCopy"/>
              <w:spacing w:line="480" w:lineRule="auto"/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</w:pPr>
            <w:r w:rsidRPr="00F95D5E"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  <w:t xml:space="preserve">Adjust mean patient characteristics to reflect subset of </w:t>
            </w:r>
            <w:r w:rsidRPr="00E673C3"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  <w:t>EMPEROR-Reduced</w:t>
            </w:r>
            <w:r w:rsidRPr="00F95D5E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 xml:space="preserve"> and </w:t>
            </w:r>
            <w:r w:rsidRPr="00F95D5E"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  <w:t>EMPEROR-Preserved population with an eGFR less than 60 mL/min/1.73m2.</w:t>
            </w:r>
          </w:p>
        </w:tc>
      </w:tr>
      <w:tr w:rsidR="009901C9" w:rsidRPr="005D31C1" w14:paraId="6C44EE9D" w14:textId="77777777" w:rsidTr="00C33F05">
        <w:trPr>
          <w:trHeight w:val="1113"/>
        </w:trPr>
        <w:tc>
          <w:tcPr>
            <w:tcW w:w="2094" w:type="pct"/>
          </w:tcPr>
          <w:p w14:paraId="2977472D" w14:textId="77777777" w:rsidR="009901C9" w:rsidRPr="00F95D5E" w:rsidRDefault="009901C9" w:rsidP="00C33F05">
            <w:pPr>
              <w:pStyle w:val="BodyCopy"/>
              <w:spacing w:line="480" w:lineRule="auto"/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</w:pPr>
            <w:r w:rsidRPr="00F95D5E"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  <w:t xml:space="preserve">Baseline eGFR ≥ 60 mL/min/1.73m2 </w:t>
            </w:r>
          </w:p>
        </w:tc>
        <w:tc>
          <w:tcPr>
            <w:tcW w:w="2906" w:type="pct"/>
          </w:tcPr>
          <w:p w14:paraId="5FF244C4" w14:textId="77777777" w:rsidR="009901C9" w:rsidRPr="00F95D5E" w:rsidRDefault="009901C9" w:rsidP="00C33F05">
            <w:pPr>
              <w:pStyle w:val="BodyCopy"/>
              <w:spacing w:line="480" w:lineRule="auto"/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</w:pPr>
            <w:r w:rsidRPr="00F95D5E"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  <w:t xml:space="preserve">Adjust mean patient characteristics to reflect subset of </w:t>
            </w:r>
            <w:r w:rsidRPr="00E673C3"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  <w:t xml:space="preserve">EMPEROR-Reduced and </w:t>
            </w:r>
            <w:r w:rsidRPr="00F95D5E"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  <w:t>EMPEROR-Preserved population with an eGFR of at least 60 mL/min/1.73m2.</w:t>
            </w:r>
          </w:p>
        </w:tc>
      </w:tr>
    </w:tbl>
    <w:p w14:paraId="2B82EDF4" w14:textId="77777777" w:rsidR="009901C9" w:rsidRDefault="009901C9" w:rsidP="009901C9">
      <w:pPr>
        <w:pStyle w:val="NoteAbbreviations"/>
        <w:spacing w:line="480" w:lineRule="auto"/>
      </w:pPr>
      <w:r w:rsidRPr="00F95D5E">
        <w:rPr>
          <w:rFonts w:ascii="Times New Roman" w:eastAsiaTheme="minorEastAsia" w:hAnsi="Times New Roman" w:cs="Times New Roman"/>
          <w:color w:val="auto"/>
          <w:sz w:val="16"/>
          <w:szCs w:val="16"/>
          <w:lang w:val="en-US" w:eastAsia="ja-JP"/>
        </w:rPr>
        <w:t xml:space="preserve">Abbreviations: eGFR, estimated glomerular filtration rate; T2DM, </w:t>
      </w:r>
      <w:r>
        <w:rPr>
          <w:rFonts w:ascii="Times New Roman" w:eastAsiaTheme="minorEastAsia" w:hAnsi="Times New Roman" w:cs="Times New Roman"/>
          <w:color w:val="auto"/>
          <w:sz w:val="16"/>
          <w:szCs w:val="16"/>
          <w:lang w:val="en-US" w:eastAsia="ja-JP"/>
        </w:rPr>
        <w:t>T</w:t>
      </w:r>
      <w:r w:rsidRPr="00F95D5E">
        <w:rPr>
          <w:rFonts w:ascii="Times New Roman" w:eastAsiaTheme="minorEastAsia" w:hAnsi="Times New Roman" w:cs="Times New Roman"/>
          <w:color w:val="auto"/>
          <w:sz w:val="16"/>
          <w:szCs w:val="16"/>
          <w:lang w:val="en-US" w:eastAsia="ja-JP"/>
        </w:rPr>
        <w:t xml:space="preserve">ype II </w:t>
      </w:r>
      <w:r>
        <w:rPr>
          <w:rFonts w:ascii="Times New Roman" w:eastAsiaTheme="minorEastAsia" w:hAnsi="Times New Roman" w:cs="Times New Roman"/>
          <w:color w:val="auto"/>
          <w:sz w:val="16"/>
          <w:szCs w:val="16"/>
          <w:lang w:val="en-US" w:eastAsia="ja-JP"/>
        </w:rPr>
        <w:t>D</w:t>
      </w:r>
      <w:r w:rsidRPr="00F95D5E">
        <w:rPr>
          <w:rFonts w:ascii="Times New Roman" w:eastAsiaTheme="minorEastAsia" w:hAnsi="Times New Roman" w:cs="Times New Roman"/>
          <w:color w:val="auto"/>
          <w:sz w:val="16"/>
          <w:szCs w:val="16"/>
          <w:lang w:val="en-US" w:eastAsia="ja-JP"/>
        </w:rPr>
        <w:t xml:space="preserve">iabetes </w:t>
      </w:r>
      <w:r>
        <w:rPr>
          <w:rFonts w:ascii="Times New Roman" w:eastAsiaTheme="minorEastAsia" w:hAnsi="Times New Roman" w:cs="Times New Roman"/>
          <w:color w:val="auto"/>
          <w:sz w:val="16"/>
          <w:szCs w:val="16"/>
          <w:lang w:val="en-US" w:eastAsia="ja-JP"/>
        </w:rPr>
        <w:t>M</w:t>
      </w:r>
      <w:r w:rsidRPr="00F95D5E">
        <w:rPr>
          <w:rFonts w:ascii="Times New Roman" w:eastAsiaTheme="minorEastAsia" w:hAnsi="Times New Roman" w:cs="Times New Roman"/>
          <w:color w:val="auto"/>
          <w:sz w:val="16"/>
          <w:szCs w:val="16"/>
          <w:lang w:val="en-US" w:eastAsia="ja-JP"/>
        </w:rPr>
        <w:t>ellitus</w:t>
      </w:r>
    </w:p>
    <w:p w14:paraId="58EF794A" w14:textId="77777777" w:rsidR="009901C9" w:rsidRPr="00B30ABB" w:rsidRDefault="009901C9" w:rsidP="009901C9">
      <w:pPr>
        <w:pStyle w:val="Caption"/>
        <w:keepNext/>
        <w:keepLines/>
        <w:spacing w:line="480" w:lineRule="auto"/>
        <w:rPr>
          <w:rFonts w:ascii="Times New Roman" w:eastAsiaTheme="minorEastAsia" w:hAnsi="Times New Roman" w:cs="Times New Roman"/>
          <w:i w:val="0"/>
          <w:iCs w:val="0"/>
          <w:color w:val="auto"/>
          <w:sz w:val="22"/>
          <w:szCs w:val="22"/>
          <w:lang w:val="en-US" w:eastAsia="ja-JP"/>
        </w:rPr>
      </w:pPr>
      <w:bookmarkStart w:id="2" w:name="_Ref62503039"/>
      <w:r w:rsidRPr="00B30ABB">
        <w:rPr>
          <w:rFonts w:ascii="Times New Roman" w:eastAsiaTheme="minorEastAsia" w:hAnsi="Times New Roman" w:cs="Times New Roman"/>
          <w:b/>
          <w:bCs/>
          <w:i w:val="0"/>
          <w:iCs w:val="0"/>
          <w:color w:val="auto"/>
          <w:sz w:val="22"/>
          <w:szCs w:val="22"/>
          <w:lang w:val="en-US" w:eastAsia="ja-JP"/>
        </w:rPr>
        <w:t>Table</w:t>
      </w:r>
      <w:bookmarkEnd w:id="2"/>
      <w:r w:rsidRPr="00B30ABB">
        <w:rPr>
          <w:rFonts w:ascii="Times New Roman" w:eastAsiaTheme="minorEastAsia" w:hAnsi="Times New Roman" w:cs="Times New Roman"/>
          <w:b/>
          <w:bCs/>
          <w:i w:val="0"/>
          <w:iCs w:val="0"/>
          <w:color w:val="auto"/>
          <w:sz w:val="22"/>
          <w:szCs w:val="22"/>
          <w:lang w:val="en-US" w:eastAsia="ja-JP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i w:val="0"/>
          <w:iCs w:val="0"/>
          <w:color w:val="auto"/>
          <w:sz w:val="22"/>
          <w:szCs w:val="22"/>
          <w:lang w:val="en-US" w:eastAsia="ja-JP"/>
        </w:rPr>
        <w:t>S2</w:t>
      </w:r>
      <w:r w:rsidRPr="00B30ABB">
        <w:rPr>
          <w:rFonts w:ascii="Times New Roman" w:eastAsiaTheme="minorEastAsia" w:hAnsi="Times New Roman" w:cs="Times New Roman"/>
          <w:b/>
          <w:bCs/>
          <w:i w:val="0"/>
          <w:iCs w:val="0"/>
          <w:color w:val="auto"/>
          <w:sz w:val="22"/>
          <w:szCs w:val="22"/>
          <w:lang w:val="en-US" w:eastAsia="ja-JP"/>
        </w:rPr>
        <w:t>.</w:t>
      </w:r>
      <w:r w:rsidRPr="00B30ABB">
        <w:rPr>
          <w:rFonts w:ascii="Times New Roman" w:eastAsiaTheme="minorEastAsia" w:hAnsi="Times New Roman" w:cs="Times New Roman"/>
          <w:i w:val="0"/>
          <w:iCs w:val="0"/>
          <w:color w:val="auto"/>
          <w:sz w:val="22"/>
          <w:szCs w:val="22"/>
          <w:lang w:val="en-US" w:eastAsia="ja-JP"/>
        </w:rPr>
        <w:t xml:space="preserve"> </w:t>
      </w:r>
      <w:r>
        <w:rPr>
          <w:rFonts w:ascii="Times New Roman" w:eastAsiaTheme="minorEastAsia" w:hAnsi="Times New Roman" w:cs="Times New Roman"/>
          <w:i w:val="0"/>
          <w:iCs w:val="0"/>
          <w:color w:val="auto"/>
          <w:sz w:val="22"/>
          <w:szCs w:val="22"/>
          <w:lang w:val="en-US" w:eastAsia="ja-JP"/>
        </w:rPr>
        <w:t>B</w:t>
      </w:r>
      <w:r w:rsidRPr="00B30ABB">
        <w:rPr>
          <w:rFonts w:ascii="Times New Roman" w:eastAsiaTheme="minorEastAsia" w:hAnsi="Times New Roman" w:cs="Times New Roman"/>
          <w:i w:val="0"/>
          <w:iCs w:val="0"/>
          <w:color w:val="auto"/>
          <w:sz w:val="22"/>
          <w:szCs w:val="22"/>
          <w:lang w:val="en-US" w:eastAsia="ja-JP"/>
        </w:rPr>
        <w:t xml:space="preserve">reakdown </w:t>
      </w:r>
      <w:r>
        <w:rPr>
          <w:rFonts w:ascii="Times New Roman" w:eastAsiaTheme="minorEastAsia" w:hAnsi="Times New Roman" w:cs="Times New Roman"/>
          <w:i w:val="0"/>
          <w:iCs w:val="0"/>
          <w:color w:val="auto"/>
          <w:sz w:val="22"/>
          <w:szCs w:val="22"/>
          <w:lang w:val="en-US" w:eastAsia="ja-JP"/>
        </w:rPr>
        <w:t xml:space="preserve">of deterministic </w:t>
      </w:r>
      <w:r w:rsidRPr="00B30ABB">
        <w:rPr>
          <w:rFonts w:ascii="Times New Roman" w:eastAsiaTheme="minorEastAsia" w:hAnsi="Times New Roman" w:cs="Times New Roman"/>
          <w:i w:val="0"/>
          <w:iCs w:val="0"/>
          <w:color w:val="auto"/>
          <w:sz w:val="22"/>
          <w:szCs w:val="22"/>
          <w:lang w:val="en-US" w:eastAsia="ja-JP"/>
        </w:rPr>
        <w:t>average costs per patient for the overall HF population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9901C9" w:rsidRPr="00C60D3D" w14:paraId="2833E07E" w14:textId="77777777" w:rsidTr="00C33F05">
        <w:trPr>
          <w:trHeight w:val="586"/>
          <w:tblHeader/>
        </w:trPr>
        <w:tc>
          <w:tcPr>
            <w:tcW w:w="1250" w:type="pct"/>
          </w:tcPr>
          <w:p w14:paraId="760CE8F1" w14:textId="77777777" w:rsidR="009901C9" w:rsidRPr="004507E1" w:rsidRDefault="009901C9" w:rsidP="00C33F05">
            <w:pPr>
              <w:spacing w:before="40" w:after="40" w:line="480" w:lineRule="auto"/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  <w:t>Disaggregated costs</w:t>
            </w:r>
          </w:p>
        </w:tc>
        <w:tc>
          <w:tcPr>
            <w:tcW w:w="1250" w:type="pct"/>
          </w:tcPr>
          <w:p w14:paraId="68515651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 w:val="20"/>
                <w:szCs w:val="20"/>
              </w:rPr>
              <w:t>Empagliflozin + SoC</w:t>
            </w:r>
          </w:p>
        </w:tc>
        <w:tc>
          <w:tcPr>
            <w:tcW w:w="1250" w:type="pct"/>
          </w:tcPr>
          <w:p w14:paraId="13694981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 w:val="20"/>
                <w:szCs w:val="20"/>
              </w:rPr>
              <w:t>SoC</w:t>
            </w:r>
          </w:p>
        </w:tc>
        <w:tc>
          <w:tcPr>
            <w:tcW w:w="1250" w:type="pct"/>
          </w:tcPr>
          <w:p w14:paraId="493598CE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 w:val="20"/>
                <w:szCs w:val="20"/>
              </w:rPr>
              <w:t>Incremental</w:t>
            </w:r>
          </w:p>
        </w:tc>
      </w:tr>
      <w:tr w:rsidR="009901C9" w:rsidRPr="00C60D3D" w14:paraId="267E5D60" w14:textId="77777777" w:rsidTr="00C33F05">
        <w:trPr>
          <w:trHeight w:val="586"/>
        </w:trPr>
        <w:tc>
          <w:tcPr>
            <w:tcW w:w="1250" w:type="pct"/>
          </w:tcPr>
          <w:p w14:paraId="69380A74" w14:textId="77777777" w:rsidR="009901C9" w:rsidRPr="004507E1" w:rsidRDefault="009901C9" w:rsidP="00C33F05">
            <w:pPr>
              <w:spacing w:before="40" w:after="40" w:line="480" w:lineRule="auto"/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  <w:t>Drug acquisition</w:t>
            </w:r>
          </w:p>
        </w:tc>
        <w:tc>
          <w:tcPr>
            <w:tcW w:w="1250" w:type="pct"/>
          </w:tcPr>
          <w:p w14:paraId="25F5E553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£3,998</w:t>
            </w:r>
          </w:p>
        </w:tc>
        <w:tc>
          <w:tcPr>
            <w:tcW w:w="1250" w:type="pct"/>
          </w:tcPr>
          <w:p w14:paraId="656B6B2E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£2,382</w:t>
            </w:r>
          </w:p>
        </w:tc>
        <w:tc>
          <w:tcPr>
            <w:tcW w:w="1250" w:type="pct"/>
          </w:tcPr>
          <w:p w14:paraId="64FBAF3B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£1,616</w:t>
            </w:r>
          </w:p>
        </w:tc>
      </w:tr>
      <w:tr w:rsidR="009901C9" w:rsidRPr="00C60D3D" w14:paraId="25CA1F78" w14:textId="77777777" w:rsidTr="00C33F05">
        <w:trPr>
          <w:trHeight w:val="586"/>
        </w:trPr>
        <w:tc>
          <w:tcPr>
            <w:tcW w:w="1250" w:type="pct"/>
          </w:tcPr>
          <w:p w14:paraId="58D0F7C7" w14:textId="77777777" w:rsidR="009901C9" w:rsidRPr="004507E1" w:rsidRDefault="009901C9" w:rsidP="00C33F05">
            <w:pPr>
              <w:spacing w:before="40" w:after="40" w:line="480" w:lineRule="auto"/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  <w:t>hHF management</w:t>
            </w:r>
          </w:p>
        </w:tc>
        <w:tc>
          <w:tcPr>
            <w:tcW w:w="1250" w:type="pct"/>
          </w:tcPr>
          <w:p w14:paraId="63BE6734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£2,686</w:t>
            </w:r>
          </w:p>
        </w:tc>
        <w:tc>
          <w:tcPr>
            <w:tcW w:w="1250" w:type="pct"/>
          </w:tcPr>
          <w:p w14:paraId="1A8A34E6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£3,108</w:t>
            </w:r>
          </w:p>
        </w:tc>
        <w:tc>
          <w:tcPr>
            <w:tcW w:w="1250" w:type="pct"/>
          </w:tcPr>
          <w:p w14:paraId="431C0A76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-£422</w:t>
            </w:r>
          </w:p>
        </w:tc>
      </w:tr>
      <w:tr w:rsidR="009901C9" w:rsidRPr="00C60D3D" w14:paraId="60FD369A" w14:textId="77777777" w:rsidTr="00C33F05">
        <w:trPr>
          <w:trHeight w:val="586"/>
        </w:trPr>
        <w:tc>
          <w:tcPr>
            <w:tcW w:w="1250" w:type="pct"/>
          </w:tcPr>
          <w:p w14:paraId="562606D3" w14:textId="77777777" w:rsidR="009901C9" w:rsidRPr="004507E1" w:rsidRDefault="009901C9" w:rsidP="00C33F05">
            <w:pPr>
              <w:spacing w:before="40" w:after="40" w:line="480" w:lineRule="auto"/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CV death management</w:t>
            </w:r>
          </w:p>
        </w:tc>
        <w:tc>
          <w:tcPr>
            <w:tcW w:w="1250" w:type="pct"/>
          </w:tcPr>
          <w:p w14:paraId="0BE0AA64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£2,072</w:t>
            </w:r>
          </w:p>
        </w:tc>
        <w:tc>
          <w:tcPr>
            <w:tcW w:w="1250" w:type="pct"/>
          </w:tcPr>
          <w:p w14:paraId="44F57AB8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£2,121</w:t>
            </w:r>
          </w:p>
        </w:tc>
        <w:tc>
          <w:tcPr>
            <w:tcW w:w="1250" w:type="pct"/>
          </w:tcPr>
          <w:p w14:paraId="1871CE1F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-£49</w:t>
            </w:r>
          </w:p>
        </w:tc>
      </w:tr>
      <w:tr w:rsidR="009901C9" w:rsidRPr="00C60D3D" w14:paraId="66074AEF" w14:textId="77777777" w:rsidTr="00C33F05">
        <w:trPr>
          <w:trHeight w:val="586"/>
        </w:trPr>
        <w:tc>
          <w:tcPr>
            <w:tcW w:w="1250" w:type="pct"/>
          </w:tcPr>
          <w:p w14:paraId="6D24ACC0" w14:textId="77777777" w:rsidR="009901C9" w:rsidRPr="004507E1" w:rsidRDefault="009901C9" w:rsidP="00C33F05">
            <w:pPr>
              <w:spacing w:before="40" w:after="40" w:line="480" w:lineRule="auto"/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  <w:t>AE management</w:t>
            </w:r>
          </w:p>
        </w:tc>
        <w:tc>
          <w:tcPr>
            <w:tcW w:w="1250" w:type="pct"/>
          </w:tcPr>
          <w:p w14:paraId="330436CA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£1,698</w:t>
            </w:r>
          </w:p>
        </w:tc>
        <w:tc>
          <w:tcPr>
            <w:tcW w:w="1250" w:type="pct"/>
          </w:tcPr>
          <w:p w14:paraId="43B6B2BB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£1,708</w:t>
            </w:r>
          </w:p>
        </w:tc>
        <w:tc>
          <w:tcPr>
            <w:tcW w:w="1250" w:type="pct"/>
          </w:tcPr>
          <w:p w14:paraId="52F3977C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-£11</w:t>
            </w:r>
          </w:p>
        </w:tc>
      </w:tr>
      <w:tr w:rsidR="009901C9" w:rsidRPr="00C60D3D" w14:paraId="7D3FB8D8" w14:textId="77777777" w:rsidTr="00C33F05">
        <w:trPr>
          <w:trHeight w:val="586"/>
        </w:trPr>
        <w:tc>
          <w:tcPr>
            <w:tcW w:w="1250" w:type="pct"/>
          </w:tcPr>
          <w:p w14:paraId="40D29954" w14:textId="77777777" w:rsidR="009901C9" w:rsidRPr="004507E1" w:rsidRDefault="009901C9" w:rsidP="00C33F05">
            <w:pPr>
              <w:spacing w:before="40" w:after="40" w:line="480" w:lineRule="auto"/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  <w:t>Disease management</w:t>
            </w:r>
          </w:p>
        </w:tc>
        <w:tc>
          <w:tcPr>
            <w:tcW w:w="1250" w:type="pct"/>
          </w:tcPr>
          <w:p w14:paraId="6A50F192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£4,792</w:t>
            </w:r>
          </w:p>
        </w:tc>
        <w:tc>
          <w:tcPr>
            <w:tcW w:w="1250" w:type="pct"/>
          </w:tcPr>
          <w:p w14:paraId="3E5067DF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£4,663</w:t>
            </w:r>
          </w:p>
        </w:tc>
        <w:tc>
          <w:tcPr>
            <w:tcW w:w="1250" w:type="pct"/>
          </w:tcPr>
          <w:p w14:paraId="2DADBD30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£130</w:t>
            </w:r>
          </w:p>
        </w:tc>
      </w:tr>
      <w:tr w:rsidR="009901C9" w:rsidRPr="00C60D3D" w14:paraId="6CA6403A" w14:textId="77777777" w:rsidTr="00C33F05">
        <w:trPr>
          <w:trHeight w:val="586"/>
        </w:trPr>
        <w:tc>
          <w:tcPr>
            <w:tcW w:w="1250" w:type="pct"/>
          </w:tcPr>
          <w:p w14:paraId="10A33194" w14:textId="77777777" w:rsidR="009901C9" w:rsidRPr="004507E1" w:rsidRDefault="009901C9" w:rsidP="00C33F05">
            <w:pPr>
              <w:spacing w:before="40" w:after="40" w:line="480" w:lineRule="auto"/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  <w:t>Total</w:t>
            </w:r>
          </w:p>
        </w:tc>
        <w:tc>
          <w:tcPr>
            <w:tcW w:w="1250" w:type="pct"/>
          </w:tcPr>
          <w:p w14:paraId="5FB1BF06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£15,246</w:t>
            </w:r>
          </w:p>
        </w:tc>
        <w:tc>
          <w:tcPr>
            <w:tcW w:w="1250" w:type="pct"/>
          </w:tcPr>
          <w:p w14:paraId="40FA353A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£13,982</w:t>
            </w:r>
          </w:p>
        </w:tc>
        <w:tc>
          <w:tcPr>
            <w:tcW w:w="1250" w:type="pct"/>
          </w:tcPr>
          <w:p w14:paraId="59D8C910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£1,264</w:t>
            </w:r>
          </w:p>
        </w:tc>
      </w:tr>
    </w:tbl>
    <w:p w14:paraId="40FAF3F8" w14:textId="77777777" w:rsidR="009901C9" w:rsidRPr="00B30ABB" w:rsidRDefault="009901C9" w:rsidP="009901C9">
      <w:pPr>
        <w:pStyle w:val="NoteAbbreviations"/>
        <w:spacing w:line="480" w:lineRule="auto"/>
        <w:rPr>
          <w:rFonts w:ascii="Times New Roman" w:eastAsiaTheme="minorEastAsia" w:hAnsi="Times New Roman" w:cs="Times New Roman"/>
          <w:color w:val="auto"/>
          <w:sz w:val="16"/>
          <w:szCs w:val="16"/>
          <w:lang w:val="en-US" w:eastAsia="ja-JP"/>
        </w:rPr>
      </w:pPr>
      <w:r w:rsidRPr="00B30ABB">
        <w:rPr>
          <w:rFonts w:ascii="Times New Roman" w:eastAsiaTheme="minorEastAsia" w:hAnsi="Times New Roman" w:cs="Times New Roman"/>
          <w:color w:val="auto"/>
          <w:sz w:val="16"/>
          <w:szCs w:val="16"/>
          <w:lang w:val="en-US" w:eastAsia="ja-JP"/>
        </w:rPr>
        <w:t>Note: sums may not add due to rounding</w:t>
      </w:r>
    </w:p>
    <w:p w14:paraId="766E5785" w14:textId="77777777" w:rsidR="009901C9" w:rsidRDefault="009901C9" w:rsidP="009901C9">
      <w:pPr>
        <w:pStyle w:val="NoteAbbreviations"/>
        <w:spacing w:line="480" w:lineRule="auto"/>
      </w:pPr>
      <w:r w:rsidRPr="00B30ABB">
        <w:rPr>
          <w:rFonts w:ascii="Times New Roman" w:eastAsiaTheme="minorEastAsia" w:hAnsi="Times New Roman" w:cs="Times New Roman"/>
          <w:color w:val="auto"/>
          <w:sz w:val="16"/>
          <w:szCs w:val="16"/>
          <w:lang w:val="en-US" w:eastAsia="ja-JP"/>
        </w:rPr>
        <w:t>Abbreviations: AE, adverse events; CV, cardiovascular; HF, heart failure; hHF, hospitalization for heart failure; SoC, standard of care</w:t>
      </w:r>
    </w:p>
    <w:p w14:paraId="02206EC6" w14:textId="77777777" w:rsidR="009901C9" w:rsidRPr="004507E1" w:rsidRDefault="009901C9" w:rsidP="009901C9">
      <w:pPr>
        <w:pStyle w:val="Caption"/>
        <w:keepNext/>
        <w:keepLines/>
        <w:spacing w:line="480" w:lineRule="auto"/>
        <w:rPr>
          <w:rFonts w:ascii="Times New Roman" w:eastAsiaTheme="minorEastAsia" w:hAnsi="Times New Roman" w:cs="Times New Roman"/>
          <w:i w:val="0"/>
          <w:iCs w:val="0"/>
          <w:color w:val="auto"/>
          <w:sz w:val="22"/>
          <w:szCs w:val="22"/>
          <w:lang w:val="en-US" w:eastAsia="ja-JP"/>
        </w:rPr>
      </w:pPr>
      <w:bookmarkStart w:id="3" w:name="_Ref62505189"/>
      <w:bookmarkStart w:id="4" w:name="_Ref62505185"/>
      <w:r w:rsidRPr="004507E1">
        <w:rPr>
          <w:rFonts w:ascii="Times New Roman" w:eastAsiaTheme="minorEastAsia" w:hAnsi="Times New Roman" w:cs="Times New Roman"/>
          <w:b/>
          <w:bCs/>
          <w:i w:val="0"/>
          <w:iCs w:val="0"/>
          <w:color w:val="auto"/>
          <w:sz w:val="22"/>
          <w:szCs w:val="22"/>
          <w:lang w:val="en-US" w:eastAsia="ja-JP"/>
        </w:rPr>
        <w:t>Table</w:t>
      </w:r>
      <w:bookmarkEnd w:id="3"/>
      <w:bookmarkEnd w:id="4"/>
      <w:r w:rsidRPr="004507E1">
        <w:rPr>
          <w:rFonts w:ascii="Times New Roman" w:eastAsiaTheme="minorEastAsia" w:hAnsi="Times New Roman" w:cs="Times New Roman"/>
          <w:b/>
          <w:bCs/>
          <w:i w:val="0"/>
          <w:iCs w:val="0"/>
          <w:color w:val="auto"/>
          <w:sz w:val="22"/>
          <w:szCs w:val="22"/>
          <w:lang w:val="en-US" w:eastAsia="ja-JP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i w:val="0"/>
          <w:iCs w:val="0"/>
          <w:color w:val="auto"/>
          <w:sz w:val="22"/>
          <w:szCs w:val="22"/>
          <w:lang w:val="en-US" w:eastAsia="ja-JP"/>
        </w:rPr>
        <w:t>S3</w:t>
      </w:r>
      <w:r w:rsidRPr="004507E1">
        <w:rPr>
          <w:rFonts w:ascii="Times New Roman" w:eastAsiaTheme="minorEastAsia" w:hAnsi="Times New Roman" w:cs="Times New Roman"/>
          <w:i w:val="0"/>
          <w:iCs w:val="0"/>
          <w:color w:val="auto"/>
          <w:sz w:val="22"/>
          <w:szCs w:val="22"/>
          <w:lang w:val="en-US" w:eastAsia="ja-JP"/>
        </w:rPr>
        <w:t>. PSA outcomes for the overall HF population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9901C9" w:rsidRPr="00C17B65" w14:paraId="4CF64EB5" w14:textId="77777777" w:rsidTr="00C33F05">
        <w:trPr>
          <w:trHeight w:val="586"/>
          <w:tblHeader/>
        </w:trPr>
        <w:tc>
          <w:tcPr>
            <w:tcW w:w="1250" w:type="pct"/>
          </w:tcPr>
          <w:p w14:paraId="3146534F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Cs w:val="20"/>
              </w:rPr>
              <w:t>Cost-effectiveness measures</w:t>
            </w:r>
          </w:p>
        </w:tc>
        <w:tc>
          <w:tcPr>
            <w:tcW w:w="1250" w:type="pct"/>
          </w:tcPr>
          <w:p w14:paraId="71F6CC13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Cs w:val="20"/>
              </w:rPr>
              <w:t>Mean</w:t>
            </w:r>
          </w:p>
        </w:tc>
        <w:tc>
          <w:tcPr>
            <w:tcW w:w="1250" w:type="pct"/>
          </w:tcPr>
          <w:p w14:paraId="23FFE599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Cs w:val="20"/>
              </w:rPr>
              <w:t>Lower 95% CI</w:t>
            </w:r>
          </w:p>
        </w:tc>
        <w:tc>
          <w:tcPr>
            <w:tcW w:w="1250" w:type="pct"/>
          </w:tcPr>
          <w:p w14:paraId="2B17D941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Cs w:val="20"/>
              </w:rPr>
              <w:t>Upper 95% CI</w:t>
            </w:r>
          </w:p>
        </w:tc>
      </w:tr>
      <w:tr w:rsidR="009901C9" w:rsidRPr="00C17B65" w14:paraId="7965CA89" w14:textId="77777777" w:rsidTr="00C33F05">
        <w:trPr>
          <w:trHeight w:val="586"/>
        </w:trPr>
        <w:tc>
          <w:tcPr>
            <w:tcW w:w="1250" w:type="pct"/>
          </w:tcPr>
          <w:p w14:paraId="20364328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Cs w:val="20"/>
              </w:rPr>
              <w:t>Incremental LYs</w:t>
            </w:r>
          </w:p>
        </w:tc>
        <w:tc>
          <w:tcPr>
            <w:tcW w:w="1250" w:type="pct"/>
          </w:tcPr>
          <w:p w14:paraId="5CBB215B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0.15</w:t>
            </w:r>
          </w:p>
        </w:tc>
        <w:tc>
          <w:tcPr>
            <w:tcW w:w="1250" w:type="pct"/>
          </w:tcPr>
          <w:p w14:paraId="11FB995F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-0.24</w:t>
            </w:r>
          </w:p>
        </w:tc>
        <w:tc>
          <w:tcPr>
            <w:tcW w:w="1250" w:type="pct"/>
          </w:tcPr>
          <w:p w14:paraId="7C3787E8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0.60</w:t>
            </w:r>
          </w:p>
        </w:tc>
      </w:tr>
      <w:tr w:rsidR="009901C9" w:rsidRPr="00C17B65" w14:paraId="66D4028C" w14:textId="77777777" w:rsidTr="00C33F05">
        <w:trPr>
          <w:trHeight w:val="586"/>
        </w:trPr>
        <w:tc>
          <w:tcPr>
            <w:tcW w:w="1250" w:type="pct"/>
          </w:tcPr>
          <w:p w14:paraId="5117E254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Cs w:val="20"/>
              </w:rPr>
              <w:t>Incremental QALYs</w:t>
            </w:r>
          </w:p>
        </w:tc>
        <w:tc>
          <w:tcPr>
            <w:tcW w:w="1250" w:type="pct"/>
          </w:tcPr>
          <w:p w14:paraId="1C529466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0.16</w:t>
            </w:r>
          </w:p>
        </w:tc>
        <w:tc>
          <w:tcPr>
            <w:tcW w:w="1250" w:type="pct"/>
          </w:tcPr>
          <w:p w14:paraId="2713C567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-0.16</w:t>
            </w:r>
          </w:p>
        </w:tc>
        <w:tc>
          <w:tcPr>
            <w:tcW w:w="1250" w:type="pct"/>
          </w:tcPr>
          <w:p w14:paraId="3C88CAAC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0.52</w:t>
            </w:r>
          </w:p>
        </w:tc>
      </w:tr>
      <w:tr w:rsidR="009901C9" w:rsidRPr="00C17B65" w14:paraId="41F3D890" w14:textId="77777777" w:rsidTr="00C33F05">
        <w:trPr>
          <w:trHeight w:val="586"/>
        </w:trPr>
        <w:tc>
          <w:tcPr>
            <w:tcW w:w="1250" w:type="pct"/>
          </w:tcPr>
          <w:p w14:paraId="6E729B6F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Cs w:val="20"/>
              </w:rPr>
              <w:t>Incremental costs</w:t>
            </w:r>
          </w:p>
        </w:tc>
        <w:tc>
          <w:tcPr>
            <w:tcW w:w="1250" w:type="pct"/>
          </w:tcPr>
          <w:p w14:paraId="3DC1E4B7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£1,262</w:t>
            </w:r>
          </w:p>
        </w:tc>
        <w:tc>
          <w:tcPr>
            <w:tcW w:w="1250" w:type="pct"/>
          </w:tcPr>
          <w:p w14:paraId="52700FD4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£201</w:t>
            </w:r>
          </w:p>
        </w:tc>
        <w:tc>
          <w:tcPr>
            <w:tcW w:w="1250" w:type="pct"/>
          </w:tcPr>
          <w:p w14:paraId="301C1F91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£2,148</w:t>
            </w:r>
          </w:p>
        </w:tc>
      </w:tr>
      <w:tr w:rsidR="009901C9" w:rsidRPr="00C17B65" w14:paraId="2047F405" w14:textId="77777777" w:rsidTr="00C33F05">
        <w:trPr>
          <w:trHeight w:val="586"/>
        </w:trPr>
        <w:tc>
          <w:tcPr>
            <w:tcW w:w="1250" w:type="pct"/>
          </w:tcPr>
          <w:p w14:paraId="42C7F2D1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Cs w:val="20"/>
              </w:rPr>
              <w:t>ICER (cost/LY gained)</w:t>
            </w:r>
          </w:p>
        </w:tc>
        <w:tc>
          <w:tcPr>
            <w:tcW w:w="3750" w:type="pct"/>
            <w:gridSpan w:val="3"/>
          </w:tcPr>
          <w:p w14:paraId="0BBB01FD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£8,395</w:t>
            </w:r>
          </w:p>
        </w:tc>
      </w:tr>
      <w:tr w:rsidR="009901C9" w:rsidRPr="00C17B65" w14:paraId="1E74D64D" w14:textId="77777777" w:rsidTr="00C33F05">
        <w:trPr>
          <w:trHeight w:val="586"/>
        </w:trPr>
        <w:tc>
          <w:tcPr>
            <w:tcW w:w="1250" w:type="pct"/>
          </w:tcPr>
          <w:p w14:paraId="036924A2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Cs w:val="20"/>
              </w:rPr>
              <w:t>ICER (cost/QALY gained)</w:t>
            </w:r>
          </w:p>
        </w:tc>
        <w:tc>
          <w:tcPr>
            <w:tcW w:w="3750" w:type="pct"/>
            <w:gridSpan w:val="3"/>
          </w:tcPr>
          <w:p w14:paraId="73AF12E5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£7,657</w:t>
            </w:r>
          </w:p>
        </w:tc>
      </w:tr>
    </w:tbl>
    <w:p w14:paraId="034E0C3D" w14:textId="77777777" w:rsidR="009901C9" w:rsidRPr="004507E1" w:rsidRDefault="009901C9" w:rsidP="009901C9">
      <w:pPr>
        <w:pStyle w:val="NoteAbbreviations"/>
        <w:spacing w:line="480" w:lineRule="auto"/>
        <w:rPr>
          <w:rFonts w:ascii="Times New Roman" w:eastAsiaTheme="minorEastAsia" w:hAnsi="Times New Roman" w:cs="Times New Roman"/>
          <w:color w:val="auto"/>
          <w:sz w:val="16"/>
          <w:szCs w:val="16"/>
          <w:lang w:val="en-US" w:eastAsia="ja-JP"/>
        </w:rPr>
      </w:pPr>
      <w:r w:rsidRPr="004507E1">
        <w:rPr>
          <w:rFonts w:ascii="Times New Roman" w:eastAsiaTheme="minorEastAsia" w:hAnsi="Times New Roman" w:cs="Times New Roman"/>
          <w:color w:val="auto"/>
          <w:sz w:val="16"/>
          <w:szCs w:val="16"/>
          <w:lang w:val="en-US" w:eastAsia="ja-JP"/>
        </w:rPr>
        <w:t>Note: sums may not add due to rounding</w:t>
      </w:r>
    </w:p>
    <w:p w14:paraId="64381F7A" w14:textId="77777777" w:rsidR="009901C9" w:rsidRDefault="009901C9" w:rsidP="009901C9">
      <w:pPr>
        <w:pStyle w:val="NoteAbbreviations"/>
        <w:spacing w:line="480" w:lineRule="auto"/>
        <w:rPr>
          <w:lang w:val="en-US" w:eastAsia="ja-JP"/>
        </w:rPr>
      </w:pPr>
      <w:r w:rsidRPr="004507E1">
        <w:rPr>
          <w:rFonts w:ascii="Times New Roman" w:eastAsiaTheme="minorEastAsia" w:hAnsi="Times New Roman" w:cs="Times New Roman"/>
          <w:color w:val="auto"/>
          <w:sz w:val="16"/>
          <w:szCs w:val="16"/>
          <w:lang w:val="en-US" w:eastAsia="ja-JP"/>
        </w:rPr>
        <w:t>Abbreviations: CI, confidence interval; LY, life-year; HF, heart failure; QALY, quality-adjusted life-year; PSA, probabilistic sensitivity analysis</w:t>
      </w:r>
    </w:p>
    <w:p w14:paraId="581C88AD" w14:textId="77777777" w:rsidR="009901C9" w:rsidRPr="00B30ABB" w:rsidRDefault="009901C9" w:rsidP="009901C9">
      <w:pPr>
        <w:pStyle w:val="Caption"/>
        <w:keepNext/>
        <w:spacing w:line="480" w:lineRule="auto"/>
        <w:rPr>
          <w:rFonts w:ascii="Times New Roman" w:eastAsiaTheme="minorEastAsia" w:hAnsi="Times New Roman" w:cs="Times New Roman"/>
          <w:b/>
          <w:bCs/>
          <w:i w:val="0"/>
          <w:iCs w:val="0"/>
          <w:color w:val="auto"/>
          <w:sz w:val="22"/>
          <w:szCs w:val="22"/>
          <w:lang w:val="en-US" w:eastAsia="ja-JP"/>
        </w:rPr>
      </w:pPr>
      <w:r w:rsidRPr="00B30ABB">
        <w:rPr>
          <w:rFonts w:ascii="Times New Roman" w:eastAsiaTheme="minorEastAsia" w:hAnsi="Times New Roman" w:cs="Times New Roman"/>
          <w:b/>
          <w:bCs/>
          <w:i w:val="0"/>
          <w:iCs w:val="0"/>
          <w:color w:val="auto"/>
          <w:sz w:val="22"/>
          <w:szCs w:val="22"/>
          <w:lang w:val="en-US" w:eastAsia="ja-JP"/>
        </w:rPr>
        <w:lastRenderedPageBreak/>
        <w:t xml:space="preserve">Table </w:t>
      </w:r>
      <w:r>
        <w:rPr>
          <w:rFonts w:ascii="Times New Roman" w:eastAsiaTheme="minorEastAsia" w:hAnsi="Times New Roman" w:cs="Times New Roman"/>
          <w:b/>
          <w:bCs/>
          <w:i w:val="0"/>
          <w:iCs w:val="0"/>
          <w:color w:val="auto"/>
          <w:sz w:val="22"/>
          <w:szCs w:val="22"/>
          <w:lang w:val="en-US" w:eastAsia="ja-JP"/>
        </w:rPr>
        <w:t>S4</w:t>
      </w:r>
      <w:r w:rsidRPr="00B30ABB">
        <w:rPr>
          <w:rFonts w:ascii="Times New Roman" w:eastAsiaTheme="minorEastAsia" w:hAnsi="Times New Roman" w:cs="Times New Roman"/>
          <w:b/>
          <w:bCs/>
          <w:i w:val="0"/>
          <w:iCs w:val="0"/>
          <w:color w:val="auto"/>
          <w:sz w:val="22"/>
          <w:szCs w:val="22"/>
          <w:lang w:val="en-US" w:eastAsia="ja-JP"/>
        </w:rPr>
        <w:t xml:space="preserve">. </w:t>
      </w:r>
      <w:r>
        <w:rPr>
          <w:rFonts w:ascii="Times New Roman" w:eastAsiaTheme="minorEastAsia" w:hAnsi="Times New Roman" w:cs="Times New Roman"/>
          <w:i w:val="0"/>
          <w:iCs w:val="0"/>
          <w:color w:val="auto"/>
          <w:sz w:val="22"/>
          <w:szCs w:val="22"/>
          <w:lang w:val="en-US" w:eastAsia="ja-JP"/>
        </w:rPr>
        <w:t>Scenario analysis</w:t>
      </w:r>
      <w:r w:rsidRPr="00B30ABB">
        <w:rPr>
          <w:rFonts w:ascii="Times New Roman" w:eastAsiaTheme="minorEastAsia" w:hAnsi="Times New Roman" w:cs="Times New Roman"/>
          <w:i w:val="0"/>
          <w:iCs w:val="0"/>
          <w:color w:val="auto"/>
          <w:sz w:val="22"/>
          <w:szCs w:val="22"/>
          <w:lang w:val="en-US" w:eastAsia="ja-JP"/>
        </w:rPr>
        <w:t xml:space="preserve"> </w:t>
      </w:r>
      <w:r>
        <w:rPr>
          <w:rFonts w:ascii="Times New Roman" w:eastAsiaTheme="minorEastAsia" w:hAnsi="Times New Roman" w:cs="Times New Roman"/>
          <w:i w:val="0"/>
          <w:iCs w:val="0"/>
          <w:color w:val="auto"/>
          <w:sz w:val="22"/>
          <w:szCs w:val="22"/>
          <w:lang w:val="en-US" w:eastAsia="ja-JP"/>
        </w:rPr>
        <w:t xml:space="preserve">(equal split [50%] between </w:t>
      </w:r>
      <w:r w:rsidRPr="00F00668">
        <w:rPr>
          <w:rFonts w:ascii="Times New Roman" w:eastAsiaTheme="minorEastAsia" w:hAnsi="Times New Roman" w:cs="Times New Roman"/>
          <w:i w:val="0"/>
          <w:iCs w:val="0"/>
          <w:color w:val="auto"/>
          <w:sz w:val="22"/>
          <w:szCs w:val="22"/>
          <w:lang w:val="en-US" w:eastAsia="ja-JP"/>
        </w:rPr>
        <w:t>the HFrEF and HF LVEF&gt;40%</w:t>
      </w:r>
      <w:r>
        <w:rPr>
          <w:rFonts w:ascii="Times New Roman" w:eastAsiaTheme="minorEastAsia" w:hAnsi="Times New Roman" w:cs="Times New Roman"/>
          <w:i w:val="0"/>
          <w:iCs w:val="0"/>
          <w:color w:val="auto"/>
          <w:sz w:val="22"/>
          <w:szCs w:val="22"/>
          <w:lang w:val="en-US" w:eastAsia="ja-JP"/>
        </w:rPr>
        <w:t xml:space="preserve">) </w:t>
      </w:r>
      <w:r w:rsidRPr="00B30ABB">
        <w:rPr>
          <w:rFonts w:ascii="Times New Roman" w:eastAsiaTheme="minorEastAsia" w:hAnsi="Times New Roman" w:cs="Times New Roman"/>
          <w:i w:val="0"/>
          <w:iCs w:val="0"/>
          <w:color w:val="auto"/>
          <w:sz w:val="22"/>
          <w:szCs w:val="22"/>
          <w:lang w:val="en-US" w:eastAsia="ja-JP"/>
        </w:rPr>
        <w:t>cost-effectiveness results for the overall HF population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9901C9" w:rsidRPr="00A35186" w14:paraId="750ABFC4" w14:textId="77777777" w:rsidTr="00C33F05">
        <w:trPr>
          <w:trHeight w:val="586"/>
          <w:tblHeader/>
        </w:trPr>
        <w:tc>
          <w:tcPr>
            <w:tcW w:w="1250" w:type="pct"/>
          </w:tcPr>
          <w:p w14:paraId="59B44145" w14:textId="77777777" w:rsidR="009901C9" w:rsidRPr="00B30ABB" w:rsidRDefault="009901C9" w:rsidP="00C33F05">
            <w:pPr>
              <w:spacing w:before="40" w:after="40"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</w:pPr>
            <w:r w:rsidRPr="00B30ABB"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  <w:t>Outcome (per patient)</w:t>
            </w:r>
          </w:p>
        </w:tc>
        <w:tc>
          <w:tcPr>
            <w:tcW w:w="1250" w:type="pct"/>
          </w:tcPr>
          <w:p w14:paraId="7338C789" w14:textId="77777777" w:rsidR="009901C9" w:rsidRPr="00B30ABB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 w:val="20"/>
                <w:szCs w:val="20"/>
              </w:rPr>
            </w:pPr>
            <w:r w:rsidRPr="00B30ABB"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 w:val="20"/>
                <w:szCs w:val="20"/>
              </w:rPr>
              <w:t>Empagliflozin + SoC</w:t>
            </w:r>
          </w:p>
        </w:tc>
        <w:tc>
          <w:tcPr>
            <w:tcW w:w="1250" w:type="pct"/>
          </w:tcPr>
          <w:p w14:paraId="644BB9F2" w14:textId="77777777" w:rsidR="009901C9" w:rsidRPr="00B30ABB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 w:val="20"/>
                <w:szCs w:val="20"/>
              </w:rPr>
            </w:pPr>
            <w:r w:rsidRPr="00B30ABB"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 w:val="20"/>
                <w:szCs w:val="20"/>
              </w:rPr>
              <w:t>SoC</w:t>
            </w:r>
          </w:p>
        </w:tc>
        <w:tc>
          <w:tcPr>
            <w:tcW w:w="1250" w:type="pct"/>
          </w:tcPr>
          <w:p w14:paraId="48295766" w14:textId="77777777" w:rsidR="009901C9" w:rsidRPr="00B30ABB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 w:val="20"/>
                <w:szCs w:val="20"/>
              </w:rPr>
            </w:pPr>
            <w:r w:rsidRPr="00B30ABB"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 w:val="20"/>
                <w:szCs w:val="20"/>
              </w:rPr>
              <w:t>Incremental</w:t>
            </w:r>
          </w:p>
        </w:tc>
      </w:tr>
      <w:tr w:rsidR="009901C9" w:rsidRPr="00A35186" w14:paraId="67B0C6DF" w14:textId="77777777" w:rsidTr="00C33F05">
        <w:trPr>
          <w:trHeight w:val="586"/>
        </w:trPr>
        <w:tc>
          <w:tcPr>
            <w:tcW w:w="1250" w:type="pct"/>
          </w:tcPr>
          <w:p w14:paraId="386BA8A2" w14:textId="77777777" w:rsidR="009901C9" w:rsidRPr="00B30ABB" w:rsidRDefault="009901C9" w:rsidP="00C33F05">
            <w:pPr>
              <w:spacing w:before="40" w:after="40"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</w:pPr>
            <w:r w:rsidRPr="00B30ABB"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  <w:t>Total discounted LYs</w:t>
            </w:r>
          </w:p>
        </w:tc>
        <w:tc>
          <w:tcPr>
            <w:tcW w:w="1250" w:type="pct"/>
          </w:tcPr>
          <w:p w14:paraId="15310E05" w14:textId="77777777" w:rsidR="009901C9" w:rsidRPr="00914A5F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ED7F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6.34</w:t>
            </w:r>
          </w:p>
        </w:tc>
        <w:tc>
          <w:tcPr>
            <w:tcW w:w="1250" w:type="pct"/>
          </w:tcPr>
          <w:p w14:paraId="15F38E04" w14:textId="77777777" w:rsidR="009901C9" w:rsidRPr="00914A5F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ED7F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6.21</w:t>
            </w:r>
          </w:p>
        </w:tc>
        <w:tc>
          <w:tcPr>
            <w:tcW w:w="1250" w:type="pct"/>
          </w:tcPr>
          <w:p w14:paraId="3B9BEBC5" w14:textId="77777777" w:rsidR="009901C9" w:rsidRPr="00914A5F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ED7F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0.13</w:t>
            </w:r>
          </w:p>
        </w:tc>
      </w:tr>
      <w:tr w:rsidR="009901C9" w:rsidRPr="00A35186" w14:paraId="6FA42F2D" w14:textId="77777777" w:rsidTr="00C33F05">
        <w:trPr>
          <w:trHeight w:val="586"/>
        </w:trPr>
        <w:tc>
          <w:tcPr>
            <w:tcW w:w="1250" w:type="pct"/>
          </w:tcPr>
          <w:p w14:paraId="03CA3ED8" w14:textId="77777777" w:rsidR="009901C9" w:rsidRPr="00B30ABB" w:rsidRDefault="009901C9" w:rsidP="00C33F05">
            <w:pPr>
              <w:spacing w:before="40" w:after="40"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</w:pPr>
            <w:r w:rsidRPr="00B30ABB"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  <w:t>Total discounted QALYs</w:t>
            </w:r>
          </w:p>
        </w:tc>
        <w:tc>
          <w:tcPr>
            <w:tcW w:w="1250" w:type="pct"/>
          </w:tcPr>
          <w:p w14:paraId="00D9922E" w14:textId="77777777" w:rsidR="009901C9" w:rsidRPr="00914A5F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ED7F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4.03</w:t>
            </w:r>
          </w:p>
        </w:tc>
        <w:tc>
          <w:tcPr>
            <w:tcW w:w="1250" w:type="pct"/>
          </w:tcPr>
          <w:p w14:paraId="35C99A8C" w14:textId="77777777" w:rsidR="009901C9" w:rsidRPr="00914A5F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ED7F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3.88</w:t>
            </w:r>
          </w:p>
        </w:tc>
        <w:tc>
          <w:tcPr>
            <w:tcW w:w="1250" w:type="pct"/>
          </w:tcPr>
          <w:p w14:paraId="123AAA4E" w14:textId="77777777" w:rsidR="009901C9" w:rsidRPr="00914A5F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ED7F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0.14</w:t>
            </w:r>
          </w:p>
        </w:tc>
      </w:tr>
      <w:tr w:rsidR="009901C9" w:rsidRPr="00A35186" w14:paraId="24B2B214" w14:textId="77777777" w:rsidTr="00C33F05">
        <w:trPr>
          <w:trHeight w:val="586"/>
        </w:trPr>
        <w:tc>
          <w:tcPr>
            <w:tcW w:w="1250" w:type="pct"/>
          </w:tcPr>
          <w:p w14:paraId="08B2BE13" w14:textId="77777777" w:rsidR="009901C9" w:rsidRPr="00B30ABB" w:rsidRDefault="009901C9" w:rsidP="00C33F05">
            <w:pPr>
              <w:spacing w:before="40" w:after="40"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</w:pPr>
            <w:r w:rsidRPr="00B30ABB"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  <w:t>Total discounted costs</w:t>
            </w:r>
          </w:p>
        </w:tc>
        <w:tc>
          <w:tcPr>
            <w:tcW w:w="1250" w:type="pct"/>
          </w:tcPr>
          <w:p w14:paraId="4C328198" w14:textId="77777777" w:rsidR="009901C9" w:rsidRPr="00914A5F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ED7F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£14,191</w:t>
            </w:r>
          </w:p>
        </w:tc>
        <w:tc>
          <w:tcPr>
            <w:tcW w:w="1250" w:type="pct"/>
          </w:tcPr>
          <w:p w14:paraId="48A281E1" w14:textId="77777777" w:rsidR="009901C9" w:rsidRPr="00914A5F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ED7F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£12,887</w:t>
            </w:r>
          </w:p>
        </w:tc>
        <w:tc>
          <w:tcPr>
            <w:tcW w:w="1250" w:type="pct"/>
          </w:tcPr>
          <w:p w14:paraId="1D5D7087" w14:textId="77777777" w:rsidR="009901C9" w:rsidRPr="00914A5F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ED7F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£1,304</w:t>
            </w:r>
          </w:p>
        </w:tc>
      </w:tr>
      <w:tr w:rsidR="009901C9" w:rsidRPr="00A35186" w14:paraId="59EF0145" w14:textId="77777777" w:rsidTr="00C33F05">
        <w:trPr>
          <w:trHeight w:val="586"/>
        </w:trPr>
        <w:tc>
          <w:tcPr>
            <w:tcW w:w="1250" w:type="pct"/>
          </w:tcPr>
          <w:p w14:paraId="7666643B" w14:textId="77777777" w:rsidR="009901C9" w:rsidRPr="00B30ABB" w:rsidRDefault="009901C9" w:rsidP="00C33F05">
            <w:pPr>
              <w:spacing w:before="40" w:after="40"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</w:pPr>
            <w:r w:rsidRPr="00B30ABB"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  <w:t>ICER (cost/LY gained)</w:t>
            </w:r>
          </w:p>
        </w:tc>
        <w:tc>
          <w:tcPr>
            <w:tcW w:w="3750" w:type="pct"/>
            <w:gridSpan w:val="3"/>
          </w:tcPr>
          <w:p w14:paraId="512029C3" w14:textId="77777777" w:rsidR="009901C9" w:rsidRPr="00B30ABB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B30ABB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</w:t>
            </w:r>
            <w:r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10,208</w:t>
            </w:r>
          </w:p>
        </w:tc>
      </w:tr>
      <w:tr w:rsidR="009901C9" w:rsidRPr="00A35186" w14:paraId="3BEA1BF4" w14:textId="77777777" w:rsidTr="00C33F05">
        <w:trPr>
          <w:trHeight w:val="586"/>
        </w:trPr>
        <w:tc>
          <w:tcPr>
            <w:tcW w:w="1250" w:type="pct"/>
          </w:tcPr>
          <w:p w14:paraId="41108F54" w14:textId="77777777" w:rsidR="009901C9" w:rsidRPr="00B30ABB" w:rsidRDefault="009901C9" w:rsidP="00C33F05">
            <w:pPr>
              <w:spacing w:before="40" w:after="40"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</w:pPr>
            <w:r w:rsidRPr="00B30ABB"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  <w:t>ICER (cost/QALY gained)</w:t>
            </w:r>
          </w:p>
        </w:tc>
        <w:tc>
          <w:tcPr>
            <w:tcW w:w="3750" w:type="pct"/>
            <w:gridSpan w:val="3"/>
          </w:tcPr>
          <w:p w14:paraId="33576C7F" w14:textId="77777777" w:rsidR="009901C9" w:rsidRPr="00B30ABB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B30ABB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</w:t>
            </w:r>
            <w:r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9,074</w:t>
            </w:r>
          </w:p>
        </w:tc>
      </w:tr>
    </w:tbl>
    <w:p w14:paraId="1F3F34FC" w14:textId="77777777" w:rsidR="009901C9" w:rsidRPr="00B30ABB" w:rsidRDefault="009901C9" w:rsidP="009901C9">
      <w:pPr>
        <w:pStyle w:val="NoteAbbreviations"/>
        <w:spacing w:line="480" w:lineRule="auto"/>
        <w:rPr>
          <w:rFonts w:ascii="Times New Roman" w:eastAsiaTheme="minorEastAsia" w:hAnsi="Times New Roman" w:cs="Times New Roman"/>
          <w:color w:val="auto"/>
          <w:sz w:val="16"/>
          <w:szCs w:val="16"/>
          <w:lang w:val="en-US" w:eastAsia="ja-JP"/>
        </w:rPr>
      </w:pPr>
      <w:r w:rsidRPr="00B30ABB">
        <w:rPr>
          <w:rFonts w:ascii="Times New Roman" w:eastAsiaTheme="minorEastAsia" w:hAnsi="Times New Roman" w:cs="Times New Roman"/>
          <w:color w:val="auto"/>
          <w:sz w:val="16"/>
          <w:szCs w:val="16"/>
          <w:lang w:val="en-US" w:eastAsia="ja-JP"/>
        </w:rPr>
        <w:t>Note: sums may not add due to rounding</w:t>
      </w:r>
    </w:p>
    <w:p w14:paraId="56E07D1D" w14:textId="77777777" w:rsidR="009901C9" w:rsidRDefault="009901C9" w:rsidP="009901C9">
      <w:pPr>
        <w:pStyle w:val="NoteAbbreviations"/>
        <w:spacing w:line="480" w:lineRule="auto"/>
      </w:pPr>
      <w:r w:rsidRPr="00B30ABB">
        <w:rPr>
          <w:rFonts w:ascii="Times New Roman" w:eastAsiaTheme="minorEastAsia" w:hAnsi="Times New Roman" w:cs="Times New Roman"/>
          <w:color w:val="auto"/>
          <w:sz w:val="16"/>
          <w:szCs w:val="16"/>
          <w:lang w:val="en-US" w:eastAsia="ja-JP"/>
        </w:rPr>
        <w:t>Abbreviations: ICER, incremental cost-effectiveness ratio; LY, life-years; QALY, quality-adjusted life-year</w:t>
      </w:r>
    </w:p>
    <w:p w14:paraId="7D2CAC01" w14:textId="77777777" w:rsidR="009901C9" w:rsidRPr="00B30ABB" w:rsidRDefault="009901C9" w:rsidP="009901C9">
      <w:pPr>
        <w:pStyle w:val="Caption"/>
        <w:keepNext/>
        <w:keepLines/>
        <w:spacing w:line="480" w:lineRule="auto"/>
        <w:rPr>
          <w:rFonts w:ascii="Times New Roman" w:eastAsiaTheme="minorEastAsia" w:hAnsi="Times New Roman" w:cs="Times New Roman"/>
          <w:i w:val="0"/>
          <w:iCs w:val="0"/>
          <w:color w:val="auto"/>
          <w:sz w:val="22"/>
          <w:szCs w:val="22"/>
          <w:lang w:val="en-US" w:eastAsia="ja-JP"/>
        </w:rPr>
      </w:pPr>
      <w:r w:rsidRPr="00B30ABB">
        <w:rPr>
          <w:rFonts w:ascii="Times New Roman" w:eastAsiaTheme="minorEastAsia" w:hAnsi="Times New Roman" w:cs="Times New Roman"/>
          <w:b/>
          <w:bCs/>
          <w:i w:val="0"/>
          <w:iCs w:val="0"/>
          <w:color w:val="auto"/>
          <w:sz w:val="22"/>
          <w:szCs w:val="22"/>
          <w:lang w:val="en-US" w:eastAsia="ja-JP"/>
        </w:rPr>
        <w:t xml:space="preserve">Table </w:t>
      </w:r>
      <w:r>
        <w:rPr>
          <w:rFonts w:ascii="Times New Roman" w:eastAsiaTheme="minorEastAsia" w:hAnsi="Times New Roman" w:cs="Times New Roman"/>
          <w:b/>
          <w:bCs/>
          <w:i w:val="0"/>
          <w:iCs w:val="0"/>
          <w:color w:val="auto"/>
          <w:sz w:val="22"/>
          <w:szCs w:val="22"/>
          <w:lang w:val="en-US" w:eastAsia="ja-JP"/>
        </w:rPr>
        <w:t>S5</w:t>
      </w:r>
      <w:r w:rsidRPr="00B30ABB">
        <w:rPr>
          <w:rFonts w:ascii="Times New Roman" w:eastAsiaTheme="minorEastAsia" w:hAnsi="Times New Roman" w:cs="Times New Roman"/>
          <w:b/>
          <w:bCs/>
          <w:i w:val="0"/>
          <w:iCs w:val="0"/>
          <w:color w:val="auto"/>
          <w:sz w:val="22"/>
          <w:szCs w:val="22"/>
          <w:lang w:val="en-US" w:eastAsia="ja-JP"/>
        </w:rPr>
        <w:t>.</w:t>
      </w:r>
      <w:r w:rsidRPr="00B30ABB">
        <w:rPr>
          <w:rFonts w:ascii="Times New Roman" w:eastAsiaTheme="minorEastAsia" w:hAnsi="Times New Roman" w:cs="Times New Roman"/>
          <w:i w:val="0"/>
          <w:iCs w:val="0"/>
          <w:color w:val="auto"/>
          <w:sz w:val="22"/>
          <w:szCs w:val="22"/>
          <w:lang w:val="en-US" w:eastAsia="ja-JP"/>
        </w:rPr>
        <w:t xml:space="preserve"> </w:t>
      </w:r>
      <w:r>
        <w:rPr>
          <w:rFonts w:ascii="Times New Roman" w:eastAsiaTheme="minorEastAsia" w:hAnsi="Times New Roman" w:cs="Times New Roman"/>
          <w:i w:val="0"/>
          <w:iCs w:val="0"/>
          <w:color w:val="auto"/>
          <w:sz w:val="22"/>
          <w:szCs w:val="22"/>
          <w:lang w:val="en-US" w:eastAsia="ja-JP"/>
        </w:rPr>
        <w:t>Scenario analysis</w:t>
      </w:r>
      <w:r w:rsidRPr="00B30ABB">
        <w:rPr>
          <w:rFonts w:ascii="Times New Roman" w:eastAsiaTheme="minorEastAsia" w:hAnsi="Times New Roman" w:cs="Times New Roman"/>
          <w:i w:val="0"/>
          <w:iCs w:val="0"/>
          <w:color w:val="auto"/>
          <w:sz w:val="22"/>
          <w:szCs w:val="22"/>
          <w:lang w:val="en-US" w:eastAsia="ja-JP"/>
        </w:rPr>
        <w:t xml:space="preserve"> </w:t>
      </w:r>
      <w:r>
        <w:rPr>
          <w:rFonts w:ascii="Times New Roman" w:eastAsiaTheme="minorEastAsia" w:hAnsi="Times New Roman" w:cs="Times New Roman"/>
          <w:i w:val="0"/>
          <w:iCs w:val="0"/>
          <w:color w:val="auto"/>
          <w:sz w:val="22"/>
          <w:szCs w:val="22"/>
          <w:lang w:val="en-US" w:eastAsia="ja-JP"/>
        </w:rPr>
        <w:t xml:space="preserve">(equal split between </w:t>
      </w:r>
      <w:r w:rsidRPr="00C832EC">
        <w:rPr>
          <w:rFonts w:ascii="Times New Roman" w:eastAsiaTheme="minorEastAsia" w:hAnsi="Times New Roman" w:cs="Times New Roman"/>
          <w:i w:val="0"/>
          <w:iCs w:val="0"/>
          <w:color w:val="auto"/>
          <w:sz w:val="22"/>
          <w:szCs w:val="22"/>
          <w:lang w:val="en-US" w:eastAsia="ja-JP"/>
        </w:rPr>
        <w:t>the HFrEF and HF LVEF&gt;40%</w:t>
      </w:r>
      <w:r>
        <w:rPr>
          <w:rFonts w:ascii="Times New Roman" w:eastAsiaTheme="minorEastAsia" w:hAnsi="Times New Roman" w:cs="Times New Roman"/>
          <w:i w:val="0"/>
          <w:iCs w:val="0"/>
          <w:color w:val="auto"/>
          <w:sz w:val="22"/>
          <w:szCs w:val="22"/>
          <w:lang w:val="en-US" w:eastAsia="ja-JP"/>
        </w:rPr>
        <w:t xml:space="preserve">) </w:t>
      </w:r>
      <w:r w:rsidRPr="00B30ABB">
        <w:rPr>
          <w:rFonts w:ascii="Times New Roman" w:eastAsiaTheme="minorEastAsia" w:hAnsi="Times New Roman" w:cs="Times New Roman"/>
          <w:i w:val="0"/>
          <w:iCs w:val="0"/>
          <w:color w:val="auto"/>
          <w:sz w:val="22"/>
          <w:szCs w:val="22"/>
          <w:lang w:val="en-US" w:eastAsia="ja-JP"/>
        </w:rPr>
        <w:t>breakdown of average costs per patient for the overall HF population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9901C9" w:rsidRPr="00C60D3D" w14:paraId="45B611DA" w14:textId="77777777" w:rsidTr="00C33F05">
        <w:trPr>
          <w:trHeight w:val="586"/>
          <w:tblHeader/>
        </w:trPr>
        <w:tc>
          <w:tcPr>
            <w:tcW w:w="1250" w:type="pct"/>
          </w:tcPr>
          <w:p w14:paraId="35CFA6D6" w14:textId="77777777" w:rsidR="009901C9" w:rsidRPr="004507E1" w:rsidRDefault="009901C9" w:rsidP="00C33F05">
            <w:pPr>
              <w:spacing w:before="40" w:after="40" w:line="480" w:lineRule="auto"/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  <w:t>Disaggregated costs</w:t>
            </w:r>
          </w:p>
        </w:tc>
        <w:tc>
          <w:tcPr>
            <w:tcW w:w="1250" w:type="pct"/>
          </w:tcPr>
          <w:p w14:paraId="7A403EF9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 w:val="20"/>
                <w:szCs w:val="20"/>
              </w:rPr>
              <w:t>Empagliflozin + SoC</w:t>
            </w:r>
          </w:p>
        </w:tc>
        <w:tc>
          <w:tcPr>
            <w:tcW w:w="1250" w:type="pct"/>
          </w:tcPr>
          <w:p w14:paraId="0DBCD17E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 w:val="20"/>
                <w:szCs w:val="20"/>
              </w:rPr>
              <w:t>SoC</w:t>
            </w:r>
          </w:p>
        </w:tc>
        <w:tc>
          <w:tcPr>
            <w:tcW w:w="1250" w:type="pct"/>
          </w:tcPr>
          <w:p w14:paraId="1FBD8C24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b/>
                <w:bCs/>
                <w:noProof/>
                <w:color w:val="auto"/>
                <w:sz w:val="20"/>
                <w:szCs w:val="20"/>
              </w:rPr>
              <w:t>Incremental</w:t>
            </w:r>
          </w:p>
        </w:tc>
      </w:tr>
      <w:tr w:rsidR="009901C9" w:rsidRPr="00C60D3D" w14:paraId="611BD4E2" w14:textId="77777777" w:rsidTr="00C33F05">
        <w:trPr>
          <w:trHeight w:val="586"/>
        </w:trPr>
        <w:tc>
          <w:tcPr>
            <w:tcW w:w="1250" w:type="pct"/>
          </w:tcPr>
          <w:p w14:paraId="74D7AAB0" w14:textId="77777777" w:rsidR="009901C9" w:rsidRPr="004507E1" w:rsidRDefault="009901C9" w:rsidP="00C33F05">
            <w:pPr>
              <w:spacing w:before="40" w:after="40" w:line="480" w:lineRule="auto"/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  <w:t>Drug acquisition</w:t>
            </w:r>
          </w:p>
        </w:tc>
        <w:tc>
          <w:tcPr>
            <w:tcW w:w="1250" w:type="pct"/>
          </w:tcPr>
          <w:p w14:paraId="10BC219E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ED7FCA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£3,806</w:t>
            </w:r>
          </w:p>
        </w:tc>
        <w:tc>
          <w:tcPr>
            <w:tcW w:w="1250" w:type="pct"/>
          </w:tcPr>
          <w:p w14:paraId="1C6271A8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ED7FCA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£2,171</w:t>
            </w:r>
          </w:p>
        </w:tc>
        <w:tc>
          <w:tcPr>
            <w:tcW w:w="1250" w:type="pct"/>
          </w:tcPr>
          <w:p w14:paraId="07AF09E9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ED7FCA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£1,635</w:t>
            </w:r>
          </w:p>
        </w:tc>
      </w:tr>
      <w:tr w:rsidR="009901C9" w:rsidRPr="00C60D3D" w14:paraId="4124547B" w14:textId="77777777" w:rsidTr="00C33F05">
        <w:trPr>
          <w:trHeight w:val="586"/>
        </w:trPr>
        <w:tc>
          <w:tcPr>
            <w:tcW w:w="1250" w:type="pct"/>
          </w:tcPr>
          <w:p w14:paraId="03C2C682" w14:textId="77777777" w:rsidR="009901C9" w:rsidRPr="004507E1" w:rsidRDefault="009901C9" w:rsidP="00C33F05">
            <w:pPr>
              <w:spacing w:before="40" w:after="40" w:line="480" w:lineRule="auto"/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  <w:t>hHF management</w:t>
            </w:r>
          </w:p>
        </w:tc>
        <w:tc>
          <w:tcPr>
            <w:tcW w:w="1250" w:type="pct"/>
          </w:tcPr>
          <w:p w14:paraId="62462BFC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ED7FCA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£2,389</w:t>
            </w:r>
          </w:p>
        </w:tc>
        <w:tc>
          <w:tcPr>
            <w:tcW w:w="1250" w:type="pct"/>
          </w:tcPr>
          <w:p w14:paraId="39125CAE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ED7FCA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£2,755</w:t>
            </w:r>
          </w:p>
        </w:tc>
        <w:tc>
          <w:tcPr>
            <w:tcW w:w="1250" w:type="pct"/>
          </w:tcPr>
          <w:p w14:paraId="107A5BE7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ED7FCA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-£366</w:t>
            </w:r>
          </w:p>
        </w:tc>
      </w:tr>
      <w:tr w:rsidR="009901C9" w:rsidRPr="00C60D3D" w14:paraId="14F5D063" w14:textId="77777777" w:rsidTr="00C33F05">
        <w:trPr>
          <w:trHeight w:val="586"/>
        </w:trPr>
        <w:tc>
          <w:tcPr>
            <w:tcW w:w="1250" w:type="pct"/>
          </w:tcPr>
          <w:p w14:paraId="29C9C8EE" w14:textId="77777777" w:rsidR="009901C9" w:rsidRPr="004507E1" w:rsidRDefault="009901C9" w:rsidP="00C33F05">
            <w:pPr>
              <w:spacing w:before="40" w:after="40" w:line="480" w:lineRule="auto"/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  <w:t>CV death management</w:t>
            </w:r>
          </w:p>
        </w:tc>
        <w:tc>
          <w:tcPr>
            <w:tcW w:w="1250" w:type="pct"/>
          </w:tcPr>
          <w:p w14:paraId="3D2E088F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ED7FCA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£1,897</w:t>
            </w:r>
          </w:p>
        </w:tc>
        <w:tc>
          <w:tcPr>
            <w:tcW w:w="1250" w:type="pct"/>
          </w:tcPr>
          <w:p w14:paraId="2A0B3556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ED7FCA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£1,950</w:t>
            </w:r>
          </w:p>
        </w:tc>
        <w:tc>
          <w:tcPr>
            <w:tcW w:w="1250" w:type="pct"/>
          </w:tcPr>
          <w:p w14:paraId="0B09E07D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ED7FCA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-£53</w:t>
            </w:r>
          </w:p>
        </w:tc>
      </w:tr>
      <w:tr w:rsidR="009901C9" w:rsidRPr="00C60D3D" w14:paraId="32226B49" w14:textId="77777777" w:rsidTr="00C33F05">
        <w:trPr>
          <w:trHeight w:val="586"/>
        </w:trPr>
        <w:tc>
          <w:tcPr>
            <w:tcW w:w="1250" w:type="pct"/>
          </w:tcPr>
          <w:p w14:paraId="3548298D" w14:textId="77777777" w:rsidR="009901C9" w:rsidRPr="004507E1" w:rsidRDefault="009901C9" w:rsidP="00C33F05">
            <w:pPr>
              <w:spacing w:before="40" w:after="40" w:line="480" w:lineRule="auto"/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  <w:t>AE management</w:t>
            </w:r>
          </w:p>
        </w:tc>
        <w:tc>
          <w:tcPr>
            <w:tcW w:w="1250" w:type="pct"/>
          </w:tcPr>
          <w:p w14:paraId="2C6ED9EB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ED7FCA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£1,737</w:t>
            </w:r>
          </w:p>
        </w:tc>
        <w:tc>
          <w:tcPr>
            <w:tcW w:w="1250" w:type="pct"/>
          </w:tcPr>
          <w:p w14:paraId="33AAE217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ED7FCA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£1,752</w:t>
            </w:r>
          </w:p>
        </w:tc>
        <w:tc>
          <w:tcPr>
            <w:tcW w:w="1250" w:type="pct"/>
          </w:tcPr>
          <w:p w14:paraId="3DB05E67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ED7FCA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-£15</w:t>
            </w:r>
          </w:p>
        </w:tc>
      </w:tr>
      <w:tr w:rsidR="009901C9" w:rsidRPr="00C60D3D" w14:paraId="74A19310" w14:textId="77777777" w:rsidTr="00C33F05">
        <w:trPr>
          <w:trHeight w:val="586"/>
        </w:trPr>
        <w:tc>
          <w:tcPr>
            <w:tcW w:w="1250" w:type="pct"/>
          </w:tcPr>
          <w:p w14:paraId="6D7AAF80" w14:textId="77777777" w:rsidR="009901C9" w:rsidRPr="004507E1" w:rsidRDefault="009901C9" w:rsidP="00C33F05">
            <w:pPr>
              <w:spacing w:before="40" w:after="40" w:line="480" w:lineRule="auto"/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  <w:t>Disease management</w:t>
            </w:r>
          </w:p>
        </w:tc>
        <w:tc>
          <w:tcPr>
            <w:tcW w:w="1250" w:type="pct"/>
          </w:tcPr>
          <w:p w14:paraId="16ABB57E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ED7FCA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£4,362</w:t>
            </w:r>
          </w:p>
        </w:tc>
        <w:tc>
          <w:tcPr>
            <w:tcW w:w="1250" w:type="pct"/>
          </w:tcPr>
          <w:p w14:paraId="545E5D24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ED7FCA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£4,259</w:t>
            </w:r>
          </w:p>
        </w:tc>
        <w:tc>
          <w:tcPr>
            <w:tcW w:w="1250" w:type="pct"/>
          </w:tcPr>
          <w:p w14:paraId="43281B06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ED7FCA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£103</w:t>
            </w:r>
          </w:p>
        </w:tc>
      </w:tr>
      <w:tr w:rsidR="009901C9" w:rsidRPr="00C60D3D" w14:paraId="2A338F79" w14:textId="77777777" w:rsidTr="00C33F05">
        <w:trPr>
          <w:trHeight w:val="586"/>
        </w:trPr>
        <w:tc>
          <w:tcPr>
            <w:tcW w:w="1250" w:type="pct"/>
          </w:tcPr>
          <w:p w14:paraId="7593BD80" w14:textId="77777777" w:rsidR="009901C9" w:rsidRPr="004507E1" w:rsidRDefault="009901C9" w:rsidP="00C33F05">
            <w:pPr>
              <w:spacing w:before="40" w:after="40" w:line="480" w:lineRule="auto"/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</w:pPr>
            <w:r w:rsidRPr="004507E1">
              <w:rPr>
                <w:rFonts w:ascii="Times New Roman" w:eastAsia="Arial" w:hAnsi="Times New Roman" w:cs="Times New Roman"/>
                <w:b/>
                <w:bCs/>
                <w:noProof/>
                <w:sz w:val="20"/>
                <w:szCs w:val="20"/>
              </w:rPr>
              <w:t>Total</w:t>
            </w:r>
          </w:p>
        </w:tc>
        <w:tc>
          <w:tcPr>
            <w:tcW w:w="1250" w:type="pct"/>
          </w:tcPr>
          <w:p w14:paraId="3FD9DEE5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ED7FCA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£14,191</w:t>
            </w:r>
          </w:p>
        </w:tc>
        <w:tc>
          <w:tcPr>
            <w:tcW w:w="1250" w:type="pct"/>
          </w:tcPr>
          <w:p w14:paraId="2448D9B9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ED7FCA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£12,887</w:t>
            </w:r>
          </w:p>
        </w:tc>
        <w:tc>
          <w:tcPr>
            <w:tcW w:w="1250" w:type="pct"/>
          </w:tcPr>
          <w:p w14:paraId="19D56294" w14:textId="77777777" w:rsidR="009901C9" w:rsidRPr="004507E1" w:rsidRDefault="009901C9" w:rsidP="00C33F05">
            <w:pPr>
              <w:pStyle w:val="Tabletextcentered"/>
              <w:spacing w:before="40" w:after="40" w:line="480" w:lineRule="auto"/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</w:pPr>
            <w:r w:rsidRPr="00ED7FCA">
              <w:rPr>
                <w:rFonts w:ascii="Times New Roman" w:eastAsia="Arial" w:hAnsi="Times New Roman" w:cs="Times New Roman"/>
                <w:noProof/>
                <w:color w:val="auto"/>
                <w:sz w:val="20"/>
                <w:szCs w:val="20"/>
              </w:rPr>
              <w:t>£1,304</w:t>
            </w:r>
          </w:p>
        </w:tc>
      </w:tr>
    </w:tbl>
    <w:p w14:paraId="1713E848" w14:textId="77777777" w:rsidR="009901C9" w:rsidRPr="00B30ABB" w:rsidRDefault="009901C9" w:rsidP="009901C9">
      <w:pPr>
        <w:pStyle w:val="NoteAbbreviations"/>
        <w:spacing w:line="480" w:lineRule="auto"/>
        <w:rPr>
          <w:rFonts w:ascii="Times New Roman" w:eastAsiaTheme="minorEastAsia" w:hAnsi="Times New Roman" w:cs="Times New Roman"/>
          <w:color w:val="auto"/>
          <w:sz w:val="16"/>
          <w:szCs w:val="16"/>
          <w:lang w:val="en-US" w:eastAsia="ja-JP"/>
        </w:rPr>
      </w:pPr>
      <w:r w:rsidRPr="00B30ABB">
        <w:rPr>
          <w:rFonts w:ascii="Times New Roman" w:eastAsiaTheme="minorEastAsia" w:hAnsi="Times New Roman" w:cs="Times New Roman"/>
          <w:color w:val="auto"/>
          <w:sz w:val="16"/>
          <w:szCs w:val="16"/>
          <w:lang w:val="en-US" w:eastAsia="ja-JP"/>
        </w:rPr>
        <w:lastRenderedPageBreak/>
        <w:t>Note: sums may not add due to rounding</w:t>
      </w:r>
    </w:p>
    <w:p w14:paraId="55D11B79" w14:textId="71C2C508" w:rsidR="006B77AE" w:rsidRDefault="009901C9" w:rsidP="009901C9">
      <w:r w:rsidRPr="00B30ABB">
        <w:rPr>
          <w:rFonts w:ascii="Times New Roman" w:eastAsiaTheme="minorEastAsia" w:hAnsi="Times New Roman" w:cs="Times New Roman"/>
          <w:sz w:val="16"/>
          <w:szCs w:val="16"/>
          <w:lang w:val="en-US" w:eastAsia="ja-JP"/>
        </w:rPr>
        <w:t>Abbreviations: AE, ad</w:t>
      </w:r>
    </w:p>
    <w:sectPr w:rsidR="006B77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C9"/>
    <w:rsid w:val="006B77AE"/>
    <w:rsid w:val="0099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8A9D8"/>
  <w15:chartTrackingRefBased/>
  <w15:docId w15:val="{F47C0391-0A44-4CDD-A2B1-B108236B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1C9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1C9"/>
    <w:pPr>
      <w:keepNext/>
      <w:keepLines/>
      <w:widowControl w:val="0"/>
      <w:spacing w:before="240" w:after="0" w:line="36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1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9901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9901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link w:val="BodyCopyChar"/>
    <w:qFormat/>
    <w:rsid w:val="009901C9"/>
    <w:pPr>
      <w:spacing w:after="240" w:line="276" w:lineRule="auto"/>
      <w:jc w:val="both"/>
    </w:pPr>
    <w:rPr>
      <w:rFonts w:ascii="Arial Nova Light" w:hAnsi="Arial Nova Light" w:cs="Arial"/>
      <w:color w:val="2B3A42"/>
    </w:rPr>
  </w:style>
  <w:style w:type="character" w:customStyle="1" w:styleId="BodyCopyChar">
    <w:name w:val="Body Copy Char"/>
    <w:basedOn w:val="DefaultParagraphFont"/>
    <w:link w:val="BodyCopy"/>
    <w:rsid w:val="009901C9"/>
    <w:rPr>
      <w:rFonts w:ascii="Arial Nova Light" w:hAnsi="Arial Nova Light" w:cs="Arial"/>
      <w:color w:val="2B3A42"/>
      <w:lang w:val="en-GB"/>
    </w:rPr>
  </w:style>
  <w:style w:type="paragraph" w:customStyle="1" w:styleId="NoteAbbreviations">
    <w:name w:val="Note/Abbreviations"/>
    <w:basedOn w:val="Normal"/>
    <w:link w:val="NoteAbbreviationsChar"/>
    <w:uiPriority w:val="2"/>
    <w:qFormat/>
    <w:rsid w:val="009901C9"/>
    <w:pPr>
      <w:spacing w:after="240" w:line="276" w:lineRule="auto"/>
      <w:contextualSpacing/>
      <w:jc w:val="both"/>
    </w:pPr>
    <w:rPr>
      <w:rFonts w:ascii="Arial Nova Light" w:hAnsi="Arial Nova Light" w:cs="Arial"/>
      <w:color w:val="2B3A42"/>
      <w:sz w:val="18"/>
    </w:rPr>
  </w:style>
  <w:style w:type="character" w:customStyle="1" w:styleId="NoteAbbreviationsChar">
    <w:name w:val="Note/Abbreviations Char"/>
    <w:basedOn w:val="DefaultParagraphFont"/>
    <w:link w:val="NoteAbbreviations"/>
    <w:uiPriority w:val="2"/>
    <w:rsid w:val="009901C9"/>
    <w:rPr>
      <w:rFonts w:ascii="Arial Nova Light" w:hAnsi="Arial Nova Light" w:cs="Arial"/>
      <w:color w:val="2B3A42"/>
      <w:sz w:val="18"/>
      <w:lang w:val="en-GB"/>
    </w:rPr>
  </w:style>
  <w:style w:type="paragraph" w:customStyle="1" w:styleId="Tabletextcentered">
    <w:name w:val="Table text (centered)"/>
    <w:basedOn w:val="Normal"/>
    <w:link w:val="TabletextcenteredChar"/>
    <w:uiPriority w:val="2"/>
    <w:qFormat/>
    <w:rsid w:val="009901C9"/>
    <w:pPr>
      <w:spacing w:after="0" w:line="240" w:lineRule="auto"/>
      <w:jc w:val="center"/>
    </w:pPr>
    <w:rPr>
      <w:rFonts w:ascii="Arial" w:hAnsi="Arial" w:cs="Arial"/>
      <w:color w:val="2B3A42"/>
    </w:rPr>
  </w:style>
  <w:style w:type="character" w:customStyle="1" w:styleId="TabletextcenteredChar">
    <w:name w:val="Table text (centered) Char"/>
    <w:basedOn w:val="DefaultParagraphFont"/>
    <w:link w:val="Tabletextcentered"/>
    <w:uiPriority w:val="2"/>
    <w:rsid w:val="009901C9"/>
    <w:rPr>
      <w:rFonts w:ascii="Arial" w:hAnsi="Arial" w:cs="Arial"/>
      <w:color w:val="2B3A4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Kolovos, Spyros</dc:creator>
  <cp:keywords/>
  <dc:description/>
  <cp:lastModifiedBy>Kolovos, Spyros</cp:lastModifiedBy>
  <cp:revision>1</cp:revision>
  <dcterms:created xsi:type="dcterms:W3CDTF">2022-10-28T10:21:00Z</dcterms:created>
  <dcterms:modified xsi:type="dcterms:W3CDTF">2022-10-28T10:21:00Z</dcterms:modified>
</cp:coreProperties>
</file>