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4243" w14:textId="299C3116" w:rsidR="00017BF8" w:rsidRPr="0015134B" w:rsidRDefault="00154D70" w:rsidP="00154D70">
      <w:pPr>
        <w:jc w:val="center"/>
        <w:rPr>
          <w:b/>
          <w:bCs/>
          <w:sz w:val="20"/>
          <w:szCs w:val="20"/>
        </w:rPr>
      </w:pPr>
      <w:r w:rsidRPr="0015134B">
        <w:rPr>
          <w:b/>
          <w:bCs/>
          <w:sz w:val="20"/>
          <w:szCs w:val="20"/>
        </w:rPr>
        <w:t xml:space="preserve">SUPPLEMENTAL APPENDIX </w:t>
      </w:r>
    </w:p>
    <w:p w14:paraId="6813E3B2" w14:textId="77777777" w:rsidR="00154D70" w:rsidRPr="0015134B" w:rsidRDefault="00154D70" w:rsidP="00154D70">
      <w:pPr>
        <w:jc w:val="center"/>
        <w:rPr>
          <w:b/>
          <w:bCs/>
          <w:sz w:val="20"/>
          <w:szCs w:val="20"/>
        </w:rPr>
      </w:pPr>
    </w:p>
    <w:p w14:paraId="05158B4C" w14:textId="77777777" w:rsidR="00BC0892" w:rsidRPr="0015134B" w:rsidRDefault="00BC0892" w:rsidP="00BC0892">
      <w:pPr>
        <w:jc w:val="center"/>
        <w:rPr>
          <w:rFonts w:cs="Arial"/>
          <w:b/>
          <w:sz w:val="20"/>
          <w:szCs w:val="20"/>
        </w:rPr>
      </w:pPr>
      <w:r w:rsidRPr="0015134B">
        <w:rPr>
          <w:rFonts w:cs="Arial"/>
          <w:b/>
          <w:sz w:val="20"/>
          <w:szCs w:val="20"/>
        </w:rPr>
        <w:t>Association between a hospitalization for heart failure and the initiation/discontinuation of guideline-recommended treatments - An analysis from the Swedish heart failure registry</w:t>
      </w:r>
    </w:p>
    <w:p w14:paraId="7118B04E" w14:textId="77777777" w:rsidR="00813186" w:rsidRPr="0015134B" w:rsidRDefault="00813186" w:rsidP="00154D70">
      <w:pPr>
        <w:jc w:val="center"/>
        <w:rPr>
          <w:rFonts w:cs="Arial"/>
          <w:b/>
          <w:sz w:val="20"/>
          <w:szCs w:val="20"/>
        </w:rPr>
      </w:pPr>
    </w:p>
    <w:p w14:paraId="7D39D7C1" w14:textId="3A10153C" w:rsidR="00154D70" w:rsidRPr="0015134B" w:rsidRDefault="00154D70" w:rsidP="00154D70">
      <w:pPr>
        <w:jc w:val="center"/>
        <w:rPr>
          <w:sz w:val="20"/>
          <w:szCs w:val="20"/>
        </w:rPr>
      </w:pPr>
      <w:r w:rsidRPr="0015134B">
        <w:rPr>
          <w:sz w:val="20"/>
          <w:szCs w:val="20"/>
        </w:rPr>
        <w:t>Schrage B et al.</w:t>
      </w:r>
    </w:p>
    <w:p w14:paraId="160B7F4F" w14:textId="521FAB60" w:rsidR="00154D70" w:rsidRPr="0015134B" w:rsidRDefault="00154D70">
      <w:pPr>
        <w:spacing w:line="240" w:lineRule="auto"/>
        <w:jc w:val="left"/>
        <w:rPr>
          <w:sz w:val="20"/>
          <w:szCs w:val="20"/>
        </w:rPr>
      </w:pPr>
      <w:r w:rsidRPr="0015134B">
        <w:rPr>
          <w:sz w:val="20"/>
          <w:szCs w:val="20"/>
        </w:rPr>
        <w:br w:type="page"/>
      </w:r>
    </w:p>
    <w:p w14:paraId="68BC593E" w14:textId="59709ACB" w:rsidR="00F37F39" w:rsidRPr="0015134B" w:rsidRDefault="00F37F39" w:rsidP="00187FD6">
      <w:pPr>
        <w:rPr>
          <w:i/>
          <w:iCs/>
          <w:sz w:val="20"/>
          <w:szCs w:val="20"/>
        </w:rPr>
      </w:pPr>
      <w:r w:rsidRPr="0015134B">
        <w:rPr>
          <w:i/>
          <w:iCs/>
          <w:sz w:val="20"/>
          <w:szCs w:val="20"/>
        </w:rPr>
        <w:lastRenderedPageBreak/>
        <w:t>SwedeHF Study cohort</w:t>
      </w:r>
    </w:p>
    <w:p w14:paraId="5600809C" w14:textId="6799FDF4" w:rsidR="00F37F39" w:rsidRPr="0015134B" w:rsidRDefault="00F37F39" w:rsidP="00F37F39">
      <w:pPr>
        <w:ind w:firstLine="708"/>
        <w:rPr>
          <w:rFonts w:cs="Arial"/>
          <w:iCs/>
          <w:sz w:val="20"/>
          <w:szCs w:val="20"/>
        </w:rPr>
      </w:pPr>
      <w:r w:rsidRPr="0015134B">
        <w:rPr>
          <w:rFonts w:cs="Arial"/>
          <w:iCs/>
          <w:sz w:val="20"/>
          <w:szCs w:val="20"/>
        </w:rPr>
        <w:t>SwedeHF is an ongoing nationwide registry prospectively enrolling in- and out-patients since May 11th 2000. Until April 2017, clinician-judged HF was the only enrollment criterion. Thereafter, patients were enrolled when a HF diagnosis according to the International Statistical Classification of Diseases, Tenth Revision (ICD-10) codes I50.0, I50.1, I50.9, I42.0, I42.6, I42.7, I25.5, I11.0, I13.0, I13.2 was recorded. Beyond the ~80 variables which are recorded at index date (day of hospital discharge for in-patients and of an out-patient visit for out-patients) in SwedeHF, further data were obtained by linkage with other nationwide registries through the Swedish Personal Identification Number, i.e., to the National Patient Register which provided additional comorbidities and data on hospitalizations, to Statistics Sweden which collects socioeconomic data, to the National Prescribed Drug Register which provided data on the dispensed treatments, and to the Cause of Death Register which reports date and cause of death. Further information on this study, e.g., the definition of comorbidities via ICD-10 codes, is provided at https://kiheartfailure.github.io/shfdb3/.</w:t>
      </w:r>
    </w:p>
    <w:p w14:paraId="6C52CCCB" w14:textId="77777777" w:rsidR="00F37F39" w:rsidRPr="0015134B" w:rsidRDefault="00F37F39" w:rsidP="00F37F39">
      <w:pPr>
        <w:ind w:firstLine="708"/>
        <w:rPr>
          <w:rFonts w:cs="Arial"/>
          <w:iCs/>
          <w:sz w:val="20"/>
          <w:szCs w:val="20"/>
        </w:rPr>
      </w:pPr>
      <w:r w:rsidRPr="0015134B">
        <w:rPr>
          <w:rFonts w:cs="Arial"/>
          <w:iCs/>
          <w:sz w:val="20"/>
          <w:szCs w:val="20"/>
        </w:rPr>
        <w:t>This study, including the linkage of SwedeHF to other nationwide registries, was approved by the Swedish Ethical Review Authority and was designed and conducted in agreement with the Declaration of Helsinki. Individual patient consent is not requested, but patients are informed about enrollment and can opt out.</w:t>
      </w:r>
    </w:p>
    <w:p w14:paraId="1C6A1D13" w14:textId="77777777" w:rsidR="00F37F39" w:rsidRPr="0015134B" w:rsidRDefault="00F37F39" w:rsidP="00187FD6">
      <w:pPr>
        <w:rPr>
          <w:i/>
          <w:iCs/>
          <w:sz w:val="20"/>
          <w:szCs w:val="20"/>
        </w:rPr>
        <w:sectPr w:rsidR="00F37F39" w:rsidRPr="0015134B" w:rsidSect="007D3733">
          <w:footerReference w:type="even" r:id="rId6"/>
          <w:footerReference w:type="default" r:id="rId7"/>
          <w:pgSz w:w="11900" w:h="16840"/>
          <w:pgMar w:top="1417" w:right="1417" w:bottom="1134" w:left="1417" w:header="708" w:footer="708" w:gutter="0"/>
          <w:lnNumType w:countBy="1" w:restart="continuous"/>
          <w:cols w:space="708"/>
          <w:docGrid w:linePitch="360"/>
        </w:sectPr>
      </w:pPr>
    </w:p>
    <w:p w14:paraId="2AE09F11" w14:textId="21A466F9" w:rsidR="00187FD6" w:rsidRPr="0015134B" w:rsidRDefault="00154D70" w:rsidP="00187FD6">
      <w:pPr>
        <w:rPr>
          <w:sz w:val="20"/>
          <w:szCs w:val="20"/>
        </w:rPr>
      </w:pPr>
      <w:r w:rsidRPr="0015134B">
        <w:rPr>
          <w:i/>
          <w:iCs/>
          <w:sz w:val="20"/>
          <w:szCs w:val="20"/>
        </w:rPr>
        <w:lastRenderedPageBreak/>
        <w:t xml:space="preserve">Supplement </w:t>
      </w:r>
      <w:r w:rsidR="00E03075" w:rsidRPr="0015134B">
        <w:rPr>
          <w:i/>
          <w:iCs/>
          <w:sz w:val="20"/>
          <w:szCs w:val="20"/>
        </w:rPr>
        <w:t>T</w:t>
      </w:r>
      <w:r w:rsidRPr="0015134B">
        <w:rPr>
          <w:i/>
          <w:iCs/>
          <w:sz w:val="20"/>
          <w:szCs w:val="20"/>
        </w:rPr>
        <w:t>able 1.</w:t>
      </w:r>
      <w:r w:rsidRPr="0015134B">
        <w:rPr>
          <w:sz w:val="20"/>
          <w:szCs w:val="20"/>
        </w:rPr>
        <w:t xml:space="preserve"> </w:t>
      </w:r>
      <w:r w:rsidR="00187FD6" w:rsidRPr="0015134B">
        <w:rPr>
          <w:sz w:val="20"/>
          <w:szCs w:val="20"/>
        </w:rPr>
        <w:t xml:space="preserve">Association between a heart failure hospitalization and initiation/discontinuation of heart failure treatments stratified by </w:t>
      </w:r>
      <w:r w:rsidR="00F6491B" w:rsidRPr="0015134B">
        <w:rPr>
          <w:sz w:val="20"/>
          <w:szCs w:val="20"/>
        </w:rPr>
        <w:t>renal function in three strata</w:t>
      </w:r>
      <w:r w:rsidR="00187FD6" w:rsidRPr="0015134B">
        <w:rPr>
          <w:sz w:val="20"/>
          <w:szCs w:val="20"/>
        </w:rPr>
        <w:t>.</w:t>
      </w:r>
    </w:p>
    <w:tbl>
      <w:tblPr>
        <w:tblStyle w:val="Tabellenraster"/>
        <w:tblW w:w="9067" w:type="dxa"/>
        <w:tblLook w:val="04A0" w:firstRow="1" w:lastRow="0" w:firstColumn="1" w:lastColumn="0" w:noHBand="0" w:noVBand="1"/>
      </w:tblPr>
      <w:tblGrid>
        <w:gridCol w:w="2689"/>
        <w:gridCol w:w="1063"/>
        <w:gridCol w:w="1063"/>
        <w:gridCol w:w="1063"/>
        <w:gridCol w:w="1063"/>
        <w:gridCol w:w="1063"/>
        <w:gridCol w:w="1063"/>
      </w:tblGrid>
      <w:tr w:rsidR="00187FD6" w:rsidRPr="0015134B" w14:paraId="1A537F85" w14:textId="77777777" w:rsidTr="00187FD6">
        <w:tc>
          <w:tcPr>
            <w:tcW w:w="2689" w:type="dxa"/>
          </w:tcPr>
          <w:p w14:paraId="5A19CA7C" w14:textId="77777777" w:rsidR="00187FD6" w:rsidRPr="0015134B" w:rsidRDefault="00187FD6" w:rsidP="003212CA">
            <w:pPr>
              <w:spacing w:line="240" w:lineRule="auto"/>
              <w:rPr>
                <w:rFonts w:cs="Arial"/>
                <w:sz w:val="16"/>
                <w:szCs w:val="16"/>
              </w:rPr>
            </w:pPr>
          </w:p>
        </w:tc>
        <w:tc>
          <w:tcPr>
            <w:tcW w:w="2126" w:type="dxa"/>
            <w:gridSpan w:val="2"/>
          </w:tcPr>
          <w:p w14:paraId="5D884F55" w14:textId="77777777" w:rsidR="00187FD6" w:rsidRPr="0015134B" w:rsidRDefault="00187FD6" w:rsidP="003212CA">
            <w:pPr>
              <w:spacing w:line="240" w:lineRule="auto"/>
              <w:jc w:val="center"/>
              <w:rPr>
                <w:rFonts w:cs="Arial"/>
                <w:sz w:val="16"/>
                <w:szCs w:val="16"/>
              </w:rPr>
            </w:pPr>
            <w:r w:rsidRPr="0015134B">
              <w:rPr>
                <w:rFonts w:cs="Arial"/>
                <w:sz w:val="16"/>
                <w:szCs w:val="16"/>
              </w:rPr>
              <w:t xml:space="preserve">eGFR ≥60 </w:t>
            </w:r>
          </w:p>
          <w:p w14:paraId="2A79CDBE" w14:textId="7C157076" w:rsidR="00187FD6" w:rsidRPr="0015134B" w:rsidRDefault="00187FD6" w:rsidP="003212CA">
            <w:pPr>
              <w:spacing w:line="240" w:lineRule="auto"/>
              <w:jc w:val="center"/>
              <w:rPr>
                <w:rFonts w:cs="Arial"/>
                <w:sz w:val="16"/>
                <w:szCs w:val="16"/>
              </w:rPr>
            </w:pPr>
            <w:r w:rsidRPr="0015134B">
              <w:rPr>
                <w:rFonts w:cs="Arial"/>
                <w:sz w:val="16"/>
                <w:szCs w:val="16"/>
              </w:rPr>
              <w:t>ml/min/1.73m</w:t>
            </w:r>
            <w:r w:rsidRPr="0015134B">
              <w:rPr>
                <w:rFonts w:cs="Arial"/>
                <w:sz w:val="16"/>
                <w:szCs w:val="16"/>
                <w:vertAlign w:val="superscript"/>
              </w:rPr>
              <w:t>2</w:t>
            </w:r>
          </w:p>
        </w:tc>
        <w:tc>
          <w:tcPr>
            <w:tcW w:w="2126" w:type="dxa"/>
            <w:gridSpan w:val="2"/>
          </w:tcPr>
          <w:p w14:paraId="1DD6AB92" w14:textId="10BF3EAE" w:rsidR="00187FD6" w:rsidRPr="0015134B" w:rsidRDefault="00187FD6" w:rsidP="003212CA">
            <w:pPr>
              <w:spacing w:line="240" w:lineRule="auto"/>
              <w:jc w:val="center"/>
              <w:rPr>
                <w:rFonts w:cs="Arial"/>
                <w:sz w:val="16"/>
                <w:szCs w:val="16"/>
              </w:rPr>
            </w:pPr>
            <w:r w:rsidRPr="0015134B">
              <w:rPr>
                <w:rFonts w:cs="Arial"/>
                <w:sz w:val="16"/>
                <w:szCs w:val="16"/>
              </w:rPr>
              <w:t>eGFR 30-59 ml/min/1.73m</w:t>
            </w:r>
            <w:r w:rsidRPr="0015134B">
              <w:rPr>
                <w:rFonts w:cs="Arial"/>
                <w:sz w:val="16"/>
                <w:szCs w:val="16"/>
                <w:vertAlign w:val="superscript"/>
              </w:rPr>
              <w:t>2</w:t>
            </w:r>
          </w:p>
        </w:tc>
        <w:tc>
          <w:tcPr>
            <w:tcW w:w="2126" w:type="dxa"/>
            <w:gridSpan w:val="2"/>
          </w:tcPr>
          <w:p w14:paraId="0985CF1C" w14:textId="77777777" w:rsidR="00187FD6" w:rsidRPr="0015134B" w:rsidRDefault="00187FD6" w:rsidP="003212CA">
            <w:pPr>
              <w:spacing w:line="240" w:lineRule="auto"/>
              <w:jc w:val="center"/>
              <w:rPr>
                <w:rFonts w:cs="Arial"/>
                <w:sz w:val="16"/>
                <w:szCs w:val="16"/>
              </w:rPr>
            </w:pPr>
            <w:r w:rsidRPr="0015134B">
              <w:rPr>
                <w:rFonts w:cs="Arial"/>
                <w:sz w:val="16"/>
                <w:szCs w:val="16"/>
              </w:rPr>
              <w:t xml:space="preserve">eGFR &lt;30 </w:t>
            </w:r>
          </w:p>
          <w:p w14:paraId="4F80C6B2" w14:textId="219FC643" w:rsidR="00187FD6" w:rsidRPr="0015134B" w:rsidRDefault="00187FD6" w:rsidP="003212CA">
            <w:pPr>
              <w:spacing w:line="240" w:lineRule="auto"/>
              <w:jc w:val="center"/>
              <w:rPr>
                <w:rFonts w:cs="Arial"/>
                <w:sz w:val="16"/>
                <w:szCs w:val="16"/>
              </w:rPr>
            </w:pPr>
            <w:r w:rsidRPr="0015134B">
              <w:rPr>
                <w:rFonts w:cs="Arial"/>
                <w:sz w:val="16"/>
                <w:szCs w:val="16"/>
              </w:rPr>
              <w:t>ml/min/1.73m</w:t>
            </w:r>
            <w:r w:rsidRPr="0015134B">
              <w:rPr>
                <w:rFonts w:cs="Arial"/>
                <w:sz w:val="16"/>
                <w:szCs w:val="16"/>
                <w:vertAlign w:val="superscript"/>
              </w:rPr>
              <w:t>2</w:t>
            </w:r>
          </w:p>
        </w:tc>
      </w:tr>
      <w:tr w:rsidR="00187FD6" w:rsidRPr="0015134B" w14:paraId="620C1116" w14:textId="77777777" w:rsidTr="003212CA">
        <w:tc>
          <w:tcPr>
            <w:tcW w:w="9067" w:type="dxa"/>
            <w:gridSpan w:val="7"/>
            <w:shd w:val="clear" w:color="auto" w:fill="D9D9D9" w:themeFill="background1" w:themeFillShade="D9"/>
          </w:tcPr>
          <w:p w14:paraId="104FD787" w14:textId="77777777" w:rsidR="00187FD6" w:rsidRPr="0015134B" w:rsidRDefault="00187FD6" w:rsidP="003212CA">
            <w:pPr>
              <w:spacing w:line="240" w:lineRule="auto"/>
              <w:jc w:val="center"/>
              <w:rPr>
                <w:rFonts w:cs="Arial"/>
                <w:color w:val="000000"/>
                <w:sz w:val="16"/>
                <w:szCs w:val="16"/>
                <w:lang w:val="de-DE"/>
              </w:rPr>
            </w:pPr>
            <w:r w:rsidRPr="0015134B">
              <w:rPr>
                <w:rFonts w:cs="Arial"/>
                <w:color w:val="000000"/>
                <w:sz w:val="16"/>
                <w:szCs w:val="16"/>
                <w:lang w:val="de-DE"/>
              </w:rPr>
              <w:t>Initiation</w:t>
            </w:r>
          </w:p>
        </w:tc>
      </w:tr>
      <w:tr w:rsidR="00187FD6" w:rsidRPr="0015134B" w14:paraId="473CD6AF" w14:textId="77777777" w:rsidTr="00187FD6">
        <w:tc>
          <w:tcPr>
            <w:tcW w:w="2689" w:type="dxa"/>
          </w:tcPr>
          <w:p w14:paraId="03F857EE" w14:textId="77777777" w:rsidR="00187FD6" w:rsidRPr="0015134B" w:rsidRDefault="00187FD6" w:rsidP="003212CA">
            <w:pPr>
              <w:spacing w:line="240" w:lineRule="auto"/>
              <w:rPr>
                <w:rFonts w:cs="Arial"/>
                <w:i/>
                <w:iCs/>
                <w:sz w:val="16"/>
                <w:szCs w:val="16"/>
              </w:rPr>
            </w:pPr>
            <w:r w:rsidRPr="0015134B">
              <w:rPr>
                <w:rFonts w:cs="Arial"/>
                <w:i/>
                <w:iCs/>
                <w:sz w:val="16"/>
                <w:szCs w:val="16"/>
              </w:rPr>
              <w:t>MRA initiation</w:t>
            </w:r>
          </w:p>
        </w:tc>
        <w:tc>
          <w:tcPr>
            <w:tcW w:w="2126" w:type="dxa"/>
            <w:gridSpan w:val="2"/>
          </w:tcPr>
          <w:p w14:paraId="6951FE41" w14:textId="77777777" w:rsidR="00187FD6" w:rsidRPr="0015134B" w:rsidRDefault="00187FD6" w:rsidP="003212CA">
            <w:pPr>
              <w:spacing w:line="240" w:lineRule="auto"/>
              <w:jc w:val="center"/>
              <w:rPr>
                <w:rFonts w:cs="Arial"/>
                <w:sz w:val="16"/>
                <w:szCs w:val="16"/>
              </w:rPr>
            </w:pPr>
          </w:p>
        </w:tc>
        <w:tc>
          <w:tcPr>
            <w:tcW w:w="2126" w:type="dxa"/>
            <w:gridSpan w:val="2"/>
          </w:tcPr>
          <w:p w14:paraId="0993F7AE" w14:textId="77777777" w:rsidR="00187FD6" w:rsidRPr="0015134B" w:rsidRDefault="00187FD6" w:rsidP="003212CA">
            <w:pPr>
              <w:spacing w:line="240" w:lineRule="auto"/>
              <w:jc w:val="center"/>
              <w:rPr>
                <w:rFonts w:cs="Arial"/>
                <w:sz w:val="16"/>
                <w:szCs w:val="16"/>
              </w:rPr>
            </w:pPr>
          </w:p>
        </w:tc>
        <w:tc>
          <w:tcPr>
            <w:tcW w:w="2126" w:type="dxa"/>
            <w:gridSpan w:val="2"/>
          </w:tcPr>
          <w:p w14:paraId="0C918F8D" w14:textId="77777777" w:rsidR="00187FD6" w:rsidRPr="0015134B" w:rsidRDefault="00187FD6" w:rsidP="003212CA">
            <w:pPr>
              <w:spacing w:line="240" w:lineRule="auto"/>
              <w:jc w:val="center"/>
              <w:rPr>
                <w:rFonts w:cs="Arial"/>
                <w:color w:val="000000"/>
                <w:sz w:val="16"/>
                <w:szCs w:val="16"/>
                <w:lang w:val="de-DE"/>
              </w:rPr>
            </w:pPr>
          </w:p>
        </w:tc>
      </w:tr>
      <w:tr w:rsidR="00CF0C67" w:rsidRPr="0015134B" w14:paraId="31D68F02" w14:textId="77777777" w:rsidTr="00386CC1">
        <w:trPr>
          <w:trHeight w:val="79"/>
        </w:trPr>
        <w:tc>
          <w:tcPr>
            <w:tcW w:w="2689" w:type="dxa"/>
          </w:tcPr>
          <w:p w14:paraId="0404D5D7" w14:textId="5163DDB9" w:rsidR="00CF0C67" w:rsidRPr="0015134B" w:rsidRDefault="00CF0C67" w:rsidP="00CF0C67">
            <w:pPr>
              <w:spacing w:line="240" w:lineRule="auto"/>
              <w:rPr>
                <w:rFonts w:cs="Arial"/>
                <w:sz w:val="16"/>
                <w:szCs w:val="16"/>
              </w:rPr>
            </w:pPr>
            <w:r w:rsidRPr="0015134B">
              <w:rPr>
                <w:rFonts w:cs="Arial"/>
                <w:sz w:val="16"/>
                <w:szCs w:val="16"/>
              </w:rPr>
              <w:t xml:space="preserve">     Event rate in out- vs. inpatients</w:t>
            </w:r>
          </w:p>
        </w:tc>
        <w:tc>
          <w:tcPr>
            <w:tcW w:w="1063" w:type="dxa"/>
            <w:vAlign w:val="bottom"/>
          </w:tcPr>
          <w:p w14:paraId="10D7E94D" w14:textId="2C2A923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634 (18.1%)</w:t>
            </w:r>
          </w:p>
        </w:tc>
        <w:tc>
          <w:tcPr>
            <w:tcW w:w="1063" w:type="dxa"/>
            <w:vAlign w:val="bottom"/>
          </w:tcPr>
          <w:p w14:paraId="461DF242" w14:textId="78384795"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1082 (52.2%)</w:t>
            </w:r>
          </w:p>
        </w:tc>
        <w:tc>
          <w:tcPr>
            <w:tcW w:w="1063" w:type="dxa"/>
            <w:vAlign w:val="bottom"/>
          </w:tcPr>
          <w:p w14:paraId="05E3B7AB" w14:textId="221F05C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208 (13.6%)</w:t>
            </w:r>
          </w:p>
        </w:tc>
        <w:tc>
          <w:tcPr>
            <w:tcW w:w="1063" w:type="dxa"/>
            <w:vAlign w:val="bottom"/>
          </w:tcPr>
          <w:p w14:paraId="0C09C349" w14:textId="1B2D9DCE"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794 (36.6%)</w:t>
            </w:r>
          </w:p>
        </w:tc>
        <w:tc>
          <w:tcPr>
            <w:tcW w:w="1063" w:type="dxa"/>
            <w:vAlign w:val="bottom"/>
          </w:tcPr>
          <w:p w14:paraId="6D9588C8" w14:textId="400B9AA3"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12 (7.5%)</w:t>
            </w:r>
          </w:p>
        </w:tc>
        <w:tc>
          <w:tcPr>
            <w:tcW w:w="1063" w:type="dxa"/>
            <w:vAlign w:val="bottom"/>
          </w:tcPr>
          <w:p w14:paraId="02D49EA3" w14:textId="18383EE7"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80 (16.9%)</w:t>
            </w:r>
          </w:p>
        </w:tc>
      </w:tr>
      <w:tr w:rsidR="00187FD6" w:rsidRPr="0015134B" w14:paraId="6209D3BB" w14:textId="77777777" w:rsidTr="00187FD6">
        <w:tc>
          <w:tcPr>
            <w:tcW w:w="2689" w:type="dxa"/>
          </w:tcPr>
          <w:p w14:paraId="0F3917A0" w14:textId="3B407143" w:rsidR="00187FD6" w:rsidRPr="0015134B" w:rsidRDefault="00187FD6" w:rsidP="003212CA">
            <w:pPr>
              <w:spacing w:line="240" w:lineRule="auto"/>
              <w:rPr>
                <w:rFonts w:cs="Arial"/>
                <w:sz w:val="16"/>
                <w:szCs w:val="16"/>
              </w:rPr>
            </w:pPr>
            <w:r w:rsidRPr="0015134B">
              <w:rPr>
                <w:rFonts w:cs="Arial"/>
                <w:sz w:val="16"/>
                <w:szCs w:val="16"/>
              </w:rPr>
              <w:t xml:space="preserve">     </w:t>
            </w:r>
            <w:r w:rsidR="00CF0C67" w:rsidRPr="0015134B">
              <w:rPr>
                <w:rFonts w:cs="Arial"/>
                <w:sz w:val="16"/>
                <w:szCs w:val="16"/>
              </w:rPr>
              <w:t>Crude OR (95% CI), p-value</w:t>
            </w:r>
          </w:p>
        </w:tc>
        <w:tc>
          <w:tcPr>
            <w:tcW w:w="2126" w:type="dxa"/>
            <w:gridSpan w:val="2"/>
            <w:vAlign w:val="bottom"/>
          </w:tcPr>
          <w:p w14:paraId="1C4BFBB7" w14:textId="5C3A0255" w:rsidR="00187FD6"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4.9 (4.4-5.6), &lt;0.001</w:t>
            </w:r>
          </w:p>
        </w:tc>
        <w:tc>
          <w:tcPr>
            <w:tcW w:w="2126" w:type="dxa"/>
            <w:gridSpan w:val="2"/>
            <w:vAlign w:val="bottom"/>
          </w:tcPr>
          <w:p w14:paraId="2A0463DD" w14:textId="624439A8" w:rsidR="00187FD6"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3.7 (3.1-4.3), &lt;0.001</w:t>
            </w:r>
          </w:p>
        </w:tc>
        <w:tc>
          <w:tcPr>
            <w:tcW w:w="2126" w:type="dxa"/>
            <w:gridSpan w:val="2"/>
          </w:tcPr>
          <w:p w14:paraId="0577DA99" w14:textId="352220DA" w:rsidR="00187FD6"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2.5 (1.3-4.8), 0.004</w:t>
            </w:r>
          </w:p>
        </w:tc>
      </w:tr>
      <w:tr w:rsidR="00187FD6" w:rsidRPr="0015134B" w14:paraId="263DB80D" w14:textId="77777777" w:rsidTr="00187FD6">
        <w:tc>
          <w:tcPr>
            <w:tcW w:w="2689" w:type="dxa"/>
          </w:tcPr>
          <w:p w14:paraId="2E0C96F5" w14:textId="77777777" w:rsidR="00187FD6" w:rsidRPr="0015134B" w:rsidRDefault="00187FD6" w:rsidP="003212CA">
            <w:pPr>
              <w:spacing w:line="240" w:lineRule="auto"/>
              <w:rPr>
                <w:rFonts w:cs="Arial"/>
                <w:i/>
                <w:iCs/>
                <w:sz w:val="16"/>
                <w:szCs w:val="16"/>
              </w:rPr>
            </w:pPr>
            <w:r w:rsidRPr="0015134B">
              <w:rPr>
                <w:rFonts w:cs="Arial"/>
                <w:i/>
                <w:iCs/>
                <w:sz w:val="16"/>
                <w:szCs w:val="16"/>
              </w:rPr>
              <w:t>RASi/ARNi initiation</w:t>
            </w:r>
          </w:p>
        </w:tc>
        <w:tc>
          <w:tcPr>
            <w:tcW w:w="2126" w:type="dxa"/>
            <w:gridSpan w:val="2"/>
          </w:tcPr>
          <w:p w14:paraId="34080FAB" w14:textId="77777777" w:rsidR="00187FD6" w:rsidRPr="0015134B" w:rsidRDefault="00187FD6" w:rsidP="003212CA">
            <w:pPr>
              <w:spacing w:line="240" w:lineRule="auto"/>
              <w:jc w:val="center"/>
              <w:rPr>
                <w:rFonts w:cs="Arial"/>
                <w:sz w:val="16"/>
                <w:szCs w:val="16"/>
              </w:rPr>
            </w:pPr>
          </w:p>
        </w:tc>
        <w:tc>
          <w:tcPr>
            <w:tcW w:w="2126" w:type="dxa"/>
            <w:gridSpan w:val="2"/>
          </w:tcPr>
          <w:p w14:paraId="344DE4B8" w14:textId="77777777" w:rsidR="00187FD6" w:rsidRPr="0015134B" w:rsidRDefault="00187FD6" w:rsidP="003212CA">
            <w:pPr>
              <w:spacing w:line="240" w:lineRule="auto"/>
              <w:jc w:val="center"/>
              <w:rPr>
                <w:rFonts w:cs="Arial"/>
                <w:sz w:val="16"/>
                <w:szCs w:val="16"/>
              </w:rPr>
            </w:pPr>
          </w:p>
        </w:tc>
        <w:tc>
          <w:tcPr>
            <w:tcW w:w="2126" w:type="dxa"/>
            <w:gridSpan w:val="2"/>
          </w:tcPr>
          <w:p w14:paraId="2B4C3944" w14:textId="77777777" w:rsidR="00187FD6" w:rsidRPr="0015134B" w:rsidRDefault="00187FD6" w:rsidP="003212CA">
            <w:pPr>
              <w:spacing w:line="240" w:lineRule="auto"/>
              <w:jc w:val="center"/>
              <w:rPr>
                <w:rFonts w:cs="Arial"/>
                <w:sz w:val="16"/>
                <w:szCs w:val="16"/>
              </w:rPr>
            </w:pPr>
          </w:p>
        </w:tc>
      </w:tr>
      <w:tr w:rsidR="00CF0C67" w:rsidRPr="0015134B" w14:paraId="50B83A1E" w14:textId="77777777" w:rsidTr="00923968">
        <w:tc>
          <w:tcPr>
            <w:tcW w:w="2689" w:type="dxa"/>
          </w:tcPr>
          <w:p w14:paraId="28CA961A" w14:textId="19B31AB1" w:rsidR="00CF0C67" w:rsidRPr="0015134B" w:rsidRDefault="00CF0C67" w:rsidP="00CF0C67">
            <w:pPr>
              <w:spacing w:line="240" w:lineRule="auto"/>
              <w:rPr>
                <w:rFonts w:cs="Arial"/>
                <w:sz w:val="16"/>
                <w:szCs w:val="16"/>
              </w:rPr>
            </w:pPr>
            <w:r w:rsidRPr="0015134B">
              <w:rPr>
                <w:rFonts w:cs="Arial"/>
                <w:sz w:val="16"/>
                <w:szCs w:val="16"/>
              </w:rPr>
              <w:t xml:space="preserve">     Event rate in out- vs. inpatients</w:t>
            </w:r>
          </w:p>
        </w:tc>
        <w:tc>
          <w:tcPr>
            <w:tcW w:w="1063" w:type="dxa"/>
            <w:vAlign w:val="bottom"/>
          </w:tcPr>
          <w:p w14:paraId="4E13814D" w14:textId="74925EE1"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243 (61.7%)</w:t>
            </w:r>
          </w:p>
        </w:tc>
        <w:tc>
          <w:tcPr>
            <w:tcW w:w="1063" w:type="dxa"/>
            <w:vAlign w:val="bottom"/>
          </w:tcPr>
          <w:p w14:paraId="5D545890" w14:textId="2E4EC8AA"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524 (80.5%)</w:t>
            </w:r>
          </w:p>
        </w:tc>
        <w:tc>
          <w:tcPr>
            <w:tcW w:w="1063" w:type="dxa"/>
            <w:vAlign w:val="bottom"/>
          </w:tcPr>
          <w:p w14:paraId="07D6743E" w14:textId="1F74DD07"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117 (45.0%)</w:t>
            </w:r>
          </w:p>
        </w:tc>
        <w:tc>
          <w:tcPr>
            <w:tcW w:w="1063" w:type="dxa"/>
            <w:vAlign w:val="bottom"/>
          </w:tcPr>
          <w:p w14:paraId="49361F87" w14:textId="61502304"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375 (58.9%)</w:t>
            </w:r>
          </w:p>
        </w:tc>
        <w:tc>
          <w:tcPr>
            <w:tcW w:w="1063" w:type="dxa"/>
            <w:vAlign w:val="bottom"/>
          </w:tcPr>
          <w:p w14:paraId="3C644FF1" w14:textId="5A5C499C"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10 (21.3%)</w:t>
            </w:r>
          </w:p>
        </w:tc>
        <w:tc>
          <w:tcPr>
            <w:tcW w:w="1063" w:type="dxa"/>
            <w:vAlign w:val="bottom"/>
          </w:tcPr>
          <w:p w14:paraId="58DA7B47" w14:textId="2180DADD"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64 (32.2%)</w:t>
            </w:r>
          </w:p>
        </w:tc>
      </w:tr>
      <w:tr w:rsidR="00CF0C67" w:rsidRPr="0015134B" w14:paraId="38A74A37" w14:textId="77777777" w:rsidTr="00187FD6">
        <w:tc>
          <w:tcPr>
            <w:tcW w:w="2689" w:type="dxa"/>
          </w:tcPr>
          <w:p w14:paraId="469A7D3F" w14:textId="1AC86AEA"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2FC3A664" w14:textId="1C83FDFC"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2.6 (1.9-3.4), &lt;0.001</w:t>
            </w:r>
          </w:p>
        </w:tc>
        <w:tc>
          <w:tcPr>
            <w:tcW w:w="2126" w:type="dxa"/>
            <w:gridSpan w:val="2"/>
            <w:vAlign w:val="bottom"/>
          </w:tcPr>
          <w:p w14:paraId="7FD30F42" w14:textId="6AF4A0A9"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1.7 (1.3-2.3), &lt;0.001</w:t>
            </w:r>
          </w:p>
        </w:tc>
        <w:tc>
          <w:tcPr>
            <w:tcW w:w="2126" w:type="dxa"/>
            <w:gridSpan w:val="2"/>
          </w:tcPr>
          <w:p w14:paraId="5EFD5B60" w14:textId="2C394D41"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1.8 (0.8-3.7), 0.147</w:t>
            </w:r>
          </w:p>
        </w:tc>
      </w:tr>
      <w:tr w:rsidR="00187FD6" w:rsidRPr="0015134B" w14:paraId="713C374B" w14:textId="77777777" w:rsidTr="00187FD6">
        <w:tc>
          <w:tcPr>
            <w:tcW w:w="2689" w:type="dxa"/>
          </w:tcPr>
          <w:p w14:paraId="04D6FFBE" w14:textId="77777777" w:rsidR="00187FD6" w:rsidRPr="0015134B" w:rsidRDefault="00187FD6" w:rsidP="003212CA">
            <w:pPr>
              <w:spacing w:line="240" w:lineRule="auto"/>
              <w:rPr>
                <w:rFonts w:cs="Arial"/>
                <w:i/>
                <w:iCs/>
                <w:sz w:val="16"/>
                <w:szCs w:val="16"/>
              </w:rPr>
            </w:pPr>
            <w:r w:rsidRPr="0015134B">
              <w:rPr>
                <w:rFonts w:cs="Arial"/>
                <w:i/>
                <w:iCs/>
                <w:sz w:val="16"/>
                <w:szCs w:val="16"/>
              </w:rPr>
              <w:t>Betablocker initiation</w:t>
            </w:r>
          </w:p>
        </w:tc>
        <w:tc>
          <w:tcPr>
            <w:tcW w:w="2126" w:type="dxa"/>
            <w:gridSpan w:val="2"/>
          </w:tcPr>
          <w:p w14:paraId="471DD4BE" w14:textId="77777777" w:rsidR="00187FD6" w:rsidRPr="0015134B" w:rsidRDefault="00187FD6" w:rsidP="003212CA">
            <w:pPr>
              <w:spacing w:line="240" w:lineRule="auto"/>
              <w:jc w:val="center"/>
              <w:rPr>
                <w:rFonts w:cs="Arial"/>
                <w:sz w:val="16"/>
                <w:szCs w:val="16"/>
              </w:rPr>
            </w:pPr>
          </w:p>
        </w:tc>
        <w:tc>
          <w:tcPr>
            <w:tcW w:w="2126" w:type="dxa"/>
            <w:gridSpan w:val="2"/>
          </w:tcPr>
          <w:p w14:paraId="5E776A1E" w14:textId="77777777" w:rsidR="00187FD6" w:rsidRPr="0015134B" w:rsidRDefault="00187FD6" w:rsidP="003212CA">
            <w:pPr>
              <w:spacing w:line="240" w:lineRule="auto"/>
              <w:jc w:val="center"/>
              <w:rPr>
                <w:rFonts w:cs="Arial"/>
                <w:sz w:val="16"/>
                <w:szCs w:val="16"/>
              </w:rPr>
            </w:pPr>
          </w:p>
        </w:tc>
        <w:tc>
          <w:tcPr>
            <w:tcW w:w="2126" w:type="dxa"/>
            <w:gridSpan w:val="2"/>
          </w:tcPr>
          <w:p w14:paraId="262EECB9" w14:textId="77777777" w:rsidR="00187FD6" w:rsidRPr="0015134B" w:rsidRDefault="00187FD6" w:rsidP="003212CA">
            <w:pPr>
              <w:spacing w:line="240" w:lineRule="auto"/>
              <w:jc w:val="center"/>
              <w:rPr>
                <w:rFonts w:cs="Arial"/>
                <w:sz w:val="16"/>
                <w:szCs w:val="16"/>
              </w:rPr>
            </w:pPr>
          </w:p>
        </w:tc>
      </w:tr>
      <w:tr w:rsidR="00CF0C67" w:rsidRPr="0015134B" w14:paraId="1F1169FA" w14:textId="77777777" w:rsidTr="004206CB">
        <w:tc>
          <w:tcPr>
            <w:tcW w:w="2689" w:type="dxa"/>
          </w:tcPr>
          <w:p w14:paraId="2E221A07" w14:textId="6436ED45" w:rsidR="00CF0C67" w:rsidRPr="0015134B" w:rsidRDefault="00CF0C67" w:rsidP="00CF0C67">
            <w:pPr>
              <w:spacing w:line="240" w:lineRule="auto"/>
              <w:rPr>
                <w:rFonts w:cs="Arial"/>
                <w:sz w:val="16"/>
                <w:szCs w:val="16"/>
              </w:rPr>
            </w:pPr>
            <w:r w:rsidRPr="0015134B">
              <w:rPr>
                <w:rFonts w:cs="Arial"/>
                <w:sz w:val="16"/>
                <w:szCs w:val="16"/>
              </w:rPr>
              <w:t xml:space="preserve">     Event rate in out- vs. inpatients</w:t>
            </w:r>
          </w:p>
        </w:tc>
        <w:tc>
          <w:tcPr>
            <w:tcW w:w="1063" w:type="dxa"/>
            <w:vAlign w:val="bottom"/>
          </w:tcPr>
          <w:p w14:paraId="5A8E7DD1" w14:textId="6F6CD6B7"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287 (47.2%)</w:t>
            </w:r>
          </w:p>
        </w:tc>
        <w:tc>
          <w:tcPr>
            <w:tcW w:w="1063" w:type="dxa"/>
            <w:vAlign w:val="bottom"/>
          </w:tcPr>
          <w:p w14:paraId="277D9BF6" w14:textId="3D76207E"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539 (75.5%)</w:t>
            </w:r>
          </w:p>
        </w:tc>
        <w:tc>
          <w:tcPr>
            <w:tcW w:w="1063" w:type="dxa"/>
            <w:vAlign w:val="bottom"/>
          </w:tcPr>
          <w:p w14:paraId="18D4E876" w14:textId="77C95EE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92 (36.1%)</w:t>
            </w:r>
          </w:p>
        </w:tc>
        <w:tc>
          <w:tcPr>
            <w:tcW w:w="1063" w:type="dxa"/>
            <w:vAlign w:val="bottom"/>
          </w:tcPr>
          <w:p w14:paraId="3AE6C445" w14:textId="034AE205"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361 (68.0%)</w:t>
            </w:r>
          </w:p>
        </w:tc>
        <w:tc>
          <w:tcPr>
            <w:tcW w:w="1063" w:type="dxa"/>
            <w:vAlign w:val="bottom"/>
          </w:tcPr>
          <w:p w14:paraId="420456E5" w14:textId="6ACD977B"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6 (46.2%)</w:t>
            </w:r>
          </w:p>
        </w:tc>
        <w:tc>
          <w:tcPr>
            <w:tcW w:w="1063" w:type="dxa"/>
            <w:vAlign w:val="bottom"/>
          </w:tcPr>
          <w:p w14:paraId="16FA656B" w14:textId="6C393654"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59 (66.3%)</w:t>
            </w:r>
          </w:p>
        </w:tc>
      </w:tr>
      <w:tr w:rsidR="00CF0C67" w:rsidRPr="0015134B" w14:paraId="1E4FC99D" w14:textId="77777777" w:rsidTr="00187FD6">
        <w:tc>
          <w:tcPr>
            <w:tcW w:w="2689" w:type="dxa"/>
          </w:tcPr>
          <w:p w14:paraId="7A1B66D2" w14:textId="73AF911F"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08447FAD" w14:textId="649CC89B"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3.4 (2.7-4.4), &lt;0.001</w:t>
            </w:r>
          </w:p>
        </w:tc>
        <w:tc>
          <w:tcPr>
            <w:tcW w:w="2126" w:type="dxa"/>
            <w:gridSpan w:val="2"/>
            <w:vAlign w:val="bottom"/>
          </w:tcPr>
          <w:p w14:paraId="46E2CD37" w14:textId="177E9CB2"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3.8 (2.7-5.1), &lt;0.001</w:t>
            </w:r>
          </w:p>
        </w:tc>
        <w:tc>
          <w:tcPr>
            <w:tcW w:w="2126" w:type="dxa"/>
            <w:gridSpan w:val="2"/>
          </w:tcPr>
          <w:p w14:paraId="05E787C2" w14:textId="3971F777"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2.3 (0.7-7.4), 0.166</w:t>
            </w:r>
          </w:p>
        </w:tc>
      </w:tr>
      <w:tr w:rsidR="00187FD6" w:rsidRPr="0015134B" w14:paraId="3BAC7AF5" w14:textId="77777777" w:rsidTr="00187FD6">
        <w:tc>
          <w:tcPr>
            <w:tcW w:w="2689" w:type="dxa"/>
          </w:tcPr>
          <w:p w14:paraId="75F63EFC" w14:textId="77777777" w:rsidR="00187FD6" w:rsidRPr="0015134B" w:rsidRDefault="00187FD6" w:rsidP="003212CA">
            <w:pPr>
              <w:spacing w:line="240" w:lineRule="auto"/>
              <w:rPr>
                <w:rFonts w:cs="Arial"/>
                <w:i/>
                <w:iCs/>
                <w:sz w:val="16"/>
                <w:szCs w:val="16"/>
              </w:rPr>
            </w:pPr>
            <w:r w:rsidRPr="0015134B">
              <w:rPr>
                <w:rFonts w:cs="Arial"/>
                <w:i/>
                <w:iCs/>
                <w:sz w:val="16"/>
                <w:szCs w:val="16"/>
              </w:rPr>
              <w:t>Loop diuretic initiation</w:t>
            </w:r>
          </w:p>
        </w:tc>
        <w:tc>
          <w:tcPr>
            <w:tcW w:w="2126" w:type="dxa"/>
            <w:gridSpan w:val="2"/>
          </w:tcPr>
          <w:p w14:paraId="02DB372C" w14:textId="77777777" w:rsidR="00187FD6" w:rsidRPr="0015134B" w:rsidRDefault="00187FD6" w:rsidP="003212CA">
            <w:pPr>
              <w:spacing w:line="240" w:lineRule="auto"/>
              <w:jc w:val="center"/>
              <w:rPr>
                <w:rFonts w:cs="Arial"/>
                <w:sz w:val="16"/>
                <w:szCs w:val="16"/>
              </w:rPr>
            </w:pPr>
          </w:p>
        </w:tc>
        <w:tc>
          <w:tcPr>
            <w:tcW w:w="2126" w:type="dxa"/>
            <w:gridSpan w:val="2"/>
          </w:tcPr>
          <w:p w14:paraId="2EE03C92" w14:textId="77777777" w:rsidR="00187FD6" w:rsidRPr="0015134B" w:rsidRDefault="00187FD6" w:rsidP="003212CA">
            <w:pPr>
              <w:spacing w:line="240" w:lineRule="auto"/>
              <w:jc w:val="center"/>
              <w:rPr>
                <w:rFonts w:cs="Arial"/>
                <w:sz w:val="16"/>
                <w:szCs w:val="16"/>
              </w:rPr>
            </w:pPr>
          </w:p>
        </w:tc>
        <w:tc>
          <w:tcPr>
            <w:tcW w:w="2126" w:type="dxa"/>
            <w:gridSpan w:val="2"/>
          </w:tcPr>
          <w:p w14:paraId="6B807F9C" w14:textId="77777777" w:rsidR="00187FD6" w:rsidRPr="0015134B" w:rsidRDefault="00187FD6" w:rsidP="003212CA">
            <w:pPr>
              <w:spacing w:line="240" w:lineRule="auto"/>
              <w:jc w:val="center"/>
              <w:rPr>
                <w:rFonts w:cs="Arial"/>
                <w:sz w:val="16"/>
                <w:szCs w:val="16"/>
              </w:rPr>
            </w:pPr>
          </w:p>
        </w:tc>
      </w:tr>
      <w:tr w:rsidR="00CF0C67" w:rsidRPr="0015134B" w14:paraId="27A17184" w14:textId="77777777" w:rsidTr="00271CC7">
        <w:tc>
          <w:tcPr>
            <w:tcW w:w="2689" w:type="dxa"/>
          </w:tcPr>
          <w:p w14:paraId="62F5E96F" w14:textId="33469F3E" w:rsidR="00CF0C67" w:rsidRPr="0015134B" w:rsidRDefault="00CF0C67" w:rsidP="00CF0C67">
            <w:pPr>
              <w:spacing w:line="240" w:lineRule="auto"/>
              <w:rPr>
                <w:rFonts w:cs="Arial"/>
                <w:sz w:val="16"/>
                <w:szCs w:val="16"/>
              </w:rPr>
            </w:pPr>
            <w:r w:rsidRPr="0015134B">
              <w:rPr>
                <w:rFonts w:cs="Arial"/>
                <w:sz w:val="16"/>
                <w:szCs w:val="16"/>
              </w:rPr>
              <w:t xml:space="preserve">     Event rate in out- vs. inpatients</w:t>
            </w:r>
          </w:p>
        </w:tc>
        <w:tc>
          <w:tcPr>
            <w:tcW w:w="1063" w:type="dxa"/>
            <w:vAlign w:val="bottom"/>
          </w:tcPr>
          <w:p w14:paraId="59D1CE22" w14:textId="439BD1B7"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467 (16.0%)</w:t>
            </w:r>
          </w:p>
        </w:tc>
        <w:tc>
          <w:tcPr>
            <w:tcW w:w="1063" w:type="dxa"/>
            <w:vAlign w:val="bottom"/>
          </w:tcPr>
          <w:p w14:paraId="60DDE230" w14:textId="4BC93B43"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814 (76.1%)</w:t>
            </w:r>
          </w:p>
        </w:tc>
        <w:tc>
          <w:tcPr>
            <w:tcW w:w="1063" w:type="dxa"/>
            <w:vAlign w:val="bottom"/>
          </w:tcPr>
          <w:p w14:paraId="3B3B4499" w14:textId="01F354C2"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194 (27.4%)</w:t>
            </w:r>
          </w:p>
        </w:tc>
        <w:tc>
          <w:tcPr>
            <w:tcW w:w="1063" w:type="dxa"/>
            <w:vAlign w:val="bottom"/>
          </w:tcPr>
          <w:p w14:paraId="6BC37067" w14:textId="6F073AAA"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562 (88.5%)</w:t>
            </w:r>
          </w:p>
        </w:tc>
        <w:tc>
          <w:tcPr>
            <w:tcW w:w="1063" w:type="dxa"/>
            <w:vAlign w:val="bottom"/>
          </w:tcPr>
          <w:p w14:paraId="43BC22EB" w14:textId="036281B4"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13 (43.3%)</w:t>
            </w:r>
          </w:p>
        </w:tc>
        <w:tc>
          <w:tcPr>
            <w:tcW w:w="1063" w:type="dxa"/>
            <w:vAlign w:val="bottom"/>
          </w:tcPr>
          <w:p w14:paraId="1876FBAA" w14:textId="751676D5"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65 (85.5%)</w:t>
            </w:r>
          </w:p>
        </w:tc>
      </w:tr>
      <w:tr w:rsidR="00CF0C67" w:rsidRPr="0015134B" w14:paraId="39FB0BDF" w14:textId="77777777" w:rsidTr="00187FD6">
        <w:tc>
          <w:tcPr>
            <w:tcW w:w="2689" w:type="dxa"/>
          </w:tcPr>
          <w:p w14:paraId="778C96BD" w14:textId="431443CB"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677FBCEE" w14:textId="045DE3DD"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16.7 (14.1-19.8), &lt;0.001</w:t>
            </w:r>
          </w:p>
        </w:tc>
        <w:tc>
          <w:tcPr>
            <w:tcW w:w="2126" w:type="dxa"/>
            <w:gridSpan w:val="2"/>
            <w:vAlign w:val="bottom"/>
          </w:tcPr>
          <w:p w14:paraId="2A7FE26F" w14:textId="5449A2A3"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20.4 (15.2-27.3), &lt;0.001</w:t>
            </w:r>
          </w:p>
        </w:tc>
        <w:tc>
          <w:tcPr>
            <w:tcW w:w="2126" w:type="dxa"/>
            <w:gridSpan w:val="2"/>
          </w:tcPr>
          <w:p w14:paraId="071E8C5A" w14:textId="4E22AE1B"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7.7 (2.9-20.3), &lt;0.001</w:t>
            </w:r>
          </w:p>
        </w:tc>
      </w:tr>
      <w:tr w:rsidR="00187FD6" w:rsidRPr="0015134B" w14:paraId="6BA7EFDB" w14:textId="77777777" w:rsidTr="003212CA">
        <w:tc>
          <w:tcPr>
            <w:tcW w:w="9067" w:type="dxa"/>
            <w:gridSpan w:val="7"/>
            <w:shd w:val="clear" w:color="auto" w:fill="D9D9D9" w:themeFill="background1" w:themeFillShade="D9"/>
          </w:tcPr>
          <w:p w14:paraId="6F03462C" w14:textId="77777777" w:rsidR="00187FD6" w:rsidRPr="0015134B" w:rsidRDefault="00187FD6" w:rsidP="003212CA">
            <w:pPr>
              <w:spacing w:line="240" w:lineRule="auto"/>
              <w:jc w:val="center"/>
              <w:rPr>
                <w:rFonts w:cs="Arial"/>
                <w:sz w:val="16"/>
                <w:szCs w:val="16"/>
              </w:rPr>
            </w:pPr>
            <w:r w:rsidRPr="0015134B">
              <w:rPr>
                <w:rFonts w:cs="Arial"/>
                <w:sz w:val="16"/>
                <w:szCs w:val="16"/>
              </w:rPr>
              <w:t>Discontinuation</w:t>
            </w:r>
          </w:p>
        </w:tc>
      </w:tr>
      <w:tr w:rsidR="00187FD6" w:rsidRPr="0015134B" w14:paraId="13F834E6" w14:textId="77777777" w:rsidTr="00187FD6">
        <w:tc>
          <w:tcPr>
            <w:tcW w:w="2689" w:type="dxa"/>
          </w:tcPr>
          <w:p w14:paraId="24A997BA" w14:textId="77777777" w:rsidR="00187FD6" w:rsidRPr="0015134B" w:rsidRDefault="00187FD6" w:rsidP="003212CA">
            <w:pPr>
              <w:spacing w:line="240" w:lineRule="auto"/>
              <w:rPr>
                <w:rFonts w:cs="Arial"/>
                <w:sz w:val="16"/>
                <w:szCs w:val="16"/>
              </w:rPr>
            </w:pPr>
            <w:r w:rsidRPr="0015134B">
              <w:rPr>
                <w:rFonts w:cs="Arial"/>
                <w:i/>
                <w:iCs/>
                <w:sz w:val="16"/>
                <w:szCs w:val="16"/>
              </w:rPr>
              <w:t>MRA discontinuation</w:t>
            </w:r>
          </w:p>
        </w:tc>
        <w:tc>
          <w:tcPr>
            <w:tcW w:w="2126" w:type="dxa"/>
            <w:gridSpan w:val="2"/>
          </w:tcPr>
          <w:p w14:paraId="192E7518" w14:textId="77777777" w:rsidR="00187FD6" w:rsidRPr="0015134B" w:rsidRDefault="00187FD6" w:rsidP="003212CA">
            <w:pPr>
              <w:spacing w:line="240" w:lineRule="auto"/>
              <w:jc w:val="center"/>
              <w:rPr>
                <w:rFonts w:cs="Arial"/>
                <w:sz w:val="16"/>
                <w:szCs w:val="16"/>
              </w:rPr>
            </w:pPr>
          </w:p>
        </w:tc>
        <w:tc>
          <w:tcPr>
            <w:tcW w:w="2126" w:type="dxa"/>
            <w:gridSpan w:val="2"/>
          </w:tcPr>
          <w:p w14:paraId="264EC7E0" w14:textId="77777777" w:rsidR="00187FD6" w:rsidRPr="0015134B" w:rsidRDefault="00187FD6" w:rsidP="003212CA">
            <w:pPr>
              <w:spacing w:line="240" w:lineRule="auto"/>
              <w:jc w:val="center"/>
              <w:rPr>
                <w:rFonts w:cs="Arial"/>
                <w:sz w:val="16"/>
                <w:szCs w:val="16"/>
              </w:rPr>
            </w:pPr>
          </w:p>
        </w:tc>
        <w:tc>
          <w:tcPr>
            <w:tcW w:w="2126" w:type="dxa"/>
            <w:gridSpan w:val="2"/>
          </w:tcPr>
          <w:p w14:paraId="3756B205" w14:textId="77777777" w:rsidR="00187FD6" w:rsidRPr="0015134B" w:rsidRDefault="00187FD6" w:rsidP="003212CA">
            <w:pPr>
              <w:spacing w:line="240" w:lineRule="auto"/>
              <w:jc w:val="center"/>
              <w:rPr>
                <w:rFonts w:cs="Arial"/>
                <w:sz w:val="16"/>
                <w:szCs w:val="16"/>
              </w:rPr>
            </w:pPr>
          </w:p>
        </w:tc>
      </w:tr>
      <w:tr w:rsidR="00CF0C67" w:rsidRPr="0015134B" w14:paraId="19607AF8" w14:textId="77777777" w:rsidTr="003E3778">
        <w:tc>
          <w:tcPr>
            <w:tcW w:w="2689" w:type="dxa"/>
          </w:tcPr>
          <w:p w14:paraId="34120F2E" w14:textId="309C59F7" w:rsidR="00CF0C67" w:rsidRPr="0015134B" w:rsidRDefault="00CF0C67" w:rsidP="00CF0C67">
            <w:pPr>
              <w:spacing w:line="240" w:lineRule="auto"/>
              <w:rPr>
                <w:rFonts w:cs="Arial"/>
                <w:i/>
                <w:iCs/>
                <w:sz w:val="16"/>
                <w:szCs w:val="16"/>
              </w:rPr>
            </w:pPr>
            <w:r w:rsidRPr="0015134B">
              <w:rPr>
                <w:rFonts w:cs="Arial"/>
                <w:sz w:val="16"/>
                <w:szCs w:val="16"/>
              </w:rPr>
              <w:t xml:space="preserve">     Event rate in out- vs. inpatients</w:t>
            </w:r>
          </w:p>
        </w:tc>
        <w:tc>
          <w:tcPr>
            <w:tcW w:w="1063" w:type="dxa"/>
            <w:vAlign w:val="bottom"/>
          </w:tcPr>
          <w:p w14:paraId="4AAE4ED9" w14:textId="27BE3344"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176 (11.3%)</w:t>
            </w:r>
          </w:p>
        </w:tc>
        <w:tc>
          <w:tcPr>
            <w:tcW w:w="1063" w:type="dxa"/>
            <w:vAlign w:val="bottom"/>
          </w:tcPr>
          <w:p w14:paraId="1C13B799" w14:textId="46C18840"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139 (14.0%)</w:t>
            </w:r>
          </w:p>
        </w:tc>
        <w:tc>
          <w:tcPr>
            <w:tcW w:w="1063" w:type="dxa"/>
            <w:vAlign w:val="bottom"/>
          </w:tcPr>
          <w:p w14:paraId="3B77171D" w14:textId="0994E335"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156 (19.4%)</w:t>
            </w:r>
          </w:p>
        </w:tc>
        <w:tc>
          <w:tcPr>
            <w:tcW w:w="1063" w:type="dxa"/>
            <w:vAlign w:val="bottom"/>
          </w:tcPr>
          <w:p w14:paraId="62BE85A8" w14:textId="2FDD2792"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252 (24.8%)</w:t>
            </w:r>
          </w:p>
        </w:tc>
        <w:tc>
          <w:tcPr>
            <w:tcW w:w="1063" w:type="dxa"/>
            <w:vAlign w:val="bottom"/>
          </w:tcPr>
          <w:p w14:paraId="421A5ADE" w14:textId="5243D22C"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18 (38.3%)</w:t>
            </w:r>
          </w:p>
        </w:tc>
        <w:tc>
          <w:tcPr>
            <w:tcW w:w="1063" w:type="dxa"/>
            <w:vAlign w:val="bottom"/>
          </w:tcPr>
          <w:p w14:paraId="4076672A" w14:textId="0EE2BC6D"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49 (36.0%)</w:t>
            </w:r>
          </w:p>
        </w:tc>
      </w:tr>
      <w:tr w:rsidR="00CF0C67" w:rsidRPr="0015134B" w14:paraId="4EEC0488" w14:textId="77777777" w:rsidTr="00187FD6">
        <w:tc>
          <w:tcPr>
            <w:tcW w:w="2689" w:type="dxa"/>
          </w:tcPr>
          <w:p w14:paraId="255A453A" w14:textId="628A9C73"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131E8057" w14:textId="147D98E2"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1.3 (1.0-1.6), 0.045</w:t>
            </w:r>
          </w:p>
        </w:tc>
        <w:tc>
          <w:tcPr>
            <w:tcW w:w="2126" w:type="dxa"/>
            <w:gridSpan w:val="2"/>
            <w:vAlign w:val="bottom"/>
          </w:tcPr>
          <w:p w14:paraId="142E3AE9" w14:textId="5C43E9F9"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1.4 (1.1-1.7), 0.006</w:t>
            </w:r>
          </w:p>
        </w:tc>
        <w:tc>
          <w:tcPr>
            <w:tcW w:w="2126" w:type="dxa"/>
            <w:gridSpan w:val="2"/>
          </w:tcPr>
          <w:p w14:paraId="4C96C40D" w14:textId="1B77CB7C"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0.9 (0.5-1.8), 0.781</w:t>
            </w:r>
          </w:p>
        </w:tc>
      </w:tr>
      <w:tr w:rsidR="00187FD6" w:rsidRPr="0015134B" w14:paraId="2D4E145C" w14:textId="77777777" w:rsidTr="00187FD6">
        <w:tc>
          <w:tcPr>
            <w:tcW w:w="2689" w:type="dxa"/>
          </w:tcPr>
          <w:p w14:paraId="4F76BF21" w14:textId="77777777" w:rsidR="00187FD6" w:rsidRPr="0015134B" w:rsidRDefault="00187FD6" w:rsidP="003212CA">
            <w:pPr>
              <w:spacing w:line="240" w:lineRule="auto"/>
              <w:rPr>
                <w:rFonts w:cs="Arial"/>
                <w:sz w:val="16"/>
                <w:szCs w:val="16"/>
              </w:rPr>
            </w:pPr>
            <w:r w:rsidRPr="0015134B">
              <w:rPr>
                <w:rFonts w:cs="Arial"/>
                <w:i/>
                <w:iCs/>
                <w:sz w:val="16"/>
                <w:szCs w:val="16"/>
              </w:rPr>
              <w:t>RASi/ARNi discontinuation</w:t>
            </w:r>
          </w:p>
        </w:tc>
        <w:tc>
          <w:tcPr>
            <w:tcW w:w="2126" w:type="dxa"/>
            <w:gridSpan w:val="2"/>
          </w:tcPr>
          <w:p w14:paraId="198F3A25" w14:textId="77777777" w:rsidR="00187FD6" w:rsidRPr="0015134B" w:rsidRDefault="00187FD6" w:rsidP="003212CA">
            <w:pPr>
              <w:spacing w:line="240" w:lineRule="auto"/>
              <w:jc w:val="center"/>
              <w:rPr>
                <w:rFonts w:cs="Arial"/>
                <w:sz w:val="16"/>
                <w:szCs w:val="16"/>
              </w:rPr>
            </w:pPr>
          </w:p>
        </w:tc>
        <w:tc>
          <w:tcPr>
            <w:tcW w:w="2126" w:type="dxa"/>
            <w:gridSpan w:val="2"/>
          </w:tcPr>
          <w:p w14:paraId="26B65929" w14:textId="77777777" w:rsidR="00187FD6" w:rsidRPr="0015134B" w:rsidRDefault="00187FD6" w:rsidP="003212CA">
            <w:pPr>
              <w:spacing w:line="240" w:lineRule="auto"/>
              <w:jc w:val="center"/>
              <w:rPr>
                <w:rFonts w:cs="Arial"/>
                <w:sz w:val="16"/>
                <w:szCs w:val="16"/>
              </w:rPr>
            </w:pPr>
          </w:p>
        </w:tc>
        <w:tc>
          <w:tcPr>
            <w:tcW w:w="2126" w:type="dxa"/>
            <w:gridSpan w:val="2"/>
          </w:tcPr>
          <w:p w14:paraId="3C874AD1" w14:textId="77777777" w:rsidR="00187FD6" w:rsidRPr="0015134B" w:rsidRDefault="00187FD6" w:rsidP="003212CA">
            <w:pPr>
              <w:spacing w:line="240" w:lineRule="auto"/>
              <w:jc w:val="center"/>
              <w:rPr>
                <w:rFonts w:cs="Arial"/>
                <w:sz w:val="16"/>
                <w:szCs w:val="16"/>
              </w:rPr>
            </w:pPr>
          </w:p>
        </w:tc>
      </w:tr>
      <w:tr w:rsidR="00CF0C67" w:rsidRPr="0015134B" w14:paraId="2319A33A" w14:textId="77777777" w:rsidTr="00030014">
        <w:tc>
          <w:tcPr>
            <w:tcW w:w="2689" w:type="dxa"/>
          </w:tcPr>
          <w:p w14:paraId="276FDE7F" w14:textId="55847522" w:rsidR="00CF0C67" w:rsidRPr="0015134B" w:rsidRDefault="00CF0C67" w:rsidP="00CF0C67">
            <w:pPr>
              <w:spacing w:line="240" w:lineRule="auto"/>
              <w:rPr>
                <w:rFonts w:cs="Arial"/>
                <w:i/>
                <w:iCs/>
                <w:sz w:val="16"/>
                <w:szCs w:val="16"/>
              </w:rPr>
            </w:pPr>
            <w:r w:rsidRPr="0015134B">
              <w:rPr>
                <w:rFonts w:cs="Arial"/>
                <w:sz w:val="16"/>
                <w:szCs w:val="16"/>
              </w:rPr>
              <w:t xml:space="preserve">     Event rate in out- vs. inpatients</w:t>
            </w:r>
          </w:p>
        </w:tc>
        <w:tc>
          <w:tcPr>
            <w:tcW w:w="1063" w:type="dxa"/>
            <w:vAlign w:val="bottom"/>
          </w:tcPr>
          <w:p w14:paraId="15CD367B" w14:textId="350997B2"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125 (2.7%)</w:t>
            </w:r>
          </w:p>
        </w:tc>
        <w:tc>
          <w:tcPr>
            <w:tcW w:w="1063" w:type="dxa"/>
            <w:vAlign w:val="bottom"/>
          </w:tcPr>
          <w:p w14:paraId="7CAFBA63" w14:textId="4C0D46C1"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117 (4.8%)</w:t>
            </w:r>
          </w:p>
        </w:tc>
        <w:tc>
          <w:tcPr>
            <w:tcW w:w="1063" w:type="dxa"/>
            <w:vAlign w:val="bottom"/>
          </w:tcPr>
          <w:p w14:paraId="7C8E6085" w14:textId="346031B5"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91 (4.4%)</w:t>
            </w:r>
          </w:p>
        </w:tc>
        <w:tc>
          <w:tcPr>
            <w:tcW w:w="1063" w:type="dxa"/>
            <w:vAlign w:val="bottom"/>
          </w:tcPr>
          <w:p w14:paraId="7D19D88E" w14:textId="695FAD31"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204 (8.0%)</w:t>
            </w:r>
          </w:p>
        </w:tc>
        <w:tc>
          <w:tcPr>
            <w:tcW w:w="1063" w:type="dxa"/>
            <w:vAlign w:val="bottom"/>
          </w:tcPr>
          <w:p w14:paraId="6395C4BB" w14:textId="168412BC"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31 (19.3%)</w:t>
            </w:r>
          </w:p>
        </w:tc>
        <w:tc>
          <w:tcPr>
            <w:tcW w:w="1063" w:type="dxa"/>
            <w:vAlign w:val="bottom"/>
          </w:tcPr>
          <w:p w14:paraId="4661702F" w14:textId="63CF794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73 (17.8%)</w:t>
            </w:r>
          </w:p>
        </w:tc>
      </w:tr>
      <w:tr w:rsidR="00CF0C67" w:rsidRPr="0015134B" w14:paraId="4ABE94C4" w14:textId="77777777" w:rsidTr="00187FD6">
        <w:tc>
          <w:tcPr>
            <w:tcW w:w="2689" w:type="dxa"/>
          </w:tcPr>
          <w:p w14:paraId="2997ADFB" w14:textId="56C8DABF"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3AFA3BB8" w14:textId="52D9827D"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1.8 (1.4-2.4), &lt;0.001</w:t>
            </w:r>
          </w:p>
        </w:tc>
        <w:tc>
          <w:tcPr>
            <w:tcW w:w="2126" w:type="dxa"/>
            <w:gridSpan w:val="2"/>
            <w:vAlign w:val="bottom"/>
          </w:tcPr>
          <w:p w14:paraId="2CD1CAE6" w14:textId="1B70E57B"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1.9 (1.5-2.4), &lt;0.001</w:t>
            </w:r>
          </w:p>
        </w:tc>
        <w:tc>
          <w:tcPr>
            <w:tcW w:w="2126" w:type="dxa"/>
            <w:gridSpan w:val="2"/>
          </w:tcPr>
          <w:p w14:paraId="0761B738" w14:textId="503A4CBE"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0.9 (0.6-1.5), 0.696</w:t>
            </w:r>
          </w:p>
        </w:tc>
      </w:tr>
      <w:tr w:rsidR="00187FD6" w:rsidRPr="0015134B" w14:paraId="7ABAE4FC" w14:textId="77777777" w:rsidTr="00187FD6">
        <w:tc>
          <w:tcPr>
            <w:tcW w:w="2689" w:type="dxa"/>
          </w:tcPr>
          <w:p w14:paraId="0C5E109A" w14:textId="77777777" w:rsidR="00187FD6" w:rsidRPr="0015134B" w:rsidRDefault="00187FD6" w:rsidP="003212CA">
            <w:pPr>
              <w:spacing w:line="240" w:lineRule="auto"/>
              <w:rPr>
                <w:rFonts w:cs="Arial"/>
                <w:sz w:val="16"/>
                <w:szCs w:val="16"/>
              </w:rPr>
            </w:pPr>
            <w:r w:rsidRPr="0015134B">
              <w:rPr>
                <w:rFonts w:cs="Arial"/>
                <w:i/>
                <w:iCs/>
                <w:sz w:val="16"/>
                <w:szCs w:val="16"/>
              </w:rPr>
              <w:t>Betablocker discontinuation</w:t>
            </w:r>
          </w:p>
        </w:tc>
        <w:tc>
          <w:tcPr>
            <w:tcW w:w="2126" w:type="dxa"/>
            <w:gridSpan w:val="2"/>
          </w:tcPr>
          <w:p w14:paraId="0FAF9EEB" w14:textId="77777777" w:rsidR="00187FD6" w:rsidRPr="0015134B" w:rsidRDefault="00187FD6" w:rsidP="003212CA">
            <w:pPr>
              <w:spacing w:line="240" w:lineRule="auto"/>
              <w:jc w:val="center"/>
              <w:rPr>
                <w:rFonts w:cs="Arial"/>
                <w:sz w:val="16"/>
                <w:szCs w:val="16"/>
              </w:rPr>
            </w:pPr>
          </w:p>
        </w:tc>
        <w:tc>
          <w:tcPr>
            <w:tcW w:w="2126" w:type="dxa"/>
            <w:gridSpan w:val="2"/>
          </w:tcPr>
          <w:p w14:paraId="5F704EF9" w14:textId="77777777" w:rsidR="00187FD6" w:rsidRPr="0015134B" w:rsidRDefault="00187FD6" w:rsidP="003212CA">
            <w:pPr>
              <w:spacing w:line="240" w:lineRule="auto"/>
              <w:jc w:val="center"/>
              <w:rPr>
                <w:rFonts w:cs="Arial"/>
                <w:sz w:val="16"/>
                <w:szCs w:val="16"/>
              </w:rPr>
            </w:pPr>
          </w:p>
        </w:tc>
        <w:tc>
          <w:tcPr>
            <w:tcW w:w="2126" w:type="dxa"/>
            <w:gridSpan w:val="2"/>
          </w:tcPr>
          <w:p w14:paraId="729289BC" w14:textId="77777777" w:rsidR="00187FD6" w:rsidRPr="0015134B" w:rsidRDefault="00187FD6" w:rsidP="003212CA">
            <w:pPr>
              <w:spacing w:line="240" w:lineRule="auto"/>
              <w:jc w:val="center"/>
              <w:rPr>
                <w:rFonts w:cs="Arial"/>
                <w:sz w:val="16"/>
                <w:szCs w:val="16"/>
              </w:rPr>
            </w:pPr>
          </w:p>
        </w:tc>
      </w:tr>
      <w:tr w:rsidR="00CF0C67" w:rsidRPr="0015134B" w14:paraId="21A77D18" w14:textId="77777777" w:rsidTr="0095725A">
        <w:tc>
          <w:tcPr>
            <w:tcW w:w="2689" w:type="dxa"/>
          </w:tcPr>
          <w:p w14:paraId="6EEF82C4" w14:textId="4074253B" w:rsidR="00CF0C67" w:rsidRPr="0015134B" w:rsidRDefault="00CF0C67" w:rsidP="00CF0C67">
            <w:pPr>
              <w:spacing w:line="240" w:lineRule="auto"/>
              <w:rPr>
                <w:rFonts w:cs="Arial"/>
                <w:i/>
                <w:iCs/>
                <w:sz w:val="16"/>
                <w:szCs w:val="16"/>
              </w:rPr>
            </w:pPr>
            <w:r w:rsidRPr="0015134B">
              <w:rPr>
                <w:rFonts w:cs="Arial"/>
                <w:sz w:val="16"/>
                <w:szCs w:val="16"/>
              </w:rPr>
              <w:t xml:space="preserve">     Event rate in out- vs. inpatients</w:t>
            </w:r>
          </w:p>
        </w:tc>
        <w:tc>
          <w:tcPr>
            <w:tcW w:w="1063" w:type="dxa"/>
            <w:vAlign w:val="bottom"/>
          </w:tcPr>
          <w:p w14:paraId="577650B3" w14:textId="0645489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147 (3.3%)</w:t>
            </w:r>
          </w:p>
        </w:tc>
        <w:tc>
          <w:tcPr>
            <w:tcW w:w="1063" w:type="dxa"/>
            <w:vAlign w:val="bottom"/>
          </w:tcPr>
          <w:p w14:paraId="7102D79D" w14:textId="2AFEA039"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120 (5.1%)</w:t>
            </w:r>
          </w:p>
        </w:tc>
        <w:tc>
          <w:tcPr>
            <w:tcW w:w="1063" w:type="dxa"/>
            <w:vAlign w:val="bottom"/>
          </w:tcPr>
          <w:p w14:paraId="15169427" w14:textId="05557C9C"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71 (3.4%)</w:t>
            </w:r>
          </w:p>
        </w:tc>
        <w:tc>
          <w:tcPr>
            <w:tcW w:w="1063" w:type="dxa"/>
            <w:vAlign w:val="bottom"/>
          </w:tcPr>
          <w:p w14:paraId="1E3E6839" w14:textId="3B9A0E3E"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118 (4.4%)</w:t>
            </w:r>
          </w:p>
        </w:tc>
        <w:tc>
          <w:tcPr>
            <w:tcW w:w="1063" w:type="dxa"/>
            <w:vAlign w:val="bottom"/>
          </w:tcPr>
          <w:p w14:paraId="5B311431" w14:textId="20212263"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8 (4.1%)</w:t>
            </w:r>
          </w:p>
        </w:tc>
        <w:tc>
          <w:tcPr>
            <w:tcW w:w="1063" w:type="dxa"/>
            <w:vAlign w:val="bottom"/>
          </w:tcPr>
          <w:p w14:paraId="157AC36A" w14:textId="3230FCD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34 (6.6%)</w:t>
            </w:r>
          </w:p>
        </w:tc>
      </w:tr>
      <w:tr w:rsidR="00CF0C67" w:rsidRPr="0015134B" w14:paraId="568F1B2F" w14:textId="77777777" w:rsidTr="00187FD6">
        <w:tc>
          <w:tcPr>
            <w:tcW w:w="2689" w:type="dxa"/>
          </w:tcPr>
          <w:p w14:paraId="3176D56A" w14:textId="21D1914F"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36E6193A" w14:textId="2AA2390C"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1.6 (1.2-2.0), &lt;0.001</w:t>
            </w:r>
          </w:p>
        </w:tc>
        <w:tc>
          <w:tcPr>
            <w:tcW w:w="2126" w:type="dxa"/>
            <w:gridSpan w:val="2"/>
            <w:vAlign w:val="bottom"/>
          </w:tcPr>
          <w:p w14:paraId="3462981E" w14:textId="73D8DEC0"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1.3 (1.0-1.8), 0.076</w:t>
            </w:r>
          </w:p>
        </w:tc>
        <w:tc>
          <w:tcPr>
            <w:tcW w:w="2126" w:type="dxa"/>
            <w:gridSpan w:val="2"/>
          </w:tcPr>
          <w:p w14:paraId="45728CC4" w14:textId="43420842"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1.6 (0.7-3.6), 0.219</w:t>
            </w:r>
          </w:p>
        </w:tc>
      </w:tr>
      <w:tr w:rsidR="00187FD6" w:rsidRPr="0015134B" w14:paraId="5C81F284" w14:textId="77777777" w:rsidTr="00187FD6">
        <w:tc>
          <w:tcPr>
            <w:tcW w:w="2689" w:type="dxa"/>
          </w:tcPr>
          <w:p w14:paraId="4B12CE10" w14:textId="77777777" w:rsidR="00187FD6" w:rsidRPr="0015134B" w:rsidRDefault="00187FD6" w:rsidP="003212CA">
            <w:pPr>
              <w:spacing w:line="240" w:lineRule="auto"/>
              <w:rPr>
                <w:rFonts w:cs="Arial"/>
                <w:sz w:val="16"/>
                <w:szCs w:val="16"/>
              </w:rPr>
            </w:pPr>
            <w:r w:rsidRPr="0015134B">
              <w:rPr>
                <w:rFonts w:cs="Arial"/>
                <w:i/>
                <w:iCs/>
                <w:sz w:val="16"/>
                <w:szCs w:val="16"/>
              </w:rPr>
              <w:t>Loop diuretic discontinuation</w:t>
            </w:r>
          </w:p>
        </w:tc>
        <w:tc>
          <w:tcPr>
            <w:tcW w:w="2126" w:type="dxa"/>
            <w:gridSpan w:val="2"/>
          </w:tcPr>
          <w:p w14:paraId="2B781C8C" w14:textId="77777777" w:rsidR="00187FD6" w:rsidRPr="0015134B" w:rsidRDefault="00187FD6" w:rsidP="003212CA">
            <w:pPr>
              <w:spacing w:line="240" w:lineRule="auto"/>
              <w:jc w:val="center"/>
              <w:rPr>
                <w:rFonts w:cs="Arial"/>
                <w:sz w:val="16"/>
                <w:szCs w:val="16"/>
              </w:rPr>
            </w:pPr>
          </w:p>
        </w:tc>
        <w:tc>
          <w:tcPr>
            <w:tcW w:w="2126" w:type="dxa"/>
            <w:gridSpan w:val="2"/>
          </w:tcPr>
          <w:p w14:paraId="39EBED71" w14:textId="77777777" w:rsidR="00187FD6" w:rsidRPr="0015134B" w:rsidRDefault="00187FD6" w:rsidP="003212CA">
            <w:pPr>
              <w:spacing w:line="240" w:lineRule="auto"/>
              <w:jc w:val="center"/>
              <w:rPr>
                <w:rFonts w:cs="Arial"/>
                <w:sz w:val="16"/>
                <w:szCs w:val="16"/>
              </w:rPr>
            </w:pPr>
          </w:p>
        </w:tc>
        <w:tc>
          <w:tcPr>
            <w:tcW w:w="2126" w:type="dxa"/>
            <w:gridSpan w:val="2"/>
          </w:tcPr>
          <w:p w14:paraId="2B00E5F0" w14:textId="77777777" w:rsidR="00187FD6" w:rsidRPr="0015134B" w:rsidRDefault="00187FD6" w:rsidP="003212CA">
            <w:pPr>
              <w:spacing w:line="240" w:lineRule="auto"/>
              <w:jc w:val="center"/>
              <w:rPr>
                <w:rFonts w:cs="Arial"/>
                <w:sz w:val="16"/>
                <w:szCs w:val="16"/>
              </w:rPr>
            </w:pPr>
          </w:p>
        </w:tc>
      </w:tr>
      <w:tr w:rsidR="00CF0C67" w:rsidRPr="0015134B" w14:paraId="1A71A6E5" w14:textId="77777777" w:rsidTr="001736BC">
        <w:tc>
          <w:tcPr>
            <w:tcW w:w="2689" w:type="dxa"/>
          </w:tcPr>
          <w:p w14:paraId="004192FD" w14:textId="5E369868" w:rsidR="00CF0C67" w:rsidRPr="0015134B" w:rsidRDefault="00CF0C67" w:rsidP="00CF0C67">
            <w:pPr>
              <w:spacing w:line="240" w:lineRule="auto"/>
              <w:rPr>
                <w:rFonts w:cs="Arial"/>
                <w:i/>
                <w:iCs/>
                <w:sz w:val="16"/>
                <w:szCs w:val="16"/>
              </w:rPr>
            </w:pPr>
            <w:r w:rsidRPr="0015134B">
              <w:rPr>
                <w:rFonts w:cs="Arial"/>
                <w:sz w:val="16"/>
                <w:szCs w:val="16"/>
              </w:rPr>
              <w:t xml:space="preserve">     Event rate in out- vs. inpatients</w:t>
            </w:r>
          </w:p>
        </w:tc>
        <w:tc>
          <w:tcPr>
            <w:tcW w:w="1063" w:type="dxa"/>
            <w:vAlign w:val="bottom"/>
          </w:tcPr>
          <w:p w14:paraId="28DCA6FD" w14:textId="795A518B"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492 (23.0%)</w:t>
            </w:r>
          </w:p>
        </w:tc>
        <w:tc>
          <w:tcPr>
            <w:tcW w:w="1063" w:type="dxa"/>
            <w:vAlign w:val="bottom"/>
          </w:tcPr>
          <w:p w14:paraId="33FEF966" w14:textId="18F7326A"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113 (5.7%)</w:t>
            </w:r>
          </w:p>
        </w:tc>
        <w:tc>
          <w:tcPr>
            <w:tcW w:w="1063" w:type="dxa"/>
            <w:vAlign w:val="bottom"/>
          </w:tcPr>
          <w:p w14:paraId="57B28E74" w14:textId="5E55DC2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221 (13.6%)</w:t>
            </w:r>
          </w:p>
        </w:tc>
        <w:tc>
          <w:tcPr>
            <w:tcW w:w="1063" w:type="dxa"/>
            <w:vAlign w:val="bottom"/>
          </w:tcPr>
          <w:p w14:paraId="780FCE28" w14:textId="1EEBC798"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86 (3.4%)</w:t>
            </w:r>
          </w:p>
        </w:tc>
        <w:tc>
          <w:tcPr>
            <w:tcW w:w="1063" w:type="dxa"/>
            <w:vAlign w:val="bottom"/>
          </w:tcPr>
          <w:p w14:paraId="1164C274" w14:textId="5654DC9F"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13 (7.3%)</w:t>
            </w:r>
          </w:p>
        </w:tc>
        <w:tc>
          <w:tcPr>
            <w:tcW w:w="1063" w:type="dxa"/>
            <w:vAlign w:val="bottom"/>
          </w:tcPr>
          <w:p w14:paraId="059AB07F" w14:textId="10A0A7C4" w:rsidR="00CF0C67" w:rsidRPr="0015134B" w:rsidRDefault="00CF0C67" w:rsidP="00CF0C67">
            <w:pPr>
              <w:spacing w:line="240" w:lineRule="auto"/>
              <w:jc w:val="center"/>
              <w:rPr>
                <w:rFonts w:cs="Arial"/>
                <w:color w:val="000000"/>
                <w:sz w:val="16"/>
                <w:szCs w:val="16"/>
              </w:rPr>
            </w:pPr>
            <w:r w:rsidRPr="0015134B">
              <w:rPr>
                <w:rFonts w:cs="Arial"/>
                <w:color w:val="000000"/>
                <w:sz w:val="16"/>
                <w:szCs w:val="16"/>
              </w:rPr>
              <w:t>20 (3.8%)</w:t>
            </w:r>
          </w:p>
        </w:tc>
      </w:tr>
      <w:tr w:rsidR="00CF0C67" w:rsidRPr="0015134B" w14:paraId="032D8A1F" w14:textId="77777777" w:rsidTr="00187FD6">
        <w:tc>
          <w:tcPr>
            <w:tcW w:w="2689" w:type="dxa"/>
          </w:tcPr>
          <w:p w14:paraId="151C5FDC" w14:textId="5B9275BC" w:rsidR="00CF0C67" w:rsidRPr="0015134B" w:rsidRDefault="00CF0C67" w:rsidP="00CF0C67">
            <w:pPr>
              <w:spacing w:line="240" w:lineRule="auto"/>
              <w:rPr>
                <w:rFonts w:cs="Arial"/>
                <w:sz w:val="16"/>
                <w:szCs w:val="16"/>
              </w:rPr>
            </w:pPr>
            <w:r w:rsidRPr="0015134B">
              <w:rPr>
                <w:rFonts w:cs="Arial"/>
                <w:sz w:val="16"/>
                <w:szCs w:val="16"/>
              </w:rPr>
              <w:t xml:space="preserve">     Crude OR (95% CI), p-value</w:t>
            </w:r>
          </w:p>
        </w:tc>
        <w:tc>
          <w:tcPr>
            <w:tcW w:w="2126" w:type="dxa"/>
            <w:gridSpan w:val="2"/>
            <w:vAlign w:val="bottom"/>
          </w:tcPr>
          <w:p w14:paraId="7C962507" w14:textId="64C27986"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0.2 (0.2-0.2), &lt;0.001</w:t>
            </w:r>
          </w:p>
        </w:tc>
        <w:tc>
          <w:tcPr>
            <w:tcW w:w="2126" w:type="dxa"/>
            <w:gridSpan w:val="2"/>
            <w:vAlign w:val="bottom"/>
          </w:tcPr>
          <w:p w14:paraId="271780E5" w14:textId="45CD30BD"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0.2 (0.2-0.3), &lt;0.001</w:t>
            </w:r>
          </w:p>
        </w:tc>
        <w:tc>
          <w:tcPr>
            <w:tcW w:w="2126" w:type="dxa"/>
            <w:gridSpan w:val="2"/>
          </w:tcPr>
          <w:p w14:paraId="4BB894B4" w14:textId="2E5D388D" w:rsidR="00CF0C67" w:rsidRPr="0015134B" w:rsidRDefault="00CF0C67" w:rsidP="00CF0C67">
            <w:pPr>
              <w:spacing w:line="240" w:lineRule="auto"/>
              <w:jc w:val="center"/>
              <w:rPr>
                <w:rFonts w:cs="Arial"/>
                <w:color w:val="000000"/>
                <w:sz w:val="16"/>
                <w:szCs w:val="16"/>
                <w:lang w:val="de-DE"/>
              </w:rPr>
            </w:pPr>
            <w:r w:rsidRPr="0015134B">
              <w:rPr>
                <w:rFonts w:cs="Arial"/>
                <w:color w:val="000000"/>
                <w:sz w:val="16"/>
                <w:szCs w:val="16"/>
              </w:rPr>
              <w:t>0.5 (0.2-1.0), 0.056</w:t>
            </w:r>
          </w:p>
        </w:tc>
      </w:tr>
    </w:tbl>
    <w:p w14:paraId="4C41DE08" w14:textId="00B40FE5" w:rsidR="00187FD6" w:rsidRPr="0015134B" w:rsidRDefault="00187FD6" w:rsidP="00154D70">
      <w:pPr>
        <w:rPr>
          <w:sz w:val="20"/>
          <w:szCs w:val="20"/>
        </w:rPr>
      </w:pPr>
    </w:p>
    <w:p w14:paraId="4BD9E7CB" w14:textId="7698A6EE" w:rsidR="000A02D5" w:rsidRPr="0015134B" w:rsidRDefault="000A02D5" w:rsidP="000A02D5">
      <w:pPr>
        <w:rPr>
          <w:rFonts w:cs="Arial"/>
          <w:sz w:val="16"/>
          <w:szCs w:val="16"/>
        </w:rPr>
      </w:pPr>
      <w:r w:rsidRPr="0015134B">
        <w:rPr>
          <w:rFonts w:cs="Arial"/>
          <w:sz w:val="16"/>
          <w:szCs w:val="16"/>
        </w:rPr>
        <w:t>Initiation/discontinuation of heart failure treatments is compared between patients with a heart failure hospitalization vs. out-patients (i.e.</w:t>
      </w:r>
      <w:r w:rsidR="00BC0892" w:rsidRPr="0015134B">
        <w:rPr>
          <w:rFonts w:cs="Arial"/>
          <w:sz w:val="16"/>
          <w:szCs w:val="16"/>
        </w:rPr>
        <w:t>,</w:t>
      </w:r>
      <w:r w:rsidRPr="0015134B">
        <w:rPr>
          <w:rFonts w:cs="Arial"/>
          <w:sz w:val="16"/>
          <w:szCs w:val="16"/>
        </w:rPr>
        <w:t xml:space="preserve"> patients without a heart failure hospitalization), stratified by eGFR. For initiation of heart failure treatments, no prior treatment was defined as no dispensed prescription within 8 months to 1 day before the index date, and post treatment was defined as 2 dispensed prescriptions from the index date until 8 months thereafter, and vice versa for discontinuation of heart failure treatments. Crude event rates and crude odds ratios are shown. </w:t>
      </w:r>
      <w:r w:rsidR="00BD1E4C" w:rsidRPr="0015134B">
        <w:rPr>
          <w:rFonts w:cs="Arial"/>
          <w:sz w:val="16"/>
          <w:szCs w:val="16"/>
        </w:rPr>
        <w:t>e</w:t>
      </w:r>
      <w:r w:rsidRPr="0015134B">
        <w:rPr>
          <w:rFonts w:cs="Arial"/>
          <w:sz w:val="16"/>
          <w:szCs w:val="16"/>
        </w:rPr>
        <w:t>GFR: Estimated glomerular filtration rate; OR: Odds ratio; CI: Confidence interval; MRA: Mineralocorticoid receptor antagonist; HFrEF: Heart failure with reduced ejection fraction; HFmrEF: Heart failure with mildly reduced ejection fraction; RASi: Renin-aldosteron-system inhibitors; ARNi: Angiotensin-receptor neprilysin-inhibitors.</w:t>
      </w:r>
    </w:p>
    <w:p w14:paraId="16D27845" w14:textId="77777777" w:rsidR="000A02D5" w:rsidRPr="0015134B" w:rsidRDefault="000A02D5" w:rsidP="00154D70">
      <w:pPr>
        <w:rPr>
          <w:sz w:val="20"/>
          <w:szCs w:val="20"/>
        </w:rPr>
      </w:pPr>
    </w:p>
    <w:p w14:paraId="38CBB32B" w14:textId="77777777" w:rsidR="00F37F39" w:rsidRPr="0015134B" w:rsidRDefault="00F37F39" w:rsidP="00154D70">
      <w:pPr>
        <w:rPr>
          <w:sz w:val="20"/>
          <w:szCs w:val="20"/>
        </w:rPr>
        <w:sectPr w:rsidR="00F37F39" w:rsidRPr="0015134B" w:rsidSect="007D3733">
          <w:pgSz w:w="11900" w:h="16840"/>
          <w:pgMar w:top="1417" w:right="1417" w:bottom="1134" w:left="1417" w:header="708" w:footer="708" w:gutter="0"/>
          <w:lnNumType w:countBy="1" w:restart="continuous"/>
          <w:cols w:space="708"/>
          <w:docGrid w:linePitch="360"/>
        </w:sectPr>
      </w:pPr>
    </w:p>
    <w:p w14:paraId="0C4D6BAB" w14:textId="6011CA49" w:rsidR="001035D3" w:rsidRPr="0015134B" w:rsidRDefault="001035D3" w:rsidP="001035D3">
      <w:pPr>
        <w:rPr>
          <w:rFonts w:cs="Arial"/>
          <w:sz w:val="20"/>
          <w:szCs w:val="20"/>
        </w:rPr>
      </w:pPr>
      <w:r w:rsidRPr="0015134B">
        <w:rPr>
          <w:i/>
          <w:iCs/>
          <w:sz w:val="20"/>
          <w:szCs w:val="20"/>
        </w:rPr>
        <w:lastRenderedPageBreak/>
        <w:t xml:space="preserve">Supplement Figure 1. </w:t>
      </w:r>
      <w:r w:rsidRPr="0015134B">
        <w:rPr>
          <w:rFonts w:cs="Arial"/>
          <w:sz w:val="20"/>
          <w:szCs w:val="20"/>
        </w:rPr>
        <w:t>Outline of the study design.</w:t>
      </w:r>
    </w:p>
    <w:p w14:paraId="258A32BB" w14:textId="541675D0" w:rsidR="001035D3" w:rsidRPr="0015134B" w:rsidRDefault="001035D3" w:rsidP="001035D3">
      <w:pPr>
        <w:jc w:val="center"/>
        <w:rPr>
          <w:rFonts w:cs="Arial"/>
          <w:sz w:val="20"/>
          <w:szCs w:val="20"/>
        </w:rPr>
      </w:pPr>
      <w:r w:rsidRPr="0015134B">
        <w:rPr>
          <w:rFonts w:cs="Arial"/>
          <w:noProof/>
          <w:sz w:val="20"/>
          <w:szCs w:val="20"/>
        </w:rPr>
        <w:drawing>
          <wp:inline distT="0" distB="0" distL="0" distR="0" wp14:anchorId="7CB29AA1" wp14:editId="76215E57">
            <wp:extent cx="4789170" cy="412229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8">
                      <a:extLst>
                        <a:ext uri="{28A0092B-C50C-407E-A947-70E740481C1C}">
                          <a14:useLocalDpi xmlns:a14="http://schemas.microsoft.com/office/drawing/2010/main" val="0"/>
                        </a:ext>
                      </a:extLst>
                    </a:blip>
                    <a:srcRect b="51581"/>
                    <a:stretch/>
                  </pic:blipFill>
                  <pic:spPr bwMode="auto">
                    <a:xfrm>
                      <a:off x="0" y="0"/>
                      <a:ext cx="4789357" cy="4122456"/>
                    </a:xfrm>
                    <a:prstGeom prst="rect">
                      <a:avLst/>
                    </a:prstGeom>
                    <a:ln>
                      <a:noFill/>
                    </a:ln>
                    <a:extLst>
                      <a:ext uri="{53640926-AAD7-44D8-BBD7-CCE9431645EC}">
                        <a14:shadowObscured xmlns:a14="http://schemas.microsoft.com/office/drawing/2010/main"/>
                      </a:ext>
                    </a:extLst>
                  </pic:spPr>
                </pic:pic>
              </a:graphicData>
            </a:graphic>
          </wp:inline>
        </w:drawing>
      </w:r>
    </w:p>
    <w:p w14:paraId="3CED7599" w14:textId="178632FE" w:rsidR="001035D3" w:rsidRPr="0015134B" w:rsidRDefault="001035D3" w:rsidP="001035D3">
      <w:pPr>
        <w:spacing w:line="360" w:lineRule="auto"/>
        <w:rPr>
          <w:rFonts w:cs="Arial"/>
          <w:sz w:val="16"/>
          <w:szCs w:val="16"/>
        </w:rPr>
      </w:pPr>
      <w:r w:rsidRPr="0015134B">
        <w:rPr>
          <w:rFonts w:cs="Arial"/>
          <w:sz w:val="16"/>
          <w:szCs w:val="16"/>
        </w:rPr>
        <w:t>HF: Heart failure.</w:t>
      </w:r>
    </w:p>
    <w:p w14:paraId="6E2A29CF" w14:textId="77777777" w:rsidR="001035D3" w:rsidRPr="0015134B" w:rsidRDefault="001035D3" w:rsidP="00BC0892">
      <w:pPr>
        <w:rPr>
          <w:i/>
          <w:iCs/>
          <w:sz w:val="20"/>
          <w:szCs w:val="20"/>
        </w:rPr>
      </w:pPr>
      <w:r w:rsidRPr="0015134B">
        <w:rPr>
          <w:i/>
          <w:iCs/>
          <w:sz w:val="20"/>
          <w:szCs w:val="20"/>
        </w:rPr>
        <w:br w:type="page"/>
      </w:r>
    </w:p>
    <w:p w14:paraId="6C5E1456" w14:textId="19265226" w:rsidR="00BC0892" w:rsidRPr="0015134B" w:rsidRDefault="00BC0892" w:rsidP="00BC0892">
      <w:pPr>
        <w:rPr>
          <w:rFonts w:cs="Arial"/>
          <w:sz w:val="20"/>
          <w:szCs w:val="20"/>
        </w:rPr>
      </w:pPr>
      <w:r w:rsidRPr="0015134B">
        <w:rPr>
          <w:i/>
          <w:iCs/>
          <w:sz w:val="20"/>
          <w:szCs w:val="20"/>
        </w:rPr>
        <w:lastRenderedPageBreak/>
        <w:t xml:space="preserve">Supplement Figure </w:t>
      </w:r>
      <w:r w:rsidR="001035D3" w:rsidRPr="0015134B">
        <w:rPr>
          <w:i/>
          <w:iCs/>
          <w:sz w:val="20"/>
          <w:szCs w:val="20"/>
        </w:rPr>
        <w:t>2</w:t>
      </w:r>
      <w:r w:rsidRPr="0015134B">
        <w:rPr>
          <w:i/>
          <w:iCs/>
          <w:sz w:val="20"/>
          <w:szCs w:val="20"/>
        </w:rPr>
        <w:t xml:space="preserve">. </w:t>
      </w:r>
      <w:r w:rsidRPr="0015134B">
        <w:rPr>
          <w:rFonts w:cs="Arial"/>
          <w:sz w:val="20"/>
          <w:szCs w:val="20"/>
        </w:rPr>
        <w:t>Likelihood of initiation/discontinuation of heart failure treatments in patients with vs. without a heart failure hospitalization, stratified by renal function</w:t>
      </w:r>
      <w:r w:rsidR="00F6491B" w:rsidRPr="0015134B">
        <w:rPr>
          <w:rFonts w:cs="Arial"/>
          <w:sz w:val="20"/>
          <w:szCs w:val="20"/>
        </w:rPr>
        <w:t xml:space="preserve"> in two strata</w:t>
      </w:r>
      <w:r w:rsidRPr="0015134B">
        <w:rPr>
          <w:rFonts w:cs="Arial"/>
          <w:sz w:val="20"/>
          <w:szCs w:val="20"/>
        </w:rPr>
        <w:t>.</w:t>
      </w:r>
    </w:p>
    <w:p w14:paraId="703F263E" w14:textId="77777777" w:rsidR="00BC0892" w:rsidRPr="0015134B" w:rsidRDefault="00BC0892" w:rsidP="00BC0892">
      <w:pPr>
        <w:jc w:val="center"/>
        <w:rPr>
          <w:i/>
          <w:iCs/>
          <w:sz w:val="20"/>
          <w:szCs w:val="20"/>
        </w:rPr>
      </w:pPr>
      <w:r w:rsidRPr="0015134B">
        <w:rPr>
          <w:i/>
          <w:iCs/>
          <w:noProof/>
          <w:sz w:val="20"/>
          <w:szCs w:val="20"/>
        </w:rPr>
        <w:drawing>
          <wp:inline distT="0" distB="0" distL="0" distR="0" wp14:anchorId="5B33F113" wp14:editId="6E878101">
            <wp:extent cx="4590000" cy="6524334"/>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9">
                      <a:extLst>
                        <a:ext uri="{28A0092B-C50C-407E-A947-70E740481C1C}">
                          <a14:useLocalDpi xmlns:a14="http://schemas.microsoft.com/office/drawing/2010/main" val="0"/>
                        </a:ext>
                      </a:extLst>
                    </a:blip>
                    <a:srcRect b="20044"/>
                    <a:stretch/>
                  </pic:blipFill>
                  <pic:spPr bwMode="auto">
                    <a:xfrm>
                      <a:off x="0" y="0"/>
                      <a:ext cx="4590000" cy="6524334"/>
                    </a:xfrm>
                    <a:prstGeom prst="rect">
                      <a:avLst/>
                    </a:prstGeom>
                    <a:ln>
                      <a:noFill/>
                    </a:ln>
                    <a:extLst>
                      <a:ext uri="{53640926-AAD7-44D8-BBD7-CCE9431645EC}">
                        <a14:shadowObscured xmlns:a14="http://schemas.microsoft.com/office/drawing/2010/main"/>
                      </a:ext>
                    </a:extLst>
                  </pic:spPr>
                </pic:pic>
              </a:graphicData>
            </a:graphic>
          </wp:inline>
        </w:drawing>
      </w:r>
    </w:p>
    <w:p w14:paraId="41AB143B" w14:textId="6D69B148" w:rsidR="00BC0892" w:rsidRPr="0015134B" w:rsidRDefault="00BC0892" w:rsidP="00BC0892">
      <w:pPr>
        <w:spacing w:line="360" w:lineRule="auto"/>
        <w:rPr>
          <w:rFonts w:cs="Arial"/>
          <w:sz w:val="16"/>
          <w:szCs w:val="16"/>
        </w:rPr>
      </w:pPr>
      <w:r w:rsidRPr="0015134B">
        <w:rPr>
          <w:rFonts w:cs="Arial"/>
          <w:sz w:val="16"/>
          <w:szCs w:val="16"/>
        </w:rPr>
        <w:t>Initiation/discontinuation of heart failure treatments is compared between patients with a heart failure hospitalization vs. out-patients (i.e.</w:t>
      </w:r>
      <w:r w:rsidR="00F6491B" w:rsidRPr="0015134B">
        <w:rPr>
          <w:rFonts w:cs="Arial"/>
          <w:sz w:val="16"/>
          <w:szCs w:val="16"/>
        </w:rPr>
        <w:t>,</w:t>
      </w:r>
      <w:r w:rsidRPr="0015134B">
        <w:rPr>
          <w:rFonts w:cs="Arial"/>
          <w:sz w:val="16"/>
          <w:szCs w:val="16"/>
        </w:rPr>
        <w:t xml:space="preserve"> patients without a heart failure hospitalization), stratified by eGFR</w:t>
      </w:r>
      <w:r w:rsidR="00F6491B" w:rsidRPr="0015134B">
        <w:rPr>
          <w:rFonts w:cs="Arial"/>
          <w:sz w:val="16"/>
          <w:szCs w:val="16"/>
        </w:rPr>
        <w:t xml:space="preserve"> in two strata</w:t>
      </w:r>
      <w:r w:rsidRPr="0015134B">
        <w:rPr>
          <w:rFonts w:cs="Arial"/>
          <w:sz w:val="16"/>
          <w:szCs w:val="16"/>
        </w:rPr>
        <w:t xml:space="preserve">. For initiation of heart failure treatments (A), no prior treatment was defined as no dispensed prescription within 6 months to 1 day before the index date, and post treatment is defined as 1 dispensed prescription from the index date until 6 months thereafter, and vice versa for discontinuation of heart failure treatments (B). Crude event rates and adjusted odds ratios are shown, and variables used for adjustment in the underlying logistic regression model are reported in </w:t>
      </w:r>
      <w:r w:rsidRPr="0015134B">
        <w:rPr>
          <w:rFonts w:cs="Arial"/>
          <w:i/>
          <w:iCs/>
          <w:sz w:val="16"/>
          <w:szCs w:val="16"/>
        </w:rPr>
        <w:t>Table 1</w:t>
      </w:r>
      <w:r w:rsidRPr="0015134B">
        <w:rPr>
          <w:rFonts w:cs="Arial"/>
          <w:sz w:val="16"/>
          <w:szCs w:val="16"/>
        </w:rPr>
        <w:t xml:space="preserve">. An OR &gt;1 indicates a higher, and an OR &lt;1 indicates a lower likelihood of initiation/discontinuation of heart failure treatments in hospitalized patients. </w:t>
      </w:r>
      <w:r w:rsidR="00BD1E4C" w:rsidRPr="0015134B">
        <w:rPr>
          <w:rFonts w:cs="Arial"/>
          <w:sz w:val="16"/>
          <w:szCs w:val="16"/>
        </w:rPr>
        <w:t>e</w:t>
      </w:r>
      <w:r w:rsidRPr="0015134B">
        <w:rPr>
          <w:rFonts w:cs="Arial"/>
          <w:sz w:val="16"/>
          <w:szCs w:val="16"/>
        </w:rPr>
        <w:t>GFR: Estimated glomerular filtration rate; OR: Odds ratio; CI: Confidence interval; MRA: Mineralocorticoid receptor antagonist; HFrEF: Heart failure with reduced ejection fraction; HFmrEF: Heart failure with mildly reduced ejection fraction; RASi: Renin-aldosteron-system inhibitors; ARNi: Angiotensin-receptor neprilysin-inhibitors.</w:t>
      </w:r>
    </w:p>
    <w:p w14:paraId="1A04764C" w14:textId="1A544C44" w:rsidR="00D87772" w:rsidRPr="0015134B" w:rsidRDefault="00D87772" w:rsidP="00D87772">
      <w:pPr>
        <w:rPr>
          <w:rFonts w:cs="Arial"/>
          <w:sz w:val="16"/>
          <w:szCs w:val="16"/>
        </w:rPr>
        <w:sectPr w:rsidR="00D87772" w:rsidRPr="0015134B" w:rsidSect="00FD0401">
          <w:pgSz w:w="11900" w:h="16840"/>
          <w:pgMar w:top="1417" w:right="1417" w:bottom="1134" w:left="1417" w:header="708" w:footer="708" w:gutter="0"/>
          <w:cols w:space="708"/>
          <w:docGrid w:linePitch="360"/>
        </w:sectPr>
      </w:pPr>
    </w:p>
    <w:p w14:paraId="55AD17C8" w14:textId="587F0CC7" w:rsidR="00D87772" w:rsidRPr="0015134B" w:rsidRDefault="00D87772" w:rsidP="00D87772">
      <w:pPr>
        <w:rPr>
          <w:rFonts w:cs="Arial"/>
          <w:sz w:val="20"/>
          <w:szCs w:val="20"/>
        </w:rPr>
      </w:pPr>
      <w:r w:rsidRPr="0015134B">
        <w:rPr>
          <w:i/>
          <w:iCs/>
          <w:sz w:val="20"/>
          <w:szCs w:val="20"/>
        </w:rPr>
        <w:lastRenderedPageBreak/>
        <w:t xml:space="preserve">Supplement Figure </w:t>
      </w:r>
      <w:r w:rsidR="001035D3" w:rsidRPr="0015134B">
        <w:rPr>
          <w:i/>
          <w:iCs/>
          <w:sz w:val="20"/>
          <w:szCs w:val="20"/>
        </w:rPr>
        <w:t>3</w:t>
      </w:r>
      <w:r w:rsidRPr="0015134B">
        <w:rPr>
          <w:i/>
          <w:iCs/>
          <w:sz w:val="20"/>
          <w:szCs w:val="20"/>
        </w:rPr>
        <w:t xml:space="preserve">. </w:t>
      </w:r>
      <w:r w:rsidRPr="0015134B">
        <w:rPr>
          <w:rFonts w:cs="Arial"/>
          <w:sz w:val="20"/>
          <w:szCs w:val="20"/>
        </w:rPr>
        <w:t>Initiation/discontinuation of heart failure treatments in relation to recurrent heart failure hospitalizations over time.</w:t>
      </w:r>
    </w:p>
    <w:p w14:paraId="6C7625B3" w14:textId="77777777" w:rsidR="00D87772" w:rsidRPr="0015134B" w:rsidRDefault="00D87772" w:rsidP="00D87772">
      <w:pPr>
        <w:rPr>
          <w:rFonts w:cs="Arial"/>
          <w:sz w:val="20"/>
          <w:szCs w:val="20"/>
        </w:rPr>
      </w:pPr>
      <w:r w:rsidRPr="0015134B">
        <w:rPr>
          <w:rFonts w:cs="Arial"/>
          <w:noProof/>
          <w:sz w:val="20"/>
          <w:szCs w:val="20"/>
        </w:rPr>
        <w:drawing>
          <wp:inline distT="0" distB="0" distL="0" distR="0" wp14:anchorId="5E5B041C" wp14:editId="64B981BB">
            <wp:extent cx="9050558" cy="4684297"/>
            <wp:effectExtent l="0" t="0" r="508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rcRect t="3994" b="3994"/>
                    <a:stretch>
                      <a:fillRect/>
                    </a:stretch>
                  </pic:blipFill>
                  <pic:spPr bwMode="auto">
                    <a:xfrm>
                      <a:off x="0" y="0"/>
                      <a:ext cx="9094097" cy="4706832"/>
                    </a:xfrm>
                    <a:prstGeom prst="rect">
                      <a:avLst/>
                    </a:prstGeom>
                    <a:ln>
                      <a:noFill/>
                    </a:ln>
                    <a:extLst>
                      <a:ext uri="{53640926-AAD7-44D8-BBD7-CCE9431645EC}">
                        <a14:shadowObscured xmlns:a14="http://schemas.microsoft.com/office/drawing/2010/main"/>
                      </a:ext>
                    </a:extLst>
                  </pic:spPr>
                </pic:pic>
              </a:graphicData>
            </a:graphic>
          </wp:inline>
        </w:drawing>
      </w:r>
    </w:p>
    <w:p w14:paraId="0B914043" w14:textId="77777777" w:rsidR="00D87772" w:rsidRPr="0015134B" w:rsidRDefault="00D87772" w:rsidP="00D87772">
      <w:pPr>
        <w:rPr>
          <w:sz w:val="20"/>
          <w:szCs w:val="20"/>
        </w:rPr>
      </w:pPr>
      <w:r w:rsidRPr="0015134B">
        <w:rPr>
          <w:rFonts w:cs="Arial"/>
          <w:sz w:val="16"/>
          <w:szCs w:val="16"/>
        </w:rPr>
        <w:t>Initiation/discontinuation of heart failure treatments in patients after an heart failure hospitalization (x-axis) is displayed in relation to the number of heart failure hospitalizations within a given time period (y-axis). MRA: Mineralocorticoid receptor antagonist; RASi: Renin-aldosteron-system inhibitors; ARNi: Angiotensin-receptor neprilysin-inhibitors; HHF: Heart failure hospitalization</w:t>
      </w:r>
    </w:p>
    <w:p w14:paraId="389A41F1" w14:textId="757547F5" w:rsidR="001D7159" w:rsidRPr="0015134B" w:rsidRDefault="001D7159" w:rsidP="00D87772">
      <w:pPr>
        <w:rPr>
          <w:i/>
          <w:iCs/>
          <w:sz w:val="20"/>
          <w:szCs w:val="20"/>
        </w:rPr>
        <w:sectPr w:rsidR="001D7159" w:rsidRPr="0015134B" w:rsidSect="00D87772">
          <w:pgSz w:w="16840" w:h="11900" w:orient="landscape"/>
          <w:pgMar w:top="1417" w:right="1134" w:bottom="1417" w:left="1417" w:header="708" w:footer="708" w:gutter="0"/>
          <w:cols w:space="708"/>
          <w:docGrid w:linePitch="360"/>
        </w:sectPr>
      </w:pPr>
    </w:p>
    <w:p w14:paraId="16FFA96E" w14:textId="4C73C6BE" w:rsidR="00E97902" w:rsidRPr="0015134B" w:rsidRDefault="00E97902" w:rsidP="00E97902">
      <w:pPr>
        <w:rPr>
          <w:rFonts w:cs="Arial"/>
          <w:sz w:val="20"/>
          <w:szCs w:val="20"/>
        </w:rPr>
      </w:pPr>
      <w:r w:rsidRPr="0015134B">
        <w:rPr>
          <w:rFonts w:cs="Arial"/>
          <w:i/>
          <w:iCs/>
          <w:sz w:val="20"/>
          <w:szCs w:val="20"/>
        </w:rPr>
        <w:lastRenderedPageBreak/>
        <w:t>Supplement Figure</w:t>
      </w:r>
      <w:r w:rsidR="00C34EC7" w:rsidRPr="0015134B">
        <w:rPr>
          <w:rFonts w:cs="Arial"/>
          <w:i/>
          <w:iCs/>
          <w:sz w:val="20"/>
          <w:szCs w:val="20"/>
        </w:rPr>
        <w:t xml:space="preserve"> </w:t>
      </w:r>
      <w:r w:rsidR="001035D3" w:rsidRPr="0015134B">
        <w:rPr>
          <w:rFonts w:cs="Arial"/>
          <w:i/>
          <w:iCs/>
          <w:sz w:val="20"/>
          <w:szCs w:val="20"/>
        </w:rPr>
        <w:t>4</w:t>
      </w:r>
      <w:r w:rsidRPr="0015134B">
        <w:rPr>
          <w:rFonts w:cs="Arial"/>
          <w:i/>
          <w:iCs/>
          <w:sz w:val="20"/>
          <w:szCs w:val="20"/>
        </w:rPr>
        <w:t>.</w:t>
      </w:r>
      <w:r w:rsidRPr="0015134B">
        <w:rPr>
          <w:rFonts w:cs="Arial"/>
          <w:sz w:val="20"/>
          <w:szCs w:val="20"/>
        </w:rPr>
        <w:t xml:space="preserve"> Association between </w:t>
      </w:r>
      <w:r w:rsidR="007D41F2" w:rsidRPr="0015134B">
        <w:rPr>
          <w:rFonts w:cs="Arial"/>
          <w:sz w:val="20"/>
          <w:szCs w:val="20"/>
        </w:rPr>
        <w:t>initiation/discontinuation of</w:t>
      </w:r>
      <w:r w:rsidRPr="0015134B">
        <w:rPr>
          <w:rFonts w:cs="Arial"/>
          <w:sz w:val="20"/>
          <w:szCs w:val="20"/>
        </w:rPr>
        <w:t xml:space="preserve"> heart failure </w:t>
      </w:r>
      <w:r w:rsidR="000C6680" w:rsidRPr="0015134B">
        <w:rPr>
          <w:rFonts w:cs="Arial"/>
          <w:sz w:val="20"/>
          <w:szCs w:val="20"/>
        </w:rPr>
        <w:t>treatments</w:t>
      </w:r>
      <w:r w:rsidRPr="0015134B">
        <w:rPr>
          <w:rFonts w:cs="Arial"/>
          <w:sz w:val="20"/>
          <w:szCs w:val="20"/>
        </w:rPr>
        <w:t xml:space="preserve"> and 3-year cardiovascular mortality </w:t>
      </w:r>
      <w:r w:rsidR="000C6680" w:rsidRPr="0015134B">
        <w:rPr>
          <w:rFonts w:cs="Arial"/>
          <w:sz w:val="20"/>
          <w:szCs w:val="20"/>
        </w:rPr>
        <w:t>following</w:t>
      </w:r>
      <w:r w:rsidRPr="0015134B">
        <w:rPr>
          <w:rFonts w:cs="Arial"/>
          <w:sz w:val="20"/>
          <w:szCs w:val="20"/>
        </w:rPr>
        <w:t xml:space="preserve"> </w:t>
      </w:r>
      <w:r w:rsidR="00EB72A3" w:rsidRPr="0015134B">
        <w:rPr>
          <w:rFonts w:cs="Arial"/>
          <w:sz w:val="20"/>
          <w:szCs w:val="20"/>
        </w:rPr>
        <w:t>a</w:t>
      </w:r>
      <w:r w:rsidRPr="0015134B">
        <w:rPr>
          <w:rFonts w:cs="Arial"/>
          <w:sz w:val="20"/>
          <w:szCs w:val="20"/>
        </w:rPr>
        <w:t xml:space="preserve"> heart failure hospitalization.</w:t>
      </w:r>
    </w:p>
    <w:p w14:paraId="69138C0B" w14:textId="7243CB01" w:rsidR="00E97902" w:rsidRPr="0015134B" w:rsidRDefault="00E97902" w:rsidP="00E97902">
      <w:pPr>
        <w:jc w:val="center"/>
        <w:rPr>
          <w:rFonts w:cs="Arial"/>
          <w:sz w:val="20"/>
          <w:szCs w:val="20"/>
        </w:rPr>
      </w:pPr>
      <w:r w:rsidRPr="0015134B">
        <w:rPr>
          <w:rFonts w:cs="Arial"/>
          <w:noProof/>
          <w:sz w:val="20"/>
          <w:szCs w:val="20"/>
        </w:rPr>
        <w:drawing>
          <wp:inline distT="0" distB="0" distL="0" distR="0" wp14:anchorId="2DCFDF33" wp14:editId="482B2B15">
            <wp:extent cx="4591113" cy="65304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1">
                      <a:extLst>
                        <a:ext uri="{28A0092B-C50C-407E-A947-70E740481C1C}">
                          <a14:useLocalDpi xmlns:a14="http://schemas.microsoft.com/office/drawing/2010/main" val="0"/>
                        </a:ext>
                      </a:extLst>
                    </a:blip>
                    <a:srcRect b="19972"/>
                    <a:stretch/>
                  </pic:blipFill>
                  <pic:spPr bwMode="auto">
                    <a:xfrm>
                      <a:off x="0" y="0"/>
                      <a:ext cx="4591113" cy="6530400"/>
                    </a:xfrm>
                    <a:prstGeom prst="rect">
                      <a:avLst/>
                    </a:prstGeom>
                    <a:ln>
                      <a:noFill/>
                    </a:ln>
                    <a:extLst>
                      <a:ext uri="{53640926-AAD7-44D8-BBD7-CCE9431645EC}">
                        <a14:shadowObscured xmlns:a14="http://schemas.microsoft.com/office/drawing/2010/main"/>
                      </a:ext>
                    </a:extLst>
                  </pic:spPr>
                </pic:pic>
              </a:graphicData>
            </a:graphic>
          </wp:inline>
        </w:drawing>
      </w:r>
    </w:p>
    <w:p w14:paraId="3ADF6B25" w14:textId="7C6DC2B6" w:rsidR="00595EB9" w:rsidRDefault="00E97902" w:rsidP="00006BF0">
      <w:pPr>
        <w:spacing w:line="360" w:lineRule="auto"/>
        <w:rPr>
          <w:rFonts w:cs="Arial"/>
          <w:sz w:val="16"/>
          <w:szCs w:val="16"/>
        </w:rPr>
      </w:pPr>
      <w:r w:rsidRPr="0015134B">
        <w:rPr>
          <w:rFonts w:cs="Arial"/>
          <w:sz w:val="16"/>
          <w:szCs w:val="16"/>
        </w:rPr>
        <w:t xml:space="preserve">Cox regression models were fitted to evaluate the association between </w:t>
      </w:r>
      <w:r w:rsidR="007D41F2" w:rsidRPr="0015134B">
        <w:rPr>
          <w:rFonts w:cs="Arial"/>
          <w:sz w:val="16"/>
          <w:szCs w:val="16"/>
        </w:rPr>
        <w:t>initiation/discontinuation</w:t>
      </w:r>
      <w:r w:rsidRPr="0015134B">
        <w:rPr>
          <w:rFonts w:cs="Arial"/>
          <w:sz w:val="16"/>
          <w:szCs w:val="16"/>
        </w:rPr>
        <w:t xml:space="preserve"> vs. no </w:t>
      </w:r>
      <w:r w:rsidR="007D41F2" w:rsidRPr="0015134B">
        <w:rPr>
          <w:rFonts w:cs="Arial"/>
          <w:sz w:val="16"/>
          <w:szCs w:val="16"/>
        </w:rPr>
        <w:t>initiation/no discontinuation</w:t>
      </w:r>
      <w:r w:rsidRPr="0015134B">
        <w:rPr>
          <w:rFonts w:cs="Arial"/>
          <w:sz w:val="16"/>
          <w:szCs w:val="16"/>
        </w:rPr>
        <w:t xml:space="preserve"> (reference) in </w:t>
      </w:r>
      <w:r w:rsidR="00400AB2" w:rsidRPr="0015134B">
        <w:rPr>
          <w:rFonts w:cs="Arial"/>
          <w:sz w:val="16"/>
          <w:szCs w:val="16"/>
        </w:rPr>
        <w:t xml:space="preserve">heart failure </w:t>
      </w:r>
      <w:r w:rsidR="000C6680" w:rsidRPr="0015134B">
        <w:rPr>
          <w:rFonts w:cs="Arial"/>
          <w:sz w:val="16"/>
          <w:szCs w:val="16"/>
        </w:rPr>
        <w:t>treatments</w:t>
      </w:r>
      <w:r w:rsidRPr="0015134B">
        <w:rPr>
          <w:rFonts w:cs="Arial"/>
          <w:sz w:val="16"/>
          <w:szCs w:val="16"/>
        </w:rPr>
        <w:t xml:space="preserve"> and 3-year cardiovascular mortality among patients with a </w:t>
      </w:r>
      <w:r w:rsidR="00400AB2" w:rsidRPr="0015134B">
        <w:rPr>
          <w:rFonts w:cs="Arial"/>
          <w:sz w:val="16"/>
          <w:szCs w:val="16"/>
        </w:rPr>
        <w:t xml:space="preserve">heart failure </w:t>
      </w:r>
      <w:r w:rsidRPr="0015134B">
        <w:rPr>
          <w:rFonts w:cs="Arial"/>
          <w:sz w:val="16"/>
          <w:szCs w:val="16"/>
        </w:rPr>
        <w:t xml:space="preserve">hospitalization. </w:t>
      </w:r>
      <w:r w:rsidR="004136F0" w:rsidRPr="0015134B">
        <w:rPr>
          <w:rFonts w:cs="Arial"/>
          <w:sz w:val="16"/>
          <w:szCs w:val="16"/>
        </w:rPr>
        <w:t xml:space="preserve">For initiation of heart failure </w:t>
      </w:r>
      <w:r w:rsidR="000C6680" w:rsidRPr="0015134B">
        <w:rPr>
          <w:rFonts w:cs="Arial"/>
          <w:sz w:val="16"/>
          <w:szCs w:val="16"/>
        </w:rPr>
        <w:t>treatments</w:t>
      </w:r>
      <w:r w:rsidR="004136F0" w:rsidRPr="0015134B">
        <w:rPr>
          <w:rFonts w:cs="Arial"/>
          <w:sz w:val="16"/>
          <w:szCs w:val="16"/>
        </w:rPr>
        <w:t xml:space="preserve"> (A), no prior </w:t>
      </w:r>
      <w:r w:rsidR="000C6680" w:rsidRPr="0015134B">
        <w:rPr>
          <w:rFonts w:cs="Arial"/>
          <w:sz w:val="16"/>
          <w:szCs w:val="16"/>
        </w:rPr>
        <w:t>treatment</w:t>
      </w:r>
      <w:r w:rsidR="004136F0" w:rsidRPr="0015134B">
        <w:rPr>
          <w:rFonts w:cs="Arial"/>
          <w:sz w:val="16"/>
          <w:szCs w:val="16"/>
        </w:rPr>
        <w:t xml:space="preserve"> was defined as </w:t>
      </w:r>
      <w:r w:rsidR="003230C7" w:rsidRPr="0015134B">
        <w:rPr>
          <w:rFonts w:cs="Arial"/>
          <w:sz w:val="16"/>
          <w:szCs w:val="16"/>
        </w:rPr>
        <w:t>no</w:t>
      </w:r>
      <w:r w:rsidR="004136F0" w:rsidRPr="0015134B">
        <w:rPr>
          <w:rFonts w:cs="Arial"/>
          <w:sz w:val="16"/>
          <w:szCs w:val="16"/>
        </w:rPr>
        <w:t xml:space="preserve"> dispensed prescription within </w:t>
      </w:r>
      <w:r w:rsidR="003230C7" w:rsidRPr="0015134B">
        <w:rPr>
          <w:rFonts w:cs="Arial"/>
          <w:sz w:val="16"/>
          <w:szCs w:val="16"/>
        </w:rPr>
        <w:t>6</w:t>
      </w:r>
      <w:r w:rsidR="004136F0" w:rsidRPr="0015134B">
        <w:rPr>
          <w:rFonts w:cs="Arial"/>
          <w:sz w:val="16"/>
          <w:szCs w:val="16"/>
        </w:rPr>
        <w:t xml:space="preserve"> months to 1 day before the index date, and post </w:t>
      </w:r>
      <w:r w:rsidR="000C6680" w:rsidRPr="0015134B">
        <w:rPr>
          <w:rFonts w:cs="Arial"/>
          <w:sz w:val="16"/>
          <w:szCs w:val="16"/>
        </w:rPr>
        <w:t>treatment</w:t>
      </w:r>
      <w:r w:rsidR="004136F0" w:rsidRPr="0015134B">
        <w:rPr>
          <w:rFonts w:cs="Arial"/>
          <w:sz w:val="16"/>
          <w:szCs w:val="16"/>
        </w:rPr>
        <w:t xml:space="preserve"> </w:t>
      </w:r>
      <w:r w:rsidR="000C6680" w:rsidRPr="0015134B">
        <w:rPr>
          <w:rFonts w:cs="Arial"/>
          <w:sz w:val="16"/>
          <w:szCs w:val="16"/>
        </w:rPr>
        <w:t>was</w:t>
      </w:r>
      <w:r w:rsidR="004136F0" w:rsidRPr="0015134B">
        <w:rPr>
          <w:rFonts w:cs="Arial"/>
          <w:sz w:val="16"/>
          <w:szCs w:val="16"/>
        </w:rPr>
        <w:t xml:space="preserve"> defined as </w:t>
      </w:r>
      <w:r w:rsidR="003230C7" w:rsidRPr="0015134B">
        <w:rPr>
          <w:rFonts w:cs="Arial"/>
          <w:sz w:val="16"/>
          <w:szCs w:val="16"/>
        </w:rPr>
        <w:t>1</w:t>
      </w:r>
      <w:r w:rsidR="004136F0" w:rsidRPr="0015134B">
        <w:rPr>
          <w:rFonts w:cs="Arial"/>
          <w:sz w:val="16"/>
          <w:szCs w:val="16"/>
        </w:rPr>
        <w:t xml:space="preserve"> dispensed prescription from the index date until </w:t>
      </w:r>
      <w:r w:rsidR="003230C7" w:rsidRPr="0015134B">
        <w:rPr>
          <w:rFonts w:cs="Arial"/>
          <w:sz w:val="16"/>
          <w:szCs w:val="16"/>
        </w:rPr>
        <w:t>6</w:t>
      </w:r>
      <w:r w:rsidR="004136F0" w:rsidRPr="0015134B">
        <w:rPr>
          <w:rFonts w:cs="Arial"/>
          <w:sz w:val="16"/>
          <w:szCs w:val="16"/>
        </w:rPr>
        <w:t xml:space="preserve"> months thereafter</w:t>
      </w:r>
      <w:r w:rsidR="003230C7" w:rsidRPr="0015134B">
        <w:rPr>
          <w:rFonts w:cs="Arial"/>
          <w:sz w:val="16"/>
          <w:szCs w:val="16"/>
        </w:rPr>
        <w:t xml:space="preserve">, and vice versa for discontinuation of heart failure </w:t>
      </w:r>
      <w:r w:rsidR="000C6680" w:rsidRPr="0015134B">
        <w:rPr>
          <w:rFonts w:cs="Arial"/>
          <w:sz w:val="16"/>
          <w:szCs w:val="16"/>
        </w:rPr>
        <w:t>treatments</w:t>
      </w:r>
      <w:r w:rsidR="003230C7" w:rsidRPr="0015134B">
        <w:rPr>
          <w:rFonts w:cs="Arial"/>
          <w:sz w:val="16"/>
          <w:szCs w:val="16"/>
        </w:rPr>
        <w:t xml:space="preserve"> (B)</w:t>
      </w:r>
      <w:r w:rsidR="004136F0" w:rsidRPr="0015134B">
        <w:rPr>
          <w:rFonts w:cs="Arial"/>
          <w:sz w:val="16"/>
          <w:szCs w:val="16"/>
        </w:rPr>
        <w:t>.</w:t>
      </w:r>
      <w:r w:rsidR="003230C7" w:rsidRPr="0015134B">
        <w:rPr>
          <w:rFonts w:cs="Arial"/>
          <w:sz w:val="16"/>
          <w:szCs w:val="16"/>
        </w:rPr>
        <w:t xml:space="preserve"> </w:t>
      </w:r>
      <w:r w:rsidR="00006BF0" w:rsidRPr="0015134B">
        <w:rPr>
          <w:rFonts w:cs="Arial"/>
          <w:sz w:val="16"/>
          <w:szCs w:val="16"/>
        </w:rPr>
        <w:t xml:space="preserve">Crude event rates and adjusted </w:t>
      </w:r>
      <w:r w:rsidR="008B50DD" w:rsidRPr="0015134B">
        <w:rPr>
          <w:rFonts w:cs="Arial"/>
          <w:sz w:val="16"/>
          <w:szCs w:val="16"/>
        </w:rPr>
        <w:t>hazard</w:t>
      </w:r>
      <w:r w:rsidR="00006BF0" w:rsidRPr="0015134B">
        <w:rPr>
          <w:rFonts w:cs="Arial"/>
          <w:sz w:val="16"/>
          <w:szCs w:val="16"/>
        </w:rPr>
        <w:t xml:space="preserve"> ratios are shown; and variables used for adjustment in the underlying </w:t>
      </w:r>
      <w:r w:rsidR="008B50DD" w:rsidRPr="0015134B">
        <w:rPr>
          <w:rFonts w:cs="Arial"/>
          <w:sz w:val="16"/>
          <w:szCs w:val="16"/>
        </w:rPr>
        <w:t>Cox</w:t>
      </w:r>
      <w:r w:rsidR="00006BF0" w:rsidRPr="0015134B">
        <w:rPr>
          <w:rFonts w:cs="Arial"/>
          <w:sz w:val="16"/>
          <w:szCs w:val="16"/>
        </w:rPr>
        <w:t xml:space="preserve"> regression model are reported in </w:t>
      </w:r>
      <w:r w:rsidR="00006BF0" w:rsidRPr="0015134B">
        <w:rPr>
          <w:rFonts w:cs="Arial"/>
          <w:i/>
          <w:iCs/>
          <w:sz w:val="16"/>
          <w:szCs w:val="16"/>
        </w:rPr>
        <w:t>Table 1</w:t>
      </w:r>
      <w:r w:rsidR="00006BF0" w:rsidRPr="0015134B">
        <w:rPr>
          <w:rFonts w:cs="Arial"/>
          <w:sz w:val="16"/>
          <w:szCs w:val="16"/>
        </w:rPr>
        <w:t xml:space="preserve">. </w:t>
      </w:r>
      <w:r w:rsidRPr="0015134B">
        <w:rPr>
          <w:rFonts w:cs="Arial"/>
          <w:sz w:val="16"/>
          <w:szCs w:val="16"/>
        </w:rPr>
        <w:t>HR: Hazard ratio; CI: Confidence interval; MRA: Mineralocorticoid receptor antagonist; HFrEF: Heart failure with reduced ejection fraction; HFmrEF: Heart failure with mildly reduced ejection fraction; RASi: Renin-aldosterone-system inhibitors; ARNi: Angiotensin-receptor neprilysin-inhibitors.</w:t>
      </w:r>
    </w:p>
    <w:p w14:paraId="61DF2289" w14:textId="59498136" w:rsidR="002E4039" w:rsidRPr="00006BF0" w:rsidRDefault="002E4039" w:rsidP="00006BF0">
      <w:pPr>
        <w:spacing w:line="360" w:lineRule="auto"/>
        <w:rPr>
          <w:rFonts w:cs="Arial"/>
          <w:sz w:val="16"/>
          <w:szCs w:val="16"/>
        </w:rPr>
      </w:pPr>
    </w:p>
    <w:sectPr w:rsidR="002E4039" w:rsidRPr="00006BF0" w:rsidSect="00FD040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507B" w14:textId="77777777" w:rsidR="008A224A" w:rsidRDefault="008A224A" w:rsidP="007D3733">
      <w:pPr>
        <w:spacing w:line="240" w:lineRule="auto"/>
      </w:pPr>
      <w:r>
        <w:separator/>
      </w:r>
    </w:p>
  </w:endnote>
  <w:endnote w:type="continuationSeparator" w:id="0">
    <w:p w14:paraId="517BE386" w14:textId="77777777" w:rsidR="008A224A" w:rsidRDefault="008A224A" w:rsidP="007D37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89830273"/>
      <w:docPartObj>
        <w:docPartGallery w:val="Page Numbers (Bottom of Page)"/>
        <w:docPartUnique/>
      </w:docPartObj>
    </w:sdtPr>
    <w:sdtContent>
      <w:p w14:paraId="248816D3" w14:textId="3F9B0C37" w:rsidR="007D3733" w:rsidRDefault="007D3733" w:rsidP="0086523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F37F39">
          <w:rPr>
            <w:rStyle w:val="Seitenzahl"/>
            <w:noProof/>
          </w:rPr>
          <w:t>4</w:t>
        </w:r>
        <w:r>
          <w:rPr>
            <w:rStyle w:val="Seitenzahl"/>
          </w:rPr>
          <w:fldChar w:fldCharType="end"/>
        </w:r>
      </w:p>
    </w:sdtContent>
  </w:sdt>
  <w:sdt>
    <w:sdtPr>
      <w:rPr>
        <w:rStyle w:val="Seitenzahl"/>
      </w:rPr>
      <w:id w:val="562914210"/>
      <w:docPartObj>
        <w:docPartGallery w:val="Page Numbers (Bottom of Page)"/>
        <w:docPartUnique/>
      </w:docPartObj>
    </w:sdtPr>
    <w:sdtContent>
      <w:p w14:paraId="2BA513A7" w14:textId="715EFF5F" w:rsidR="007D3733" w:rsidRDefault="007D3733" w:rsidP="0086523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F37F39">
          <w:rPr>
            <w:rStyle w:val="Seitenzahl"/>
            <w:noProof/>
          </w:rPr>
          <w:t>4</w:t>
        </w:r>
        <w:r>
          <w:rPr>
            <w:rStyle w:val="Seitenzahl"/>
          </w:rPr>
          <w:fldChar w:fldCharType="end"/>
        </w:r>
      </w:p>
    </w:sdtContent>
  </w:sdt>
  <w:p w14:paraId="5A3EB96D" w14:textId="77777777" w:rsidR="007D3733" w:rsidRDefault="007D3733" w:rsidP="007D373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9620451"/>
      <w:docPartObj>
        <w:docPartGallery w:val="Page Numbers (Bottom of Page)"/>
        <w:docPartUnique/>
      </w:docPartObj>
    </w:sdtPr>
    <w:sdtContent>
      <w:p w14:paraId="48F279FF" w14:textId="0672F03C" w:rsidR="007D3733" w:rsidRDefault="007D3733" w:rsidP="007D3733">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C26BB9B" w14:textId="77777777" w:rsidR="007D3733" w:rsidRDefault="007D3733" w:rsidP="007D373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0C75" w14:textId="77777777" w:rsidR="008A224A" w:rsidRDefault="008A224A" w:rsidP="007D3733">
      <w:pPr>
        <w:spacing w:line="240" w:lineRule="auto"/>
      </w:pPr>
      <w:r>
        <w:separator/>
      </w:r>
    </w:p>
  </w:footnote>
  <w:footnote w:type="continuationSeparator" w:id="0">
    <w:p w14:paraId="1983C974" w14:textId="77777777" w:rsidR="008A224A" w:rsidRDefault="008A224A" w:rsidP="007D37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70"/>
    <w:rsid w:val="000033D6"/>
    <w:rsid w:val="00006BF0"/>
    <w:rsid w:val="00007388"/>
    <w:rsid w:val="00017ABF"/>
    <w:rsid w:val="000256B0"/>
    <w:rsid w:val="00032458"/>
    <w:rsid w:val="00036A60"/>
    <w:rsid w:val="00045490"/>
    <w:rsid w:val="000651C8"/>
    <w:rsid w:val="00086484"/>
    <w:rsid w:val="00094D4A"/>
    <w:rsid w:val="000A02D5"/>
    <w:rsid w:val="000A6DAD"/>
    <w:rsid w:val="000B6B54"/>
    <w:rsid w:val="000B7190"/>
    <w:rsid w:val="000C6680"/>
    <w:rsid w:val="000E5B24"/>
    <w:rsid w:val="000E6E85"/>
    <w:rsid w:val="000F1AD1"/>
    <w:rsid w:val="000F542D"/>
    <w:rsid w:val="0010158D"/>
    <w:rsid w:val="001035D3"/>
    <w:rsid w:val="0011279B"/>
    <w:rsid w:val="0015134B"/>
    <w:rsid w:val="00154D70"/>
    <w:rsid w:val="001604B5"/>
    <w:rsid w:val="0017670A"/>
    <w:rsid w:val="001830F6"/>
    <w:rsid w:val="001846E8"/>
    <w:rsid w:val="00187FD6"/>
    <w:rsid w:val="001A1387"/>
    <w:rsid w:val="001B38CF"/>
    <w:rsid w:val="001B5667"/>
    <w:rsid w:val="001C6A54"/>
    <w:rsid w:val="001D2D20"/>
    <w:rsid w:val="001D5B2B"/>
    <w:rsid w:val="001D7159"/>
    <w:rsid w:val="001E2103"/>
    <w:rsid w:val="001E6A3C"/>
    <w:rsid w:val="00201360"/>
    <w:rsid w:val="00211E80"/>
    <w:rsid w:val="00221D70"/>
    <w:rsid w:val="002301C8"/>
    <w:rsid w:val="00230A7D"/>
    <w:rsid w:val="00245AC0"/>
    <w:rsid w:val="00264563"/>
    <w:rsid w:val="00267271"/>
    <w:rsid w:val="00274CAB"/>
    <w:rsid w:val="002809E2"/>
    <w:rsid w:val="002834B9"/>
    <w:rsid w:val="00295309"/>
    <w:rsid w:val="002B0339"/>
    <w:rsid w:val="002C12B9"/>
    <w:rsid w:val="002C1349"/>
    <w:rsid w:val="002C3FCA"/>
    <w:rsid w:val="002C44AA"/>
    <w:rsid w:val="002E4039"/>
    <w:rsid w:val="00312E62"/>
    <w:rsid w:val="003230C7"/>
    <w:rsid w:val="003326D7"/>
    <w:rsid w:val="00335B72"/>
    <w:rsid w:val="0033658A"/>
    <w:rsid w:val="00343734"/>
    <w:rsid w:val="00363DE8"/>
    <w:rsid w:val="00364058"/>
    <w:rsid w:val="00381B31"/>
    <w:rsid w:val="00397E6B"/>
    <w:rsid w:val="003A1A4D"/>
    <w:rsid w:val="003A214C"/>
    <w:rsid w:val="003A3019"/>
    <w:rsid w:val="003B2FB4"/>
    <w:rsid w:val="003B3947"/>
    <w:rsid w:val="003B79E3"/>
    <w:rsid w:val="003E2497"/>
    <w:rsid w:val="003E36B0"/>
    <w:rsid w:val="003E504B"/>
    <w:rsid w:val="003E5B04"/>
    <w:rsid w:val="003E73D5"/>
    <w:rsid w:val="003F2327"/>
    <w:rsid w:val="00400AB2"/>
    <w:rsid w:val="00401129"/>
    <w:rsid w:val="004136F0"/>
    <w:rsid w:val="004323D8"/>
    <w:rsid w:val="0043558C"/>
    <w:rsid w:val="00443A1C"/>
    <w:rsid w:val="00443D99"/>
    <w:rsid w:val="00445550"/>
    <w:rsid w:val="00493D27"/>
    <w:rsid w:val="004961B5"/>
    <w:rsid w:val="004A0157"/>
    <w:rsid w:val="004A6F1A"/>
    <w:rsid w:val="004D16D5"/>
    <w:rsid w:val="004F2197"/>
    <w:rsid w:val="00511FF9"/>
    <w:rsid w:val="00513401"/>
    <w:rsid w:val="00544589"/>
    <w:rsid w:val="00584B3C"/>
    <w:rsid w:val="00585C58"/>
    <w:rsid w:val="00595C2B"/>
    <w:rsid w:val="00595EB9"/>
    <w:rsid w:val="005A2534"/>
    <w:rsid w:val="005B69B4"/>
    <w:rsid w:val="005C45DB"/>
    <w:rsid w:val="005C72A5"/>
    <w:rsid w:val="005E037B"/>
    <w:rsid w:val="005E0C40"/>
    <w:rsid w:val="005E1690"/>
    <w:rsid w:val="005E2543"/>
    <w:rsid w:val="005F75CF"/>
    <w:rsid w:val="00643671"/>
    <w:rsid w:val="00644C97"/>
    <w:rsid w:val="00645112"/>
    <w:rsid w:val="00654BFF"/>
    <w:rsid w:val="006564AD"/>
    <w:rsid w:val="006633D7"/>
    <w:rsid w:val="006730E0"/>
    <w:rsid w:val="006757E7"/>
    <w:rsid w:val="0068327E"/>
    <w:rsid w:val="00687CAB"/>
    <w:rsid w:val="006925F3"/>
    <w:rsid w:val="00693047"/>
    <w:rsid w:val="006A389C"/>
    <w:rsid w:val="006C2149"/>
    <w:rsid w:val="006D621E"/>
    <w:rsid w:val="006E7EA4"/>
    <w:rsid w:val="00700C73"/>
    <w:rsid w:val="007034D0"/>
    <w:rsid w:val="00722022"/>
    <w:rsid w:val="0072729B"/>
    <w:rsid w:val="00746271"/>
    <w:rsid w:val="00774490"/>
    <w:rsid w:val="007755E3"/>
    <w:rsid w:val="00775EE6"/>
    <w:rsid w:val="00777F00"/>
    <w:rsid w:val="00786B72"/>
    <w:rsid w:val="00790B3A"/>
    <w:rsid w:val="007943BC"/>
    <w:rsid w:val="007D3733"/>
    <w:rsid w:val="007D3C75"/>
    <w:rsid w:val="007D41F2"/>
    <w:rsid w:val="007E3561"/>
    <w:rsid w:val="007E3874"/>
    <w:rsid w:val="007F31AB"/>
    <w:rsid w:val="008127B1"/>
    <w:rsid w:val="00813186"/>
    <w:rsid w:val="008174A5"/>
    <w:rsid w:val="008335A3"/>
    <w:rsid w:val="00833954"/>
    <w:rsid w:val="008403E3"/>
    <w:rsid w:val="00857A79"/>
    <w:rsid w:val="00857FB4"/>
    <w:rsid w:val="00867F49"/>
    <w:rsid w:val="008875A5"/>
    <w:rsid w:val="008919E9"/>
    <w:rsid w:val="00896CC3"/>
    <w:rsid w:val="008A224A"/>
    <w:rsid w:val="008B402B"/>
    <w:rsid w:val="008B50DD"/>
    <w:rsid w:val="008B7095"/>
    <w:rsid w:val="008C7256"/>
    <w:rsid w:val="008D09DA"/>
    <w:rsid w:val="008D5DEB"/>
    <w:rsid w:val="008D69B2"/>
    <w:rsid w:val="008D6AD9"/>
    <w:rsid w:val="0090735B"/>
    <w:rsid w:val="009116B0"/>
    <w:rsid w:val="00921C2D"/>
    <w:rsid w:val="00947311"/>
    <w:rsid w:val="00971C2C"/>
    <w:rsid w:val="009741E5"/>
    <w:rsid w:val="009841CE"/>
    <w:rsid w:val="00990E65"/>
    <w:rsid w:val="00991925"/>
    <w:rsid w:val="00992E71"/>
    <w:rsid w:val="009A33DB"/>
    <w:rsid w:val="009C0632"/>
    <w:rsid w:val="009C4A46"/>
    <w:rsid w:val="009D0FF8"/>
    <w:rsid w:val="009D1846"/>
    <w:rsid w:val="009E1BFC"/>
    <w:rsid w:val="009F08D0"/>
    <w:rsid w:val="009F549D"/>
    <w:rsid w:val="00A01877"/>
    <w:rsid w:val="00A227A8"/>
    <w:rsid w:val="00A231D4"/>
    <w:rsid w:val="00A55A7E"/>
    <w:rsid w:val="00A65687"/>
    <w:rsid w:val="00A675FE"/>
    <w:rsid w:val="00A748A9"/>
    <w:rsid w:val="00A82C16"/>
    <w:rsid w:val="00A868D5"/>
    <w:rsid w:val="00A92A71"/>
    <w:rsid w:val="00A96F52"/>
    <w:rsid w:val="00AB2B8C"/>
    <w:rsid w:val="00AB768E"/>
    <w:rsid w:val="00AD1752"/>
    <w:rsid w:val="00AF3BE6"/>
    <w:rsid w:val="00AF5C2D"/>
    <w:rsid w:val="00B1009A"/>
    <w:rsid w:val="00B12CA6"/>
    <w:rsid w:val="00B24FA1"/>
    <w:rsid w:val="00B267F6"/>
    <w:rsid w:val="00B27686"/>
    <w:rsid w:val="00B613D8"/>
    <w:rsid w:val="00B71339"/>
    <w:rsid w:val="00B730EA"/>
    <w:rsid w:val="00B91CD0"/>
    <w:rsid w:val="00B93428"/>
    <w:rsid w:val="00B97F9F"/>
    <w:rsid w:val="00BA0C52"/>
    <w:rsid w:val="00BA51F4"/>
    <w:rsid w:val="00BB109F"/>
    <w:rsid w:val="00BC0892"/>
    <w:rsid w:val="00BD1E4C"/>
    <w:rsid w:val="00BE2BC8"/>
    <w:rsid w:val="00BE7EAD"/>
    <w:rsid w:val="00C032BC"/>
    <w:rsid w:val="00C10054"/>
    <w:rsid w:val="00C349E3"/>
    <w:rsid w:val="00C34EC7"/>
    <w:rsid w:val="00C35F19"/>
    <w:rsid w:val="00C41FE3"/>
    <w:rsid w:val="00C4439C"/>
    <w:rsid w:val="00C4693A"/>
    <w:rsid w:val="00C55161"/>
    <w:rsid w:val="00C60052"/>
    <w:rsid w:val="00C710CA"/>
    <w:rsid w:val="00C7483A"/>
    <w:rsid w:val="00C77BDB"/>
    <w:rsid w:val="00C80552"/>
    <w:rsid w:val="00C80667"/>
    <w:rsid w:val="00C81370"/>
    <w:rsid w:val="00C81C87"/>
    <w:rsid w:val="00C86C63"/>
    <w:rsid w:val="00C90FA0"/>
    <w:rsid w:val="00CA53B3"/>
    <w:rsid w:val="00CC2DEB"/>
    <w:rsid w:val="00CC4217"/>
    <w:rsid w:val="00CD22D3"/>
    <w:rsid w:val="00CE21D4"/>
    <w:rsid w:val="00CE4C2C"/>
    <w:rsid w:val="00CF0C67"/>
    <w:rsid w:val="00D06871"/>
    <w:rsid w:val="00D13E1C"/>
    <w:rsid w:val="00D14059"/>
    <w:rsid w:val="00D142DB"/>
    <w:rsid w:val="00D15EFB"/>
    <w:rsid w:val="00D16D51"/>
    <w:rsid w:val="00D22868"/>
    <w:rsid w:val="00D25E85"/>
    <w:rsid w:val="00D43882"/>
    <w:rsid w:val="00D75599"/>
    <w:rsid w:val="00D830F3"/>
    <w:rsid w:val="00D83B14"/>
    <w:rsid w:val="00D87772"/>
    <w:rsid w:val="00DB79D8"/>
    <w:rsid w:val="00DD185C"/>
    <w:rsid w:val="00DE6931"/>
    <w:rsid w:val="00DF2D0E"/>
    <w:rsid w:val="00E03075"/>
    <w:rsid w:val="00E27A26"/>
    <w:rsid w:val="00E45ADA"/>
    <w:rsid w:val="00E46661"/>
    <w:rsid w:val="00E4776B"/>
    <w:rsid w:val="00E568A1"/>
    <w:rsid w:val="00E57909"/>
    <w:rsid w:val="00E707A9"/>
    <w:rsid w:val="00E81606"/>
    <w:rsid w:val="00E85CA8"/>
    <w:rsid w:val="00E947DF"/>
    <w:rsid w:val="00E97902"/>
    <w:rsid w:val="00EA496F"/>
    <w:rsid w:val="00EB0E84"/>
    <w:rsid w:val="00EB72A3"/>
    <w:rsid w:val="00EC5D33"/>
    <w:rsid w:val="00ED1679"/>
    <w:rsid w:val="00ED221B"/>
    <w:rsid w:val="00ED5833"/>
    <w:rsid w:val="00EE538D"/>
    <w:rsid w:val="00EF774C"/>
    <w:rsid w:val="00F25586"/>
    <w:rsid w:val="00F37F39"/>
    <w:rsid w:val="00F6126B"/>
    <w:rsid w:val="00F6491B"/>
    <w:rsid w:val="00F757AA"/>
    <w:rsid w:val="00F9612A"/>
    <w:rsid w:val="00FA300C"/>
    <w:rsid w:val="00FB36BE"/>
    <w:rsid w:val="00FB3B73"/>
    <w:rsid w:val="00FD0401"/>
    <w:rsid w:val="00FF0FEF"/>
    <w:rsid w:val="00FF4196"/>
    <w:rsid w:val="00FF7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A3F1"/>
  <w15:chartTrackingRefBased/>
  <w15:docId w15:val="{21D6FE89-624E-3146-BFB7-D8A088A1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109F"/>
    <w:pPr>
      <w:spacing w:line="480" w:lineRule="auto"/>
      <w:jc w:val="both"/>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7D3733"/>
  </w:style>
  <w:style w:type="paragraph" w:styleId="Kopfzeile">
    <w:name w:val="header"/>
    <w:basedOn w:val="Standard"/>
    <w:link w:val="KopfzeileZchn"/>
    <w:uiPriority w:val="99"/>
    <w:unhideWhenUsed/>
    <w:rsid w:val="007D373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D3733"/>
    <w:rPr>
      <w:rFonts w:ascii="Arial" w:hAnsi="Arial"/>
      <w:lang w:val="en-US"/>
    </w:rPr>
  </w:style>
  <w:style w:type="paragraph" w:styleId="Fuzeile">
    <w:name w:val="footer"/>
    <w:basedOn w:val="Standard"/>
    <w:link w:val="FuzeileZchn"/>
    <w:uiPriority w:val="99"/>
    <w:unhideWhenUsed/>
    <w:rsid w:val="007D37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D3733"/>
    <w:rPr>
      <w:rFonts w:ascii="Arial" w:hAnsi="Arial"/>
      <w:lang w:val="en-US"/>
    </w:rPr>
  </w:style>
  <w:style w:type="character" w:styleId="Seitenzahl">
    <w:name w:val="page number"/>
    <w:basedOn w:val="Absatz-Standardschriftart"/>
    <w:uiPriority w:val="99"/>
    <w:semiHidden/>
    <w:unhideWhenUsed/>
    <w:rsid w:val="007D3733"/>
  </w:style>
  <w:style w:type="paragraph" w:styleId="berarbeitung">
    <w:name w:val="Revision"/>
    <w:hidden/>
    <w:uiPriority w:val="99"/>
    <w:semiHidden/>
    <w:rsid w:val="00BD1E4C"/>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268">
      <w:bodyDiv w:val="1"/>
      <w:marLeft w:val="0"/>
      <w:marRight w:val="0"/>
      <w:marTop w:val="0"/>
      <w:marBottom w:val="0"/>
      <w:divBdr>
        <w:top w:val="none" w:sz="0" w:space="0" w:color="auto"/>
        <w:left w:val="none" w:sz="0" w:space="0" w:color="auto"/>
        <w:bottom w:val="none" w:sz="0" w:space="0" w:color="auto"/>
        <w:right w:val="none" w:sz="0" w:space="0" w:color="auto"/>
      </w:divBdr>
    </w:div>
    <w:div w:id="21514471">
      <w:bodyDiv w:val="1"/>
      <w:marLeft w:val="0"/>
      <w:marRight w:val="0"/>
      <w:marTop w:val="0"/>
      <w:marBottom w:val="0"/>
      <w:divBdr>
        <w:top w:val="none" w:sz="0" w:space="0" w:color="auto"/>
        <w:left w:val="none" w:sz="0" w:space="0" w:color="auto"/>
        <w:bottom w:val="none" w:sz="0" w:space="0" w:color="auto"/>
        <w:right w:val="none" w:sz="0" w:space="0" w:color="auto"/>
      </w:divBdr>
    </w:div>
    <w:div w:id="23210996">
      <w:bodyDiv w:val="1"/>
      <w:marLeft w:val="0"/>
      <w:marRight w:val="0"/>
      <w:marTop w:val="0"/>
      <w:marBottom w:val="0"/>
      <w:divBdr>
        <w:top w:val="none" w:sz="0" w:space="0" w:color="auto"/>
        <w:left w:val="none" w:sz="0" w:space="0" w:color="auto"/>
        <w:bottom w:val="none" w:sz="0" w:space="0" w:color="auto"/>
        <w:right w:val="none" w:sz="0" w:space="0" w:color="auto"/>
      </w:divBdr>
    </w:div>
    <w:div w:id="26293445">
      <w:bodyDiv w:val="1"/>
      <w:marLeft w:val="0"/>
      <w:marRight w:val="0"/>
      <w:marTop w:val="0"/>
      <w:marBottom w:val="0"/>
      <w:divBdr>
        <w:top w:val="none" w:sz="0" w:space="0" w:color="auto"/>
        <w:left w:val="none" w:sz="0" w:space="0" w:color="auto"/>
        <w:bottom w:val="none" w:sz="0" w:space="0" w:color="auto"/>
        <w:right w:val="none" w:sz="0" w:space="0" w:color="auto"/>
      </w:divBdr>
    </w:div>
    <w:div w:id="54819157">
      <w:bodyDiv w:val="1"/>
      <w:marLeft w:val="0"/>
      <w:marRight w:val="0"/>
      <w:marTop w:val="0"/>
      <w:marBottom w:val="0"/>
      <w:divBdr>
        <w:top w:val="none" w:sz="0" w:space="0" w:color="auto"/>
        <w:left w:val="none" w:sz="0" w:space="0" w:color="auto"/>
        <w:bottom w:val="none" w:sz="0" w:space="0" w:color="auto"/>
        <w:right w:val="none" w:sz="0" w:space="0" w:color="auto"/>
      </w:divBdr>
    </w:div>
    <w:div w:id="78647285">
      <w:bodyDiv w:val="1"/>
      <w:marLeft w:val="0"/>
      <w:marRight w:val="0"/>
      <w:marTop w:val="0"/>
      <w:marBottom w:val="0"/>
      <w:divBdr>
        <w:top w:val="none" w:sz="0" w:space="0" w:color="auto"/>
        <w:left w:val="none" w:sz="0" w:space="0" w:color="auto"/>
        <w:bottom w:val="none" w:sz="0" w:space="0" w:color="auto"/>
        <w:right w:val="none" w:sz="0" w:space="0" w:color="auto"/>
      </w:divBdr>
    </w:div>
    <w:div w:id="79105881">
      <w:bodyDiv w:val="1"/>
      <w:marLeft w:val="0"/>
      <w:marRight w:val="0"/>
      <w:marTop w:val="0"/>
      <w:marBottom w:val="0"/>
      <w:divBdr>
        <w:top w:val="none" w:sz="0" w:space="0" w:color="auto"/>
        <w:left w:val="none" w:sz="0" w:space="0" w:color="auto"/>
        <w:bottom w:val="none" w:sz="0" w:space="0" w:color="auto"/>
        <w:right w:val="none" w:sz="0" w:space="0" w:color="auto"/>
      </w:divBdr>
    </w:div>
    <w:div w:id="81805911">
      <w:bodyDiv w:val="1"/>
      <w:marLeft w:val="0"/>
      <w:marRight w:val="0"/>
      <w:marTop w:val="0"/>
      <w:marBottom w:val="0"/>
      <w:divBdr>
        <w:top w:val="none" w:sz="0" w:space="0" w:color="auto"/>
        <w:left w:val="none" w:sz="0" w:space="0" w:color="auto"/>
        <w:bottom w:val="none" w:sz="0" w:space="0" w:color="auto"/>
        <w:right w:val="none" w:sz="0" w:space="0" w:color="auto"/>
      </w:divBdr>
    </w:div>
    <w:div w:id="122509217">
      <w:bodyDiv w:val="1"/>
      <w:marLeft w:val="0"/>
      <w:marRight w:val="0"/>
      <w:marTop w:val="0"/>
      <w:marBottom w:val="0"/>
      <w:divBdr>
        <w:top w:val="none" w:sz="0" w:space="0" w:color="auto"/>
        <w:left w:val="none" w:sz="0" w:space="0" w:color="auto"/>
        <w:bottom w:val="none" w:sz="0" w:space="0" w:color="auto"/>
        <w:right w:val="none" w:sz="0" w:space="0" w:color="auto"/>
      </w:divBdr>
    </w:div>
    <w:div w:id="124130801">
      <w:bodyDiv w:val="1"/>
      <w:marLeft w:val="0"/>
      <w:marRight w:val="0"/>
      <w:marTop w:val="0"/>
      <w:marBottom w:val="0"/>
      <w:divBdr>
        <w:top w:val="none" w:sz="0" w:space="0" w:color="auto"/>
        <w:left w:val="none" w:sz="0" w:space="0" w:color="auto"/>
        <w:bottom w:val="none" w:sz="0" w:space="0" w:color="auto"/>
        <w:right w:val="none" w:sz="0" w:space="0" w:color="auto"/>
      </w:divBdr>
    </w:div>
    <w:div w:id="160170341">
      <w:bodyDiv w:val="1"/>
      <w:marLeft w:val="0"/>
      <w:marRight w:val="0"/>
      <w:marTop w:val="0"/>
      <w:marBottom w:val="0"/>
      <w:divBdr>
        <w:top w:val="none" w:sz="0" w:space="0" w:color="auto"/>
        <w:left w:val="none" w:sz="0" w:space="0" w:color="auto"/>
        <w:bottom w:val="none" w:sz="0" w:space="0" w:color="auto"/>
        <w:right w:val="none" w:sz="0" w:space="0" w:color="auto"/>
      </w:divBdr>
    </w:div>
    <w:div w:id="173036610">
      <w:bodyDiv w:val="1"/>
      <w:marLeft w:val="0"/>
      <w:marRight w:val="0"/>
      <w:marTop w:val="0"/>
      <w:marBottom w:val="0"/>
      <w:divBdr>
        <w:top w:val="none" w:sz="0" w:space="0" w:color="auto"/>
        <w:left w:val="none" w:sz="0" w:space="0" w:color="auto"/>
        <w:bottom w:val="none" w:sz="0" w:space="0" w:color="auto"/>
        <w:right w:val="none" w:sz="0" w:space="0" w:color="auto"/>
      </w:divBdr>
    </w:div>
    <w:div w:id="187917659">
      <w:bodyDiv w:val="1"/>
      <w:marLeft w:val="0"/>
      <w:marRight w:val="0"/>
      <w:marTop w:val="0"/>
      <w:marBottom w:val="0"/>
      <w:divBdr>
        <w:top w:val="none" w:sz="0" w:space="0" w:color="auto"/>
        <w:left w:val="none" w:sz="0" w:space="0" w:color="auto"/>
        <w:bottom w:val="none" w:sz="0" w:space="0" w:color="auto"/>
        <w:right w:val="none" w:sz="0" w:space="0" w:color="auto"/>
      </w:divBdr>
    </w:div>
    <w:div w:id="226693046">
      <w:bodyDiv w:val="1"/>
      <w:marLeft w:val="0"/>
      <w:marRight w:val="0"/>
      <w:marTop w:val="0"/>
      <w:marBottom w:val="0"/>
      <w:divBdr>
        <w:top w:val="none" w:sz="0" w:space="0" w:color="auto"/>
        <w:left w:val="none" w:sz="0" w:space="0" w:color="auto"/>
        <w:bottom w:val="none" w:sz="0" w:space="0" w:color="auto"/>
        <w:right w:val="none" w:sz="0" w:space="0" w:color="auto"/>
      </w:divBdr>
    </w:div>
    <w:div w:id="246767408">
      <w:bodyDiv w:val="1"/>
      <w:marLeft w:val="0"/>
      <w:marRight w:val="0"/>
      <w:marTop w:val="0"/>
      <w:marBottom w:val="0"/>
      <w:divBdr>
        <w:top w:val="none" w:sz="0" w:space="0" w:color="auto"/>
        <w:left w:val="none" w:sz="0" w:space="0" w:color="auto"/>
        <w:bottom w:val="none" w:sz="0" w:space="0" w:color="auto"/>
        <w:right w:val="none" w:sz="0" w:space="0" w:color="auto"/>
      </w:divBdr>
    </w:div>
    <w:div w:id="264464187">
      <w:bodyDiv w:val="1"/>
      <w:marLeft w:val="0"/>
      <w:marRight w:val="0"/>
      <w:marTop w:val="0"/>
      <w:marBottom w:val="0"/>
      <w:divBdr>
        <w:top w:val="none" w:sz="0" w:space="0" w:color="auto"/>
        <w:left w:val="none" w:sz="0" w:space="0" w:color="auto"/>
        <w:bottom w:val="none" w:sz="0" w:space="0" w:color="auto"/>
        <w:right w:val="none" w:sz="0" w:space="0" w:color="auto"/>
      </w:divBdr>
    </w:div>
    <w:div w:id="271478551">
      <w:bodyDiv w:val="1"/>
      <w:marLeft w:val="0"/>
      <w:marRight w:val="0"/>
      <w:marTop w:val="0"/>
      <w:marBottom w:val="0"/>
      <w:divBdr>
        <w:top w:val="none" w:sz="0" w:space="0" w:color="auto"/>
        <w:left w:val="none" w:sz="0" w:space="0" w:color="auto"/>
        <w:bottom w:val="none" w:sz="0" w:space="0" w:color="auto"/>
        <w:right w:val="none" w:sz="0" w:space="0" w:color="auto"/>
      </w:divBdr>
    </w:div>
    <w:div w:id="277836238">
      <w:bodyDiv w:val="1"/>
      <w:marLeft w:val="0"/>
      <w:marRight w:val="0"/>
      <w:marTop w:val="0"/>
      <w:marBottom w:val="0"/>
      <w:divBdr>
        <w:top w:val="none" w:sz="0" w:space="0" w:color="auto"/>
        <w:left w:val="none" w:sz="0" w:space="0" w:color="auto"/>
        <w:bottom w:val="none" w:sz="0" w:space="0" w:color="auto"/>
        <w:right w:val="none" w:sz="0" w:space="0" w:color="auto"/>
      </w:divBdr>
    </w:div>
    <w:div w:id="286745507">
      <w:bodyDiv w:val="1"/>
      <w:marLeft w:val="0"/>
      <w:marRight w:val="0"/>
      <w:marTop w:val="0"/>
      <w:marBottom w:val="0"/>
      <w:divBdr>
        <w:top w:val="none" w:sz="0" w:space="0" w:color="auto"/>
        <w:left w:val="none" w:sz="0" w:space="0" w:color="auto"/>
        <w:bottom w:val="none" w:sz="0" w:space="0" w:color="auto"/>
        <w:right w:val="none" w:sz="0" w:space="0" w:color="auto"/>
      </w:divBdr>
    </w:div>
    <w:div w:id="319120478">
      <w:bodyDiv w:val="1"/>
      <w:marLeft w:val="0"/>
      <w:marRight w:val="0"/>
      <w:marTop w:val="0"/>
      <w:marBottom w:val="0"/>
      <w:divBdr>
        <w:top w:val="none" w:sz="0" w:space="0" w:color="auto"/>
        <w:left w:val="none" w:sz="0" w:space="0" w:color="auto"/>
        <w:bottom w:val="none" w:sz="0" w:space="0" w:color="auto"/>
        <w:right w:val="none" w:sz="0" w:space="0" w:color="auto"/>
      </w:divBdr>
    </w:div>
    <w:div w:id="321004322">
      <w:bodyDiv w:val="1"/>
      <w:marLeft w:val="0"/>
      <w:marRight w:val="0"/>
      <w:marTop w:val="0"/>
      <w:marBottom w:val="0"/>
      <w:divBdr>
        <w:top w:val="none" w:sz="0" w:space="0" w:color="auto"/>
        <w:left w:val="none" w:sz="0" w:space="0" w:color="auto"/>
        <w:bottom w:val="none" w:sz="0" w:space="0" w:color="auto"/>
        <w:right w:val="none" w:sz="0" w:space="0" w:color="auto"/>
      </w:divBdr>
    </w:div>
    <w:div w:id="326979481">
      <w:bodyDiv w:val="1"/>
      <w:marLeft w:val="0"/>
      <w:marRight w:val="0"/>
      <w:marTop w:val="0"/>
      <w:marBottom w:val="0"/>
      <w:divBdr>
        <w:top w:val="none" w:sz="0" w:space="0" w:color="auto"/>
        <w:left w:val="none" w:sz="0" w:space="0" w:color="auto"/>
        <w:bottom w:val="none" w:sz="0" w:space="0" w:color="auto"/>
        <w:right w:val="none" w:sz="0" w:space="0" w:color="auto"/>
      </w:divBdr>
    </w:div>
    <w:div w:id="338583689">
      <w:bodyDiv w:val="1"/>
      <w:marLeft w:val="0"/>
      <w:marRight w:val="0"/>
      <w:marTop w:val="0"/>
      <w:marBottom w:val="0"/>
      <w:divBdr>
        <w:top w:val="none" w:sz="0" w:space="0" w:color="auto"/>
        <w:left w:val="none" w:sz="0" w:space="0" w:color="auto"/>
        <w:bottom w:val="none" w:sz="0" w:space="0" w:color="auto"/>
        <w:right w:val="none" w:sz="0" w:space="0" w:color="auto"/>
      </w:divBdr>
    </w:div>
    <w:div w:id="350641525">
      <w:bodyDiv w:val="1"/>
      <w:marLeft w:val="0"/>
      <w:marRight w:val="0"/>
      <w:marTop w:val="0"/>
      <w:marBottom w:val="0"/>
      <w:divBdr>
        <w:top w:val="none" w:sz="0" w:space="0" w:color="auto"/>
        <w:left w:val="none" w:sz="0" w:space="0" w:color="auto"/>
        <w:bottom w:val="none" w:sz="0" w:space="0" w:color="auto"/>
        <w:right w:val="none" w:sz="0" w:space="0" w:color="auto"/>
      </w:divBdr>
    </w:div>
    <w:div w:id="360597466">
      <w:bodyDiv w:val="1"/>
      <w:marLeft w:val="0"/>
      <w:marRight w:val="0"/>
      <w:marTop w:val="0"/>
      <w:marBottom w:val="0"/>
      <w:divBdr>
        <w:top w:val="none" w:sz="0" w:space="0" w:color="auto"/>
        <w:left w:val="none" w:sz="0" w:space="0" w:color="auto"/>
        <w:bottom w:val="none" w:sz="0" w:space="0" w:color="auto"/>
        <w:right w:val="none" w:sz="0" w:space="0" w:color="auto"/>
      </w:divBdr>
    </w:div>
    <w:div w:id="364912427">
      <w:bodyDiv w:val="1"/>
      <w:marLeft w:val="0"/>
      <w:marRight w:val="0"/>
      <w:marTop w:val="0"/>
      <w:marBottom w:val="0"/>
      <w:divBdr>
        <w:top w:val="none" w:sz="0" w:space="0" w:color="auto"/>
        <w:left w:val="none" w:sz="0" w:space="0" w:color="auto"/>
        <w:bottom w:val="none" w:sz="0" w:space="0" w:color="auto"/>
        <w:right w:val="none" w:sz="0" w:space="0" w:color="auto"/>
      </w:divBdr>
    </w:div>
    <w:div w:id="367292989">
      <w:bodyDiv w:val="1"/>
      <w:marLeft w:val="0"/>
      <w:marRight w:val="0"/>
      <w:marTop w:val="0"/>
      <w:marBottom w:val="0"/>
      <w:divBdr>
        <w:top w:val="none" w:sz="0" w:space="0" w:color="auto"/>
        <w:left w:val="none" w:sz="0" w:space="0" w:color="auto"/>
        <w:bottom w:val="none" w:sz="0" w:space="0" w:color="auto"/>
        <w:right w:val="none" w:sz="0" w:space="0" w:color="auto"/>
      </w:divBdr>
    </w:div>
    <w:div w:id="373771127">
      <w:bodyDiv w:val="1"/>
      <w:marLeft w:val="0"/>
      <w:marRight w:val="0"/>
      <w:marTop w:val="0"/>
      <w:marBottom w:val="0"/>
      <w:divBdr>
        <w:top w:val="none" w:sz="0" w:space="0" w:color="auto"/>
        <w:left w:val="none" w:sz="0" w:space="0" w:color="auto"/>
        <w:bottom w:val="none" w:sz="0" w:space="0" w:color="auto"/>
        <w:right w:val="none" w:sz="0" w:space="0" w:color="auto"/>
      </w:divBdr>
    </w:div>
    <w:div w:id="376590232">
      <w:bodyDiv w:val="1"/>
      <w:marLeft w:val="0"/>
      <w:marRight w:val="0"/>
      <w:marTop w:val="0"/>
      <w:marBottom w:val="0"/>
      <w:divBdr>
        <w:top w:val="none" w:sz="0" w:space="0" w:color="auto"/>
        <w:left w:val="none" w:sz="0" w:space="0" w:color="auto"/>
        <w:bottom w:val="none" w:sz="0" w:space="0" w:color="auto"/>
        <w:right w:val="none" w:sz="0" w:space="0" w:color="auto"/>
      </w:divBdr>
    </w:div>
    <w:div w:id="388648172">
      <w:bodyDiv w:val="1"/>
      <w:marLeft w:val="0"/>
      <w:marRight w:val="0"/>
      <w:marTop w:val="0"/>
      <w:marBottom w:val="0"/>
      <w:divBdr>
        <w:top w:val="none" w:sz="0" w:space="0" w:color="auto"/>
        <w:left w:val="none" w:sz="0" w:space="0" w:color="auto"/>
        <w:bottom w:val="none" w:sz="0" w:space="0" w:color="auto"/>
        <w:right w:val="none" w:sz="0" w:space="0" w:color="auto"/>
      </w:divBdr>
    </w:div>
    <w:div w:id="394016095">
      <w:bodyDiv w:val="1"/>
      <w:marLeft w:val="0"/>
      <w:marRight w:val="0"/>
      <w:marTop w:val="0"/>
      <w:marBottom w:val="0"/>
      <w:divBdr>
        <w:top w:val="none" w:sz="0" w:space="0" w:color="auto"/>
        <w:left w:val="none" w:sz="0" w:space="0" w:color="auto"/>
        <w:bottom w:val="none" w:sz="0" w:space="0" w:color="auto"/>
        <w:right w:val="none" w:sz="0" w:space="0" w:color="auto"/>
      </w:divBdr>
    </w:div>
    <w:div w:id="429009044">
      <w:bodyDiv w:val="1"/>
      <w:marLeft w:val="0"/>
      <w:marRight w:val="0"/>
      <w:marTop w:val="0"/>
      <w:marBottom w:val="0"/>
      <w:divBdr>
        <w:top w:val="none" w:sz="0" w:space="0" w:color="auto"/>
        <w:left w:val="none" w:sz="0" w:space="0" w:color="auto"/>
        <w:bottom w:val="none" w:sz="0" w:space="0" w:color="auto"/>
        <w:right w:val="none" w:sz="0" w:space="0" w:color="auto"/>
      </w:divBdr>
    </w:div>
    <w:div w:id="433399779">
      <w:bodyDiv w:val="1"/>
      <w:marLeft w:val="0"/>
      <w:marRight w:val="0"/>
      <w:marTop w:val="0"/>
      <w:marBottom w:val="0"/>
      <w:divBdr>
        <w:top w:val="none" w:sz="0" w:space="0" w:color="auto"/>
        <w:left w:val="none" w:sz="0" w:space="0" w:color="auto"/>
        <w:bottom w:val="none" w:sz="0" w:space="0" w:color="auto"/>
        <w:right w:val="none" w:sz="0" w:space="0" w:color="auto"/>
      </w:divBdr>
    </w:div>
    <w:div w:id="453599667">
      <w:bodyDiv w:val="1"/>
      <w:marLeft w:val="0"/>
      <w:marRight w:val="0"/>
      <w:marTop w:val="0"/>
      <w:marBottom w:val="0"/>
      <w:divBdr>
        <w:top w:val="none" w:sz="0" w:space="0" w:color="auto"/>
        <w:left w:val="none" w:sz="0" w:space="0" w:color="auto"/>
        <w:bottom w:val="none" w:sz="0" w:space="0" w:color="auto"/>
        <w:right w:val="none" w:sz="0" w:space="0" w:color="auto"/>
      </w:divBdr>
    </w:div>
    <w:div w:id="471943475">
      <w:bodyDiv w:val="1"/>
      <w:marLeft w:val="0"/>
      <w:marRight w:val="0"/>
      <w:marTop w:val="0"/>
      <w:marBottom w:val="0"/>
      <w:divBdr>
        <w:top w:val="none" w:sz="0" w:space="0" w:color="auto"/>
        <w:left w:val="none" w:sz="0" w:space="0" w:color="auto"/>
        <w:bottom w:val="none" w:sz="0" w:space="0" w:color="auto"/>
        <w:right w:val="none" w:sz="0" w:space="0" w:color="auto"/>
      </w:divBdr>
    </w:div>
    <w:div w:id="483595062">
      <w:bodyDiv w:val="1"/>
      <w:marLeft w:val="0"/>
      <w:marRight w:val="0"/>
      <w:marTop w:val="0"/>
      <w:marBottom w:val="0"/>
      <w:divBdr>
        <w:top w:val="none" w:sz="0" w:space="0" w:color="auto"/>
        <w:left w:val="none" w:sz="0" w:space="0" w:color="auto"/>
        <w:bottom w:val="none" w:sz="0" w:space="0" w:color="auto"/>
        <w:right w:val="none" w:sz="0" w:space="0" w:color="auto"/>
      </w:divBdr>
    </w:div>
    <w:div w:id="483739568">
      <w:bodyDiv w:val="1"/>
      <w:marLeft w:val="0"/>
      <w:marRight w:val="0"/>
      <w:marTop w:val="0"/>
      <w:marBottom w:val="0"/>
      <w:divBdr>
        <w:top w:val="none" w:sz="0" w:space="0" w:color="auto"/>
        <w:left w:val="none" w:sz="0" w:space="0" w:color="auto"/>
        <w:bottom w:val="none" w:sz="0" w:space="0" w:color="auto"/>
        <w:right w:val="none" w:sz="0" w:space="0" w:color="auto"/>
      </w:divBdr>
    </w:div>
    <w:div w:id="504709442">
      <w:bodyDiv w:val="1"/>
      <w:marLeft w:val="0"/>
      <w:marRight w:val="0"/>
      <w:marTop w:val="0"/>
      <w:marBottom w:val="0"/>
      <w:divBdr>
        <w:top w:val="none" w:sz="0" w:space="0" w:color="auto"/>
        <w:left w:val="none" w:sz="0" w:space="0" w:color="auto"/>
        <w:bottom w:val="none" w:sz="0" w:space="0" w:color="auto"/>
        <w:right w:val="none" w:sz="0" w:space="0" w:color="auto"/>
      </w:divBdr>
    </w:div>
    <w:div w:id="509414646">
      <w:bodyDiv w:val="1"/>
      <w:marLeft w:val="0"/>
      <w:marRight w:val="0"/>
      <w:marTop w:val="0"/>
      <w:marBottom w:val="0"/>
      <w:divBdr>
        <w:top w:val="none" w:sz="0" w:space="0" w:color="auto"/>
        <w:left w:val="none" w:sz="0" w:space="0" w:color="auto"/>
        <w:bottom w:val="none" w:sz="0" w:space="0" w:color="auto"/>
        <w:right w:val="none" w:sz="0" w:space="0" w:color="auto"/>
      </w:divBdr>
    </w:div>
    <w:div w:id="514266571">
      <w:bodyDiv w:val="1"/>
      <w:marLeft w:val="0"/>
      <w:marRight w:val="0"/>
      <w:marTop w:val="0"/>
      <w:marBottom w:val="0"/>
      <w:divBdr>
        <w:top w:val="none" w:sz="0" w:space="0" w:color="auto"/>
        <w:left w:val="none" w:sz="0" w:space="0" w:color="auto"/>
        <w:bottom w:val="none" w:sz="0" w:space="0" w:color="auto"/>
        <w:right w:val="none" w:sz="0" w:space="0" w:color="auto"/>
      </w:divBdr>
    </w:div>
    <w:div w:id="519903236">
      <w:bodyDiv w:val="1"/>
      <w:marLeft w:val="0"/>
      <w:marRight w:val="0"/>
      <w:marTop w:val="0"/>
      <w:marBottom w:val="0"/>
      <w:divBdr>
        <w:top w:val="none" w:sz="0" w:space="0" w:color="auto"/>
        <w:left w:val="none" w:sz="0" w:space="0" w:color="auto"/>
        <w:bottom w:val="none" w:sz="0" w:space="0" w:color="auto"/>
        <w:right w:val="none" w:sz="0" w:space="0" w:color="auto"/>
      </w:divBdr>
    </w:div>
    <w:div w:id="550918642">
      <w:bodyDiv w:val="1"/>
      <w:marLeft w:val="0"/>
      <w:marRight w:val="0"/>
      <w:marTop w:val="0"/>
      <w:marBottom w:val="0"/>
      <w:divBdr>
        <w:top w:val="none" w:sz="0" w:space="0" w:color="auto"/>
        <w:left w:val="none" w:sz="0" w:space="0" w:color="auto"/>
        <w:bottom w:val="none" w:sz="0" w:space="0" w:color="auto"/>
        <w:right w:val="none" w:sz="0" w:space="0" w:color="auto"/>
      </w:divBdr>
    </w:div>
    <w:div w:id="552891515">
      <w:bodyDiv w:val="1"/>
      <w:marLeft w:val="0"/>
      <w:marRight w:val="0"/>
      <w:marTop w:val="0"/>
      <w:marBottom w:val="0"/>
      <w:divBdr>
        <w:top w:val="none" w:sz="0" w:space="0" w:color="auto"/>
        <w:left w:val="none" w:sz="0" w:space="0" w:color="auto"/>
        <w:bottom w:val="none" w:sz="0" w:space="0" w:color="auto"/>
        <w:right w:val="none" w:sz="0" w:space="0" w:color="auto"/>
      </w:divBdr>
    </w:div>
    <w:div w:id="555551352">
      <w:bodyDiv w:val="1"/>
      <w:marLeft w:val="0"/>
      <w:marRight w:val="0"/>
      <w:marTop w:val="0"/>
      <w:marBottom w:val="0"/>
      <w:divBdr>
        <w:top w:val="none" w:sz="0" w:space="0" w:color="auto"/>
        <w:left w:val="none" w:sz="0" w:space="0" w:color="auto"/>
        <w:bottom w:val="none" w:sz="0" w:space="0" w:color="auto"/>
        <w:right w:val="none" w:sz="0" w:space="0" w:color="auto"/>
      </w:divBdr>
    </w:div>
    <w:div w:id="561258656">
      <w:bodyDiv w:val="1"/>
      <w:marLeft w:val="0"/>
      <w:marRight w:val="0"/>
      <w:marTop w:val="0"/>
      <w:marBottom w:val="0"/>
      <w:divBdr>
        <w:top w:val="none" w:sz="0" w:space="0" w:color="auto"/>
        <w:left w:val="none" w:sz="0" w:space="0" w:color="auto"/>
        <w:bottom w:val="none" w:sz="0" w:space="0" w:color="auto"/>
        <w:right w:val="none" w:sz="0" w:space="0" w:color="auto"/>
      </w:divBdr>
    </w:div>
    <w:div w:id="567348841">
      <w:bodyDiv w:val="1"/>
      <w:marLeft w:val="0"/>
      <w:marRight w:val="0"/>
      <w:marTop w:val="0"/>
      <w:marBottom w:val="0"/>
      <w:divBdr>
        <w:top w:val="none" w:sz="0" w:space="0" w:color="auto"/>
        <w:left w:val="none" w:sz="0" w:space="0" w:color="auto"/>
        <w:bottom w:val="none" w:sz="0" w:space="0" w:color="auto"/>
        <w:right w:val="none" w:sz="0" w:space="0" w:color="auto"/>
      </w:divBdr>
    </w:div>
    <w:div w:id="570048173">
      <w:bodyDiv w:val="1"/>
      <w:marLeft w:val="0"/>
      <w:marRight w:val="0"/>
      <w:marTop w:val="0"/>
      <w:marBottom w:val="0"/>
      <w:divBdr>
        <w:top w:val="none" w:sz="0" w:space="0" w:color="auto"/>
        <w:left w:val="none" w:sz="0" w:space="0" w:color="auto"/>
        <w:bottom w:val="none" w:sz="0" w:space="0" w:color="auto"/>
        <w:right w:val="none" w:sz="0" w:space="0" w:color="auto"/>
      </w:divBdr>
    </w:div>
    <w:div w:id="603920805">
      <w:bodyDiv w:val="1"/>
      <w:marLeft w:val="0"/>
      <w:marRight w:val="0"/>
      <w:marTop w:val="0"/>
      <w:marBottom w:val="0"/>
      <w:divBdr>
        <w:top w:val="none" w:sz="0" w:space="0" w:color="auto"/>
        <w:left w:val="none" w:sz="0" w:space="0" w:color="auto"/>
        <w:bottom w:val="none" w:sz="0" w:space="0" w:color="auto"/>
        <w:right w:val="none" w:sz="0" w:space="0" w:color="auto"/>
      </w:divBdr>
    </w:div>
    <w:div w:id="604726376">
      <w:bodyDiv w:val="1"/>
      <w:marLeft w:val="0"/>
      <w:marRight w:val="0"/>
      <w:marTop w:val="0"/>
      <w:marBottom w:val="0"/>
      <w:divBdr>
        <w:top w:val="none" w:sz="0" w:space="0" w:color="auto"/>
        <w:left w:val="none" w:sz="0" w:space="0" w:color="auto"/>
        <w:bottom w:val="none" w:sz="0" w:space="0" w:color="auto"/>
        <w:right w:val="none" w:sz="0" w:space="0" w:color="auto"/>
      </w:divBdr>
    </w:div>
    <w:div w:id="614482661">
      <w:bodyDiv w:val="1"/>
      <w:marLeft w:val="0"/>
      <w:marRight w:val="0"/>
      <w:marTop w:val="0"/>
      <w:marBottom w:val="0"/>
      <w:divBdr>
        <w:top w:val="none" w:sz="0" w:space="0" w:color="auto"/>
        <w:left w:val="none" w:sz="0" w:space="0" w:color="auto"/>
        <w:bottom w:val="none" w:sz="0" w:space="0" w:color="auto"/>
        <w:right w:val="none" w:sz="0" w:space="0" w:color="auto"/>
      </w:divBdr>
    </w:div>
    <w:div w:id="642582044">
      <w:bodyDiv w:val="1"/>
      <w:marLeft w:val="0"/>
      <w:marRight w:val="0"/>
      <w:marTop w:val="0"/>
      <w:marBottom w:val="0"/>
      <w:divBdr>
        <w:top w:val="none" w:sz="0" w:space="0" w:color="auto"/>
        <w:left w:val="none" w:sz="0" w:space="0" w:color="auto"/>
        <w:bottom w:val="none" w:sz="0" w:space="0" w:color="auto"/>
        <w:right w:val="none" w:sz="0" w:space="0" w:color="auto"/>
      </w:divBdr>
    </w:div>
    <w:div w:id="645549072">
      <w:bodyDiv w:val="1"/>
      <w:marLeft w:val="0"/>
      <w:marRight w:val="0"/>
      <w:marTop w:val="0"/>
      <w:marBottom w:val="0"/>
      <w:divBdr>
        <w:top w:val="none" w:sz="0" w:space="0" w:color="auto"/>
        <w:left w:val="none" w:sz="0" w:space="0" w:color="auto"/>
        <w:bottom w:val="none" w:sz="0" w:space="0" w:color="auto"/>
        <w:right w:val="none" w:sz="0" w:space="0" w:color="auto"/>
      </w:divBdr>
    </w:div>
    <w:div w:id="649330769">
      <w:bodyDiv w:val="1"/>
      <w:marLeft w:val="0"/>
      <w:marRight w:val="0"/>
      <w:marTop w:val="0"/>
      <w:marBottom w:val="0"/>
      <w:divBdr>
        <w:top w:val="none" w:sz="0" w:space="0" w:color="auto"/>
        <w:left w:val="none" w:sz="0" w:space="0" w:color="auto"/>
        <w:bottom w:val="none" w:sz="0" w:space="0" w:color="auto"/>
        <w:right w:val="none" w:sz="0" w:space="0" w:color="auto"/>
      </w:divBdr>
    </w:div>
    <w:div w:id="649559420">
      <w:bodyDiv w:val="1"/>
      <w:marLeft w:val="0"/>
      <w:marRight w:val="0"/>
      <w:marTop w:val="0"/>
      <w:marBottom w:val="0"/>
      <w:divBdr>
        <w:top w:val="none" w:sz="0" w:space="0" w:color="auto"/>
        <w:left w:val="none" w:sz="0" w:space="0" w:color="auto"/>
        <w:bottom w:val="none" w:sz="0" w:space="0" w:color="auto"/>
        <w:right w:val="none" w:sz="0" w:space="0" w:color="auto"/>
      </w:divBdr>
    </w:div>
    <w:div w:id="666248125">
      <w:bodyDiv w:val="1"/>
      <w:marLeft w:val="0"/>
      <w:marRight w:val="0"/>
      <w:marTop w:val="0"/>
      <w:marBottom w:val="0"/>
      <w:divBdr>
        <w:top w:val="none" w:sz="0" w:space="0" w:color="auto"/>
        <w:left w:val="none" w:sz="0" w:space="0" w:color="auto"/>
        <w:bottom w:val="none" w:sz="0" w:space="0" w:color="auto"/>
        <w:right w:val="none" w:sz="0" w:space="0" w:color="auto"/>
      </w:divBdr>
    </w:div>
    <w:div w:id="675376404">
      <w:bodyDiv w:val="1"/>
      <w:marLeft w:val="0"/>
      <w:marRight w:val="0"/>
      <w:marTop w:val="0"/>
      <w:marBottom w:val="0"/>
      <w:divBdr>
        <w:top w:val="none" w:sz="0" w:space="0" w:color="auto"/>
        <w:left w:val="none" w:sz="0" w:space="0" w:color="auto"/>
        <w:bottom w:val="none" w:sz="0" w:space="0" w:color="auto"/>
        <w:right w:val="none" w:sz="0" w:space="0" w:color="auto"/>
      </w:divBdr>
    </w:div>
    <w:div w:id="683090195">
      <w:bodyDiv w:val="1"/>
      <w:marLeft w:val="0"/>
      <w:marRight w:val="0"/>
      <w:marTop w:val="0"/>
      <w:marBottom w:val="0"/>
      <w:divBdr>
        <w:top w:val="none" w:sz="0" w:space="0" w:color="auto"/>
        <w:left w:val="none" w:sz="0" w:space="0" w:color="auto"/>
        <w:bottom w:val="none" w:sz="0" w:space="0" w:color="auto"/>
        <w:right w:val="none" w:sz="0" w:space="0" w:color="auto"/>
      </w:divBdr>
    </w:div>
    <w:div w:id="689835017">
      <w:bodyDiv w:val="1"/>
      <w:marLeft w:val="0"/>
      <w:marRight w:val="0"/>
      <w:marTop w:val="0"/>
      <w:marBottom w:val="0"/>
      <w:divBdr>
        <w:top w:val="none" w:sz="0" w:space="0" w:color="auto"/>
        <w:left w:val="none" w:sz="0" w:space="0" w:color="auto"/>
        <w:bottom w:val="none" w:sz="0" w:space="0" w:color="auto"/>
        <w:right w:val="none" w:sz="0" w:space="0" w:color="auto"/>
      </w:divBdr>
    </w:div>
    <w:div w:id="715393771">
      <w:bodyDiv w:val="1"/>
      <w:marLeft w:val="0"/>
      <w:marRight w:val="0"/>
      <w:marTop w:val="0"/>
      <w:marBottom w:val="0"/>
      <w:divBdr>
        <w:top w:val="none" w:sz="0" w:space="0" w:color="auto"/>
        <w:left w:val="none" w:sz="0" w:space="0" w:color="auto"/>
        <w:bottom w:val="none" w:sz="0" w:space="0" w:color="auto"/>
        <w:right w:val="none" w:sz="0" w:space="0" w:color="auto"/>
      </w:divBdr>
    </w:div>
    <w:div w:id="723069565">
      <w:bodyDiv w:val="1"/>
      <w:marLeft w:val="0"/>
      <w:marRight w:val="0"/>
      <w:marTop w:val="0"/>
      <w:marBottom w:val="0"/>
      <w:divBdr>
        <w:top w:val="none" w:sz="0" w:space="0" w:color="auto"/>
        <w:left w:val="none" w:sz="0" w:space="0" w:color="auto"/>
        <w:bottom w:val="none" w:sz="0" w:space="0" w:color="auto"/>
        <w:right w:val="none" w:sz="0" w:space="0" w:color="auto"/>
      </w:divBdr>
    </w:div>
    <w:div w:id="747850247">
      <w:bodyDiv w:val="1"/>
      <w:marLeft w:val="0"/>
      <w:marRight w:val="0"/>
      <w:marTop w:val="0"/>
      <w:marBottom w:val="0"/>
      <w:divBdr>
        <w:top w:val="none" w:sz="0" w:space="0" w:color="auto"/>
        <w:left w:val="none" w:sz="0" w:space="0" w:color="auto"/>
        <w:bottom w:val="none" w:sz="0" w:space="0" w:color="auto"/>
        <w:right w:val="none" w:sz="0" w:space="0" w:color="auto"/>
      </w:divBdr>
    </w:div>
    <w:div w:id="769860512">
      <w:bodyDiv w:val="1"/>
      <w:marLeft w:val="0"/>
      <w:marRight w:val="0"/>
      <w:marTop w:val="0"/>
      <w:marBottom w:val="0"/>
      <w:divBdr>
        <w:top w:val="none" w:sz="0" w:space="0" w:color="auto"/>
        <w:left w:val="none" w:sz="0" w:space="0" w:color="auto"/>
        <w:bottom w:val="none" w:sz="0" w:space="0" w:color="auto"/>
        <w:right w:val="none" w:sz="0" w:space="0" w:color="auto"/>
      </w:divBdr>
    </w:div>
    <w:div w:id="778333581">
      <w:bodyDiv w:val="1"/>
      <w:marLeft w:val="0"/>
      <w:marRight w:val="0"/>
      <w:marTop w:val="0"/>
      <w:marBottom w:val="0"/>
      <w:divBdr>
        <w:top w:val="none" w:sz="0" w:space="0" w:color="auto"/>
        <w:left w:val="none" w:sz="0" w:space="0" w:color="auto"/>
        <w:bottom w:val="none" w:sz="0" w:space="0" w:color="auto"/>
        <w:right w:val="none" w:sz="0" w:space="0" w:color="auto"/>
      </w:divBdr>
    </w:div>
    <w:div w:id="784882730">
      <w:bodyDiv w:val="1"/>
      <w:marLeft w:val="0"/>
      <w:marRight w:val="0"/>
      <w:marTop w:val="0"/>
      <w:marBottom w:val="0"/>
      <w:divBdr>
        <w:top w:val="none" w:sz="0" w:space="0" w:color="auto"/>
        <w:left w:val="none" w:sz="0" w:space="0" w:color="auto"/>
        <w:bottom w:val="none" w:sz="0" w:space="0" w:color="auto"/>
        <w:right w:val="none" w:sz="0" w:space="0" w:color="auto"/>
      </w:divBdr>
    </w:div>
    <w:div w:id="802503711">
      <w:bodyDiv w:val="1"/>
      <w:marLeft w:val="0"/>
      <w:marRight w:val="0"/>
      <w:marTop w:val="0"/>
      <w:marBottom w:val="0"/>
      <w:divBdr>
        <w:top w:val="none" w:sz="0" w:space="0" w:color="auto"/>
        <w:left w:val="none" w:sz="0" w:space="0" w:color="auto"/>
        <w:bottom w:val="none" w:sz="0" w:space="0" w:color="auto"/>
        <w:right w:val="none" w:sz="0" w:space="0" w:color="auto"/>
      </w:divBdr>
    </w:div>
    <w:div w:id="827670005">
      <w:bodyDiv w:val="1"/>
      <w:marLeft w:val="0"/>
      <w:marRight w:val="0"/>
      <w:marTop w:val="0"/>
      <w:marBottom w:val="0"/>
      <w:divBdr>
        <w:top w:val="none" w:sz="0" w:space="0" w:color="auto"/>
        <w:left w:val="none" w:sz="0" w:space="0" w:color="auto"/>
        <w:bottom w:val="none" w:sz="0" w:space="0" w:color="auto"/>
        <w:right w:val="none" w:sz="0" w:space="0" w:color="auto"/>
      </w:divBdr>
    </w:div>
    <w:div w:id="846023191">
      <w:bodyDiv w:val="1"/>
      <w:marLeft w:val="0"/>
      <w:marRight w:val="0"/>
      <w:marTop w:val="0"/>
      <w:marBottom w:val="0"/>
      <w:divBdr>
        <w:top w:val="none" w:sz="0" w:space="0" w:color="auto"/>
        <w:left w:val="none" w:sz="0" w:space="0" w:color="auto"/>
        <w:bottom w:val="none" w:sz="0" w:space="0" w:color="auto"/>
        <w:right w:val="none" w:sz="0" w:space="0" w:color="auto"/>
      </w:divBdr>
    </w:div>
    <w:div w:id="852569672">
      <w:bodyDiv w:val="1"/>
      <w:marLeft w:val="0"/>
      <w:marRight w:val="0"/>
      <w:marTop w:val="0"/>
      <w:marBottom w:val="0"/>
      <w:divBdr>
        <w:top w:val="none" w:sz="0" w:space="0" w:color="auto"/>
        <w:left w:val="none" w:sz="0" w:space="0" w:color="auto"/>
        <w:bottom w:val="none" w:sz="0" w:space="0" w:color="auto"/>
        <w:right w:val="none" w:sz="0" w:space="0" w:color="auto"/>
      </w:divBdr>
    </w:div>
    <w:div w:id="874580635">
      <w:bodyDiv w:val="1"/>
      <w:marLeft w:val="0"/>
      <w:marRight w:val="0"/>
      <w:marTop w:val="0"/>
      <w:marBottom w:val="0"/>
      <w:divBdr>
        <w:top w:val="none" w:sz="0" w:space="0" w:color="auto"/>
        <w:left w:val="none" w:sz="0" w:space="0" w:color="auto"/>
        <w:bottom w:val="none" w:sz="0" w:space="0" w:color="auto"/>
        <w:right w:val="none" w:sz="0" w:space="0" w:color="auto"/>
      </w:divBdr>
    </w:div>
    <w:div w:id="894663361">
      <w:bodyDiv w:val="1"/>
      <w:marLeft w:val="0"/>
      <w:marRight w:val="0"/>
      <w:marTop w:val="0"/>
      <w:marBottom w:val="0"/>
      <w:divBdr>
        <w:top w:val="none" w:sz="0" w:space="0" w:color="auto"/>
        <w:left w:val="none" w:sz="0" w:space="0" w:color="auto"/>
        <w:bottom w:val="none" w:sz="0" w:space="0" w:color="auto"/>
        <w:right w:val="none" w:sz="0" w:space="0" w:color="auto"/>
      </w:divBdr>
    </w:div>
    <w:div w:id="903100216">
      <w:bodyDiv w:val="1"/>
      <w:marLeft w:val="0"/>
      <w:marRight w:val="0"/>
      <w:marTop w:val="0"/>
      <w:marBottom w:val="0"/>
      <w:divBdr>
        <w:top w:val="none" w:sz="0" w:space="0" w:color="auto"/>
        <w:left w:val="none" w:sz="0" w:space="0" w:color="auto"/>
        <w:bottom w:val="none" w:sz="0" w:space="0" w:color="auto"/>
        <w:right w:val="none" w:sz="0" w:space="0" w:color="auto"/>
      </w:divBdr>
    </w:div>
    <w:div w:id="904074178">
      <w:bodyDiv w:val="1"/>
      <w:marLeft w:val="0"/>
      <w:marRight w:val="0"/>
      <w:marTop w:val="0"/>
      <w:marBottom w:val="0"/>
      <w:divBdr>
        <w:top w:val="none" w:sz="0" w:space="0" w:color="auto"/>
        <w:left w:val="none" w:sz="0" w:space="0" w:color="auto"/>
        <w:bottom w:val="none" w:sz="0" w:space="0" w:color="auto"/>
        <w:right w:val="none" w:sz="0" w:space="0" w:color="auto"/>
      </w:divBdr>
    </w:div>
    <w:div w:id="930432890">
      <w:bodyDiv w:val="1"/>
      <w:marLeft w:val="0"/>
      <w:marRight w:val="0"/>
      <w:marTop w:val="0"/>
      <w:marBottom w:val="0"/>
      <w:divBdr>
        <w:top w:val="none" w:sz="0" w:space="0" w:color="auto"/>
        <w:left w:val="none" w:sz="0" w:space="0" w:color="auto"/>
        <w:bottom w:val="none" w:sz="0" w:space="0" w:color="auto"/>
        <w:right w:val="none" w:sz="0" w:space="0" w:color="auto"/>
      </w:divBdr>
    </w:div>
    <w:div w:id="940338919">
      <w:bodyDiv w:val="1"/>
      <w:marLeft w:val="0"/>
      <w:marRight w:val="0"/>
      <w:marTop w:val="0"/>
      <w:marBottom w:val="0"/>
      <w:divBdr>
        <w:top w:val="none" w:sz="0" w:space="0" w:color="auto"/>
        <w:left w:val="none" w:sz="0" w:space="0" w:color="auto"/>
        <w:bottom w:val="none" w:sz="0" w:space="0" w:color="auto"/>
        <w:right w:val="none" w:sz="0" w:space="0" w:color="auto"/>
      </w:divBdr>
    </w:div>
    <w:div w:id="950207795">
      <w:bodyDiv w:val="1"/>
      <w:marLeft w:val="0"/>
      <w:marRight w:val="0"/>
      <w:marTop w:val="0"/>
      <w:marBottom w:val="0"/>
      <w:divBdr>
        <w:top w:val="none" w:sz="0" w:space="0" w:color="auto"/>
        <w:left w:val="none" w:sz="0" w:space="0" w:color="auto"/>
        <w:bottom w:val="none" w:sz="0" w:space="0" w:color="auto"/>
        <w:right w:val="none" w:sz="0" w:space="0" w:color="auto"/>
      </w:divBdr>
    </w:div>
    <w:div w:id="950667482">
      <w:bodyDiv w:val="1"/>
      <w:marLeft w:val="0"/>
      <w:marRight w:val="0"/>
      <w:marTop w:val="0"/>
      <w:marBottom w:val="0"/>
      <w:divBdr>
        <w:top w:val="none" w:sz="0" w:space="0" w:color="auto"/>
        <w:left w:val="none" w:sz="0" w:space="0" w:color="auto"/>
        <w:bottom w:val="none" w:sz="0" w:space="0" w:color="auto"/>
        <w:right w:val="none" w:sz="0" w:space="0" w:color="auto"/>
      </w:divBdr>
    </w:div>
    <w:div w:id="972563554">
      <w:bodyDiv w:val="1"/>
      <w:marLeft w:val="0"/>
      <w:marRight w:val="0"/>
      <w:marTop w:val="0"/>
      <w:marBottom w:val="0"/>
      <w:divBdr>
        <w:top w:val="none" w:sz="0" w:space="0" w:color="auto"/>
        <w:left w:val="none" w:sz="0" w:space="0" w:color="auto"/>
        <w:bottom w:val="none" w:sz="0" w:space="0" w:color="auto"/>
        <w:right w:val="none" w:sz="0" w:space="0" w:color="auto"/>
      </w:divBdr>
    </w:div>
    <w:div w:id="976759487">
      <w:bodyDiv w:val="1"/>
      <w:marLeft w:val="0"/>
      <w:marRight w:val="0"/>
      <w:marTop w:val="0"/>
      <w:marBottom w:val="0"/>
      <w:divBdr>
        <w:top w:val="none" w:sz="0" w:space="0" w:color="auto"/>
        <w:left w:val="none" w:sz="0" w:space="0" w:color="auto"/>
        <w:bottom w:val="none" w:sz="0" w:space="0" w:color="auto"/>
        <w:right w:val="none" w:sz="0" w:space="0" w:color="auto"/>
      </w:divBdr>
    </w:div>
    <w:div w:id="977228339">
      <w:bodyDiv w:val="1"/>
      <w:marLeft w:val="0"/>
      <w:marRight w:val="0"/>
      <w:marTop w:val="0"/>
      <w:marBottom w:val="0"/>
      <w:divBdr>
        <w:top w:val="none" w:sz="0" w:space="0" w:color="auto"/>
        <w:left w:val="none" w:sz="0" w:space="0" w:color="auto"/>
        <w:bottom w:val="none" w:sz="0" w:space="0" w:color="auto"/>
        <w:right w:val="none" w:sz="0" w:space="0" w:color="auto"/>
      </w:divBdr>
    </w:div>
    <w:div w:id="986937633">
      <w:bodyDiv w:val="1"/>
      <w:marLeft w:val="0"/>
      <w:marRight w:val="0"/>
      <w:marTop w:val="0"/>
      <w:marBottom w:val="0"/>
      <w:divBdr>
        <w:top w:val="none" w:sz="0" w:space="0" w:color="auto"/>
        <w:left w:val="none" w:sz="0" w:space="0" w:color="auto"/>
        <w:bottom w:val="none" w:sz="0" w:space="0" w:color="auto"/>
        <w:right w:val="none" w:sz="0" w:space="0" w:color="auto"/>
      </w:divBdr>
    </w:div>
    <w:div w:id="1005085785">
      <w:bodyDiv w:val="1"/>
      <w:marLeft w:val="0"/>
      <w:marRight w:val="0"/>
      <w:marTop w:val="0"/>
      <w:marBottom w:val="0"/>
      <w:divBdr>
        <w:top w:val="none" w:sz="0" w:space="0" w:color="auto"/>
        <w:left w:val="none" w:sz="0" w:space="0" w:color="auto"/>
        <w:bottom w:val="none" w:sz="0" w:space="0" w:color="auto"/>
        <w:right w:val="none" w:sz="0" w:space="0" w:color="auto"/>
      </w:divBdr>
    </w:div>
    <w:div w:id="1036976466">
      <w:bodyDiv w:val="1"/>
      <w:marLeft w:val="0"/>
      <w:marRight w:val="0"/>
      <w:marTop w:val="0"/>
      <w:marBottom w:val="0"/>
      <w:divBdr>
        <w:top w:val="none" w:sz="0" w:space="0" w:color="auto"/>
        <w:left w:val="none" w:sz="0" w:space="0" w:color="auto"/>
        <w:bottom w:val="none" w:sz="0" w:space="0" w:color="auto"/>
        <w:right w:val="none" w:sz="0" w:space="0" w:color="auto"/>
      </w:divBdr>
    </w:div>
    <w:div w:id="1053312132">
      <w:bodyDiv w:val="1"/>
      <w:marLeft w:val="0"/>
      <w:marRight w:val="0"/>
      <w:marTop w:val="0"/>
      <w:marBottom w:val="0"/>
      <w:divBdr>
        <w:top w:val="none" w:sz="0" w:space="0" w:color="auto"/>
        <w:left w:val="none" w:sz="0" w:space="0" w:color="auto"/>
        <w:bottom w:val="none" w:sz="0" w:space="0" w:color="auto"/>
        <w:right w:val="none" w:sz="0" w:space="0" w:color="auto"/>
      </w:divBdr>
    </w:div>
    <w:div w:id="1054085524">
      <w:bodyDiv w:val="1"/>
      <w:marLeft w:val="0"/>
      <w:marRight w:val="0"/>
      <w:marTop w:val="0"/>
      <w:marBottom w:val="0"/>
      <w:divBdr>
        <w:top w:val="none" w:sz="0" w:space="0" w:color="auto"/>
        <w:left w:val="none" w:sz="0" w:space="0" w:color="auto"/>
        <w:bottom w:val="none" w:sz="0" w:space="0" w:color="auto"/>
        <w:right w:val="none" w:sz="0" w:space="0" w:color="auto"/>
      </w:divBdr>
    </w:div>
    <w:div w:id="1081832736">
      <w:bodyDiv w:val="1"/>
      <w:marLeft w:val="0"/>
      <w:marRight w:val="0"/>
      <w:marTop w:val="0"/>
      <w:marBottom w:val="0"/>
      <w:divBdr>
        <w:top w:val="none" w:sz="0" w:space="0" w:color="auto"/>
        <w:left w:val="none" w:sz="0" w:space="0" w:color="auto"/>
        <w:bottom w:val="none" w:sz="0" w:space="0" w:color="auto"/>
        <w:right w:val="none" w:sz="0" w:space="0" w:color="auto"/>
      </w:divBdr>
    </w:div>
    <w:div w:id="1086415537">
      <w:bodyDiv w:val="1"/>
      <w:marLeft w:val="0"/>
      <w:marRight w:val="0"/>
      <w:marTop w:val="0"/>
      <w:marBottom w:val="0"/>
      <w:divBdr>
        <w:top w:val="none" w:sz="0" w:space="0" w:color="auto"/>
        <w:left w:val="none" w:sz="0" w:space="0" w:color="auto"/>
        <w:bottom w:val="none" w:sz="0" w:space="0" w:color="auto"/>
        <w:right w:val="none" w:sz="0" w:space="0" w:color="auto"/>
      </w:divBdr>
    </w:div>
    <w:div w:id="1094277991">
      <w:bodyDiv w:val="1"/>
      <w:marLeft w:val="0"/>
      <w:marRight w:val="0"/>
      <w:marTop w:val="0"/>
      <w:marBottom w:val="0"/>
      <w:divBdr>
        <w:top w:val="none" w:sz="0" w:space="0" w:color="auto"/>
        <w:left w:val="none" w:sz="0" w:space="0" w:color="auto"/>
        <w:bottom w:val="none" w:sz="0" w:space="0" w:color="auto"/>
        <w:right w:val="none" w:sz="0" w:space="0" w:color="auto"/>
      </w:divBdr>
    </w:div>
    <w:div w:id="1101414437">
      <w:bodyDiv w:val="1"/>
      <w:marLeft w:val="0"/>
      <w:marRight w:val="0"/>
      <w:marTop w:val="0"/>
      <w:marBottom w:val="0"/>
      <w:divBdr>
        <w:top w:val="none" w:sz="0" w:space="0" w:color="auto"/>
        <w:left w:val="none" w:sz="0" w:space="0" w:color="auto"/>
        <w:bottom w:val="none" w:sz="0" w:space="0" w:color="auto"/>
        <w:right w:val="none" w:sz="0" w:space="0" w:color="auto"/>
      </w:divBdr>
    </w:div>
    <w:div w:id="1110709368">
      <w:bodyDiv w:val="1"/>
      <w:marLeft w:val="0"/>
      <w:marRight w:val="0"/>
      <w:marTop w:val="0"/>
      <w:marBottom w:val="0"/>
      <w:divBdr>
        <w:top w:val="none" w:sz="0" w:space="0" w:color="auto"/>
        <w:left w:val="none" w:sz="0" w:space="0" w:color="auto"/>
        <w:bottom w:val="none" w:sz="0" w:space="0" w:color="auto"/>
        <w:right w:val="none" w:sz="0" w:space="0" w:color="auto"/>
      </w:divBdr>
    </w:div>
    <w:div w:id="1146317363">
      <w:bodyDiv w:val="1"/>
      <w:marLeft w:val="0"/>
      <w:marRight w:val="0"/>
      <w:marTop w:val="0"/>
      <w:marBottom w:val="0"/>
      <w:divBdr>
        <w:top w:val="none" w:sz="0" w:space="0" w:color="auto"/>
        <w:left w:val="none" w:sz="0" w:space="0" w:color="auto"/>
        <w:bottom w:val="none" w:sz="0" w:space="0" w:color="auto"/>
        <w:right w:val="none" w:sz="0" w:space="0" w:color="auto"/>
      </w:divBdr>
    </w:div>
    <w:div w:id="1149127899">
      <w:bodyDiv w:val="1"/>
      <w:marLeft w:val="0"/>
      <w:marRight w:val="0"/>
      <w:marTop w:val="0"/>
      <w:marBottom w:val="0"/>
      <w:divBdr>
        <w:top w:val="none" w:sz="0" w:space="0" w:color="auto"/>
        <w:left w:val="none" w:sz="0" w:space="0" w:color="auto"/>
        <w:bottom w:val="none" w:sz="0" w:space="0" w:color="auto"/>
        <w:right w:val="none" w:sz="0" w:space="0" w:color="auto"/>
      </w:divBdr>
    </w:div>
    <w:div w:id="1155954337">
      <w:bodyDiv w:val="1"/>
      <w:marLeft w:val="0"/>
      <w:marRight w:val="0"/>
      <w:marTop w:val="0"/>
      <w:marBottom w:val="0"/>
      <w:divBdr>
        <w:top w:val="none" w:sz="0" w:space="0" w:color="auto"/>
        <w:left w:val="none" w:sz="0" w:space="0" w:color="auto"/>
        <w:bottom w:val="none" w:sz="0" w:space="0" w:color="auto"/>
        <w:right w:val="none" w:sz="0" w:space="0" w:color="auto"/>
      </w:divBdr>
    </w:div>
    <w:div w:id="1164198654">
      <w:bodyDiv w:val="1"/>
      <w:marLeft w:val="0"/>
      <w:marRight w:val="0"/>
      <w:marTop w:val="0"/>
      <w:marBottom w:val="0"/>
      <w:divBdr>
        <w:top w:val="none" w:sz="0" w:space="0" w:color="auto"/>
        <w:left w:val="none" w:sz="0" w:space="0" w:color="auto"/>
        <w:bottom w:val="none" w:sz="0" w:space="0" w:color="auto"/>
        <w:right w:val="none" w:sz="0" w:space="0" w:color="auto"/>
      </w:divBdr>
    </w:div>
    <w:div w:id="1185248096">
      <w:bodyDiv w:val="1"/>
      <w:marLeft w:val="0"/>
      <w:marRight w:val="0"/>
      <w:marTop w:val="0"/>
      <w:marBottom w:val="0"/>
      <w:divBdr>
        <w:top w:val="none" w:sz="0" w:space="0" w:color="auto"/>
        <w:left w:val="none" w:sz="0" w:space="0" w:color="auto"/>
        <w:bottom w:val="none" w:sz="0" w:space="0" w:color="auto"/>
        <w:right w:val="none" w:sz="0" w:space="0" w:color="auto"/>
      </w:divBdr>
    </w:div>
    <w:div w:id="1197738401">
      <w:bodyDiv w:val="1"/>
      <w:marLeft w:val="0"/>
      <w:marRight w:val="0"/>
      <w:marTop w:val="0"/>
      <w:marBottom w:val="0"/>
      <w:divBdr>
        <w:top w:val="none" w:sz="0" w:space="0" w:color="auto"/>
        <w:left w:val="none" w:sz="0" w:space="0" w:color="auto"/>
        <w:bottom w:val="none" w:sz="0" w:space="0" w:color="auto"/>
        <w:right w:val="none" w:sz="0" w:space="0" w:color="auto"/>
      </w:divBdr>
    </w:div>
    <w:div w:id="1210990838">
      <w:bodyDiv w:val="1"/>
      <w:marLeft w:val="0"/>
      <w:marRight w:val="0"/>
      <w:marTop w:val="0"/>
      <w:marBottom w:val="0"/>
      <w:divBdr>
        <w:top w:val="none" w:sz="0" w:space="0" w:color="auto"/>
        <w:left w:val="none" w:sz="0" w:space="0" w:color="auto"/>
        <w:bottom w:val="none" w:sz="0" w:space="0" w:color="auto"/>
        <w:right w:val="none" w:sz="0" w:space="0" w:color="auto"/>
      </w:divBdr>
    </w:div>
    <w:div w:id="1211112347">
      <w:bodyDiv w:val="1"/>
      <w:marLeft w:val="0"/>
      <w:marRight w:val="0"/>
      <w:marTop w:val="0"/>
      <w:marBottom w:val="0"/>
      <w:divBdr>
        <w:top w:val="none" w:sz="0" w:space="0" w:color="auto"/>
        <w:left w:val="none" w:sz="0" w:space="0" w:color="auto"/>
        <w:bottom w:val="none" w:sz="0" w:space="0" w:color="auto"/>
        <w:right w:val="none" w:sz="0" w:space="0" w:color="auto"/>
      </w:divBdr>
    </w:div>
    <w:div w:id="1216771968">
      <w:bodyDiv w:val="1"/>
      <w:marLeft w:val="0"/>
      <w:marRight w:val="0"/>
      <w:marTop w:val="0"/>
      <w:marBottom w:val="0"/>
      <w:divBdr>
        <w:top w:val="none" w:sz="0" w:space="0" w:color="auto"/>
        <w:left w:val="none" w:sz="0" w:space="0" w:color="auto"/>
        <w:bottom w:val="none" w:sz="0" w:space="0" w:color="auto"/>
        <w:right w:val="none" w:sz="0" w:space="0" w:color="auto"/>
      </w:divBdr>
    </w:div>
    <w:div w:id="1244291098">
      <w:bodyDiv w:val="1"/>
      <w:marLeft w:val="0"/>
      <w:marRight w:val="0"/>
      <w:marTop w:val="0"/>
      <w:marBottom w:val="0"/>
      <w:divBdr>
        <w:top w:val="none" w:sz="0" w:space="0" w:color="auto"/>
        <w:left w:val="none" w:sz="0" w:space="0" w:color="auto"/>
        <w:bottom w:val="none" w:sz="0" w:space="0" w:color="auto"/>
        <w:right w:val="none" w:sz="0" w:space="0" w:color="auto"/>
      </w:divBdr>
    </w:div>
    <w:div w:id="1250693599">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95716168">
      <w:bodyDiv w:val="1"/>
      <w:marLeft w:val="0"/>
      <w:marRight w:val="0"/>
      <w:marTop w:val="0"/>
      <w:marBottom w:val="0"/>
      <w:divBdr>
        <w:top w:val="none" w:sz="0" w:space="0" w:color="auto"/>
        <w:left w:val="none" w:sz="0" w:space="0" w:color="auto"/>
        <w:bottom w:val="none" w:sz="0" w:space="0" w:color="auto"/>
        <w:right w:val="none" w:sz="0" w:space="0" w:color="auto"/>
      </w:divBdr>
    </w:div>
    <w:div w:id="1341393042">
      <w:bodyDiv w:val="1"/>
      <w:marLeft w:val="0"/>
      <w:marRight w:val="0"/>
      <w:marTop w:val="0"/>
      <w:marBottom w:val="0"/>
      <w:divBdr>
        <w:top w:val="none" w:sz="0" w:space="0" w:color="auto"/>
        <w:left w:val="none" w:sz="0" w:space="0" w:color="auto"/>
        <w:bottom w:val="none" w:sz="0" w:space="0" w:color="auto"/>
        <w:right w:val="none" w:sz="0" w:space="0" w:color="auto"/>
      </w:divBdr>
    </w:div>
    <w:div w:id="1348632536">
      <w:bodyDiv w:val="1"/>
      <w:marLeft w:val="0"/>
      <w:marRight w:val="0"/>
      <w:marTop w:val="0"/>
      <w:marBottom w:val="0"/>
      <w:divBdr>
        <w:top w:val="none" w:sz="0" w:space="0" w:color="auto"/>
        <w:left w:val="none" w:sz="0" w:space="0" w:color="auto"/>
        <w:bottom w:val="none" w:sz="0" w:space="0" w:color="auto"/>
        <w:right w:val="none" w:sz="0" w:space="0" w:color="auto"/>
      </w:divBdr>
    </w:div>
    <w:div w:id="1351763612">
      <w:bodyDiv w:val="1"/>
      <w:marLeft w:val="0"/>
      <w:marRight w:val="0"/>
      <w:marTop w:val="0"/>
      <w:marBottom w:val="0"/>
      <w:divBdr>
        <w:top w:val="none" w:sz="0" w:space="0" w:color="auto"/>
        <w:left w:val="none" w:sz="0" w:space="0" w:color="auto"/>
        <w:bottom w:val="none" w:sz="0" w:space="0" w:color="auto"/>
        <w:right w:val="none" w:sz="0" w:space="0" w:color="auto"/>
      </w:divBdr>
    </w:div>
    <w:div w:id="1390155812">
      <w:bodyDiv w:val="1"/>
      <w:marLeft w:val="0"/>
      <w:marRight w:val="0"/>
      <w:marTop w:val="0"/>
      <w:marBottom w:val="0"/>
      <w:divBdr>
        <w:top w:val="none" w:sz="0" w:space="0" w:color="auto"/>
        <w:left w:val="none" w:sz="0" w:space="0" w:color="auto"/>
        <w:bottom w:val="none" w:sz="0" w:space="0" w:color="auto"/>
        <w:right w:val="none" w:sz="0" w:space="0" w:color="auto"/>
      </w:divBdr>
    </w:div>
    <w:div w:id="1394422984">
      <w:bodyDiv w:val="1"/>
      <w:marLeft w:val="0"/>
      <w:marRight w:val="0"/>
      <w:marTop w:val="0"/>
      <w:marBottom w:val="0"/>
      <w:divBdr>
        <w:top w:val="none" w:sz="0" w:space="0" w:color="auto"/>
        <w:left w:val="none" w:sz="0" w:space="0" w:color="auto"/>
        <w:bottom w:val="none" w:sz="0" w:space="0" w:color="auto"/>
        <w:right w:val="none" w:sz="0" w:space="0" w:color="auto"/>
      </w:divBdr>
    </w:div>
    <w:div w:id="1397701158">
      <w:bodyDiv w:val="1"/>
      <w:marLeft w:val="0"/>
      <w:marRight w:val="0"/>
      <w:marTop w:val="0"/>
      <w:marBottom w:val="0"/>
      <w:divBdr>
        <w:top w:val="none" w:sz="0" w:space="0" w:color="auto"/>
        <w:left w:val="none" w:sz="0" w:space="0" w:color="auto"/>
        <w:bottom w:val="none" w:sz="0" w:space="0" w:color="auto"/>
        <w:right w:val="none" w:sz="0" w:space="0" w:color="auto"/>
      </w:divBdr>
    </w:div>
    <w:div w:id="1401445492">
      <w:bodyDiv w:val="1"/>
      <w:marLeft w:val="0"/>
      <w:marRight w:val="0"/>
      <w:marTop w:val="0"/>
      <w:marBottom w:val="0"/>
      <w:divBdr>
        <w:top w:val="none" w:sz="0" w:space="0" w:color="auto"/>
        <w:left w:val="none" w:sz="0" w:space="0" w:color="auto"/>
        <w:bottom w:val="none" w:sz="0" w:space="0" w:color="auto"/>
        <w:right w:val="none" w:sz="0" w:space="0" w:color="auto"/>
      </w:divBdr>
    </w:div>
    <w:div w:id="1405253536">
      <w:bodyDiv w:val="1"/>
      <w:marLeft w:val="0"/>
      <w:marRight w:val="0"/>
      <w:marTop w:val="0"/>
      <w:marBottom w:val="0"/>
      <w:divBdr>
        <w:top w:val="none" w:sz="0" w:space="0" w:color="auto"/>
        <w:left w:val="none" w:sz="0" w:space="0" w:color="auto"/>
        <w:bottom w:val="none" w:sz="0" w:space="0" w:color="auto"/>
        <w:right w:val="none" w:sz="0" w:space="0" w:color="auto"/>
      </w:divBdr>
    </w:div>
    <w:div w:id="1412584926">
      <w:bodyDiv w:val="1"/>
      <w:marLeft w:val="0"/>
      <w:marRight w:val="0"/>
      <w:marTop w:val="0"/>
      <w:marBottom w:val="0"/>
      <w:divBdr>
        <w:top w:val="none" w:sz="0" w:space="0" w:color="auto"/>
        <w:left w:val="none" w:sz="0" w:space="0" w:color="auto"/>
        <w:bottom w:val="none" w:sz="0" w:space="0" w:color="auto"/>
        <w:right w:val="none" w:sz="0" w:space="0" w:color="auto"/>
      </w:divBdr>
    </w:div>
    <w:div w:id="1431972110">
      <w:bodyDiv w:val="1"/>
      <w:marLeft w:val="0"/>
      <w:marRight w:val="0"/>
      <w:marTop w:val="0"/>
      <w:marBottom w:val="0"/>
      <w:divBdr>
        <w:top w:val="none" w:sz="0" w:space="0" w:color="auto"/>
        <w:left w:val="none" w:sz="0" w:space="0" w:color="auto"/>
        <w:bottom w:val="none" w:sz="0" w:space="0" w:color="auto"/>
        <w:right w:val="none" w:sz="0" w:space="0" w:color="auto"/>
      </w:divBdr>
    </w:div>
    <w:div w:id="1443300947">
      <w:bodyDiv w:val="1"/>
      <w:marLeft w:val="0"/>
      <w:marRight w:val="0"/>
      <w:marTop w:val="0"/>
      <w:marBottom w:val="0"/>
      <w:divBdr>
        <w:top w:val="none" w:sz="0" w:space="0" w:color="auto"/>
        <w:left w:val="none" w:sz="0" w:space="0" w:color="auto"/>
        <w:bottom w:val="none" w:sz="0" w:space="0" w:color="auto"/>
        <w:right w:val="none" w:sz="0" w:space="0" w:color="auto"/>
      </w:divBdr>
    </w:div>
    <w:div w:id="1448936513">
      <w:bodyDiv w:val="1"/>
      <w:marLeft w:val="0"/>
      <w:marRight w:val="0"/>
      <w:marTop w:val="0"/>
      <w:marBottom w:val="0"/>
      <w:divBdr>
        <w:top w:val="none" w:sz="0" w:space="0" w:color="auto"/>
        <w:left w:val="none" w:sz="0" w:space="0" w:color="auto"/>
        <w:bottom w:val="none" w:sz="0" w:space="0" w:color="auto"/>
        <w:right w:val="none" w:sz="0" w:space="0" w:color="auto"/>
      </w:divBdr>
    </w:div>
    <w:div w:id="1450274006">
      <w:bodyDiv w:val="1"/>
      <w:marLeft w:val="0"/>
      <w:marRight w:val="0"/>
      <w:marTop w:val="0"/>
      <w:marBottom w:val="0"/>
      <w:divBdr>
        <w:top w:val="none" w:sz="0" w:space="0" w:color="auto"/>
        <w:left w:val="none" w:sz="0" w:space="0" w:color="auto"/>
        <w:bottom w:val="none" w:sz="0" w:space="0" w:color="auto"/>
        <w:right w:val="none" w:sz="0" w:space="0" w:color="auto"/>
      </w:divBdr>
    </w:div>
    <w:div w:id="1456482508">
      <w:bodyDiv w:val="1"/>
      <w:marLeft w:val="0"/>
      <w:marRight w:val="0"/>
      <w:marTop w:val="0"/>
      <w:marBottom w:val="0"/>
      <w:divBdr>
        <w:top w:val="none" w:sz="0" w:space="0" w:color="auto"/>
        <w:left w:val="none" w:sz="0" w:space="0" w:color="auto"/>
        <w:bottom w:val="none" w:sz="0" w:space="0" w:color="auto"/>
        <w:right w:val="none" w:sz="0" w:space="0" w:color="auto"/>
      </w:divBdr>
    </w:div>
    <w:div w:id="1476416420">
      <w:bodyDiv w:val="1"/>
      <w:marLeft w:val="0"/>
      <w:marRight w:val="0"/>
      <w:marTop w:val="0"/>
      <w:marBottom w:val="0"/>
      <w:divBdr>
        <w:top w:val="none" w:sz="0" w:space="0" w:color="auto"/>
        <w:left w:val="none" w:sz="0" w:space="0" w:color="auto"/>
        <w:bottom w:val="none" w:sz="0" w:space="0" w:color="auto"/>
        <w:right w:val="none" w:sz="0" w:space="0" w:color="auto"/>
      </w:divBdr>
    </w:div>
    <w:div w:id="1518349921">
      <w:bodyDiv w:val="1"/>
      <w:marLeft w:val="0"/>
      <w:marRight w:val="0"/>
      <w:marTop w:val="0"/>
      <w:marBottom w:val="0"/>
      <w:divBdr>
        <w:top w:val="none" w:sz="0" w:space="0" w:color="auto"/>
        <w:left w:val="none" w:sz="0" w:space="0" w:color="auto"/>
        <w:bottom w:val="none" w:sz="0" w:space="0" w:color="auto"/>
        <w:right w:val="none" w:sz="0" w:space="0" w:color="auto"/>
      </w:divBdr>
    </w:div>
    <w:div w:id="1531458386">
      <w:bodyDiv w:val="1"/>
      <w:marLeft w:val="0"/>
      <w:marRight w:val="0"/>
      <w:marTop w:val="0"/>
      <w:marBottom w:val="0"/>
      <w:divBdr>
        <w:top w:val="none" w:sz="0" w:space="0" w:color="auto"/>
        <w:left w:val="none" w:sz="0" w:space="0" w:color="auto"/>
        <w:bottom w:val="none" w:sz="0" w:space="0" w:color="auto"/>
        <w:right w:val="none" w:sz="0" w:space="0" w:color="auto"/>
      </w:divBdr>
    </w:div>
    <w:div w:id="1557159869">
      <w:bodyDiv w:val="1"/>
      <w:marLeft w:val="0"/>
      <w:marRight w:val="0"/>
      <w:marTop w:val="0"/>
      <w:marBottom w:val="0"/>
      <w:divBdr>
        <w:top w:val="none" w:sz="0" w:space="0" w:color="auto"/>
        <w:left w:val="none" w:sz="0" w:space="0" w:color="auto"/>
        <w:bottom w:val="none" w:sz="0" w:space="0" w:color="auto"/>
        <w:right w:val="none" w:sz="0" w:space="0" w:color="auto"/>
      </w:divBdr>
    </w:div>
    <w:div w:id="1565676303">
      <w:bodyDiv w:val="1"/>
      <w:marLeft w:val="0"/>
      <w:marRight w:val="0"/>
      <w:marTop w:val="0"/>
      <w:marBottom w:val="0"/>
      <w:divBdr>
        <w:top w:val="none" w:sz="0" w:space="0" w:color="auto"/>
        <w:left w:val="none" w:sz="0" w:space="0" w:color="auto"/>
        <w:bottom w:val="none" w:sz="0" w:space="0" w:color="auto"/>
        <w:right w:val="none" w:sz="0" w:space="0" w:color="auto"/>
      </w:divBdr>
    </w:div>
    <w:div w:id="1576940109">
      <w:bodyDiv w:val="1"/>
      <w:marLeft w:val="0"/>
      <w:marRight w:val="0"/>
      <w:marTop w:val="0"/>
      <w:marBottom w:val="0"/>
      <w:divBdr>
        <w:top w:val="none" w:sz="0" w:space="0" w:color="auto"/>
        <w:left w:val="none" w:sz="0" w:space="0" w:color="auto"/>
        <w:bottom w:val="none" w:sz="0" w:space="0" w:color="auto"/>
        <w:right w:val="none" w:sz="0" w:space="0" w:color="auto"/>
      </w:divBdr>
    </w:div>
    <w:div w:id="1588999789">
      <w:bodyDiv w:val="1"/>
      <w:marLeft w:val="0"/>
      <w:marRight w:val="0"/>
      <w:marTop w:val="0"/>
      <w:marBottom w:val="0"/>
      <w:divBdr>
        <w:top w:val="none" w:sz="0" w:space="0" w:color="auto"/>
        <w:left w:val="none" w:sz="0" w:space="0" w:color="auto"/>
        <w:bottom w:val="none" w:sz="0" w:space="0" w:color="auto"/>
        <w:right w:val="none" w:sz="0" w:space="0" w:color="auto"/>
      </w:divBdr>
    </w:div>
    <w:div w:id="1639799942">
      <w:bodyDiv w:val="1"/>
      <w:marLeft w:val="0"/>
      <w:marRight w:val="0"/>
      <w:marTop w:val="0"/>
      <w:marBottom w:val="0"/>
      <w:divBdr>
        <w:top w:val="none" w:sz="0" w:space="0" w:color="auto"/>
        <w:left w:val="none" w:sz="0" w:space="0" w:color="auto"/>
        <w:bottom w:val="none" w:sz="0" w:space="0" w:color="auto"/>
        <w:right w:val="none" w:sz="0" w:space="0" w:color="auto"/>
      </w:divBdr>
    </w:div>
    <w:div w:id="1647781981">
      <w:bodyDiv w:val="1"/>
      <w:marLeft w:val="0"/>
      <w:marRight w:val="0"/>
      <w:marTop w:val="0"/>
      <w:marBottom w:val="0"/>
      <w:divBdr>
        <w:top w:val="none" w:sz="0" w:space="0" w:color="auto"/>
        <w:left w:val="none" w:sz="0" w:space="0" w:color="auto"/>
        <w:bottom w:val="none" w:sz="0" w:space="0" w:color="auto"/>
        <w:right w:val="none" w:sz="0" w:space="0" w:color="auto"/>
      </w:divBdr>
    </w:div>
    <w:div w:id="1658730017">
      <w:bodyDiv w:val="1"/>
      <w:marLeft w:val="0"/>
      <w:marRight w:val="0"/>
      <w:marTop w:val="0"/>
      <w:marBottom w:val="0"/>
      <w:divBdr>
        <w:top w:val="none" w:sz="0" w:space="0" w:color="auto"/>
        <w:left w:val="none" w:sz="0" w:space="0" w:color="auto"/>
        <w:bottom w:val="none" w:sz="0" w:space="0" w:color="auto"/>
        <w:right w:val="none" w:sz="0" w:space="0" w:color="auto"/>
      </w:divBdr>
    </w:div>
    <w:div w:id="1663393142">
      <w:bodyDiv w:val="1"/>
      <w:marLeft w:val="0"/>
      <w:marRight w:val="0"/>
      <w:marTop w:val="0"/>
      <w:marBottom w:val="0"/>
      <w:divBdr>
        <w:top w:val="none" w:sz="0" w:space="0" w:color="auto"/>
        <w:left w:val="none" w:sz="0" w:space="0" w:color="auto"/>
        <w:bottom w:val="none" w:sz="0" w:space="0" w:color="auto"/>
        <w:right w:val="none" w:sz="0" w:space="0" w:color="auto"/>
      </w:divBdr>
    </w:div>
    <w:div w:id="1679844492">
      <w:bodyDiv w:val="1"/>
      <w:marLeft w:val="0"/>
      <w:marRight w:val="0"/>
      <w:marTop w:val="0"/>
      <w:marBottom w:val="0"/>
      <w:divBdr>
        <w:top w:val="none" w:sz="0" w:space="0" w:color="auto"/>
        <w:left w:val="none" w:sz="0" w:space="0" w:color="auto"/>
        <w:bottom w:val="none" w:sz="0" w:space="0" w:color="auto"/>
        <w:right w:val="none" w:sz="0" w:space="0" w:color="auto"/>
      </w:divBdr>
    </w:div>
    <w:div w:id="1694183212">
      <w:bodyDiv w:val="1"/>
      <w:marLeft w:val="0"/>
      <w:marRight w:val="0"/>
      <w:marTop w:val="0"/>
      <w:marBottom w:val="0"/>
      <w:divBdr>
        <w:top w:val="none" w:sz="0" w:space="0" w:color="auto"/>
        <w:left w:val="none" w:sz="0" w:space="0" w:color="auto"/>
        <w:bottom w:val="none" w:sz="0" w:space="0" w:color="auto"/>
        <w:right w:val="none" w:sz="0" w:space="0" w:color="auto"/>
      </w:divBdr>
    </w:div>
    <w:div w:id="1703284724">
      <w:bodyDiv w:val="1"/>
      <w:marLeft w:val="0"/>
      <w:marRight w:val="0"/>
      <w:marTop w:val="0"/>
      <w:marBottom w:val="0"/>
      <w:divBdr>
        <w:top w:val="none" w:sz="0" w:space="0" w:color="auto"/>
        <w:left w:val="none" w:sz="0" w:space="0" w:color="auto"/>
        <w:bottom w:val="none" w:sz="0" w:space="0" w:color="auto"/>
        <w:right w:val="none" w:sz="0" w:space="0" w:color="auto"/>
      </w:divBdr>
    </w:div>
    <w:div w:id="1722823564">
      <w:bodyDiv w:val="1"/>
      <w:marLeft w:val="0"/>
      <w:marRight w:val="0"/>
      <w:marTop w:val="0"/>
      <w:marBottom w:val="0"/>
      <w:divBdr>
        <w:top w:val="none" w:sz="0" w:space="0" w:color="auto"/>
        <w:left w:val="none" w:sz="0" w:space="0" w:color="auto"/>
        <w:bottom w:val="none" w:sz="0" w:space="0" w:color="auto"/>
        <w:right w:val="none" w:sz="0" w:space="0" w:color="auto"/>
      </w:divBdr>
    </w:div>
    <w:div w:id="1771192534">
      <w:bodyDiv w:val="1"/>
      <w:marLeft w:val="0"/>
      <w:marRight w:val="0"/>
      <w:marTop w:val="0"/>
      <w:marBottom w:val="0"/>
      <w:divBdr>
        <w:top w:val="none" w:sz="0" w:space="0" w:color="auto"/>
        <w:left w:val="none" w:sz="0" w:space="0" w:color="auto"/>
        <w:bottom w:val="none" w:sz="0" w:space="0" w:color="auto"/>
        <w:right w:val="none" w:sz="0" w:space="0" w:color="auto"/>
      </w:divBdr>
    </w:div>
    <w:div w:id="1832521854">
      <w:bodyDiv w:val="1"/>
      <w:marLeft w:val="0"/>
      <w:marRight w:val="0"/>
      <w:marTop w:val="0"/>
      <w:marBottom w:val="0"/>
      <w:divBdr>
        <w:top w:val="none" w:sz="0" w:space="0" w:color="auto"/>
        <w:left w:val="none" w:sz="0" w:space="0" w:color="auto"/>
        <w:bottom w:val="none" w:sz="0" w:space="0" w:color="auto"/>
        <w:right w:val="none" w:sz="0" w:space="0" w:color="auto"/>
      </w:divBdr>
    </w:div>
    <w:div w:id="1836844686">
      <w:bodyDiv w:val="1"/>
      <w:marLeft w:val="0"/>
      <w:marRight w:val="0"/>
      <w:marTop w:val="0"/>
      <w:marBottom w:val="0"/>
      <w:divBdr>
        <w:top w:val="none" w:sz="0" w:space="0" w:color="auto"/>
        <w:left w:val="none" w:sz="0" w:space="0" w:color="auto"/>
        <w:bottom w:val="none" w:sz="0" w:space="0" w:color="auto"/>
        <w:right w:val="none" w:sz="0" w:space="0" w:color="auto"/>
      </w:divBdr>
    </w:div>
    <w:div w:id="1884246016">
      <w:bodyDiv w:val="1"/>
      <w:marLeft w:val="0"/>
      <w:marRight w:val="0"/>
      <w:marTop w:val="0"/>
      <w:marBottom w:val="0"/>
      <w:divBdr>
        <w:top w:val="none" w:sz="0" w:space="0" w:color="auto"/>
        <w:left w:val="none" w:sz="0" w:space="0" w:color="auto"/>
        <w:bottom w:val="none" w:sz="0" w:space="0" w:color="auto"/>
        <w:right w:val="none" w:sz="0" w:space="0" w:color="auto"/>
      </w:divBdr>
    </w:div>
    <w:div w:id="1909462269">
      <w:bodyDiv w:val="1"/>
      <w:marLeft w:val="0"/>
      <w:marRight w:val="0"/>
      <w:marTop w:val="0"/>
      <w:marBottom w:val="0"/>
      <w:divBdr>
        <w:top w:val="none" w:sz="0" w:space="0" w:color="auto"/>
        <w:left w:val="none" w:sz="0" w:space="0" w:color="auto"/>
        <w:bottom w:val="none" w:sz="0" w:space="0" w:color="auto"/>
        <w:right w:val="none" w:sz="0" w:space="0" w:color="auto"/>
      </w:divBdr>
    </w:div>
    <w:div w:id="1920824873">
      <w:bodyDiv w:val="1"/>
      <w:marLeft w:val="0"/>
      <w:marRight w:val="0"/>
      <w:marTop w:val="0"/>
      <w:marBottom w:val="0"/>
      <w:divBdr>
        <w:top w:val="none" w:sz="0" w:space="0" w:color="auto"/>
        <w:left w:val="none" w:sz="0" w:space="0" w:color="auto"/>
        <w:bottom w:val="none" w:sz="0" w:space="0" w:color="auto"/>
        <w:right w:val="none" w:sz="0" w:space="0" w:color="auto"/>
      </w:divBdr>
    </w:div>
    <w:div w:id="1939210914">
      <w:bodyDiv w:val="1"/>
      <w:marLeft w:val="0"/>
      <w:marRight w:val="0"/>
      <w:marTop w:val="0"/>
      <w:marBottom w:val="0"/>
      <w:divBdr>
        <w:top w:val="none" w:sz="0" w:space="0" w:color="auto"/>
        <w:left w:val="none" w:sz="0" w:space="0" w:color="auto"/>
        <w:bottom w:val="none" w:sz="0" w:space="0" w:color="auto"/>
        <w:right w:val="none" w:sz="0" w:space="0" w:color="auto"/>
      </w:divBdr>
    </w:div>
    <w:div w:id="1941722585">
      <w:bodyDiv w:val="1"/>
      <w:marLeft w:val="0"/>
      <w:marRight w:val="0"/>
      <w:marTop w:val="0"/>
      <w:marBottom w:val="0"/>
      <w:divBdr>
        <w:top w:val="none" w:sz="0" w:space="0" w:color="auto"/>
        <w:left w:val="none" w:sz="0" w:space="0" w:color="auto"/>
        <w:bottom w:val="none" w:sz="0" w:space="0" w:color="auto"/>
        <w:right w:val="none" w:sz="0" w:space="0" w:color="auto"/>
      </w:divBdr>
    </w:div>
    <w:div w:id="1994985743">
      <w:bodyDiv w:val="1"/>
      <w:marLeft w:val="0"/>
      <w:marRight w:val="0"/>
      <w:marTop w:val="0"/>
      <w:marBottom w:val="0"/>
      <w:divBdr>
        <w:top w:val="none" w:sz="0" w:space="0" w:color="auto"/>
        <w:left w:val="none" w:sz="0" w:space="0" w:color="auto"/>
        <w:bottom w:val="none" w:sz="0" w:space="0" w:color="auto"/>
        <w:right w:val="none" w:sz="0" w:space="0" w:color="auto"/>
      </w:divBdr>
    </w:div>
    <w:div w:id="2014716956">
      <w:bodyDiv w:val="1"/>
      <w:marLeft w:val="0"/>
      <w:marRight w:val="0"/>
      <w:marTop w:val="0"/>
      <w:marBottom w:val="0"/>
      <w:divBdr>
        <w:top w:val="none" w:sz="0" w:space="0" w:color="auto"/>
        <w:left w:val="none" w:sz="0" w:space="0" w:color="auto"/>
        <w:bottom w:val="none" w:sz="0" w:space="0" w:color="auto"/>
        <w:right w:val="none" w:sz="0" w:space="0" w:color="auto"/>
      </w:divBdr>
    </w:div>
    <w:div w:id="2022077601">
      <w:bodyDiv w:val="1"/>
      <w:marLeft w:val="0"/>
      <w:marRight w:val="0"/>
      <w:marTop w:val="0"/>
      <w:marBottom w:val="0"/>
      <w:divBdr>
        <w:top w:val="none" w:sz="0" w:space="0" w:color="auto"/>
        <w:left w:val="none" w:sz="0" w:space="0" w:color="auto"/>
        <w:bottom w:val="none" w:sz="0" w:space="0" w:color="auto"/>
        <w:right w:val="none" w:sz="0" w:space="0" w:color="auto"/>
      </w:divBdr>
    </w:div>
    <w:div w:id="2042894559">
      <w:bodyDiv w:val="1"/>
      <w:marLeft w:val="0"/>
      <w:marRight w:val="0"/>
      <w:marTop w:val="0"/>
      <w:marBottom w:val="0"/>
      <w:divBdr>
        <w:top w:val="none" w:sz="0" w:space="0" w:color="auto"/>
        <w:left w:val="none" w:sz="0" w:space="0" w:color="auto"/>
        <w:bottom w:val="none" w:sz="0" w:space="0" w:color="auto"/>
        <w:right w:val="none" w:sz="0" w:space="0" w:color="auto"/>
      </w:divBdr>
    </w:div>
    <w:div w:id="2063403423">
      <w:bodyDiv w:val="1"/>
      <w:marLeft w:val="0"/>
      <w:marRight w:val="0"/>
      <w:marTop w:val="0"/>
      <w:marBottom w:val="0"/>
      <w:divBdr>
        <w:top w:val="none" w:sz="0" w:space="0" w:color="auto"/>
        <w:left w:val="none" w:sz="0" w:space="0" w:color="auto"/>
        <w:bottom w:val="none" w:sz="0" w:space="0" w:color="auto"/>
        <w:right w:val="none" w:sz="0" w:space="0" w:color="auto"/>
      </w:divBdr>
    </w:div>
    <w:div w:id="2081096915">
      <w:bodyDiv w:val="1"/>
      <w:marLeft w:val="0"/>
      <w:marRight w:val="0"/>
      <w:marTop w:val="0"/>
      <w:marBottom w:val="0"/>
      <w:divBdr>
        <w:top w:val="none" w:sz="0" w:space="0" w:color="auto"/>
        <w:left w:val="none" w:sz="0" w:space="0" w:color="auto"/>
        <w:bottom w:val="none" w:sz="0" w:space="0" w:color="auto"/>
        <w:right w:val="none" w:sz="0" w:space="0" w:color="auto"/>
      </w:divBdr>
    </w:div>
    <w:div w:id="2110078113">
      <w:bodyDiv w:val="1"/>
      <w:marLeft w:val="0"/>
      <w:marRight w:val="0"/>
      <w:marTop w:val="0"/>
      <w:marBottom w:val="0"/>
      <w:divBdr>
        <w:top w:val="none" w:sz="0" w:space="0" w:color="auto"/>
        <w:left w:val="none" w:sz="0" w:space="0" w:color="auto"/>
        <w:bottom w:val="none" w:sz="0" w:space="0" w:color="auto"/>
        <w:right w:val="none" w:sz="0" w:space="0" w:color="auto"/>
      </w:divBdr>
    </w:div>
    <w:div w:id="211775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Schrage</dc:creator>
  <cp:keywords/>
  <dc:description/>
  <cp:lastModifiedBy>Benedikt Schrage</cp:lastModifiedBy>
  <cp:revision>9</cp:revision>
  <dcterms:created xsi:type="dcterms:W3CDTF">2022-09-13T19:58:00Z</dcterms:created>
  <dcterms:modified xsi:type="dcterms:W3CDTF">2023-04-25T15:41:00Z</dcterms:modified>
</cp:coreProperties>
</file>