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4B" w:rsidRPr="00D00015" w:rsidRDefault="00FE434B" w:rsidP="00FE434B">
      <w:pPr>
        <w:pStyle w:val="Manuscriptheading1unnumbered"/>
      </w:pPr>
      <w:r w:rsidRPr="00D00015">
        <w:t>Supplementary materials</w:t>
      </w:r>
    </w:p>
    <w:p w:rsidR="00FE434B" w:rsidRPr="00D00015" w:rsidRDefault="00FE434B" w:rsidP="00FE434B">
      <w:pPr>
        <w:pStyle w:val="Manuscriptheading2unnumbered"/>
      </w:pPr>
      <w:r w:rsidRPr="00D00015">
        <w:t>Study sites and investigators</w:t>
      </w:r>
    </w:p>
    <w:p w:rsidR="00FE434B" w:rsidRPr="00D00015" w:rsidRDefault="00FE434B" w:rsidP="00FE434B">
      <w:pPr>
        <w:pStyle w:val="Manuscriptheading3unnumbered"/>
      </w:pPr>
      <w:r w:rsidRPr="00D00015">
        <w:t>United States of America</w:t>
      </w:r>
    </w:p>
    <w:tbl>
      <w:tblPr>
        <w:tblStyle w:val="Table1"/>
        <w:tblW w:w="5000" w:type="pct"/>
        <w:tblInd w:w="0" w:type="dxa"/>
        <w:tblBorders>
          <w:top w:val="nil"/>
          <w:left w:val="nil"/>
          <w:bottom w:val="nil"/>
          <w:right w:val="nil"/>
        </w:tblBorders>
        <w:tblCellMar>
          <w:left w:w="108" w:type="dxa"/>
          <w:right w:w="108" w:type="dxa"/>
        </w:tblCellMar>
        <w:tblLook w:val="04A0" w:firstRow="1" w:lastRow="0" w:firstColumn="1" w:lastColumn="0" w:noHBand="0" w:noVBand="1"/>
      </w:tblPr>
      <w:tblGrid>
        <w:gridCol w:w="2465"/>
        <w:gridCol w:w="6821"/>
      </w:tblGrid>
      <w:tr w:rsidR="00FE434B" w:rsidRPr="00D00015" w:rsidTr="00740613">
        <w:trPr>
          <w:trHeight w:val="290"/>
        </w:trPr>
        <w:tc>
          <w:tcPr>
            <w:tcW w:w="1327" w:type="pct"/>
            <w:tcBorders>
              <w:top w:val="nil"/>
              <w:left w:val="nil"/>
              <w:bottom w:val="single" w:sz="4" w:space="0" w:color="000000"/>
              <w:right w:val="nil"/>
            </w:tcBorders>
            <w:shd w:val="clear" w:color="auto" w:fill="D9D9D9"/>
          </w:tcPr>
          <w:p w:rsidR="00FE434B" w:rsidRPr="00D00015" w:rsidRDefault="00FE434B" w:rsidP="00740613">
            <w:pPr>
              <w:spacing w:after="120" w:line="240" w:lineRule="auto"/>
              <w:rPr>
                <w:b/>
              </w:rPr>
            </w:pPr>
            <w:r w:rsidRPr="00D00015">
              <w:rPr>
                <w:b/>
              </w:rPr>
              <w:t>Principal investigator</w:t>
            </w:r>
          </w:p>
        </w:tc>
        <w:tc>
          <w:tcPr>
            <w:tcW w:w="3673" w:type="pct"/>
            <w:tcBorders>
              <w:top w:val="nil"/>
              <w:left w:val="nil"/>
              <w:bottom w:val="single" w:sz="4" w:space="0" w:color="000000"/>
              <w:right w:val="nil"/>
            </w:tcBorders>
            <w:shd w:val="clear" w:color="auto" w:fill="D9D9D9"/>
          </w:tcPr>
          <w:p w:rsidR="00FE434B" w:rsidRPr="00D00015" w:rsidRDefault="00FE434B" w:rsidP="00740613">
            <w:pPr>
              <w:spacing w:after="120" w:line="240" w:lineRule="auto"/>
              <w:jc w:val="center"/>
              <w:rPr>
                <w:b/>
              </w:rPr>
            </w:pPr>
            <w:r w:rsidRPr="00D00015">
              <w:rPr>
                <w:b/>
              </w:rPr>
              <w:t>Institute</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Roger </w:t>
            </w:r>
            <w:proofErr w:type="spellStart"/>
            <w:r w:rsidRPr="00D00015">
              <w:t>Damle</w:t>
            </w:r>
            <w:proofErr w:type="spellEnd"/>
            <w:r w:rsidRPr="00D00015">
              <w:t xml:space="preserve">, MD </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South Denver Cardiology Associates, PC, Littleton, CO,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Javier</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Crenshaw</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Jain</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James Lovell, DO</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The Iowa Clinic, PC, West Des Moines, IA,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Steven Hearne,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proofErr w:type="spellStart"/>
            <w:r w:rsidRPr="00D00015">
              <w:t>TidalHealth</w:t>
            </w:r>
            <w:proofErr w:type="spellEnd"/>
            <w:r w:rsidRPr="00D00015">
              <w:t xml:space="preserve"> Peninsula Regional, Inc., Salisbury, MD, USA </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Theodore </w:t>
            </w:r>
            <w:proofErr w:type="spellStart"/>
            <w:r w:rsidRPr="00D00015">
              <w:t>Takata</w:t>
            </w:r>
            <w:proofErr w:type="spellEnd"/>
            <w:r w:rsidRPr="00D00015">
              <w:t>,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Texas Health Research &amp; </w:t>
            </w:r>
            <w:proofErr w:type="spellStart"/>
            <w:r w:rsidRPr="00D00015">
              <w:t>Edu</w:t>
            </w:r>
            <w:proofErr w:type="spellEnd"/>
            <w:r w:rsidRPr="00D00015">
              <w:t>., Fort Worth, TX, USA </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proofErr w:type="spellStart"/>
            <w:r w:rsidRPr="00D00015">
              <w:t>Hamdan</w:t>
            </w:r>
            <w:proofErr w:type="spellEnd"/>
            <w:r w:rsidRPr="00D00015">
              <w:t xml:space="preserve"> </w:t>
            </w:r>
            <w:proofErr w:type="spellStart"/>
            <w:r w:rsidRPr="00D00015">
              <w:t>Firas</w:t>
            </w:r>
            <w:proofErr w:type="spellEnd"/>
            <w:r w:rsidRPr="00D00015">
              <w:t>,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proofErr w:type="spellStart"/>
            <w:r w:rsidRPr="00D00015">
              <w:t>Aultman</w:t>
            </w:r>
            <w:proofErr w:type="spellEnd"/>
            <w:r w:rsidRPr="00D00015">
              <w:t xml:space="preserve"> Cardiology Clinical, Canton, OH, USA </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George Mark, MD </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Cardiovascular Associates of the Delaware Valley–Elmer, Elmer, NJ,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Mauricio Hong,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Seton Heart Institute, Austin, TX, USA </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Marco Guerrero,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Regions Hospital, Saint Paul, MN,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Patricia Tung,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rPr>
                <w:lang w:val="sv-SE"/>
              </w:rPr>
            </w:pPr>
            <w:r w:rsidRPr="00D00015">
              <w:rPr>
                <w:lang w:val="sv-SE"/>
              </w:rPr>
              <w:t>Beth Israel Deaconess, Boston, MA, USA </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Dan Pierce,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Missouri Heart Center, Columbia, MO,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James E. </w:t>
            </w:r>
            <w:proofErr w:type="spellStart"/>
            <w:r w:rsidRPr="00D00015">
              <w:t>Ip</w:t>
            </w:r>
            <w:proofErr w:type="spellEnd"/>
            <w:r w:rsidRPr="00D00015">
              <w:t xml:space="preserve">, MD </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New York-Presbyterian Hospital/Weill Cornell Medical Center, New York, NY,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auto"/>
          </w:tcPr>
          <w:p w:rsidR="00FE434B" w:rsidRPr="00D00015" w:rsidRDefault="00FE434B" w:rsidP="00740613">
            <w:pPr>
              <w:spacing w:after="120" w:line="240" w:lineRule="auto"/>
            </w:pPr>
            <w:r w:rsidRPr="00D00015">
              <w:t>Todd Lewis,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East Coast Institute Research, St. Augustine, FL,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David Henderson,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Cardiology </w:t>
            </w:r>
            <w:proofErr w:type="spellStart"/>
            <w:r w:rsidRPr="00D00015">
              <w:t>Assoc</w:t>
            </w:r>
            <w:proofErr w:type="spellEnd"/>
            <w:r w:rsidRPr="00D00015">
              <w:t xml:space="preserve"> Research Co., Daytona Beach, FL,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Peter </w:t>
            </w:r>
            <w:proofErr w:type="spellStart"/>
            <w:r w:rsidRPr="00D00015">
              <w:t>Noseworthy</w:t>
            </w:r>
            <w:proofErr w:type="spellEnd"/>
            <w:r w:rsidRPr="00D00015">
              <w:t xml:space="preserve">, MD </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Mayo Clinic–Rochester, Rochester, MN,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James Liu,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Onsite Clinical Solutions, Charlotte, NC, USA </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Nolan Mayer,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Central Coast Cardiovascular, Ventura, CA,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proofErr w:type="spellStart"/>
            <w:r w:rsidRPr="00D00015">
              <w:t>Hanh</w:t>
            </w:r>
            <w:proofErr w:type="spellEnd"/>
            <w:r w:rsidRPr="00D00015">
              <w:t xml:space="preserve"> Bui,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Blue Coast Cardiology, Vista, CA, USA </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Christopher Schulze, DO </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Cardiology Consultants of Philadelphia, Yardley, PA,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proofErr w:type="spellStart"/>
            <w:r w:rsidRPr="00D00015">
              <w:t>Aamer</w:t>
            </w:r>
            <w:proofErr w:type="spellEnd"/>
            <w:r w:rsidRPr="00D00015">
              <w:t xml:space="preserve"> </w:t>
            </w:r>
            <w:proofErr w:type="spellStart"/>
            <w:r w:rsidRPr="00D00015">
              <w:t>Qureshi</w:t>
            </w:r>
            <w:proofErr w:type="spellEnd"/>
            <w:r w:rsidRPr="00D00015">
              <w:t>,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American Health Research, Charlotte, NC,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Mark Napoli,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Clinical Trials of America, Monroe, LA,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Adel Mina,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Methodist Med Center Illinois, Peoria, IL, USA </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proofErr w:type="spellStart"/>
            <w:r w:rsidRPr="00D00015">
              <w:t>Huy</w:t>
            </w:r>
            <w:proofErr w:type="spellEnd"/>
            <w:r w:rsidRPr="00D00015">
              <w:t xml:space="preserve"> </w:t>
            </w:r>
            <w:proofErr w:type="spellStart"/>
            <w:r w:rsidRPr="00D00015">
              <w:t>Phan</w:t>
            </w:r>
            <w:proofErr w:type="spellEnd"/>
            <w:r w:rsidRPr="00D00015">
              <w:t>,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Dignity Health, Gilbert, AZ, USA </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Rajesh </w:t>
            </w:r>
            <w:proofErr w:type="spellStart"/>
            <w:r w:rsidRPr="00D00015">
              <w:t>Kabra</w:t>
            </w:r>
            <w:proofErr w:type="spellEnd"/>
            <w:r w:rsidRPr="00D00015">
              <w:t>,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Methodist University Hospital, Memphis, TN,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Mario Gonzalez,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PSU Milton S Hershey Med, Hershey, PA,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Abraham Jacob,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proofErr w:type="spellStart"/>
            <w:r w:rsidRPr="00D00015">
              <w:t>Styde</w:t>
            </w:r>
            <w:proofErr w:type="spellEnd"/>
            <w:r w:rsidRPr="00D00015">
              <w:t xml:space="preserve"> Research LLC, Plano, TX, USA </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proofErr w:type="spellStart"/>
            <w:r w:rsidRPr="00D00015">
              <w:t>Tamas</w:t>
            </w:r>
            <w:proofErr w:type="spellEnd"/>
            <w:r w:rsidRPr="00D00015">
              <w:t xml:space="preserve"> </w:t>
            </w:r>
            <w:proofErr w:type="spellStart"/>
            <w:r w:rsidRPr="00D00015">
              <w:t>Balogh</w:t>
            </w:r>
            <w:proofErr w:type="spellEnd"/>
            <w:r w:rsidRPr="00D00015">
              <w:t>,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Clinical Trials of America, Mount Airy, NC,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Ronald </w:t>
            </w:r>
            <w:proofErr w:type="spellStart"/>
            <w:r w:rsidRPr="00D00015">
              <w:t>Polinsky</w:t>
            </w:r>
            <w:proofErr w:type="spellEnd"/>
            <w:r w:rsidRPr="00D00015">
              <w:t>,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PSHMG - Berks Cardiology, Wyomissing, PA,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Gregory Fazio,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proofErr w:type="spellStart"/>
            <w:r w:rsidRPr="00D00015">
              <w:t>WellSpan</w:t>
            </w:r>
            <w:proofErr w:type="spellEnd"/>
            <w:r w:rsidRPr="00D00015">
              <w:t xml:space="preserve"> York Hospital, York, PA,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lastRenderedPageBreak/>
              <w:t xml:space="preserve">Jeff </w:t>
            </w:r>
            <w:proofErr w:type="spellStart"/>
            <w:r w:rsidRPr="00D00015">
              <w:t>Hsing</w:t>
            </w:r>
            <w:proofErr w:type="spellEnd"/>
            <w:r w:rsidRPr="00D00015">
              <w:t>,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Samaritan Cardiology – Corvallis, Corvallis, OR,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Thomas R. </w:t>
            </w:r>
            <w:proofErr w:type="spellStart"/>
            <w:r w:rsidRPr="00D00015">
              <w:t>Kambur</w:t>
            </w:r>
            <w:proofErr w:type="spellEnd"/>
            <w:r w:rsidRPr="00D00015">
              <w:t>,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The Presbyterian Hospital DBA </w:t>
            </w:r>
            <w:proofErr w:type="spellStart"/>
            <w:r w:rsidRPr="00D00015">
              <w:t>Novant</w:t>
            </w:r>
            <w:proofErr w:type="spellEnd"/>
            <w:r w:rsidRPr="00D00015">
              <w:t xml:space="preserve"> Health Heart and Vascular Institute, Charlotte, NC,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David E. </w:t>
            </w:r>
            <w:proofErr w:type="spellStart"/>
            <w:r w:rsidRPr="00D00015">
              <w:t>Schleinkofer</w:t>
            </w:r>
            <w:proofErr w:type="spellEnd"/>
            <w:r w:rsidRPr="00D00015">
              <w:t>,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Parkview Physicians Group–Cardiology (within Parkview Health), Fort Wayne, IN,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Manuel Sanchez,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Direct Helpers Research Center, Hialeah, FL, USA </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Steven </w:t>
            </w:r>
            <w:proofErr w:type="spellStart"/>
            <w:r w:rsidRPr="00D00015">
              <w:t>Isserman</w:t>
            </w:r>
            <w:proofErr w:type="spellEnd"/>
            <w:r w:rsidRPr="00D00015">
              <w:t>,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Clinical Trials of America, Morganton, NC,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proofErr w:type="spellStart"/>
            <w:r w:rsidRPr="00D00015">
              <w:t>Faizan</w:t>
            </w:r>
            <w:proofErr w:type="spellEnd"/>
            <w:r w:rsidRPr="00D00015">
              <w:t xml:space="preserve"> </w:t>
            </w:r>
            <w:proofErr w:type="spellStart"/>
            <w:r w:rsidRPr="00D00015">
              <w:t>Iftikhar</w:t>
            </w:r>
            <w:proofErr w:type="spellEnd"/>
            <w:r w:rsidRPr="00D00015">
              <w:t>,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Complete Heart Care, McKinney, TX,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Syed </w:t>
            </w:r>
            <w:proofErr w:type="spellStart"/>
            <w:r w:rsidRPr="00D00015">
              <w:t>Jafri</w:t>
            </w:r>
            <w:proofErr w:type="spellEnd"/>
            <w:r w:rsidRPr="00D00015">
              <w:t>,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Revive Research Institute, Allen Park, MI,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Felix </w:t>
            </w:r>
            <w:proofErr w:type="spellStart"/>
            <w:r w:rsidRPr="00D00015">
              <w:t>Sogade</w:t>
            </w:r>
            <w:proofErr w:type="spellEnd"/>
            <w:r w:rsidRPr="00D00015">
              <w:t xml:space="preserve">, MD </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Georgia Arrhythmia Consultants and Research Institute, LLC, Macon, GA,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Craig McPherson,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Bridgeport Hospital, Bridgeport, CT,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Sean </w:t>
            </w:r>
            <w:proofErr w:type="spellStart"/>
            <w:r w:rsidRPr="00D00015">
              <w:t>Donahoe</w:t>
            </w:r>
            <w:proofErr w:type="spellEnd"/>
            <w:r w:rsidRPr="00D00015">
              <w:t xml:space="preserve">, MD </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proofErr w:type="spellStart"/>
            <w:r w:rsidRPr="00D00015">
              <w:t>Div</w:t>
            </w:r>
            <w:proofErr w:type="spellEnd"/>
            <w:r w:rsidRPr="00D00015">
              <w:t xml:space="preserve"> Cardio Research PBMC, Riverhead, NY,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Antonio Blanco,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Vista Health Research, Miami, FL,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Praveen </w:t>
            </w:r>
            <w:proofErr w:type="spellStart"/>
            <w:r w:rsidRPr="00D00015">
              <w:t>Rao</w:t>
            </w:r>
            <w:proofErr w:type="spellEnd"/>
            <w:r w:rsidRPr="00D00015">
              <w:t>,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Baylor Scott &amp; White Heart, Dallas, TX,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Richard </w:t>
            </w:r>
            <w:proofErr w:type="spellStart"/>
            <w:r w:rsidRPr="00D00015">
              <w:t>Kuk</w:t>
            </w:r>
            <w:proofErr w:type="spellEnd"/>
            <w:r w:rsidRPr="00D00015">
              <w:t xml:space="preserve">, MD </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proofErr w:type="spellStart"/>
            <w:r w:rsidRPr="00D00015">
              <w:t>Centra</w:t>
            </w:r>
            <w:proofErr w:type="spellEnd"/>
            <w:r w:rsidRPr="00D00015">
              <w:t xml:space="preserve"> Cardiovascular Group, Lynchburg, VA,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Ethan Levine, DO</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Monument Health, Rapid City, SD,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Greg </w:t>
            </w:r>
            <w:proofErr w:type="spellStart"/>
            <w:r w:rsidRPr="00D00015">
              <w:t>Olsovsky</w:t>
            </w:r>
            <w:proofErr w:type="spellEnd"/>
            <w:r w:rsidRPr="00D00015">
              <w:t>,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Scott &amp; White Memorial Hospital: Baylor Scott &amp; White Research, Temple, TX,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proofErr w:type="spellStart"/>
            <w:r w:rsidRPr="00D00015">
              <w:t>Ramandeep</w:t>
            </w:r>
            <w:proofErr w:type="spellEnd"/>
            <w:r w:rsidRPr="00D00015">
              <w:t xml:space="preserve"> </w:t>
            </w:r>
            <w:proofErr w:type="spellStart"/>
            <w:r w:rsidRPr="00D00015">
              <w:t>Brar</w:t>
            </w:r>
            <w:proofErr w:type="spellEnd"/>
            <w:r w:rsidRPr="00D00015">
              <w:t xml:space="preserve">, MD </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Los Alamitos Cardiovascular Group, Los Alamitos, CA,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Stephen </w:t>
            </w:r>
            <w:proofErr w:type="spellStart"/>
            <w:r w:rsidRPr="00D00015">
              <w:t>Devenport</w:t>
            </w:r>
            <w:proofErr w:type="spellEnd"/>
            <w:r w:rsidRPr="00D00015">
              <w:t>,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Granger Medical Clinic, Riverton, UT,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Andres Vasquez </w:t>
            </w:r>
            <w:proofErr w:type="spellStart"/>
            <w:r w:rsidRPr="00D00015">
              <w:t>Donado</w:t>
            </w:r>
            <w:proofErr w:type="spellEnd"/>
            <w:r w:rsidRPr="00D00015">
              <w:t>,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proofErr w:type="spellStart"/>
            <w:r w:rsidRPr="00D00015">
              <w:t>Vilo</w:t>
            </w:r>
            <w:proofErr w:type="spellEnd"/>
            <w:r w:rsidRPr="00D00015">
              <w:t xml:space="preserve"> Research Group Inc., Houston, TX,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Mohan </w:t>
            </w:r>
            <w:proofErr w:type="spellStart"/>
            <w:r w:rsidRPr="00D00015">
              <w:t>Viswanathan</w:t>
            </w:r>
            <w:proofErr w:type="spellEnd"/>
            <w:r w:rsidRPr="00D00015">
              <w:t>,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Stanford Hospital, Stanford, CA,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Adam </w:t>
            </w:r>
            <w:proofErr w:type="spellStart"/>
            <w:r w:rsidRPr="00D00015">
              <w:t>Lottick</w:t>
            </w:r>
            <w:proofErr w:type="spellEnd"/>
            <w:r w:rsidRPr="00D00015">
              <w:t>,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NEMG Cardiology (Northeast Med), Trumbull, CT,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Charles Joyner,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HCA Research Institute, Richmond, VA,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Khalid Ahmed,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Flint Clinical Research, Flint, MI, USA </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Brian </w:t>
            </w:r>
            <w:proofErr w:type="spellStart"/>
            <w:r w:rsidRPr="00D00015">
              <w:t>Ramza</w:t>
            </w:r>
            <w:proofErr w:type="spellEnd"/>
            <w:r w:rsidRPr="00D00015">
              <w:t>,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St Luke's Hospital Kansas City, Kansas City, MO,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proofErr w:type="spellStart"/>
            <w:r w:rsidRPr="00D00015">
              <w:t>Srivani</w:t>
            </w:r>
            <w:proofErr w:type="spellEnd"/>
            <w:r w:rsidRPr="00D00015">
              <w:t xml:space="preserve"> </w:t>
            </w:r>
            <w:proofErr w:type="spellStart"/>
            <w:r w:rsidRPr="00D00015">
              <w:t>Ambati</w:t>
            </w:r>
            <w:proofErr w:type="spellEnd"/>
            <w:r w:rsidRPr="00D00015">
              <w:t xml:space="preserve">, MD </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Peak Cardiology, Apex, NC,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Jorge </w:t>
            </w:r>
            <w:proofErr w:type="spellStart"/>
            <w:r w:rsidRPr="00D00015">
              <w:t>Cheirif</w:t>
            </w:r>
            <w:proofErr w:type="spellEnd"/>
            <w:r w:rsidRPr="00D00015">
              <w:t>,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Presbyterian Heart &amp; Vascular, Dallas, TX,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Joseph Moran,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PMG of Piedmont Healthcare, Statesville, NC,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proofErr w:type="spellStart"/>
            <w:r w:rsidRPr="00D00015">
              <w:t>Mirel</w:t>
            </w:r>
            <w:proofErr w:type="spellEnd"/>
            <w:r w:rsidRPr="00D00015">
              <w:t xml:space="preserve"> Sanchez,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Sanchez Clinical Research, Inc., Miami, FL,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Sander Fernandez,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line="240" w:lineRule="auto"/>
              <w:rPr>
                <w:rFonts w:cs="Arial"/>
                <w:szCs w:val="22"/>
              </w:rPr>
            </w:pPr>
            <w:r w:rsidRPr="00D00015">
              <w:rPr>
                <w:rFonts w:cs="Arial"/>
                <w:szCs w:val="22"/>
              </w:rPr>
              <w:t>Combined Research Orlando, Orlando, FL, USA</w:t>
            </w:r>
          </w:p>
          <w:p w:rsidR="00FE434B" w:rsidRPr="00D00015" w:rsidRDefault="00FE434B" w:rsidP="00740613">
            <w:pPr>
              <w:spacing w:after="120" w:line="240" w:lineRule="auto"/>
            </w:pP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Giselle Debs-Perez,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Harmony Clinical Research Inc., North Miami Beach, FL,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Luis Mas,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Advance Clinical Research, Cutler Bay, FL,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Kenneth </w:t>
            </w:r>
            <w:proofErr w:type="spellStart"/>
            <w:r w:rsidRPr="00D00015">
              <w:t>Ellenbogen</w:t>
            </w:r>
            <w:proofErr w:type="spellEnd"/>
            <w:r w:rsidRPr="00D00015">
              <w:t xml:space="preserve">, MD </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Virginia Commonwealth University Health System, Richmond, VA,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proofErr w:type="spellStart"/>
            <w:r w:rsidRPr="00D00015">
              <w:t>Gaurang</w:t>
            </w:r>
            <w:proofErr w:type="spellEnd"/>
            <w:r w:rsidRPr="00D00015">
              <w:t xml:space="preserve"> Gandhi,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Hatton Institute for Research &amp; Education, </w:t>
            </w:r>
            <w:proofErr w:type="spellStart"/>
            <w:r w:rsidRPr="00D00015">
              <w:t>TriHealth</w:t>
            </w:r>
            <w:proofErr w:type="spellEnd"/>
            <w:r w:rsidRPr="00D00015">
              <w:t>, Inc., Cardiology, Cincinnati, OH,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Javier E. </w:t>
            </w:r>
            <w:proofErr w:type="spellStart"/>
            <w:r w:rsidRPr="00D00015">
              <w:t>Banchs</w:t>
            </w:r>
            <w:proofErr w:type="spellEnd"/>
            <w:r w:rsidRPr="00D00015">
              <w:t xml:space="preserve">, MD </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Baylor Scott and White Research Institute–Round Rock, Round Rock, TX,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proofErr w:type="spellStart"/>
            <w:r w:rsidRPr="00D00015">
              <w:lastRenderedPageBreak/>
              <w:t>Ayham</w:t>
            </w:r>
            <w:proofErr w:type="spellEnd"/>
            <w:r w:rsidRPr="00D00015">
              <w:t xml:space="preserve"> </w:t>
            </w:r>
            <w:proofErr w:type="spellStart"/>
            <w:r w:rsidRPr="00D00015">
              <w:t>Shneker</w:t>
            </w:r>
            <w:proofErr w:type="spellEnd"/>
            <w:r w:rsidRPr="00D00015">
              <w:t>,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San Antonio Premier Int. Med, San Antonio, TX,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Patrick Weston,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rPr>
                <w:lang w:val="sv-SE"/>
              </w:rPr>
            </w:pPr>
            <w:r w:rsidRPr="00D00015">
              <w:rPr>
                <w:lang w:val="sv-SE"/>
              </w:rPr>
              <w:t>Riverside Med Center – Synergy, Bradenton, FL,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Andrea </w:t>
            </w:r>
            <w:proofErr w:type="spellStart"/>
            <w:r w:rsidRPr="00D00015">
              <w:t>Natale</w:t>
            </w:r>
            <w:proofErr w:type="spellEnd"/>
            <w:r w:rsidRPr="00D00015">
              <w:t>,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Texas Cardiac </w:t>
            </w:r>
            <w:proofErr w:type="spellStart"/>
            <w:r w:rsidRPr="00D00015">
              <w:t>Arrythmia</w:t>
            </w:r>
            <w:proofErr w:type="spellEnd"/>
            <w:r w:rsidRPr="00D00015">
              <w:t>, Austin, TX,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proofErr w:type="spellStart"/>
            <w:r w:rsidRPr="00D00015">
              <w:t>Harinder</w:t>
            </w:r>
            <w:proofErr w:type="spellEnd"/>
            <w:r w:rsidRPr="00D00015">
              <w:t xml:space="preserve"> </w:t>
            </w:r>
            <w:proofErr w:type="spellStart"/>
            <w:r w:rsidRPr="00D00015">
              <w:t>Gogia</w:t>
            </w:r>
            <w:proofErr w:type="spellEnd"/>
            <w:r w:rsidRPr="00D00015">
              <w:t>,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Cardio Consultants of Or Co, Anaheim, CA,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Paris </w:t>
            </w:r>
            <w:proofErr w:type="spellStart"/>
            <w:r w:rsidRPr="00D00015">
              <w:t>Bradsford</w:t>
            </w:r>
            <w:proofErr w:type="spellEnd"/>
            <w:r w:rsidRPr="00D00015">
              <w:t>,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Southeast Texas Clinical Res, Beaumont, TX, USA</w:t>
            </w:r>
          </w:p>
        </w:tc>
      </w:tr>
      <w:tr w:rsidR="00FE434B" w:rsidRPr="00D00015" w:rsidTr="00740613">
        <w:trPr>
          <w:trHeight w:val="290"/>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Michele Cook,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Kootenai Heart Clinics, Coeur D’Alene, ID, USA</w:t>
            </w:r>
          </w:p>
        </w:tc>
      </w:tr>
      <w:tr w:rsidR="00FE434B" w:rsidRPr="00D00015" w:rsidTr="00740613">
        <w:trPr>
          <w:trHeight w:val="125"/>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Michael Rosenberg,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proofErr w:type="spellStart"/>
            <w:r w:rsidRPr="00D00015">
              <w:t>Univ</w:t>
            </w:r>
            <w:proofErr w:type="spellEnd"/>
            <w:r w:rsidRPr="00D00015">
              <w:t xml:space="preserve"> of Colorado Hospital, Aurora, CO, USA</w:t>
            </w:r>
          </w:p>
        </w:tc>
      </w:tr>
      <w:tr w:rsidR="00FE434B" w:rsidRPr="00D00015" w:rsidTr="00740613">
        <w:trPr>
          <w:trHeight w:val="125"/>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Richard Beasley,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Health Concepts, Rapid City, SD, USA</w:t>
            </w:r>
          </w:p>
        </w:tc>
      </w:tr>
      <w:tr w:rsidR="00FE434B" w:rsidRPr="00D00015" w:rsidTr="00740613">
        <w:trPr>
          <w:trHeight w:val="125"/>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proofErr w:type="spellStart"/>
            <w:r w:rsidRPr="00D00015">
              <w:t>Idania</w:t>
            </w:r>
            <w:proofErr w:type="spellEnd"/>
            <w:r w:rsidRPr="00D00015">
              <w:t xml:space="preserve"> Fernandez,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Best Quality Research, Hialeah, FL, USA</w:t>
            </w:r>
          </w:p>
        </w:tc>
      </w:tr>
      <w:tr w:rsidR="00FE434B" w:rsidRPr="00D00015" w:rsidTr="00740613">
        <w:trPr>
          <w:trHeight w:val="125"/>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William Randall,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proofErr w:type="spellStart"/>
            <w:r w:rsidRPr="00D00015">
              <w:t>PriMed</w:t>
            </w:r>
            <w:proofErr w:type="spellEnd"/>
            <w:r w:rsidRPr="00D00015">
              <w:t xml:space="preserve"> Clinical Research, Dayton, OH, USA</w:t>
            </w:r>
          </w:p>
        </w:tc>
      </w:tr>
      <w:tr w:rsidR="00FE434B" w:rsidRPr="00D00015" w:rsidTr="00740613">
        <w:trPr>
          <w:trHeight w:val="67"/>
        </w:trPr>
        <w:tc>
          <w:tcPr>
            <w:tcW w:w="1327"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 xml:space="preserve">Johnny </w:t>
            </w:r>
            <w:proofErr w:type="spellStart"/>
            <w:r w:rsidRPr="00D00015">
              <w:t>Dy</w:t>
            </w:r>
            <w:proofErr w:type="spellEnd"/>
            <w:r w:rsidRPr="00D00015">
              <w:t>, MD</w:t>
            </w:r>
          </w:p>
        </w:tc>
        <w:tc>
          <w:tcPr>
            <w:tcW w:w="3673" w:type="pct"/>
            <w:tcBorders>
              <w:top w:val="single" w:sz="4" w:space="0" w:color="000000"/>
              <w:left w:val="nil"/>
              <w:bottom w:val="single" w:sz="4" w:space="0" w:color="000000"/>
              <w:right w:val="nil"/>
            </w:tcBorders>
            <w:shd w:val="clear" w:color="auto" w:fill="FFFFFF"/>
          </w:tcPr>
          <w:p w:rsidR="00FE434B" w:rsidRPr="00D00015" w:rsidRDefault="00FE434B" w:rsidP="00740613">
            <w:pPr>
              <w:spacing w:after="120" w:line="240" w:lineRule="auto"/>
            </w:pPr>
            <w:r w:rsidRPr="00D00015">
              <w:t>Clinical Trials of America, Lenoir, NC, USA</w:t>
            </w:r>
          </w:p>
        </w:tc>
      </w:tr>
    </w:tbl>
    <w:p w:rsidR="00FE434B" w:rsidRPr="00D00015" w:rsidRDefault="00FE434B" w:rsidP="00FE434B"/>
    <w:p w:rsidR="00FE434B" w:rsidRPr="00D00015" w:rsidRDefault="00FE434B" w:rsidP="00FE434B">
      <w:pPr>
        <w:pStyle w:val="Manuscriptheading3unnumbered"/>
      </w:pPr>
      <w:r w:rsidRPr="00D00015">
        <w:t>Canada</w:t>
      </w:r>
    </w:p>
    <w:tbl>
      <w:tblPr>
        <w:tblStyle w:val="Table2"/>
        <w:tblW w:w="5000" w:type="pct"/>
        <w:tblInd w:w="0" w:type="dxa"/>
        <w:tblBorders>
          <w:top w:val="nil"/>
          <w:left w:val="nil"/>
          <w:bottom w:val="single" w:sz="4" w:space="0" w:color="000000"/>
          <w:right w:val="nil"/>
        </w:tblBorders>
        <w:tblLayout w:type="fixed"/>
        <w:tblCellMar>
          <w:left w:w="108" w:type="dxa"/>
          <w:right w:w="108" w:type="dxa"/>
        </w:tblCellMar>
        <w:tblLook w:val="04A0" w:firstRow="1" w:lastRow="0" w:firstColumn="1" w:lastColumn="0" w:noHBand="0" w:noVBand="1"/>
      </w:tblPr>
      <w:tblGrid>
        <w:gridCol w:w="3629"/>
        <w:gridCol w:w="5657"/>
      </w:tblGrid>
      <w:tr w:rsidR="00FE434B" w:rsidRPr="00D00015" w:rsidTr="00740613">
        <w:trPr>
          <w:trHeight w:val="300"/>
        </w:trPr>
        <w:tc>
          <w:tcPr>
            <w:tcW w:w="1954" w:type="pct"/>
            <w:tcBorders>
              <w:top w:val="nil"/>
              <w:left w:val="nil"/>
              <w:bottom w:val="nil"/>
              <w:right w:val="nil"/>
            </w:tcBorders>
            <w:shd w:val="clear" w:color="auto" w:fill="D9D9D9"/>
          </w:tcPr>
          <w:p w:rsidR="00FE434B" w:rsidRPr="00D00015" w:rsidRDefault="00FE434B" w:rsidP="00740613">
            <w:pPr>
              <w:pStyle w:val="Text"/>
              <w:spacing w:after="120" w:line="240" w:lineRule="auto"/>
              <w:rPr>
                <w:b/>
              </w:rPr>
            </w:pPr>
            <w:r w:rsidRPr="00D00015">
              <w:rPr>
                <w:b/>
              </w:rPr>
              <w:t xml:space="preserve">Principal investigator </w:t>
            </w:r>
          </w:p>
        </w:tc>
        <w:tc>
          <w:tcPr>
            <w:tcW w:w="3046" w:type="pct"/>
            <w:tcBorders>
              <w:top w:val="nil"/>
              <w:left w:val="nil"/>
              <w:bottom w:val="nil"/>
              <w:right w:val="nil"/>
            </w:tcBorders>
            <w:shd w:val="clear" w:color="auto" w:fill="D9D9D9"/>
          </w:tcPr>
          <w:p w:rsidR="00FE434B" w:rsidRPr="00D00015" w:rsidRDefault="00FE434B" w:rsidP="00740613">
            <w:pPr>
              <w:pStyle w:val="Text"/>
              <w:spacing w:after="120" w:line="240" w:lineRule="auto"/>
              <w:jc w:val="center"/>
              <w:rPr>
                <w:b/>
              </w:rPr>
            </w:pPr>
            <w:r w:rsidRPr="00D00015">
              <w:rPr>
                <w:b/>
              </w:rPr>
              <w:t>Institute</w:t>
            </w:r>
          </w:p>
        </w:tc>
      </w:tr>
      <w:tr w:rsidR="00FE434B" w:rsidRPr="00D00015" w:rsidTr="00740613">
        <w:trPr>
          <w:trHeight w:val="300"/>
        </w:trPr>
        <w:tc>
          <w:tcPr>
            <w:tcW w:w="1954" w:type="pct"/>
            <w:tcBorders>
              <w:top w:val="nil"/>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John </w:t>
            </w:r>
            <w:proofErr w:type="spellStart"/>
            <w:r w:rsidRPr="00D00015">
              <w:t>Vyselaar</w:t>
            </w:r>
            <w:proofErr w:type="spellEnd"/>
            <w:r w:rsidRPr="00D00015">
              <w:t>, MD</w:t>
            </w:r>
          </w:p>
        </w:tc>
        <w:tc>
          <w:tcPr>
            <w:tcW w:w="3046" w:type="pct"/>
            <w:tcBorders>
              <w:top w:val="nil"/>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Med Arts Health Research Group, North Vancouver, BC, Canada</w:t>
            </w:r>
          </w:p>
        </w:tc>
      </w:tr>
      <w:tr w:rsidR="00FE434B" w:rsidRPr="00D00015" w:rsidTr="00740613">
        <w:trPr>
          <w:trHeight w:val="300"/>
        </w:trPr>
        <w:tc>
          <w:tcPr>
            <w:tcW w:w="1954" w:type="pct"/>
            <w:tcBorders>
              <w:top w:val="nil"/>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Benoit Coutu, MD </w:t>
            </w:r>
          </w:p>
        </w:tc>
        <w:tc>
          <w:tcPr>
            <w:tcW w:w="3046" w:type="pct"/>
            <w:tcBorders>
              <w:top w:val="nil"/>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Centre </w:t>
            </w:r>
            <w:proofErr w:type="spellStart"/>
            <w:r w:rsidRPr="00D00015">
              <w:t>Hospitalier</w:t>
            </w:r>
            <w:proofErr w:type="spellEnd"/>
            <w:r w:rsidRPr="00D00015">
              <w:t xml:space="preserve"> de </w:t>
            </w:r>
            <w:proofErr w:type="spellStart"/>
            <w:r w:rsidRPr="00D00015">
              <w:t>l’Université</w:t>
            </w:r>
            <w:proofErr w:type="spellEnd"/>
            <w:r w:rsidRPr="00D00015">
              <w:t xml:space="preserve"> de Montréal, Montreal, QC, Canada</w:t>
            </w:r>
          </w:p>
        </w:tc>
      </w:tr>
      <w:tr w:rsidR="00FE434B" w:rsidRPr="00D00015" w:rsidTr="00740613">
        <w:trPr>
          <w:trHeight w:val="30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Daniel </w:t>
            </w:r>
            <w:proofErr w:type="spellStart"/>
            <w:r w:rsidRPr="00D00015">
              <w:t>Savard</w:t>
            </w:r>
            <w:proofErr w:type="spellEnd"/>
            <w:r w:rsidRPr="00D00015">
              <w:t xml:space="preserve">, MD </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proofErr w:type="spellStart"/>
            <w:r w:rsidRPr="00D00015">
              <w:t>CardioVasc</w:t>
            </w:r>
            <w:proofErr w:type="spellEnd"/>
            <w:r w:rsidRPr="00D00015">
              <w:t xml:space="preserve"> HR, St-Jean-</w:t>
            </w:r>
            <w:proofErr w:type="spellStart"/>
            <w:r w:rsidRPr="00D00015">
              <w:t>sur</w:t>
            </w:r>
            <w:proofErr w:type="spellEnd"/>
            <w:r w:rsidRPr="00D00015">
              <w:t>-Richelieu, QC, Canada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Jean-Francois Roux, MD </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CIUSSS de </w:t>
            </w:r>
            <w:proofErr w:type="spellStart"/>
            <w:r w:rsidRPr="00D00015">
              <w:t>l’Estrie</w:t>
            </w:r>
            <w:proofErr w:type="spellEnd"/>
            <w:r w:rsidRPr="00D00015">
              <w:t>-CHUS-</w:t>
            </w:r>
            <w:proofErr w:type="spellStart"/>
            <w:r w:rsidRPr="00D00015">
              <w:t>Hôpital</w:t>
            </w:r>
            <w:proofErr w:type="spellEnd"/>
            <w:r w:rsidRPr="00D00015">
              <w:t xml:space="preserve"> </w:t>
            </w:r>
            <w:proofErr w:type="spellStart"/>
            <w:r w:rsidRPr="00D00015">
              <w:t>Fleurimont</w:t>
            </w:r>
            <w:proofErr w:type="spellEnd"/>
            <w:r w:rsidRPr="00D00015">
              <w:t xml:space="preserve">, </w:t>
            </w:r>
            <w:proofErr w:type="spellStart"/>
            <w:r w:rsidRPr="00D00015">
              <w:t>Sherbrooke</w:t>
            </w:r>
            <w:proofErr w:type="spellEnd"/>
            <w:r w:rsidRPr="00D00015">
              <w:t>, QC, Canada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Matthew Bennett, MD </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Vancouver Coastal Health Research Institute, Vancouver, BC, Canada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A. </w:t>
            </w:r>
            <w:proofErr w:type="spellStart"/>
            <w:r w:rsidRPr="00D00015">
              <w:t>Shekhar</w:t>
            </w:r>
            <w:proofErr w:type="spellEnd"/>
            <w:r w:rsidRPr="00D00015">
              <w:t xml:space="preserve"> </w:t>
            </w:r>
            <w:proofErr w:type="spellStart"/>
            <w:r w:rsidRPr="00D00015">
              <w:t>Pandey</w:t>
            </w:r>
            <w:proofErr w:type="spellEnd"/>
            <w:r w:rsidRPr="00D00015">
              <w:t xml:space="preserve">, MD </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Cambridge Cardiac Care Centre, Cambridge, ON, Canada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proofErr w:type="spellStart"/>
            <w:r w:rsidRPr="00D00015">
              <w:t>Ariane</w:t>
            </w:r>
            <w:proofErr w:type="spellEnd"/>
            <w:r w:rsidRPr="00D00015">
              <w:t xml:space="preserve"> </w:t>
            </w:r>
            <w:proofErr w:type="spellStart"/>
            <w:r w:rsidRPr="00D00015">
              <w:t>Lemiux</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Clinique </w:t>
            </w:r>
            <w:proofErr w:type="spellStart"/>
            <w:r w:rsidRPr="00D00015">
              <w:t>Cardiologie</w:t>
            </w:r>
            <w:proofErr w:type="spellEnd"/>
            <w:r w:rsidRPr="00D00015">
              <w:t xml:space="preserve"> de </w:t>
            </w:r>
            <w:proofErr w:type="spellStart"/>
            <w:r w:rsidRPr="00D00015">
              <w:t>Lévis</w:t>
            </w:r>
            <w:proofErr w:type="spellEnd"/>
            <w:r w:rsidRPr="00D00015">
              <w:t xml:space="preserve">, </w:t>
            </w:r>
            <w:proofErr w:type="spellStart"/>
            <w:r w:rsidRPr="00D00015">
              <w:t>Lévis</w:t>
            </w:r>
            <w:proofErr w:type="spellEnd"/>
            <w:r w:rsidRPr="00D00015">
              <w:t>, QC, Canada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proofErr w:type="spellStart"/>
            <w:r w:rsidRPr="00D00015">
              <w:t>Blandine</w:t>
            </w:r>
            <w:proofErr w:type="spellEnd"/>
            <w:r w:rsidRPr="00D00015">
              <w:t xml:space="preserve"> </w:t>
            </w:r>
            <w:proofErr w:type="spellStart"/>
            <w:r w:rsidRPr="00D00015">
              <w:t>Mondésert</w:t>
            </w:r>
            <w:proofErr w:type="spellEnd"/>
            <w:r w:rsidRPr="00D00015">
              <w:t xml:space="preserve">, MD </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Montreal Heart Institute–</w:t>
            </w:r>
            <w:proofErr w:type="spellStart"/>
            <w:r w:rsidRPr="00D00015">
              <w:t>Institut</w:t>
            </w:r>
            <w:proofErr w:type="spellEnd"/>
            <w:r w:rsidRPr="00D00015">
              <w:t xml:space="preserve"> de </w:t>
            </w:r>
            <w:proofErr w:type="spellStart"/>
            <w:r w:rsidRPr="00D00015">
              <w:t>Cardiologie</w:t>
            </w:r>
            <w:proofErr w:type="spellEnd"/>
            <w:r w:rsidRPr="00D00015">
              <w:t xml:space="preserve"> de Montréal, Montréal, QC, Canada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James Cha,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James Cha, MD, Oshawa, ON, Canada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proofErr w:type="spellStart"/>
            <w:r w:rsidRPr="00D00015">
              <w:t>Sebastien</w:t>
            </w:r>
            <w:proofErr w:type="spellEnd"/>
            <w:r w:rsidRPr="00D00015">
              <w:t xml:space="preserve">-Xavier </w:t>
            </w:r>
            <w:proofErr w:type="spellStart"/>
            <w:r w:rsidRPr="00D00015">
              <w:t>Joncas</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CHU de Quebec-</w:t>
            </w:r>
            <w:proofErr w:type="spellStart"/>
            <w:r w:rsidRPr="00D00015">
              <w:t>Universite</w:t>
            </w:r>
            <w:proofErr w:type="spellEnd"/>
            <w:r w:rsidRPr="00D00015">
              <w:t xml:space="preserve"> Laval, Quebec, QC, Canada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Raja </w:t>
            </w:r>
            <w:proofErr w:type="spellStart"/>
            <w:r w:rsidRPr="00D00015">
              <w:t>Chehayeb</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proofErr w:type="spellStart"/>
            <w:r w:rsidRPr="00D00015">
              <w:t>Viacar</w:t>
            </w:r>
            <w:proofErr w:type="spellEnd"/>
            <w:r w:rsidRPr="00D00015">
              <w:t xml:space="preserve"> </w:t>
            </w:r>
            <w:proofErr w:type="spellStart"/>
            <w:r w:rsidRPr="00D00015">
              <w:t>Recherches</w:t>
            </w:r>
            <w:proofErr w:type="spellEnd"/>
            <w:r w:rsidRPr="00D00015">
              <w:t xml:space="preserve"> </w:t>
            </w:r>
            <w:proofErr w:type="spellStart"/>
            <w:r w:rsidRPr="00D00015">
              <w:t>Cliniques</w:t>
            </w:r>
            <w:proofErr w:type="spellEnd"/>
            <w:r w:rsidRPr="00D00015">
              <w:t>, Greenfield Park, QC, Canada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Jeffrey Sean Healey, MD </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Hamilton Health Sciences, East Hamilton, ON, Canada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Yves </w:t>
            </w:r>
            <w:proofErr w:type="spellStart"/>
            <w:r w:rsidRPr="00D00015">
              <w:t>Pesant</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proofErr w:type="spellStart"/>
            <w:r w:rsidRPr="00D00015">
              <w:t>Recherche</w:t>
            </w:r>
            <w:proofErr w:type="spellEnd"/>
            <w:r w:rsidRPr="00D00015">
              <w:t xml:space="preserve"> </w:t>
            </w:r>
            <w:proofErr w:type="spellStart"/>
            <w:r w:rsidRPr="00D00015">
              <w:t>Medicale</w:t>
            </w:r>
            <w:proofErr w:type="spellEnd"/>
            <w:r w:rsidRPr="00D00015">
              <w:t xml:space="preserve"> St-Jerome, St. Jerome, QC, Canada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Frank </w:t>
            </w:r>
            <w:proofErr w:type="spellStart"/>
            <w:r w:rsidRPr="00D00015">
              <w:t>Halperin</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Kelowna General Hospital, Kelowna, BC, Canada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Stephen Wilton, MD </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proofErr w:type="spellStart"/>
            <w:r w:rsidRPr="00D00015">
              <w:t>Libin</w:t>
            </w:r>
            <w:proofErr w:type="spellEnd"/>
            <w:r w:rsidRPr="00D00015">
              <w:t xml:space="preserve"> Cardiovascular Institute of Alberta–University of Calgary, Calgary, AB, Canada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proofErr w:type="spellStart"/>
            <w:r w:rsidRPr="00D00015">
              <w:t>Sherryn</w:t>
            </w:r>
            <w:proofErr w:type="spellEnd"/>
            <w:r w:rsidRPr="00D00015">
              <w:t xml:space="preserve"> Roth,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Scarborough Cardiology Research Associates, Scarborough, ON, Canada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Marc </w:t>
            </w:r>
            <w:proofErr w:type="spellStart"/>
            <w:r w:rsidRPr="00D00015">
              <w:t>Deyell</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Hamilton Health Sciences, Vancouver, BC, Canada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proofErr w:type="spellStart"/>
            <w:r w:rsidRPr="00D00015">
              <w:t>Atilio</w:t>
            </w:r>
            <w:proofErr w:type="spellEnd"/>
            <w:r w:rsidRPr="00D00015">
              <w:t xml:space="preserve"> Costa-</w:t>
            </w:r>
            <w:proofErr w:type="spellStart"/>
            <w:r w:rsidRPr="00D00015">
              <w:t>Vitali</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Cardiovascular CRO Ltd, Sudbury, ON, Canada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Joseph </w:t>
            </w:r>
            <w:proofErr w:type="spellStart"/>
            <w:r w:rsidRPr="00D00015">
              <w:t>Berlingieri</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JBN Medical Diagnostic Spec, Burlington, ON, Canada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proofErr w:type="spellStart"/>
            <w:r w:rsidRPr="00D00015">
              <w:lastRenderedPageBreak/>
              <w:t>Kapil</w:t>
            </w:r>
            <w:proofErr w:type="spellEnd"/>
            <w:r w:rsidRPr="00D00015">
              <w:t xml:space="preserve"> </w:t>
            </w:r>
            <w:proofErr w:type="spellStart"/>
            <w:r w:rsidRPr="00D00015">
              <w:t>Bhagirath</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SMH Cardiology Clinical Trials, Surrey, BC, Canada</w:t>
            </w:r>
          </w:p>
        </w:tc>
      </w:tr>
    </w:tbl>
    <w:p w:rsidR="00FE434B" w:rsidRPr="00D00015" w:rsidRDefault="00FE434B" w:rsidP="00FE434B">
      <w:pPr>
        <w:pStyle w:val="Manuscriptheading3unnumbered"/>
      </w:pPr>
      <w:r w:rsidRPr="00D00015">
        <w:t>Argentina</w:t>
      </w:r>
    </w:p>
    <w:tbl>
      <w:tblPr>
        <w:tblStyle w:val="Table3"/>
        <w:tblW w:w="5000" w:type="pct"/>
        <w:tblInd w:w="0" w:type="dxa"/>
        <w:tblBorders>
          <w:top w:val="nil"/>
          <w:left w:val="nil"/>
          <w:bottom w:val="single" w:sz="4" w:space="0" w:color="000000"/>
          <w:right w:val="nil"/>
        </w:tblBorders>
        <w:tblLayout w:type="fixed"/>
        <w:tblCellMar>
          <w:left w:w="108" w:type="dxa"/>
          <w:right w:w="108" w:type="dxa"/>
        </w:tblCellMar>
        <w:tblLook w:val="04A0" w:firstRow="1" w:lastRow="0" w:firstColumn="1" w:lastColumn="0" w:noHBand="0" w:noVBand="1"/>
      </w:tblPr>
      <w:tblGrid>
        <w:gridCol w:w="3629"/>
        <w:gridCol w:w="5657"/>
      </w:tblGrid>
      <w:tr w:rsidR="00FE434B" w:rsidRPr="00D00015" w:rsidTr="00740613">
        <w:trPr>
          <w:trHeight w:val="300"/>
        </w:trPr>
        <w:tc>
          <w:tcPr>
            <w:tcW w:w="1954" w:type="pct"/>
            <w:tcBorders>
              <w:top w:val="nil"/>
              <w:left w:val="nil"/>
              <w:bottom w:val="nil"/>
              <w:right w:val="nil"/>
            </w:tcBorders>
            <w:shd w:val="clear" w:color="auto" w:fill="D9D9D9"/>
          </w:tcPr>
          <w:p w:rsidR="00FE434B" w:rsidRPr="00D00015" w:rsidRDefault="00FE434B" w:rsidP="00740613">
            <w:pPr>
              <w:pStyle w:val="Text"/>
              <w:spacing w:after="120" w:line="240" w:lineRule="auto"/>
              <w:rPr>
                <w:b/>
              </w:rPr>
            </w:pPr>
            <w:r w:rsidRPr="00D00015">
              <w:rPr>
                <w:b/>
              </w:rPr>
              <w:t xml:space="preserve">Principal investigator </w:t>
            </w:r>
          </w:p>
        </w:tc>
        <w:tc>
          <w:tcPr>
            <w:tcW w:w="3046" w:type="pct"/>
            <w:tcBorders>
              <w:top w:val="nil"/>
              <w:left w:val="nil"/>
              <w:bottom w:val="nil"/>
              <w:right w:val="nil"/>
            </w:tcBorders>
            <w:shd w:val="clear" w:color="auto" w:fill="D9D9D9"/>
          </w:tcPr>
          <w:p w:rsidR="00FE434B" w:rsidRPr="00D00015" w:rsidRDefault="00FE434B" w:rsidP="00740613">
            <w:pPr>
              <w:pStyle w:val="Text"/>
              <w:spacing w:after="120" w:line="240" w:lineRule="auto"/>
              <w:jc w:val="center"/>
              <w:rPr>
                <w:b/>
              </w:rPr>
            </w:pPr>
            <w:r w:rsidRPr="00D00015">
              <w:rPr>
                <w:b/>
              </w:rPr>
              <w:t>Institute</w:t>
            </w:r>
          </w:p>
        </w:tc>
      </w:tr>
      <w:tr w:rsidR="00FE434B" w:rsidRPr="00D00015" w:rsidTr="00740613">
        <w:trPr>
          <w:trHeight w:val="300"/>
        </w:trPr>
        <w:tc>
          <w:tcPr>
            <w:tcW w:w="1954" w:type="pct"/>
            <w:tcBorders>
              <w:top w:val="nil"/>
              <w:left w:val="nil"/>
              <w:bottom w:val="single" w:sz="4" w:space="0" w:color="000000"/>
              <w:right w:val="nil"/>
            </w:tcBorders>
            <w:shd w:val="clear" w:color="auto" w:fill="FFFFFF"/>
          </w:tcPr>
          <w:p w:rsidR="00FE434B" w:rsidRPr="00D00015" w:rsidRDefault="00FE434B" w:rsidP="00740613">
            <w:pPr>
              <w:pStyle w:val="Text"/>
              <w:spacing w:after="120" w:line="240" w:lineRule="auto"/>
            </w:pPr>
            <w:proofErr w:type="spellStart"/>
            <w:r w:rsidRPr="00D00015">
              <w:t>Maximiliano</w:t>
            </w:r>
            <w:proofErr w:type="spellEnd"/>
            <w:r w:rsidRPr="00D00015">
              <w:t xml:space="preserve"> </w:t>
            </w:r>
            <w:proofErr w:type="spellStart"/>
            <w:r w:rsidRPr="00D00015">
              <w:t>Sicer</w:t>
            </w:r>
            <w:proofErr w:type="spellEnd"/>
            <w:r w:rsidRPr="00D00015">
              <w:t>, MD</w:t>
            </w:r>
          </w:p>
        </w:tc>
        <w:tc>
          <w:tcPr>
            <w:tcW w:w="3046" w:type="pct"/>
            <w:tcBorders>
              <w:top w:val="nil"/>
              <w:left w:val="nil"/>
              <w:bottom w:val="single" w:sz="4" w:space="0" w:color="000000"/>
              <w:right w:val="nil"/>
            </w:tcBorders>
            <w:shd w:val="clear" w:color="auto" w:fill="FFFFFF"/>
          </w:tcPr>
          <w:p w:rsidR="00FE434B" w:rsidRPr="00D00015" w:rsidRDefault="00FE434B" w:rsidP="00740613">
            <w:pPr>
              <w:pStyle w:val="Text"/>
              <w:spacing w:after="120" w:line="240" w:lineRule="auto"/>
            </w:pPr>
            <w:proofErr w:type="spellStart"/>
            <w:r w:rsidRPr="00D00015">
              <w:t>Instituto</w:t>
            </w:r>
            <w:proofErr w:type="spellEnd"/>
            <w:r w:rsidRPr="00D00015">
              <w:t xml:space="preserve"> De Invest. </w:t>
            </w:r>
            <w:proofErr w:type="spellStart"/>
            <w:r w:rsidRPr="00D00015">
              <w:t>Clinicas</w:t>
            </w:r>
            <w:proofErr w:type="spellEnd"/>
            <w:r w:rsidRPr="00D00015">
              <w:t>, Rosario, Santa Fe, Argentina</w:t>
            </w:r>
          </w:p>
        </w:tc>
      </w:tr>
      <w:tr w:rsidR="00FE434B" w:rsidRPr="00D00015" w:rsidTr="00740613">
        <w:trPr>
          <w:trHeight w:val="300"/>
        </w:trPr>
        <w:tc>
          <w:tcPr>
            <w:tcW w:w="1954" w:type="pct"/>
            <w:tcBorders>
              <w:top w:val="single" w:sz="4" w:space="0" w:color="000000"/>
              <w:left w:val="nil"/>
              <w:bottom w:val="single" w:sz="4" w:space="0" w:color="000000"/>
              <w:right w:val="nil"/>
            </w:tcBorders>
            <w:shd w:val="clear" w:color="auto" w:fill="auto"/>
          </w:tcPr>
          <w:p w:rsidR="00FE434B" w:rsidRPr="00D00015" w:rsidRDefault="00FE434B" w:rsidP="00740613">
            <w:pPr>
              <w:pStyle w:val="Text"/>
              <w:spacing w:after="120" w:line="240" w:lineRule="auto"/>
            </w:pPr>
            <w:r w:rsidRPr="00D00015">
              <w:t xml:space="preserve">Luis Ignacio </w:t>
            </w:r>
            <w:proofErr w:type="spellStart"/>
            <w:r w:rsidRPr="00D00015">
              <w:t>Mondragón</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Ins Cardiovascular Buenos A, </w:t>
            </w:r>
            <w:proofErr w:type="spellStart"/>
            <w:r w:rsidRPr="00D00015">
              <w:t>Caba</w:t>
            </w:r>
            <w:proofErr w:type="spellEnd"/>
            <w:r w:rsidRPr="00D00015">
              <w:t xml:space="preserve">, </w:t>
            </w:r>
            <w:proofErr w:type="spellStart"/>
            <w:r w:rsidRPr="00D00015">
              <w:t>Caba</w:t>
            </w:r>
            <w:proofErr w:type="spellEnd"/>
            <w:r w:rsidRPr="00D00015">
              <w:t>, Argentina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Sonia </w:t>
            </w:r>
            <w:proofErr w:type="spellStart"/>
            <w:r w:rsidRPr="00D00015">
              <w:t>Sassone</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proofErr w:type="spellStart"/>
            <w:r w:rsidRPr="00D00015">
              <w:t>Maffei</w:t>
            </w:r>
            <w:proofErr w:type="spellEnd"/>
            <w:r w:rsidRPr="00D00015">
              <w:t xml:space="preserve"> Centro </w:t>
            </w:r>
            <w:proofErr w:type="spellStart"/>
            <w:r w:rsidRPr="00D00015">
              <w:t>Médico</w:t>
            </w:r>
            <w:proofErr w:type="spellEnd"/>
            <w:r w:rsidRPr="00D00015">
              <w:t xml:space="preserve">, Ciudad </w:t>
            </w:r>
            <w:proofErr w:type="spellStart"/>
            <w:r w:rsidRPr="00D00015">
              <w:t>Autonoma</w:t>
            </w:r>
            <w:proofErr w:type="spellEnd"/>
            <w:r w:rsidRPr="00D00015">
              <w:t>, Buenos Aires, Argentina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rPr>
                <w:lang w:val="sv-SE"/>
              </w:rPr>
            </w:pPr>
            <w:r w:rsidRPr="00D00015">
              <w:rPr>
                <w:lang w:val="sv-SE"/>
              </w:rPr>
              <w:t xml:space="preserve">Rubén Omar García Durán, MD </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Clinical Studies Los Arroyos, San Nicolas, Buenos Aires, Argentina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Alberto </w:t>
            </w:r>
            <w:proofErr w:type="spellStart"/>
            <w:r w:rsidRPr="00D00015">
              <w:t>Liberman</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Inst. de </w:t>
            </w:r>
            <w:proofErr w:type="spellStart"/>
            <w:r w:rsidRPr="00D00015">
              <w:t>Investig</w:t>
            </w:r>
            <w:proofErr w:type="spellEnd"/>
            <w:r w:rsidRPr="00D00015">
              <w:t xml:space="preserve"> </w:t>
            </w:r>
            <w:proofErr w:type="spellStart"/>
            <w:r w:rsidRPr="00D00015">
              <w:t>Clinicas</w:t>
            </w:r>
            <w:proofErr w:type="spellEnd"/>
            <w:r w:rsidRPr="00D00015">
              <w:t xml:space="preserve"> </w:t>
            </w:r>
            <w:proofErr w:type="spellStart"/>
            <w:r w:rsidRPr="00D00015">
              <w:t>Cba</w:t>
            </w:r>
            <w:proofErr w:type="spellEnd"/>
            <w:r w:rsidRPr="00D00015">
              <w:t>, Cordoba, Cordoba, Argentina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Fernando </w:t>
            </w:r>
            <w:proofErr w:type="spellStart"/>
            <w:r w:rsidRPr="00D00015">
              <w:t>Botto</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STAT Research S.A., </w:t>
            </w:r>
            <w:proofErr w:type="spellStart"/>
            <w:r w:rsidRPr="00D00015">
              <w:t>Caba</w:t>
            </w:r>
            <w:proofErr w:type="spellEnd"/>
            <w:r w:rsidRPr="00D00015">
              <w:t>, Buenos Aires, Argentina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Gabriela </w:t>
            </w:r>
            <w:proofErr w:type="spellStart"/>
            <w:r w:rsidRPr="00D00015">
              <w:t>Carnero</w:t>
            </w:r>
            <w:proofErr w:type="spellEnd"/>
            <w:r w:rsidRPr="00D00015">
              <w:t xml:space="preserve">, MD </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rPr>
                <w:lang w:val="sv-SE"/>
              </w:rPr>
            </w:pPr>
            <w:r w:rsidRPr="00D00015">
              <w:rPr>
                <w:lang w:val="sv-SE"/>
              </w:rPr>
              <w:t>I.M.E.P., Salta, Salta, Argentina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Maria Leonor Parody,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Hospital San </w:t>
            </w:r>
            <w:proofErr w:type="spellStart"/>
            <w:r w:rsidRPr="00D00015">
              <w:t>Roque</w:t>
            </w:r>
            <w:proofErr w:type="spellEnd"/>
            <w:r w:rsidRPr="00D00015">
              <w:t xml:space="preserve">, Cordoba, Cordoba, Argentina </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proofErr w:type="spellStart"/>
            <w:r w:rsidRPr="00D00015">
              <w:t>Matias</w:t>
            </w:r>
            <w:proofErr w:type="spellEnd"/>
            <w:r w:rsidRPr="00D00015">
              <w:t xml:space="preserve"> Lugo,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proofErr w:type="spellStart"/>
            <w:r w:rsidRPr="00D00015">
              <w:t>CIMeT</w:t>
            </w:r>
            <w:proofErr w:type="spellEnd"/>
            <w:r w:rsidRPr="00D00015">
              <w:t xml:space="preserve">, </w:t>
            </w:r>
            <w:proofErr w:type="spellStart"/>
            <w:r w:rsidRPr="00D00015">
              <w:t>Temperley</w:t>
            </w:r>
            <w:proofErr w:type="spellEnd"/>
            <w:r w:rsidRPr="00D00015">
              <w:t>, Buenos Aires, Argentina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Ignacio MacKinnon,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rPr>
                <w:lang w:val="sv-SE"/>
              </w:rPr>
            </w:pPr>
            <w:r w:rsidRPr="00D00015">
              <w:rPr>
                <w:lang w:val="sv-SE"/>
              </w:rPr>
              <w:t>Mar Del Plata Clinical, Mar Del Plata, Buenos Aires, Argentina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Carlos Cuneo,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rPr>
                <w:lang w:val="sv-SE"/>
              </w:rPr>
            </w:pPr>
            <w:r w:rsidRPr="00D00015">
              <w:rPr>
                <w:lang w:val="sv-SE"/>
              </w:rPr>
              <w:t>Prevencion Cardiovasc Salta, Salta, Salta, Argentina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Oscar </w:t>
            </w:r>
            <w:proofErr w:type="spellStart"/>
            <w:r w:rsidRPr="00D00015">
              <w:t>Montaña</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DIM </w:t>
            </w:r>
            <w:proofErr w:type="spellStart"/>
            <w:r w:rsidRPr="00D00015">
              <w:t>Clinica</w:t>
            </w:r>
            <w:proofErr w:type="spellEnd"/>
            <w:r w:rsidRPr="00D00015">
              <w:t xml:space="preserve"> </w:t>
            </w:r>
            <w:proofErr w:type="spellStart"/>
            <w:r w:rsidRPr="00D00015">
              <w:t>Privada</w:t>
            </w:r>
            <w:proofErr w:type="spellEnd"/>
            <w:r w:rsidRPr="00D00015">
              <w:t xml:space="preserve">, Ramos </w:t>
            </w:r>
            <w:proofErr w:type="spellStart"/>
            <w:r w:rsidRPr="00D00015">
              <w:t>Mejía</w:t>
            </w:r>
            <w:proofErr w:type="spellEnd"/>
            <w:r w:rsidRPr="00D00015">
              <w:t>, Buenos Aires, Argentina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Andrés </w:t>
            </w:r>
            <w:proofErr w:type="spellStart"/>
            <w:r w:rsidRPr="00D00015">
              <w:t>Alvarisqueta</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rPr>
                <w:lang w:val="sv-SE"/>
              </w:rPr>
            </w:pPr>
            <w:r w:rsidRPr="00D00015">
              <w:rPr>
                <w:lang w:val="sv-SE"/>
              </w:rPr>
              <w:t>CIMMDP, Mar del Plata, Buenos Aires, Argentina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Guillermo </w:t>
            </w:r>
            <w:proofErr w:type="spellStart"/>
            <w:r w:rsidRPr="00D00015">
              <w:t>Caime</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La Plata Cardiovascular, La Plata, Buenos Aires, Argentina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Marisa </w:t>
            </w:r>
            <w:proofErr w:type="spellStart"/>
            <w:r w:rsidRPr="00D00015">
              <w:t>Liliana</w:t>
            </w:r>
            <w:proofErr w:type="spellEnd"/>
            <w:r w:rsidRPr="00D00015">
              <w:t xml:space="preserve"> </w:t>
            </w:r>
            <w:proofErr w:type="spellStart"/>
            <w:r w:rsidRPr="00D00015">
              <w:t>Vico</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Centro Med San </w:t>
            </w:r>
            <w:proofErr w:type="spellStart"/>
            <w:r w:rsidRPr="00D00015">
              <w:t>Nic</w:t>
            </w:r>
            <w:proofErr w:type="spellEnd"/>
            <w:r w:rsidRPr="00D00015">
              <w:t xml:space="preserve"> </w:t>
            </w:r>
            <w:proofErr w:type="spellStart"/>
            <w:r w:rsidRPr="00D00015">
              <w:t>Grupo</w:t>
            </w:r>
            <w:proofErr w:type="spellEnd"/>
            <w:r w:rsidRPr="00D00015">
              <w:t xml:space="preserve"> </w:t>
            </w:r>
            <w:proofErr w:type="spellStart"/>
            <w:r w:rsidRPr="00D00015">
              <w:t>Orono</w:t>
            </w:r>
            <w:proofErr w:type="spellEnd"/>
            <w:r w:rsidRPr="00D00015">
              <w:t>, San Nicolas, Buenos Aires, Argentina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Luis Domingo </w:t>
            </w:r>
            <w:proofErr w:type="spellStart"/>
            <w:r w:rsidRPr="00D00015">
              <w:t>Pozzer</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Inst. de Cardio de Corrientes, Corrientes, Corrientes, Argentina </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auto"/>
          </w:tcPr>
          <w:p w:rsidR="00FE434B" w:rsidRPr="00D00015" w:rsidRDefault="00FE434B" w:rsidP="00740613">
            <w:pPr>
              <w:pStyle w:val="Text"/>
              <w:spacing w:after="120" w:line="240" w:lineRule="auto"/>
            </w:pPr>
            <w:r w:rsidRPr="00D00015">
              <w:t xml:space="preserve">Martin </w:t>
            </w:r>
            <w:proofErr w:type="spellStart"/>
            <w:r w:rsidRPr="00D00015">
              <w:t>Horacio</w:t>
            </w:r>
            <w:proofErr w:type="spellEnd"/>
            <w:r w:rsidRPr="00D00015">
              <w:t xml:space="preserve"> </w:t>
            </w:r>
            <w:proofErr w:type="spellStart"/>
            <w:r w:rsidRPr="00D00015">
              <w:t>Koretzky</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proofErr w:type="spellStart"/>
            <w:r w:rsidRPr="00D00015">
              <w:t>Glenny</w:t>
            </w:r>
            <w:proofErr w:type="spellEnd"/>
            <w:r w:rsidRPr="00D00015">
              <w:t xml:space="preserve"> Corp. S.A./ </w:t>
            </w:r>
            <w:proofErr w:type="spellStart"/>
            <w:r w:rsidRPr="00D00015">
              <w:t>Bioclínica</w:t>
            </w:r>
            <w:proofErr w:type="spellEnd"/>
            <w:r w:rsidRPr="00D00015">
              <w:t xml:space="preserve">, </w:t>
            </w:r>
            <w:proofErr w:type="spellStart"/>
            <w:r w:rsidRPr="00D00015">
              <w:t>Cuidad</w:t>
            </w:r>
            <w:proofErr w:type="spellEnd"/>
            <w:r w:rsidRPr="00D00015">
              <w:t xml:space="preserve"> </w:t>
            </w:r>
            <w:proofErr w:type="spellStart"/>
            <w:r w:rsidRPr="00D00015">
              <w:t>Autonoma</w:t>
            </w:r>
            <w:proofErr w:type="spellEnd"/>
            <w:r w:rsidRPr="00D00015">
              <w:t>, Buenos Aires, Argentina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Diego Martinez,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proofErr w:type="spellStart"/>
            <w:r w:rsidRPr="00D00015">
              <w:t>Instituto</w:t>
            </w:r>
            <w:proofErr w:type="spellEnd"/>
            <w:r w:rsidRPr="00D00015">
              <w:t xml:space="preserve"> </w:t>
            </w:r>
            <w:proofErr w:type="spellStart"/>
            <w:r w:rsidRPr="00D00015">
              <w:t>Médico</w:t>
            </w:r>
            <w:proofErr w:type="spellEnd"/>
            <w:r w:rsidRPr="00D00015">
              <w:t xml:space="preserve"> DAMIC, Cordoba, Cordoba, Argentina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Fernando Colombo Berra,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proofErr w:type="spellStart"/>
            <w:r w:rsidRPr="00D00015">
              <w:t>Instituto</w:t>
            </w:r>
            <w:proofErr w:type="spellEnd"/>
            <w:r w:rsidRPr="00D00015">
              <w:t xml:space="preserve"> </w:t>
            </w:r>
            <w:proofErr w:type="spellStart"/>
            <w:r w:rsidRPr="00D00015">
              <w:t>Médico</w:t>
            </w:r>
            <w:proofErr w:type="spellEnd"/>
            <w:r w:rsidRPr="00D00015">
              <w:t xml:space="preserve"> CER, Quilmes, Buenos Aires, Argentina</w:t>
            </w:r>
          </w:p>
        </w:tc>
      </w:tr>
    </w:tbl>
    <w:p w:rsidR="00FE434B" w:rsidRPr="00D00015" w:rsidRDefault="00FE434B" w:rsidP="00FE434B">
      <w:pPr>
        <w:pStyle w:val="Manuscriptheading3unnumbered"/>
      </w:pPr>
      <w:r w:rsidRPr="00D00015">
        <w:t>Brazil</w:t>
      </w:r>
    </w:p>
    <w:tbl>
      <w:tblPr>
        <w:tblStyle w:val="Table4"/>
        <w:tblW w:w="5000" w:type="pct"/>
        <w:tblInd w:w="0" w:type="dxa"/>
        <w:tblBorders>
          <w:top w:val="nil"/>
          <w:left w:val="nil"/>
          <w:bottom w:val="single" w:sz="4" w:space="0" w:color="000000"/>
          <w:right w:val="nil"/>
        </w:tblBorders>
        <w:tblLayout w:type="fixed"/>
        <w:tblCellMar>
          <w:left w:w="108" w:type="dxa"/>
          <w:right w:w="108" w:type="dxa"/>
        </w:tblCellMar>
        <w:tblLook w:val="04A0" w:firstRow="1" w:lastRow="0" w:firstColumn="1" w:lastColumn="0" w:noHBand="0" w:noVBand="1"/>
      </w:tblPr>
      <w:tblGrid>
        <w:gridCol w:w="3629"/>
        <w:gridCol w:w="5657"/>
      </w:tblGrid>
      <w:tr w:rsidR="00FE434B" w:rsidRPr="00D00015" w:rsidTr="00740613">
        <w:trPr>
          <w:trHeight w:val="300"/>
        </w:trPr>
        <w:tc>
          <w:tcPr>
            <w:tcW w:w="1954" w:type="pct"/>
            <w:tcBorders>
              <w:top w:val="nil"/>
              <w:left w:val="nil"/>
              <w:bottom w:val="nil"/>
              <w:right w:val="nil"/>
            </w:tcBorders>
            <w:shd w:val="clear" w:color="auto" w:fill="D9D9D9"/>
          </w:tcPr>
          <w:p w:rsidR="00FE434B" w:rsidRPr="00D00015" w:rsidRDefault="00FE434B" w:rsidP="00740613">
            <w:pPr>
              <w:pStyle w:val="Text"/>
              <w:spacing w:after="120" w:line="240" w:lineRule="auto"/>
              <w:rPr>
                <w:b/>
              </w:rPr>
            </w:pPr>
            <w:r w:rsidRPr="00D00015">
              <w:rPr>
                <w:b/>
              </w:rPr>
              <w:t xml:space="preserve">Principal investigator </w:t>
            </w:r>
          </w:p>
        </w:tc>
        <w:tc>
          <w:tcPr>
            <w:tcW w:w="3046" w:type="pct"/>
            <w:tcBorders>
              <w:top w:val="nil"/>
              <w:left w:val="nil"/>
              <w:bottom w:val="nil"/>
              <w:right w:val="nil"/>
            </w:tcBorders>
            <w:shd w:val="clear" w:color="auto" w:fill="D9D9D9"/>
          </w:tcPr>
          <w:p w:rsidR="00FE434B" w:rsidRPr="00D00015" w:rsidRDefault="00FE434B" w:rsidP="00740613">
            <w:pPr>
              <w:pStyle w:val="Text"/>
              <w:spacing w:after="120" w:line="240" w:lineRule="auto"/>
              <w:rPr>
                <w:b/>
              </w:rPr>
            </w:pPr>
            <w:r w:rsidRPr="00D00015">
              <w:rPr>
                <w:b/>
              </w:rPr>
              <w:t>Institute</w:t>
            </w:r>
          </w:p>
        </w:tc>
      </w:tr>
      <w:tr w:rsidR="00FE434B" w:rsidRPr="00D00015" w:rsidTr="00740613">
        <w:trPr>
          <w:trHeight w:val="300"/>
        </w:trPr>
        <w:tc>
          <w:tcPr>
            <w:tcW w:w="1954" w:type="pct"/>
            <w:tcBorders>
              <w:top w:val="nil"/>
              <w:left w:val="nil"/>
              <w:bottom w:val="single" w:sz="4" w:space="0" w:color="000000"/>
              <w:right w:val="nil"/>
            </w:tcBorders>
            <w:shd w:val="clear" w:color="auto" w:fill="FFFFFF"/>
            <w:vAlign w:val="center"/>
          </w:tcPr>
          <w:p w:rsidR="00FE434B" w:rsidRPr="00D00015" w:rsidRDefault="00FE434B" w:rsidP="00740613">
            <w:pPr>
              <w:pStyle w:val="Text"/>
              <w:spacing w:after="120" w:line="240" w:lineRule="auto"/>
            </w:pPr>
            <w:r w:rsidRPr="00D00015">
              <w:t xml:space="preserve">Ana Claudia </w:t>
            </w:r>
            <w:proofErr w:type="spellStart"/>
            <w:r w:rsidRPr="00D00015">
              <w:t>Venancio</w:t>
            </w:r>
            <w:proofErr w:type="spellEnd"/>
            <w:r w:rsidRPr="00D00015">
              <w:t>, MD</w:t>
            </w:r>
          </w:p>
        </w:tc>
        <w:tc>
          <w:tcPr>
            <w:tcW w:w="3046" w:type="pct"/>
            <w:tcBorders>
              <w:top w:val="nil"/>
              <w:left w:val="nil"/>
              <w:bottom w:val="single" w:sz="4" w:space="0" w:color="000000"/>
              <w:right w:val="nil"/>
            </w:tcBorders>
            <w:shd w:val="clear" w:color="auto" w:fill="FFFFFF"/>
          </w:tcPr>
          <w:p w:rsidR="00FE434B" w:rsidRPr="00D00015" w:rsidRDefault="00FE434B" w:rsidP="00740613">
            <w:pPr>
              <w:pStyle w:val="Text"/>
              <w:spacing w:after="120" w:line="240" w:lineRule="auto"/>
              <w:rPr>
                <w:lang w:val="sv-SE"/>
              </w:rPr>
            </w:pPr>
            <w:r w:rsidRPr="00D00015">
              <w:rPr>
                <w:lang w:val="sv-SE"/>
              </w:rPr>
              <w:t>Eurolatino Juiz de Fora, Juiz de Fora, Minas Gerais, Brazil</w:t>
            </w:r>
          </w:p>
        </w:tc>
      </w:tr>
      <w:tr w:rsidR="00FE434B" w:rsidRPr="00D00015" w:rsidTr="00740613">
        <w:trPr>
          <w:trHeight w:val="300"/>
        </w:trPr>
        <w:tc>
          <w:tcPr>
            <w:tcW w:w="1954" w:type="pct"/>
            <w:tcBorders>
              <w:top w:val="single" w:sz="4" w:space="0" w:color="000000"/>
              <w:left w:val="nil"/>
              <w:bottom w:val="single" w:sz="4" w:space="0" w:color="000000"/>
              <w:right w:val="nil"/>
            </w:tcBorders>
            <w:shd w:val="clear" w:color="auto" w:fill="FFFFFF"/>
            <w:vAlign w:val="center"/>
          </w:tcPr>
          <w:p w:rsidR="00FE434B" w:rsidRPr="00D00015" w:rsidRDefault="00FE434B" w:rsidP="00740613">
            <w:pPr>
              <w:pStyle w:val="Text"/>
              <w:spacing w:after="120" w:line="240" w:lineRule="auto"/>
            </w:pPr>
            <w:proofErr w:type="spellStart"/>
            <w:r w:rsidRPr="00D00015">
              <w:t>Jamil</w:t>
            </w:r>
            <w:proofErr w:type="spellEnd"/>
            <w:r w:rsidRPr="00D00015">
              <w:t xml:space="preserve"> </w:t>
            </w:r>
            <w:proofErr w:type="spellStart"/>
            <w:r w:rsidRPr="00D00015">
              <w:t>Abdalla</w:t>
            </w:r>
            <w:proofErr w:type="spellEnd"/>
            <w:r w:rsidRPr="00D00015">
              <w:t xml:space="preserve"> </w:t>
            </w:r>
            <w:proofErr w:type="spellStart"/>
            <w:r w:rsidRPr="00D00015">
              <w:t>Saad</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Hospital </w:t>
            </w:r>
            <w:proofErr w:type="spellStart"/>
            <w:r w:rsidRPr="00D00015">
              <w:t>Felicio</w:t>
            </w:r>
            <w:proofErr w:type="spellEnd"/>
            <w:r w:rsidRPr="00D00015">
              <w:t xml:space="preserve"> </w:t>
            </w:r>
            <w:proofErr w:type="spellStart"/>
            <w:r w:rsidRPr="00D00015">
              <w:t>Rocho</w:t>
            </w:r>
            <w:proofErr w:type="spellEnd"/>
            <w:r w:rsidRPr="00D00015">
              <w:t xml:space="preserve">, Belo Horizonte, Minas </w:t>
            </w:r>
            <w:proofErr w:type="spellStart"/>
            <w:r w:rsidRPr="00D00015">
              <w:t>Gerais</w:t>
            </w:r>
            <w:proofErr w:type="spellEnd"/>
            <w:r w:rsidRPr="00D00015">
              <w:t>, Brazil</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vAlign w:val="center"/>
          </w:tcPr>
          <w:p w:rsidR="00FE434B" w:rsidRPr="00D00015" w:rsidRDefault="00FE434B" w:rsidP="00740613">
            <w:pPr>
              <w:pStyle w:val="Text"/>
              <w:spacing w:after="120" w:line="240" w:lineRule="auto"/>
            </w:pPr>
            <w:proofErr w:type="spellStart"/>
            <w:r w:rsidRPr="00D00015">
              <w:t>Wladmir</w:t>
            </w:r>
            <w:proofErr w:type="spellEnd"/>
            <w:r w:rsidRPr="00D00015">
              <w:t xml:space="preserve"> </w:t>
            </w:r>
            <w:proofErr w:type="spellStart"/>
            <w:r w:rsidRPr="00D00015">
              <w:t>Saporito</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IMC </w:t>
            </w:r>
            <w:proofErr w:type="spellStart"/>
            <w:r w:rsidRPr="00D00015">
              <w:t>Cardiovasulares</w:t>
            </w:r>
            <w:proofErr w:type="spellEnd"/>
            <w:r w:rsidRPr="00D00015">
              <w:t xml:space="preserve"> </w:t>
            </w:r>
            <w:proofErr w:type="spellStart"/>
            <w:r w:rsidRPr="00D00015">
              <w:t>Tatui</w:t>
            </w:r>
            <w:proofErr w:type="spellEnd"/>
            <w:r w:rsidRPr="00D00015">
              <w:t xml:space="preserve">, </w:t>
            </w:r>
            <w:proofErr w:type="spellStart"/>
            <w:r w:rsidRPr="00D00015">
              <w:t>Tatui</w:t>
            </w:r>
            <w:proofErr w:type="spellEnd"/>
            <w:r w:rsidRPr="00D00015">
              <w:t>, Sao Paulo, Brazil</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vAlign w:val="center"/>
          </w:tcPr>
          <w:p w:rsidR="00FE434B" w:rsidRPr="00D00015" w:rsidRDefault="00FE434B" w:rsidP="00740613">
            <w:pPr>
              <w:pStyle w:val="Text"/>
              <w:spacing w:after="120" w:line="240" w:lineRule="auto"/>
            </w:pPr>
            <w:proofErr w:type="spellStart"/>
            <w:r w:rsidRPr="00D00015">
              <w:t>Christiano</w:t>
            </w:r>
            <w:proofErr w:type="spellEnd"/>
            <w:r w:rsidRPr="00D00015">
              <w:t xml:space="preserve"> de Luca </w:t>
            </w:r>
            <w:proofErr w:type="spellStart"/>
            <w:r w:rsidRPr="00D00015">
              <w:t>Nassif</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CECIP </w:t>
            </w:r>
            <w:proofErr w:type="spellStart"/>
            <w:r w:rsidRPr="00D00015">
              <w:t>Jau</w:t>
            </w:r>
            <w:proofErr w:type="spellEnd"/>
            <w:r w:rsidRPr="00D00015">
              <w:t xml:space="preserve">, </w:t>
            </w:r>
            <w:proofErr w:type="spellStart"/>
            <w:r w:rsidRPr="00D00015">
              <w:t>Jau</w:t>
            </w:r>
            <w:proofErr w:type="spellEnd"/>
            <w:r w:rsidRPr="00D00015">
              <w:t>, Sao Paulo, Brazil</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vAlign w:val="center"/>
          </w:tcPr>
          <w:p w:rsidR="00FE434B" w:rsidRPr="00D00015" w:rsidRDefault="00FE434B" w:rsidP="00740613">
            <w:pPr>
              <w:pStyle w:val="Text"/>
              <w:spacing w:after="120" w:line="240" w:lineRule="auto"/>
              <w:rPr>
                <w:lang w:val="sv-SE"/>
              </w:rPr>
            </w:pPr>
            <w:r w:rsidRPr="00D00015">
              <w:rPr>
                <w:lang w:val="sv-SE"/>
              </w:rPr>
              <w:t>Luiz Carlos Santana Passos,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Hospital Ana </w:t>
            </w:r>
            <w:proofErr w:type="spellStart"/>
            <w:r w:rsidRPr="00D00015">
              <w:t>Nery</w:t>
            </w:r>
            <w:proofErr w:type="spellEnd"/>
            <w:r w:rsidRPr="00D00015">
              <w:t>, Salvador, Bahia, Brazil</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vAlign w:val="center"/>
          </w:tcPr>
          <w:p w:rsidR="00FE434B" w:rsidRPr="00D00015" w:rsidRDefault="00FE434B" w:rsidP="00740613">
            <w:pPr>
              <w:pStyle w:val="Text"/>
              <w:spacing w:after="120" w:line="240" w:lineRule="auto"/>
            </w:pPr>
            <w:r w:rsidRPr="00D00015">
              <w:t xml:space="preserve">Mauricio </w:t>
            </w:r>
            <w:proofErr w:type="spellStart"/>
            <w:r w:rsidRPr="00D00015">
              <w:t>Scanavacca</w:t>
            </w:r>
            <w:proofErr w:type="spellEnd"/>
            <w:r w:rsidRPr="00D00015">
              <w:t xml:space="preserve">, MD </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HCFMUSP, Sao Paulo, Sao Paulo, Brazil</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vAlign w:val="center"/>
          </w:tcPr>
          <w:p w:rsidR="00FE434B" w:rsidRPr="00D00015" w:rsidRDefault="00FE434B" w:rsidP="00740613">
            <w:pPr>
              <w:pStyle w:val="Text"/>
              <w:spacing w:after="120" w:line="240" w:lineRule="auto"/>
            </w:pPr>
            <w:proofErr w:type="spellStart"/>
            <w:r w:rsidRPr="00D00015">
              <w:t>Audes</w:t>
            </w:r>
            <w:proofErr w:type="spellEnd"/>
            <w:r w:rsidRPr="00D00015">
              <w:t xml:space="preserve"> </w:t>
            </w:r>
            <w:proofErr w:type="spellStart"/>
            <w:r w:rsidRPr="00D00015">
              <w:t>Feitosa</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PROCAPE, Recife, </w:t>
            </w:r>
            <w:proofErr w:type="spellStart"/>
            <w:r w:rsidRPr="00D00015">
              <w:t>Pernambuco</w:t>
            </w:r>
            <w:proofErr w:type="spellEnd"/>
            <w:r w:rsidRPr="00D00015">
              <w:t>, Brazil</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vAlign w:val="center"/>
          </w:tcPr>
          <w:p w:rsidR="00FE434B" w:rsidRPr="00D00015" w:rsidRDefault="00FE434B" w:rsidP="00740613">
            <w:pPr>
              <w:pStyle w:val="Text"/>
              <w:spacing w:after="120" w:line="240" w:lineRule="auto"/>
            </w:pPr>
            <w:proofErr w:type="spellStart"/>
            <w:r w:rsidRPr="00D00015">
              <w:t>Benhur</w:t>
            </w:r>
            <w:proofErr w:type="spellEnd"/>
            <w:r w:rsidRPr="00D00015">
              <w:t xml:space="preserve"> </w:t>
            </w:r>
            <w:proofErr w:type="spellStart"/>
            <w:r w:rsidRPr="00D00015">
              <w:t>Henz</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Hospital do </w:t>
            </w:r>
            <w:proofErr w:type="spellStart"/>
            <w:r w:rsidRPr="00D00015">
              <w:t>Coracao</w:t>
            </w:r>
            <w:proofErr w:type="spellEnd"/>
            <w:r w:rsidRPr="00D00015">
              <w:t xml:space="preserve"> do </w:t>
            </w:r>
            <w:proofErr w:type="spellStart"/>
            <w:r w:rsidRPr="00D00015">
              <w:t>Brasil</w:t>
            </w:r>
            <w:proofErr w:type="spellEnd"/>
            <w:r w:rsidRPr="00D00015">
              <w:t>, Brasilia, Distrito Federal, Brazil</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vAlign w:val="center"/>
          </w:tcPr>
          <w:p w:rsidR="00FE434B" w:rsidRPr="00D00015" w:rsidRDefault="00FE434B" w:rsidP="00740613">
            <w:pPr>
              <w:pStyle w:val="Text"/>
              <w:spacing w:after="120" w:line="240" w:lineRule="auto"/>
            </w:pPr>
            <w:proofErr w:type="spellStart"/>
            <w:r w:rsidRPr="00D00015">
              <w:lastRenderedPageBreak/>
              <w:t>Yorghos</w:t>
            </w:r>
            <w:proofErr w:type="spellEnd"/>
            <w:r w:rsidRPr="00D00015">
              <w:t xml:space="preserve"> </w:t>
            </w:r>
            <w:proofErr w:type="spellStart"/>
            <w:r w:rsidRPr="00D00015">
              <w:t>Michalaros</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proofErr w:type="spellStart"/>
            <w:r w:rsidRPr="00D00015">
              <w:t>Instituto</w:t>
            </w:r>
            <w:proofErr w:type="spellEnd"/>
            <w:r w:rsidRPr="00D00015">
              <w:t xml:space="preserve"> de </w:t>
            </w:r>
            <w:proofErr w:type="spellStart"/>
            <w:r w:rsidRPr="00D00015">
              <w:t>Ensino</w:t>
            </w:r>
            <w:proofErr w:type="spellEnd"/>
            <w:r w:rsidRPr="00D00015">
              <w:t xml:space="preserve">, Belo Horizonte, Minas </w:t>
            </w:r>
            <w:proofErr w:type="spellStart"/>
            <w:r w:rsidRPr="00D00015">
              <w:t>Gerais</w:t>
            </w:r>
            <w:proofErr w:type="spellEnd"/>
            <w:r w:rsidRPr="00D00015">
              <w:t>, Brazil</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vAlign w:val="center"/>
          </w:tcPr>
          <w:p w:rsidR="00FE434B" w:rsidRPr="00D00015" w:rsidRDefault="00FE434B" w:rsidP="00740613">
            <w:pPr>
              <w:pStyle w:val="Text"/>
              <w:spacing w:after="120" w:line="240" w:lineRule="auto"/>
            </w:pPr>
            <w:r w:rsidRPr="00D00015">
              <w:t xml:space="preserve">Eduardo </w:t>
            </w:r>
            <w:proofErr w:type="spellStart"/>
            <w:r w:rsidRPr="00D00015">
              <w:t>Ramacciotti</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HMCG, Santo Andre, Sao Paulo, Brazil</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vAlign w:val="center"/>
          </w:tcPr>
          <w:p w:rsidR="00FE434B" w:rsidRPr="00D00015" w:rsidRDefault="00FE434B" w:rsidP="00740613">
            <w:pPr>
              <w:pStyle w:val="Text"/>
              <w:spacing w:after="120" w:line="240" w:lineRule="auto"/>
            </w:pPr>
            <w:r w:rsidRPr="00D00015">
              <w:t xml:space="preserve">Rodrigo </w:t>
            </w:r>
            <w:proofErr w:type="spellStart"/>
            <w:r w:rsidRPr="00D00015">
              <w:t>Alves</w:t>
            </w:r>
            <w:proofErr w:type="spellEnd"/>
            <w:r w:rsidRPr="00D00015">
              <w:t xml:space="preserve"> da Silva,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proofErr w:type="spellStart"/>
            <w:r w:rsidRPr="00D00015">
              <w:t>Eurolatino</w:t>
            </w:r>
            <w:proofErr w:type="spellEnd"/>
            <w:r w:rsidRPr="00D00015">
              <w:t xml:space="preserve"> </w:t>
            </w:r>
            <w:proofErr w:type="spellStart"/>
            <w:r w:rsidRPr="00D00015">
              <w:t>Pesquisas</w:t>
            </w:r>
            <w:proofErr w:type="spellEnd"/>
            <w:r w:rsidRPr="00D00015">
              <w:t xml:space="preserve"> </w:t>
            </w:r>
            <w:proofErr w:type="spellStart"/>
            <w:r w:rsidRPr="00D00015">
              <w:t>Medicas</w:t>
            </w:r>
            <w:proofErr w:type="spellEnd"/>
            <w:r w:rsidRPr="00D00015">
              <w:t xml:space="preserve">, Uberlandia, Minas </w:t>
            </w:r>
            <w:proofErr w:type="spellStart"/>
            <w:r w:rsidRPr="00D00015">
              <w:t>Gerais</w:t>
            </w:r>
            <w:proofErr w:type="spellEnd"/>
            <w:r w:rsidRPr="00D00015">
              <w:t>, Brazil</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vAlign w:val="center"/>
          </w:tcPr>
          <w:p w:rsidR="00FE434B" w:rsidRPr="00D00015" w:rsidRDefault="00FE434B" w:rsidP="00740613">
            <w:pPr>
              <w:pStyle w:val="Text"/>
              <w:spacing w:after="120" w:line="240" w:lineRule="auto"/>
            </w:pPr>
            <w:r w:rsidRPr="00D00015">
              <w:t xml:space="preserve">Jose Francisco Kerr </w:t>
            </w:r>
            <w:proofErr w:type="spellStart"/>
            <w:r w:rsidRPr="00D00015">
              <w:t>Saraiva</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IPCC – Campinas, Campinas, Sao Paulo, Brazil</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vAlign w:val="center"/>
          </w:tcPr>
          <w:p w:rsidR="00FE434B" w:rsidRPr="00D00015" w:rsidRDefault="00FE434B" w:rsidP="00740613">
            <w:pPr>
              <w:pStyle w:val="Text"/>
              <w:spacing w:after="120" w:line="240" w:lineRule="auto"/>
            </w:pPr>
            <w:proofErr w:type="spellStart"/>
            <w:r w:rsidRPr="00D00015">
              <w:t>Juliano</w:t>
            </w:r>
            <w:proofErr w:type="spellEnd"/>
            <w:r w:rsidRPr="00D00015">
              <w:t xml:space="preserve"> </w:t>
            </w:r>
            <w:proofErr w:type="spellStart"/>
            <w:r w:rsidRPr="00D00015">
              <w:t>Novaes</w:t>
            </w:r>
            <w:proofErr w:type="spellEnd"/>
            <w:r w:rsidRPr="00D00015">
              <w:t xml:space="preserve"> Cardoso,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Hospital Santa </w:t>
            </w:r>
            <w:proofErr w:type="spellStart"/>
            <w:r w:rsidRPr="00D00015">
              <w:t>Marcelina</w:t>
            </w:r>
            <w:proofErr w:type="spellEnd"/>
            <w:r w:rsidRPr="00D00015">
              <w:t>, Sao Paulo, Sao Paulo, Brazil</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vAlign w:val="center"/>
          </w:tcPr>
          <w:p w:rsidR="00FE434B" w:rsidRPr="00D00015" w:rsidRDefault="00FE434B" w:rsidP="00740613">
            <w:pPr>
              <w:pStyle w:val="Text"/>
              <w:spacing w:after="120" w:line="240" w:lineRule="auto"/>
            </w:pPr>
            <w:r w:rsidRPr="00D00015">
              <w:t xml:space="preserve">Fabio </w:t>
            </w:r>
            <w:proofErr w:type="spellStart"/>
            <w:r w:rsidRPr="00D00015">
              <w:t>Tuche</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rPr>
                <w:lang w:val="sv-SE"/>
              </w:rPr>
            </w:pPr>
            <w:r w:rsidRPr="00D00015">
              <w:rPr>
                <w:lang w:val="sv-SE"/>
              </w:rPr>
              <w:t>IBPClin, Rio de Janeiro, Rio de Janeiro, Brazil</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vAlign w:val="center"/>
          </w:tcPr>
          <w:p w:rsidR="00FE434B" w:rsidRPr="00D00015" w:rsidRDefault="00FE434B" w:rsidP="00740613">
            <w:pPr>
              <w:pStyle w:val="Text"/>
              <w:spacing w:after="120" w:line="240" w:lineRule="auto"/>
            </w:pPr>
            <w:r w:rsidRPr="00D00015">
              <w:t xml:space="preserve">Heron </w:t>
            </w:r>
            <w:proofErr w:type="spellStart"/>
            <w:r w:rsidRPr="00D00015">
              <w:t>Rhydan</w:t>
            </w:r>
            <w:proofErr w:type="spellEnd"/>
            <w:r w:rsidRPr="00D00015">
              <w:t xml:space="preserve"> </w:t>
            </w:r>
            <w:proofErr w:type="spellStart"/>
            <w:r w:rsidRPr="00D00015">
              <w:t>Saad</w:t>
            </w:r>
            <w:proofErr w:type="spellEnd"/>
            <w:r w:rsidRPr="00D00015">
              <w:t xml:space="preserve"> </w:t>
            </w:r>
            <w:proofErr w:type="spellStart"/>
            <w:r w:rsidRPr="00D00015">
              <w:t>Rached</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Hospital </w:t>
            </w:r>
            <w:proofErr w:type="spellStart"/>
            <w:r w:rsidRPr="00D00015">
              <w:t>Leforte</w:t>
            </w:r>
            <w:proofErr w:type="spellEnd"/>
            <w:r w:rsidRPr="00D00015">
              <w:t xml:space="preserve">, </w:t>
            </w:r>
            <w:proofErr w:type="spellStart"/>
            <w:r w:rsidRPr="00D00015">
              <w:t>Liberdade</w:t>
            </w:r>
            <w:proofErr w:type="spellEnd"/>
            <w:r w:rsidRPr="00D00015">
              <w:t>, Sao Paulo, Brazil</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vAlign w:val="center"/>
          </w:tcPr>
          <w:p w:rsidR="00FE434B" w:rsidRPr="00D00015" w:rsidRDefault="00FE434B" w:rsidP="00740613">
            <w:pPr>
              <w:pStyle w:val="Text"/>
              <w:spacing w:after="120" w:line="240" w:lineRule="auto"/>
            </w:pPr>
            <w:r w:rsidRPr="00D00015">
              <w:t xml:space="preserve">Eduardo </w:t>
            </w:r>
            <w:proofErr w:type="spellStart"/>
            <w:r w:rsidRPr="00D00015">
              <w:t>Bartholomay</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HRPC – ULBRA, Canoas, Rio Grande do </w:t>
            </w:r>
            <w:proofErr w:type="spellStart"/>
            <w:r w:rsidRPr="00D00015">
              <w:t>Sul</w:t>
            </w:r>
            <w:proofErr w:type="spellEnd"/>
            <w:r w:rsidRPr="00D00015">
              <w:t>, Brazil</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vAlign w:val="center"/>
          </w:tcPr>
          <w:p w:rsidR="00FE434B" w:rsidRPr="00D00015" w:rsidRDefault="00FE434B" w:rsidP="00740613">
            <w:pPr>
              <w:pStyle w:val="Text"/>
              <w:spacing w:after="120" w:line="240" w:lineRule="auto"/>
            </w:pPr>
            <w:r w:rsidRPr="00D00015">
              <w:t xml:space="preserve">Maria </w:t>
            </w:r>
            <w:proofErr w:type="spellStart"/>
            <w:r w:rsidRPr="00D00015">
              <w:t>Vidotti</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proofErr w:type="spellStart"/>
            <w:r w:rsidRPr="00D00015">
              <w:t>Loema</w:t>
            </w:r>
            <w:proofErr w:type="spellEnd"/>
            <w:r w:rsidRPr="00D00015">
              <w:t xml:space="preserve">; </w:t>
            </w:r>
            <w:proofErr w:type="spellStart"/>
            <w:r w:rsidRPr="00D00015">
              <w:t>Instituto</w:t>
            </w:r>
            <w:proofErr w:type="spellEnd"/>
            <w:r w:rsidRPr="00D00015">
              <w:t xml:space="preserve"> de </w:t>
            </w:r>
            <w:proofErr w:type="spellStart"/>
            <w:r w:rsidRPr="00D00015">
              <w:t>Pesquisa</w:t>
            </w:r>
            <w:proofErr w:type="spellEnd"/>
            <w:r w:rsidRPr="00D00015">
              <w:t>, Campinas, Sao Paulo, Brazil</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vAlign w:val="center"/>
          </w:tcPr>
          <w:p w:rsidR="00FE434B" w:rsidRPr="00D00015" w:rsidRDefault="00FE434B" w:rsidP="00740613">
            <w:pPr>
              <w:pStyle w:val="Text"/>
              <w:spacing w:after="120" w:line="240" w:lineRule="auto"/>
            </w:pPr>
            <w:r w:rsidRPr="00D00015">
              <w:t xml:space="preserve">Mauro </w:t>
            </w:r>
            <w:proofErr w:type="spellStart"/>
            <w:r w:rsidRPr="00D00015">
              <w:t>Esteves</w:t>
            </w:r>
            <w:proofErr w:type="spellEnd"/>
            <w:r w:rsidRPr="00D00015">
              <w:t xml:space="preserve"> </w:t>
            </w:r>
            <w:proofErr w:type="spellStart"/>
            <w:r w:rsidRPr="00D00015">
              <w:t>Hernandes</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Santa Casa de </w:t>
            </w:r>
            <w:proofErr w:type="spellStart"/>
            <w:r w:rsidRPr="00D00015">
              <w:t>Votuporanga</w:t>
            </w:r>
            <w:proofErr w:type="spellEnd"/>
            <w:r w:rsidRPr="00D00015">
              <w:t xml:space="preserve">, </w:t>
            </w:r>
            <w:proofErr w:type="spellStart"/>
            <w:r w:rsidRPr="00D00015">
              <w:t>Votuporanga</w:t>
            </w:r>
            <w:proofErr w:type="spellEnd"/>
            <w:r w:rsidRPr="00D00015">
              <w:t>, Sao Paulo, Brazil</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vAlign w:val="center"/>
          </w:tcPr>
          <w:p w:rsidR="00FE434B" w:rsidRPr="00D00015" w:rsidRDefault="00FE434B" w:rsidP="00740613">
            <w:pPr>
              <w:pStyle w:val="Text"/>
              <w:spacing w:after="120" w:line="240" w:lineRule="auto"/>
            </w:pPr>
            <w:proofErr w:type="spellStart"/>
            <w:r w:rsidRPr="00D00015">
              <w:t>Adalberto</w:t>
            </w:r>
            <w:proofErr w:type="spellEnd"/>
            <w:r w:rsidRPr="00D00015">
              <w:t xml:space="preserve"> </w:t>
            </w:r>
            <w:proofErr w:type="spellStart"/>
            <w:r w:rsidRPr="00D00015">
              <w:t>Menezes</w:t>
            </w:r>
            <w:proofErr w:type="spellEnd"/>
            <w:r w:rsidRPr="00D00015">
              <w:t xml:space="preserve"> </w:t>
            </w:r>
            <w:proofErr w:type="spellStart"/>
            <w:r w:rsidRPr="00D00015">
              <w:t>Lorga</w:t>
            </w:r>
            <w:proofErr w:type="spellEnd"/>
            <w:r w:rsidRPr="00D00015">
              <w:t xml:space="preserve"> </w:t>
            </w:r>
            <w:proofErr w:type="spellStart"/>
            <w:r w:rsidRPr="00D00015">
              <w:t>Filho</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IMC Sao Jose do Rio, Sao Jose do Rio </w:t>
            </w:r>
            <w:proofErr w:type="spellStart"/>
            <w:r w:rsidRPr="00D00015">
              <w:t>Preto</w:t>
            </w:r>
            <w:proofErr w:type="spellEnd"/>
            <w:r w:rsidRPr="00D00015">
              <w:t>, Sao Paulo, Brazil</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vAlign w:val="center"/>
          </w:tcPr>
          <w:p w:rsidR="00FE434B" w:rsidRPr="00D00015" w:rsidRDefault="00FE434B" w:rsidP="00740613">
            <w:pPr>
              <w:pStyle w:val="Text"/>
              <w:spacing w:after="120" w:line="240" w:lineRule="auto"/>
            </w:pPr>
            <w:proofErr w:type="spellStart"/>
            <w:r w:rsidRPr="00D00015">
              <w:t>Freitas</w:t>
            </w:r>
            <w:proofErr w:type="spellEnd"/>
            <w:r w:rsidRPr="00D00015">
              <w:t xml:space="preserve"> Junior, Aguinaldo</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p>
        </w:tc>
      </w:tr>
    </w:tbl>
    <w:p w:rsidR="00FE434B" w:rsidRPr="00D00015" w:rsidRDefault="00FE434B" w:rsidP="00FE434B">
      <w:pPr>
        <w:pStyle w:val="Manuscriptheading3unnumbered"/>
      </w:pPr>
      <w:r w:rsidRPr="00D00015">
        <w:t>Colombia</w:t>
      </w:r>
    </w:p>
    <w:tbl>
      <w:tblPr>
        <w:tblStyle w:val="Table5"/>
        <w:tblW w:w="5000" w:type="pct"/>
        <w:tblInd w:w="0" w:type="dxa"/>
        <w:tblBorders>
          <w:top w:val="nil"/>
          <w:left w:val="nil"/>
          <w:bottom w:val="single" w:sz="4" w:space="0" w:color="000000"/>
          <w:right w:val="nil"/>
        </w:tblBorders>
        <w:tblLayout w:type="fixed"/>
        <w:tblCellMar>
          <w:left w:w="108" w:type="dxa"/>
          <w:right w:w="108" w:type="dxa"/>
        </w:tblCellMar>
        <w:tblLook w:val="04A0" w:firstRow="1" w:lastRow="0" w:firstColumn="1" w:lastColumn="0" w:noHBand="0" w:noVBand="1"/>
      </w:tblPr>
      <w:tblGrid>
        <w:gridCol w:w="3629"/>
        <w:gridCol w:w="5657"/>
      </w:tblGrid>
      <w:tr w:rsidR="00FE434B" w:rsidRPr="00D00015" w:rsidTr="00740613">
        <w:trPr>
          <w:trHeight w:val="300"/>
        </w:trPr>
        <w:tc>
          <w:tcPr>
            <w:tcW w:w="1954" w:type="pct"/>
            <w:tcBorders>
              <w:top w:val="nil"/>
              <w:left w:val="nil"/>
              <w:bottom w:val="nil"/>
              <w:right w:val="nil"/>
            </w:tcBorders>
            <w:shd w:val="clear" w:color="auto" w:fill="D9D9D9"/>
          </w:tcPr>
          <w:p w:rsidR="00FE434B" w:rsidRPr="00D00015" w:rsidRDefault="00FE434B" w:rsidP="00740613">
            <w:pPr>
              <w:pStyle w:val="Text"/>
              <w:spacing w:after="120" w:line="240" w:lineRule="auto"/>
              <w:rPr>
                <w:b/>
              </w:rPr>
            </w:pPr>
            <w:r w:rsidRPr="00D00015">
              <w:rPr>
                <w:b/>
              </w:rPr>
              <w:t xml:space="preserve">Principal investigator </w:t>
            </w:r>
          </w:p>
        </w:tc>
        <w:tc>
          <w:tcPr>
            <w:tcW w:w="3046" w:type="pct"/>
            <w:tcBorders>
              <w:top w:val="nil"/>
              <w:left w:val="nil"/>
              <w:bottom w:val="nil"/>
              <w:right w:val="nil"/>
            </w:tcBorders>
            <w:shd w:val="clear" w:color="auto" w:fill="D9D9D9"/>
          </w:tcPr>
          <w:p w:rsidR="00FE434B" w:rsidRPr="00D00015" w:rsidRDefault="00FE434B" w:rsidP="00740613">
            <w:pPr>
              <w:pStyle w:val="Text"/>
              <w:spacing w:after="120" w:line="240" w:lineRule="auto"/>
              <w:rPr>
                <w:b/>
              </w:rPr>
            </w:pPr>
            <w:r w:rsidRPr="00D00015">
              <w:rPr>
                <w:b/>
              </w:rPr>
              <w:t>Institute</w:t>
            </w:r>
          </w:p>
        </w:tc>
      </w:tr>
      <w:tr w:rsidR="00FE434B" w:rsidRPr="00D00015" w:rsidTr="00740613">
        <w:trPr>
          <w:trHeight w:val="300"/>
        </w:trPr>
        <w:tc>
          <w:tcPr>
            <w:tcW w:w="1954" w:type="pct"/>
            <w:tcBorders>
              <w:top w:val="nil"/>
              <w:left w:val="nil"/>
              <w:bottom w:val="single" w:sz="4" w:space="0" w:color="000000"/>
              <w:right w:val="nil"/>
            </w:tcBorders>
            <w:shd w:val="clear" w:color="auto" w:fill="FFFFFF"/>
            <w:vAlign w:val="center"/>
          </w:tcPr>
          <w:p w:rsidR="00FE434B" w:rsidRPr="00D00015" w:rsidRDefault="00FE434B" w:rsidP="00740613">
            <w:pPr>
              <w:pStyle w:val="Text"/>
              <w:spacing w:after="120" w:line="240" w:lineRule="auto"/>
            </w:pPr>
            <w:r w:rsidRPr="00D00015">
              <w:t>Ricardo Leon Fernandez Ruiz, MD</w:t>
            </w:r>
          </w:p>
        </w:tc>
        <w:tc>
          <w:tcPr>
            <w:tcW w:w="3046" w:type="pct"/>
            <w:tcBorders>
              <w:top w:val="nil"/>
              <w:left w:val="nil"/>
              <w:bottom w:val="single" w:sz="4" w:space="0" w:color="000000"/>
              <w:right w:val="nil"/>
            </w:tcBorders>
            <w:shd w:val="clear" w:color="auto" w:fill="FFFFFF"/>
          </w:tcPr>
          <w:p w:rsidR="00FE434B" w:rsidRPr="00D00015" w:rsidRDefault="00FE434B" w:rsidP="00740613">
            <w:pPr>
              <w:pStyle w:val="Text"/>
              <w:spacing w:after="120" w:line="240" w:lineRule="auto"/>
            </w:pPr>
            <w:proofErr w:type="spellStart"/>
            <w:r w:rsidRPr="00D00015">
              <w:t>Clinica</w:t>
            </w:r>
            <w:proofErr w:type="spellEnd"/>
            <w:r w:rsidRPr="00D00015">
              <w:t xml:space="preserve"> </w:t>
            </w:r>
            <w:proofErr w:type="spellStart"/>
            <w:r w:rsidRPr="00D00015">
              <w:t>Cardiovas</w:t>
            </w:r>
            <w:proofErr w:type="spellEnd"/>
            <w:r w:rsidRPr="00D00015">
              <w:t>. Santa Maria, Medellin, Antioquia, Colombia</w:t>
            </w:r>
          </w:p>
        </w:tc>
      </w:tr>
      <w:tr w:rsidR="00FE434B" w:rsidRPr="00D00015" w:rsidTr="00740613">
        <w:trPr>
          <w:trHeight w:val="300"/>
        </w:trPr>
        <w:tc>
          <w:tcPr>
            <w:tcW w:w="1954" w:type="pct"/>
            <w:tcBorders>
              <w:top w:val="nil"/>
              <w:left w:val="nil"/>
              <w:bottom w:val="single" w:sz="4" w:space="0" w:color="000000"/>
              <w:right w:val="nil"/>
            </w:tcBorders>
            <w:shd w:val="clear" w:color="auto" w:fill="FFFFFF"/>
            <w:vAlign w:val="center"/>
          </w:tcPr>
          <w:p w:rsidR="00FE434B" w:rsidRPr="00D00015" w:rsidRDefault="00FE434B" w:rsidP="00740613">
            <w:pPr>
              <w:pStyle w:val="Text"/>
              <w:spacing w:after="120" w:line="240" w:lineRule="auto"/>
            </w:pPr>
            <w:r w:rsidRPr="00D00015">
              <w:t xml:space="preserve">Fernando </w:t>
            </w:r>
            <w:proofErr w:type="spellStart"/>
            <w:r w:rsidRPr="00D00015">
              <w:t>Manzur</w:t>
            </w:r>
            <w:proofErr w:type="spellEnd"/>
            <w:r w:rsidRPr="00D00015">
              <w:t>, MD</w:t>
            </w:r>
          </w:p>
        </w:tc>
        <w:tc>
          <w:tcPr>
            <w:tcW w:w="3046" w:type="pct"/>
            <w:tcBorders>
              <w:top w:val="nil"/>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 xml:space="preserve">Centro de </w:t>
            </w:r>
            <w:proofErr w:type="spellStart"/>
            <w:r w:rsidRPr="00D00015">
              <w:t>Diagnostico</w:t>
            </w:r>
            <w:proofErr w:type="spellEnd"/>
            <w:r w:rsidRPr="00D00015">
              <w:t xml:space="preserve"> Cardio., Cartagena, Bolivar, Colombia</w:t>
            </w:r>
          </w:p>
        </w:tc>
      </w:tr>
      <w:tr w:rsidR="00FE434B" w:rsidRPr="00D00015" w:rsidTr="00740613">
        <w:trPr>
          <w:trHeight w:val="300"/>
        </w:trPr>
        <w:tc>
          <w:tcPr>
            <w:tcW w:w="1954" w:type="pct"/>
            <w:tcBorders>
              <w:top w:val="single" w:sz="4" w:space="0" w:color="000000"/>
              <w:left w:val="nil"/>
              <w:bottom w:val="single" w:sz="4" w:space="0" w:color="000000"/>
              <w:right w:val="nil"/>
            </w:tcBorders>
            <w:shd w:val="clear" w:color="auto" w:fill="FFFFFF"/>
            <w:vAlign w:val="center"/>
          </w:tcPr>
          <w:p w:rsidR="00FE434B" w:rsidRPr="00D00015" w:rsidRDefault="00FE434B" w:rsidP="00740613">
            <w:pPr>
              <w:pStyle w:val="Text"/>
              <w:spacing w:after="120" w:line="240" w:lineRule="auto"/>
            </w:pPr>
            <w:r w:rsidRPr="00D00015">
              <w:t xml:space="preserve">Juan Fernando </w:t>
            </w:r>
            <w:proofErr w:type="spellStart"/>
            <w:r w:rsidRPr="00D00015">
              <w:t>Carvajal</w:t>
            </w:r>
            <w:proofErr w:type="spellEnd"/>
            <w:r w:rsidRPr="00D00015">
              <w:t xml:space="preserve"> </w:t>
            </w:r>
            <w:proofErr w:type="spellStart"/>
            <w:r w:rsidRPr="00D00015">
              <w:t>Estupiñan</w:t>
            </w:r>
            <w:proofErr w:type="spellEnd"/>
            <w:r w:rsidRPr="00D00015">
              <w:t>,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rPr>
                <w:lang w:val="sv-SE"/>
              </w:rPr>
            </w:pPr>
            <w:r w:rsidRPr="00D00015">
              <w:rPr>
                <w:lang w:val="sv-SE"/>
              </w:rPr>
              <w:t>Centro de Heart Institute Bucaramanga, Bucaramanga, Santander, Colombia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vAlign w:val="center"/>
          </w:tcPr>
          <w:p w:rsidR="00FE434B" w:rsidRPr="00D00015" w:rsidRDefault="00FE434B" w:rsidP="00740613">
            <w:pPr>
              <w:pStyle w:val="Text"/>
              <w:spacing w:after="120" w:line="240" w:lineRule="auto"/>
            </w:pPr>
            <w:r w:rsidRPr="00D00015">
              <w:t>Franklin Quiroz,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proofErr w:type="spellStart"/>
            <w:r w:rsidRPr="00D00015">
              <w:t>Fundacion</w:t>
            </w:r>
            <w:proofErr w:type="spellEnd"/>
            <w:r w:rsidRPr="00D00015">
              <w:t xml:space="preserve"> de </w:t>
            </w:r>
            <w:proofErr w:type="spellStart"/>
            <w:r w:rsidRPr="00D00015">
              <w:t>Investigaciones</w:t>
            </w:r>
            <w:proofErr w:type="spellEnd"/>
            <w:r w:rsidRPr="00D00015">
              <w:t>, San Gil, Santander, Colombia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vAlign w:val="center"/>
          </w:tcPr>
          <w:p w:rsidR="00FE434B" w:rsidRPr="00D00015" w:rsidRDefault="00FE434B" w:rsidP="00740613">
            <w:pPr>
              <w:pStyle w:val="Text"/>
              <w:spacing w:after="120" w:line="240" w:lineRule="auto"/>
              <w:rPr>
                <w:lang w:val="sv-SE"/>
              </w:rPr>
            </w:pPr>
            <w:r w:rsidRPr="00D00015">
              <w:rPr>
                <w:lang w:val="sv-SE"/>
              </w:rPr>
              <w:t>Attallah Antonio Rizcala Muvdi,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proofErr w:type="spellStart"/>
            <w:r w:rsidRPr="00D00015">
              <w:t>Cardiodiagnostico</w:t>
            </w:r>
            <w:proofErr w:type="spellEnd"/>
            <w:r w:rsidRPr="00D00015">
              <w:t xml:space="preserve"> S.A., Barranquilla, </w:t>
            </w:r>
            <w:proofErr w:type="spellStart"/>
            <w:r w:rsidRPr="00D00015">
              <w:t>Atlantico</w:t>
            </w:r>
            <w:proofErr w:type="spellEnd"/>
            <w:r w:rsidRPr="00D00015">
              <w:t>, Colombia</w:t>
            </w:r>
          </w:p>
        </w:tc>
      </w:tr>
      <w:tr w:rsidR="00FE434B" w:rsidRPr="00D00015" w:rsidTr="00740613">
        <w:trPr>
          <w:trHeight w:val="290"/>
        </w:trPr>
        <w:tc>
          <w:tcPr>
            <w:tcW w:w="1954" w:type="pct"/>
            <w:tcBorders>
              <w:top w:val="single" w:sz="4" w:space="0" w:color="000000"/>
              <w:left w:val="nil"/>
              <w:bottom w:val="single" w:sz="4" w:space="0" w:color="000000"/>
              <w:right w:val="nil"/>
            </w:tcBorders>
            <w:shd w:val="clear" w:color="auto" w:fill="FFFFFF"/>
            <w:vAlign w:val="center"/>
          </w:tcPr>
          <w:p w:rsidR="00FE434B" w:rsidRPr="00D00015" w:rsidRDefault="00FE434B" w:rsidP="00740613">
            <w:pPr>
              <w:pStyle w:val="Text"/>
              <w:spacing w:after="120" w:line="240" w:lineRule="auto"/>
            </w:pPr>
            <w:r w:rsidRPr="00D00015">
              <w:t>Gregorio Sanchez Vallejo, MD</w:t>
            </w:r>
          </w:p>
        </w:tc>
        <w:tc>
          <w:tcPr>
            <w:tcW w:w="3046" w:type="pct"/>
            <w:tcBorders>
              <w:top w:val="single" w:sz="4" w:space="0" w:color="000000"/>
              <w:left w:val="nil"/>
              <w:bottom w:val="single" w:sz="4" w:space="0" w:color="000000"/>
              <w:right w:val="nil"/>
            </w:tcBorders>
            <w:shd w:val="clear" w:color="auto" w:fill="FFFFFF"/>
          </w:tcPr>
          <w:p w:rsidR="00FE434B" w:rsidRPr="00D00015" w:rsidRDefault="00FE434B" w:rsidP="00740613">
            <w:pPr>
              <w:pStyle w:val="Text"/>
              <w:spacing w:after="120" w:line="240" w:lineRule="auto"/>
            </w:pPr>
            <w:r w:rsidRPr="00D00015">
              <w:t>CEQUIN, Armenia, Armenia, Colombia</w:t>
            </w:r>
          </w:p>
        </w:tc>
      </w:tr>
    </w:tbl>
    <w:p w:rsidR="00FE434B" w:rsidRPr="00D00015" w:rsidRDefault="00FE434B" w:rsidP="00FE434B">
      <w:pPr>
        <w:pStyle w:val="Manuscriptheading2unnumbered"/>
      </w:pPr>
      <w:r w:rsidRPr="00D00015">
        <w:t>Safety endpoints</w:t>
      </w:r>
    </w:p>
    <w:p w:rsidR="00FE434B" w:rsidRPr="00D00015" w:rsidRDefault="00FE434B" w:rsidP="00FE434B">
      <w:pPr>
        <w:pStyle w:val="Text"/>
      </w:pPr>
      <w:r w:rsidRPr="00D00015">
        <w:t>Safety variables will include clinical adverse events (AEs), vital signs, and arrhythmias and conduction disorders detected on surface electrocardiogram (ECG) or Cardiac Monitoring System (CMS) recordings.</w:t>
      </w:r>
    </w:p>
    <w:p w:rsidR="00FE434B" w:rsidRPr="00D00015" w:rsidRDefault="00FE434B" w:rsidP="00FE434B">
      <w:pPr>
        <w:pStyle w:val="Text"/>
      </w:pPr>
      <w:r w:rsidRPr="00D00015">
        <w:t>Summarization of all AEs, treatment emergent adverse events (TEAEs), and TEAEs 24h will include patient incidence of the following:</w:t>
      </w:r>
    </w:p>
    <w:p w:rsidR="00FE434B" w:rsidRPr="00D00015" w:rsidRDefault="00FE434B" w:rsidP="00FE434B">
      <w:pPr>
        <w:pStyle w:val="ListBullet"/>
      </w:pPr>
      <w:r w:rsidRPr="00D00015">
        <w:t>Any AE</w:t>
      </w:r>
    </w:p>
    <w:p w:rsidR="00FE434B" w:rsidRPr="00D00015" w:rsidRDefault="00FE434B" w:rsidP="00FE434B">
      <w:pPr>
        <w:pStyle w:val="ListBullet"/>
      </w:pPr>
      <w:r w:rsidRPr="00D00015">
        <w:t>TEAEs: defined as AEs with the first onset or worsening of an existing AE occurring after administration of study drug, AEs considered related to the study drug, and AEs with a start date / time up to 12 hours prior to study drug administration</w:t>
      </w:r>
    </w:p>
    <w:p w:rsidR="00FE434B" w:rsidRPr="00D00015" w:rsidRDefault="00FE434B" w:rsidP="00FE434B">
      <w:pPr>
        <w:pStyle w:val="ListBullet"/>
      </w:pPr>
      <w:r w:rsidRPr="00D00015">
        <w:lastRenderedPageBreak/>
        <w:t>TEAEs 24h: defined as AEs with a start date or date of worsening occurring 0 to 24 hours study drug administration, and AEs with a start date / time up to 12 hours prior to study drug administration</w:t>
      </w:r>
    </w:p>
    <w:p w:rsidR="00FE434B" w:rsidRPr="00D00015" w:rsidRDefault="00FE434B" w:rsidP="00FE434B">
      <w:pPr>
        <w:pStyle w:val="ListBullet"/>
      </w:pPr>
      <w:r w:rsidRPr="00D00015">
        <w:t>AEs by maximum severity</w:t>
      </w:r>
    </w:p>
    <w:p w:rsidR="00FE434B" w:rsidRPr="00D00015" w:rsidRDefault="00FE434B" w:rsidP="00FE434B">
      <w:pPr>
        <w:pStyle w:val="ListBullet"/>
      </w:pPr>
      <w:r w:rsidRPr="00D00015">
        <w:t>Drug-related AEs</w:t>
      </w:r>
    </w:p>
    <w:p w:rsidR="00FE434B" w:rsidRPr="00D00015" w:rsidRDefault="00FE434B" w:rsidP="00FE434B">
      <w:pPr>
        <w:pStyle w:val="ListBullet"/>
      </w:pPr>
      <w:r w:rsidRPr="00D00015">
        <w:t>Drug-related AEs by maximum severity</w:t>
      </w:r>
    </w:p>
    <w:p w:rsidR="00FE434B" w:rsidRPr="00D00015" w:rsidRDefault="00FE434B" w:rsidP="00FE434B">
      <w:pPr>
        <w:pStyle w:val="ListBullet"/>
      </w:pPr>
      <w:r w:rsidRPr="00D00015">
        <w:t>Serious adverse events (SAEs)</w:t>
      </w:r>
    </w:p>
    <w:p w:rsidR="00FE434B" w:rsidRPr="00D00015" w:rsidRDefault="00FE434B" w:rsidP="00FE434B">
      <w:pPr>
        <w:pStyle w:val="ListBullet"/>
      </w:pPr>
      <w:r w:rsidRPr="00D00015">
        <w:t>Drug-related SAEs</w:t>
      </w:r>
    </w:p>
    <w:p w:rsidR="00FE434B" w:rsidRPr="00D00015" w:rsidRDefault="00FE434B" w:rsidP="00FE434B">
      <w:pPr>
        <w:pStyle w:val="ListBullet"/>
      </w:pPr>
      <w:r w:rsidRPr="00D00015">
        <w:t>AEs leading to death</w:t>
      </w:r>
    </w:p>
    <w:p w:rsidR="00FE434B" w:rsidRPr="00D00015" w:rsidRDefault="00FE434B" w:rsidP="00FE434B">
      <w:pPr>
        <w:pStyle w:val="ListBullet"/>
      </w:pPr>
      <w:r w:rsidRPr="00D00015">
        <w:t>AEs leading to study drug discontinuation</w:t>
      </w:r>
    </w:p>
    <w:p w:rsidR="00FE434B" w:rsidRPr="00D00015" w:rsidRDefault="00FE434B" w:rsidP="00FE434B">
      <w:pPr>
        <w:pStyle w:val="ListBullet"/>
      </w:pPr>
      <w:r w:rsidRPr="00D00015">
        <w:t>Drug-related AEs leading to study drug discontinuation</w:t>
      </w:r>
    </w:p>
    <w:p w:rsidR="00FE434B" w:rsidRPr="00D00015" w:rsidRDefault="00FE434B" w:rsidP="00FE434B">
      <w:pPr>
        <w:pStyle w:val="ListBullet"/>
      </w:pPr>
      <w:r w:rsidRPr="00D00015">
        <w:t>AEs with a start date occurring 0 to 48 hours after drug administration (for all AEs only)</w:t>
      </w:r>
    </w:p>
    <w:p w:rsidR="00FE434B" w:rsidRPr="00D00015" w:rsidRDefault="00FE434B" w:rsidP="00FE434B">
      <w:pPr>
        <w:pStyle w:val="ListBullet"/>
      </w:pPr>
      <w:r w:rsidRPr="00D00015">
        <w:t>AEs with a start date occurring 0 to 7 days after drug administration (for All AEs only)</w:t>
      </w:r>
    </w:p>
    <w:p w:rsidR="00FE434B" w:rsidRPr="00D00015" w:rsidRDefault="00FE434B" w:rsidP="00FE434B">
      <w:pPr>
        <w:pStyle w:val="ListBullet"/>
      </w:pPr>
      <w:r w:rsidRPr="00D00015">
        <w:t xml:space="preserve">AEs of special interest (AESI) in the 24 hours after </w:t>
      </w:r>
      <w:proofErr w:type="spellStart"/>
      <w:r w:rsidRPr="00D00015">
        <w:t>etripamil</w:t>
      </w:r>
      <w:proofErr w:type="spellEnd"/>
      <w:r w:rsidRPr="00D00015">
        <w:t xml:space="preserve"> administration</w:t>
      </w:r>
    </w:p>
    <w:p w:rsidR="00FE434B" w:rsidRPr="00D00015" w:rsidRDefault="00FE434B" w:rsidP="00FE434B">
      <w:pPr>
        <w:pStyle w:val="ListBullet2"/>
      </w:pPr>
      <w:proofErr w:type="spellStart"/>
      <w:r w:rsidRPr="00D00015">
        <w:t>Tachyarrhythmias</w:t>
      </w:r>
      <w:proofErr w:type="spellEnd"/>
    </w:p>
    <w:p w:rsidR="00FE434B" w:rsidRPr="00D00015" w:rsidRDefault="00FE434B" w:rsidP="00FE434B">
      <w:pPr>
        <w:pStyle w:val="ListBullet2"/>
      </w:pPr>
      <w:proofErr w:type="spellStart"/>
      <w:r w:rsidRPr="00D00015">
        <w:t>Bradyarrhythmias</w:t>
      </w:r>
      <w:proofErr w:type="spellEnd"/>
    </w:p>
    <w:p w:rsidR="00FE434B" w:rsidRPr="00D00015" w:rsidRDefault="00FE434B" w:rsidP="00FE434B">
      <w:pPr>
        <w:pStyle w:val="ListBullet2"/>
      </w:pPr>
      <w:r w:rsidRPr="00D00015">
        <w:t>AV Block – any degree</w:t>
      </w:r>
    </w:p>
    <w:p w:rsidR="00FE434B" w:rsidRPr="00D00015" w:rsidRDefault="00FE434B" w:rsidP="00FE434B">
      <w:pPr>
        <w:pStyle w:val="ListBullet2"/>
      </w:pPr>
      <w:r w:rsidRPr="00D00015">
        <w:t>Hypotension and/or syncope</w:t>
      </w:r>
    </w:p>
    <w:p w:rsidR="00FE434B" w:rsidRPr="00D00015" w:rsidRDefault="00FE434B" w:rsidP="00FE434B">
      <w:pPr>
        <w:pStyle w:val="ListBullet"/>
      </w:pPr>
      <w:r w:rsidRPr="00D00015">
        <w:t>AEs in subgroups of interest</w:t>
      </w:r>
    </w:p>
    <w:p w:rsidR="00FE434B" w:rsidRPr="00D00015" w:rsidRDefault="00FE434B" w:rsidP="00FE434B">
      <w:pPr>
        <w:pStyle w:val="Text"/>
      </w:pPr>
    </w:p>
    <w:p w:rsidR="00FE434B" w:rsidRPr="00D00015" w:rsidRDefault="00FE434B" w:rsidP="00FE434B">
      <w:pPr>
        <w:pStyle w:val="Text"/>
      </w:pPr>
      <w:r w:rsidRPr="00D00015">
        <w:rPr>
          <w:lang w:val="en-CA"/>
        </w:rPr>
        <w:t>Investigators rated the severity (intensity) of each AE as mild, moderate, or severe, and categorized each AE as to its potential relationship to study drug using the categories of not related, unlikely related, possibly related, probably related, or definitely related. AEs listed as possibly, probably, or definitively related were classified as related to the study drug; AEs listed as not related or unlikely related were classified as not related.</w:t>
      </w:r>
    </w:p>
    <w:p w:rsidR="00FE434B" w:rsidRPr="00D00015" w:rsidRDefault="00FE434B" w:rsidP="00FE434B">
      <w:pPr>
        <w:pStyle w:val="Manuscriptheading2unnumbered"/>
      </w:pPr>
      <w:r w:rsidRPr="00D00015">
        <w:t>Efficacy endpoints</w:t>
      </w:r>
    </w:p>
    <w:p w:rsidR="00FE434B" w:rsidRPr="00D00015" w:rsidRDefault="00FE434B" w:rsidP="00FE434B">
      <w:pPr>
        <w:pStyle w:val="Text"/>
      </w:pPr>
      <w:r w:rsidRPr="00D00015">
        <w:t>Efficacy variables will be collected as secondary or exploratory analyses.</w:t>
      </w:r>
    </w:p>
    <w:p w:rsidR="00FE434B" w:rsidRPr="00D00015" w:rsidRDefault="00FE434B" w:rsidP="00FE434B">
      <w:pPr>
        <w:pStyle w:val="Text"/>
        <w:spacing w:after="0" w:line="360" w:lineRule="auto"/>
      </w:pPr>
      <w:r w:rsidRPr="00D00015">
        <w:t>The secondary efficacy endpoints are:</w:t>
      </w:r>
    </w:p>
    <w:p w:rsidR="00FE434B" w:rsidRPr="00D00015" w:rsidRDefault="00FE434B" w:rsidP="00FE434B">
      <w:pPr>
        <w:pStyle w:val="ListBullet"/>
      </w:pPr>
      <w:r w:rsidRPr="00D00015">
        <w:t>Number of emergency department visits, or other medical intervention</w:t>
      </w:r>
    </w:p>
    <w:p w:rsidR="00FE434B" w:rsidRPr="00D00015" w:rsidRDefault="00FE434B" w:rsidP="00FE434B">
      <w:pPr>
        <w:pStyle w:val="ListBullet"/>
      </w:pPr>
      <w:r w:rsidRPr="00D00015">
        <w:t>Number of hospital admissions (including inpatient and outpatient hospitalizations)</w:t>
      </w:r>
    </w:p>
    <w:p w:rsidR="00FE434B" w:rsidRPr="00D00015" w:rsidRDefault="00FE434B" w:rsidP="00FE434B">
      <w:pPr>
        <w:pStyle w:val="ListBullet"/>
      </w:pPr>
      <w:r w:rsidRPr="00D00015">
        <w:t>Characteristics of patients who receive ablation</w:t>
      </w:r>
    </w:p>
    <w:p w:rsidR="00FE434B" w:rsidRPr="00D00015" w:rsidRDefault="00FE434B" w:rsidP="00FE434B">
      <w:pPr>
        <w:pStyle w:val="ListBullet"/>
      </w:pPr>
      <w:r w:rsidRPr="00D00015">
        <w:t>Concomitant PSVT medication usage</w:t>
      </w:r>
    </w:p>
    <w:p w:rsidR="00FE434B" w:rsidRPr="00D00015" w:rsidRDefault="00FE434B" w:rsidP="00FE434B">
      <w:pPr>
        <w:pStyle w:val="ListBullet"/>
      </w:pPr>
      <w:r w:rsidRPr="00D00015">
        <w:lastRenderedPageBreak/>
        <w:t>Improvement in patient quality of life, as measured by the patient-reported outcome scales (Brief Illness Perception Questionnaire, Cardiac Anxiety Questionnaire, Short Form (36) Health Survey), and the patient Baseline/monthly PSVT survey</w:t>
      </w:r>
    </w:p>
    <w:p w:rsidR="00FE434B" w:rsidRPr="00D00015" w:rsidRDefault="00FE434B" w:rsidP="00FE434B">
      <w:pPr>
        <w:pStyle w:val="ListBullet"/>
      </w:pPr>
      <w:r w:rsidRPr="00D00015">
        <w:t xml:space="preserve">Patient satisfaction with treatment, as measured by the Treatment Satisfaction Questionnaire for Medication </w:t>
      </w:r>
    </w:p>
    <w:p w:rsidR="00FE434B" w:rsidRPr="00D00015" w:rsidRDefault="00FE434B" w:rsidP="00FE434B">
      <w:pPr>
        <w:pStyle w:val="ListBullet"/>
      </w:pPr>
      <w:r w:rsidRPr="00D00015">
        <w:t xml:space="preserve">Mean and median time to conversion post </w:t>
      </w:r>
      <w:proofErr w:type="spellStart"/>
      <w:r w:rsidRPr="00D00015">
        <w:t>etripamil</w:t>
      </w:r>
      <w:proofErr w:type="spellEnd"/>
      <w:r w:rsidRPr="00D00015">
        <w:t xml:space="preserve"> NS administration</w:t>
      </w:r>
    </w:p>
    <w:p w:rsidR="00FE434B" w:rsidRPr="00D00015" w:rsidRDefault="00FE434B" w:rsidP="00FE434B">
      <w:pPr>
        <w:pStyle w:val="ListBullet"/>
      </w:pPr>
      <w:r w:rsidRPr="00D00015">
        <w:t xml:space="preserve">Proportion of patients who convert at 3, 5, 10, 15, 20, 30, and 60 minutes after </w:t>
      </w:r>
      <w:proofErr w:type="spellStart"/>
      <w:r w:rsidRPr="00D00015">
        <w:t>etripamil</w:t>
      </w:r>
      <w:proofErr w:type="spellEnd"/>
      <w:r w:rsidRPr="00D00015">
        <w:t xml:space="preserve"> administration</w:t>
      </w:r>
    </w:p>
    <w:p w:rsidR="00FE434B" w:rsidRPr="00D00015" w:rsidRDefault="00FE434B" w:rsidP="00FE434B">
      <w:pPr>
        <w:pStyle w:val="Text"/>
      </w:pPr>
    </w:p>
    <w:p w:rsidR="00FE434B" w:rsidRPr="00D00015" w:rsidRDefault="00FE434B" w:rsidP="00FE434B">
      <w:pPr>
        <w:pStyle w:val="Text"/>
        <w:spacing w:after="0" w:line="360" w:lineRule="auto"/>
      </w:pPr>
      <w:r w:rsidRPr="00D00015">
        <w:t>Exploratory endpoints are:</w:t>
      </w:r>
    </w:p>
    <w:p w:rsidR="00FE434B" w:rsidRPr="00D00015" w:rsidRDefault="00FE434B" w:rsidP="00FE434B">
      <w:pPr>
        <w:pStyle w:val="ListBullet"/>
      </w:pPr>
      <w:r w:rsidRPr="00D00015">
        <w:t xml:space="preserve">Frequency of PSVT episodes, and use of </w:t>
      </w:r>
      <w:proofErr w:type="spellStart"/>
      <w:r w:rsidRPr="00D00015">
        <w:t>etripamil</w:t>
      </w:r>
      <w:proofErr w:type="spellEnd"/>
      <w:r w:rsidRPr="00D00015">
        <w:t xml:space="preserve"> for those episodes, as captured by the Monthly PSVT and Per Episode Surveys</w:t>
      </w:r>
    </w:p>
    <w:p w:rsidR="00FE434B" w:rsidRPr="00D00015" w:rsidRDefault="00FE434B" w:rsidP="00FE434B">
      <w:pPr>
        <w:pStyle w:val="ListBullet"/>
      </w:pPr>
      <w:r w:rsidRPr="00D00015">
        <w:t>Number of PSVT episodes a patient experiences</w:t>
      </w:r>
    </w:p>
    <w:p w:rsidR="00FE434B" w:rsidRPr="00D00015" w:rsidRDefault="00FE434B" w:rsidP="00FE434B">
      <w:pPr>
        <w:pStyle w:val="ListBullet"/>
      </w:pPr>
      <w:r w:rsidRPr="00D00015">
        <w:t>Frequency of PSVT episodes</w:t>
      </w:r>
    </w:p>
    <w:p w:rsidR="00FE434B" w:rsidRPr="00D00015" w:rsidRDefault="00FE434B" w:rsidP="00FE434B">
      <w:pPr>
        <w:pStyle w:val="ListBullet"/>
      </w:pPr>
      <w:r w:rsidRPr="00D00015">
        <w:t>Number of PSVT episodes terminated by vagal maneuvers</w:t>
      </w:r>
    </w:p>
    <w:p w:rsidR="00FE434B" w:rsidRPr="00D00015" w:rsidRDefault="00FE434B" w:rsidP="00FE434B">
      <w:pPr>
        <w:pStyle w:val="ListBullet"/>
      </w:pPr>
      <w:r w:rsidRPr="00D00015">
        <w:rPr>
          <w:lang w:val="en-CA"/>
        </w:rPr>
        <w:t xml:space="preserve">Patient-reported PSVT episode characteristics as captured by the Per Episode Survey </w:t>
      </w:r>
    </w:p>
    <w:p w:rsidR="00FE434B" w:rsidRPr="00D00015" w:rsidRDefault="00FE434B" w:rsidP="00FE434B">
      <w:pPr>
        <w:spacing w:line="240" w:lineRule="auto"/>
      </w:pPr>
      <w:r w:rsidRPr="00D00015">
        <w:rPr>
          <w:lang w:val="en-CA"/>
        </w:rPr>
        <w:br w:type="page"/>
      </w:r>
    </w:p>
    <w:p w:rsidR="00FE434B" w:rsidRPr="00D00015" w:rsidRDefault="00FE434B" w:rsidP="00FE434B">
      <w:pPr>
        <w:pStyle w:val="Manuscriptheading2unnumbered"/>
      </w:pPr>
      <w:r w:rsidRPr="00D00015">
        <w:lastRenderedPageBreak/>
        <w:t>Inclusion criteria</w:t>
      </w:r>
    </w:p>
    <w:p w:rsidR="00FE434B" w:rsidRPr="00D00015" w:rsidRDefault="00FE434B" w:rsidP="00FE434B">
      <w:pPr>
        <w:pStyle w:val="Text"/>
      </w:pPr>
      <w:r w:rsidRPr="00D00015">
        <w:t>A patient will be eligible for study participation if they meet all of the following criteria:</w:t>
      </w:r>
    </w:p>
    <w:p w:rsidR="00FE434B" w:rsidRPr="00D00015" w:rsidRDefault="00FE434B" w:rsidP="00FE434B">
      <w:pPr>
        <w:pStyle w:val="ListBullet"/>
      </w:pPr>
      <w:r w:rsidRPr="00D00015">
        <w:t>Diagnosis of PSVT by a medical professional and reports having at least one previous episode of PSVT</w:t>
      </w:r>
    </w:p>
    <w:p w:rsidR="00FE434B" w:rsidRPr="00D00015" w:rsidRDefault="00FE434B" w:rsidP="00FE434B">
      <w:pPr>
        <w:pStyle w:val="ListBullet2"/>
      </w:pPr>
      <w:r w:rsidRPr="00D00015">
        <w:t>For clarity, PSVT refers to episodic SVT that includes the AV node as a critical part of reentrant circuit</w:t>
      </w:r>
    </w:p>
    <w:p w:rsidR="00FE434B" w:rsidRPr="00D00015" w:rsidRDefault="00FE434B" w:rsidP="00FE434B">
      <w:pPr>
        <w:pStyle w:val="ListBullet"/>
      </w:pPr>
      <w:r w:rsidRPr="00D00015">
        <w:t>Is at least 18 years of age</w:t>
      </w:r>
    </w:p>
    <w:p w:rsidR="00FE434B" w:rsidRPr="00D00015" w:rsidRDefault="00FE434B" w:rsidP="00FE434B">
      <w:pPr>
        <w:pStyle w:val="ListBullet"/>
      </w:pPr>
      <w:r w:rsidRPr="00D00015">
        <w:t>Signed NODE-303 written informed consent</w:t>
      </w:r>
    </w:p>
    <w:p w:rsidR="00FE434B" w:rsidRPr="00D00015" w:rsidRDefault="00FE434B" w:rsidP="00FE434B">
      <w:pPr>
        <w:pStyle w:val="ListBullet"/>
      </w:pPr>
      <w:r w:rsidRPr="00D00015">
        <w:t>Women of child-bearing potential must be willing to use at least 1 form of contraception during the trial and must be willing to discontinue from the study should they become or plan to become pregnant. Postmenopausal females are defined as having amenorrhea for at least 12 months prior to screening without an alternative medical cause</w:t>
      </w:r>
    </w:p>
    <w:p w:rsidR="00FE434B" w:rsidRPr="00D00015" w:rsidRDefault="00FE434B" w:rsidP="00FE434B">
      <w:pPr>
        <w:pStyle w:val="ListBullet"/>
      </w:pPr>
      <w:r w:rsidRPr="00D00015">
        <w:t>Willing and able to comply with study procedures</w:t>
      </w:r>
    </w:p>
    <w:p w:rsidR="00FE434B" w:rsidRPr="00D00015" w:rsidRDefault="00FE434B" w:rsidP="00FE434B">
      <w:pPr>
        <w:pStyle w:val="Manuscriptheading2unnumbered"/>
      </w:pPr>
      <w:r w:rsidRPr="00D00015">
        <w:t>Exclusion criteria</w:t>
      </w:r>
    </w:p>
    <w:p w:rsidR="00FE434B" w:rsidRPr="00D00015" w:rsidRDefault="00FE434B" w:rsidP="00FE434B">
      <w:pPr>
        <w:pStyle w:val="Text"/>
      </w:pPr>
      <w:r w:rsidRPr="00D00015">
        <w:t>A patient will be excluded from the study if they meet any of the following criteria:</w:t>
      </w:r>
    </w:p>
    <w:p w:rsidR="00FE434B" w:rsidRPr="00D00015" w:rsidRDefault="00FE434B" w:rsidP="00FE434B">
      <w:pPr>
        <w:pStyle w:val="ListBullet"/>
      </w:pPr>
      <w:r w:rsidRPr="00D00015">
        <w:t>A history of atrial arrhythmia that does not involve the AV node as part of the tachycardia circuit (e.g., atrial fibrillation, atrial flutter, intra-atrial tachycardia)</w:t>
      </w:r>
    </w:p>
    <w:p w:rsidR="00FE434B" w:rsidRPr="00D00015" w:rsidRDefault="00FE434B" w:rsidP="00FE434B">
      <w:pPr>
        <w:pStyle w:val="ListBullet"/>
      </w:pPr>
      <w:r w:rsidRPr="00D00015">
        <w:t xml:space="preserve">Patients with a history of these </w:t>
      </w:r>
      <w:proofErr w:type="spellStart"/>
      <w:r w:rsidRPr="00D00015">
        <w:t>tachycardias</w:t>
      </w:r>
      <w:proofErr w:type="spellEnd"/>
      <w:r w:rsidRPr="00D00015">
        <w:t xml:space="preserve"> who are also diagnosed with PSVT are eligible</w:t>
      </w:r>
    </w:p>
    <w:p w:rsidR="00FE434B" w:rsidRPr="00D00015" w:rsidRDefault="00FE434B" w:rsidP="00FE434B">
      <w:pPr>
        <w:pStyle w:val="ListBullet"/>
      </w:pPr>
      <w:r w:rsidRPr="00D00015">
        <w:t>History of allergic reaction to verapamil</w:t>
      </w:r>
    </w:p>
    <w:p w:rsidR="00FE434B" w:rsidRPr="00D00015" w:rsidRDefault="00FE434B" w:rsidP="00FE434B">
      <w:pPr>
        <w:pStyle w:val="ListBullet"/>
      </w:pPr>
      <w:r w:rsidRPr="00D00015">
        <w:t>Current therapy with digoxin, or any Class I or III antiarrhythmic drug</w:t>
      </w:r>
    </w:p>
    <w:p w:rsidR="00FE434B" w:rsidRPr="00D00015" w:rsidRDefault="00FE434B" w:rsidP="00FE434B">
      <w:pPr>
        <w:pStyle w:val="ListBullet"/>
      </w:pPr>
      <w:r w:rsidRPr="00D00015">
        <w:t xml:space="preserve">Patients may be eligible if these drugs are stopped at least five half-lives before the administration of </w:t>
      </w:r>
      <w:proofErr w:type="spellStart"/>
      <w:r w:rsidRPr="00D00015">
        <w:t>etripamil</w:t>
      </w:r>
      <w:proofErr w:type="spellEnd"/>
      <w:r w:rsidRPr="00D00015">
        <w:t xml:space="preserve">. The only exception is oral </w:t>
      </w:r>
      <w:proofErr w:type="spellStart"/>
      <w:r w:rsidRPr="00D00015">
        <w:t>amiodarone</w:t>
      </w:r>
      <w:proofErr w:type="spellEnd"/>
      <w:r w:rsidRPr="00D00015">
        <w:t>, which must be stopped 30 days before enrollment</w:t>
      </w:r>
    </w:p>
    <w:p w:rsidR="00FE434B" w:rsidRPr="00D00015" w:rsidRDefault="00FE434B" w:rsidP="00FE434B">
      <w:pPr>
        <w:pStyle w:val="ListBullet"/>
      </w:pPr>
      <w:r w:rsidRPr="00D00015">
        <w:t>History or evidence of ventricular pre-excitation, e.g., delta waves, Wolff-Parkinson-White syndrome.</w:t>
      </w:r>
    </w:p>
    <w:p w:rsidR="00FE434B" w:rsidRPr="00D00015" w:rsidRDefault="00FE434B" w:rsidP="00FE434B">
      <w:pPr>
        <w:pStyle w:val="ListBullet"/>
      </w:pPr>
      <w:r w:rsidRPr="00D00015">
        <w:t>History or evidence of a second- or third-degree AV block.</w:t>
      </w:r>
    </w:p>
    <w:p w:rsidR="00FE434B" w:rsidRPr="00D00015" w:rsidRDefault="00FE434B" w:rsidP="00FE434B">
      <w:pPr>
        <w:pStyle w:val="ListBullet"/>
      </w:pPr>
      <w:r w:rsidRPr="00D00015">
        <w:t xml:space="preserve">History or evidence of severe ventricular arrhythmia (e.g., </w:t>
      </w:r>
      <w:proofErr w:type="spellStart"/>
      <w:r w:rsidRPr="00D00015">
        <w:t>torsades</w:t>
      </w:r>
      <w:proofErr w:type="spellEnd"/>
      <w:r w:rsidRPr="00D00015">
        <w:t xml:space="preserve"> de pointes, ventricular fibrillation, or sustained ventricular tachycardia)</w:t>
      </w:r>
    </w:p>
    <w:p w:rsidR="00FE434B" w:rsidRPr="00D00015" w:rsidRDefault="00FE434B" w:rsidP="00FE434B">
      <w:pPr>
        <w:numPr>
          <w:ilvl w:val="0"/>
          <w:numId w:val="2"/>
        </w:numPr>
      </w:pPr>
      <w:r w:rsidRPr="00D00015">
        <w:t>Symptoms of congestive heart failure New York Heart Association Class II to IV</w:t>
      </w:r>
    </w:p>
    <w:p w:rsidR="00FE434B" w:rsidRPr="00D00015" w:rsidRDefault="00FE434B" w:rsidP="00FE434B">
      <w:pPr>
        <w:pStyle w:val="ListBullet"/>
      </w:pPr>
      <w:r w:rsidRPr="00D00015">
        <w:t>SBP &lt; 90 mmHg at screening, baseline, or any follow-up visit.</w:t>
      </w:r>
    </w:p>
    <w:p w:rsidR="00FE434B" w:rsidRPr="00D00015" w:rsidRDefault="00FE434B" w:rsidP="00FE434B">
      <w:pPr>
        <w:pStyle w:val="ListBullet"/>
      </w:pPr>
      <w:r w:rsidRPr="00D00015">
        <w:t>Severe symptoms of hypotension experienced during PSVT episodes</w:t>
      </w:r>
    </w:p>
    <w:p w:rsidR="00FE434B" w:rsidRPr="00D00015" w:rsidRDefault="00FE434B" w:rsidP="00FE434B">
      <w:pPr>
        <w:pStyle w:val="ListBullet"/>
      </w:pPr>
      <w:r w:rsidRPr="00D00015">
        <w:lastRenderedPageBreak/>
        <w:t>Significant physical or psychiatric condition including alcoholism or drug abuse, which, in the opinion of the Investigator, could jeopardize the safety of the patient, or impede the patient’s capacity to follow the study procedures.</w:t>
      </w:r>
    </w:p>
    <w:p w:rsidR="00FE434B" w:rsidRPr="00D00015" w:rsidRDefault="00FE434B" w:rsidP="00FE434B">
      <w:pPr>
        <w:pStyle w:val="ListBullet"/>
      </w:pPr>
      <w:r w:rsidRPr="00D00015">
        <w:t>History of syncope due to an arrhythmic etiology at any time, or history in last 5 years of unexplained syncope</w:t>
      </w:r>
    </w:p>
    <w:p w:rsidR="00FE434B" w:rsidRPr="00D00015" w:rsidRDefault="00FE434B" w:rsidP="00FE434B">
      <w:pPr>
        <w:pStyle w:val="ListBullet"/>
      </w:pPr>
      <w:r w:rsidRPr="00D00015">
        <w:t>Is pregnant or breastfeeding</w:t>
      </w:r>
    </w:p>
    <w:p w:rsidR="00FE434B" w:rsidRPr="00D00015" w:rsidRDefault="00FE434B" w:rsidP="00FE434B">
      <w:pPr>
        <w:pStyle w:val="ListBullet"/>
      </w:pPr>
      <w:r w:rsidRPr="00D00015">
        <w:t xml:space="preserve">Previously enrolled in a clinical trial for </w:t>
      </w:r>
      <w:proofErr w:type="spellStart"/>
      <w:r w:rsidRPr="00D00015">
        <w:t>etripamil</w:t>
      </w:r>
      <w:proofErr w:type="spellEnd"/>
      <w:r w:rsidRPr="00D00015">
        <w:t xml:space="preserve"> and received study drug or participation in any clinical trial for other investigational products or medical devices within 30 days of screening</w:t>
      </w:r>
    </w:p>
    <w:p w:rsidR="00FE434B" w:rsidRPr="00D00015" w:rsidRDefault="00FE434B" w:rsidP="00FE434B">
      <w:pPr>
        <w:pStyle w:val="ListBullet"/>
      </w:pPr>
      <w:r w:rsidRPr="00D00015">
        <w:t>History of ACS or stroke within 6 months of screening</w:t>
      </w:r>
    </w:p>
    <w:p w:rsidR="00FE434B" w:rsidRPr="00D00015" w:rsidRDefault="00FE434B" w:rsidP="00FE434B">
      <w:pPr>
        <w:pStyle w:val="ListBullet"/>
        <w:ind w:left="357" w:hanging="357"/>
      </w:pPr>
      <w:r w:rsidRPr="00D00015">
        <w:t>Evidence of renal dysfunction as determined by an estimated glomerular filtration rate assessed at the screening visit as follows:</w:t>
      </w:r>
    </w:p>
    <w:p w:rsidR="00FE434B" w:rsidRPr="00D00015" w:rsidRDefault="00FE434B" w:rsidP="00FE434B">
      <w:pPr>
        <w:pStyle w:val="ListBullet"/>
      </w:pPr>
      <w:r w:rsidRPr="00D00015">
        <w:t>&lt; 60mL/min/1.73m</w:t>
      </w:r>
      <w:r w:rsidRPr="00D00015">
        <w:rPr>
          <w:vertAlign w:val="superscript"/>
        </w:rPr>
        <w:t>2</w:t>
      </w:r>
      <w:r w:rsidRPr="00D00015">
        <w:t xml:space="preserve"> for patients &lt;60 years of age</w:t>
      </w:r>
    </w:p>
    <w:p w:rsidR="00FE434B" w:rsidRPr="00D00015" w:rsidRDefault="00FE434B" w:rsidP="00FE434B">
      <w:pPr>
        <w:pStyle w:val="ListBullet"/>
      </w:pPr>
      <w:r w:rsidRPr="00D00015">
        <w:t>&lt; 40mL/min/1.73m</w:t>
      </w:r>
      <w:r w:rsidRPr="00D00015">
        <w:rPr>
          <w:vertAlign w:val="superscript"/>
        </w:rPr>
        <w:t>2</w:t>
      </w:r>
      <w:r w:rsidRPr="00D00015">
        <w:t xml:space="preserve"> for patients ≥60 and &lt;70 years of age</w:t>
      </w:r>
    </w:p>
    <w:p w:rsidR="00FE434B" w:rsidRPr="00D00015" w:rsidRDefault="00FE434B" w:rsidP="00FE434B">
      <w:pPr>
        <w:pStyle w:val="ListBullet"/>
      </w:pPr>
      <w:r w:rsidRPr="00D00015">
        <w:t>&lt; 35mL/min/1.73m</w:t>
      </w:r>
      <w:r w:rsidRPr="00D00015">
        <w:rPr>
          <w:vertAlign w:val="superscript"/>
        </w:rPr>
        <w:t>2</w:t>
      </w:r>
      <w:r w:rsidRPr="00D00015">
        <w:t xml:space="preserve"> for patients ≥70 years of age</w:t>
      </w:r>
    </w:p>
    <w:p w:rsidR="00FE434B" w:rsidRPr="00D00015" w:rsidRDefault="00FE434B" w:rsidP="00FE434B">
      <w:pPr>
        <w:pStyle w:val="Manuscriptheading2unnumbered"/>
      </w:pPr>
      <w:r w:rsidRPr="00D00015">
        <w:t>Central review mandate and scope</w:t>
      </w:r>
    </w:p>
    <w:p w:rsidR="00FE434B" w:rsidRPr="00D00015" w:rsidRDefault="00FE434B" w:rsidP="00FE434B">
      <w:pPr>
        <w:pStyle w:val="Text"/>
        <w:spacing w:line="360" w:lineRule="auto"/>
      </w:pPr>
      <w:r w:rsidRPr="00D00015">
        <w:t xml:space="preserve">The central review will be conducted by the study medical monitor who will review ECG CMS recordings and capture findings for 1 hour following a perceived PSVT episode treated with </w:t>
      </w:r>
      <w:proofErr w:type="spellStart"/>
      <w:r w:rsidRPr="00D00015">
        <w:t>etripamil</w:t>
      </w:r>
      <w:proofErr w:type="spellEnd"/>
      <w:r w:rsidRPr="00D00015">
        <w:t xml:space="preserve">. Review will be performed on the CMS PDF reports and ECG CMS tracings are also be reviewed in an </w:t>
      </w:r>
      <w:proofErr w:type="spellStart"/>
      <w:r w:rsidRPr="00D00015">
        <w:t>aliquout</w:t>
      </w:r>
      <w:proofErr w:type="spellEnd"/>
      <w:r w:rsidRPr="00D00015">
        <w:t xml:space="preserve"> of 20% for consistency. ECG CMS tracings are reviewed by the medical monitor in all cases which present with 1st degree AV block to confirm presence and duration (PR measurement) and in any situation in which ECG abnormalities may make it necessary per the medical reviewer. For 1st degree AV block, screening ECGs will also be consulted to determine preexistence.</w:t>
      </w:r>
    </w:p>
    <w:p w:rsidR="00FE434B" w:rsidRPr="00D00015" w:rsidRDefault="00FE434B" w:rsidP="00FE434B">
      <w:pPr>
        <w:pStyle w:val="Text"/>
        <w:spacing w:line="360" w:lineRule="auto"/>
      </w:pPr>
      <w:r w:rsidRPr="00D00015">
        <w:t>In the event a CMS report cannot be unequivocally reviewed, the reason will be captured among the following options and all other fields will be left blank:</w:t>
      </w:r>
    </w:p>
    <w:p w:rsidR="00FE434B" w:rsidRPr="00D00015" w:rsidRDefault="00FE434B" w:rsidP="00FE434B">
      <w:pPr>
        <w:pStyle w:val="Text"/>
        <w:spacing w:line="360" w:lineRule="auto"/>
      </w:pPr>
      <w:r w:rsidRPr="00D00015">
        <w:t>1. ECG CMS data not collected</w:t>
      </w:r>
    </w:p>
    <w:p w:rsidR="00FE434B" w:rsidRPr="00D00015" w:rsidRDefault="00FE434B" w:rsidP="00FE434B">
      <w:pPr>
        <w:pStyle w:val="Text"/>
        <w:spacing w:line="360" w:lineRule="auto"/>
      </w:pPr>
      <w:r w:rsidRPr="00D00015">
        <w:t>2. Empty file</w:t>
      </w:r>
    </w:p>
    <w:p w:rsidR="00FE434B" w:rsidRPr="00D00015" w:rsidRDefault="00FE434B" w:rsidP="00FE434B">
      <w:pPr>
        <w:pStyle w:val="Text"/>
        <w:spacing w:line="360" w:lineRule="auto"/>
      </w:pPr>
      <w:r w:rsidRPr="00D00015">
        <w:t xml:space="preserve">3. </w:t>
      </w:r>
      <w:proofErr w:type="spellStart"/>
      <w:r w:rsidRPr="00D00015">
        <w:t>Uninterpretable</w:t>
      </w:r>
      <w:proofErr w:type="spellEnd"/>
      <w:r w:rsidRPr="00D00015">
        <w:t xml:space="preserve"> data (e.g., mostly artifacts or too short for interpretation)</w:t>
      </w:r>
    </w:p>
    <w:p w:rsidR="00FE434B" w:rsidRPr="00D00015" w:rsidRDefault="00FE434B" w:rsidP="00FE434B">
      <w:pPr>
        <w:pStyle w:val="Text"/>
        <w:spacing w:line="360" w:lineRule="auto"/>
      </w:pPr>
      <w:r w:rsidRPr="00D00015">
        <w:t>4. Data not pertaining to current treated episode (e.g., duplicate report)</w:t>
      </w:r>
    </w:p>
    <w:p w:rsidR="00FE434B" w:rsidRPr="00D00015" w:rsidRDefault="00FE434B" w:rsidP="00FE434B">
      <w:pPr>
        <w:pStyle w:val="Text"/>
        <w:spacing w:line="360" w:lineRule="auto"/>
      </w:pPr>
      <w:r w:rsidRPr="00D00015">
        <w:lastRenderedPageBreak/>
        <w:t>The objective of the central review is to review and identify all relevant data in ECG recordings during 1-hour following treated episodes to determine if they meet protocol specified criteria and definitions, as follows:</w:t>
      </w:r>
    </w:p>
    <w:p w:rsidR="00FE434B" w:rsidRPr="00D00015" w:rsidRDefault="00FE434B" w:rsidP="00FE434B">
      <w:pPr>
        <w:pStyle w:val="Text"/>
        <w:spacing w:line="360" w:lineRule="auto"/>
      </w:pPr>
      <w:r w:rsidRPr="00D00015">
        <w:t>a. Determine the initial diagnosis, before IP is taken, to confirm initial rhythm as one of the following 5 options:</w:t>
      </w:r>
    </w:p>
    <w:p w:rsidR="00FE434B" w:rsidRPr="00D00015" w:rsidRDefault="00FE434B" w:rsidP="00FE434B">
      <w:pPr>
        <w:pStyle w:val="Text"/>
        <w:spacing w:line="360" w:lineRule="auto"/>
        <w:ind w:left="284"/>
      </w:pPr>
      <w:r w:rsidRPr="00D00015">
        <w:rPr>
          <w:lang w:val="fr-FR"/>
        </w:rPr>
        <w:t xml:space="preserve">i. Sinus </w:t>
      </w:r>
      <w:proofErr w:type="spellStart"/>
      <w:r w:rsidRPr="00D00015">
        <w:rPr>
          <w:lang w:val="fr-FR"/>
        </w:rPr>
        <w:t>rhythm</w:t>
      </w:r>
      <w:proofErr w:type="spellEnd"/>
    </w:p>
    <w:p w:rsidR="00FE434B" w:rsidRPr="00D00015" w:rsidRDefault="00FE434B" w:rsidP="00FE434B">
      <w:pPr>
        <w:pStyle w:val="Text"/>
        <w:spacing w:line="360" w:lineRule="auto"/>
        <w:ind w:left="284"/>
      </w:pPr>
      <w:r w:rsidRPr="00D00015">
        <w:rPr>
          <w:lang w:val="fr-FR"/>
        </w:rPr>
        <w:t>ii. PSVT</w:t>
      </w:r>
    </w:p>
    <w:p w:rsidR="00FE434B" w:rsidRPr="00D00015" w:rsidRDefault="00FE434B" w:rsidP="00FE434B">
      <w:pPr>
        <w:pStyle w:val="Text"/>
        <w:spacing w:line="360" w:lineRule="auto"/>
        <w:ind w:left="284"/>
      </w:pPr>
      <w:r w:rsidRPr="00D00015">
        <w:rPr>
          <w:lang w:val="fr-FR"/>
        </w:rPr>
        <w:t>iii. Atrial fibrillation</w:t>
      </w:r>
    </w:p>
    <w:p w:rsidR="00FE434B" w:rsidRPr="00D00015" w:rsidRDefault="00FE434B" w:rsidP="00FE434B">
      <w:pPr>
        <w:pStyle w:val="Text"/>
        <w:spacing w:line="360" w:lineRule="auto"/>
        <w:ind w:left="284"/>
      </w:pPr>
      <w:r w:rsidRPr="00D00015">
        <w:t>iv. Atrial flutter</w:t>
      </w:r>
    </w:p>
    <w:p w:rsidR="00FE434B" w:rsidRPr="00D00015" w:rsidRDefault="00FE434B" w:rsidP="00FE434B">
      <w:pPr>
        <w:pStyle w:val="Text"/>
        <w:spacing w:line="360" w:lineRule="auto"/>
        <w:ind w:left="284"/>
      </w:pPr>
      <w:r w:rsidRPr="00D00015">
        <w:t>v. Atrial tachycardia</w:t>
      </w:r>
    </w:p>
    <w:p w:rsidR="00FE434B" w:rsidRPr="00D00015" w:rsidRDefault="00FE434B" w:rsidP="00FE434B">
      <w:pPr>
        <w:pStyle w:val="Text"/>
        <w:spacing w:line="360" w:lineRule="auto"/>
      </w:pPr>
      <w:r w:rsidRPr="00D00015">
        <w:t>b. If a PSVT is present as initial diagnosis:</w:t>
      </w:r>
    </w:p>
    <w:p w:rsidR="00FE434B" w:rsidRPr="00D00015" w:rsidRDefault="00FE434B" w:rsidP="00FE434B">
      <w:pPr>
        <w:pStyle w:val="Text"/>
        <w:spacing w:line="360" w:lineRule="auto"/>
        <w:ind w:left="284"/>
      </w:pPr>
      <w:r w:rsidRPr="00D00015">
        <w:t>i. Determine whether participants converted to sinus rhythm maintained for &gt; 30 seconds within one hour of the first available relevant event marker (see conventions below), or of CMS signal start time if event marker is not available or not relevant.</w:t>
      </w:r>
    </w:p>
    <w:p w:rsidR="00FE434B" w:rsidRPr="00D00015" w:rsidRDefault="00FE434B" w:rsidP="00FE434B">
      <w:pPr>
        <w:pStyle w:val="Text"/>
        <w:spacing w:line="360" w:lineRule="auto"/>
        <w:ind w:left="284"/>
      </w:pPr>
      <w:r w:rsidRPr="00D00015">
        <w:t>ii. If the PSVT terminated within 1 hour of relevant event marker or CMS signal start time, determine time of conversion taking the following in consideration:</w:t>
      </w:r>
    </w:p>
    <w:p w:rsidR="00FE434B" w:rsidRPr="00D00015" w:rsidRDefault="00FE434B" w:rsidP="00FE434B">
      <w:pPr>
        <w:pStyle w:val="Text"/>
        <w:spacing w:line="360" w:lineRule="auto"/>
        <w:ind w:left="709"/>
      </w:pPr>
      <w:r w:rsidRPr="00D00015">
        <w:t xml:space="preserve">1. Participants will be censored as non-converted in case signal is lost or becomes </w:t>
      </w:r>
      <w:proofErr w:type="spellStart"/>
      <w:r w:rsidRPr="00D00015">
        <w:t>uninterpretable</w:t>
      </w:r>
      <w:proofErr w:type="spellEnd"/>
      <w:r w:rsidRPr="00D00015">
        <w:t xml:space="preserve"> while the patient is in PSVT if interpretable signal is not recovered prior to end of 1 hour.</w:t>
      </w:r>
    </w:p>
    <w:p w:rsidR="00FE434B" w:rsidRPr="00D00015" w:rsidRDefault="00FE434B" w:rsidP="00FE434B">
      <w:pPr>
        <w:pStyle w:val="Text"/>
        <w:spacing w:line="360" w:lineRule="auto"/>
        <w:ind w:left="709"/>
      </w:pPr>
      <w:r w:rsidRPr="00D00015">
        <w:t>2. Participants who have converted during signal loss will be considered to have converted at the time signal with sinus rhythm is captured again if this occurs within 1 hour of first event marker if present or start of CMS signal.</w:t>
      </w:r>
    </w:p>
    <w:p w:rsidR="00FE434B" w:rsidRPr="00D00015" w:rsidRDefault="00FE434B" w:rsidP="00FE434B">
      <w:pPr>
        <w:pStyle w:val="Text"/>
        <w:spacing w:line="360" w:lineRule="auto"/>
      </w:pPr>
      <w:r w:rsidRPr="00D00015">
        <w:t>c. Identify occurrence, type, and duration of ECG abnormalities other than initial diagnosis, described in the protocol as safety endpoints, for up to 1 hour following first available relevant event marker or CMS signal start, among the following three main categories:</w:t>
      </w:r>
    </w:p>
    <w:p w:rsidR="00FE434B" w:rsidRPr="00D00015" w:rsidRDefault="00FE434B" w:rsidP="00FE434B">
      <w:pPr>
        <w:pStyle w:val="Text"/>
        <w:spacing w:line="360" w:lineRule="auto"/>
        <w:ind w:left="284"/>
      </w:pPr>
      <w:r w:rsidRPr="00D00015">
        <w:t xml:space="preserve">i. </w:t>
      </w:r>
      <w:proofErr w:type="spellStart"/>
      <w:r w:rsidRPr="00D00015">
        <w:t>Tachyarrhythmias</w:t>
      </w:r>
      <w:proofErr w:type="spellEnd"/>
      <w:r w:rsidRPr="00D00015">
        <w:t xml:space="preserve"> lasting longer than 30 seconds:</w:t>
      </w:r>
    </w:p>
    <w:p w:rsidR="00FE434B" w:rsidRPr="00D00015" w:rsidRDefault="00FE434B" w:rsidP="00FE434B">
      <w:pPr>
        <w:pStyle w:val="Text"/>
        <w:spacing w:line="360" w:lineRule="auto"/>
        <w:ind w:left="709"/>
      </w:pPr>
      <w:r w:rsidRPr="00D00015">
        <w:t>1. Atrial fibrillation, including onset &amp; offset times if present</w:t>
      </w:r>
    </w:p>
    <w:p w:rsidR="00FE434B" w:rsidRPr="00D00015" w:rsidRDefault="00FE434B" w:rsidP="00FE434B">
      <w:pPr>
        <w:pStyle w:val="Text"/>
        <w:spacing w:line="360" w:lineRule="auto"/>
        <w:ind w:left="709"/>
      </w:pPr>
      <w:r w:rsidRPr="00D00015">
        <w:lastRenderedPageBreak/>
        <w:t>2. Atrial flutter, including onset &amp; offset times if present</w:t>
      </w:r>
    </w:p>
    <w:p w:rsidR="00FE434B" w:rsidRPr="00D00015" w:rsidRDefault="00FE434B" w:rsidP="00FE434B">
      <w:pPr>
        <w:pStyle w:val="Text"/>
        <w:spacing w:line="360" w:lineRule="auto"/>
        <w:ind w:left="709"/>
      </w:pPr>
      <w:r w:rsidRPr="00D00015">
        <w:t>3. Atrial tachycardia, including onset &amp; offset times if present</w:t>
      </w:r>
    </w:p>
    <w:p w:rsidR="00FE434B" w:rsidRPr="00D00015" w:rsidRDefault="00FE434B" w:rsidP="00FE434B">
      <w:pPr>
        <w:pStyle w:val="Text"/>
        <w:spacing w:line="360" w:lineRule="auto"/>
        <w:ind w:left="709"/>
      </w:pPr>
      <w:r w:rsidRPr="00D00015">
        <w:t>4. Non-sustained ventricular tachycardia (defined as &gt; or = 3 ventricular wide</w:t>
      </w:r>
    </w:p>
    <w:p w:rsidR="00FE434B" w:rsidRPr="00D00015" w:rsidRDefault="00FE434B" w:rsidP="00FE434B">
      <w:pPr>
        <w:pStyle w:val="Text"/>
        <w:spacing w:line="360" w:lineRule="auto"/>
        <w:ind w:left="709"/>
      </w:pPr>
      <w:proofErr w:type="gramStart"/>
      <w:r w:rsidRPr="00D00015">
        <w:t>consecutive</w:t>
      </w:r>
      <w:proofErr w:type="gramEnd"/>
      <w:r w:rsidRPr="00D00015">
        <w:t xml:space="preserve"> beats), and whether present at time of PSVT conversion</w:t>
      </w:r>
    </w:p>
    <w:p w:rsidR="00FE434B" w:rsidRPr="00D00015" w:rsidRDefault="00FE434B" w:rsidP="00FE434B">
      <w:pPr>
        <w:pStyle w:val="Text"/>
        <w:spacing w:line="360" w:lineRule="auto"/>
        <w:ind w:left="709"/>
      </w:pPr>
      <w:r w:rsidRPr="00D00015">
        <w:t>5. Sustained ventricular tachycardia (defined as consecutive wide ventricular beats</w:t>
      </w:r>
    </w:p>
    <w:p w:rsidR="00FE434B" w:rsidRPr="00D00015" w:rsidRDefault="00FE434B" w:rsidP="00FE434B">
      <w:pPr>
        <w:pStyle w:val="Text"/>
        <w:spacing w:line="360" w:lineRule="auto"/>
        <w:ind w:left="709"/>
      </w:pPr>
      <w:proofErr w:type="gramStart"/>
      <w:r w:rsidRPr="00D00015">
        <w:t>or</w:t>
      </w:r>
      <w:proofErr w:type="gramEnd"/>
      <w:r w:rsidRPr="00D00015">
        <w:t xml:space="preserve"> QRS complexes of ≥120 </w:t>
      </w:r>
      <w:proofErr w:type="spellStart"/>
      <w:r w:rsidRPr="00D00015">
        <w:t>msec</w:t>
      </w:r>
      <w:proofErr w:type="spellEnd"/>
      <w:r w:rsidRPr="00D00015">
        <w:t xml:space="preserve"> at &gt;100 </w:t>
      </w:r>
      <w:proofErr w:type="spellStart"/>
      <w:r w:rsidRPr="00D00015">
        <w:t>bpm</w:t>
      </w:r>
      <w:proofErr w:type="spellEnd"/>
      <w:r w:rsidRPr="00D00015">
        <w:t xml:space="preserve"> lasting longer than 30 seconds), and</w:t>
      </w:r>
    </w:p>
    <w:p w:rsidR="00FE434B" w:rsidRPr="00D00015" w:rsidRDefault="00FE434B" w:rsidP="00FE434B">
      <w:pPr>
        <w:pStyle w:val="Text"/>
        <w:spacing w:line="360" w:lineRule="auto"/>
        <w:ind w:left="709"/>
      </w:pPr>
      <w:proofErr w:type="gramStart"/>
      <w:r w:rsidRPr="00D00015">
        <w:t>whether</w:t>
      </w:r>
      <w:proofErr w:type="gramEnd"/>
      <w:r w:rsidRPr="00D00015">
        <w:t xml:space="preserve"> present at time of PSVT conversion</w:t>
      </w:r>
    </w:p>
    <w:p w:rsidR="00FE434B" w:rsidRPr="00D00015" w:rsidRDefault="00FE434B" w:rsidP="00FE434B">
      <w:pPr>
        <w:pStyle w:val="Text"/>
        <w:spacing w:line="360" w:lineRule="auto"/>
        <w:ind w:left="709"/>
      </w:pPr>
      <w:r w:rsidRPr="00D00015">
        <w:t>6. PSVT recurrences, including onset &amp; offset times, if present</w:t>
      </w:r>
    </w:p>
    <w:p w:rsidR="00FE434B" w:rsidRPr="00D00015" w:rsidRDefault="00FE434B" w:rsidP="00FE434B">
      <w:pPr>
        <w:pStyle w:val="Text"/>
        <w:spacing w:line="360" w:lineRule="auto"/>
        <w:ind w:left="284"/>
      </w:pPr>
      <w:r w:rsidRPr="00D00015">
        <w:t>ii</w:t>
      </w:r>
      <w:proofErr w:type="gramStart"/>
      <w:r w:rsidRPr="00D00015">
        <w:t>.  AV</w:t>
      </w:r>
      <w:proofErr w:type="gramEnd"/>
      <w:r w:rsidRPr="00D00015">
        <w:t xml:space="preserve"> blocks (AVB):</w:t>
      </w:r>
    </w:p>
    <w:p w:rsidR="00FE434B" w:rsidRPr="00D00015" w:rsidRDefault="00FE434B" w:rsidP="00FE434B">
      <w:pPr>
        <w:pStyle w:val="Text"/>
        <w:spacing w:line="360" w:lineRule="auto"/>
        <w:ind w:left="709"/>
      </w:pPr>
      <w:r w:rsidRPr="00D00015">
        <w:t>1. First degree AVB lasting longer than 30 seconds. Unless AVB first degree is present at screening ECG, onset &amp; offset times will be captured.</w:t>
      </w:r>
    </w:p>
    <w:p w:rsidR="00FE434B" w:rsidRPr="00D00015" w:rsidRDefault="00FE434B" w:rsidP="00FE434B">
      <w:pPr>
        <w:pStyle w:val="Text"/>
        <w:spacing w:line="360" w:lineRule="auto"/>
        <w:ind w:left="709"/>
      </w:pPr>
      <w:r w:rsidRPr="00D00015">
        <w:t xml:space="preserve">2. </w:t>
      </w:r>
      <w:proofErr w:type="spellStart"/>
      <w:r w:rsidRPr="00D00015">
        <w:t>Mobitz</w:t>
      </w:r>
      <w:proofErr w:type="spellEnd"/>
      <w:r w:rsidRPr="00D00015">
        <w:t xml:space="preserve"> I AVB second degree, with onset and offset times captured (in place of / where EDC inappropriately asks for time at which HR was 39 </w:t>
      </w:r>
      <w:proofErr w:type="spellStart"/>
      <w:r w:rsidRPr="00D00015">
        <w:t>bpm</w:t>
      </w:r>
      <w:proofErr w:type="spellEnd"/>
      <w:r w:rsidRPr="00D00015">
        <w:t xml:space="preserve"> or less and again 40 </w:t>
      </w:r>
      <w:proofErr w:type="spellStart"/>
      <w:r w:rsidRPr="00D00015">
        <w:t>bpm</w:t>
      </w:r>
      <w:proofErr w:type="spellEnd"/>
      <w:r w:rsidRPr="00D00015">
        <w:t xml:space="preserve"> or more). Any evidence of </w:t>
      </w:r>
      <w:proofErr w:type="spellStart"/>
      <w:r w:rsidRPr="00D00015">
        <w:t>bradycardia</w:t>
      </w:r>
      <w:proofErr w:type="spellEnd"/>
      <w:r w:rsidRPr="00D00015">
        <w:t xml:space="preserve"> should be captured in the comments section.</w:t>
      </w:r>
    </w:p>
    <w:p w:rsidR="00FE434B" w:rsidRPr="00D00015" w:rsidRDefault="00FE434B" w:rsidP="00FE434B">
      <w:pPr>
        <w:pStyle w:val="Text"/>
        <w:spacing w:line="360" w:lineRule="auto"/>
        <w:ind w:left="709"/>
      </w:pPr>
      <w:r w:rsidRPr="00D00015">
        <w:t xml:space="preserve">3. </w:t>
      </w:r>
      <w:proofErr w:type="spellStart"/>
      <w:r w:rsidRPr="00D00015">
        <w:t>Mobitz</w:t>
      </w:r>
      <w:proofErr w:type="spellEnd"/>
      <w:r w:rsidRPr="00D00015">
        <w:t xml:space="preserve"> II AVB second degree, with times of first and last blocked P waves</w:t>
      </w:r>
    </w:p>
    <w:p w:rsidR="00FE434B" w:rsidRPr="00D00015" w:rsidRDefault="00FE434B" w:rsidP="00FE434B">
      <w:pPr>
        <w:pStyle w:val="Text"/>
        <w:spacing w:line="360" w:lineRule="auto"/>
        <w:ind w:left="709"/>
      </w:pPr>
      <w:r w:rsidRPr="00D00015">
        <w:t>4. 3rd degree AVB, with time of last conducted P wave and first conducted P wave</w:t>
      </w:r>
    </w:p>
    <w:p w:rsidR="00FE434B" w:rsidRPr="00D00015" w:rsidRDefault="00FE434B" w:rsidP="00FE434B">
      <w:pPr>
        <w:pStyle w:val="Text"/>
        <w:spacing w:line="360" w:lineRule="auto"/>
        <w:ind w:left="709"/>
      </w:pPr>
      <w:proofErr w:type="gramStart"/>
      <w:r w:rsidRPr="00D00015">
        <w:t>after</w:t>
      </w:r>
      <w:proofErr w:type="gramEnd"/>
      <w:r w:rsidRPr="00D00015">
        <w:t xml:space="preserve"> conduction resumes.</w:t>
      </w:r>
    </w:p>
    <w:p w:rsidR="00FE434B" w:rsidRPr="00D00015" w:rsidRDefault="00FE434B" w:rsidP="00FE434B">
      <w:pPr>
        <w:pStyle w:val="Text"/>
        <w:spacing w:line="360" w:lineRule="auto"/>
        <w:ind w:left="284"/>
      </w:pPr>
      <w:r w:rsidRPr="00D00015">
        <w:t xml:space="preserve">iii. </w:t>
      </w:r>
      <w:proofErr w:type="spellStart"/>
      <w:r w:rsidRPr="00D00015">
        <w:t>Bradyarrhythmias</w:t>
      </w:r>
      <w:proofErr w:type="spellEnd"/>
      <w:r w:rsidRPr="00D00015">
        <w:t>:</w:t>
      </w:r>
    </w:p>
    <w:p w:rsidR="00FE434B" w:rsidRPr="00D00015" w:rsidRDefault="00FE434B" w:rsidP="00FE434B">
      <w:pPr>
        <w:pStyle w:val="Text"/>
        <w:spacing w:line="360" w:lineRule="auto"/>
        <w:ind w:left="709"/>
      </w:pPr>
      <w:r w:rsidRPr="00D00015">
        <w:t>1. Any pause equal or greater than 3 seconds.</w:t>
      </w:r>
    </w:p>
    <w:p w:rsidR="00FE434B" w:rsidRPr="00D00015" w:rsidRDefault="00FE434B" w:rsidP="00FE434B">
      <w:pPr>
        <w:pStyle w:val="Text"/>
        <w:spacing w:line="360" w:lineRule="auto"/>
        <w:ind w:left="709"/>
      </w:pPr>
      <w:r w:rsidRPr="00D00015">
        <w:t xml:space="preserve">2. Sinus </w:t>
      </w:r>
      <w:proofErr w:type="spellStart"/>
      <w:r w:rsidRPr="00D00015">
        <w:t>bradycardia</w:t>
      </w:r>
      <w:proofErr w:type="spellEnd"/>
      <w:r w:rsidRPr="00D00015">
        <w:t xml:space="preserve"> defined as any heart rate less than 40 </w:t>
      </w:r>
      <w:proofErr w:type="spellStart"/>
      <w:r w:rsidRPr="00D00015">
        <w:t>bpm</w:t>
      </w:r>
      <w:proofErr w:type="spellEnd"/>
      <w:r w:rsidRPr="00D00015">
        <w:t xml:space="preserve"> lasting longer than 30 seconds.</w:t>
      </w:r>
    </w:p>
    <w:p w:rsidR="00FE434B" w:rsidRPr="00D00015" w:rsidRDefault="00FE434B" w:rsidP="00FE434B">
      <w:pPr>
        <w:pStyle w:val="Manuscriptheading2unnumbered"/>
      </w:pPr>
      <w:r w:rsidRPr="00D00015">
        <w:t>Arbitration process</w:t>
      </w:r>
    </w:p>
    <w:p w:rsidR="00FE434B" w:rsidRPr="00D00015" w:rsidRDefault="00FE434B" w:rsidP="00FE434B">
      <w:pPr>
        <w:pStyle w:val="Text"/>
        <w:spacing w:line="360" w:lineRule="auto"/>
      </w:pPr>
      <w:r w:rsidRPr="00D00015">
        <w:t xml:space="preserve">The medical monitor performing the review will determine the initial diagnosis and ECG abnormality findings based on review of the CMS reports. In case of doubt, observations will be discussed with the Medical Director and the Chief Medical Officer. In case of discordance </w:t>
      </w:r>
      <w:r w:rsidRPr="00D00015">
        <w:lastRenderedPageBreak/>
        <w:t xml:space="preserve">or remaining doubts on the interpretation, CMS reports will be reviewed by an external expert electrophysiology consultant who will contribute to the final decision to be entered in the database. External expert observations will be documented and signed off by the consultant; emails will be considered appropriate proof of signature and will be filed in the folder with the tracker. To the extent possible, CMS service provider will be asked to modify their interpretation in the </w:t>
      </w:r>
      <w:proofErr w:type="spellStart"/>
      <w:r w:rsidRPr="00D00015">
        <w:t>pdf</w:t>
      </w:r>
      <w:proofErr w:type="spellEnd"/>
      <w:r w:rsidRPr="00D00015">
        <w:t xml:space="preserve"> report.</w:t>
      </w:r>
    </w:p>
    <w:p w:rsidR="00FE434B" w:rsidRPr="00D00015" w:rsidRDefault="00FE434B" w:rsidP="00FE434B">
      <w:pPr>
        <w:spacing w:line="240" w:lineRule="auto"/>
      </w:pPr>
      <w:r w:rsidRPr="00D00015">
        <w:br w:type="page"/>
      </w:r>
    </w:p>
    <w:p w:rsidR="00FE434B" w:rsidRPr="00D00015" w:rsidRDefault="00FE434B" w:rsidP="00FE434B">
      <w:pPr>
        <w:pStyle w:val="Manuscriptheading2unnumbered"/>
      </w:pPr>
      <w:proofErr w:type="gramStart"/>
      <w:r w:rsidRPr="00D00015">
        <w:lastRenderedPageBreak/>
        <w:t>Supplementary Table 1.</w:t>
      </w:r>
      <w:proofErr w:type="gramEnd"/>
      <w:r w:rsidRPr="00D00015">
        <w:t xml:space="preserve"> Schedule of Procedures</w:t>
      </w:r>
    </w:p>
    <w:tbl>
      <w:tblPr>
        <w:tblStyle w:val="Table"/>
        <w:tblW w:w="5000" w:type="pct"/>
        <w:tblInd w:w="0" w:type="dxa"/>
        <w:tblBorders>
          <w:top w:val="single" w:sz="6" w:space="0" w:color="000000"/>
          <w:left w:val="single" w:sz="6" w:space="0" w:color="000000"/>
          <w:bottom w:val="single" w:sz="6" w:space="0" w:color="000000"/>
          <w:right w:val="single" w:sz="6" w:space="0" w:color="000000"/>
        </w:tblBorders>
        <w:tblLayout w:type="fixed"/>
        <w:tblCellMar>
          <w:left w:w="108" w:type="dxa"/>
          <w:right w:w="108" w:type="dxa"/>
        </w:tblCellMar>
        <w:tblLook w:val="04A0" w:firstRow="1" w:lastRow="0" w:firstColumn="1" w:lastColumn="0" w:noHBand="0" w:noVBand="1"/>
      </w:tblPr>
      <w:tblGrid>
        <w:gridCol w:w="3125"/>
        <w:gridCol w:w="1232"/>
        <w:gridCol w:w="1184"/>
        <w:gridCol w:w="1283"/>
        <w:gridCol w:w="1231"/>
        <w:gridCol w:w="1231"/>
      </w:tblGrid>
      <w:tr w:rsidR="00FE434B" w:rsidRPr="00D00015" w:rsidTr="00740613">
        <w:trPr>
          <w:cantSplit/>
          <w:trHeight w:val="494"/>
        </w:trPr>
        <w:tc>
          <w:tcPr>
            <w:tcW w:w="1681"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Head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Header"/>
              <w:jc w:val="center"/>
              <w:rPr>
                <w:rFonts w:ascii="Arial" w:hAnsi="Arial"/>
                <w:sz w:val="18"/>
              </w:rPr>
            </w:pPr>
            <w:r w:rsidRPr="00D00015">
              <w:rPr>
                <w:rFonts w:ascii="Arial" w:hAnsi="Arial"/>
                <w:sz w:val="18"/>
              </w:rPr>
              <w:t>Screening visit</w:t>
            </w:r>
          </w:p>
          <w:p w:rsidR="00FE434B" w:rsidRPr="00D00015" w:rsidRDefault="00FE434B" w:rsidP="00740613">
            <w:pPr>
              <w:pStyle w:val="A-TableHeader"/>
              <w:jc w:val="center"/>
              <w:rPr>
                <w:rFonts w:ascii="Arial" w:hAnsi="Arial"/>
                <w:sz w:val="18"/>
              </w:rPr>
            </w:pPr>
            <w:r w:rsidRPr="00D00015">
              <w:rPr>
                <w:rFonts w:ascii="Arial" w:hAnsi="Arial"/>
                <w:sz w:val="18"/>
              </w:rPr>
              <w:t>(within 30 days of baseline)</w:t>
            </w:r>
            <w:r w:rsidRPr="00D00015">
              <w:rPr>
                <w:b w:val="0"/>
                <w:vertAlign w:val="superscript"/>
              </w:rPr>
              <w:t>a</w:t>
            </w:r>
          </w:p>
        </w:tc>
        <w:tc>
          <w:tcPr>
            <w:tcW w:w="637"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Header"/>
              <w:jc w:val="center"/>
              <w:rPr>
                <w:rFonts w:ascii="Arial" w:hAnsi="Arial"/>
                <w:sz w:val="18"/>
              </w:rPr>
            </w:pPr>
            <w:r w:rsidRPr="00D00015">
              <w:rPr>
                <w:rFonts w:ascii="Arial" w:hAnsi="Arial"/>
                <w:sz w:val="18"/>
              </w:rPr>
              <w:t xml:space="preserve">Baseline </w:t>
            </w:r>
            <w:proofErr w:type="spellStart"/>
            <w:r w:rsidRPr="00D00015">
              <w:rPr>
                <w:rFonts w:ascii="Arial" w:hAnsi="Arial"/>
                <w:sz w:val="18"/>
              </w:rPr>
              <w:t>visit</w:t>
            </w:r>
            <w:r w:rsidRPr="00D00015">
              <w:rPr>
                <w:b w:val="0"/>
                <w:vertAlign w:val="superscript"/>
              </w:rPr>
              <w:t>a</w:t>
            </w:r>
            <w:proofErr w:type="spellEnd"/>
          </w:p>
        </w:tc>
        <w:tc>
          <w:tcPr>
            <w:tcW w:w="691"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Header"/>
              <w:jc w:val="center"/>
              <w:rPr>
                <w:rFonts w:ascii="Arial" w:hAnsi="Arial"/>
                <w:sz w:val="18"/>
              </w:rPr>
            </w:pPr>
            <w:r w:rsidRPr="00D00015">
              <w:rPr>
                <w:rFonts w:ascii="Arial" w:hAnsi="Arial"/>
                <w:sz w:val="18"/>
              </w:rPr>
              <w:t xml:space="preserve">Treatment </w:t>
            </w:r>
            <w:proofErr w:type="spellStart"/>
            <w:r w:rsidRPr="00D00015">
              <w:rPr>
                <w:rFonts w:ascii="Arial" w:hAnsi="Arial"/>
                <w:sz w:val="18"/>
              </w:rPr>
              <w:t>period</w:t>
            </w:r>
            <w:r w:rsidRPr="00D00015">
              <w:rPr>
                <w:b w:val="0"/>
                <w:vertAlign w:val="superscript"/>
              </w:rPr>
              <w:t>c</w:t>
            </w:r>
            <w:proofErr w:type="spellEnd"/>
          </w:p>
        </w:tc>
        <w:tc>
          <w:tcPr>
            <w:tcW w:w="663"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Header"/>
              <w:jc w:val="center"/>
              <w:rPr>
                <w:rFonts w:ascii="Arial" w:hAnsi="Arial"/>
                <w:sz w:val="18"/>
              </w:rPr>
            </w:pPr>
            <w:r w:rsidRPr="00D00015">
              <w:rPr>
                <w:rFonts w:ascii="Arial" w:hAnsi="Arial"/>
                <w:sz w:val="18"/>
              </w:rPr>
              <w:t>Follow-up visits</w:t>
            </w:r>
          </w:p>
          <w:p w:rsidR="00FE434B" w:rsidRPr="00D00015" w:rsidRDefault="00FE434B" w:rsidP="00740613">
            <w:pPr>
              <w:pStyle w:val="A-TableHeader"/>
              <w:jc w:val="center"/>
              <w:rPr>
                <w:rFonts w:ascii="Arial" w:hAnsi="Arial"/>
                <w:sz w:val="18"/>
              </w:rPr>
            </w:pPr>
            <w:r w:rsidRPr="00D00015">
              <w:rPr>
                <w:rFonts w:ascii="Arial" w:hAnsi="Arial"/>
                <w:sz w:val="18"/>
              </w:rPr>
              <w:t>(within 14 days of treated episode)</w:t>
            </w:r>
            <w:r w:rsidRPr="00D00015">
              <w:rPr>
                <w:b w:val="0"/>
                <w:vertAlign w:val="superscript"/>
              </w:rPr>
              <w:t>d</w:t>
            </w:r>
          </w:p>
        </w:tc>
        <w:tc>
          <w:tcPr>
            <w:tcW w:w="663"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Header"/>
              <w:jc w:val="center"/>
              <w:rPr>
                <w:rFonts w:ascii="Arial" w:hAnsi="Arial"/>
                <w:sz w:val="18"/>
              </w:rPr>
            </w:pPr>
            <w:r w:rsidRPr="00D00015">
              <w:rPr>
                <w:rFonts w:ascii="Arial" w:hAnsi="Arial"/>
                <w:sz w:val="18"/>
              </w:rPr>
              <w:t>Final study visit</w:t>
            </w:r>
          </w:p>
        </w:tc>
      </w:tr>
      <w:tr w:rsidR="00FE434B" w:rsidRPr="00D00015" w:rsidTr="00740613">
        <w:trPr>
          <w:cantSplit/>
          <w:trHeight w:val="287"/>
        </w:trPr>
        <w:tc>
          <w:tcPr>
            <w:tcW w:w="1681"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Text"/>
              <w:rPr>
                <w:rFonts w:ascii="Arial" w:hAnsi="Arial"/>
                <w:sz w:val="18"/>
              </w:rPr>
            </w:pPr>
            <w:r w:rsidRPr="00D00015">
              <w:rPr>
                <w:rFonts w:ascii="Arial" w:hAnsi="Arial"/>
                <w:sz w:val="18"/>
              </w:rPr>
              <w:t>Informed consent</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37"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91"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r>
      <w:tr w:rsidR="00FE434B" w:rsidRPr="00D00015" w:rsidTr="00740613">
        <w:trPr>
          <w:cantSplit/>
          <w:trHeight w:val="315"/>
        </w:trPr>
        <w:tc>
          <w:tcPr>
            <w:tcW w:w="1681"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Text"/>
              <w:rPr>
                <w:rFonts w:ascii="Arial" w:hAnsi="Arial"/>
                <w:sz w:val="18"/>
              </w:rPr>
            </w:pPr>
            <w:r w:rsidRPr="00D00015">
              <w:rPr>
                <w:rFonts w:ascii="Arial" w:hAnsi="Arial"/>
                <w:sz w:val="18"/>
              </w:rPr>
              <w:t>Eligibility</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37"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91"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r>
      <w:tr w:rsidR="00FE434B" w:rsidRPr="00D00015" w:rsidTr="00740613">
        <w:trPr>
          <w:cantSplit/>
          <w:trHeight w:val="322"/>
        </w:trPr>
        <w:tc>
          <w:tcPr>
            <w:tcW w:w="1681"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Text"/>
              <w:rPr>
                <w:rFonts w:ascii="Arial" w:hAnsi="Arial"/>
                <w:sz w:val="18"/>
              </w:rPr>
            </w:pPr>
            <w:r w:rsidRPr="00D00015">
              <w:rPr>
                <w:rFonts w:ascii="Arial" w:hAnsi="Arial"/>
                <w:sz w:val="18"/>
              </w:rPr>
              <w:t>Demographics / medical history</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37"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91"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r>
      <w:tr w:rsidR="00FE434B" w:rsidRPr="00D00015" w:rsidTr="00740613">
        <w:trPr>
          <w:cantSplit/>
          <w:trHeight w:val="322"/>
        </w:trPr>
        <w:tc>
          <w:tcPr>
            <w:tcW w:w="1681"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Text"/>
              <w:rPr>
                <w:rFonts w:ascii="Arial" w:hAnsi="Arial"/>
                <w:sz w:val="18"/>
              </w:rPr>
            </w:pPr>
            <w:r w:rsidRPr="00D00015">
              <w:rPr>
                <w:rFonts w:ascii="Arial" w:hAnsi="Arial"/>
                <w:sz w:val="18"/>
              </w:rPr>
              <w:t>Concomitant medications</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37"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91"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r>
      <w:tr w:rsidR="00FE434B" w:rsidRPr="00D00015" w:rsidTr="00740613">
        <w:trPr>
          <w:cantSplit/>
          <w:trHeight w:val="322"/>
        </w:trPr>
        <w:tc>
          <w:tcPr>
            <w:tcW w:w="1681"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Text"/>
              <w:rPr>
                <w:rFonts w:ascii="Arial" w:hAnsi="Arial"/>
                <w:sz w:val="18"/>
              </w:rPr>
            </w:pPr>
            <w:r w:rsidRPr="00D00015">
              <w:rPr>
                <w:rFonts w:ascii="Arial" w:hAnsi="Arial"/>
                <w:sz w:val="18"/>
              </w:rPr>
              <w:t>Physical exam</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37"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91"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r>
      <w:tr w:rsidR="00FE434B" w:rsidRPr="00D00015" w:rsidTr="00740613">
        <w:trPr>
          <w:cantSplit/>
          <w:trHeight w:val="322"/>
        </w:trPr>
        <w:tc>
          <w:tcPr>
            <w:tcW w:w="1681"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Text"/>
              <w:rPr>
                <w:rFonts w:ascii="Arial" w:hAnsi="Arial"/>
                <w:sz w:val="18"/>
              </w:rPr>
            </w:pPr>
            <w:r w:rsidRPr="00D00015">
              <w:rPr>
                <w:rFonts w:ascii="Arial" w:hAnsi="Arial"/>
                <w:sz w:val="18"/>
              </w:rPr>
              <w:t xml:space="preserve">Vital </w:t>
            </w:r>
            <w:proofErr w:type="spellStart"/>
            <w:r w:rsidRPr="00D00015">
              <w:rPr>
                <w:rFonts w:ascii="Arial" w:hAnsi="Arial"/>
                <w:sz w:val="18"/>
              </w:rPr>
              <w:t>signs</w:t>
            </w:r>
            <w:r w:rsidRPr="00D00015">
              <w:rPr>
                <w:rFonts w:ascii="Arial" w:hAnsi="Arial"/>
                <w:sz w:val="18"/>
                <w:vertAlign w:val="superscript"/>
              </w:rPr>
              <w:t>e</w:t>
            </w:r>
            <w:proofErr w:type="spellEnd"/>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37"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91"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r>
      <w:tr w:rsidR="00FE434B" w:rsidRPr="00D00015" w:rsidTr="00740613">
        <w:trPr>
          <w:cantSplit/>
          <w:trHeight w:val="322"/>
        </w:trPr>
        <w:tc>
          <w:tcPr>
            <w:tcW w:w="1681"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Text"/>
              <w:rPr>
                <w:rFonts w:ascii="Arial" w:hAnsi="Arial"/>
                <w:sz w:val="18"/>
              </w:rPr>
            </w:pPr>
            <w:r w:rsidRPr="00D00015">
              <w:rPr>
                <w:rFonts w:ascii="Arial" w:hAnsi="Arial"/>
                <w:sz w:val="18"/>
              </w:rPr>
              <w:t xml:space="preserve">Hematology, chemistry, urinalysis, urine drug </w:t>
            </w:r>
            <w:proofErr w:type="spellStart"/>
            <w:r w:rsidRPr="00D00015">
              <w:rPr>
                <w:rFonts w:ascii="Arial" w:hAnsi="Arial"/>
                <w:sz w:val="18"/>
              </w:rPr>
              <w:t>screen</w:t>
            </w:r>
            <w:r w:rsidRPr="00D00015">
              <w:rPr>
                <w:rFonts w:ascii="Arial" w:hAnsi="Arial"/>
                <w:sz w:val="18"/>
                <w:vertAlign w:val="superscript"/>
              </w:rPr>
              <w:t>f</w:t>
            </w:r>
            <w:proofErr w:type="spellEnd"/>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37"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91"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r>
      <w:tr w:rsidR="00FE434B" w:rsidRPr="00D00015" w:rsidTr="00740613">
        <w:trPr>
          <w:cantSplit/>
          <w:trHeight w:val="315"/>
        </w:trPr>
        <w:tc>
          <w:tcPr>
            <w:tcW w:w="1681"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Text"/>
              <w:rPr>
                <w:rFonts w:ascii="Arial" w:hAnsi="Arial"/>
                <w:sz w:val="18"/>
              </w:rPr>
            </w:pPr>
            <w:r w:rsidRPr="00D00015">
              <w:rPr>
                <w:rFonts w:ascii="Arial" w:hAnsi="Arial"/>
                <w:sz w:val="18"/>
              </w:rPr>
              <w:t>Pregnancy test</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37"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91"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r>
      <w:tr w:rsidR="00FE434B" w:rsidRPr="00D00015" w:rsidTr="00740613">
        <w:trPr>
          <w:cantSplit/>
          <w:trHeight w:val="322"/>
        </w:trPr>
        <w:tc>
          <w:tcPr>
            <w:tcW w:w="1681"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Text"/>
              <w:rPr>
                <w:rFonts w:ascii="Arial" w:hAnsi="Arial"/>
                <w:sz w:val="18"/>
              </w:rPr>
            </w:pPr>
            <w:r w:rsidRPr="00D00015">
              <w:rPr>
                <w:rFonts w:ascii="Arial" w:hAnsi="Arial"/>
                <w:sz w:val="18"/>
              </w:rPr>
              <w:t xml:space="preserve">On-site safety ECG </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37"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91"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r>
      <w:tr w:rsidR="00FE434B" w:rsidRPr="00D00015" w:rsidTr="00740613">
        <w:trPr>
          <w:cantSplit/>
          <w:trHeight w:val="322"/>
        </w:trPr>
        <w:tc>
          <w:tcPr>
            <w:tcW w:w="1681"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Text"/>
              <w:rPr>
                <w:rFonts w:ascii="Arial" w:hAnsi="Arial"/>
                <w:sz w:val="18"/>
              </w:rPr>
            </w:pPr>
            <w:r w:rsidRPr="00D00015">
              <w:rPr>
                <w:rFonts w:ascii="Arial" w:hAnsi="Arial"/>
                <w:sz w:val="18"/>
              </w:rPr>
              <w:t>Patient training</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37"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91"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roofErr w:type="spellStart"/>
            <w:r w:rsidRPr="00D00015">
              <w:rPr>
                <w:rFonts w:ascii="Arial" w:hAnsi="Arial"/>
                <w:sz w:val="18"/>
              </w:rPr>
              <w:t>X</w:t>
            </w:r>
            <w:r w:rsidRPr="00D00015">
              <w:rPr>
                <w:rFonts w:ascii="Arial" w:hAnsi="Arial"/>
                <w:sz w:val="18"/>
                <w:vertAlign w:val="superscript"/>
              </w:rPr>
              <w:t>g</w:t>
            </w:r>
            <w:proofErr w:type="spellEnd"/>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r>
      <w:tr w:rsidR="00FE434B" w:rsidRPr="00D00015" w:rsidTr="00740613">
        <w:trPr>
          <w:cantSplit/>
          <w:trHeight w:val="322"/>
        </w:trPr>
        <w:tc>
          <w:tcPr>
            <w:tcW w:w="1681"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Text"/>
              <w:rPr>
                <w:rFonts w:ascii="Arial" w:hAnsi="Arial"/>
                <w:sz w:val="18"/>
              </w:rPr>
            </w:pPr>
            <w:r w:rsidRPr="00D00015">
              <w:rPr>
                <w:rFonts w:ascii="Arial" w:hAnsi="Arial"/>
                <w:sz w:val="18"/>
              </w:rPr>
              <w:t>Dispense study kit</w:t>
            </w:r>
            <w:r w:rsidRPr="00D00015">
              <w:rPr>
                <w:rFonts w:ascii="Arial" w:hAnsi="Arial"/>
                <w:sz w:val="18"/>
                <w:vertAlign w:val="superscript"/>
              </w:rPr>
              <w:t>h</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37"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91"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r>
      <w:tr w:rsidR="00FE434B" w:rsidRPr="00D00015" w:rsidTr="00740613">
        <w:trPr>
          <w:cantSplit/>
          <w:trHeight w:val="322"/>
        </w:trPr>
        <w:tc>
          <w:tcPr>
            <w:tcW w:w="1681"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Text"/>
              <w:rPr>
                <w:rFonts w:ascii="Arial" w:hAnsi="Arial"/>
                <w:sz w:val="18"/>
              </w:rPr>
            </w:pPr>
            <w:r w:rsidRPr="00D00015">
              <w:rPr>
                <w:rFonts w:ascii="Arial" w:hAnsi="Arial"/>
                <w:sz w:val="18"/>
              </w:rPr>
              <w:t>Apply and start ECG CMS</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37"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91"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r>
      <w:tr w:rsidR="00FE434B" w:rsidRPr="00D00015" w:rsidTr="00740613">
        <w:trPr>
          <w:cantSplit/>
          <w:trHeight w:val="322"/>
        </w:trPr>
        <w:tc>
          <w:tcPr>
            <w:tcW w:w="1681"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Text"/>
              <w:rPr>
                <w:rFonts w:ascii="Arial" w:hAnsi="Arial"/>
                <w:sz w:val="18"/>
              </w:rPr>
            </w:pPr>
            <w:r w:rsidRPr="00D00015">
              <w:rPr>
                <w:rFonts w:ascii="Arial" w:hAnsi="Arial"/>
                <w:sz w:val="18"/>
              </w:rPr>
              <w:t>Perform VM</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37"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91"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r>
      <w:tr w:rsidR="00FE434B" w:rsidRPr="00D00015" w:rsidTr="00740613">
        <w:trPr>
          <w:cantSplit/>
          <w:trHeight w:val="315"/>
        </w:trPr>
        <w:tc>
          <w:tcPr>
            <w:tcW w:w="1681"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Text"/>
              <w:rPr>
                <w:rFonts w:ascii="Arial" w:hAnsi="Arial"/>
                <w:sz w:val="18"/>
              </w:rPr>
            </w:pPr>
            <w:r w:rsidRPr="00D00015">
              <w:rPr>
                <w:rFonts w:ascii="Arial" w:hAnsi="Arial"/>
                <w:sz w:val="18"/>
              </w:rPr>
              <w:t xml:space="preserve">Self-administer </w:t>
            </w:r>
            <w:proofErr w:type="spellStart"/>
            <w:r w:rsidRPr="00D00015">
              <w:rPr>
                <w:rFonts w:ascii="Arial" w:hAnsi="Arial"/>
                <w:sz w:val="18"/>
              </w:rPr>
              <w:t>drug</w:t>
            </w:r>
            <w:r w:rsidRPr="00D00015">
              <w:rPr>
                <w:rFonts w:ascii="Arial" w:hAnsi="Arial"/>
                <w:sz w:val="18"/>
                <w:vertAlign w:val="superscript"/>
              </w:rPr>
              <w:t>i</w:t>
            </w:r>
            <w:proofErr w:type="spellEnd"/>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37"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91"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r>
      <w:tr w:rsidR="00FE434B" w:rsidRPr="00D00015" w:rsidTr="00740613">
        <w:trPr>
          <w:cantSplit/>
          <w:trHeight w:val="322"/>
        </w:trPr>
        <w:tc>
          <w:tcPr>
            <w:tcW w:w="1681"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Text"/>
              <w:rPr>
                <w:rFonts w:ascii="Arial" w:hAnsi="Arial"/>
                <w:sz w:val="18"/>
              </w:rPr>
            </w:pPr>
            <w:proofErr w:type="spellStart"/>
            <w:r w:rsidRPr="00D00015">
              <w:rPr>
                <w:rFonts w:ascii="Arial" w:hAnsi="Arial"/>
                <w:sz w:val="18"/>
              </w:rPr>
              <w:t>PROs</w:t>
            </w:r>
            <w:r w:rsidRPr="00D00015">
              <w:rPr>
                <w:rFonts w:ascii="Arial" w:hAnsi="Arial"/>
                <w:sz w:val="18"/>
                <w:vertAlign w:val="superscript"/>
              </w:rPr>
              <w:t>j</w:t>
            </w:r>
            <w:proofErr w:type="spellEnd"/>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37"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91"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r>
      <w:tr w:rsidR="00FE434B" w:rsidRPr="00D00015" w:rsidTr="00740613">
        <w:trPr>
          <w:cantSplit/>
          <w:trHeight w:val="322"/>
        </w:trPr>
        <w:tc>
          <w:tcPr>
            <w:tcW w:w="1681"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Text"/>
              <w:rPr>
                <w:rFonts w:ascii="Arial" w:hAnsi="Arial"/>
                <w:sz w:val="18"/>
              </w:rPr>
            </w:pPr>
            <w:r w:rsidRPr="00D00015">
              <w:rPr>
                <w:rFonts w:ascii="Arial" w:hAnsi="Arial"/>
                <w:sz w:val="18"/>
              </w:rPr>
              <w:t>TSQM-9</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37"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91"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r>
      <w:tr w:rsidR="00FE434B" w:rsidRPr="00D00015" w:rsidTr="00740613">
        <w:trPr>
          <w:cantSplit/>
          <w:trHeight w:val="322"/>
        </w:trPr>
        <w:tc>
          <w:tcPr>
            <w:tcW w:w="1681"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Text"/>
              <w:rPr>
                <w:rFonts w:ascii="Arial" w:hAnsi="Arial"/>
                <w:sz w:val="18"/>
              </w:rPr>
            </w:pPr>
            <w:r w:rsidRPr="00D00015">
              <w:rPr>
                <w:rFonts w:ascii="Arial" w:hAnsi="Arial"/>
                <w:sz w:val="18"/>
              </w:rPr>
              <w:t xml:space="preserve">Patient </w:t>
            </w:r>
            <w:proofErr w:type="spellStart"/>
            <w:r w:rsidRPr="00D00015">
              <w:rPr>
                <w:rFonts w:ascii="Arial" w:hAnsi="Arial"/>
                <w:sz w:val="18"/>
              </w:rPr>
              <w:t>reminders</w:t>
            </w:r>
            <w:r w:rsidRPr="00D00015">
              <w:rPr>
                <w:rFonts w:ascii="Arial" w:hAnsi="Arial"/>
                <w:sz w:val="18"/>
                <w:vertAlign w:val="superscript"/>
              </w:rPr>
              <w:t>k</w:t>
            </w:r>
            <w:proofErr w:type="spellEnd"/>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37"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91"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r>
      <w:tr w:rsidR="00FE434B" w:rsidRPr="00D00015" w:rsidTr="00740613">
        <w:trPr>
          <w:cantSplit/>
          <w:trHeight w:val="322"/>
        </w:trPr>
        <w:tc>
          <w:tcPr>
            <w:tcW w:w="1681"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Text"/>
              <w:rPr>
                <w:rFonts w:ascii="Arial" w:hAnsi="Arial"/>
                <w:sz w:val="18"/>
              </w:rPr>
            </w:pPr>
            <w:r w:rsidRPr="00D00015">
              <w:rPr>
                <w:rFonts w:ascii="Arial" w:hAnsi="Arial"/>
                <w:sz w:val="18"/>
              </w:rPr>
              <w:t>Return used study drug to site</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37"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91"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r>
      <w:tr w:rsidR="00FE434B" w:rsidRPr="00D00015" w:rsidTr="00740613">
        <w:trPr>
          <w:cantSplit/>
          <w:trHeight w:val="322"/>
        </w:trPr>
        <w:tc>
          <w:tcPr>
            <w:tcW w:w="1681"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Text"/>
              <w:rPr>
                <w:rFonts w:ascii="Arial" w:hAnsi="Arial"/>
                <w:sz w:val="18"/>
              </w:rPr>
            </w:pPr>
            <w:r w:rsidRPr="00D00015">
              <w:rPr>
                <w:rFonts w:ascii="Arial" w:hAnsi="Arial"/>
                <w:sz w:val="18"/>
              </w:rPr>
              <w:t>Review ECG CMS data</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37"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91"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r>
      <w:tr w:rsidR="00FE434B" w:rsidRPr="00D00015" w:rsidTr="00740613">
        <w:trPr>
          <w:cantSplit/>
          <w:trHeight w:val="322"/>
        </w:trPr>
        <w:tc>
          <w:tcPr>
            <w:tcW w:w="1681"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Text"/>
              <w:rPr>
                <w:rFonts w:ascii="Arial" w:hAnsi="Arial"/>
                <w:sz w:val="18"/>
              </w:rPr>
            </w:pPr>
            <w:r w:rsidRPr="00D00015">
              <w:rPr>
                <w:rFonts w:ascii="Arial" w:hAnsi="Arial"/>
                <w:sz w:val="18"/>
              </w:rPr>
              <w:t>Adverse events</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37"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91"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r>
      <w:tr w:rsidR="00FE434B" w:rsidRPr="00D00015" w:rsidTr="00740613">
        <w:trPr>
          <w:cantSplit/>
          <w:trHeight w:val="239"/>
        </w:trPr>
        <w:tc>
          <w:tcPr>
            <w:tcW w:w="1681"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Text"/>
              <w:rPr>
                <w:rFonts w:ascii="Arial" w:hAnsi="Arial"/>
                <w:sz w:val="18"/>
              </w:rPr>
            </w:pPr>
            <w:r w:rsidRPr="00D00015">
              <w:rPr>
                <w:rFonts w:ascii="Arial" w:hAnsi="Arial"/>
                <w:sz w:val="18"/>
              </w:rPr>
              <w:t xml:space="preserve">Collect ECG CMS </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37"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91"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r>
      <w:tr w:rsidR="00FE434B" w:rsidRPr="00D00015" w:rsidTr="00740613">
        <w:trPr>
          <w:cantSplit/>
          <w:trHeight w:val="239"/>
        </w:trPr>
        <w:tc>
          <w:tcPr>
            <w:tcW w:w="1681" w:type="pct"/>
            <w:tcBorders>
              <w:top w:val="single" w:sz="6" w:space="0" w:color="000000"/>
              <w:left w:val="single" w:sz="6" w:space="0" w:color="000000"/>
              <w:bottom w:val="single" w:sz="6" w:space="0" w:color="000000"/>
              <w:right w:val="single" w:sz="6" w:space="0" w:color="000000"/>
            </w:tcBorders>
          </w:tcPr>
          <w:p w:rsidR="00FE434B" w:rsidRPr="00D00015" w:rsidRDefault="00FE434B" w:rsidP="00740613">
            <w:pPr>
              <w:pStyle w:val="A-TableText"/>
              <w:rPr>
                <w:rFonts w:ascii="Arial" w:hAnsi="Arial"/>
                <w:sz w:val="18"/>
              </w:rPr>
            </w:pPr>
            <w:r w:rsidRPr="00D00015">
              <w:rPr>
                <w:rFonts w:ascii="Arial" w:hAnsi="Arial"/>
                <w:sz w:val="18"/>
              </w:rPr>
              <w:t xml:space="preserve">End of study </w:t>
            </w:r>
            <w:proofErr w:type="spellStart"/>
            <w:r w:rsidRPr="00D00015">
              <w:rPr>
                <w:rFonts w:ascii="Arial" w:hAnsi="Arial"/>
                <w:sz w:val="18"/>
              </w:rPr>
              <w:t>eCRF</w:t>
            </w:r>
            <w:proofErr w:type="spellEnd"/>
            <w:r w:rsidRPr="00D00015">
              <w:rPr>
                <w:rFonts w:ascii="Arial" w:hAnsi="Arial"/>
                <w:sz w:val="18"/>
              </w:rPr>
              <w:t xml:space="preserve"> completion</w:t>
            </w: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37"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91"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p>
        </w:tc>
        <w:tc>
          <w:tcPr>
            <w:tcW w:w="663" w:type="pct"/>
            <w:tcBorders>
              <w:top w:val="single" w:sz="6" w:space="0" w:color="000000"/>
              <w:left w:val="single" w:sz="6" w:space="0" w:color="000000"/>
              <w:bottom w:val="single" w:sz="6" w:space="0" w:color="000000"/>
              <w:right w:val="single" w:sz="6" w:space="0" w:color="000000"/>
            </w:tcBorders>
            <w:vAlign w:val="center"/>
          </w:tcPr>
          <w:p w:rsidR="00FE434B" w:rsidRPr="00D00015" w:rsidRDefault="00FE434B" w:rsidP="00740613">
            <w:pPr>
              <w:pStyle w:val="A-TableText"/>
              <w:jc w:val="center"/>
              <w:rPr>
                <w:rFonts w:ascii="Arial" w:hAnsi="Arial"/>
                <w:sz w:val="18"/>
              </w:rPr>
            </w:pPr>
            <w:r w:rsidRPr="00D00015">
              <w:rPr>
                <w:rFonts w:ascii="Arial" w:hAnsi="Arial"/>
                <w:sz w:val="18"/>
              </w:rPr>
              <w:t>X</w:t>
            </w:r>
          </w:p>
        </w:tc>
      </w:tr>
    </w:tbl>
    <w:p w:rsidR="00FE434B" w:rsidRPr="00D00015" w:rsidRDefault="00FE434B" w:rsidP="00FE434B">
      <w:pPr>
        <w:pStyle w:val="Text"/>
      </w:pPr>
    </w:p>
    <w:p w:rsidR="00FE434B" w:rsidRPr="00D00015" w:rsidRDefault="00FE434B" w:rsidP="00FE434B">
      <w:pPr>
        <w:pStyle w:val="Text"/>
        <w:spacing w:line="360" w:lineRule="auto"/>
      </w:pPr>
      <w:proofErr w:type="spellStart"/>
      <w:proofErr w:type="gramStart"/>
      <w:r w:rsidRPr="00D00015">
        <w:rPr>
          <w:vertAlign w:val="superscript"/>
        </w:rPr>
        <w:t>a</w:t>
      </w:r>
      <w:r w:rsidRPr="00D00015">
        <w:t>Screening</w:t>
      </w:r>
      <w:proofErr w:type="spellEnd"/>
      <w:proofErr w:type="gramEnd"/>
      <w:r w:rsidRPr="00D00015">
        <w:t xml:space="preserve"> and baseline visits could be incorporated into one visit for purposes of avoiding an extra on-site visit in extenuating circumstances.</w:t>
      </w:r>
    </w:p>
    <w:p w:rsidR="00FE434B" w:rsidRPr="00D00015" w:rsidRDefault="00FE434B" w:rsidP="00FE434B">
      <w:pPr>
        <w:pStyle w:val="Text"/>
        <w:spacing w:line="360" w:lineRule="auto"/>
      </w:pPr>
      <w:proofErr w:type="spellStart"/>
      <w:proofErr w:type="gramStart"/>
      <w:r w:rsidRPr="00D00015">
        <w:rPr>
          <w:vertAlign w:val="superscript"/>
        </w:rPr>
        <w:t>b</w:t>
      </w:r>
      <w:r w:rsidRPr="00D00015">
        <w:t>Baseline</w:t>
      </w:r>
      <w:proofErr w:type="spellEnd"/>
      <w:proofErr w:type="gramEnd"/>
      <w:r w:rsidRPr="00D00015">
        <w:t xml:space="preserve"> visit could be conducted with screening visit for purposes of avoiding an extra on-site visit in extenuating circumstances.</w:t>
      </w:r>
    </w:p>
    <w:p w:rsidR="00FE434B" w:rsidRPr="00D00015" w:rsidRDefault="00FE434B" w:rsidP="00FE434B">
      <w:pPr>
        <w:pStyle w:val="Text"/>
        <w:spacing w:line="360" w:lineRule="auto"/>
      </w:pPr>
      <w:proofErr w:type="spellStart"/>
      <w:proofErr w:type="gramStart"/>
      <w:r w:rsidRPr="00D00015">
        <w:rPr>
          <w:vertAlign w:val="superscript"/>
        </w:rPr>
        <w:t>c</w:t>
      </w:r>
      <w:r w:rsidRPr="00D00015">
        <w:t>Treatment</w:t>
      </w:r>
      <w:proofErr w:type="spellEnd"/>
      <w:proofErr w:type="gramEnd"/>
      <w:r w:rsidRPr="00D00015">
        <w:t xml:space="preserve"> period assessments were done by the patient in an at-home setting.</w:t>
      </w:r>
    </w:p>
    <w:p w:rsidR="00FE434B" w:rsidRPr="00D00015" w:rsidRDefault="00FE434B" w:rsidP="00FE434B">
      <w:pPr>
        <w:pStyle w:val="Text"/>
        <w:spacing w:line="360" w:lineRule="auto"/>
      </w:pPr>
      <w:proofErr w:type="spellStart"/>
      <w:proofErr w:type="gramStart"/>
      <w:r w:rsidRPr="00D00015">
        <w:rPr>
          <w:vertAlign w:val="superscript"/>
        </w:rPr>
        <w:t>d</w:t>
      </w:r>
      <w:r w:rsidRPr="00D00015">
        <w:t>Follow</w:t>
      </w:r>
      <w:proofErr w:type="spellEnd"/>
      <w:r w:rsidRPr="00D00015">
        <w:t>-up</w:t>
      </w:r>
      <w:proofErr w:type="gramEnd"/>
      <w:r w:rsidRPr="00D00015">
        <w:t xml:space="preserve"> visits could be conducted within up to 60 days of a treated episode in extenuating circumstances.</w:t>
      </w:r>
    </w:p>
    <w:p w:rsidR="00FE434B" w:rsidRPr="00D00015" w:rsidRDefault="00FE434B" w:rsidP="00FE434B">
      <w:pPr>
        <w:pStyle w:val="Text"/>
        <w:spacing w:line="360" w:lineRule="auto"/>
      </w:pPr>
      <w:proofErr w:type="spellStart"/>
      <w:proofErr w:type="gramStart"/>
      <w:r w:rsidRPr="00D00015">
        <w:rPr>
          <w:vertAlign w:val="superscript"/>
        </w:rPr>
        <w:lastRenderedPageBreak/>
        <w:t>e</w:t>
      </w:r>
      <w:r w:rsidRPr="00D00015">
        <w:t>Vital</w:t>
      </w:r>
      <w:proofErr w:type="spellEnd"/>
      <w:proofErr w:type="gramEnd"/>
      <w:r w:rsidRPr="00D00015">
        <w:t xml:space="preserve"> signs included blood pressure, heart rate, and weight. Height was taken at the screening visit only.</w:t>
      </w:r>
    </w:p>
    <w:p w:rsidR="00FE434B" w:rsidRPr="00D00015" w:rsidRDefault="00FE434B" w:rsidP="00FE434B">
      <w:pPr>
        <w:pStyle w:val="Text"/>
        <w:spacing w:line="360" w:lineRule="auto"/>
      </w:pPr>
      <w:proofErr w:type="spellStart"/>
      <w:proofErr w:type="gramStart"/>
      <w:r w:rsidRPr="00D00015">
        <w:rPr>
          <w:vertAlign w:val="superscript"/>
        </w:rPr>
        <w:t>f</w:t>
      </w:r>
      <w:r w:rsidRPr="00D00015">
        <w:t>Blood</w:t>
      </w:r>
      <w:proofErr w:type="spellEnd"/>
      <w:proofErr w:type="gramEnd"/>
      <w:r w:rsidRPr="00D00015">
        <w:t xml:space="preserve"> / urine samples could be analyzed locally for purposes of preliminary enrolment if screening/baseline visits were combined; samples also were sent to the central laboratory. Central laborato</w:t>
      </w:r>
      <w:bookmarkStart w:id="0" w:name="_GoBack"/>
      <w:bookmarkEnd w:id="0"/>
      <w:r w:rsidRPr="00D00015">
        <w:t>ry results allowed enrollment in study.</w:t>
      </w:r>
    </w:p>
    <w:p w:rsidR="00FE434B" w:rsidRPr="00D00015" w:rsidRDefault="00FE434B" w:rsidP="00FE434B">
      <w:pPr>
        <w:pStyle w:val="Text"/>
        <w:spacing w:line="360" w:lineRule="auto"/>
      </w:pPr>
      <w:proofErr w:type="spellStart"/>
      <w:proofErr w:type="gramStart"/>
      <w:r w:rsidRPr="00D00015">
        <w:rPr>
          <w:vertAlign w:val="superscript"/>
        </w:rPr>
        <w:t>g</w:t>
      </w:r>
      <w:r w:rsidRPr="00D00015">
        <w:t>At</w:t>
      </w:r>
      <w:proofErr w:type="spellEnd"/>
      <w:proofErr w:type="gramEnd"/>
      <w:r w:rsidRPr="00D00015">
        <w:t xml:space="preserve"> follow-up visits, sites re-trained patients who were having questions with their ECG CMS or PRO systems.</w:t>
      </w:r>
    </w:p>
    <w:p w:rsidR="00FE434B" w:rsidRPr="00D00015" w:rsidRDefault="00FE434B" w:rsidP="00FE434B">
      <w:pPr>
        <w:pStyle w:val="Text"/>
        <w:spacing w:line="360" w:lineRule="auto"/>
      </w:pPr>
      <w:proofErr w:type="spellStart"/>
      <w:proofErr w:type="gramStart"/>
      <w:r w:rsidRPr="00D00015">
        <w:rPr>
          <w:vertAlign w:val="superscript"/>
        </w:rPr>
        <w:t>h</w:t>
      </w:r>
      <w:r w:rsidRPr="00D00015">
        <w:t>Study</w:t>
      </w:r>
      <w:proofErr w:type="spellEnd"/>
      <w:proofErr w:type="gramEnd"/>
      <w:r w:rsidRPr="00D00015">
        <w:t xml:space="preserve"> kit at baseline included ECG CMS device and materials, two study drug kits, study identification card and any paper training or PRO materials required or requested. Study kits at follow-up included two study drug kits, additional ECG CMS materials, and any paper training or PRO materials required or requested.</w:t>
      </w:r>
    </w:p>
    <w:p w:rsidR="00FE434B" w:rsidRPr="00D00015" w:rsidRDefault="00FE434B" w:rsidP="00FE434B">
      <w:pPr>
        <w:pStyle w:val="Text"/>
        <w:spacing w:line="360" w:lineRule="auto"/>
      </w:pPr>
      <w:proofErr w:type="spellStart"/>
      <w:proofErr w:type="gramStart"/>
      <w:r w:rsidRPr="00D00015">
        <w:rPr>
          <w:vertAlign w:val="superscript"/>
        </w:rPr>
        <w:t>i</w:t>
      </w:r>
      <w:r w:rsidRPr="00D00015">
        <w:t>Patients</w:t>
      </w:r>
      <w:proofErr w:type="spellEnd"/>
      <w:proofErr w:type="gramEnd"/>
      <w:r w:rsidRPr="00D00015">
        <w:t xml:space="preserve"> self-administered one dose, waited 10 minutes, and self-administered a repeat dose if PSVT symptoms persisted. </w:t>
      </w:r>
    </w:p>
    <w:p w:rsidR="00FE434B" w:rsidRPr="00D00015" w:rsidRDefault="00FE434B" w:rsidP="00FE434B">
      <w:pPr>
        <w:pStyle w:val="Text"/>
        <w:spacing w:line="360" w:lineRule="auto"/>
      </w:pPr>
      <w:proofErr w:type="spellStart"/>
      <w:proofErr w:type="gramStart"/>
      <w:r w:rsidRPr="00D00015">
        <w:rPr>
          <w:vertAlign w:val="superscript"/>
        </w:rPr>
        <w:t>j</w:t>
      </w:r>
      <w:r w:rsidRPr="00D00015">
        <w:t>PROs</w:t>
      </w:r>
      <w:proofErr w:type="spellEnd"/>
      <w:proofErr w:type="gramEnd"/>
      <w:r w:rsidRPr="00D00015">
        <w:t xml:space="preserve"> were administered via Phone or Tablet application. PROs included a) baseline survey to be done on site at baseline; b) the BIPQ, CAQ, and SF-36 done within 48 hours of baseline and every 6 months thereafter; c) a monthly survey done each month after baseline; d) a per episode survey done for each episode regardless of whether or not a patient took study drug; e) the TSQM-9 done after each episode where the patient took study drug.</w:t>
      </w:r>
    </w:p>
    <w:p w:rsidR="00FE434B" w:rsidRPr="00D00015" w:rsidRDefault="00FE434B" w:rsidP="00FE434B">
      <w:pPr>
        <w:pStyle w:val="Text"/>
        <w:spacing w:line="360" w:lineRule="auto"/>
      </w:pPr>
      <w:proofErr w:type="spellStart"/>
      <w:proofErr w:type="gramStart"/>
      <w:r w:rsidRPr="00D00015">
        <w:rPr>
          <w:vertAlign w:val="superscript"/>
        </w:rPr>
        <w:t>k</w:t>
      </w:r>
      <w:r w:rsidRPr="00D00015">
        <w:t>Sites</w:t>
      </w:r>
      <w:proofErr w:type="spellEnd"/>
      <w:proofErr w:type="gramEnd"/>
      <w:r w:rsidRPr="00D00015">
        <w:t xml:space="preserve"> called patients who missed two consecutive PRO surveys to retrain and engage the patient.</w:t>
      </w:r>
    </w:p>
    <w:p w:rsidR="00FE434B" w:rsidRPr="00D00015" w:rsidRDefault="00FE434B" w:rsidP="00FE434B">
      <w:pPr>
        <w:pStyle w:val="Text"/>
      </w:pPr>
      <w:r w:rsidRPr="00D00015">
        <w:t xml:space="preserve">BIPQ, Brief Illness Perception Questionnaire; CAQ, Cardiac Anxiety Questionnaire; </w:t>
      </w:r>
      <w:proofErr w:type="spellStart"/>
      <w:r w:rsidRPr="00D00015">
        <w:t>eCRT</w:t>
      </w:r>
      <w:proofErr w:type="spellEnd"/>
      <w:r w:rsidRPr="00D00015">
        <w:t>, electronic case report form; EGC, electrocardiogram; PRO, patient-reported outcome; SF-36, Short Form (36) Health Survey; TSQM-9, Treatment Satisfaction Questionnaire for Medication</w:t>
      </w:r>
      <w:r w:rsidRPr="00D00015">
        <w:rPr>
          <w:vertAlign w:val="superscript"/>
        </w:rPr>
        <w:t>®</w:t>
      </w:r>
      <w:r w:rsidRPr="00D00015">
        <w:t>-9; VG, vagal maneuver</w:t>
      </w:r>
    </w:p>
    <w:p w:rsidR="000C068E" w:rsidRDefault="000C068E"/>
    <w:sectPr w:rsidR="000C068E">
      <w:headerReference w:type="default" r:id="rId6"/>
      <w:footerReference w:type="even" r:id="rId7"/>
      <w:footerReference w:type="default" r:id="rId8"/>
      <w:pgSz w:w="11906" w:h="16838"/>
      <w:pgMar w:top="1418" w:right="1418" w:bottom="1418" w:left="1418" w:header="28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FA" w:rsidRDefault="00FE434B">
    <w:pPr>
      <w:pStyle w:val="Footer"/>
    </w:pPr>
    <w:r>
      <w:fldChar w:fldCharType="begin"/>
    </w:r>
    <w:r>
      <w:instrText xml:space="preserve"> PAGE   \* MERGEFORMAT </w:instrText>
    </w:r>
    <w:r>
      <w:fldChar w:fldCharType="end"/>
    </w:r>
  </w:p>
  <w:p w:rsidR="009A33FA" w:rsidRDefault="00FE43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FA" w:rsidRDefault="00FE434B">
    <w:pPr>
      <w:pStyle w:val="Footer"/>
    </w:pPr>
    <w:r>
      <w:fldChar w:fldCharType="begin"/>
    </w:r>
    <w:r>
      <w:instrText xml:space="preserve"> PAGE   \* MERGEFORMAT </w:instrText>
    </w:r>
    <w:r>
      <w:fldChar w:fldCharType="separate"/>
    </w:r>
    <w:r>
      <w:rPr>
        <w:noProof/>
      </w:rPr>
      <w:t>14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A0" w:rsidRPr="00FC1BAA" w:rsidRDefault="00FE434B" w:rsidP="00491DA0">
    <w:pPr>
      <w:pStyle w:val="Text"/>
      <w:rPr>
        <w:lang w:val="sv-SE"/>
      </w:rPr>
    </w:pPr>
    <w:r w:rsidRPr="00FC1BAA">
      <w:rPr>
        <w:lang w:val="sv-SE"/>
      </w:rPr>
      <w:t>NODE-303 protocol: Etripamil in PSVT</w:t>
    </w:r>
  </w:p>
  <w:p w:rsidR="00FC1BAA" w:rsidRPr="00FC1BAA" w:rsidRDefault="00FE434B">
    <w:pPr>
      <w:pStyle w:val="Header"/>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5006B"/>
    <w:multiLevelType w:val="multilevel"/>
    <w:tmpl w:val="48CC0748"/>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1">
    <w:nsid w:val="7B611C79"/>
    <w:multiLevelType w:val="multilevel"/>
    <w:tmpl w:val="FD32F32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14" w:hanging="354"/>
      </w:pPr>
      <w:rPr>
        <w:rFonts w:ascii="Arial" w:hAnsi="Arial" w:hint="default"/>
      </w:rPr>
    </w:lvl>
    <w:lvl w:ilvl="2">
      <w:start w:val="1"/>
      <w:numFmt w:val="bullet"/>
      <w:pStyle w:val="ListBullet3"/>
      <w:lvlText w:val=""/>
      <w:lvlJc w:val="left"/>
      <w:pPr>
        <w:ind w:left="1072" w:hanging="358"/>
      </w:pPr>
      <w:rPr>
        <w:rFonts w:ascii="Symbol" w:hAnsi="Symbol" w:hint="default"/>
      </w:rPr>
    </w:lvl>
    <w:lvl w:ilvl="3">
      <w:start w:val="1"/>
      <w:numFmt w:val="bullet"/>
      <w:pStyle w:val="ListBullet4"/>
      <w:lvlText w:val="–"/>
      <w:lvlJc w:val="left"/>
      <w:pPr>
        <w:ind w:left="1429" w:hanging="357"/>
      </w:pPr>
      <w:rPr>
        <w:rFonts w:ascii="Arial" w:hAnsi="Arial" w:hint="default"/>
      </w:rPr>
    </w:lvl>
    <w:lvl w:ilvl="4">
      <w:start w:val="1"/>
      <w:numFmt w:val="bullet"/>
      <w:pStyle w:val="ListBullet5"/>
      <w:lvlText w:val=""/>
      <w:lvlJc w:val="left"/>
      <w:pPr>
        <w:ind w:left="1786" w:hanging="35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4B"/>
    <w:rsid w:val="000C068E"/>
    <w:rsid w:val="00FE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List Bullet" w:uiPriority="0" w:qFormat="1"/>
    <w:lsdException w:name="List Bullet 2" w:uiPriority="0" w:qFormat="1"/>
    <w:lsdException w:name="List Bullet 3" w:uiPriority="0" w:qFormat="1"/>
    <w:lsdException w:name="List Bullet 4" w:uiPriority="0" w:qFormat="1"/>
    <w:lsdException w:name="List Bullet 5"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4B"/>
    <w:pPr>
      <w:spacing w:after="0" w:line="36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FE434B"/>
    <w:pPr>
      <w:spacing w:after="240" w:line="480" w:lineRule="auto"/>
    </w:pPr>
  </w:style>
  <w:style w:type="table" w:customStyle="1" w:styleId="Table">
    <w:name w:val="Table"/>
    <w:qFormat/>
    <w:rsid w:val="00FE434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Footer">
    <w:name w:val="footer"/>
    <w:basedOn w:val="Normal"/>
    <w:link w:val="FooterChar"/>
    <w:qFormat/>
    <w:rsid w:val="00FE434B"/>
    <w:pPr>
      <w:tabs>
        <w:tab w:val="center" w:pos="4536"/>
        <w:tab w:val="right" w:pos="9072"/>
      </w:tabs>
    </w:pPr>
    <w:rPr>
      <w:sz w:val="20"/>
    </w:rPr>
  </w:style>
  <w:style w:type="character" w:customStyle="1" w:styleId="FooterChar">
    <w:name w:val="Footer Char"/>
    <w:basedOn w:val="DefaultParagraphFont"/>
    <w:link w:val="Footer"/>
    <w:rsid w:val="00FE434B"/>
    <w:rPr>
      <w:rFonts w:ascii="Arial" w:eastAsia="Times New Roman" w:hAnsi="Arial" w:cs="Times New Roman"/>
      <w:sz w:val="20"/>
      <w:szCs w:val="20"/>
    </w:rPr>
  </w:style>
  <w:style w:type="paragraph" w:styleId="ListBullet">
    <w:name w:val="List Bullet"/>
    <w:basedOn w:val="Normal"/>
    <w:qFormat/>
    <w:rsid w:val="00FE434B"/>
    <w:pPr>
      <w:numPr>
        <w:numId w:val="1"/>
      </w:numPr>
      <w:contextualSpacing/>
    </w:pPr>
  </w:style>
  <w:style w:type="paragraph" w:styleId="ListBullet2">
    <w:name w:val="List Bullet 2"/>
    <w:basedOn w:val="Normal"/>
    <w:qFormat/>
    <w:rsid w:val="00FE434B"/>
    <w:pPr>
      <w:numPr>
        <w:ilvl w:val="1"/>
        <w:numId w:val="1"/>
      </w:numPr>
      <w:contextualSpacing/>
    </w:pPr>
  </w:style>
  <w:style w:type="paragraph" w:styleId="ListBullet3">
    <w:name w:val="List Bullet 3"/>
    <w:basedOn w:val="Normal"/>
    <w:qFormat/>
    <w:rsid w:val="00FE434B"/>
    <w:pPr>
      <w:numPr>
        <w:ilvl w:val="2"/>
        <w:numId w:val="1"/>
      </w:numPr>
      <w:contextualSpacing/>
    </w:pPr>
  </w:style>
  <w:style w:type="paragraph" w:styleId="ListBullet4">
    <w:name w:val="List Bullet 4"/>
    <w:basedOn w:val="Normal"/>
    <w:qFormat/>
    <w:rsid w:val="00FE434B"/>
    <w:pPr>
      <w:numPr>
        <w:ilvl w:val="3"/>
        <w:numId w:val="1"/>
      </w:numPr>
      <w:contextualSpacing/>
    </w:pPr>
  </w:style>
  <w:style w:type="paragraph" w:styleId="ListBullet5">
    <w:name w:val="List Bullet 5"/>
    <w:basedOn w:val="Normal"/>
    <w:qFormat/>
    <w:rsid w:val="00FE434B"/>
    <w:pPr>
      <w:numPr>
        <w:ilvl w:val="4"/>
        <w:numId w:val="1"/>
      </w:numPr>
      <w:contextualSpacing/>
    </w:pPr>
  </w:style>
  <w:style w:type="paragraph" w:customStyle="1" w:styleId="Manuscriptheading1unnumbered">
    <w:name w:val="Manuscript heading 1 unnumbered"/>
    <w:basedOn w:val="Normal"/>
    <w:qFormat/>
    <w:rsid w:val="00FE434B"/>
    <w:pPr>
      <w:keepNext/>
      <w:spacing w:before="120" w:after="60"/>
      <w:outlineLvl w:val="0"/>
    </w:pPr>
    <w:rPr>
      <w:b/>
      <w:sz w:val="28"/>
    </w:rPr>
  </w:style>
  <w:style w:type="paragraph" w:customStyle="1" w:styleId="Manuscriptheading2unnumbered">
    <w:name w:val="Manuscript heading 2 unnumbered"/>
    <w:basedOn w:val="Normal"/>
    <w:qFormat/>
    <w:rsid w:val="00FE434B"/>
    <w:pPr>
      <w:keepNext/>
      <w:tabs>
        <w:tab w:val="left" w:pos="1134"/>
      </w:tabs>
      <w:spacing w:before="240" w:after="60"/>
      <w:outlineLvl w:val="1"/>
    </w:pPr>
    <w:rPr>
      <w:b/>
      <w:sz w:val="24"/>
    </w:rPr>
  </w:style>
  <w:style w:type="paragraph" w:customStyle="1" w:styleId="Manuscriptheading3unnumbered">
    <w:name w:val="Manuscript heading 3 unnumbered"/>
    <w:basedOn w:val="Normal"/>
    <w:qFormat/>
    <w:rsid w:val="00FE434B"/>
    <w:pPr>
      <w:keepNext/>
      <w:spacing w:before="240" w:after="60"/>
      <w:outlineLvl w:val="2"/>
    </w:pPr>
    <w:rPr>
      <w:b/>
      <w:i/>
    </w:rPr>
  </w:style>
  <w:style w:type="paragraph" w:customStyle="1" w:styleId="A-TableHeader">
    <w:name w:val="A-Table Header"/>
    <w:qFormat/>
    <w:rsid w:val="00FE434B"/>
    <w:pPr>
      <w:keepNext/>
      <w:spacing w:before="60" w:after="60" w:line="240" w:lineRule="auto"/>
      <w:ind w:left="14" w:right="14"/>
    </w:pPr>
    <w:rPr>
      <w:rFonts w:ascii="Times New Roman" w:eastAsia="Times New Roman" w:hAnsi="Times New Roman" w:cs="Times New Roman"/>
      <w:b/>
      <w:szCs w:val="20"/>
    </w:rPr>
  </w:style>
  <w:style w:type="paragraph" w:customStyle="1" w:styleId="A-TableText">
    <w:name w:val="A-Table Text"/>
    <w:qFormat/>
    <w:rsid w:val="00FE434B"/>
    <w:pPr>
      <w:spacing w:before="60" w:after="60" w:line="240" w:lineRule="auto"/>
      <w:ind w:left="43" w:right="43"/>
    </w:pPr>
    <w:rPr>
      <w:rFonts w:ascii="Times New Roman" w:eastAsia="Times New Roman" w:hAnsi="Times New Roman" w:cs="Times New Roman"/>
      <w:szCs w:val="20"/>
    </w:rPr>
  </w:style>
  <w:style w:type="paragraph" w:styleId="Header">
    <w:name w:val="header"/>
    <w:basedOn w:val="Normal"/>
    <w:link w:val="HeaderChar"/>
    <w:qFormat/>
    <w:rsid w:val="00FE434B"/>
    <w:pPr>
      <w:tabs>
        <w:tab w:val="center" w:pos="4680"/>
        <w:tab w:val="right" w:pos="9360"/>
      </w:tabs>
      <w:spacing w:line="240" w:lineRule="auto"/>
    </w:pPr>
  </w:style>
  <w:style w:type="character" w:customStyle="1" w:styleId="HeaderChar">
    <w:name w:val="Header Char"/>
    <w:basedOn w:val="DefaultParagraphFont"/>
    <w:link w:val="Header"/>
    <w:rsid w:val="00FE434B"/>
    <w:rPr>
      <w:rFonts w:ascii="Arial" w:eastAsia="Times New Roman" w:hAnsi="Arial" w:cs="Times New Roman"/>
      <w:szCs w:val="20"/>
    </w:rPr>
  </w:style>
  <w:style w:type="table" w:customStyle="1" w:styleId="Table1">
    <w:name w:val="Table1"/>
    <w:qFormat/>
    <w:rsid w:val="00FE434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le2">
    <w:name w:val="Table2"/>
    <w:qFormat/>
    <w:rsid w:val="00FE434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le3">
    <w:name w:val="Table3"/>
    <w:qFormat/>
    <w:rsid w:val="00FE434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le4">
    <w:name w:val="Table4"/>
    <w:qFormat/>
    <w:rsid w:val="00FE434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le5">
    <w:name w:val="Table5"/>
    <w:qFormat/>
    <w:rsid w:val="00FE434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List Bullet" w:uiPriority="0" w:qFormat="1"/>
    <w:lsdException w:name="List Bullet 2" w:uiPriority="0" w:qFormat="1"/>
    <w:lsdException w:name="List Bullet 3" w:uiPriority="0" w:qFormat="1"/>
    <w:lsdException w:name="List Bullet 4" w:uiPriority="0" w:qFormat="1"/>
    <w:lsdException w:name="List Bullet 5"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4B"/>
    <w:pPr>
      <w:spacing w:after="0" w:line="36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FE434B"/>
    <w:pPr>
      <w:spacing w:after="240" w:line="480" w:lineRule="auto"/>
    </w:pPr>
  </w:style>
  <w:style w:type="table" w:customStyle="1" w:styleId="Table">
    <w:name w:val="Table"/>
    <w:qFormat/>
    <w:rsid w:val="00FE434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Footer">
    <w:name w:val="footer"/>
    <w:basedOn w:val="Normal"/>
    <w:link w:val="FooterChar"/>
    <w:qFormat/>
    <w:rsid w:val="00FE434B"/>
    <w:pPr>
      <w:tabs>
        <w:tab w:val="center" w:pos="4536"/>
        <w:tab w:val="right" w:pos="9072"/>
      </w:tabs>
    </w:pPr>
    <w:rPr>
      <w:sz w:val="20"/>
    </w:rPr>
  </w:style>
  <w:style w:type="character" w:customStyle="1" w:styleId="FooterChar">
    <w:name w:val="Footer Char"/>
    <w:basedOn w:val="DefaultParagraphFont"/>
    <w:link w:val="Footer"/>
    <w:rsid w:val="00FE434B"/>
    <w:rPr>
      <w:rFonts w:ascii="Arial" w:eastAsia="Times New Roman" w:hAnsi="Arial" w:cs="Times New Roman"/>
      <w:sz w:val="20"/>
      <w:szCs w:val="20"/>
    </w:rPr>
  </w:style>
  <w:style w:type="paragraph" w:styleId="ListBullet">
    <w:name w:val="List Bullet"/>
    <w:basedOn w:val="Normal"/>
    <w:qFormat/>
    <w:rsid w:val="00FE434B"/>
    <w:pPr>
      <w:numPr>
        <w:numId w:val="1"/>
      </w:numPr>
      <w:contextualSpacing/>
    </w:pPr>
  </w:style>
  <w:style w:type="paragraph" w:styleId="ListBullet2">
    <w:name w:val="List Bullet 2"/>
    <w:basedOn w:val="Normal"/>
    <w:qFormat/>
    <w:rsid w:val="00FE434B"/>
    <w:pPr>
      <w:numPr>
        <w:ilvl w:val="1"/>
        <w:numId w:val="1"/>
      </w:numPr>
      <w:contextualSpacing/>
    </w:pPr>
  </w:style>
  <w:style w:type="paragraph" w:styleId="ListBullet3">
    <w:name w:val="List Bullet 3"/>
    <w:basedOn w:val="Normal"/>
    <w:qFormat/>
    <w:rsid w:val="00FE434B"/>
    <w:pPr>
      <w:numPr>
        <w:ilvl w:val="2"/>
        <w:numId w:val="1"/>
      </w:numPr>
      <w:contextualSpacing/>
    </w:pPr>
  </w:style>
  <w:style w:type="paragraph" w:styleId="ListBullet4">
    <w:name w:val="List Bullet 4"/>
    <w:basedOn w:val="Normal"/>
    <w:qFormat/>
    <w:rsid w:val="00FE434B"/>
    <w:pPr>
      <w:numPr>
        <w:ilvl w:val="3"/>
        <w:numId w:val="1"/>
      </w:numPr>
      <w:contextualSpacing/>
    </w:pPr>
  </w:style>
  <w:style w:type="paragraph" w:styleId="ListBullet5">
    <w:name w:val="List Bullet 5"/>
    <w:basedOn w:val="Normal"/>
    <w:qFormat/>
    <w:rsid w:val="00FE434B"/>
    <w:pPr>
      <w:numPr>
        <w:ilvl w:val="4"/>
        <w:numId w:val="1"/>
      </w:numPr>
      <w:contextualSpacing/>
    </w:pPr>
  </w:style>
  <w:style w:type="paragraph" w:customStyle="1" w:styleId="Manuscriptheading1unnumbered">
    <w:name w:val="Manuscript heading 1 unnumbered"/>
    <w:basedOn w:val="Normal"/>
    <w:qFormat/>
    <w:rsid w:val="00FE434B"/>
    <w:pPr>
      <w:keepNext/>
      <w:spacing w:before="120" w:after="60"/>
      <w:outlineLvl w:val="0"/>
    </w:pPr>
    <w:rPr>
      <w:b/>
      <w:sz w:val="28"/>
    </w:rPr>
  </w:style>
  <w:style w:type="paragraph" w:customStyle="1" w:styleId="Manuscriptheading2unnumbered">
    <w:name w:val="Manuscript heading 2 unnumbered"/>
    <w:basedOn w:val="Normal"/>
    <w:qFormat/>
    <w:rsid w:val="00FE434B"/>
    <w:pPr>
      <w:keepNext/>
      <w:tabs>
        <w:tab w:val="left" w:pos="1134"/>
      </w:tabs>
      <w:spacing w:before="240" w:after="60"/>
      <w:outlineLvl w:val="1"/>
    </w:pPr>
    <w:rPr>
      <w:b/>
      <w:sz w:val="24"/>
    </w:rPr>
  </w:style>
  <w:style w:type="paragraph" w:customStyle="1" w:styleId="Manuscriptheading3unnumbered">
    <w:name w:val="Manuscript heading 3 unnumbered"/>
    <w:basedOn w:val="Normal"/>
    <w:qFormat/>
    <w:rsid w:val="00FE434B"/>
    <w:pPr>
      <w:keepNext/>
      <w:spacing w:before="240" w:after="60"/>
      <w:outlineLvl w:val="2"/>
    </w:pPr>
    <w:rPr>
      <w:b/>
      <w:i/>
    </w:rPr>
  </w:style>
  <w:style w:type="paragraph" w:customStyle="1" w:styleId="A-TableHeader">
    <w:name w:val="A-Table Header"/>
    <w:qFormat/>
    <w:rsid w:val="00FE434B"/>
    <w:pPr>
      <w:keepNext/>
      <w:spacing w:before="60" w:after="60" w:line="240" w:lineRule="auto"/>
      <w:ind w:left="14" w:right="14"/>
    </w:pPr>
    <w:rPr>
      <w:rFonts w:ascii="Times New Roman" w:eastAsia="Times New Roman" w:hAnsi="Times New Roman" w:cs="Times New Roman"/>
      <w:b/>
      <w:szCs w:val="20"/>
    </w:rPr>
  </w:style>
  <w:style w:type="paragraph" w:customStyle="1" w:styleId="A-TableText">
    <w:name w:val="A-Table Text"/>
    <w:qFormat/>
    <w:rsid w:val="00FE434B"/>
    <w:pPr>
      <w:spacing w:before="60" w:after="60" w:line="240" w:lineRule="auto"/>
      <w:ind w:left="43" w:right="43"/>
    </w:pPr>
    <w:rPr>
      <w:rFonts w:ascii="Times New Roman" w:eastAsia="Times New Roman" w:hAnsi="Times New Roman" w:cs="Times New Roman"/>
      <w:szCs w:val="20"/>
    </w:rPr>
  </w:style>
  <w:style w:type="paragraph" w:styleId="Header">
    <w:name w:val="header"/>
    <w:basedOn w:val="Normal"/>
    <w:link w:val="HeaderChar"/>
    <w:qFormat/>
    <w:rsid w:val="00FE434B"/>
    <w:pPr>
      <w:tabs>
        <w:tab w:val="center" w:pos="4680"/>
        <w:tab w:val="right" w:pos="9360"/>
      </w:tabs>
      <w:spacing w:line="240" w:lineRule="auto"/>
    </w:pPr>
  </w:style>
  <w:style w:type="character" w:customStyle="1" w:styleId="HeaderChar">
    <w:name w:val="Header Char"/>
    <w:basedOn w:val="DefaultParagraphFont"/>
    <w:link w:val="Header"/>
    <w:rsid w:val="00FE434B"/>
    <w:rPr>
      <w:rFonts w:ascii="Arial" w:eastAsia="Times New Roman" w:hAnsi="Arial" w:cs="Times New Roman"/>
      <w:szCs w:val="20"/>
    </w:rPr>
  </w:style>
  <w:style w:type="table" w:customStyle="1" w:styleId="Table1">
    <w:name w:val="Table1"/>
    <w:qFormat/>
    <w:rsid w:val="00FE434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le2">
    <w:name w:val="Table2"/>
    <w:qFormat/>
    <w:rsid w:val="00FE434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le3">
    <w:name w:val="Table3"/>
    <w:qFormat/>
    <w:rsid w:val="00FE434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le4">
    <w:name w:val="Table4"/>
    <w:qFormat/>
    <w:rsid w:val="00FE434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le5">
    <w:name w:val="Table5"/>
    <w:qFormat/>
    <w:rsid w:val="00FE434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3618</Words>
  <Characters>20628</Characters>
  <Application>Microsoft Office Word</Application>
  <DocSecurity>0</DocSecurity>
  <Lines>171</Lines>
  <Paragraphs>48</Paragraphs>
  <ScaleCrop>false</ScaleCrop>
  <Company/>
  <LinksUpToDate>false</LinksUpToDate>
  <CharactersWithSpaces>24198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Edit 6.0</dc:creator>
  <cp:lastModifiedBy>Power Edit 6.0</cp:lastModifiedBy>
  <cp:revision>1</cp:revision>
  <dcterms:created xsi:type="dcterms:W3CDTF">2024-01-18T19:14:00Z</dcterms:created>
  <dcterms:modified xsi:type="dcterms:W3CDTF">2024-01-18T19:15:00Z</dcterms:modified>
</cp:coreProperties>
</file>