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445C" w14:textId="73055915" w:rsidR="00094365" w:rsidRPr="00094365" w:rsidRDefault="003E5C1C" w:rsidP="00094365">
      <w:pPr>
        <w:pStyle w:val="Heading1"/>
        <w:rPr>
          <w:color w:val="auto"/>
          <w:lang w:val="en-GB"/>
        </w:rPr>
      </w:pPr>
      <w:r w:rsidRPr="00094365">
        <w:rPr>
          <w:color w:val="auto"/>
          <w:lang w:val="en-GB"/>
        </w:rPr>
        <w:t>Dementia biomarkers</w:t>
      </w:r>
      <w:r w:rsidR="009908FB" w:rsidRPr="00094365">
        <w:rPr>
          <w:color w:val="auto"/>
          <w:lang w:val="en-GB"/>
        </w:rPr>
        <w:t>:</w:t>
      </w:r>
      <w:r w:rsidRPr="00094365">
        <w:rPr>
          <w:color w:val="auto"/>
          <w:lang w:val="en-GB"/>
        </w:rPr>
        <w:t xml:space="preserve"> </w:t>
      </w:r>
      <w:r w:rsidR="00CA06EE" w:rsidRPr="00094365">
        <w:rPr>
          <w:color w:val="auto"/>
          <w:lang w:val="en-GB"/>
        </w:rPr>
        <w:t>too soon for ‘mainstreaming’</w:t>
      </w:r>
      <w:r w:rsidR="007A022D" w:rsidRPr="00094365">
        <w:rPr>
          <w:color w:val="auto"/>
          <w:lang w:val="en-GB"/>
        </w:rPr>
        <w:t>.</w:t>
      </w:r>
    </w:p>
    <w:p w14:paraId="2F375DFC" w14:textId="77777777" w:rsidR="00094365" w:rsidRPr="00094365" w:rsidRDefault="00094365" w:rsidP="00094365">
      <w:pPr>
        <w:rPr>
          <w:lang w:val="en-GB"/>
        </w:rPr>
      </w:pPr>
    </w:p>
    <w:p w14:paraId="71C456A2" w14:textId="1B7BB09D" w:rsidR="003E5C1C" w:rsidRPr="00275DE0" w:rsidRDefault="003E5C1C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>Jeremy D Isaacs</w:t>
      </w:r>
      <w:r w:rsidR="00032574">
        <w:rPr>
          <w:rFonts w:cstheme="minorHAnsi"/>
          <w:lang w:val="en-GB"/>
        </w:rPr>
        <w:t xml:space="preserve"> MRCP</w:t>
      </w:r>
      <w:r w:rsidR="00AC43A4" w:rsidRPr="00275DE0">
        <w:rPr>
          <w:rFonts w:cstheme="minorHAnsi"/>
          <w:vertAlign w:val="superscript"/>
          <w:lang w:val="en-GB"/>
        </w:rPr>
        <w:t>1,2</w:t>
      </w:r>
      <w:r w:rsidR="00AC43A4" w:rsidRPr="00275DE0">
        <w:rPr>
          <w:rFonts w:cstheme="minorHAnsi"/>
          <w:lang w:val="en-GB"/>
        </w:rPr>
        <w:t>*</w:t>
      </w:r>
      <w:r w:rsidRPr="00275DE0">
        <w:rPr>
          <w:rFonts w:cstheme="minorHAnsi"/>
          <w:lang w:val="en-GB"/>
        </w:rPr>
        <w:t>, Marianne Boenink</w:t>
      </w:r>
      <w:r w:rsidR="00032574">
        <w:rPr>
          <w:rFonts w:cstheme="minorHAnsi"/>
          <w:lang w:val="en-GB"/>
        </w:rPr>
        <w:t xml:space="preserve"> PhD</w:t>
      </w:r>
      <w:r w:rsidR="00AC43A4" w:rsidRPr="00275DE0">
        <w:rPr>
          <w:rFonts w:cstheme="minorHAnsi"/>
          <w:vertAlign w:val="superscript"/>
          <w:lang w:val="en-GB"/>
        </w:rPr>
        <w:t>3</w:t>
      </w:r>
    </w:p>
    <w:p w14:paraId="15E252F1" w14:textId="77777777" w:rsidR="00AC43A4" w:rsidRPr="00275DE0" w:rsidRDefault="00AC43A4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>1. Department of Neurology, St George’s Hospital, London, United Kingdom</w:t>
      </w:r>
    </w:p>
    <w:p w14:paraId="5B53F6C4" w14:textId="1C9C7835" w:rsidR="00AC43A4" w:rsidRPr="00275DE0" w:rsidRDefault="00AC43A4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>2. Neurosciences Research Centre, St George’s University of London, London, United Kingdom</w:t>
      </w:r>
    </w:p>
    <w:p w14:paraId="2922BBEC" w14:textId="6ED37D00" w:rsidR="00AC43A4" w:rsidRPr="00275DE0" w:rsidRDefault="00AC43A4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 xml:space="preserve">3. </w:t>
      </w:r>
      <w:r w:rsidR="0076399E" w:rsidRPr="00275DE0">
        <w:rPr>
          <w:rFonts w:cstheme="minorHAnsi"/>
          <w:lang w:val="en-GB"/>
        </w:rPr>
        <w:t xml:space="preserve">IQ Healthcare, </w:t>
      </w:r>
      <w:r w:rsidRPr="00275DE0">
        <w:rPr>
          <w:rFonts w:cstheme="minorHAnsi"/>
          <w:lang w:val="en-GB"/>
        </w:rPr>
        <w:t>Radboud University Medical Centre, Nijmegen, The Netherlands</w:t>
      </w:r>
    </w:p>
    <w:p w14:paraId="062D7B34" w14:textId="6513B94E" w:rsidR="00AC43A4" w:rsidRDefault="00AC43A4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>* To whom correspondence should be addressed</w:t>
      </w:r>
      <w:r w:rsidR="00032574">
        <w:rPr>
          <w:rFonts w:cstheme="minorHAnsi"/>
          <w:lang w:val="en-GB"/>
        </w:rPr>
        <w:t>:</w:t>
      </w:r>
    </w:p>
    <w:p w14:paraId="40B8CEE9" w14:textId="6B3479A1" w:rsidR="00032574" w:rsidRDefault="00032574" w:rsidP="00275DE0">
      <w:pPr>
        <w:spacing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Dr Jeremy Isaacs</w:t>
      </w:r>
    </w:p>
    <w:p w14:paraId="15615D97" w14:textId="77777777" w:rsidR="00032574" w:rsidRDefault="00032574" w:rsidP="00032574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>Department of Neurology</w:t>
      </w:r>
    </w:p>
    <w:p w14:paraId="0A6B7B26" w14:textId="77777777" w:rsidR="00032574" w:rsidRDefault="00032574" w:rsidP="00032574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>St George’s Hospital</w:t>
      </w:r>
    </w:p>
    <w:p w14:paraId="635E6375" w14:textId="26335E13" w:rsidR="00032574" w:rsidRDefault="00032574" w:rsidP="00032574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>London</w:t>
      </w:r>
      <w:r>
        <w:rPr>
          <w:rFonts w:cstheme="minorHAnsi"/>
          <w:lang w:val="en-GB"/>
        </w:rPr>
        <w:t xml:space="preserve"> SW17 0QT</w:t>
      </w:r>
    </w:p>
    <w:p w14:paraId="29708A1F" w14:textId="1BACB5E7" w:rsidR="00032574" w:rsidRDefault="00032574" w:rsidP="00032574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>United Kingdom</w:t>
      </w:r>
    </w:p>
    <w:p w14:paraId="4BCB1ED5" w14:textId="6B4A9A11" w:rsidR="00032574" w:rsidRDefault="00032574" w:rsidP="00032574">
      <w:pPr>
        <w:spacing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Email: </w:t>
      </w:r>
      <w:r w:rsidR="00094365">
        <w:rPr>
          <w:rFonts w:cstheme="minorHAnsi"/>
          <w:lang w:val="en-GB"/>
        </w:rPr>
        <w:t>jeremy.isaacs@nhs.net</w:t>
      </w:r>
      <w:hyperlink r:id="rId6" w:history="1"/>
    </w:p>
    <w:p w14:paraId="74E43594" w14:textId="3D8C1BA9" w:rsidR="00032574" w:rsidRPr="00275DE0" w:rsidRDefault="00032574" w:rsidP="00032574">
      <w:pPr>
        <w:spacing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Telephone: +44 20 8725 4322</w:t>
      </w:r>
    </w:p>
    <w:p w14:paraId="572B0BCD" w14:textId="77777777" w:rsidR="00032574" w:rsidRPr="00275DE0" w:rsidRDefault="00032574" w:rsidP="00275DE0">
      <w:pPr>
        <w:spacing w:line="480" w:lineRule="auto"/>
        <w:rPr>
          <w:rFonts w:cstheme="minorHAnsi"/>
          <w:lang w:val="en-GB"/>
        </w:rPr>
      </w:pPr>
    </w:p>
    <w:p w14:paraId="5D6E4641" w14:textId="77777777" w:rsidR="00032574" w:rsidRDefault="0003257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2E427123" w14:textId="01D64453" w:rsidR="00866388" w:rsidRPr="00275DE0" w:rsidRDefault="00AD16AA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lastRenderedPageBreak/>
        <w:t xml:space="preserve">Dementia biomarkers are valuable research tools, providing glimpses of brain pathology and function previously only available post-mortem. </w:t>
      </w:r>
      <w:r w:rsidR="00866388" w:rsidRPr="00275DE0">
        <w:rPr>
          <w:rFonts w:cstheme="minorHAnsi"/>
          <w:lang w:val="en-GB"/>
        </w:rPr>
        <w:t>Prior to large-scale adoption</w:t>
      </w:r>
      <w:r w:rsidR="00C321F5" w:rsidRPr="00C321F5">
        <w:rPr>
          <w:rFonts w:cstheme="minorHAnsi"/>
          <w:lang w:val="en-GB"/>
        </w:rPr>
        <w:t xml:space="preserve"> </w:t>
      </w:r>
      <w:r w:rsidR="00C321F5" w:rsidRPr="00275DE0">
        <w:rPr>
          <w:rFonts w:cstheme="minorHAnsi"/>
          <w:lang w:val="en-GB"/>
        </w:rPr>
        <w:t>in clinical practice</w:t>
      </w:r>
      <w:r w:rsidR="00282080">
        <w:rPr>
          <w:rFonts w:cstheme="minorHAnsi"/>
          <w:lang w:val="en-GB"/>
        </w:rPr>
        <w:t>,</w:t>
      </w:r>
      <w:r w:rsidR="00C321F5" w:rsidRPr="00C321F5">
        <w:rPr>
          <w:rFonts w:cstheme="minorHAnsi"/>
          <w:lang w:val="en-GB"/>
        </w:rPr>
        <w:t xml:space="preserve"> </w:t>
      </w:r>
      <w:r w:rsidR="00C321F5" w:rsidRPr="00275DE0">
        <w:rPr>
          <w:rFonts w:cstheme="minorHAnsi"/>
          <w:lang w:val="en-GB"/>
        </w:rPr>
        <w:t>however</w:t>
      </w:r>
      <w:r w:rsidR="00866388" w:rsidRPr="00275DE0">
        <w:rPr>
          <w:rFonts w:cstheme="minorHAnsi"/>
          <w:lang w:val="en-GB"/>
        </w:rPr>
        <w:t xml:space="preserve">, </w:t>
      </w:r>
      <w:r w:rsidR="00962D84" w:rsidRPr="00275DE0">
        <w:rPr>
          <w:rFonts w:cstheme="minorHAnsi"/>
          <w:lang w:val="en-GB"/>
        </w:rPr>
        <w:t>these technologies</w:t>
      </w:r>
      <w:r w:rsidR="00127772" w:rsidRPr="00275DE0">
        <w:rPr>
          <w:rFonts w:cstheme="minorHAnsi"/>
          <w:lang w:val="en-GB"/>
        </w:rPr>
        <w:t xml:space="preserve"> </w:t>
      </w:r>
      <w:r w:rsidR="00866388" w:rsidRPr="00275DE0">
        <w:rPr>
          <w:rFonts w:cstheme="minorHAnsi"/>
          <w:lang w:val="en-GB"/>
        </w:rPr>
        <w:t>should</w:t>
      </w:r>
      <w:r w:rsidRPr="00275DE0">
        <w:rPr>
          <w:rFonts w:cstheme="minorHAnsi"/>
          <w:lang w:val="en-GB"/>
        </w:rPr>
        <w:t xml:space="preserve"> demonstrate that they contribute meaningfully, cost-effectively and sustainably to </w:t>
      </w:r>
      <w:r w:rsidR="00127772" w:rsidRPr="00275DE0">
        <w:rPr>
          <w:rFonts w:cstheme="minorHAnsi"/>
          <w:lang w:val="en-GB"/>
        </w:rPr>
        <w:t>patient</w:t>
      </w:r>
      <w:r w:rsidRPr="00275DE0">
        <w:rPr>
          <w:rFonts w:cstheme="minorHAnsi"/>
          <w:lang w:val="en-GB"/>
        </w:rPr>
        <w:t xml:space="preserve"> care and experience.  </w:t>
      </w:r>
    </w:p>
    <w:p w14:paraId="20AFC4DF" w14:textId="23D7CE68" w:rsidR="00AD16AA" w:rsidRPr="00094365" w:rsidRDefault="00AD16AA" w:rsidP="00275DE0">
      <w:pPr>
        <w:spacing w:line="480" w:lineRule="auto"/>
        <w:rPr>
          <w:rFonts w:cstheme="minorHAnsi"/>
          <w:vertAlign w:val="superscript"/>
          <w:lang w:val="en-GB"/>
        </w:rPr>
      </w:pPr>
      <w:r w:rsidRPr="00275DE0">
        <w:rPr>
          <w:rFonts w:cstheme="minorHAnsi"/>
          <w:lang w:val="en-GB"/>
        </w:rPr>
        <w:t>In</w:t>
      </w:r>
      <w:r w:rsidRPr="00275DE0">
        <w:rPr>
          <w:rFonts w:cstheme="minorHAnsi"/>
          <w:i/>
          <w:iCs/>
          <w:lang w:val="en-GB"/>
        </w:rPr>
        <w:t xml:space="preserve"> The Lancet Neurology</w:t>
      </w:r>
      <w:r w:rsidRPr="00275DE0">
        <w:rPr>
          <w:rFonts w:cstheme="minorHAnsi"/>
          <w:lang w:val="en-GB"/>
        </w:rPr>
        <w:t>, Chételat and colleagues present a</w:t>
      </w:r>
      <w:r w:rsidR="00127772" w:rsidRPr="00275DE0">
        <w:rPr>
          <w:rFonts w:cstheme="minorHAnsi"/>
          <w:lang w:val="en-GB"/>
        </w:rPr>
        <w:t xml:space="preserve"> ‘Personal view’</w:t>
      </w:r>
      <w:r w:rsidRPr="00275DE0">
        <w:rPr>
          <w:rFonts w:cstheme="minorHAnsi"/>
          <w:lang w:val="en-GB"/>
        </w:rPr>
        <w:t xml:space="preserve"> on the order in which PET-enabled dementia biomarkers should be offered in clinical practice.</w:t>
      </w:r>
      <w:r w:rsidR="00094365">
        <w:rPr>
          <w:rFonts w:cstheme="minorHAnsi"/>
          <w:vertAlign w:val="superscript"/>
          <w:lang w:val="en-GB"/>
        </w:rPr>
        <w:t>1</w:t>
      </w:r>
      <w:r w:rsidRPr="00275DE0">
        <w:rPr>
          <w:rFonts w:cstheme="minorHAnsi"/>
          <w:lang w:val="en-GB"/>
        </w:rPr>
        <w:t xml:space="preserve"> </w:t>
      </w:r>
      <w:r w:rsidR="00962D84" w:rsidRPr="00275DE0">
        <w:rPr>
          <w:rFonts w:cstheme="minorHAnsi"/>
          <w:lang w:val="en-GB"/>
        </w:rPr>
        <w:t>T</w:t>
      </w:r>
      <w:r w:rsidR="002319C6" w:rsidRPr="00275DE0">
        <w:rPr>
          <w:rFonts w:cstheme="minorHAnsi"/>
          <w:lang w:val="en-GB"/>
        </w:rPr>
        <w:t>he authors</w:t>
      </w:r>
      <w:r w:rsidR="00962D84" w:rsidRPr="00275DE0">
        <w:rPr>
          <w:rFonts w:cstheme="minorHAnsi"/>
          <w:lang w:val="en-GB"/>
        </w:rPr>
        <w:t xml:space="preserve"> promote the use of these biomarkers largely on the basis of </w:t>
      </w:r>
      <w:r w:rsidR="00945E5F" w:rsidRPr="00275DE0">
        <w:rPr>
          <w:rFonts w:cstheme="minorHAnsi"/>
          <w:lang w:val="en-GB"/>
        </w:rPr>
        <w:t xml:space="preserve">diagnostic specificity </w:t>
      </w:r>
      <w:r w:rsidR="00140BC4" w:rsidRPr="00275DE0">
        <w:rPr>
          <w:rFonts w:cstheme="minorHAnsi"/>
          <w:lang w:val="en-GB"/>
        </w:rPr>
        <w:t xml:space="preserve">established in controlled research conditions, </w:t>
      </w:r>
      <w:r w:rsidR="00945E5F" w:rsidRPr="00275DE0">
        <w:rPr>
          <w:rFonts w:cstheme="minorHAnsi"/>
          <w:lang w:val="en-GB"/>
        </w:rPr>
        <w:t xml:space="preserve">rather than </w:t>
      </w:r>
      <w:r w:rsidR="00140BC4" w:rsidRPr="00275DE0">
        <w:rPr>
          <w:rFonts w:cstheme="minorHAnsi"/>
          <w:lang w:val="en-GB"/>
        </w:rPr>
        <w:t xml:space="preserve">added value for patient </w:t>
      </w:r>
      <w:r w:rsidR="002319C6" w:rsidRPr="00275DE0">
        <w:rPr>
          <w:rFonts w:cstheme="minorHAnsi"/>
          <w:lang w:val="en-GB"/>
        </w:rPr>
        <w:t xml:space="preserve">outcomes </w:t>
      </w:r>
      <w:r w:rsidR="00140BC4" w:rsidRPr="00275DE0">
        <w:rPr>
          <w:rFonts w:cstheme="minorHAnsi"/>
          <w:lang w:val="en-GB"/>
        </w:rPr>
        <w:t>in real-life settings</w:t>
      </w:r>
      <w:r w:rsidR="00962D84" w:rsidRPr="00275DE0">
        <w:rPr>
          <w:rFonts w:cstheme="minorHAnsi"/>
          <w:lang w:val="en-GB"/>
        </w:rPr>
        <w:t xml:space="preserve">. </w:t>
      </w:r>
      <w:r w:rsidRPr="00275DE0">
        <w:rPr>
          <w:rFonts w:cstheme="minorHAnsi"/>
          <w:lang w:val="en-GB"/>
        </w:rPr>
        <w:t xml:space="preserve">Moreover, </w:t>
      </w:r>
      <w:r w:rsidR="00EB0E63" w:rsidRPr="00275DE0">
        <w:rPr>
          <w:rFonts w:cstheme="minorHAnsi"/>
          <w:lang w:val="en-GB"/>
        </w:rPr>
        <w:t>the</w:t>
      </w:r>
      <w:r w:rsidR="00A83296" w:rsidRPr="00275DE0">
        <w:rPr>
          <w:rFonts w:cstheme="minorHAnsi"/>
          <w:lang w:val="en-GB"/>
        </w:rPr>
        <w:t xml:space="preserve"> paper has the effect of </w:t>
      </w:r>
      <w:r w:rsidRPr="00275DE0">
        <w:rPr>
          <w:rFonts w:cstheme="minorHAnsi"/>
          <w:lang w:val="en-GB"/>
        </w:rPr>
        <w:t>expand</w:t>
      </w:r>
      <w:r w:rsidR="00A83296" w:rsidRPr="00275DE0">
        <w:rPr>
          <w:rFonts w:cstheme="minorHAnsi"/>
          <w:lang w:val="en-GB"/>
        </w:rPr>
        <w:t>ing</w:t>
      </w:r>
      <w:r w:rsidRPr="00275DE0">
        <w:rPr>
          <w:rFonts w:cstheme="minorHAnsi"/>
          <w:lang w:val="en-GB"/>
        </w:rPr>
        <w:t xml:space="preserve"> current use of PET-biomarkers in two ways. Firstly, </w:t>
      </w:r>
      <w:r w:rsidR="00127772" w:rsidRPr="00275DE0">
        <w:rPr>
          <w:rFonts w:cstheme="minorHAnsi"/>
          <w:lang w:val="en-GB"/>
        </w:rPr>
        <w:t>by</w:t>
      </w:r>
      <w:r w:rsidR="00EB0E63" w:rsidRPr="00275DE0">
        <w:rPr>
          <w:rFonts w:cstheme="minorHAnsi"/>
          <w:lang w:val="en-GB"/>
        </w:rPr>
        <w:t xml:space="preserve"> </w:t>
      </w:r>
      <w:r w:rsidR="00A83296" w:rsidRPr="00275DE0">
        <w:rPr>
          <w:rFonts w:cstheme="minorHAnsi"/>
          <w:lang w:val="en-GB"/>
        </w:rPr>
        <w:t>presenting</w:t>
      </w:r>
      <w:r w:rsidRPr="00275DE0">
        <w:rPr>
          <w:rFonts w:cstheme="minorHAnsi"/>
          <w:lang w:val="en-GB"/>
        </w:rPr>
        <w:t xml:space="preserve"> the implementation of biomarkers beyond tertiary (research) centres </w:t>
      </w:r>
      <w:r w:rsidR="00A83296" w:rsidRPr="00275DE0">
        <w:rPr>
          <w:rFonts w:cstheme="minorHAnsi"/>
          <w:lang w:val="en-GB"/>
        </w:rPr>
        <w:t>a</w:t>
      </w:r>
      <w:r w:rsidRPr="00275DE0">
        <w:rPr>
          <w:rFonts w:cstheme="minorHAnsi"/>
          <w:lang w:val="en-GB"/>
        </w:rPr>
        <w:t xml:space="preserve">s simply a matter of practical feasibility. Secondly, </w:t>
      </w:r>
      <w:r w:rsidR="00127772" w:rsidRPr="00275DE0">
        <w:rPr>
          <w:rFonts w:cstheme="minorHAnsi"/>
          <w:lang w:val="en-GB"/>
        </w:rPr>
        <w:t>by</w:t>
      </w:r>
      <w:r w:rsidR="00EB0E63" w:rsidRPr="00275DE0">
        <w:rPr>
          <w:rFonts w:cstheme="minorHAnsi"/>
          <w:lang w:val="en-GB"/>
        </w:rPr>
        <w:t xml:space="preserve"> </w:t>
      </w:r>
      <w:r w:rsidR="00A83296" w:rsidRPr="00275DE0">
        <w:rPr>
          <w:rFonts w:cstheme="minorHAnsi"/>
          <w:lang w:val="en-GB"/>
        </w:rPr>
        <w:t>suggesting</w:t>
      </w:r>
      <w:r w:rsidRPr="00275DE0">
        <w:rPr>
          <w:rFonts w:cstheme="minorHAnsi"/>
          <w:lang w:val="en-GB"/>
        </w:rPr>
        <w:t xml:space="preserve"> that biomarkers might be indicated in populations beyond those covered by current “appropriate use criteria”.</w:t>
      </w:r>
      <w:r w:rsidR="00094365">
        <w:rPr>
          <w:rFonts w:cstheme="minorHAnsi"/>
          <w:vertAlign w:val="superscript"/>
          <w:lang w:val="en-GB"/>
        </w:rPr>
        <w:t>2</w:t>
      </w:r>
      <w:r w:rsidR="00032574">
        <w:rPr>
          <w:rFonts w:cstheme="minorHAnsi"/>
          <w:lang w:val="en-GB"/>
        </w:rPr>
        <w:t xml:space="preserve"> </w:t>
      </w:r>
      <w:r w:rsidR="00EB0E63" w:rsidRPr="00275DE0">
        <w:rPr>
          <w:rFonts w:cstheme="minorHAnsi"/>
          <w:lang w:val="en-GB"/>
        </w:rPr>
        <w:t>Consequently</w:t>
      </w:r>
      <w:r w:rsidRPr="00275DE0">
        <w:rPr>
          <w:rFonts w:cstheme="minorHAnsi"/>
          <w:lang w:val="en-GB"/>
        </w:rPr>
        <w:t>, the paper contributes to further ‘mainstreaming’ of biomarkers from research tools to routine diagnostic tests, which in our view is premature. It reinforces the shift towards a biological definition of dementia</w:t>
      </w:r>
      <w:r w:rsidR="00EB0E63" w:rsidRPr="00275DE0">
        <w:rPr>
          <w:rFonts w:cstheme="minorHAnsi"/>
          <w:lang w:val="en-GB"/>
        </w:rPr>
        <w:t xml:space="preserve">, </w:t>
      </w:r>
      <w:r w:rsidR="0076399E" w:rsidRPr="00275DE0">
        <w:rPr>
          <w:rFonts w:cstheme="minorHAnsi"/>
          <w:lang w:val="en-GB"/>
        </w:rPr>
        <w:t xml:space="preserve">a </w:t>
      </w:r>
      <w:r w:rsidR="00EB0E63" w:rsidRPr="00275DE0">
        <w:rPr>
          <w:rFonts w:cstheme="minorHAnsi"/>
          <w:lang w:val="en-GB"/>
        </w:rPr>
        <w:t xml:space="preserve">development that </w:t>
      </w:r>
      <w:r w:rsidRPr="00275DE0">
        <w:rPr>
          <w:rFonts w:cstheme="minorHAnsi"/>
          <w:lang w:val="en-GB"/>
        </w:rPr>
        <w:t xml:space="preserve">does not </w:t>
      </w:r>
      <w:r w:rsidR="00AD79F2">
        <w:rPr>
          <w:rFonts w:cstheme="minorHAnsi"/>
          <w:lang w:val="en-GB"/>
        </w:rPr>
        <w:t xml:space="preserve">automatically </w:t>
      </w:r>
      <w:r w:rsidRPr="00275DE0">
        <w:rPr>
          <w:rFonts w:cstheme="minorHAnsi"/>
          <w:lang w:val="en-GB"/>
        </w:rPr>
        <w:t>benefit patients and carers and introduces several hazards.</w:t>
      </w:r>
      <w:r w:rsidR="00094365">
        <w:rPr>
          <w:rFonts w:cstheme="minorHAnsi"/>
          <w:vertAlign w:val="superscript"/>
          <w:lang w:val="en-GB"/>
        </w:rPr>
        <w:t>3</w:t>
      </w:r>
    </w:p>
    <w:p w14:paraId="6AD5DCAC" w14:textId="73105C05" w:rsidR="00EB0E63" w:rsidRPr="00275DE0" w:rsidRDefault="00EB0E63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 xml:space="preserve">Firstly, it is </w:t>
      </w:r>
      <w:r w:rsidR="00D477A4" w:rsidRPr="00275DE0">
        <w:rPr>
          <w:rFonts w:cstheme="minorHAnsi"/>
          <w:lang w:val="en-GB"/>
        </w:rPr>
        <w:t xml:space="preserve">unclear </w:t>
      </w:r>
      <w:r w:rsidRPr="00275DE0">
        <w:rPr>
          <w:rFonts w:cstheme="minorHAnsi"/>
          <w:lang w:val="en-GB"/>
        </w:rPr>
        <w:t xml:space="preserve">to what extent dementia patients benefit from a biomarker-based diagnosis. As Chételat and colleagues indicate, biomarkers facilitate an </w:t>
      </w:r>
      <w:r w:rsidRPr="00275DE0">
        <w:rPr>
          <w:rFonts w:cstheme="minorHAnsi"/>
          <w:i/>
          <w:iCs/>
          <w:lang w:val="en-GB"/>
        </w:rPr>
        <w:t>aetiological</w:t>
      </w:r>
      <w:r w:rsidRPr="00275DE0">
        <w:rPr>
          <w:rFonts w:cstheme="minorHAnsi"/>
          <w:lang w:val="en-GB"/>
        </w:rPr>
        <w:t xml:space="preserve"> diagnosis, which is indicated when </w:t>
      </w:r>
      <w:r w:rsidR="00BD766D" w:rsidRPr="00275DE0">
        <w:rPr>
          <w:rFonts w:cstheme="minorHAnsi"/>
          <w:lang w:val="en-GB"/>
        </w:rPr>
        <w:t>pathobiolog</w:t>
      </w:r>
      <w:r w:rsidR="00BD766D">
        <w:rPr>
          <w:rFonts w:cstheme="minorHAnsi"/>
          <w:lang w:val="en-GB"/>
        </w:rPr>
        <w:t>ical</w:t>
      </w:r>
      <w:r w:rsidR="00BD766D" w:rsidRPr="00275DE0">
        <w:rPr>
          <w:rFonts w:cstheme="minorHAnsi"/>
          <w:lang w:val="en-GB"/>
        </w:rPr>
        <w:t xml:space="preserve"> </w:t>
      </w:r>
      <w:r w:rsidRPr="00275DE0">
        <w:rPr>
          <w:rFonts w:cstheme="minorHAnsi"/>
          <w:lang w:val="en-GB"/>
        </w:rPr>
        <w:t xml:space="preserve">information </w:t>
      </w:r>
      <w:r w:rsidR="0069047F" w:rsidRPr="00275DE0">
        <w:rPr>
          <w:rFonts w:cstheme="minorHAnsi"/>
          <w:lang w:val="en-GB"/>
        </w:rPr>
        <w:t>“</w:t>
      </w:r>
      <w:r w:rsidRPr="00275DE0">
        <w:rPr>
          <w:rFonts w:cstheme="minorHAnsi"/>
          <w:lang w:val="en-GB"/>
        </w:rPr>
        <w:t>is desired and considered meaningful</w:t>
      </w:r>
      <w:r w:rsidR="0069047F" w:rsidRPr="00275DE0">
        <w:rPr>
          <w:rFonts w:cstheme="minorHAnsi"/>
          <w:lang w:val="en-GB"/>
        </w:rPr>
        <w:t xml:space="preserve"> for individual clinical reasons</w:t>
      </w:r>
      <w:r w:rsidR="00D477A4" w:rsidRPr="00275DE0">
        <w:rPr>
          <w:rFonts w:cstheme="minorHAnsi"/>
          <w:lang w:val="en-GB"/>
        </w:rPr>
        <w:t>”</w:t>
      </w:r>
      <w:r w:rsidRPr="00275DE0">
        <w:rPr>
          <w:rFonts w:cstheme="minorHAnsi"/>
          <w:lang w:val="en-GB"/>
        </w:rPr>
        <w:t>. The crucial question here is who decides what is desired and meaningful: the patient</w:t>
      </w:r>
      <w:r w:rsidR="00927BC4" w:rsidRPr="00275DE0">
        <w:rPr>
          <w:rFonts w:cstheme="minorHAnsi"/>
          <w:lang w:val="en-GB"/>
        </w:rPr>
        <w:t xml:space="preserve"> (and her</w:t>
      </w:r>
      <w:r w:rsidR="00D477A4" w:rsidRPr="00275DE0">
        <w:rPr>
          <w:rFonts w:cstheme="minorHAnsi"/>
          <w:lang w:val="en-GB"/>
        </w:rPr>
        <w:t>/his</w:t>
      </w:r>
      <w:r w:rsidR="00927BC4" w:rsidRPr="00275DE0">
        <w:rPr>
          <w:rFonts w:cstheme="minorHAnsi"/>
          <w:lang w:val="en-GB"/>
        </w:rPr>
        <w:t xml:space="preserve"> carer)</w:t>
      </w:r>
      <w:r w:rsidRPr="00275DE0">
        <w:rPr>
          <w:rFonts w:cstheme="minorHAnsi"/>
          <w:lang w:val="en-GB"/>
        </w:rPr>
        <w:t xml:space="preserve">, the </w:t>
      </w:r>
      <w:r w:rsidR="00945E5F" w:rsidRPr="00275DE0">
        <w:rPr>
          <w:rFonts w:cstheme="minorHAnsi"/>
          <w:lang w:val="en-GB"/>
        </w:rPr>
        <w:t>clinician</w:t>
      </w:r>
      <w:r w:rsidR="003E5C1C" w:rsidRPr="00275DE0">
        <w:rPr>
          <w:rFonts w:cstheme="minorHAnsi"/>
          <w:lang w:val="en-GB"/>
        </w:rPr>
        <w:t>,</w:t>
      </w:r>
      <w:r w:rsidRPr="00275DE0">
        <w:rPr>
          <w:rFonts w:cstheme="minorHAnsi"/>
          <w:lang w:val="en-GB"/>
        </w:rPr>
        <w:t xml:space="preserve"> or the </w:t>
      </w:r>
      <w:r w:rsidR="00945E5F" w:rsidRPr="00275DE0">
        <w:rPr>
          <w:rFonts w:cstheme="minorHAnsi"/>
          <w:lang w:val="en-GB"/>
        </w:rPr>
        <w:t>clinician</w:t>
      </w:r>
      <w:r w:rsidRPr="00275DE0">
        <w:rPr>
          <w:rFonts w:cstheme="minorHAnsi"/>
          <w:lang w:val="en-GB"/>
        </w:rPr>
        <w:t xml:space="preserve">-researcher? </w:t>
      </w:r>
      <w:r w:rsidR="00206719" w:rsidRPr="00275DE0">
        <w:rPr>
          <w:rFonts w:cstheme="minorHAnsi"/>
          <w:lang w:val="en-GB"/>
        </w:rPr>
        <w:t>Unfortunately, insight</w:t>
      </w:r>
      <w:r w:rsidR="00D477A4" w:rsidRPr="00275DE0">
        <w:rPr>
          <w:rFonts w:cstheme="minorHAnsi"/>
          <w:lang w:val="en-GB"/>
        </w:rPr>
        <w:t>s</w:t>
      </w:r>
      <w:r w:rsidR="00206719" w:rsidRPr="00275DE0">
        <w:rPr>
          <w:rFonts w:cstheme="minorHAnsi"/>
          <w:lang w:val="en-GB"/>
        </w:rPr>
        <w:t xml:space="preserve"> in</w:t>
      </w:r>
      <w:r w:rsidR="00D477A4" w:rsidRPr="00275DE0">
        <w:rPr>
          <w:rFonts w:cstheme="minorHAnsi"/>
          <w:lang w:val="en-GB"/>
        </w:rPr>
        <w:t>to</w:t>
      </w:r>
      <w:r w:rsidR="00206719" w:rsidRPr="00275DE0">
        <w:rPr>
          <w:rFonts w:cstheme="minorHAnsi"/>
          <w:lang w:val="en-GB"/>
        </w:rPr>
        <w:t xml:space="preserve"> </w:t>
      </w:r>
      <w:r w:rsidR="00DD7A8E" w:rsidRPr="00275DE0">
        <w:rPr>
          <w:rFonts w:cstheme="minorHAnsi"/>
          <w:lang w:val="en-GB"/>
        </w:rPr>
        <w:t>whether</w:t>
      </w:r>
      <w:r w:rsidR="00206719" w:rsidRPr="00275DE0">
        <w:rPr>
          <w:rFonts w:cstheme="minorHAnsi"/>
          <w:lang w:val="en-GB"/>
        </w:rPr>
        <w:t xml:space="preserve"> patients value </w:t>
      </w:r>
      <w:r w:rsidR="00DD7A8E" w:rsidRPr="00275DE0">
        <w:rPr>
          <w:rFonts w:cstheme="minorHAnsi"/>
          <w:lang w:val="en-GB"/>
        </w:rPr>
        <w:t xml:space="preserve">having access to </w:t>
      </w:r>
      <w:r w:rsidR="00206719" w:rsidRPr="00275DE0">
        <w:rPr>
          <w:rFonts w:cstheme="minorHAnsi"/>
          <w:lang w:val="en-GB"/>
        </w:rPr>
        <w:t xml:space="preserve">biomarker knowledge </w:t>
      </w:r>
      <w:r w:rsidR="00DD7A8E" w:rsidRPr="00275DE0">
        <w:rPr>
          <w:rFonts w:cstheme="minorHAnsi"/>
          <w:lang w:val="en-GB"/>
        </w:rPr>
        <w:t>are</w:t>
      </w:r>
      <w:r w:rsidR="00206719" w:rsidRPr="00275DE0">
        <w:rPr>
          <w:rFonts w:cstheme="minorHAnsi"/>
          <w:lang w:val="en-GB"/>
        </w:rPr>
        <w:t xml:space="preserve"> limited and often weakened by </w:t>
      </w:r>
      <w:r w:rsidR="00195B48" w:rsidRPr="00275DE0">
        <w:rPr>
          <w:rFonts w:cstheme="minorHAnsi"/>
          <w:lang w:val="en-GB"/>
        </w:rPr>
        <w:t>framing bias</w:t>
      </w:r>
      <w:r w:rsidR="00927BC4" w:rsidRPr="00275DE0">
        <w:rPr>
          <w:rFonts w:cstheme="minorHAnsi"/>
          <w:lang w:val="en-GB"/>
        </w:rPr>
        <w:t xml:space="preserve">. </w:t>
      </w:r>
      <w:r w:rsidR="00206719" w:rsidRPr="00275DE0">
        <w:rPr>
          <w:rFonts w:cstheme="minorHAnsi"/>
          <w:lang w:val="en-GB"/>
        </w:rPr>
        <w:t>Nonetheless, t</w:t>
      </w:r>
      <w:r w:rsidR="00195B48" w:rsidRPr="00275DE0">
        <w:rPr>
          <w:rFonts w:cstheme="minorHAnsi"/>
          <w:lang w:val="en-GB"/>
        </w:rPr>
        <w:t>here are indications that patients, care</w:t>
      </w:r>
      <w:r w:rsidR="00263FBD" w:rsidRPr="00275DE0">
        <w:rPr>
          <w:rFonts w:cstheme="minorHAnsi"/>
          <w:lang w:val="en-GB"/>
        </w:rPr>
        <w:t>r</w:t>
      </w:r>
      <w:r w:rsidR="00195B48" w:rsidRPr="00275DE0">
        <w:rPr>
          <w:rFonts w:cstheme="minorHAnsi"/>
          <w:lang w:val="en-GB"/>
        </w:rPr>
        <w:t xml:space="preserve">s and citizens (as potential future patients) </w:t>
      </w:r>
      <w:r w:rsidR="0043189B" w:rsidRPr="00275DE0">
        <w:rPr>
          <w:rFonts w:cstheme="minorHAnsi"/>
          <w:lang w:val="en-GB"/>
        </w:rPr>
        <w:t xml:space="preserve">consider </w:t>
      </w:r>
      <w:r w:rsidR="009A6C17" w:rsidRPr="00275DE0">
        <w:rPr>
          <w:rFonts w:cstheme="minorHAnsi"/>
          <w:lang w:val="en-GB"/>
        </w:rPr>
        <w:t xml:space="preserve">aetiological biomarker </w:t>
      </w:r>
      <w:r w:rsidR="0043189B" w:rsidRPr="00275DE0">
        <w:rPr>
          <w:rFonts w:cstheme="minorHAnsi"/>
          <w:lang w:val="en-GB"/>
        </w:rPr>
        <w:t>information relevant if it helps</w:t>
      </w:r>
      <w:r w:rsidR="000455D0" w:rsidRPr="00275DE0">
        <w:rPr>
          <w:rFonts w:cstheme="minorHAnsi"/>
          <w:lang w:val="en-GB"/>
        </w:rPr>
        <w:t xml:space="preserve"> </w:t>
      </w:r>
      <w:r w:rsidR="0043189B" w:rsidRPr="00275DE0">
        <w:rPr>
          <w:rFonts w:cstheme="minorHAnsi"/>
          <w:lang w:val="en-GB"/>
        </w:rPr>
        <w:t>address a clear need, both in the context of pre</w:t>
      </w:r>
      <w:r w:rsidR="000455D0" w:rsidRPr="00275DE0">
        <w:rPr>
          <w:rFonts w:cstheme="minorHAnsi"/>
          <w:lang w:val="en-GB"/>
        </w:rPr>
        <w:t>-</w:t>
      </w:r>
      <w:r w:rsidR="0043189B" w:rsidRPr="00275DE0">
        <w:rPr>
          <w:rFonts w:cstheme="minorHAnsi"/>
          <w:lang w:val="en-GB"/>
        </w:rPr>
        <w:t>symptomatic and symptomatic diagnosis.</w:t>
      </w:r>
      <w:r w:rsidR="00AE1B7C">
        <w:rPr>
          <w:rFonts w:cstheme="minorHAnsi"/>
          <w:vertAlign w:val="superscript"/>
          <w:lang w:val="en-GB"/>
        </w:rPr>
        <w:t>4</w:t>
      </w:r>
      <w:r w:rsidR="00FA3C2C">
        <w:rPr>
          <w:rFonts w:cstheme="minorHAnsi"/>
          <w:vertAlign w:val="superscript"/>
          <w:lang w:val="en-GB"/>
        </w:rPr>
        <w:t>, 5</w:t>
      </w:r>
      <w:r w:rsidR="0043189B" w:rsidRPr="00275DE0">
        <w:rPr>
          <w:rFonts w:cstheme="minorHAnsi"/>
          <w:lang w:val="en-GB"/>
        </w:rPr>
        <w:t xml:space="preserve"> </w:t>
      </w:r>
      <w:r w:rsidR="00733686" w:rsidRPr="00275DE0">
        <w:rPr>
          <w:rFonts w:cstheme="minorHAnsi"/>
          <w:lang w:val="en-GB"/>
        </w:rPr>
        <w:t xml:space="preserve">Diagnosis for them is a means, not </w:t>
      </w:r>
      <w:r w:rsidR="00733686" w:rsidRPr="00275DE0">
        <w:rPr>
          <w:rFonts w:cstheme="minorHAnsi"/>
          <w:lang w:val="en-GB"/>
        </w:rPr>
        <w:lastRenderedPageBreak/>
        <w:t>an end in itself.</w:t>
      </w:r>
      <w:r w:rsidR="00E068DD" w:rsidRPr="00E068DD">
        <w:rPr>
          <w:rFonts w:cstheme="minorHAnsi"/>
          <w:lang w:val="en-GB"/>
        </w:rPr>
        <w:t xml:space="preserve"> </w:t>
      </w:r>
      <w:r w:rsidR="00C70FC7">
        <w:rPr>
          <w:rFonts w:cstheme="minorHAnsi"/>
          <w:lang w:val="en-GB"/>
        </w:rPr>
        <w:t xml:space="preserve">In contrast, </w:t>
      </w:r>
      <w:r w:rsidR="00116F44" w:rsidRPr="00275DE0">
        <w:rPr>
          <w:rFonts w:cstheme="minorHAnsi"/>
          <w:lang w:val="en-GB"/>
        </w:rPr>
        <w:t>the authors</w:t>
      </w:r>
      <w:r w:rsidR="00116F44">
        <w:rPr>
          <w:rFonts w:cstheme="minorHAnsi"/>
          <w:lang w:val="en-GB"/>
        </w:rPr>
        <w:t>’</w:t>
      </w:r>
      <w:r w:rsidR="00116F44" w:rsidRPr="00275DE0">
        <w:rPr>
          <w:rFonts w:cstheme="minorHAnsi"/>
          <w:lang w:val="en-GB"/>
        </w:rPr>
        <w:t xml:space="preserve"> </w:t>
      </w:r>
      <w:r w:rsidR="00C70FC7">
        <w:rPr>
          <w:rFonts w:cstheme="minorHAnsi"/>
          <w:lang w:val="en-GB"/>
        </w:rPr>
        <w:t>f</w:t>
      </w:r>
      <w:r w:rsidR="00E068DD" w:rsidRPr="00275DE0">
        <w:rPr>
          <w:rFonts w:cstheme="minorHAnsi"/>
          <w:lang w:val="en-GB"/>
        </w:rPr>
        <w:t xml:space="preserve">raming </w:t>
      </w:r>
      <w:r w:rsidR="00DD7F49">
        <w:rPr>
          <w:rFonts w:cstheme="minorHAnsi"/>
          <w:lang w:val="en-GB"/>
        </w:rPr>
        <w:t xml:space="preserve">of </w:t>
      </w:r>
      <w:r w:rsidR="00E068DD" w:rsidRPr="00275DE0">
        <w:rPr>
          <w:rFonts w:cstheme="minorHAnsi"/>
          <w:lang w:val="en-GB"/>
        </w:rPr>
        <w:t>the desirability of biomarker testing in terms of a ‘right to know’,</w:t>
      </w:r>
      <w:r w:rsidR="00E068DD">
        <w:rPr>
          <w:rFonts w:cstheme="minorHAnsi"/>
          <w:lang w:val="en-GB"/>
        </w:rPr>
        <w:t xml:space="preserve"> </w:t>
      </w:r>
      <w:r w:rsidR="006B4F8E">
        <w:rPr>
          <w:rFonts w:cstheme="minorHAnsi"/>
          <w:lang w:val="en-GB"/>
        </w:rPr>
        <w:t xml:space="preserve">simply </w:t>
      </w:r>
      <w:r w:rsidR="00E068DD">
        <w:rPr>
          <w:rFonts w:cstheme="minorHAnsi"/>
          <w:lang w:val="en-GB"/>
        </w:rPr>
        <w:t>assumes that knowledge is always worth having.</w:t>
      </w:r>
    </w:p>
    <w:p w14:paraId="297FB1A4" w14:textId="15902C6B" w:rsidR="00EB0E63" w:rsidRPr="00275DE0" w:rsidRDefault="00CA4232" w:rsidP="00275DE0">
      <w:pPr>
        <w:spacing w:line="480" w:lineRule="auto"/>
        <w:rPr>
          <w:rFonts w:cstheme="minorHAnsi"/>
          <w:lang w:val="en-GB"/>
        </w:rPr>
      </w:pPr>
      <w:r w:rsidRPr="00E56460">
        <w:rPr>
          <w:rFonts w:cstheme="minorHAnsi"/>
          <w:lang w:val="en-GB"/>
        </w:rPr>
        <w:t>In</w:t>
      </w:r>
      <w:r w:rsidR="00950A01" w:rsidRPr="00E56460">
        <w:rPr>
          <w:rFonts w:cstheme="minorHAnsi"/>
          <w:lang w:val="en-GB"/>
        </w:rPr>
        <w:t xml:space="preserve"> fact</w:t>
      </w:r>
      <w:r w:rsidRPr="00E56460">
        <w:rPr>
          <w:rFonts w:cstheme="minorHAnsi"/>
          <w:lang w:val="en-GB"/>
        </w:rPr>
        <w:t xml:space="preserve">, </w:t>
      </w:r>
      <w:r w:rsidR="002C05A8">
        <w:rPr>
          <w:rFonts w:cstheme="minorHAnsi"/>
          <w:lang w:val="en-GB"/>
        </w:rPr>
        <w:t>ev</w:t>
      </w:r>
      <w:r w:rsidR="00294035">
        <w:rPr>
          <w:rFonts w:cstheme="minorHAnsi"/>
          <w:lang w:val="en-GB"/>
        </w:rPr>
        <w:t>idence that</w:t>
      </w:r>
      <w:r w:rsidR="00EB0E63" w:rsidRPr="00275DE0">
        <w:rPr>
          <w:rFonts w:cstheme="minorHAnsi"/>
          <w:lang w:val="en-GB"/>
        </w:rPr>
        <w:t xml:space="preserve"> biomarker result</w:t>
      </w:r>
      <w:r w:rsidR="00294035">
        <w:rPr>
          <w:rFonts w:cstheme="minorHAnsi"/>
          <w:lang w:val="en-GB"/>
        </w:rPr>
        <w:t>s</w:t>
      </w:r>
      <w:r w:rsidR="00EB0E63" w:rsidRPr="00275DE0">
        <w:rPr>
          <w:rFonts w:cstheme="minorHAnsi"/>
          <w:lang w:val="en-GB"/>
        </w:rPr>
        <w:t xml:space="preserve"> </w:t>
      </w:r>
      <w:r w:rsidR="00360C1E">
        <w:rPr>
          <w:rFonts w:cstheme="minorHAnsi"/>
          <w:lang w:val="en-GB"/>
        </w:rPr>
        <w:t xml:space="preserve">meaningfully </w:t>
      </w:r>
      <w:r w:rsidR="00EB0E63" w:rsidRPr="00275DE0">
        <w:rPr>
          <w:rFonts w:cstheme="minorHAnsi"/>
          <w:lang w:val="en-GB"/>
        </w:rPr>
        <w:t xml:space="preserve">impact disease management is </w:t>
      </w:r>
      <w:r w:rsidR="00CA187E">
        <w:rPr>
          <w:rFonts w:cstheme="minorHAnsi"/>
          <w:lang w:val="en-GB"/>
        </w:rPr>
        <w:t>extremely modest</w:t>
      </w:r>
      <w:r w:rsidR="00EB0E63" w:rsidRPr="00275DE0">
        <w:rPr>
          <w:rFonts w:cstheme="minorHAnsi"/>
          <w:lang w:val="en-GB"/>
        </w:rPr>
        <w:t xml:space="preserve">. </w:t>
      </w:r>
      <w:r w:rsidR="00063048">
        <w:rPr>
          <w:rFonts w:cstheme="minorHAnsi"/>
          <w:lang w:val="en-GB"/>
        </w:rPr>
        <w:t>Notably</w:t>
      </w:r>
      <w:r w:rsidR="00EB0E63" w:rsidRPr="00275DE0">
        <w:rPr>
          <w:rFonts w:cstheme="minorHAnsi"/>
          <w:lang w:val="en-GB"/>
        </w:rPr>
        <w:t xml:space="preserve">, IDEAS had no control arm, </w:t>
      </w:r>
      <w:r w:rsidR="00AE1E6E">
        <w:rPr>
          <w:rFonts w:cstheme="minorHAnsi"/>
          <w:lang w:val="en-GB"/>
        </w:rPr>
        <w:t xml:space="preserve">while </w:t>
      </w:r>
      <w:r w:rsidR="00EB0E63" w:rsidRPr="00275DE0">
        <w:rPr>
          <w:rFonts w:cstheme="minorHAnsi"/>
          <w:lang w:val="en-GB"/>
        </w:rPr>
        <w:t xml:space="preserve">research showing an increase in ‘clinician confidence’ is insufficient to establish patient benefit. </w:t>
      </w:r>
    </w:p>
    <w:p w14:paraId="22CE9D7F" w14:textId="3E496ABF" w:rsidR="00EB0E63" w:rsidRPr="00275DE0" w:rsidRDefault="00EB0E63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 xml:space="preserve">Secondly, extending the clinical use of biomarkers </w:t>
      </w:r>
      <w:r w:rsidR="00CA06EE" w:rsidRPr="00275DE0">
        <w:rPr>
          <w:rFonts w:cstheme="minorHAnsi"/>
          <w:lang w:val="en-GB"/>
        </w:rPr>
        <w:t>is not without risk</w:t>
      </w:r>
      <w:r w:rsidRPr="00275DE0">
        <w:rPr>
          <w:rFonts w:cstheme="minorHAnsi"/>
          <w:lang w:val="en-GB"/>
        </w:rPr>
        <w:t xml:space="preserve">. </w:t>
      </w:r>
      <w:r w:rsidR="00A83296" w:rsidRPr="00275DE0">
        <w:rPr>
          <w:rFonts w:cstheme="minorHAnsi"/>
          <w:lang w:val="en-GB"/>
        </w:rPr>
        <w:t>O</w:t>
      </w:r>
      <w:r w:rsidRPr="00275DE0">
        <w:rPr>
          <w:rFonts w:cstheme="minorHAnsi"/>
          <w:lang w:val="en-GB"/>
        </w:rPr>
        <w:t xml:space="preserve">ver 40% of cognitively intact individuals in their 80s have abnormal amyloid-PET scans </w:t>
      </w:r>
      <w:r w:rsidR="00EA4FAF">
        <w:rPr>
          <w:rFonts w:cstheme="minorHAnsi"/>
          <w:lang w:val="en-GB"/>
        </w:rPr>
        <w:t>and</w:t>
      </w:r>
      <w:r w:rsidR="008A705D">
        <w:rPr>
          <w:rFonts w:cstheme="minorHAnsi"/>
          <w:lang w:val="en-GB"/>
        </w:rPr>
        <w:t xml:space="preserve"> over </w:t>
      </w:r>
      <w:r w:rsidR="00EA4FAF">
        <w:rPr>
          <w:rFonts w:cstheme="minorHAnsi"/>
          <w:lang w:val="en-GB"/>
        </w:rPr>
        <w:t>50%</w:t>
      </w:r>
      <w:r w:rsidR="008A705D">
        <w:rPr>
          <w:rFonts w:cstheme="minorHAnsi"/>
          <w:lang w:val="en-GB"/>
        </w:rPr>
        <w:t xml:space="preserve"> demonstrate </w:t>
      </w:r>
      <w:r w:rsidR="00EA4FAF" w:rsidRPr="00275DE0">
        <w:rPr>
          <w:rFonts w:cstheme="minorHAnsi"/>
          <w:lang w:val="en-GB"/>
        </w:rPr>
        <w:t>hypometabolism on FDG-PET</w:t>
      </w:r>
      <w:r w:rsidRPr="00275DE0">
        <w:rPr>
          <w:rFonts w:cstheme="minorHAnsi"/>
          <w:lang w:val="en-GB"/>
        </w:rPr>
        <w:t>.</w:t>
      </w:r>
      <w:r w:rsidR="00AE1B7C">
        <w:rPr>
          <w:rFonts w:cstheme="minorHAnsi"/>
          <w:vertAlign w:val="superscript"/>
          <w:lang w:val="en-GB"/>
        </w:rPr>
        <w:t xml:space="preserve"> </w:t>
      </w:r>
      <w:r w:rsidR="00FA3C2C">
        <w:rPr>
          <w:rFonts w:cstheme="minorHAnsi"/>
          <w:vertAlign w:val="superscript"/>
          <w:lang w:val="en-GB"/>
        </w:rPr>
        <w:t>6, 7</w:t>
      </w:r>
      <w:r w:rsidRPr="00275DE0">
        <w:rPr>
          <w:rFonts w:cstheme="minorHAnsi"/>
          <w:lang w:val="en-GB"/>
        </w:rPr>
        <w:t xml:space="preserve"> Given that average age at referral to UK community memory clinics is 79, extending biomarker testing to patients in non-tertiary centres </w:t>
      </w:r>
      <w:r w:rsidR="00CA06EE" w:rsidRPr="00275DE0">
        <w:rPr>
          <w:rFonts w:cstheme="minorHAnsi"/>
          <w:lang w:val="en-GB"/>
        </w:rPr>
        <w:t>will likely generate a</w:t>
      </w:r>
      <w:r w:rsidRPr="00275DE0">
        <w:rPr>
          <w:rFonts w:cstheme="minorHAnsi"/>
          <w:lang w:val="en-GB"/>
        </w:rPr>
        <w:t xml:space="preserve"> significant </w:t>
      </w:r>
      <w:r w:rsidR="00CA06EE" w:rsidRPr="00275DE0">
        <w:rPr>
          <w:rFonts w:cstheme="minorHAnsi"/>
          <w:lang w:val="en-GB"/>
        </w:rPr>
        <w:t>number</w:t>
      </w:r>
      <w:r w:rsidRPr="00275DE0">
        <w:rPr>
          <w:rFonts w:cstheme="minorHAnsi"/>
          <w:lang w:val="en-GB"/>
        </w:rPr>
        <w:t xml:space="preserve"> of false positive</w:t>
      </w:r>
      <w:r w:rsidR="00CA06EE" w:rsidRPr="00275DE0">
        <w:rPr>
          <w:rFonts w:cstheme="minorHAnsi"/>
          <w:lang w:val="en-GB"/>
        </w:rPr>
        <w:t xml:space="preserve"> results</w:t>
      </w:r>
      <w:r w:rsidRPr="00275DE0">
        <w:rPr>
          <w:rFonts w:cstheme="minorHAnsi"/>
          <w:lang w:val="en-GB"/>
        </w:rPr>
        <w:t xml:space="preserve">. In view of the social meanings attributed to ‘dementia’ and ‘AD’, the iatrogenic harm associated with overdiagnosis could be substantial. If anti-amyloid treatment becomes available, further harms </w:t>
      </w:r>
      <w:r w:rsidR="00324447">
        <w:rPr>
          <w:rFonts w:cstheme="minorHAnsi"/>
          <w:lang w:val="en-GB"/>
        </w:rPr>
        <w:t>would likely</w:t>
      </w:r>
      <w:r w:rsidRPr="00275DE0">
        <w:rPr>
          <w:rFonts w:cstheme="minorHAnsi"/>
          <w:lang w:val="en-GB"/>
        </w:rPr>
        <w:t xml:space="preserve"> </w:t>
      </w:r>
      <w:r w:rsidR="00324447">
        <w:rPr>
          <w:rFonts w:cstheme="minorHAnsi"/>
          <w:lang w:val="en-GB"/>
        </w:rPr>
        <w:t>follow</w:t>
      </w:r>
      <w:r w:rsidRPr="00275DE0">
        <w:rPr>
          <w:rFonts w:cstheme="minorHAnsi"/>
          <w:lang w:val="en-GB"/>
        </w:rPr>
        <w:t xml:space="preserve"> from overtreatment.</w:t>
      </w:r>
    </w:p>
    <w:p w14:paraId="4FD68549" w14:textId="7FDA0202" w:rsidR="00A23948" w:rsidRPr="00AA7D64" w:rsidRDefault="00C53432" w:rsidP="00275DE0">
      <w:pPr>
        <w:spacing w:line="480" w:lineRule="auto"/>
        <w:rPr>
          <w:rFonts w:cstheme="minorHAnsi"/>
          <w:vertAlign w:val="superscript"/>
          <w:lang w:val="en-GB"/>
        </w:rPr>
      </w:pPr>
      <w:r w:rsidRPr="00275DE0">
        <w:rPr>
          <w:rFonts w:cstheme="minorHAnsi"/>
          <w:lang w:val="en-GB"/>
        </w:rPr>
        <w:t xml:space="preserve">Finally, the move towards a biological definition of dementia takes place in a larger societal dynamic in which the perpetual promise that treatment for dementia may be imminent plays an influential role. Pharmaceutical </w:t>
      </w:r>
      <w:r w:rsidR="009F0016">
        <w:rPr>
          <w:rFonts w:cstheme="minorHAnsi"/>
          <w:lang w:val="en-GB"/>
        </w:rPr>
        <w:t xml:space="preserve">and medical imaging </w:t>
      </w:r>
      <w:r w:rsidRPr="00275DE0">
        <w:rPr>
          <w:rFonts w:cstheme="minorHAnsi"/>
          <w:lang w:val="en-GB"/>
        </w:rPr>
        <w:t>companies, clinician-researchers and third sector organisations reinforce this narrative, presenting clinical application of currently available biomarkers as a necessary step towards</w:t>
      </w:r>
      <w:r w:rsidR="00A23948" w:rsidRPr="00275DE0">
        <w:rPr>
          <w:rFonts w:cstheme="minorHAnsi"/>
          <w:lang w:val="en-GB"/>
        </w:rPr>
        <w:t xml:space="preserve"> disease-modifying</w:t>
      </w:r>
      <w:r w:rsidRPr="00275DE0">
        <w:rPr>
          <w:rFonts w:cstheme="minorHAnsi"/>
          <w:lang w:val="en-GB"/>
        </w:rPr>
        <w:t xml:space="preserve"> treatment. </w:t>
      </w:r>
      <w:r w:rsidR="005F3DA2">
        <w:rPr>
          <w:rFonts w:cstheme="minorHAnsi"/>
          <w:lang w:val="en-GB"/>
        </w:rPr>
        <w:t>T</w:t>
      </w:r>
      <w:r w:rsidRPr="00275DE0">
        <w:rPr>
          <w:rFonts w:cstheme="minorHAnsi"/>
          <w:lang w:val="en-GB"/>
        </w:rPr>
        <w:t xml:space="preserve">he track record of drug developers is </w:t>
      </w:r>
      <w:r w:rsidRPr="00E56460">
        <w:rPr>
          <w:rFonts w:cstheme="minorHAnsi"/>
          <w:lang w:val="en-GB"/>
        </w:rPr>
        <w:t>poor</w:t>
      </w:r>
      <w:r w:rsidR="005F3DA2">
        <w:rPr>
          <w:rFonts w:cstheme="minorHAnsi"/>
          <w:lang w:val="en-GB"/>
        </w:rPr>
        <w:t>, however,</w:t>
      </w:r>
      <w:r w:rsidRPr="00E56460">
        <w:rPr>
          <w:rFonts w:cstheme="minorHAnsi"/>
          <w:lang w:val="en-GB"/>
        </w:rPr>
        <w:t xml:space="preserve"> and the principal modifiers of </w:t>
      </w:r>
      <w:r w:rsidR="00EC1194" w:rsidRPr="00E56460">
        <w:rPr>
          <w:rFonts w:cstheme="minorHAnsi"/>
          <w:lang w:val="en-GB"/>
        </w:rPr>
        <w:t>the lived experience of dementia</w:t>
      </w:r>
      <w:r w:rsidRPr="00E56460">
        <w:rPr>
          <w:rFonts w:cstheme="minorHAnsi"/>
          <w:lang w:val="en-GB"/>
        </w:rPr>
        <w:t xml:space="preserve"> remain social, not medical. </w:t>
      </w:r>
      <w:r w:rsidR="00190D1E" w:rsidRPr="00E56460">
        <w:rPr>
          <w:rFonts w:cstheme="minorHAnsi"/>
          <w:lang w:val="en-GB"/>
        </w:rPr>
        <w:t>Thus, p</w:t>
      </w:r>
      <w:r w:rsidRPr="00E56460">
        <w:rPr>
          <w:rFonts w:cstheme="minorHAnsi"/>
          <w:lang w:val="en-GB"/>
        </w:rPr>
        <w:t>romoting clinical biomarker testing in anticipation of effective biomarker-based treatment conflates the value of research with benefit for individual patients</w:t>
      </w:r>
      <w:r w:rsidR="00190D1E" w:rsidRPr="00E56460">
        <w:rPr>
          <w:rFonts w:cstheme="minorHAnsi"/>
          <w:lang w:val="en-GB"/>
        </w:rPr>
        <w:t>.</w:t>
      </w:r>
      <w:r w:rsidR="00190D1E" w:rsidRPr="00E56460">
        <w:rPr>
          <w:rFonts w:cstheme="minorHAnsi"/>
          <w:vertAlign w:val="superscript"/>
          <w:lang w:val="en-GB"/>
        </w:rPr>
        <w:t xml:space="preserve"> </w:t>
      </w:r>
      <w:r w:rsidR="00190D1E" w:rsidRPr="00E56460">
        <w:rPr>
          <w:rFonts w:cstheme="minorHAnsi"/>
          <w:lang w:val="en-GB"/>
        </w:rPr>
        <w:t xml:space="preserve"> It </w:t>
      </w:r>
      <w:r w:rsidRPr="00E56460">
        <w:rPr>
          <w:rFonts w:cstheme="minorHAnsi"/>
          <w:lang w:val="en-GB"/>
        </w:rPr>
        <w:t>also risks diverting attention and funding from non-biological strategies for living with dementia.</w:t>
      </w:r>
      <w:r w:rsidR="00AE1B7C">
        <w:rPr>
          <w:rFonts w:cstheme="minorHAnsi"/>
          <w:vertAlign w:val="superscript"/>
          <w:lang w:val="en-GB"/>
        </w:rPr>
        <w:t>8, 9</w:t>
      </w:r>
      <w:r w:rsidR="003E5C1C" w:rsidRPr="00275DE0">
        <w:rPr>
          <w:rFonts w:cstheme="minorHAnsi"/>
          <w:lang w:val="en-GB"/>
        </w:rPr>
        <w:t xml:space="preserve">  </w:t>
      </w:r>
      <w:r w:rsidR="00A23948" w:rsidRPr="00275DE0">
        <w:rPr>
          <w:rFonts w:cstheme="minorHAnsi"/>
          <w:lang w:val="en-GB"/>
        </w:rPr>
        <w:t xml:space="preserve">To support patients and families in navigating the manifold uncertainties thrown up by cognitive symptoms in later life we still need tools rooted in psychosocial models; </w:t>
      </w:r>
      <w:r w:rsidR="00AE15C4">
        <w:rPr>
          <w:rFonts w:cstheme="minorHAnsi"/>
          <w:lang w:val="en-GB"/>
        </w:rPr>
        <w:t>c</w:t>
      </w:r>
      <w:r w:rsidR="00AE15C4" w:rsidRPr="00AE15C4">
        <w:rPr>
          <w:rFonts w:cstheme="minorHAnsi"/>
          <w:lang w:val="en-GB"/>
        </w:rPr>
        <w:t xml:space="preserve">ontextualising symptoms in a broader understanding of </w:t>
      </w:r>
      <w:r w:rsidR="005575FA" w:rsidRPr="00AE15C4">
        <w:rPr>
          <w:rFonts w:cstheme="minorHAnsi"/>
          <w:lang w:val="en-GB"/>
        </w:rPr>
        <w:t xml:space="preserve">people’s </w:t>
      </w:r>
      <w:r w:rsidR="00AE15C4" w:rsidRPr="00AE15C4">
        <w:rPr>
          <w:rFonts w:cstheme="minorHAnsi"/>
          <w:lang w:val="en-GB"/>
        </w:rPr>
        <w:t>lives</w:t>
      </w:r>
      <w:r w:rsidR="00A23948" w:rsidRPr="00275DE0">
        <w:rPr>
          <w:rFonts w:cstheme="minorHAnsi"/>
          <w:lang w:val="en-GB"/>
        </w:rPr>
        <w:t xml:space="preserve">, preparing </w:t>
      </w:r>
      <w:r w:rsidR="002A4661">
        <w:rPr>
          <w:rFonts w:cstheme="minorHAnsi"/>
          <w:lang w:val="en-GB"/>
        </w:rPr>
        <w:t>patients</w:t>
      </w:r>
      <w:r w:rsidR="002A4661" w:rsidRPr="00275DE0">
        <w:rPr>
          <w:rFonts w:cstheme="minorHAnsi"/>
          <w:lang w:val="en-GB"/>
        </w:rPr>
        <w:t xml:space="preserve"> </w:t>
      </w:r>
      <w:r w:rsidR="00A23948" w:rsidRPr="00275DE0">
        <w:rPr>
          <w:rFonts w:cstheme="minorHAnsi"/>
          <w:lang w:val="en-GB"/>
        </w:rPr>
        <w:t xml:space="preserve">for a range of possibilities (none of </w:t>
      </w:r>
      <w:r w:rsidR="00A23948" w:rsidRPr="00275DE0">
        <w:rPr>
          <w:rFonts w:cstheme="minorHAnsi"/>
          <w:lang w:val="en-GB"/>
        </w:rPr>
        <w:lastRenderedPageBreak/>
        <w:t xml:space="preserve">which can be fully predicted or excluded by biomarker tests) and facilitating social interventions </w:t>
      </w:r>
      <w:r w:rsidR="006E035E" w:rsidRPr="00275DE0">
        <w:rPr>
          <w:rFonts w:cstheme="minorHAnsi"/>
          <w:lang w:val="en-GB"/>
        </w:rPr>
        <w:t xml:space="preserve">agnostic to </w:t>
      </w:r>
      <w:r w:rsidR="00E71ACB" w:rsidRPr="00275DE0">
        <w:rPr>
          <w:rFonts w:cstheme="minorHAnsi"/>
          <w:lang w:val="en-GB"/>
        </w:rPr>
        <w:t xml:space="preserve">dementia </w:t>
      </w:r>
      <w:r w:rsidR="006E035E" w:rsidRPr="00275DE0">
        <w:rPr>
          <w:rFonts w:cstheme="minorHAnsi"/>
          <w:lang w:val="en-GB"/>
        </w:rPr>
        <w:t>sub</w:t>
      </w:r>
      <w:r w:rsidR="00E71ACB" w:rsidRPr="00275DE0">
        <w:rPr>
          <w:rFonts w:cstheme="minorHAnsi"/>
          <w:lang w:val="en-GB"/>
        </w:rPr>
        <w:t>-</w:t>
      </w:r>
      <w:r w:rsidR="006E035E" w:rsidRPr="00275DE0">
        <w:rPr>
          <w:rFonts w:cstheme="minorHAnsi"/>
          <w:lang w:val="en-GB"/>
        </w:rPr>
        <w:t>type</w:t>
      </w:r>
      <w:r w:rsidR="00A23948" w:rsidRPr="00275DE0">
        <w:rPr>
          <w:rFonts w:cstheme="minorHAnsi"/>
          <w:lang w:val="en-GB"/>
        </w:rPr>
        <w:t>.</w:t>
      </w:r>
      <w:r w:rsidR="00FA3C2C">
        <w:rPr>
          <w:rFonts w:cstheme="minorHAnsi"/>
          <w:vertAlign w:val="superscript"/>
          <w:lang w:val="en-GB"/>
        </w:rPr>
        <w:t>10</w:t>
      </w:r>
    </w:p>
    <w:p w14:paraId="06E0B4C1" w14:textId="3B63C2D9" w:rsidR="00032574" w:rsidRDefault="00950A01" w:rsidP="00AA7D64">
      <w:pPr>
        <w:spacing w:before="240" w:line="480" w:lineRule="auto"/>
        <w:rPr>
          <w:rFonts w:cstheme="minorHAnsi"/>
          <w:lang w:val="en-GB"/>
        </w:rPr>
      </w:pPr>
      <w:r w:rsidRPr="00E56460">
        <w:rPr>
          <w:rFonts w:cstheme="minorHAnsi"/>
          <w:lang w:val="en-US"/>
        </w:rPr>
        <w:t xml:space="preserve">Overall, </w:t>
      </w:r>
      <w:r w:rsidRPr="00E56460">
        <w:rPr>
          <w:rFonts w:cstheme="minorHAnsi"/>
          <w:lang w:val="en-GB"/>
        </w:rPr>
        <w:t xml:space="preserve">greater modesty seems called for in biomarker development, acknowledging that there is work to be done before </w:t>
      </w:r>
      <w:r w:rsidRPr="00E56460">
        <w:rPr>
          <w:rFonts w:cstheme="minorHAnsi"/>
          <w:lang w:val="en-US"/>
        </w:rPr>
        <w:t xml:space="preserve">widespread clinical implementation of dementia biomarkers can be considered ‘responsible innovation’. </w:t>
      </w:r>
      <w:r w:rsidR="00CA4232" w:rsidRPr="00E56460">
        <w:rPr>
          <w:rFonts w:cstheme="minorHAnsi"/>
          <w:lang w:val="en-US"/>
        </w:rPr>
        <w:t>Future</w:t>
      </w:r>
      <w:r w:rsidR="00866388" w:rsidRPr="00275DE0">
        <w:rPr>
          <w:rFonts w:cstheme="minorHAnsi"/>
          <w:lang w:val="en-US"/>
        </w:rPr>
        <w:t xml:space="preserve"> b</w:t>
      </w:r>
      <w:r w:rsidR="00A23948" w:rsidRPr="00275DE0">
        <w:rPr>
          <w:rFonts w:cstheme="minorHAnsi"/>
          <w:lang w:val="en-US"/>
        </w:rPr>
        <w:t>iomarker research</w:t>
      </w:r>
      <w:r w:rsidR="00866388" w:rsidRPr="00275DE0">
        <w:rPr>
          <w:rFonts w:cstheme="minorHAnsi"/>
          <w:lang w:val="en-US"/>
        </w:rPr>
        <w:t xml:space="preserve"> </w:t>
      </w:r>
      <w:r w:rsidR="00CA4232">
        <w:rPr>
          <w:rFonts w:cstheme="minorHAnsi"/>
          <w:lang w:val="en-US"/>
        </w:rPr>
        <w:t>should engage with</w:t>
      </w:r>
      <w:r w:rsidR="00866388" w:rsidRPr="00275DE0">
        <w:rPr>
          <w:rFonts w:cstheme="minorHAnsi"/>
          <w:lang w:val="en-US"/>
        </w:rPr>
        <w:t xml:space="preserve"> people in the 9</w:t>
      </w:r>
      <w:r w:rsidR="00866388" w:rsidRPr="00275DE0">
        <w:rPr>
          <w:rFonts w:cstheme="minorHAnsi"/>
          <w:vertAlign w:val="superscript"/>
          <w:lang w:val="en-US"/>
        </w:rPr>
        <w:t>th</w:t>
      </w:r>
      <w:r w:rsidR="00866388" w:rsidRPr="00275DE0">
        <w:rPr>
          <w:rFonts w:cstheme="minorHAnsi"/>
          <w:lang w:val="en-US"/>
        </w:rPr>
        <w:t xml:space="preserve"> and 10</w:t>
      </w:r>
      <w:r w:rsidR="00866388" w:rsidRPr="00275DE0">
        <w:rPr>
          <w:rFonts w:cstheme="minorHAnsi"/>
          <w:vertAlign w:val="superscript"/>
          <w:lang w:val="en-US"/>
        </w:rPr>
        <w:t>th</w:t>
      </w:r>
      <w:r w:rsidR="00866388" w:rsidRPr="00275DE0">
        <w:rPr>
          <w:rFonts w:cstheme="minorHAnsi"/>
          <w:lang w:val="en-US"/>
        </w:rPr>
        <w:t xml:space="preserve"> decades of life</w:t>
      </w:r>
      <w:r w:rsidR="006E035E" w:rsidRPr="00275DE0">
        <w:rPr>
          <w:rFonts w:cstheme="minorHAnsi"/>
          <w:lang w:val="en-US"/>
        </w:rPr>
        <w:t>,</w:t>
      </w:r>
      <w:r w:rsidR="00866388" w:rsidRPr="00275DE0">
        <w:rPr>
          <w:rFonts w:cstheme="minorHAnsi"/>
          <w:lang w:val="en-US"/>
        </w:rPr>
        <w:t xml:space="preserve"> who form the majority and the fastest growing cohort of those with dementia. No biomarker platform can yet report on the various combinations of neuropathology </w:t>
      </w:r>
      <w:r w:rsidR="0028167D">
        <w:rPr>
          <w:rFonts w:cstheme="minorHAnsi"/>
          <w:lang w:val="en-US"/>
        </w:rPr>
        <w:t>associated with</w:t>
      </w:r>
      <w:r w:rsidR="00866388" w:rsidRPr="00275DE0">
        <w:rPr>
          <w:rFonts w:cstheme="minorHAnsi"/>
          <w:lang w:val="en-US"/>
        </w:rPr>
        <w:t xml:space="preserve"> dementia at this age</w:t>
      </w:r>
      <w:r w:rsidR="00A23948" w:rsidRPr="00275DE0">
        <w:rPr>
          <w:rFonts w:cstheme="minorHAnsi"/>
          <w:lang w:val="en-US"/>
        </w:rPr>
        <w:t xml:space="preserve">. </w:t>
      </w:r>
      <w:r w:rsidR="00C53432" w:rsidRPr="00275DE0">
        <w:rPr>
          <w:rFonts w:cstheme="minorHAnsi"/>
          <w:lang w:val="en-GB"/>
        </w:rPr>
        <w:t xml:space="preserve">Moreover, </w:t>
      </w:r>
      <w:r w:rsidR="00866388" w:rsidRPr="00275DE0">
        <w:rPr>
          <w:rFonts w:cstheme="minorHAnsi"/>
          <w:lang w:val="en-GB"/>
        </w:rPr>
        <w:t>before</w:t>
      </w:r>
      <w:r w:rsidR="0016414E" w:rsidRPr="00275DE0">
        <w:rPr>
          <w:rFonts w:cstheme="minorHAnsi"/>
          <w:lang w:val="en-GB"/>
        </w:rPr>
        <w:t xml:space="preserve"> promoting</w:t>
      </w:r>
      <w:r w:rsidR="00866388" w:rsidRPr="00275DE0">
        <w:rPr>
          <w:rFonts w:cstheme="minorHAnsi"/>
          <w:lang w:val="en-GB"/>
        </w:rPr>
        <w:t xml:space="preserve"> further ‘mainstreaming’, </w:t>
      </w:r>
      <w:r w:rsidR="00C53432" w:rsidRPr="00275DE0">
        <w:rPr>
          <w:rFonts w:cstheme="minorHAnsi"/>
          <w:lang w:val="en-GB"/>
        </w:rPr>
        <w:t>the desirability and meaningfulness of biomarker-based diagnosis should be established in terms valued by patients.</w:t>
      </w:r>
    </w:p>
    <w:p w14:paraId="6EC67B90" w14:textId="77777777" w:rsidR="00950A01" w:rsidRDefault="00950A01" w:rsidP="00AA7D64">
      <w:pPr>
        <w:spacing w:before="240" w:line="480" w:lineRule="auto"/>
        <w:rPr>
          <w:rFonts w:cstheme="minorHAnsi"/>
          <w:lang w:val="en-GB"/>
        </w:rPr>
      </w:pPr>
    </w:p>
    <w:p w14:paraId="57A8EF9A" w14:textId="75422DB7" w:rsidR="003E5C1C" w:rsidRPr="00275DE0" w:rsidRDefault="003E5C1C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 xml:space="preserve">References  </w:t>
      </w:r>
    </w:p>
    <w:p w14:paraId="054B7D0C" w14:textId="7D36C9AF" w:rsidR="007013ED" w:rsidRPr="00AD79F2" w:rsidRDefault="007013ED" w:rsidP="00275DE0">
      <w:pPr>
        <w:spacing w:line="480" w:lineRule="auto"/>
        <w:rPr>
          <w:rFonts w:cstheme="minorHAnsi"/>
        </w:rPr>
      </w:pPr>
      <w:r w:rsidRPr="00275DE0">
        <w:rPr>
          <w:rFonts w:cstheme="minorHAnsi"/>
          <w:lang w:val="en-GB"/>
        </w:rPr>
        <w:t>1. Chételat</w:t>
      </w:r>
      <w:r w:rsidR="007A022D" w:rsidRPr="00275DE0">
        <w:rPr>
          <w:rFonts w:cstheme="minorHAnsi"/>
          <w:lang w:val="en-GB"/>
        </w:rPr>
        <w:t xml:space="preserve"> G</w:t>
      </w:r>
      <w:r w:rsidRPr="00275DE0">
        <w:rPr>
          <w:rFonts w:cstheme="minorHAnsi"/>
          <w:lang w:val="en-GB"/>
        </w:rPr>
        <w:t>, Arbizu</w:t>
      </w:r>
      <w:r w:rsidR="007A022D" w:rsidRPr="00275DE0">
        <w:rPr>
          <w:rFonts w:cstheme="minorHAnsi"/>
          <w:lang w:val="en-GB"/>
        </w:rPr>
        <w:t xml:space="preserve"> J</w:t>
      </w:r>
      <w:r w:rsidRPr="00275DE0">
        <w:rPr>
          <w:rFonts w:cstheme="minorHAnsi"/>
          <w:lang w:val="en-GB"/>
        </w:rPr>
        <w:t>,</w:t>
      </w:r>
      <w:r w:rsidR="007A022D" w:rsidRPr="00275DE0">
        <w:rPr>
          <w:rFonts w:cstheme="minorHAnsi"/>
          <w:lang w:val="en-GB"/>
        </w:rPr>
        <w:t xml:space="preserve"> </w:t>
      </w:r>
      <w:r w:rsidRPr="00275DE0">
        <w:rPr>
          <w:rFonts w:cstheme="minorHAnsi"/>
          <w:lang w:val="en-GB"/>
        </w:rPr>
        <w:t>Barthel</w:t>
      </w:r>
      <w:r w:rsidR="007A022D" w:rsidRPr="00275DE0">
        <w:rPr>
          <w:rFonts w:cstheme="minorHAnsi"/>
          <w:lang w:val="en-GB"/>
        </w:rPr>
        <w:t xml:space="preserve"> H,</w:t>
      </w:r>
      <w:r w:rsidRPr="00275DE0">
        <w:rPr>
          <w:rFonts w:cstheme="minorHAnsi"/>
          <w:lang w:val="en-GB"/>
        </w:rPr>
        <w:t xml:space="preserve"> </w:t>
      </w:r>
      <w:r w:rsidR="007A022D" w:rsidRPr="00275DE0">
        <w:rPr>
          <w:rFonts w:cstheme="minorHAnsi"/>
          <w:lang w:val="en-GB"/>
        </w:rPr>
        <w:t>et al</w:t>
      </w:r>
      <w:r w:rsidRPr="00275DE0">
        <w:rPr>
          <w:rFonts w:cstheme="minorHAnsi"/>
          <w:lang w:val="en-GB"/>
        </w:rPr>
        <w:t xml:space="preserve">.  Amyloid and FDG-PET in the diagnostic work-up of Alzheimer’s disease and other dementias.  </w:t>
      </w:r>
      <w:r w:rsidRPr="00AD79F2">
        <w:rPr>
          <w:rFonts w:cstheme="minorHAnsi"/>
          <w:i/>
          <w:iCs/>
        </w:rPr>
        <w:t>Lancet Neurol</w:t>
      </w:r>
      <w:r w:rsidRPr="00AD79F2">
        <w:rPr>
          <w:rFonts w:cstheme="minorHAnsi"/>
        </w:rPr>
        <w:t>, in press</w:t>
      </w:r>
      <w:r w:rsidR="00E8526D">
        <w:rPr>
          <w:rFonts w:cstheme="minorHAnsi"/>
        </w:rPr>
        <w:t>.</w:t>
      </w:r>
    </w:p>
    <w:p w14:paraId="3C08E40A" w14:textId="0520DCF0" w:rsidR="007013ED" w:rsidRPr="00275DE0" w:rsidRDefault="007013ED" w:rsidP="00275DE0">
      <w:pPr>
        <w:spacing w:line="480" w:lineRule="auto"/>
        <w:rPr>
          <w:rFonts w:cstheme="minorHAnsi"/>
          <w:lang w:val="en-GB"/>
        </w:rPr>
      </w:pPr>
      <w:r w:rsidRPr="00AD79F2">
        <w:rPr>
          <w:rFonts w:cstheme="minorHAnsi"/>
        </w:rPr>
        <w:t>2. Johnson</w:t>
      </w:r>
      <w:r w:rsidR="007A022D" w:rsidRPr="00AD79F2">
        <w:rPr>
          <w:rFonts w:cstheme="minorHAnsi"/>
        </w:rPr>
        <w:t xml:space="preserve"> KA</w:t>
      </w:r>
      <w:r w:rsidRPr="00AD79F2">
        <w:rPr>
          <w:rFonts w:cstheme="minorHAnsi"/>
        </w:rPr>
        <w:t>, Minoshima</w:t>
      </w:r>
      <w:r w:rsidR="007A022D" w:rsidRPr="00AD79F2">
        <w:rPr>
          <w:rFonts w:cstheme="minorHAnsi"/>
        </w:rPr>
        <w:t xml:space="preserve"> S</w:t>
      </w:r>
      <w:r w:rsidRPr="00AD79F2">
        <w:rPr>
          <w:rFonts w:cstheme="minorHAnsi"/>
        </w:rPr>
        <w:t>, Bohnen</w:t>
      </w:r>
      <w:r w:rsidR="007A022D" w:rsidRPr="00AD79F2">
        <w:rPr>
          <w:rFonts w:cstheme="minorHAnsi"/>
        </w:rPr>
        <w:t xml:space="preserve"> NI</w:t>
      </w:r>
      <w:r w:rsidRPr="00AD79F2">
        <w:rPr>
          <w:rFonts w:cstheme="minorHAnsi"/>
        </w:rPr>
        <w:t xml:space="preserve">, </w:t>
      </w:r>
      <w:r w:rsidR="007A022D" w:rsidRPr="00AD79F2">
        <w:rPr>
          <w:rFonts w:cstheme="minorHAnsi"/>
        </w:rPr>
        <w:t>et al</w:t>
      </w:r>
      <w:r w:rsidRPr="00AD79F2">
        <w:rPr>
          <w:rFonts w:cstheme="minorHAnsi"/>
        </w:rPr>
        <w:t xml:space="preserve">. </w:t>
      </w:r>
      <w:r w:rsidRPr="00275DE0">
        <w:rPr>
          <w:rFonts w:cstheme="minorHAnsi"/>
          <w:lang w:val="en-GB"/>
        </w:rPr>
        <w:t xml:space="preserve">Appropriate use criteria for amyloid PET: a report of the Amyloid Imaging Task Force, the Society of Nuclear Medicine and Molecular Imaging, and the Alzheimer’s Association. </w:t>
      </w:r>
      <w:r w:rsidRPr="00275DE0">
        <w:rPr>
          <w:rFonts w:cstheme="minorHAnsi"/>
          <w:i/>
          <w:iCs/>
          <w:lang w:val="en-GB"/>
        </w:rPr>
        <w:t>J Nucl Med</w:t>
      </w:r>
      <w:r w:rsidRPr="00275DE0">
        <w:rPr>
          <w:rFonts w:cstheme="minorHAnsi"/>
          <w:lang w:val="en-GB"/>
        </w:rPr>
        <w:t xml:space="preserve"> 2013</w:t>
      </w:r>
      <w:r w:rsidR="007A022D" w:rsidRPr="00275DE0">
        <w:rPr>
          <w:rFonts w:cstheme="minorHAnsi"/>
          <w:lang w:val="en-GB"/>
        </w:rPr>
        <w:t>;</w:t>
      </w:r>
      <w:r w:rsidRPr="00275DE0">
        <w:rPr>
          <w:rFonts w:cstheme="minorHAnsi"/>
          <w:lang w:val="en-GB"/>
        </w:rPr>
        <w:t xml:space="preserve"> </w:t>
      </w:r>
      <w:r w:rsidRPr="00275DE0">
        <w:rPr>
          <w:rFonts w:cstheme="minorHAnsi"/>
          <w:b/>
          <w:bCs/>
          <w:lang w:val="en-GB"/>
        </w:rPr>
        <w:t>54</w:t>
      </w:r>
      <w:r w:rsidRPr="00275DE0">
        <w:rPr>
          <w:rFonts w:cstheme="minorHAnsi"/>
          <w:lang w:val="en-GB"/>
        </w:rPr>
        <w:t>:</w:t>
      </w:r>
      <w:r w:rsidR="007A022D" w:rsidRPr="00275DE0">
        <w:rPr>
          <w:rFonts w:cstheme="minorHAnsi"/>
          <w:lang w:val="en-GB"/>
        </w:rPr>
        <w:t xml:space="preserve"> </w:t>
      </w:r>
      <w:r w:rsidRPr="00275DE0">
        <w:rPr>
          <w:rFonts w:cstheme="minorHAnsi"/>
          <w:lang w:val="en-GB"/>
        </w:rPr>
        <w:t>476-90. doi: 10.2967/jnumed.113.120618.</w:t>
      </w:r>
    </w:p>
    <w:p w14:paraId="58532BAE" w14:textId="3ACD6F4D" w:rsidR="00C25C16" w:rsidRPr="00275DE0" w:rsidRDefault="00C25C16" w:rsidP="00275DE0">
      <w:pPr>
        <w:spacing w:line="480" w:lineRule="auto"/>
        <w:rPr>
          <w:rFonts w:cstheme="minorHAnsi"/>
          <w:lang w:val="en-GB"/>
        </w:rPr>
      </w:pPr>
      <w:r w:rsidRPr="00275DE0">
        <w:rPr>
          <w:rFonts w:cstheme="minorHAnsi"/>
          <w:lang w:val="en-GB"/>
        </w:rPr>
        <w:t xml:space="preserve">3.  </w:t>
      </w:r>
      <w:r w:rsidRPr="00275DE0">
        <w:rPr>
          <w:rFonts w:cstheme="minorHAnsi"/>
          <w:color w:val="222222"/>
          <w:shd w:val="clear" w:color="auto" w:fill="FFFFFF"/>
          <w:lang w:val="en-US"/>
        </w:rPr>
        <w:t>Schermer MH, Richard, E. On the reconceptualization of Alzheimer’s disease. </w:t>
      </w:r>
      <w:r w:rsidRPr="00275DE0">
        <w:rPr>
          <w:rFonts w:cstheme="minorHAnsi"/>
          <w:i/>
          <w:iCs/>
          <w:color w:val="222222"/>
          <w:shd w:val="clear" w:color="auto" w:fill="FFFFFF"/>
          <w:lang w:val="en-US"/>
        </w:rPr>
        <w:t>Bioethics</w:t>
      </w:r>
      <w:r w:rsidRPr="00275DE0">
        <w:rPr>
          <w:rFonts w:cstheme="minorHAnsi"/>
          <w:color w:val="222222"/>
          <w:shd w:val="clear" w:color="auto" w:fill="FFFFFF"/>
          <w:lang w:val="en-US"/>
        </w:rPr>
        <w:t xml:space="preserve"> 2019; </w:t>
      </w:r>
      <w:r w:rsidRPr="00275DE0">
        <w:rPr>
          <w:rFonts w:cstheme="minorHAnsi"/>
          <w:b/>
          <w:bCs/>
          <w:color w:val="222222"/>
          <w:shd w:val="clear" w:color="auto" w:fill="FFFFFF"/>
          <w:lang w:val="en-US"/>
        </w:rPr>
        <w:t>33</w:t>
      </w:r>
      <w:r w:rsidRPr="00275DE0">
        <w:rPr>
          <w:rFonts w:cstheme="minorHAnsi"/>
          <w:color w:val="222222"/>
          <w:shd w:val="clear" w:color="auto" w:fill="FFFFFF"/>
          <w:lang w:val="en-US"/>
        </w:rPr>
        <w:t>: 138-145.</w:t>
      </w:r>
    </w:p>
    <w:p w14:paraId="06742B94" w14:textId="3AC9ED24" w:rsidR="00C25C16" w:rsidRPr="00275DE0" w:rsidRDefault="00AE1B7C" w:rsidP="00275DE0">
      <w:pPr>
        <w:spacing w:line="480" w:lineRule="auto"/>
        <w:rPr>
          <w:rFonts w:cstheme="minorHAnsi"/>
          <w:color w:val="222222"/>
          <w:shd w:val="clear" w:color="auto" w:fill="FFFFFF"/>
          <w:lang w:val="en-US"/>
        </w:rPr>
      </w:pPr>
      <w:r>
        <w:rPr>
          <w:rFonts w:cstheme="minorHAnsi"/>
        </w:rPr>
        <w:t>4</w:t>
      </w:r>
      <w:r w:rsidR="00C25C16" w:rsidRPr="00AD79F2">
        <w:rPr>
          <w:rFonts w:cstheme="minorHAnsi"/>
        </w:rPr>
        <w:t>. Van der Burg S, Schreuder FHBM, Klijn CJM, Verbeek MM. </w:t>
      </w:r>
      <w:r w:rsidR="00C25C16" w:rsidRPr="00275DE0">
        <w:rPr>
          <w:rFonts w:cstheme="minorHAnsi"/>
          <w:lang w:val="en-GB"/>
        </w:rPr>
        <w:t>Valuing biomarker diagnostics for dementia care: enhancing the reflection of patients, their care-givers and members of the wider public. </w:t>
      </w:r>
      <w:r w:rsidR="00C25C16" w:rsidRPr="00275DE0">
        <w:rPr>
          <w:rFonts w:cstheme="minorHAnsi"/>
          <w:i/>
          <w:iCs/>
          <w:lang w:val="en-GB"/>
        </w:rPr>
        <w:t>Med Health Care and Philos</w:t>
      </w:r>
      <w:r w:rsidR="00C25C16" w:rsidRPr="00275DE0">
        <w:rPr>
          <w:rFonts w:cstheme="minorHAnsi"/>
          <w:lang w:val="en-GB"/>
        </w:rPr>
        <w:t xml:space="preserve"> 2019; </w:t>
      </w:r>
      <w:r w:rsidR="00C25C16" w:rsidRPr="00275DE0">
        <w:rPr>
          <w:rFonts w:cstheme="minorHAnsi"/>
          <w:b/>
          <w:bCs/>
          <w:lang w:val="en-GB"/>
        </w:rPr>
        <w:t>22</w:t>
      </w:r>
      <w:r w:rsidR="00C25C16" w:rsidRPr="00275DE0">
        <w:rPr>
          <w:rFonts w:cstheme="minorHAnsi"/>
          <w:lang w:val="en-GB"/>
        </w:rPr>
        <w:t>:</w:t>
      </w:r>
      <w:r w:rsidR="00C25C16" w:rsidRPr="00275DE0">
        <w:rPr>
          <w:rFonts w:cstheme="minorHAnsi"/>
          <w:b/>
          <w:bCs/>
          <w:lang w:val="en-GB"/>
        </w:rPr>
        <w:t xml:space="preserve"> </w:t>
      </w:r>
      <w:r w:rsidR="00C25C16" w:rsidRPr="00275DE0">
        <w:rPr>
          <w:rFonts w:cstheme="minorHAnsi"/>
          <w:lang w:val="en-GB"/>
        </w:rPr>
        <w:t xml:space="preserve">439–451. </w:t>
      </w:r>
      <w:hyperlink r:id="rId7" w:history="1">
        <w:r w:rsidR="00C25C16" w:rsidRPr="00275DE0">
          <w:rPr>
            <w:rStyle w:val="Hyperlink"/>
            <w:rFonts w:cstheme="minorHAnsi"/>
            <w:lang w:val="en-GB"/>
          </w:rPr>
          <w:t>https://doi.org/10.1007/s11019-018-09883-2</w:t>
        </w:r>
      </w:hyperlink>
      <w:r w:rsidR="00C25C16" w:rsidRPr="00275DE0">
        <w:rPr>
          <w:rFonts w:cstheme="minorHAnsi"/>
          <w:lang w:val="en-GB"/>
        </w:rPr>
        <w:t xml:space="preserve">   </w:t>
      </w:r>
    </w:p>
    <w:p w14:paraId="0B92F96D" w14:textId="737D0BF2" w:rsidR="00C25C16" w:rsidRPr="00275DE0" w:rsidRDefault="00AE1B7C" w:rsidP="00275DE0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5</w:t>
      </w:r>
      <w:r w:rsidR="00275DE0" w:rsidRPr="00275DE0">
        <w:rPr>
          <w:rFonts w:cstheme="minorHAnsi"/>
          <w:lang w:val="en-US"/>
        </w:rPr>
        <w:t>.</w:t>
      </w:r>
      <w:r w:rsidR="00C25C16" w:rsidRPr="00275DE0">
        <w:rPr>
          <w:rFonts w:cstheme="minorHAnsi"/>
          <w:lang w:val="en-US"/>
        </w:rPr>
        <w:t xml:space="preserve">  </w:t>
      </w:r>
      <w:r w:rsidR="00C25C16" w:rsidRPr="00275DE0">
        <w:rPr>
          <w:rFonts w:cstheme="minorHAnsi"/>
          <w:color w:val="222222"/>
          <w:shd w:val="clear" w:color="auto" w:fill="FFFFFF"/>
          <w:lang w:val="en-US"/>
        </w:rPr>
        <w:t xml:space="preserve">Van der Laan AL. Grey matters: Emergent biomarkers and good Alzheimer’s diagnostics. In Boenink M, Van Lente H, Moors E (eds), </w:t>
      </w:r>
      <w:r w:rsidR="00C25C16" w:rsidRPr="00275DE0">
        <w:rPr>
          <w:rFonts w:cstheme="minorHAnsi"/>
          <w:i/>
          <w:iCs/>
          <w:color w:val="222222"/>
          <w:shd w:val="clear" w:color="auto" w:fill="FFFFFF"/>
          <w:lang w:val="en-US"/>
        </w:rPr>
        <w:t>Emerging Technologies for Diagnosing Alzheimer's Disease</w:t>
      </w:r>
      <w:r w:rsidR="00C25C16" w:rsidRPr="00275DE0">
        <w:rPr>
          <w:rFonts w:cstheme="minorHAnsi"/>
          <w:color w:val="222222"/>
          <w:shd w:val="clear" w:color="auto" w:fill="FFFFFF"/>
          <w:lang w:val="en-US"/>
        </w:rPr>
        <w:t> (pp. 103-121). London: Palgrave Macmillan, 2016.</w:t>
      </w:r>
    </w:p>
    <w:p w14:paraId="60C8E1E5" w14:textId="657F1865" w:rsidR="007013ED" w:rsidRPr="00AD79F2" w:rsidRDefault="00AE1B7C" w:rsidP="00275DE0">
      <w:pPr>
        <w:spacing w:line="480" w:lineRule="auto"/>
        <w:rPr>
          <w:rFonts w:cstheme="minorHAnsi"/>
        </w:rPr>
      </w:pPr>
      <w:r>
        <w:rPr>
          <w:rFonts w:cstheme="minorHAnsi"/>
        </w:rPr>
        <w:t>6</w:t>
      </w:r>
      <w:r w:rsidR="007013ED" w:rsidRPr="00AD79F2">
        <w:rPr>
          <w:rFonts w:cstheme="minorHAnsi"/>
        </w:rPr>
        <w:t>. Jack Jr</w:t>
      </w:r>
      <w:r w:rsidR="007A022D" w:rsidRPr="00AD79F2">
        <w:rPr>
          <w:rFonts w:cstheme="minorHAnsi"/>
        </w:rPr>
        <w:t xml:space="preserve"> CR</w:t>
      </w:r>
      <w:r w:rsidR="007013ED" w:rsidRPr="00AD79F2">
        <w:rPr>
          <w:rFonts w:cstheme="minorHAnsi"/>
        </w:rPr>
        <w:t>, Wiste</w:t>
      </w:r>
      <w:r w:rsidR="007A022D" w:rsidRPr="00AD79F2">
        <w:rPr>
          <w:rFonts w:cstheme="minorHAnsi"/>
        </w:rPr>
        <w:t xml:space="preserve"> HJ</w:t>
      </w:r>
      <w:r w:rsidR="007013ED" w:rsidRPr="00AD79F2">
        <w:rPr>
          <w:rFonts w:cstheme="minorHAnsi"/>
        </w:rPr>
        <w:t>, Weigand</w:t>
      </w:r>
      <w:r w:rsidR="007A022D" w:rsidRPr="00AD79F2">
        <w:rPr>
          <w:rFonts w:cstheme="minorHAnsi"/>
        </w:rPr>
        <w:t xml:space="preserve"> SD</w:t>
      </w:r>
      <w:r w:rsidR="007013ED" w:rsidRPr="00AD79F2">
        <w:rPr>
          <w:rFonts w:cstheme="minorHAnsi"/>
        </w:rPr>
        <w:t xml:space="preserve">, </w:t>
      </w:r>
      <w:r w:rsidR="007A022D" w:rsidRPr="00AD79F2">
        <w:rPr>
          <w:rFonts w:cstheme="minorHAnsi"/>
        </w:rPr>
        <w:t>et al</w:t>
      </w:r>
      <w:r w:rsidR="007013ED" w:rsidRPr="00AD79F2">
        <w:rPr>
          <w:rFonts w:cstheme="minorHAnsi"/>
        </w:rPr>
        <w:t xml:space="preserve">.  </w:t>
      </w:r>
      <w:r w:rsidR="007013ED" w:rsidRPr="00275DE0">
        <w:rPr>
          <w:rFonts w:cstheme="minorHAnsi"/>
          <w:lang w:val="en-GB"/>
        </w:rPr>
        <w:t xml:space="preserve">Age-specific population frequencies of cerebral β-amyloidosis and neurodegeneration among people with normal cognitive function aged 50-89 years: a cross-sectional study.  </w:t>
      </w:r>
      <w:r w:rsidR="007013ED" w:rsidRPr="00AD79F2">
        <w:rPr>
          <w:rFonts w:cstheme="minorHAnsi"/>
          <w:i/>
          <w:iCs/>
        </w:rPr>
        <w:t>Lancet Neuro</w:t>
      </w:r>
      <w:r w:rsidR="007A022D" w:rsidRPr="00AD79F2">
        <w:rPr>
          <w:rFonts w:cstheme="minorHAnsi"/>
          <w:i/>
          <w:iCs/>
        </w:rPr>
        <w:t>l</w:t>
      </w:r>
      <w:r w:rsidR="007013ED" w:rsidRPr="00AD79F2">
        <w:rPr>
          <w:rFonts w:cstheme="minorHAnsi"/>
        </w:rPr>
        <w:t xml:space="preserve"> 2014;</w:t>
      </w:r>
      <w:r w:rsidR="007A022D" w:rsidRPr="00AD79F2">
        <w:rPr>
          <w:rFonts w:cstheme="minorHAnsi"/>
        </w:rPr>
        <w:t xml:space="preserve"> </w:t>
      </w:r>
      <w:r w:rsidR="007013ED" w:rsidRPr="00AD79F2">
        <w:rPr>
          <w:rFonts w:cstheme="minorHAnsi"/>
          <w:b/>
          <w:bCs/>
        </w:rPr>
        <w:t>13</w:t>
      </w:r>
      <w:r w:rsidR="007013ED" w:rsidRPr="00AD79F2">
        <w:rPr>
          <w:rFonts w:cstheme="minorHAnsi"/>
        </w:rPr>
        <w:t>:</w:t>
      </w:r>
      <w:r w:rsidR="007A022D" w:rsidRPr="00AD79F2">
        <w:rPr>
          <w:rFonts w:cstheme="minorHAnsi"/>
        </w:rPr>
        <w:t xml:space="preserve"> </w:t>
      </w:r>
      <w:r w:rsidR="007013ED" w:rsidRPr="00AD79F2">
        <w:rPr>
          <w:rFonts w:cstheme="minorHAnsi"/>
        </w:rPr>
        <w:t xml:space="preserve">997-1005. doi: 10.1016/S1474-4422(14)70194-2. </w:t>
      </w:r>
    </w:p>
    <w:p w14:paraId="158EEACE" w14:textId="57D7D7AC" w:rsidR="007013ED" w:rsidRPr="00275DE0" w:rsidRDefault="00AE1B7C" w:rsidP="00275DE0">
      <w:pPr>
        <w:spacing w:line="480" w:lineRule="auto"/>
        <w:rPr>
          <w:rFonts w:cstheme="minorHAnsi"/>
          <w:lang w:val="en-GB"/>
        </w:rPr>
      </w:pPr>
      <w:r>
        <w:rPr>
          <w:rFonts w:cstheme="minorHAnsi"/>
        </w:rPr>
        <w:t>7</w:t>
      </w:r>
      <w:r w:rsidR="007013ED" w:rsidRPr="00AD79F2">
        <w:rPr>
          <w:rFonts w:cstheme="minorHAnsi"/>
        </w:rPr>
        <w:t>. Roberts</w:t>
      </w:r>
      <w:r w:rsidR="007A022D" w:rsidRPr="00AD79F2">
        <w:rPr>
          <w:rFonts w:cstheme="minorHAnsi"/>
        </w:rPr>
        <w:t xml:space="preserve"> RO</w:t>
      </w:r>
      <w:r w:rsidR="007013ED" w:rsidRPr="00AD79F2">
        <w:rPr>
          <w:rFonts w:cstheme="minorHAnsi"/>
        </w:rPr>
        <w:t>, Aakre</w:t>
      </w:r>
      <w:r w:rsidR="007A022D" w:rsidRPr="00AD79F2">
        <w:rPr>
          <w:rFonts w:cstheme="minorHAnsi"/>
        </w:rPr>
        <w:t xml:space="preserve"> JA</w:t>
      </w:r>
      <w:r w:rsidR="007013ED" w:rsidRPr="00AD79F2">
        <w:rPr>
          <w:rFonts w:cstheme="minorHAnsi"/>
        </w:rPr>
        <w:t>, Kremers</w:t>
      </w:r>
      <w:r w:rsidR="007A022D" w:rsidRPr="00AD79F2">
        <w:rPr>
          <w:rFonts w:cstheme="minorHAnsi"/>
        </w:rPr>
        <w:t xml:space="preserve"> WK</w:t>
      </w:r>
      <w:r w:rsidR="007013ED" w:rsidRPr="00AD79F2">
        <w:rPr>
          <w:rFonts w:cstheme="minorHAnsi"/>
        </w:rPr>
        <w:t xml:space="preserve">, </w:t>
      </w:r>
      <w:r w:rsidR="007A022D" w:rsidRPr="00AD79F2">
        <w:rPr>
          <w:rFonts w:cstheme="minorHAnsi"/>
        </w:rPr>
        <w:t>et al</w:t>
      </w:r>
      <w:r w:rsidR="007013ED" w:rsidRPr="00AD79F2">
        <w:rPr>
          <w:rFonts w:cstheme="minorHAnsi"/>
        </w:rPr>
        <w:t xml:space="preserve">.  </w:t>
      </w:r>
      <w:r w:rsidR="007013ED" w:rsidRPr="00275DE0">
        <w:rPr>
          <w:rFonts w:cstheme="minorHAnsi"/>
          <w:lang w:val="en-GB"/>
        </w:rPr>
        <w:t xml:space="preserve">Prevalence and Outcomes of Amyloid Positivity Among Persons Without Dementia in a Longitudinal, Population-Based Setting.  </w:t>
      </w:r>
      <w:r w:rsidR="007013ED" w:rsidRPr="00275DE0">
        <w:rPr>
          <w:rFonts w:cstheme="minorHAnsi"/>
          <w:i/>
          <w:iCs/>
          <w:lang w:val="en-GB"/>
        </w:rPr>
        <w:t>JAMA Neurol</w:t>
      </w:r>
      <w:r w:rsidR="007013ED" w:rsidRPr="00275DE0">
        <w:rPr>
          <w:rFonts w:cstheme="minorHAnsi"/>
          <w:lang w:val="en-GB"/>
        </w:rPr>
        <w:t xml:space="preserve"> 2018;</w:t>
      </w:r>
      <w:r w:rsidR="007A022D" w:rsidRPr="00275DE0">
        <w:rPr>
          <w:rFonts w:cstheme="minorHAnsi"/>
          <w:lang w:val="en-GB"/>
        </w:rPr>
        <w:t xml:space="preserve"> </w:t>
      </w:r>
      <w:r w:rsidR="007013ED" w:rsidRPr="00275DE0">
        <w:rPr>
          <w:rFonts w:cstheme="minorHAnsi"/>
          <w:b/>
          <w:bCs/>
          <w:lang w:val="en-GB"/>
        </w:rPr>
        <w:t>75</w:t>
      </w:r>
      <w:r w:rsidR="007013ED" w:rsidRPr="00275DE0">
        <w:rPr>
          <w:rFonts w:cstheme="minorHAnsi"/>
          <w:lang w:val="en-GB"/>
        </w:rPr>
        <w:t>:</w:t>
      </w:r>
      <w:r w:rsidR="007A022D" w:rsidRPr="00275DE0">
        <w:rPr>
          <w:rFonts w:cstheme="minorHAnsi"/>
          <w:lang w:val="en-GB"/>
        </w:rPr>
        <w:t xml:space="preserve"> </w:t>
      </w:r>
      <w:r w:rsidR="007013ED" w:rsidRPr="00275DE0">
        <w:rPr>
          <w:rFonts w:cstheme="minorHAnsi"/>
          <w:lang w:val="en-GB"/>
        </w:rPr>
        <w:t xml:space="preserve">970-979. doi: 10.1001/jamaneurol.2018.0629. </w:t>
      </w:r>
    </w:p>
    <w:p w14:paraId="6661019E" w14:textId="6BF55E61" w:rsidR="00AE1B7C" w:rsidRPr="00275DE0" w:rsidRDefault="00AE1B7C" w:rsidP="00AE1B7C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8</w:t>
      </w:r>
      <w:r w:rsidRPr="00275DE0">
        <w:rPr>
          <w:rFonts w:cstheme="minorHAnsi"/>
          <w:lang w:val="en-GB"/>
        </w:rPr>
        <w:t>. Swallow J. Expectant futures and an early diagnosis of Alzheimer's disease: Knowing and its consequences. </w:t>
      </w:r>
      <w:r w:rsidRPr="00275DE0">
        <w:rPr>
          <w:rFonts w:cstheme="minorHAnsi"/>
          <w:i/>
          <w:iCs/>
          <w:lang w:val="en-US"/>
        </w:rPr>
        <w:t>Soc Sci Med</w:t>
      </w:r>
      <w:r w:rsidRPr="00275DE0">
        <w:rPr>
          <w:rFonts w:cstheme="minorHAnsi"/>
          <w:lang w:val="en-US"/>
        </w:rPr>
        <w:t xml:space="preserve"> 2017; </w:t>
      </w:r>
      <w:r w:rsidRPr="00275DE0">
        <w:rPr>
          <w:rFonts w:cstheme="minorHAnsi"/>
          <w:b/>
          <w:bCs/>
          <w:lang w:val="en-US"/>
        </w:rPr>
        <w:t>184</w:t>
      </w:r>
      <w:r w:rsidRPr="00275DE0">
        <w:rPr>
          <w:rFonts w:cstheme="minorHAnsi"/>
          <w:lang w:val="en-US"/>
        </w:rPr>
        <w:t>:</w:t>
      </w:r>
      <w:r w:rsidRPr="00275DE0">
        <w:rPr>
          <w:rFonts w:cstheme="minorHAnsi"/>
          <w:b/>
          <w:bCs/>
          <w:lang w:val="en-US"/>
        </w:rPr>
        <w:t xml:space="preserve"> </w:t>
      </w:r>
      <w:r w:rsidRPr="00275DE0">
        <w:rPr>
          <w:rFonts w:cstheme="minorHAnsi"/>
          <w:lang w:val="en-US"/>
        </w:rPr>
        <w:t>57-64.</w:t>
      </w:r>
    </w:p>
    <w:p w14:paraId="031B37EB" w14:textId="1848FE19" w:rsidR="00275DE0" w:rsidRPr="00275DE0" w:rsidRDefault="00AE1B7C" w:rsidP="00275DE0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9</w:t>
      </w:r>
      <w:r w:rsidR="00275DE0" w:rsidRPr="00275DE0">
        <w:rPr>
          <w:rFonts w:cstheme="minorHAnsi"/>
          <w:lang w:val="en-US"/>
        </w:rPr>
        <w:t xml:space="preserve">. </w:t>
      </w:r>
      <w:r w:rsidR="00275DE0" w:rsidRPr="00275DE0">
        <w:rPr>
          <w:rFonts w:cstheme="minorHAnsi"/>
          <w:color w:val="222222"/>
          <w:shd w:val="clear" w:color="auto" w:fill="FFFFFF"/>
          <w:lang w:val="en-US"/>
        </w:rPr>
        <w:t xml:space="preserve">Boenink M, Van Lente H, Moors E. Diagnosing Alzheimer’s Disease: How to Innovate with Care. In Boenink M, Van Lente H, Moors E (eds), </w:t>
      </w:r>
      <w:r w:rsidR="00275DE0" w:rsidRPr="00275DE0">
        <w:rPr>
          <w:rFonts w:cstheme="minorHAnsi"/>
          <w:i/>
          <w:iCs/>
          <w:color w:val="222222"/>
          <w:shd w:val="clear" w:color="auto" w:fill="FFFFFF"/>
          <w:lang w:val="en-US"/>
        </w:rPr>
        <w:t>Emerging Technologies for Diagnosing Alzheimer's Disease</w:t>
      </w:r>
      <w:r w:rsidR="00275DE0" w:rsidRPr="00275DE0">
        <w:rPr>
          <w:rFonts w:cstheme="minorHAnsi"/>
          <w:color w:val="222222"/>
          <w:shd w:val="clear" w:color="auto" w:fill="FFFFFF"/>
          <w:lang w:val="en-US"/>
        </w:rPr>
        <w:t> (pp. 263-275). London: Palgrave Macmillan, 2016</w:t>
      </w:r>
    </w:p>
    <w:p w14:paraId="7FDD9B41" w14:textId="4348B1AA" w:rsidR="007013ED" w:rsidRPr="00AD79F2" w:rsidRDefault="00275DE0" w:rsidP="00275DE0">
      <w:pPr>
        <w:spacing w:line="480" w:lineRule="auto"/>
        <w:rPr>
          <w:rFonts w:cstheme="minorHAnsi"/>
        </w:rPr>
      </w:pPr>
      <w:r w:rsidRPr="00275DE0">
        <w:rPr>
          <w:rFonts w:cstheme="minorHAnsi"/>
          <w:lang w:val="en-GB"/>
        </w:rPr>
        <w:t>1</w:t>
      </w:r>
      <w:r w:rsidR="00FA3C2C">
        <w:rPr>
          <w:rFonts w:cstheme="minorHAnsi"/>
          <w:lang w:val="en-GB"/>
        </w:rPr>
        <w:t>0</w:t>
      </w:r>
      <w:r w:rsidR="007013ED" w:rsidRPr="00275DE0">
        <w:rPr>
          <w:rFonts w:cstheme="minorHAnsi"/>
          <w:lang w:val="en-GB"/>
        </w:rPr>
        <w:t>. Livingston</w:t>
      </w:r>
      <w:r w:rsidR="007A022D" w:rsidRPr="00275DE0">
        <w:rPr>
          <w:rFonts w:cstheme="minorHAnsi"/>
          <w:lang w:val="en-GB"/>
        </w:rPr>
        <w:t xml:space="preserve"> G</w:t>
      </w:r>
      <w:r w:rsidR="007013ED" w:rsidRPr="00275DE0">
        <w:rPr>
          <w:rFonts w:cstheme="minorHAnsi"/>
          <w:lang w:val="en-GB"/>
        </w:rPr>
        <w:t>, Manela</w:t>
      </w:r>
      <w:r w:rsidR="007A022D" w:rsidRPr="00275DE0">
        <w:rPr>
          <w:rFonts w:cstheme="minorHAnsi"/>
          <w:lang w:val="en-GB"/>
        </w:rPr>
        <w:t xml:space="preserve"> M</w:t>
      </w:r>
      <w:r w:rsidR="007013ED" w:rsidRPr="00275DE0">
        <w:rPr>
          <w:rFonts w:cstheme="minorHAnsi"/>
          <w:lang w:val="en-GB"/>
        </w:rPr>
        <w:t>, O'Keeffe</w:t>
      </w:r>
      <w:r w:rsidR="007A022D" w:rsidRPr="00275DE0">
        <w:rPr>
          <w:rFonts w:cstheme="minorHAnsi"/>
          <w:lang w:val="en-GB"/>
        </w:rPr>
        <w:t xml:space="preserve"> A</w:t>
      </w:r>
      <w:r w:rsidR="007013ED" w:rsidRPr="00275DE0">
        <w:rPr>
          <w:rFonts w:cstheme="minorHAnsi"/>
          <w:lang w:val="en-GB"/>
        </w:rPr>
        <w:t xml:space="preserve">, </w:t>
      </w:r>
      <w:r w:rsidR="007A022D" w:rsidRPr="00275DE0">
        <w:rPr>
          <w:rFonts w:cstheme="minorHAnsi"/>
          <w:lang w:val="en-GB"/>
        </w:rPr>
        <w:t>et al</w:t>
      </w:r>
      <w:r w:rsidR="007013ED" w:rsidRPr="00275DE0">
        <w:rPr>
          <w:rFonts w:cstheme="minorHAnsi"/>
          <w:lang w:val="en-GB"/>
        </w:rPr>
        <w:t xml:space="preserve">.  Clinical effectiveness of the START (STrAtegies for RelaTives) psychological intervention for family carers and the effects on the cost of care for people with dementia: 6-year follow-up of a randomised controlled trial.  </w:t>
      </w:r>
      <w:r w:rsidR="007013ED" w:rsidRPr="00AD79F2">
        <w:rPr>
          <w:rFonts w:cstheme="minorHAnsi"/>
          <w:i/>
          <w:iCs/>
        </w:rPr>
        <w:t>Br J Psychiatry</w:t>
      </w:r>
      <w:r w:rsidR="007A022D" w:rsidRPr="00AD79F2">
        <w:rPr>
          <w:rFonts w:cstheme="minorHAnsi"/>
        </w:rPr>
        <w:t xml:space="preserve"> </w:t>
      </w:r>
      <w:r w:rsidR="007013ED" w:rsidRPr="00AD79F2">
        <w:rPr>
          <w:rFonts w:cstheme="minorHAnsi"/>
        </w:rPr>
        <w:t>2020;</w:t>
      </w:r>
      <w:r w:rsidR="007A022D" w:rsidRPr="00AD79F2">
        <w:rPr>
          <w:rFonts w:cstheme="minorHAnsi"/>
        </w:rPr>
        <w:t xml:space="preserve"> </w:t>
      </w:r>
      <w:r w:rsidR="007013ED" w:rsidRPr="00AD79F2">
        <w:rPr>
          <w:rFonts w:cstheme="minorHAnsi"/>
          <w:b/>
          <w:bCs/>
        </w:rPr>
        <w:t>216</w:t>
      </w:r>
      <w:r w:rsidR="007013ED" w:rsidRPr="00AD79F2">
        <w:rPr>
          <w:rFonts w:cstheme="minorHAnsi"/>
        </w:rPr>
        <w:t>:</w:t>
      </w:r>
      <w:r w:rsidR="007A022D" w:rsidRPr="00AD79F2">
        <w:rPr>
          <w:rFonts w:cstheme="minorHAnsi"/>
        </w:rPr>
        <w:t xml:space="preserve"> </w:t>
      </w:r>
      <w:r w:rsidR="007013ED" w:rsidRPr="00AD79F2">
        <w:rPr>
          <w:rFonts w:cstheme="minorHAnsi"/>
        </w:rPr>
        <w:t xml:space="preserve">35-42. doi: 10.1192/bjp.2019.160. </w:t>
      </w:r>
    </w:p>
    <w:p w14:paraId="5089D319" w14:textId="527445FD" w:rsidR="009908FB" w:rsidRPr="00AD79F2" w:rsidRDefault="009908FB" w:rsidP="00275DE0">
      <w:pPr>
        <w:spacing w:line="480" w:lineRule="auto"/>
        <w:rPr>
          <w:rFonts w:cstheme="minorHAnsi"/>
          <w:color w:val="222222"/>
          <w:shd w:val="clear" w:color="auto" w:fill="FFFFFF"/>
          <w:lang w:val="en-US"/>
        </w:rPr>
      </w:pPr>
    </w:p>
    <w:p w14:paraId="34EB4288" w14:textId="77777777" w:rsidR="00032574" w:rsidRPr="00AD79F2" w:rsidRDefault="00032574">
      <w:pPr>
        <w:rPr>
          <w:rFonts w:cstheme="minorHAnsi"/>
          <w:color w:val="222222"/>
          <w:shd w:val="clear" w:color="auto" w:fill="FFFFFF"/>
          <w:lang w:val="en-US"/>
        </w:rPr>
      </w:pPr>
      <w:r w:rsidRPr="00AD79F2">
        <w:rPr>
          <w:rFonts w:cstheme="minorHAnsi"/>
          <w:color w:val="222222"/>
          <w:shd w:val="clear" w:color="auto" w:fill="FFFFFF"/>
          <w:lang w:val="en-US"/>
        </w:rPr>
        <w:br w:type="page"/>
      </w:r>
    </w:p>
    <w:p w14:paraId="51ADE7EE" w14:textId="4C0D4A61" w:rsidR="009908FB" w:rsidRPr="00AD79F2" w:rsidRDefault="009908FB" w:rsidP="00275DE0">
      <w:pPr>
        <w:spacing w:line="480" w:lineRule="auto"/>
        <w:rPr>
          <w:rFonts w:cstheme="minorHAnsi"/>
          <w:color w:val="222222"/>
          <w:shd w:val="clear" w:color="auto" w:fill="FFFFFF"/>
          <w:lang w:val="en-US"/>
        </w:rPr>
      </w:pPr>
      <w:r w:rsidRPr="00AD79F2">
        <w:rPr>
          <w:rFonts w:cstheme="minorHAnsi"/>
          <w:color w:val="222222"/>
          <w:shd w:val="clear" w:color="auto" w:fill="FFFFFF"/>
          <w:lang w:val="en-US"/>
        </w:rPr>
        <w:lastRenderedPageBreak/>
        <w:t>Declaration of interests</w:t>
      </w:r>
    </w:p>
    <w:p w14:paraId="49F5AB92" w14:textId="0091677F" w:rsidR="009908FB" w:rsidRDefault="009908FB" w:rsidP="00275DE0">
      <w:pPr>
        <w:spacing w:line="480" w:lineRule="auto"/>
        <w:rPr>
          <w:rFonts w:cstheme="minorHAnsi"/>
          <w:color w:val="222222"/>
          <w:shd w:val="clear" w:color="auto" w:fill="FFFFFF"/>
          <w:lang w:val="en-US"/>
        </w:rPr>
      </w:pPr>
      <w:r w:rsidRPr="00AD79F2">
        <w:rPr>
          <w:rFonts w:cstheme="minorHAnsi"/>
          <w:color w:val="222222"/>
          <w:shd w:val="clear" w:color="auto" w:fill="FFFFFF"/>
          <w:lang w:val="en-US"/>
        </w:rPr>
        <w:t xml:space="preserve">Jeremy Isaacs </w:t>
      </w:r>
      <w:r w:rsidR="005B70FE">
        <w:rPr>
          <w:rFonts w:cstheme="minorHAnsi"/>
          <w:color w:val="222222"/>
          <w:shd w:val="clear" w:color="auto" w:fill="FFFFFF"/>
          <w:lang w:val="en-US"/>
        </w:rPr>
        <w:t xml:space="preserve">has </w:t>
      </w:r>
      <w:r w:rsidR="00DA7B44">
        <w:rPr>
          <w:rFonts w:cstheme="minorHAnsi"/>
          <w:color w:val="222222"/>
          <w:shd w:val="clear" w:color="auto" w:fill="FFFFFF"/>
          <w:lang w:val="en-US"/>
        </w:rPr>
        <w:t>received</w:t>
      </w:r>
      <w:r w:rsidRPr="00AD79F2">
        <w:rPr>
          <w:rFonts w:cstheme="minorHAnsi"/>
          <w:color w:val="222222"/>
          <w:shd w:val="clear" w:color="auto" w:fill="FFFFFF"/>
          <w:lang w:val="en-US"/>
        </w:rPr>
        <w:t xml:space="preserve"> an honorarium from Biogen for participation in an advisory board and conference fees and travel and accommodation expenses from Roche.  He is a principal investigator on clinical trials of anti-amyloid therapies for AD sponsored by Roche.  He is a co-applicant with one of the </w:t>
      </w:r>
      <w:r w:rsidRPr="00275DE0">
        <w:rPr>
          <w:rFonts w:cstheme="minorHAnsi"/>
          <w:lang w:val="en-GB"/>
        </w:rPr>
        <w:t>Chételat</w:t>
      </w:r>
      <w:r w:rsidRPr="00AD79F2">
        <w:rPr>
          <w:rFonts w:cstheme="minorHAnsi"/>
          <w:color w:val="222222"/>
          <w:shd w:val="clear" w:color="auto" w:fill="FFFFFF"/>
          <w:lang w:val="en-US"/>
        </w:rPr>
        <w:t xml:space="preserve"> paper’s authors (HZ) on a research grant </w:t>
      </w:r>
      <w:r w:rsidR="00AA7D64">
        <w:rPr>
          <w:rFonts w:cstheme="minorHAnsi"/>
          <w:color w:val="222222"/>
          <w:shd w:val="clear" w:color="auto" w:fill="FFFFFF"/>
          <w:lang w:val="en-US"/>
        </w:rPr>
        <w:t xml:space="preserve">currently under review </w:t>
      </w:r>
      <w:r w:rsidRPr="00AD79F2">
        <w:rPr>
          <w:rFonts w:cstheme="minorHAnsi"/>
          <w:color w:val="222222"/>
          <w:shd w:val="clear" w:color="auto" w:fill="FFFFFF"/>
          <w:lang w:val="en-US"/>
        </w:rPr>
        <w:t>investigating biomarkers of vascular cognitive impairment and dementia.</w:t>
      </w:r>
    </w:p>
    <w:p w14:paraId="474E1C4F" w14:textId="407BABCF" w:rsidR="00BF75EF" w:rsidRPr="00AD79F2" w:rsidRDefault="00BF75EF" w:rsidP="00275DE0">
      <w:pPr>
        <w:spacing w:line="480" w:lineRule="auto"/>
        <w:rPr>
          <w:rFonts w:cstheme="minorHAnsi"/>
          <w:color w:val="222222"/>
          <w:shd w:val="clear" w:color="auto" w:fill="FFFFFF"/>
          <w:lang w:val="en-US"/>
        </w:rPr>
      </w:pPr>
      <w:r>
        <w:rPr>
          <w:rFonts w:cstheme="minorHAnsi"/>
          <w:color w:val="222222"/>
          <w:shd w:val="clear" w:color="auto" w:fill="FFFFFF"/>
          <w:lang w:val="en-US"/>
        </w:rPr>
        <w:t>Marianne Boenink is a (non-paid) member of the Ethics Advisory Board of the EPAD and the AMYPAD project</w:t>
      </w:r>
      <w:r w:rsidR="005C780F">
        <w:rPr>
          <w:rFonts w:cstheme="minorHAnsi"/>
          <w:color w:val="222222"/>
          <w:shd w:val="clear" w:color="auto" w:fill="FFFFFF"/>
          <w:lang w:val="en-US"/>
        </w:rPr>
        <w:t>, both funded by the Innovative Medicines Initiative</w:t>
      </w:r>
      <w:r>
        <w:rPr>
          <w:rFonts w:cstheme="minorHAnsi"/>
          <w:color w:val="222222"/>
          <w:shd w:val="clear" w:color="auto" w:fill="FFFFFF"/>
          <w:lang w:val="en-US"/>
        </w:rPr>
        <w:t xml:space="preserve">. She is a co-applicant </w:t>
      </w:r>
      <w:r w:rsidRPr="00AD79F2">
        <w:rPr>
          <w:rFonts w:cstheme="minorHAnsi"/>
          <w:color w:val="222222"/>
          <w:shd w:val="clear" w:color="auto" w:fill="FFFFFF"/>
          <w:lang w:val="en-US"/>
        </w:rPr>
        <w:t xml:space="preserve">with one of the </w:t>
      </w:r>
      <w:r w:rsidRPr="00275DE0">
        <w:rPr>
          <w:rFonts w:cstheme="minorHAnsi"/>
          <w:lang w:val="en-GB"/>
        </w:rPr>
        <w:t>Chételat</w:t>
      </w:r>
      <w:r w:rsidRPr="00AD79F2">
        <w:rPr>
          <w:rFonts w:cstheme="minorHAnsi"/>
          <w:color w:val="222222"/>
          <w:shd w:val="clear" w:color="auto" w:fill="FFFFFF"/>
          <w:lang w:val="en-US"/>
        </w:rPr>
        <w:t xml:space="preserve"> paper’s authors</w:t>
      </w:r>
      <w:r>
        <w:rPr>
          <w:rFonts w:cstheme="minorHAnsi"/>
          <w:color w:val="222222"/>
          <w:shd w:val="clear" w:color="auto" w:fill="FFFFFF"/>
          <w:lang w:val="en-US"/>
        </w:rPr>
        <w:t xml:space="preserve"> (RO) on </w:t>
      </w:r>
      <w:r w:rsidR="007D20EE">
        <w:rPr>
          <w:rFonts w:cstheme="minorHAnsi"/>
          <w:color w:val="222222"/>
          <w:shd w:val="clear" w:color="auto" w:fill="FFFFFF"/>
          <w:lang w:val="en-US"/>
        </w:rPr>
        <w:t>two</w:t>
      </w:r>
      <w:r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="007D20EE">
        <w:rPr>
          <w:rFonts w:cstheme="minorHAnsi"/>
          <w:color w:val="222222"/>
          <w:shd w:val="clear" w:color="auto" w:fill="FFFFFF"/>
          <w:lang w:val="en-US"/>
        </w:rPr>
        <w:t xml:space="preserve">ZON-MW </w:t>
      </w:r>
      <w:r>
        <w:rPr>
          <w:rFonts w:cstheme="minorHAnsi"/>
          <w:color w:val="222222"/>
          <w:shd w:val="clear" w:color="auto" w:fill="FFFFFF"/>
          <w:lang w:val="en-US"/>
        </w:rPr>
        <w:t>research grant</w:t>
      </w:r>
      <w:r w:rsidR="007D20EE">
        <w:rPr>
          <w:rFonts w:cstheme="minorHAnsi"/>
          <w:color w:val="222222"/>
          <w:shd w:val="clear" w:color="auto" w:fill="FFFFFF"/>
          <w:lang w:val="en-US"/>
        </w:rPr>
        <w:t>s</w:t>
      </w:r>
      <w:r>
        <w:rPr>
          <w:rFonts w:cstheme="minorHAnsi"/>
          <w:color w:val="222222"/>
          <w:shd w:val="clear" w:color="auto" w:fill="FFFFFF"/>
          <w:lang w:val="en-US"/>
        </w:rPr>
        <w:t xml:space="preserve"> investigating the</w:t>
      </w:r>
      <w:r w:rsidR="007D20EE">
        <w:rPr>
          <w:rFonts w:cstheme="minorHAnsi"/>
          <w:color w:val="222222"/>
          <w:shd w:val="clear" w:color="auto" w:fill="FFFFFF"/>
          <w:lang w:val="en-US"/>
        </w:rPr>
        <w:t xml:space="preserve"> diagnostic and </w:t>
      </w:r>
      <w:r>
        <w:rPr>
          <w:rFonts w:cstheme="minorHAnsi"/>
          <w:color w:val="222222"/>
          <w:shd w:val="clear" w:color="auto" w:fill="FFFFFF"/>
          <w:lang w:val="en-US"/>
        </w:rPr>
        <w:t>prognostic value of tau biomarkers.</w:t>
      </w:r>
    </w:p>
    <w:p w14:paraId="09E95685" w14:textId="77777777" w:rsidR="003E5C1C" w:rsidRPr="00945E5F" w:rsidRDefault="003E5C1C" w:rsidP="00275DE0">
      <w:pPr>
        <w:spacing w:before="240" w:line="480" w:lineRule="auto"/>
        <w:rPr>
          <w:lang w:val="en-US"/>
        </w:rPr>
      </w:pPr>
    </w:p>
    <w:sectPr w:rsidR="003E5C1C" w:rsidRPr="00945E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3060" w14:textId="77777777" w:rsidR="00517124" w:rsidRDefault="00517124" w:rsidP="00032574">
      <w:pPr>
        <w:spacing w:after="0" w:line="240" w:lineRule="auto"/>
      </w:pPr>
      <w:r>
        <w:separator/>
      </w:r>
    </w:p>
  </w:endnote>
  <w:endnote w:type="continuationSeparator" w:id="0">
    <w:p w14:paraId="5AD55065" w14:textId="77777777" w:rsidR="00517124" w:rsidRDefault="00517124" w:rsidP="0003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118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D8630" w14:textId="0498568D" w:rsidR="00032574" w:rsidRDefault="000325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9AAA6" w14:textId="77777777" w:rsidR="00032574" w:rsidRDefault="0003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C84AD" w14:textId="77777777" w:rsidR="00517124" w:rsidRDefault="00517124" w:rsidP="00032574">
      <w:pPr>
        <w:spacing w:after="0" w:line="240" w:lineRule="auto"/>
      </w:pPr>
      <w:r>
        <w:separator/>
      </w:r>
    </w:p>
  </w:footnote>
  <w:footnote w:type="continuationSeparator" w:id="0">
    <w:p w14:paraId="03A6E2A7" w14:textId="77777777" w:rsidR="00517124" w:rsidRDefault="00517124" w:rsidP="00032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AA"/>
    <w:rsid w:val="00012B2B"/>
    <w:rsid w:val="00030499"/>
    <w:rsid w:val="00032574"/>
    <w:rsid w:val="000455D0"/>
    <w:rsid w:val="0006097A"/>
    <w:rsid w:val="00063048"/>
    <w:rsid w:val="00094365"/>
    <w:rsid w:val="000F3C8E"/>
    <w:rsid w:val="00116F44"/>
    <w:rsid w:val="00127772"/>
    <w:rsid w:val="00140BC4"/>
    <w:rsid w:val="00154771"/>
    <w:rsid w:val="00162855"/>
    <w:rsid w:val="0016414E"/>
    <w:rsid w:val="00165CAC"/>
    <w:rsid w:val="00190D1E"/>
    <w:rsid w:val="00194B4D"/>
    <w:rsid w:val="00195B48"/>
    <w:rsid w:val="001A2664"/>
    <w:rsid w:val="001A7657"/>
    <w:rsid w:val="001B6531"/>
    <w:rsid w:val="001E7261"/>
    <w:rsid w:val="00206719"/>
    <w:rsid w:val="00220470"/>
    <w:rsid w:val="002319C6"/>
    <w:rsid w:val="0023754D"/>
    <w:rsid w:val="00263FBD"/>
    <w:rsid w:val="00275DE0"/>
    <w:rsid w:val="0028167D"/>
    <w:rsid w:val="00281BE6"/>
    <w:rsid w:val="00282080"/>
    <w:rsid w:val="00285AED"/>
    <w:rsid w:val="00294035"/>
    <w:rsid w:val="002A4661"/>
    <w:rsid w:val="002B7D3D"/>
    <w:rsid w:val="002C05A8"/>
    <w:rsid w:val="002D2094"/>
    <w:rsid w:val="002E4BEB"/>
    <w:rsid w:val="00313137"/>
    <w:rsid w:val="00324447"/>
    <w:rsid w:val="00324605"/>
    <w:rsid w:val="00335B14"/>
    <w:rsid w:val="00360C1E"/>
    <w:rsid w:val="003E5C1C"/>
    <w:rsid w:val="0043189B"/>
    <w:rsid w:val="00453F5A"/>
    <w:rsid w:val="0046617F"/>
    <w:rsid w:val="00517124"/>
    <w:rsid w:val="005575FA"/>
    <w:rsid w:val="0056053C"/>
    <w:rsid w:val="00565A31"/>
    <w:rsid w:val="005B5510"/>
    <w:rsid w:val="005B65E4"/>
    <w:rsid w:val="005B70FE"/>
    <w:rsid w:val="005C083A"/>
    <w:rsid w:val="005C780F"/>
    <w:rsid w:val="005F3DA2"/>
    <w:rsid w:val="00635174"/>
    <w:rsid w:val="00646838"/>
    <w:rsid w:val="00656739"/>
    <w:rsid w:val="0069047F"/>
    <w:rsid w:val="006A0DF3"/>
    <w:rsid w:val="006B4F8E"/>
    <w:rsid w:val="006E035E"/>
    <w:rsid w:val="007013ED"/>
    <w:rsid w:val="007305D2"/>
    <w:rsid w:val="00733686"/>
    <w:rsid w:val="00736377"/>
    <w:rsid w:val="0076399E"/>
    <w:rsid w:val="0078133C"/>
    <w:rsid w:val="007813C7"/>
    <w:rsid w:val="007858F4"/>
    <w:rsid w:val="007A022D"/>
    <w:rsid w:val="007D20EE"/>
    <w:rsid w:val="007D569A"/>
    <w:rsid w:val="008069E7"/>
    <w:rsid w:val="00840E33"/>
    <w:rsid w:val="00856F2F"/>
    <w:rsid w:val="00866388"/>
    <w:rsid w:val="008A705D"/>
    <w:rsid w:val="0091374A"/>
    <w:rsid w:val="00927BC4"/>
    <w:rsid w:val="00945E5F"/>
    <w:rsid w:val="00950A01"/>
    <w:rsid w:val="00962D84"/>
    <w:rsid w:val="009908FB"/>
    <w:rsid w:val="0099693B"/>
    <w:rsid w:val="009A6C17"/>
    <w:rsid w:val="009C2588"/>
    <w:rsid w:val="009F0016"/>
    <w:rsid w:val="009F249F"/>
    <w:rsid w:val="009F4374"/>
    <w:rsid w:val="00A03C24"/>
    <w:rsid w:val="00A23948"/>
    <w:rsid w:val="00A26A49"/>
    <w:rsid w:val="00A569C5"/>
    <w:rsid w:val="00A83296"/>
    <w:rsid w:val="00AA11E5"/>
    <w:rsid w:val="00AA7D64"/>
    <w:rsid w:val="00AC43A4"/>
    <w:rsid w:val="00AD16AA"/>
    <w:rsid w:val="00AD79F2"/>
    <w:rsid w:val="00AE15C4"/>
    <w:rsid w:val="00AE1B7C"/>
    <w:rsid w:val="00AE1E6E"/>
    <w:rsid w:val="00B33978"/>
    <w:rsid w:val="00B4363B"/>
    <w:rsid w:val="00B60585"/>
    <w:rsid w:val="00B759C5"/>
    <w:rsid w:val="00B83AA3"/>
    <w:rsid w:val="00BA7412"/>
    <w:rsid w:val="00BC4521"/>
    <w:rsid w:val="00BD766D"/>
    <w:rsid w:val="00BE2E07"/>
    <w:rsid w:val="00BE42A0"/>
    <w:rsid w:val="00BF75EF"/>
    <w:rsid w:val="00C10BDE"/>
    <w:rsid w:val="00C25C16"/>
    <w:rsid w:val="00C321F5"/>
    <w:rsid w:val="00C33C78"/>
    <w:rsid w:val="00C53432"/>
    <w:rsid w:val="00C56185"/>
    <w:rsid w:val="00C70FC7"/>
    <w:rsid w:val="00C948B1"/>
    <w:rsid w:val="00CA06EE"/>
    <w:rsid w:val="00CA187E"/>
    <w:rsid w:val="00CA4232"/>
    <w:rsid w:val="00CD1ADD"/>
    <w:rsid w:val="00D1032D"/>
    <w:rsid w:val="00D477A4"/>
    <w:rsid w:val="00DA07E0"/>
    <w:rsid w:val="00DA7B44"/>
    <w:rsid w:val="00DB160A"/>
    <w:rsid w:val="00DB7F98"/>
    <w:rsid w:val="00DC0C66"/>
    <w:rsid w:val="00DC1AB5"/>
    <w:rsid w:val="00DD7A8E"/>
    <w:rsid w:val="00DD7F49"/>
    <w:rsid w:val="00E068DD"/>
    <w:rsid w:val="00E26C51"/>
    <w:rsid w:val="00E56460"/>
    <w:rsid w:val="00E71ACB"/>
    <w:rsid w:val="00E8526D"/>
    <w:rsid w:val="00EA4FAF"/>
    <w:rsid w:val="00EB0E63"/>
    <w:rsid w:val="00EC1194"/>
    <w:rsid w:val="00F079F5"/>
    <w:rsid w:val="00F90D79"/>
    <w:rsid w:val="00F92BFE"/>
    <w:rsid w:val="00FA3C2C"/>
    <w:rsid w:val="00FA6324"/>
    <w:rsid w:val="00FC0590"/>
    <w:rsid w:val="00FC2D05"/>
    <w:rsid w:val="00FC6F31"/>
    <w:rsid w:val="00FD0AF3"/>
    <w:rsid w:val="00FE44E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7242"/>
  <w15:chartTrackingRefBased/>
  <w15:docId w15:val="{0E7A4647-3593-4CD4-85AD-E76964EC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AA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6AA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AA"/>
    <w:rPr>
      <w:rFonts w:ascii="Segoe UI" w:hAnsi="Segoe UI" w:cs="Segoe UI"/>
      <w:sz w:val="18"/>
      <w:szCs w:val="18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5F"/>
    <w:rPr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3E5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2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74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03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74"/>
    <w:rPr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094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11019-018-09883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Isaacs</dc:creator>
  <cp:keywords/>
  <dc:description/>
  <cp:lastModifiedBy>Jeremy Isaacs</cp:lastModifiedBy>
  <cp:revision>5</cp:revision>
  <dcterms:created xsi:type="dcterms:W3CDTF">2020-09-23T17:27:00Z</dcterms:created>
  <dcterms:modified xsi:type="dcterms:W3CDTF">2020-09-23T17:32:00Z</dcterms:modified>
</cp:coreProperties>
</file>