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F689BD" w:rsidR="00866D36" w:rsidRPr="00CA21ED" w:rsidRDefault="007B532F">
      <w:pPr>
        <w:pStyle w:val="Title"/>
      </w:pPr>
      <w:r w:rsidRPr="00CA21ED">
        <w:t>Supplementary material</w:t>
      </w:r>
    </w:p>
    <w:p w14:paraId="00000002" w14:textId="77777777" w:rsidR="00866D36" w:rsidRPr="00CA21ED" w:rsidRDefault="007B532F">
      <w:pPr>
        <w:pStyle w:val="Heading1"/>
      </w:pPr>
      <w:r w:rsidRPr="00CA21ED">
        <w:t>Supplementary</w:t>
      </w:r>
      <w:bookmarkStart w:id="0" w:name="_GoBack"/>
      <w:bookmarkEnd w:id="0"/>
      <w:r w:rsidRPr="00CA21ED">
        <w:t xml:space="preserve"> methods</w:t>
      </w:r>
    </w:p>
    <w:p w14:paraId="00000003" w14:textId="77777777" w:rsidR="00866D36" w:rsidRPr="00CA21ED" w:rsidRDefault="007B532F">
      <w:pPr>
        <w:pStyle w:val="Heading2"/>
      </w:pPr>
      <w:r w:rsidRPr="00CA21ED">
        <w:t>Prevalence meta-analysis</w:t>
      </w:r>
    </w:p>
    <w:p w14:paraId="00000004" w14:textId="62FFE242" w:rsidR="00866D36" w:rsidRPr="00CA21ED" w:rsidRDefault="007B532F">
      <w:bookmarkStart w:id="1" w:name="_heading=h.gjdgxs" w:colFirst="0" w:colLast="0"/>
      <w:bookmarkEnd w:id="1"/>
      <w:r w:rsidRPr="00CA21ED">
        <w:t xml:space="preserve">In the base case, prevalence was pooled from all studies combined, with prevalence values from individual studies examined in sensitivity analysis. </w:t>
      </w:r>
      <w:r w:rsidR="00BD301B" w:rsidRPr="00CA21ED">
        <w:fldChar w:fldCharType="begin"/>
      </w:r>
      <w:r w:rsidR="00BD301B" w:rsidRPr="00CA21ED">
        <w:instrText xml:space="preserve"> REF _Ref100565485 \h </w:instrText>
      </w:r>
      <w:r w:rsidR="00BD301B" w:rsidRPr="00CA21ED">
        <w:fldChar w:fldCharType="separate"/>
      </w:r>
      <w:r w:rsidR="00A47A11" w:rsidRPr="00CA21ED">
        <w:t xml:space="preserve">Figure </w:t>
      </w:r>
      <w:r w:rsidR="00A47A11">
        <w:rPr>
          <w:noProof/>
        </w:rPr>
        <w:t>1</w:t>
      </w:r>
      <w:r w:rsidR="00BD301B" w:rsidRPr="00CA21ED">
        <w:fldChar w:fldCharType="end"/>
      </w:r>
      <w:r w:rsidR="00BD301B" w:rsidRPr="00CA21ED">
        <w:t xml:space="preserve"> </w:t>
      </w:r>
      <w:r w:rsidRPr="00CA21ED">
        <w:t>shows the results of the meta-analysis for acute heart failure prevalence in those presenting to the ED with signs and symptoms of suspected heart failure. Given the heterogeneity across results (I</w:t>
      </w:r>
      <w:r w:rsidRPr="00CA21ED">
        <w:rPr>
          <w:vertAlign w:val="superscript"/>
        </w:rPr>
        <w:t>2</w:t>
      </w:r>
      <w:r w:rsidRPr="00CA21ED">
        <w:t>=0.98), the random effects model results were used in the base case (43.4%).</w:t>
      </w:r>
    </w:p>
    <w:p w14:paraId="0FC37472" w14:textId="7AF9D545" w:rsidR="002A6ADF" w:rsidRPr="00CA21ED" w:rsidRDefault="002A6ADF" w:rsidP="002A6ADF">
      <w:pPr>
        <w:pStyle w:val="Caption"/>
      </w:pPr>
      <w:bookmarkStart w:id="2" w:name="_Ref100565485"/>
      <w:r w:rsidRPr="00CA21ED">
        <w:t xml:space="preserve">Figure </w:t>
      </w:r>
      <w:fldSimple w:instr=" SEQ Figure \* ARABIC ">
        <w:r w:rsidR="00A47A11">
          <w:rPr>
            <w:noProof/>
          </w:rPr>
          <w:t>1</w:t>
        </w:r>
      </w:fldSimple>
      <w:bookmarkEnd w:id="2"/>
      <w:r w:rsidRPr="00CA21ED">
        <w:t>: Forest plot of acute heart failure prevalence among those presenting with symptoms</w:t>
      </w:r>
    </w:p>
    <w:p w14:paraId="00000006" w14:textId="5BB08DCA" w:rsidR="00866D36" w:rsidRPr="00CA21ED" w:rsidRDefault="00636A7E" w:rsidP="00BA0166">
      <w:pPr>
        <w:spacing w:after="0" w:line="240" w:lineRule="auto"/>
        <w:contextualSpacing/>
      </w:pPr>
      <w:bookmarkStart w:id="3" w:name="_heading=h.30j0zll" w:colFirst="0" w:colLast="0"/>
      <w:bookmarkEnd w:id="3"/>
      <w:r w:rsidRPr="00CA21ED">
        <w:rPr>
          <w:noProof/>
        </w:rPr>
        <w:drawing>
          <wp:inline distT="0" distB="0" distL="0" distR="0" wp14:anchorId="7C3A89FB" wp14:editId="6CCC58B8">
            <wp:extent cx="5848709" cy="4520242"/>
            <wp:effectExtent l="0" t="0" r="0" b="0"/>
            <wp:docPr id="1" name="image2.png" descr="A picture containing text, receip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receipt&#10;&#10;Description automatically generated"/>
                    <pic:cNvPicPr preferRelativeResize="0"/>
                  </pic:nvPicPr>
                  <pic:blipFill>
                    <a:blip r:embed="rId12"/>
                    <a:srcRect/>
                    <a:stretch>
                      <a:fillRect/>
                    </a:stretch>
                  </pic:blipFill>
                  <pic:spPr>
                    <a:xfrm>
                      <a:off x="0" y="0"/>
                      <a:ext cx="5861248" cy="4529933"/>
                    </a:xfrm>
                    <a:prstGeom prst="rect">
                      <a:avLst/>
                    </a:prstGeom>
                    <a:ln/>
                  </pic:spPr>
                </pic:pic>
              </a:graphicData>
            </a:graphic>
          </wp:inline>
        </w:drawing>
      </w:r>
    </w:p>
    <w:p w14:paraId="00000007" w14:textId="77777777" w:rsidR="00866D36" w:rsidRPr="00CA21ED" w:rsidRDefault="007B532F">
      <w:r w:rsidRPr="00CA21ED">
        <w:t>Abbreviations: CI, confidence interval.</w:t>
      </w:r>
    </w:p>
    <w:p w14:paraId="00000008" w14:textId="77777777" w:rsidR="00866D36" w:rsidRPr="00CA21ED" w:rsidRDefault="007B532F">
      <w:pPr>
        <w:pStyle w:val="Heading2"/>
      </w:pPr>
      <w:r w:rsidRPr="00CA21ED">
        <w:lastRenderedPageBreak/>
        <w:t>Diagnostic test accuracy for NT-proBNP RO</w:t>
      </w:r>
    </w:p>
    <w:p w14:paraId="00000009" w14:textId="2463001E" w:rsidR="00866D36" w:rsidRPr="00CA21ED" w:rsidRDefault="007B532F">
      <w:bookmarkStart w:id="4" w:name="_heading=h.1fob9te" w:colFirst="0" w:colLast="0"/>
      <w:bookmarkEnd w:id="4"/>
      <w:r w:rsidRPr="00CA21ED">
        <w:t xml:space="preserve">For the NT-proBNP ‘rule-out’ strategy, studies were sourced from the NICE CG187 systematic review and updated with data from newer rule-in/rule-out studies. The new meta-analysis estimates are shown in </w:t>
      </w:r>
      <w:r w:rsidR="00BD301B" w:rsidRPr="00CA21ED">
        <w:fldChar w:fldCharType="begin"/>
      </w:r>
      <w:r w:rsidR="00BD301B" w:rsidRPr="00CA21ED">
        <w:instrText xml:space="preserve"> REF _Ref100565519 \h </w:instrText>
      </w:r>
      <w:r w:rsidR="00BD301B" w:rsidRPr="00CA21ED">
        <w:fldChar w:fldCharType="separate"/>
      </w:r>
      <w:r w:rsidR="00A47A11" w:rsidRPr="00CA21ED">
        <w:t xml:space="preserve">Figure </w:t>
      </w:r>
      <w:r w:rsidR="00A47A11">
        <w:rPr>
          <w:noProof/>
        </w:rPr>
        <w:t>2</w:t>
      </w:r>
      <w:r w:rsidR="00BD301B" w:rsidRPr="00CA21ED">
        <w:fldChar w:fldCharType="end"/>
      </w:r>
      <w:r w:rsidR="00BD301B" w:rsidRPr="00CA21ED">
        <w:t xml:space="preserve"> </w:t>
      </w:r>
      <w:r w:rsidRPr="00CA21ED">
        <w:t xml:space="preserve">and </w:t>
      </w:r>
      <w:r w:rsidR="00BD301B" w:rsidRPr="00CA21ED">
        <w:fldChar w:fldCharType="begin"/>
      </w:r>
      <w:r w:rsidR="00BD301B" w:rsidRPr="00CA21ED">
        <w:instrText xml:space="preserve"> REF _Ref100565527 \h </w:instrText>
      </w:r>
      <w:r w:rsidR="00BD301B" w:rsidRPr="00CA21ED">
        <w:fldChar w:fldCharType="separate"/>
      </w:r>
      <w:r w:rsidR="00A47A11" w:rsidRPr="00CA21ED">
        <w:t xml:space="preserve">Figure </w:t>
      </w:r>
      <w:r w:rsidR="00A47A11">
        <w:rPr>
          <w:noProof/>
        </w:rPr>
        <w:t>3</w:t>
      </w:r>
      <w:r w:rsidR="00BD301B" w:rsidRPr="00CA21ED">
        <w:fldChar w:fldCharType="end"/>
      </w:r>
      <w:r w:rsidRPr="00CA21ED">
        <w:t xml:space="preserve">. A bivariate meta-analysis as detailed by Reitsma 2005 </w:t>
      </w:r>
      <w:r w:rsidR="00F3659B" w:rsidRPr="00CA21ED">
        <w:fldChar w:fldCharType="begin"/>
      </w:r>
      <w:r w:rsidR="00F3659B" w:rsidRPr="00CA21ED">
        <w:instrText xml:space="preserve"> ADDIN EN.CITE &lt;EndNote&gt;&lt;Cite&gt;&lt;Author&gt;Reitsma&lt;/Author&gt;&lt;Year&gt;2005&lt;/Year&gt;&lt;RecNum&gt;34&lt;/RecNum&gt;&lt;DisplayText&gt;(1)&lt;/DisplayText&gt;&lt;record&gt;&lt;rec-number&gt;34&lt;/rec-number&gt;&lt;foreign-keys&gt;&lt;key app="EN" db-id="f9e92ea9tpxdzoex9spxs9asfpp0rx2xe2s2" timestamp="1643641401"&gt;34&lt;/key&gt;&lt;/foreign-keys&gt;&lt;ref-type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periodical&gt;&lt;pages&gt;982-990&lt;/pages&gt;&lt;volume&gt;58&lt;/volume&gt;&lt;number&gt;10&lt;/number&gt;&lt;dates&gt;&lt;year&gt;2005&lt;/year&gt;&lt;/dates&gt;&lt;isbn&gt;0895-4356&lt;/isbn&gt;&lt;urls&gt;&lt;/urls&gt;&lt;/record&gt;&lt;/Cite&gt;&lt;/EndNote&gt;</w:instrText>
      </w:r>
      <w:r w:rsidR="00F3659B" w:rsidRPr="00CA21ED">
        <w:fldChar w:fldCharType="separate"/>
      </w:r>
      <w:r w:rsidR="00F3659B" w:rsidRPr="00CA21ED">
        <w:t>(1)</w:t>
      </w:r>
      <w:r w:rsidR="00F3659B" w:rsidRPr="00CA21ED">
        <w:fldChar w:fldCharType="end"/>
      </w:r>
      <w:r w:rsidRPr="00CA21ED">
        <w:t xml:space="preserve">, was conducted to calculate the sensitivity and specificity for the NT-proBNP rule-out thresholds and to account for any correlation between the two measures. One study, Behnes 2009 </w:t>
      </w:r>
      <w:r w:rsidR="00F3659B" w:rsidRPr="00CA21ED">
        <w:fldChar w:fldCharType="begin"/>
      </w:r>
      <w:r w:rsidR="00F3659B" w:rsidRPr="00CA21ED">
        <w:instrText xml:space="preserve"> ADDIN EN.CITE &lt;EndNote&gt;&lt;Cite&gt;&lt;Author&gt;Behnes&lt;/Author&gt;&lt;Year&gt;2009&lt;/Year&gt;&lt;RecNum&gt;6&lt;/RecNum&gt;&lt;DisplayText&gt;(2)&lt;/DisplayText&gt;&lt;record&gt;&lt;rec-number&gt;6&lt;/rec-number&gt;&lt;foreign-keys&gt;&lt;key app="EN" db-id="f9e92ea9tpxdzoex9spxs9asfpp0rx2xe2s2" timestamp="1643128713"&gt;6&lt;/key&gt;&lt;/foreign-keys&gt;&lt;ref-type name="Journal Article"&gt;17&lt;/ref-type&gt;&lt;contributors&gt;&lt;authors&gt;&lt;author&gt;Behnes, Michael&lt;/author&gt;&lt;author&gt;Brueckmann, Martina&lt;/author&gt;&lt;author&gt;Ahmad-Nejad, Parviz&lt;/author&gt;&lt;author&gt;Lang, Siegfried&lt;/author&gt;&lt;author&gt;Wolpert, Christian&lt;/author&gt;&lt;author&gt;Elmas, Elif&lt;/author&gt;&lt;author&gt;Kaelsch, Thorsten&lt;/author&gt;&lt;author&gt;Gruettner, Joachim&lt;/author&gt;&lt;author&gt;Weiβ, Christel&lt;/author&gt;&lt;author&gt;Borggrefe, Martin&lt;/author&gt;&lt;/authors&gt;&lt;/contributors&gt;&lt;titles&gt;&lt;title&gt;Diagnostic performance and cost effectiveness of measurements of plasma N-terminal pro brain natriuretic peptide in patients presenting with acute dyspnea or peripheral edema&lt;/title&gt;&lt;secondary-title&gt;International journal of cardiology&lt;/secondary-title&gt;&lt;/titles&gt;&lt;periodical&gt;&lt;full-title&gt;International journal of cardiology&lt;/full-title&gt;&lt;/periodical&gt;&lt;pages&gt;165-174&lt;/pages&gt;&lt;volume&gt;135&lt;/volume&gt;&lt;number&gt;2&lt;/number&gt;&lt;dates&gt;&lt;year&gt;2009&lt;/year&gt;&lt;/dates&gt;&lt;isbn&gt;0167-5273&lt;/isbn&gt;&lt;urls&gt;&lt;/urls&gt;&lt;/record&gt;&lt;/Cite&gt;&lt;/EndNote&gt;</w:instrText>
      </w:r>
      <w:r w:rsidR="00F3659B" w:rsidRPr="00CA21ED">
        <w:fldChar w:fldCharType="separate"/>
      </w:r>
      <w:r w:rsidR="00F3659B" w:rsidRPr="00CA21ED">
        <w:t>(2)</w:t>
      </w:r>
      <w:r w:rsidR="00F3659B" w:rsidRPr="00CA21ED">
        <w:fldChar w:fldCharType="end"/>
      </w:r>
      <w:r w:rsidRPr="00CA21ED">
        <w:t>, used an NT-proBNP test not produced by Roche and therefore the meta-analysis was sub-grouped to include an overall diagnostic accuracy figure and a Roche only figure, with the Roche only figure being used in the base case. Overall, the central estimates were very similar to those reported in NICE CG187, that is, the new studies appear to have a similar proportion of positive and negative patients with NT-proBNP &lt;300pg/ml to those in other cohorts.</w:t>
      </w:r>
    </w:p>
    <w:p w14:paraId="1A57DF7E" w14:textId="44C8AE5E" w:rsidR="00BD301B" w:rsidRPr="00CA21ED" w:rsidRDefault="00BD301B" w:rsidP="00BD301B">
      <w:pPr>
        <w:pStyle w:val="Caption"/>
      </w:pPr>
      <w:bookmarkStart w:id="5" w:name="_heading=h.3znysh7" w:colFirst="0" w:colLast="0"/>
      <w:bookmarkStart w:id="6" w:name="_Ref100565519"/>
      <w:bookmarkEnd w:id="5"/>
      <w:r w:rsidRPr="00CA21ED">
        <w:lastRenderedPageBreak/>
        <w:t xml:space="preserve">Figure </w:t>
      </w:r>
      <w:fldSimple w:instr=" SEQ Figure \* ARABIC ">
        <w:r w:rsidR="00A47A11">
          <w:rPr>
            <w:noProof/>
          </w:rPr>
          <w:t>2</w:t>
        </w:r>
      </w:fldSimple>
      <w:bookmarkEnd w:id="6"/>
      <w:r w:rsidRPr="00CA21ED">
        <w:t>: Forest plot for diagnostic accuracy (sensitivity) of the NT-proBNP rule out threshold (300 pg/mL)</w:t>
      </w:r>
    </w:p>
    <w:p w14:paraId="0000000B" w14:textId="6942D7F2" w:rsidR="00866D36" w:rsidRPr="00CA21ED" w:rsidRDefault="000D18BC" w:rsidP="00BA0166">
      <w:pPr>
        <w:keepNext/>
        <w:spacing w:after="0" w:line="360" w:lineRule="auto"/>
        <w:contextualSpacing/>
      </w:pPr>
      <w:r w:rsidRPr="00CA21ED">
        <w:rPr>
          <w:noProof/>
        </w:rPr>
        <w:drawing>
          <wp:inline distT="0" distB="0" distL="0" distR="0" wp14:anchorId="446341AB" wp14:editId="2EDB2666">
            <wp:extent cx="5443268" cy="4028536"/>
            <wp:effectExtent l="0" t="0" r="5080" b="0"/>
            <wp:docPr id="18"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pic:cNvPicPr preferRelativeResize="0"/>
                  </pic:nvPicPr>
                  <pic:blipFill>
                    <a:blip r:embed="rId13"/>
                    <a:srcRect/>
                    <a:stretch>
                      <a:fillRect/>
                    </a:stretch>
                  </pic:blipFill>
                  <pic:spPr>
                    <a:xfrm>
                      <a:off x="0" y="0"/>
                      <a:ext cx="5448328" cy="4032281"/>
                    </a:xfrm>
                    <a:prstGeom prst="rect">
                      <a:avLst/>
                    </a:prstGeom>
                    <a:ln/>
                  </pic:spPr>
                </pic:pic>
              </a:graphicData>
            </a:graphic>
          </wp:inline>
        </w:drawing>
      </w:r>
    </w:p>
    <w:p w14:paraId="0000000C" w14:textId="77777777" w:rsidR="00866D36" w:rsidRPr="00CA21ED" w:rsidRDefault="007B532F">
      <w:r w:rsidRPr="00CA21ED">
        <w:t>Abbreviations: NT-proBNP, N-terminal pro B-type natriuretic peptide.</w:t>
      </w:r>
    </w:p>
    <w:p w14:paraId="73892CB4" w14:textId="357C5896" w:rsidR="00BD301B" w:rsidRPr="00CA21ED" w:rsidRDefault="00BD301B" w:rsidP="00BD301B">
      <w:pPr>
        <w:pStyle w:val="Caption"/>
      </w:pPr>
      <w:bookmarkStart w:id="7" w:name="_heading=h.2et92p0" w:colFirst="0" w:colLast="0"/>
      <w:bookmarkStart w:id="8" w:name="_Ref100565527"/>
      <w:bookmarkEnd w:id="7"/>
      <w:r w:rsidRPr="00CA21ED">
        <w:lastRenderedPageBreak/>
        <w:t xml:space="preserve">Figure </w:t>
      </w:r>
      <w:fldSimple w:instr=" SEQ Figure \* ARABIC ">
        <w:r w:rsidR="00A47A11">
          <w:rPr>
            <w:noProof/>
          </w:rPr>
          <w:t>3</w:t>
        </w:r>
      </w:fldSimple>
      <w:bookmarkEnd w:id="8"/>
      <w:r w:rsidRPr="00CA21ED">
        <w:t>: Forest plot for diagnostic accuracy (specificity) of the NT-proBNP rule out threshold (300pg/mL)</w:t>
      </w:r>
    </w:p>
    <w:p w14:paraId="0000000E" w14:textId="0FF11079" w:rsidR="00866D36" w:rsidRPr="00CA21ED" w:rsidRDefault="00D34EE5" w:rsidP="00F3659B">
      <w:pPr>
        <w:spacing w:after="0" w:line="240" w:lineRule="auto"/>
        <w:contextualSpacing/>
      </w:pPr>
      <w:r w:rsidRPr="00CA21ED">
        <w:rPr>
          <w:noProof/>
        </w:rPr>
        <w:drawing>
          <wp:inline distT="0" distB="0" distL="0" distR="0" wp14:anchorId="2E119E64" wp14:editId="74F63126">
            <wp:extent cx="5382883" cy="4088920"/>
            <wp:effectExtent l="0" t="0" r="8890" b="6985"/>
            <wp:docPr id="17" name="image6.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Chart&#10;&#10;Description automatically generated"/>
                    <pic:cNvPicPr preferRelativeResize="0"/>
                  </pic:nvPicPr>
                  <pic:blipFill>
                    <a:blip r:embed="rId14"/>
                    <a:srcRect/>
                    <a:stretch>
                      <a:fillRect/>
                    </a:stretch>
                  </pic:blipFill>
                  <pic:spPr>
                    <a:xfrm>
                      <a:off x="0" y="0"/>
                      <a:ext cx="5385674" cy="4091040"/>
                    </a:xfrm>
                    <a:prstGeom prst="rect">
                      <a:avLst/>
                    </a:prstGeom>
                    <a:ln/>
                  </pic:spPr>
                </pic:pic>
              </a:graphicData>
            </a:graphic>
          </wp:inline>
        </w:drawing>
      </w:r>
    </w:p>
    <w:p w14:paraId="0000000F" w14:textId="77777777" w:rsidR="00866D36" w:rsidRPr="00CA21ED" w:rsidRDefault="007B532F">
      <w:r w:rsidRPr="00CA21ED">
        <w:t>Abbreviations: NT-proBNP, N-terminal pro B-type natriuretic peptide.</w:t>
      </w:r>
    </w:p>
    <w:p w14:paraId="00000010" w14:textId="77777777" w:rsidR="00866D36" w:rsidRPr="00CA21ED" w:rsidRDefault="007B532F">
      <w:pPr>
        <w:pStyle w:val="Heading2"/>
      </w:pPr>
      <w:r w:rsidRPr="00CA21ED">
        <w:t>Diagnostic test accuracy for NT-proBNP RI/RO</w:t>
      </w:r>
    </w:p>
    <w:p w14:paraId="00000011" w14:textId="77392B7B" w:rsidR="00866D36" w:rsidRPr="00CA21ED" w:rsidRDefault="007B532F">
      <w:bookmarkStart w:id="9" w:name="_heading=h.tyjcwt" w:colFirst="0" w:colLast="0"/>
      <w:bookmarkEnd w:id="9"/>
      <w:r w:rsidRPr="00CA21ED">
        <w:t xml:space="preserve">For the diagnostic test accuracy of the NT-proBNP RI/RO strategy, a meta-analysis in the usual sense could not be performed. A 2-step approach was undertaken instead, using the central estimates of sensitivity and specificity from the meta-analysis to quantify the proportion of patients with and without AHF falling below the 300 pg/mL threshold. This ensured that this number was consistent in both NT-proBNP arms of the model. For patients with and without AHF who were above the 300 pg/mL threshold, the proportion that were also above the age-specific thresholds was then obtained. While raw figures were available for Kozhuharov 2019 and Januzzi 2018 </w:t>
      </w:r>
      <w:r w:rsidR="005E760F" w:rsidRPr="00CA21ED">
        <w:fldChar w:fldCharType="begin">
          <w:fldData xml:space="preserve">PEVuZE5vdGU+PENpdGU+PEF1dGhvcj5KYW51enppPC9BdXRob3I+PFllYXI+MjAxODwvWWVhcj48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</w:fldData>
        </w:fldChar>
      </w:r>
      <w:r w:rsidR="005E760F" w:rsidRPr="00CA21ED">
        <w:instrText xml:space="preserve"> ADDIN EN.CITE </w:instrText>
      </w:r>
      <w:r w:rsidR="005E760F" w:rsidRPr="00CA21ED">
        <w:fldChar w:fldCharType="begin">
          <w:fldData xml:space="preserve">PEVuZE5vdGU+PENpdGU+PEF1dGhvcj5KYW51enppPC9BdXRob3I+PFllYXI+MjAxODwvWWVhcj48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</w:fldData>
        </w:fldChar>
      </w:r>
      <w:r w:rsidR="005E760F" w:rsidRPr="00CA21ED">
        <w:instrText xml:space="preserve"> ADDIN EN.CITE.DATA </w:instrText>
      </w:r>
      <w:r w:rsidR="005E760F" w:rsidRPr="00CA21ED">
        <w:fldChar w:fldCharType="end"/>
      </w:r>
      <w:r w:rsidR="005E760F" w:rsidRPr="00CA21ED">
        <w:fldChar w:fldCharType="separate"/>
      </w:r>
      <w:r w:rsidR="005E760F" w:rsidRPr="00CA21ED">
        <w:t>(3, 4)</w:t>
      </w:r>
      <w:r w:rsidR="005E760F" w:rsidRPr="00CA21ED">
        <w:fldChar w:fldCharType="end"/>
      </w:r>
      <w:r w:rsidRPr="00CA21ED">
        <w:t xml:space="preserve">, figures for Ibrahim 2017 </w:t>
      </w:r>
      <w:r w:rsidR="005E760F" w:rsidRPr="00CA21ED">
        <w:fldChar w:fldCharType="begin"/>
      </w:r>
      <w:r w:rsidR="005E760F" w:rsidRPr="00CA21ED">
        <w:instrText xml:space="preserve"> ADDIN EN.CITE &lt;EndNote&gt;&lt;Cite&gt;&lt;Author&gt;Ibrahim&lt;/Author&gt;&lt;Year&gt;2017&lt;/Year&gt;&lt;RecNum&gt;31&lt;/RecNum&gt;&lt;DisplayText&gt;(5)&lt;/DisplayText&gt;&lt;record&gt;&lt;rec-number&gt;31&lt;/rec-number&gt;&lt;foreign-keys&gt;&lt;key app="EN" db-id="f9e92ea9tpxdzoex9spxs9asfpp0rx2xe2s2" timestamp="1643622980"&gt;31&lt;/key&gt;&lt;/foreign-keys&gt;&lt;ref-type name="Journal Article"&gt;17&lt;/ref-type&gt;&lt;contributors&gt;&lt;authors&gt;&lt;author&gt;Ibrahim, Irwani&lt;/author&gt;&lt;author&gt;Kuan, Win Sen&lt;/author&gt;&lt;author&gt;Frampton, Chris&lt;/author&gt;&lt;author&gt;Troughton, Richard&lt;/author&gt;&lt;author&gt;Liew, Oi Wah&lt;/author&gt;&lt;author&gt;Chong, Jenny Pek Ching&lt;/author&gt;&lt;author&gt;Chan, Siew Pang&lt;/author&gt;&lt;author&gt;Tan, Li Ling&lt;/author&gt;&lt;author&gt;Lin, Wei Qin&lt;/author&gt;&lt;author&gt;Pemberton, Chris J&lt;/author&gt;&lt;/authors&gt;&lt;/contributors&gt;&lt;titles&gt;&lt;title&gt;Superior performance of N‐terminal pro brain natriuretic peptide for diagnosis of acute decompensated heart failure in an Asian compared with a Western setting&lt;/title&gt;&lt;secondary-title&gt;European journal of heart failure&lt;/secondary-title&gt;&lt;/titles&gt;&lt;periodical&gt;&lt;full-title&gt;European journal of heart failure&lt;/full-title&gt;&lt;/periodical&gt;&lt;pages&gt;209-217&lt;/pages&gt;&lt;volume&gt;19&lt;/volume&gt;&lt;number&gt;2&lt;/number&gt;&lt;dates&gt;&lt;year&gt;2017&lt;/year&gt;&lt;/dates&gt;&lt;isbn&gt;1388-9842&lt;/isbn&gt;&lt;urls&gt;&lt;/urls&gt;&lt;/record&gt;&lt;/Cite&gt;&lt;/EndNote&gt;</w:instrText>
      </w:r>
      <w:r w:rsidR="005E760F" w:rsidRPr="00CA21ED">
        <w:fldChar w:fldCharType="separate"/>
      </w:r>
      <w:r w:rsidR="005E760F" w:rsidRPr="00CA21ED">
        <w:t>(5)</w:t>
      </w:r>
      <w:r w:rsidR="005E760F" w:rsidRPr="00CA21ED">
        <w:fldChar w:fldCharType="end"/>
      </w:r>
      <w:r w:rsidR="005E760F" w:rsidRPr="00CA21ED">
        <w:t xml:space="preserve"> </w:t>
      </w:r>
      <w:r w:rsidRPr="00CA21ED">
        <w:t xml:space="preserve">were inferred using sample size, number AHF positive and the sensitivity/specificity reported within the paper. Effectively, these are new univariate diagnostic test accuracy meta-analyses in patients above the </w:t>
      </w:r>
      <w:r w:rsidRPr="00CA21ED">
        <w:lastRenderedPageBreak/>
        <w:t xml:space="preserve">300 pg/mL threshold. Random effects models were selected due to statistical heterogeneity &gt;50%. For the base case, data from the BASEL V study was used rather than the meta-analysis results because the age range was closest to the UK population, it was the largest study and the only one conducted in Europe </w:t>
      </w:r>
      <w:r w:rsidR="005109A9" w:rsidRPr="00CA21ED">
        <w:fldChar w:fldCharType="begin"/>
      </w:r>
      <w:r w:rsidR="005109A9" w:rsidRPr="00CA21ED">
        <w:instrText xml:space="preserve"> ADDIN EN.CITE &lt;EndNote&gt;&lt;Cite&gt;&lt;Author&gt;Kozhuharov&lt;/Author&gt;&lt;Year&gt;2019&lt;/Year&gt;&lt;RecNum&gt;3&lt;/RecNum&gt;&lt;DisplayText&gt;(4)&lt;/DisplayText&gt;&lt;record&gt;&lt;rec-number&gt;3&lt;/rec-number&gt;&lt;foreign-keys&gt;&lt;key app="EN" db-id="f9e92ea9tpxdzoex9spxs9asfpp0rx2xe2s2" timestamp="1643128383"&gt;3&lt;/key&gt;&lt;/foreign-keys&gt;&lt;ref-type name="Journal Article"&gt;17&lt;/ref-type&gt;&lt;contributors&gt;&lt;authors&gt;&lt;author&gt;Kozhuharov, Nikola&lt;/author&gt;&lt;author&gt;Sabti, Zaid&lt;/author&gt;&lt;author&gt;Wussler, Desiree&lt;/author&gt;&lt;author&gt;Nowak, Albina&lt;/author&gt;&lt;author&gt;Badertscher, Patrick&lt;/author&gt;&lt;author&gt;Twerenbold, Raphael&lt;/author&gt;&lt;author&gt;Wildi, Karin&lt;/author&gt;&lt;author&gt;Stallone, Fabio&lt;/author&gt;&lt;author&gt;Vogt, Fabian&lt;/author&gt;&lt;author&gt;Hilti, Jonas&lt;/author&gt;&lt;/authors&gt;&lt;/contributors&gt;&lt;titles&gt;&lt;title&gt;Prospective validation of N‐terminal pro B‐type natriuretic peptide cut‐off concentrations for the diagnosis of acute heart failure&lt;/title&gt;&lt;secondary-title&gt;European journal of heart failure&lt;/secondary-title&gt;&lt;/titles&gt;&lt;periodical&gt;&lt;full-title&gt;European journal of heart failure&lt;/full-title&gt;&lt;/periodical&gt;&lt;pages&gt;813-815&lt;/pages&gt;&lt;volume&gt;21&lt;/volume&gt;&lt;number&gt;6&lt;/number&gt;&lt;dates&gt;&lt;year&gt;2019&lt;/year&gt;&lt;/dates&gt;&lt;isbn&gt;1388-9842&lt;/isbn&gt;&lt;urls&gt;&lt;/urls&gt;&lt;/record&gt;&lt;/Cite&gt;&lt;/EndNote&gt;</w:instrText>
      </w:r>
      <w:r w:rsidR="005109A9" w:rsidRPr="00CA21ED">
        <w:fldChar w:fldCharType="separate"/>
      </w:r>
      <w:r w:rsidR="005109A9" w:rsidRPr="00CA21ED">
        <w:t>(4)</w:t>
      </w:r>
      <w:r w:rsidR="005109A9" w:rsidRPr="00CA21ED">
        <w:fldChar w:fldCharType="end"/>
      </w:r>
      <w:r w:rsidRPr="00CA21ED">
        <w:t>. The meta-analysis results were used in scenario analysis.</w:t>
      </w:r>
    </w:p>
    <w:p w14:paraId="00000012" w14:textId="1890FA0B" w:rsidR="00866D36" w:rsidRPr="00CA21ED" w:rsidRDefault="008335C1" w:rsidP="008335C1">
      <w:pPr>
        <w:pStyle w:val="Caption"/>
      </w:pPr>
      <w:r w:rsidRPr="00CA21ED">
        <w:t xml:space="preserve">Figure </w:t>
      </w:r>
      <w:fldSimple w:instr=" SEQ Figure \* ARABIC ">
        <w:r w:rsidR="00A47A11">
          <w:rPr>
            <w:noProof/>
          </w:rPr>
          <w:t>4</w:t>
        </w:r>
      </w:fldSimple>
      <w:r w:rsidRPr="00CA21ED">
        <w:t>: Proportion of patients with AHF that are ruled in (TPs)</w:t>
      </w:r>
    </w:p>
    <w:p w14:paraId="00000013" w14:textId="4617E449" w:rsidR="00866D36" w:rsidRPr="00CA21ED" w:rsidRDefault="008A5AE0">
      <w:r w:rsidRPr="00CA21ED">
        <w:rPr>
          <w:noProof/>
        </w:rPr>
        <w:drawing>
          <wp:inline distT="0" distB="0" distL="0" distR="0" wp14:anchorId="1D9D8CD4" wp14:editId="40305F5B">
            <wp:extent cx="5591565" cy="2001480"/>
            <wp:effectExtent l="0" t="0" r="0" b="0"/>
            <wp:docPr id="20" name="image4.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scatter chart&#10;&#10;Description automatically generated"/>
                    <pic:cNvPicPr preferRelativeResize="0"/>
                  </pic:nvPicPr>
                  <pic:blipFill>
                    <a:blip r:embed="rId15"/>
                    <a:srcRect t="14092"/>
                    <a:stretch>
                      <a:fillRect/>
                    </a:stretch>
                  </pic:blipFill>
                  <pic:spPr>
                    <a:xfrm>
                      <a:off x="0" y="0"/>
                      <a:ext cx="5591565" cy="2001480"/>
                    </a:xfrm>
                    <a:prstGeom prst="rect">
                      <a:avLst/>
                    </a:prstGeom>
                    <a:ln/>
                  </pic:spPr>
                </pic:pic>
              </a:graphicData>
            </a:graphic>
          </wp:inline>
        </w:drawing>
      </w:r>
    </w:p>
    <w:p w14:paraId="00000014" w14:textId="77777777" w:rsidR="00866D36" w:rsidRPr="00CA21ED" w:rsidRDefault="007B532F">
      <w:r w:rsidRPr="00CA21ED">
        <w:t>Abbreviations: AHF, acute heart failure; NZ, New Zealand; TP, true positive.</w:t>
      </w:r>
    </w:p>
    <w:p w14:paraId="00000015" w14:textId="03CECA76" w:rsidR="00866D36" w:rsidRPr="00CA21ED" w:rsidRDefault="008335C1" w:rsidP="008335C1">
      <w:pPr>
        <w:pStyle w:val="Caption"/>
      </w:pPr>
      <w:bookmarkStart w:id="10" w:name="_heading=h.3dy6vkm" w:colFirst="0" w:colLast="0"/>
      <w:bookmarkEnd w:id="10"/>
      <w:r w:rsidRPr="00CA21ED">
        <w:t xml:space="preserve">Figure </w:t>
      </w:r>
      <w:fldSimple w:instr=" SEQ Figure \* ARABIC ">
        <w:r w:rsidR="00A47A11">
          <w:rPr>
            <w:noProof/>
          </w:rPr>
          <w:t>5</w:t>
        </w:r>
      </w:fldSimple>
      <w:r w:rsidRPr="00CA21ED">
        <w:t>: Proportion of patients without AHF that are ruled in (FPs)</w:t>
      </w:r>
    </w:p>
    <w:p w14:paraId="00000016" w14:textId="265C1A83" w:rsidR="00866D36" w:rsidRPr="00CA21ED" w:rsidRDefault="00F9294D">
      <w:r w:rsidRPr="00CA21ED">
        <w:rPr>
          <w:noProof/>
        </w:rPr>
        <w:drawing>
          <wp:inline distT="0" distB="0" distL="0" distR="0" wp14:anchorId="3671D06F" wp14:editId="4755F8AF">
            <wp:extent cx="5574987" cy="2028604"/>
            <wp:effectExtent l="0" t="0" r="0" b="0"/>
            <wp:docPr id="19" name="image7.png" descr="Chart, scatter 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Chart, scatter chart, box and whisker chart&#10;&#10;Description automatically generated"/>
                    <pic:cNvPicPr preferRelativeResize="0"/>
                  </pic:nvPicPr>
                  <pic:blipFill>
                    <a:blip r:embed="rId16"/>
                    <a:srcRect t="12669"/>
                    <a:stretch>
                      <a:fillRect/>
                    </a:stretch>
                  </pic:blipFill>
                  <pic:spPr>
                    <a:xfrm>
                      <a:off x="0" y="0"/>
                      <a:ext cx="5574987" cy="2028604"/>
                    </a:xfrm>
                    <a:prstGeom prst="rect">
                      <a:avLst/>
                    </a:prstGeom>
                    <a:ln/>
                  </pic:spPr>
                </pic:pic>
              </a:graphicData>
            </a:graphic>
          </wp:inline>
        </w:drawing>
      </w:r>
    </w:p>
    <w:p w14:paraId="00000017" w14:textId="77777777" w:rsidR="00866D36" w:rsidRPr="00CA21ED" w:rsidRDefault="007B532F">
      <w:r w:rsidRPr="00CA21ED">
        <w:t>Abbreviations: AHF, acute heart failure; FP, false positive; NZ, New Zealand.</w:t>
      </w:r>
    </w:p>
    <w:p w14:paraId="00000018" w14:textId="77777777" w:rsidR="00866D36" w:rsidRPr="00CA21ED" w:rsidRDefault="00AD2239">
      <w:pPr>
        <w:pStyle w:val="Heading2"/>
      </w:pPr>
      <w:sdt>
        <w:sdtPr>
          <w:tag w:val="goog_rdk_3"/>
          <w:id w:val="991212369"/>
        </w:sdtPr>
        <w:sdtEndPr/>
        <w:sdtContent/>
      </w:sdt>
      <w:r w:rsidR="007B532F" w:rsidRPr="00CA21ED">
        <w:t>Grey zone analysis</w:t>
      </w:r>
    </w:p>
    <w:p w14:paraId="00000019" w14:textId="13A9E3BA" w:rsidR="00866D36" w:rsidRPr="00CA21ED" w:rsidRDefault="007B532F">
      <w:r w:rsidRPr="00CA21ED">
        <w:t>A series of logistic regression models were fitted to the individual patient data for patients in the grey zone from ICON-RELOADED to try to quantify the predictive ability of decision making in the ED</w:t>
      </w:r>
      <w:r w:rsidR="005109A9" w:rsidRPr="00CA21ED">
        <w:t xml:space="preserve"> </w:t>
      </w:r>
      <w:r w:rsidR="005109A9" w:rsidRPr="00CA21ED">
        <w:fldChar w:fldCharType="begin">
          <w:fldData xml:space="preserve">PEVuZE5vdGU+PENpdGU+PEF1dGhvcj5KYW51enppPC9BdXRob3I+PFllYXI+MjAxODwvWWVhcj48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</w:fldData>
        </w:fldChar>
      </w:r>
      <w:r w:rsidR="005109A9" w:rsidRPr="00CA21ED">
        <w:instrText xml:space="preserve"> ADDIN EN.CITE </w:instrText>
      </w:r>
      <w:r w:rsidR="005109A9" w:rsidRPr="00CA21ED">
        <w:fldChar w:fldCharType="begin">
          <w:fldData xml:space="preserve">PEVuZE5vdGU+PENpdGU+PEF1dGhvcj5KYW51enppPC9BdXRob3I+PFllYXI+MjAxODwvWWVhcj48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</w:fldData>
        </w:fldChar>
      </w:r>
      <w:r w:rsidR="005109A9" w:rsidRPr="00CA21ED">
        <w:instrText xml:space="preserve"> ADDIN EN.CITE.DATA </w:instrText>
      </w:r>
      <w:r w:rsidR="005109A9" w:rsidRPr="00CA21ED">
        <w:fldChar w:fldCharType="end"/>
      </w:r>
      <w:r w:rsidR="005109A9" w:rsidRPr="00CA21ED">
        <w:fldChar w:fldCharType="separate"/>
      </w:r>
      <w:r w:rsidR="005109A9" w:rsidRPr="00CA21ED">
        <w:t>(3, 6)</w:t>
      </w:r>
      <w:r w:rsidR="005109A9" w:rsidRPr="00CA21ED">
        <w:fldChar w:fldCharType="end"/>
      </w:r>
      <w:r w:rsidRPr="00CA21ED">
        <w:t>. Assuming the important variables by which a clinician will make a referral to echocardiogram have been captured in the model, the true sensitivity and specificity of clinical decision in the grey zone should lie at a point on the model’s receiver operating characteristic (ROC) curve.</w:t>
      </w:r>
      <w:r w:rsidR="00E6190E" w:rsidRPr="00CA21ED">
        <w:t xml:space="preserve"> This method of estimating the diagnostic test accuracy of clinical decision has previously been used by Siebert et al</w:t>
      </w:r>
      <w:r w:rsidR="00926D19" w:rsidRPr="00CA21ED">
        <w:t xml:space="preserve">. </w:t>
      </w:r>
      <w:r w:rsidR="005109A9" w:rsidRPr="00CA21ED">
        <w:fldChar w:fldCharType="begin"/>
      </w:r>
      <w:r w:rsidR="005109A9" w:rsidRPr="00CA21ED">
        <w:instrText xml:space="preserve"> ADDIN EN.CITE &lt;EndNote&gt;&lt;Cite&gt;&lt;Author&gt;Siebert&lt;/Author&gt;&lt;Year&gt;2020&lt;/Year&gt;&lt;RecNum&gt;11&lt;/RecNum&gt;&lt;DisplayText&gt;(7)&lt;/DisplayText&gt;&lt;record&gt;&lt;rec-number&gt;11&lt;/rec-number&gt;&lt;foreign-keys&gt;&lt;key app="EN" db-id="f9e92ea9tpxdzoex9spxs9asfpp0rx2xe2s2" timestamp="1643129128"&gt;11&lt;/key&gt;&lt;/foreign-keys&gt;&lt;ref-type name="Journal Article"&gt;17&lt;/ref-type&gt;&lt;contributors&gt;&lt;authors&gt;&lt;author&gt;Siebert, U&lt;/author&gt;&lt;author&gt;Milev, S&lt;/author&gt;&lt;author&gt;Zou, D&lt;/author&gt;&lt;author&gt;Litkiewicz, M&lt;/author&gt;&lt;author&gt;Gaggom, HK&lt;/author&gt;&lt;author&gt;Tirapelle, L&lt;/author&gt;&lt;author&gt;Masson, S&lt;/author&gt;&lt;author&gt;Januzzi, J&lt;/author&gt;&lt;/authors&gt;&lt;/contributors&gt;&lt;titles&gt;&lt;title&gt;PMU18 Economic evaluation of an NT-proBNP-supported diagnostic strategy among dyspneic patients suspected of acute heart failure in the emergency department&lt;/title&gt;&lt;secondary-title&gt;Value in Health&lt;/secondary-title&gt;&lt;/titles&gt;&lt;periodical&gt;&lt;full-title&gt;Value in Health&lt;/full-title&gt;&lt;/periodical&gt;&lt;pages&gt;S236&lt;/pages&gt;&lt;volume&gt;23&lt;/volume&gt;&lt;dates&gt;&lt;year&gt;2020&lt;/year&gt;&lt;/dates&gt;&lt;isbn&gt;1098-3015&lt;/isbn&gt;&lt;urls&gt;&lt;/urls&gt;&lt;/record&gt;&lt;/Cite&gt;&lt;/EndNote&gt;</w:instrText>
      </w:r>
      <w:r w:rsidR="005109A9" w:rsidRPr="00CA21ED">
        <w:fldChar w:fldCharType="separate"/>
      </w:r>
      <w:r w:rsidR="005109A9" w:rsidRPr="00CA21ED">
        <w:t>(7)</w:t>
      </w:r>
      <w:r w:rsidR="005109A9" w:rsidRPr="00CA21ED">
        <w:fldChar w:fldCharType="end"/>
      </w:r>
      <w:r w:rsidR="00E6190E" w:rsidRPr="00CA21ED">
        <w:t xml:space="preserve">. In their analysis the logistic regression was run on all patients to estimate </w:t>
      </w:r>
      <w:r w:rsidR="00CE306A" w:rsidRPr="00CA21ED">
        <w:t>clinical decision alone</w:t>
      </w:r>
      <w:r w:rsidR="00E6190E" w:rsidRPr="00CA21ED">
        <w:t xml:space="preserve">, while </w:t>
      </w:r>
      <w:r w:rsidR="008E7E34" w:rsidRPr="00CA21ED">
        <w:t xml:space="preserve">here </w:t>
      </w:r>
      <w:r w:rsidR="00E6190E" w:rsidRPr="00CA21ED">
        <w:t xml:space="preserve">the analysis </w:t>
      </w:r>
      <w:r w:rsidR="008E7E34" w:rsidRPr="00CA21ED">
        <w:t xml:space="preserve">was run </w:t>
      </w:r>
      <w:r w:rsidR="00E6190E" w:rsidRPr="00CA21ED">
        <w:t>specifically on grey zone patients</w:t>
      </w:r>
      <w:r w:rsidR="008F22AB" w:rsidRPr="00CA21ED">
        <w:t xml:space="preserve">. </w:t>
      </w:r>
    </w:p>
    <w:p w14:paraId="0000001A" w14:textId="4EE2481F" w:rsidR="00866D36" w:rsidRPr="00CA21ED" w:rsidRDefault="007B532F">
      <w:r w:rsidRPr="00CA21ED">
        <w:t xml:space="preserve">A number of model specifications were attempted, which included using the original model’s beta-coefficients, re-fitting the original model, re-specifying the original model with alternate candidate variables and including NT-proBNP as a predictive variable within the grey zone. </w:t>
      </w:r>
      <w:r w:rsidR="00B0305C" w:rsidRPr="00CA21ED">
        <w:t xml:space="preserve">The </w:t>
      </w:r>
      <w:r w:rsidR="008F22AB" w:rsidRPr="00CA21ED">
        <w:t>NT</w:t>
      </w:r>
      <w:r w:rsidR="00474B4C" w:rsidRPr="00CA21ED">
        <w:t>-</w:t>
      </w:r>
      <w:r w:rsidR="008F22AB" w:rsidRPr="00CA21ED">
        <w:t xml:space="preserve">proBNP </w:t>
      </w:r>
      <w:r w:rsidR="00B0305C" w:rsidRPr="00CA21ED">
        <w:t xml:space="preserve">value </w:t>
      </w:r>
      <w:r w:rsidR="008F22AB" w:rsidRPr="00CA21ED">
        <w:t xml:space="preserve">was included as this would be available to the clinician when assessing grey zone patients. </w:t>
      </w:r>
      <w:r w:rsidR="008335C1" w:rsidRPr="00CA21ED">
        <w:fldChar w:fldCharType="begin"/>
      </w:r>
      <w:r w:rsidR="008335C1" w:rsidRPr="00CA21ED">
        <w:instrText xml:space="preserve"> REF _Ref100565589 \h </w:instrText>
      </w:r>
      <w:r w:rsidR="008335C1" w:rsidRPr="00CA21ED">
        <w:fldChar w:fldCharType="separate"/>
      </w:r>
      <w:r w:rsidR="00A47A11" w:rsidRPr="00CA21ED">
        <w:t xml:space="preserve">Figure </w:t>
      </w:r>
      <w:r w:rsidR="00A47A11">
        <w:rPr>
          <w:noProof/>
        </w:rPr>
        <w:t>6</w:t>
      </w:r>
      <w:r w:rsidR="008335C1" w:rsidRPr="00CA21ED">
        <w:fldChar w:fldCharType="end"/>
      </w:r>
      <w:r w:rsidR="008335C1" w:rsidRPr="00CA21ED">
        <w:t xml:space="preserve"> </w:t>
      </w:r>
      <w:r w:rsidRPr="00CA21ED">
        <w:t>shows a summary of the results of all the models of interest compared on the same graph.</w:t>
      </w:r>
    </w:p>
    <w:p w14:paraId="0D83B648" w14:textId="01AF3B7B" w:rsidR="008335C1" w:rsidRPr="00CA21ED" w:rsidRDefault="008335C1" w:rsidP="008335C1">
      <w:pPr>
        <w:pStyle w:val="Caption"/>
      </w:pPr>
      <w:bookmarkStart w:id="11" w:name="_heading=h.1t3h5sf" w:colFirst="0" w:colLast="0"/>
      <w:bookmarkStart w:id="12" w:name="_Ref100565589"/>
      <w:bookmarkEnd w:id="11"/>
      <w:r w:rsidRPr="00CA21ED">
        <w:lastRenderedPageBreak/>
        <w:t xml:space="preserve">Figure </w:t>
      </w:r>
      <w:fldSimple w:instr=" SEQ Figure \* ARABIC ">
        <w:r w:rsidR="00A47A11">
          <w:rPr>
            <w:noProof/>
          </w:rPr>
          <w:t>6</w:t>
        </w:r>
      </w:fldSimple>
      <w:bookmarkEnd w:id="12"/>
      <w:r w:rsidRPr="00CA21ED">
        <w:t>: ROC curves for all models in the analysis</w:t>
      </w:r>
    </w:p>
    <w:p w14:paraId="0000001C" w14:textId="6695648E" w:rsidR="00866D36" w:rsidRPr="00CA21ED" w:rsidRDefault="0086054C">
      <w:pPr>
        <w:keepNext/>
        <w:spacing w:after="0" w:line="240" w:lineRule="auto"/>
      </w:pPr>
      <w:r w:rsidRPr="00CA21ED">
        <w:rPr>
          <w:noProof/>
        </w:rPr>
        <w:drawing>
          <wp:inline distT="0" distB="0" distL="0" distR="0" wp14:anchorId="0C3F7D85" wp14:editId="7ABF1A4D">
            <wp:extent cx="4825743" cy="4823022"/>
            <wp:effectExtent l="0" t="0" r="0" b="0"/>
            <wp:docPr id="22" name="image5.png" descr="Picture"/>
            <wp:cNvGraphicFramePr/>
            <a:graphic xmlns:a="http://schemas.openxmlformats.org/drawingml/2006/main">
              <a:graphicData uri="http://schemas.openxmlformats.org/drawingml/2006/picture">
                <pic:pic xmlns:pic="http://schemas.openxmlformats.org/drawingml/2006/picture">
                  <pic:nvPicPr>
                    <pic:cNvPr id="0" name="image5.png" descr="Picture"/>
                    <pic:cNvPicPr preferRelativeResize="0"/>
                  </pic:nvPicPr>
                  <pic:blipFill>
                    <a:blip r:embed="rId17"/>
                    <a:srcRect/>
                    <a:stretch>
                      <a:fillRect/>
                    </a:stretch>
                  </pic:blipFill>
                  <pic:spPr>
                    <a:xfrm>
                      <a:off x="0" y="0"/>
                      <a:ext cx="4825743" cy="4823022"/>
                    </a:xfrm>
                    <a:prstGeom prst="rect">
                      <a:avLst/>
                    </a:prstGeom>
                    <a:ln/>
                  </pic:spPr>
                </pic:pic>
              </a:graphicData>
            </a:graphic>
          </wp:inline>
        </w:drawing>
      </w:r>
    </w:p>
    <w:p w14:paraId="0000001D" w14:textId="77777777" w:rsidR="00866D36" w:rsidRPr="00CA21ED" w:rsidRDefault="007B532F">
      <w:pPr>
        <w:keepNext/>
      </w:pPr>
      <w:r w:rsidRPr="00CA21ED">
        <w:t>ROC: receiver operating characteristic.</w:t>
      </w:r>
    </w:p>
    <w:p w14:paraId="0000001E" w14:textId="40862AA8" w:rsidR="00866D36" w:rsidRPr="00CA21ED" w:rsidRDefault="00FF7C95" w:rsidP="00FF7C95">
      <w:pPr>
        <w:pStyle w:val="Caption"/>
      </w:pPr>
      <w:r w:rsidRPr="00CA21ED">
        <w:t xml:space="preserve">Table </w:t>
      </w:r>
      <w:fldSimple w:instr=" SEQ Table \* ARABIC ">
        <w:r w:rsidR="00A47A11">
          <w:rPr>
            <w:noProof/>
          </w:rPr>
          <w:t>1</w:t>
        </w:r>
      </w:fldSimple>
      <w:r w:rsidRPr="00CA21ED">
        <w:t>: AUC statistics for all models in the analysis</w:t>
      </w:r>
    </w:p>
    <w:tbl>
      <w:tblPr>
        <w:tblStyle w:val="TableGrid"/>
        <w:tblW w:w="9350" w:type="dxa"/>
        <w:tblLayout w:type="fixed"/>
        <w:tblLook w:val="0400" w:firstRow="0" w:lastRow="0" w:firstColumn="0" w:lastColumn="0" w:noHBand="0" w:noVBand="1"/>
      </w:tblPr>
      <w:tblGrid>
        <w:gridCol w:w="3255"/>
        <w:gridCol w:w="2783"/>
        <w:gridCol w:w="3312"/>
      </w:tblGrid>
      <w:tr w:rsidR="00866D36" w:rsidRPr="00CA21ED" w14:paraId="7F171BD8" w14:textId="77777777" w:rsidTr="001C28EA">
        <w:trPr>
          <w:trHeight w:val="300"/>
        </w:trPr>
        <w:tc>
          <w:tcPr>
            <w:tcW w:w="3255" w:type="dxa"/>
          </w:tcPr>
          <w:p w14:paraId="0000001F" w14:textId="77777777" w:rsidR="00866D36" w:rsidRPr="00CA21ED" w:rsidRDefault="00866D36"/>
        </w:tc>
        <w:tc>
          <w:tcPr>
            <w:tcW w:w="2783" w:type="dxa"/>
          </w:tcPr>
          <w:p w14:paraId="00000020" w14:textId="77777777" w:rsidR="00866D36" w:rsidRPr="00CA21ED" w:rsidRDefault="007B532F">
            <w:pPr>
              <w:rPr>
                <w:rFonts w:cs="Calibri"/>
                <w:b/>
              </w:rPr>
            </w:pPr>
            <w:r w:rsidRPr="00CA21ED">
              <w:rPr>
                <w:rFonts w:cs="Calibri"/>
                <w:b/>
              </w:rPr>
              <w:t>AUC</w:t>
            </w:r>
          </w:p>
        </w:tc>
        <w:tc>
          <w:tcPr>
            <w:tcW w:w="3312" w:type="dxa"/>
          </w:tcPr>
          <w:p w14:paraId="00000021" w14:textId="77777777" w:rsidR="00866D36" w:rsidRPr="00CA21ED" w:rsidRDefault="007B532F">
            <w:pPr>
              <w:rPr>
                <w:rFonts w:cs="Calibri"/>
                <w:b/>
              </w:rPr>
            </w:pPr>
            <w:r w:rsidRPr="00CA21ED">
              <w:rPr>
                <w:rFonts w:cs="Calibri"/>
                <w:b/>
              </w:rPr>
              <w:t>95% CI</w:t>
            </w:r>
          </w:p>
        </w:tc>
      </w:tr>
      <w:tr w:rsidR="00866D36" w:rsidRPr="00CA21ED" w14:paraId="34943025" w14:textId="77777777" w:rsidTr="001C28EA">
        <w:trPr>
          <w:trHeight w:val="300"/>
        </w:trPr>
        <w:tc>
          <w:tcPr>
            <w:tcW w:w="3255" w:type="dxa"/>
          </w:tcPr>
          <w:p w14:paraId="00000022" w14:textId="77777777" w:rsidR="00866D36" w:rsidRPr="00CA21ED" w:rsidRDefault="007B532F">
            <w:pPr>
              <w:rPr>
                <w:rFonts w:cs="Calibri"/>
                <w:i/>
              </w:rPr>
            </w:pPr>
            <w:r w:rsidRPr="00CA21ED">
              <w:rPr>
                <w:rFonts w:cs="Calibri"/>
                <w:i/>
              </w:rPr>
              <w:t>Reference Model 1</w:t>
            </w:r>
          </w:p>
        </w:tc>
        <w:tc>
          <w:tcPr>
            <w:tcW w:w="2783" w:type="dxa"/>
          </w:tcPr>
          <w:p w14:paraId="00000023" w14:textId="77777777" w:rsidR="00866D36" w:rsidRPr="00CA21ED" w:rsidRDefault="007B532F">
            <w:pPr>
              <w:rPr>
                <w:rFonts w:cs="Calibri"/>
                <w:color w:val="000000"/>
              </w:rPr>
            </w:pPr>
            <w:r w:rsidRPr="00CA21ED">
              <w:rPr>
                <w:rFonts w:cs="Calibri"/>
                <w:color w:val="000000"/>
              </w:rPr>
              <w:t>0.926</w:t>
            </w:r>
          </w:p>
        </w:tc>
        <w:tc>
          <w:tcPr>
            <w:tcW w:w="3312" w:type="dxa"/>
          </w:tcPr>
          <w:p w14:paraId="00000024" w14:textId="77777777" w:rsidR="00866D36" w:rsidRPr="00CA21ED" w:rsidRDefault="007B532F">
            <w:pPr>
              <w:rPr>
                <w:rFonts w:cs="Calibri"/>
                <w:color w:val="000000"/>
              </w:rPr>
            </w:pPr>
            <w:r w:rsidRPr="00CA21ED">
              <w:rPr>
                <w:rFonts w:cs="Calibri"/>
                <w:color w:val="000000"/>
              </w:rPr>
              <w:t>0.908 ; 0.943</w:t>
            </w:r>
          </w:p>
        </w:tc>
      </w:tr>
      <w:tr w:rsidR="00866D36" w:rsidRPr="00CA21ED" w14:paraId="3407CCE4" w14:textId="77777777" w:rsidTr="001C28EA">
        <w:trPr>
          <w:trHeight w:val="300"/>
        </w:trPr>
        <w:tc>
          <w:tcPr>
            <w:tcW w:w="3255" w:type="dxa"/>
          </w:tcPr>
          <w:p w14:paraId="00000025" w14:textId="77777777" w:rsidR="00866D36" w:rsidRPr="00CA21ED" w:rsidRDefault="007B532F">
            <w:pPr>
              <w:rPr>
                <w:rFonts w:cs="Calibri"/>
                <w:i/>
              </w:rPr>
            </w:pPr>
            <w:r w:rsidRPr="00CA21ED">
              <w:rPr>
                <w:rFonts w:cs="Calibri"/>
                <w:i/>
              </w:rPr>
              <w:t>Reference Model 2</w:t>
            </w:r>
          </w:p>
        </w:tc>
        <w:tc>
          <w:tcPr>
            <w:tcW w:w="2783" w:type="dxa"/>
          </w:tcPr>
          <w:p w14:paraId="00000026" w14:textId="77777777" w:rsidR="00866D36" w:rsidRPr="00CA21ED" w:rsidRDefault="007B532F">
            <w:pPr>
              <w:rPr>
                <w:rFonts w:cs="Calibri"/>
                <w:color w:val="000000"/>
              </w:rPr>
            </w:pPr>
            <w:r w:rsidRPr="00CA21ED">
              <w:rPr>
                <w:rFonts w:cs="Calibri"/>
                <w:color w:val="000000"/>
              </w:rPr>
              <w:t>0.885</w:t>
            </w:r>
          </w:p>
        </w:tc>
        <w:tc>
          <w:tcPr>
            <w:tcW w:w="3312" w:type="dxa"/>
          </w:tcPr>
          <w:p w14:paraId="00000027" w14:textId="77777777" w:rsidR="00866D36" w:rsidRPr="00CA21ED" w:rsidRDefault="007B532F">
            <w:pPr>
              <w:rPr>
                <w:rFonts w:cs="Calibri"/>
                <w:color w:val="000000"/>
              </w:rPr>
            </w:pPr>
            <w:r w:rsidRPr="00CA21ED">
              <w:rPr>
                <w:rFonts w:cs="Calibri"/>
                <w:color w:val="000000"/>
              </w:rPr>
              <w:t>0.862 ; 0.909</w:t>
            </w:r>
          </w:p>
        </w:tc>
      </w:tr>
      <w:tr w:rsidR="00866D36" w:rsidRPr="00CA21ED" w14:paraId="2A4C0B50" w14:textId="77777777" w:rsidTr="001C28EA">
        <w:trPr>
          <w:trHeight w:val="300"/>
        </w:trPr>
        <w:tc>
          <w:tcPr>
            <w:tcW w:w="3255" w:type="dxa"/>
          </w:tcPr>
          <w:p w14:paraId="00000028" w14:textId="77777777" w:rsidR="00866D36" w:rsidRPr="00CA21ED" w:rsidRDefault="007B532F">
            <w:pPr>
              <w:rPr>
                <w:rFonts w:cs="Calibri"/>
                <w:i/>
              </w:rPr>
            </w:pPr>
            <w:r w:rsidRPr="00CA21ED">
              <w:rPr>
                <w:rFonts w:cs="Calibri"/>
                <w:i/>
              </w:rPr>
              <w:t>Analysis 1 Model</w:t>
            </w:r>
          </w:p>
        </w:tc>
        <w:tc>
          <w:tcPr>
            <w:tcW w:w="2783" w:type="dxa"/>
          </w:tcPr>
          <w:p w14:paraId="00000029" w14:textId="77777777" w:rsidR="00866D36" w:rsidRPr="00CA21ED" w:rsidRDefault="007B532F">
            <w:pPr>
              <w:rPr>
                <w:rFonts w:cs="Calibri"/>
                <w:color w:val="000000"/>
              </w:rPr>
            </w:pPr>
            <w:r w:rsidRPr="00CA21ED">
              <w:rPr>
                <w:rFonts w:cs="Calibri"/>
                <w:color w:val="000000"/>
              </w:rPr>
              <w:t>0.732</w:t>
            </w:r>
          </w:p>
        </w:tc>
        <w:tc>
          <w:tcPr>
            <w:tcW w:w="3312" w:type="dxa"/>
          </w:tcPr>
          <w:p w14:paraId="0000002A" w14:textId="77777777" w:rsidR="00866D36" w:rsidRPr="00CA21ED" w:rsidRDefault="007B532F">
            <w:pPr>
              <w:rPr>
                <w:rFonts w:cs="Calibri"/>
                <w:color w:val="000000"/>
              </w:rPr>
            </w:pPr>
            <w:r w:rsidRPr="00CA21ED">
              <w:rPr>
                <w:rFonts w:cs="Calibri"/>
                <w:color w:val="000000"/>
              </w:rPr>
              <w:t>0.635 ; 0.829</w:t>
            </w:r>
          </w:p>
        </w:tc>
      </w:tr>
      <w:tr w:rsidR="00866D36" w:rsidRPr="00CA21ED" w14:paraId="425AD6A7" w14:textId="77777777" w:rsidTr="001C28EA">
        <w:trPr>
          <w:trHeight w:val="300"/>
        </w:trPr>
        <w:tc>
          <w:tcPr>
            <w:tcW w:w="3255" w:type="dxa"/>
          </w:tcPr>
          <w:p w14:paraId="0000002B" w14:textId="77777777" w:rsidR="00866D36" w:rsidRPr="00CA21ED" w:rsidRDefault="007B532F">
            <w:pPr>
              <w:rPr>
                <w:rFonts w:cs="Calibri"/>
                <w:i/>
              </w:rPr>
            </w:pPr>
            <w:r w:rsidRPr="00CA21ED">
              <w:rPr>
                <w:rFonts w:cs="Calibri"/>
                <w:i/>
              </w:rPr>
              <w:t>Analysis 2 Model</w:t>
            </w:r>
          </w:p>
        </w:tc>
        <w:tc>
          <w:tcPr>
            <w:tcW w:w="2783" w:type="dxa"/>
          </w:tcPr>
          <w:p w14:paraId="0000002C" w14:textId="77777777" w:rsidR="00866D36" w:rsidRPr="00CA21ED" w:rsidRDefault="007B532F">
            <w:pPr>
              <w:rPr>
                <w:rFonts w:cs="Calibri"/>
                <w:color w:val="000000"/>
              </w:rPr>
            </w:pPr>
            <w:r w:rsidRPr="00CA21ED">
              <w:rPr>
                <w:rFonts w:cs="Calibri"/>
                <w:color w:val="000000"/>
              </w:rPr>
              <w:t>0.798</w:t>
            </w:r>
          </w:p>
        </w:tc>
        <w:tc>
          <w:tcPr>
            <w:tcW w:w="3312" w:type="dxa"/>
          </w:tcPr>
          <w:p w14:paraId="0000002D" w14:textId="77777777" w:rsidR="00866D36" w:rsidRPr="00CA21ED" w:rsidRDefault="007B532F">
            <w:pPr>
              <w:rPr>
                <w:rFonts w:cs="Calibri"/>
                <w:color w:val="000000"/>
              </w:rPr>
            </w:pPr>
            <w:r w:rsidRPr="00CA21ED">
              <w:rPr>
                <w:rFonts w:cs="Calibri"/>
                <w:color w:val="000000"/>
              </w:rPr>
              <w:t>0.726 ; 0.870</w:t>
            </w:r>
          </w:p>
        </w:tc>
      </w:tr>
      <w:tr w:rsidR="00866D36" w:rsidRPr="00CA21ED" w14:paraId="31E98F4C" w14:textId="77777777" w:rsidTr="001C28EA">
        <w:trPr>
          <w:trHeight w:val="300"/>
        </w:trPr>
        <w:tc>
          <w:tcPr>
            <w:tcW w:w="3255" w:type="dxa"/>
          </w:tcPr>
          <w:p w14:paraId="0000002E" w14:textId="77777777" w:rsidR="00866D36" w:rsidRPr="00CA21ED" w:rsidRDefault="007B532F">
            <w:pPr>
              <w:rPr>
                <w:rFonts w:cs="Calibri"/>
                <w:i/>
              </w:rPr>
            </w:pPr>
            <w:r w:rsidRPr="00CA21ED">
              <w:rPr>
                <w:rFonts w:cs="Calibri"/>
                <w:i/>
              </w:rPr>
              <w:t>Analysis 3 Model</w:t>
            </w:r>
          </w:p>
        </w:tc>
        <w:tc>
          <w:tcPr>
            <w:tcW w:w="2783" w:type="dxa"/>
          </w:tcPr>
          <w:p w14:paraId="0000002F" w14:textId="77777777" w:rsidR="00866D36" w:rsidRPr="00CA21ED" w:rsidRDefault="007B532F">
            <w:pPr>
              <w:rPr>
                <w:rFonts w:cs="Calibri"/>
                <w:color w:val="000000"/>
              </w:rPr>
            </w:pPr>
            <w:r w:rsidRPr="00CA21ED">
              <w:rPr>
                <w:rFonts w:cs="Calibri"/>
                <w:color w:val="000000"/>
              </w:rPr>
              <w:t>0.758</w:t>
            </w:r>
          </w:p>
        </w:tc>
        <w:tc>
          <w:tcPr>
            <w:tcW w:w="3312" w:type="dxa"/>
          </w:tcPr>
          <w:p w14:paraId="00000030" w14:textId="77777777" w:rsidR="00866D36" w:rsidRPr="00CA21ED" w:rsidRDefault="007B532F">
            <w:pPr>
              <w:rPr>
                <w:rFonts w:cs="Calibri"/>
                <w:color w:val="000000"/>
              </w:rPr>
            </w:pPr>
            <w:r w:rsidRPr="00CA21ED">
              <w:rPr>
                <w:rFonts w:cs="Calibri"/>
                <w:color w:val="000000"/>
              </w:rPr>
              <w:t>0.670 ; 0.847</w:t>
            </w:r>
          </w:p>
        </w:tc>
      </w:tr>
      <w:tr w:rsidR="00866D36" w:rsidRPr="00CA21ED" w14:paraId="682B2D26" w14:textId="77777777" w:rsidTr="001C28EA">
        <w:trPr>
          <w:trHeight w:val="300"/>
        </w:trPr>
        <w:tc>
          <w:tcPr>
            <w:tcW w:w="3255" w:type="dxa"/>
          </w:tcPr>
          <w:p w14:paraId="00000031" w14:textId="77777777" w:rsidR="00866D36" w:rsidRPr="00CA21ED" w:rsidRDefault="007B532F">
            <w:pPr>
              <w:rPr>
                <w:rFonts w:cs="Calibri"/>
                <w:i/>
              </w:rPr>
            </w:pPr>
            <w:r w:rsidRPr="00CA21ED">
              <w:rPr>
                <w:rFonts w:cs="Calibri"/>
                <w:i/>
              </w:rPr>
              <w:t>Analysis 4a Model</w:t>
            </w:r>
          </w:p>
        </w:tc>
        <w:tc>
          <w:tcPr>
            <w:tcW w:w="2783" w:type="dxa"/>
          </w:tcPr>
          <w:p w14:paraId="00000032" w14:textId="77777777" w:rsidR="00866D36" w:rsidRPr="00CA21ED" w:rsidRDefault="007B532F">
            <w:pPr>
              <w:rPr>
                <w:rFonts w:cs="Calibri"/>
                <w:color w:val="000000"/>
              </w:rPr>
            </w:pPr>
            <w:r w:rsidRPr="00CA21ED">
              <w:rPr>
                <w:rFonts w:cs="Calibri"/>
                <w:color w:val="000000"/>
              </w:rPr>
              <w:t>0.775</w:t>
            </w:r>
          </w:p>
        </w:tc>
        <w:tc>
          <w:tcPr>
            <w:tcW w:w="3312" w:type="dxa"/>
          </w:tcPr>
          <w:p w14:paraId="00000033" w14:textId="77777777" w:rsidR="00866D36" w:rsidRPr="00CA21ED" w:rsidRDefault="007B532F">
            <w:pPr>
              <w:rPr>
                <w:rFonts w:cs="Calibri"/>
                <w:color w:val="000000"/>
              </w:rPr>
            </w:pPr>
            <w:r w:rsidRPr="00CA21ED">
              <w:rPr>
                <w:rFonts w:cs="Calibri"/>
                <w:color w:val="000000"/>
              </w:rPr>
              <w:t>0.692 ; 0.858</w:t>
            </w:r>
          </w:p>
        </w:tc>
      </w:tr>
      <w:tr w:rsidR="00866D36" w:rsidRPr="00CA21ED" w14:paraId="5B700323" w14:textId="77777777" w:rsidTr="001C28EA">
        <w:trPr>
          <w:trHeight w:val="300"/>
        </w:trPr>
        <w:tc>
          <w:tcPr>
            <w:tcW w:w="3255" w:type="dxa"/>
          </w:tcPr>
          <w:p w14:paraId="00000034" w14:textId="77777777" w:rsidR="00866D36" w:rsidRPr="00CA21ED" w:rsidRDefault="007B532F">
            <w:pPr>
              <w:rPr>
                <w:rFonts w:cs="Calibri"/>
                <w:i/>
              </w:rPr>
            </w:pPr>
            <w:r w:rsidRPr="00CA21ED">
              <w:rPr>
                <w:rFonts w:cs="Calibri"/>
                <w:i/>
              </w:rPr>
              <w:t>Analysis 4b Model</w:t>
            </w:r>
          </w:p>
        </w:tc>
        <w:tc>
          <w:tcPr>
            <w:tcW w:w="2783" w:type="dxa"/>
          </w:tcPr>
          <w:p w14:paraId="00000035" w14:textId="77777777" w:rsidR="00866D36" w:rsidRPr="00CA21ED" w:rsidRDefault="007B532F">
            <w:pPr>
              <w:rPr>
                <w:rFonts w:cs="Calibri"/>
                <w:color w:val="000000"/>
              </w:rPr>
            </w:pPr>
            <w:r w:rsidRPr="00CA21ED">
              <w:rPr>
                <w:rFonts w:cs="Calibri"/>
                <w:color w:val="000000"/>
              </w:rPr>
              <w:t>0.774</w:t>
            </w:r>
          </w:p>
        </w:tc>
        <w:tc>
          <w:tcPr>
            <w:tcW w:w="3312" w:type="dxa"/>
          </w:tcPr>
          <w:p w14:paraId="00000036" w14:textId="77777777" w:rsidR="00866D36" w:rsidRPr="00CA21ED" w:rsidRDefault="007B532F">
            <w:pPr>
              <w:rPr>
                <w:rFonts w:cs="Calibri"/>
                <w:color w:val="000000"/>
              </w:rPr>
            </w:pPr>
            <w:r w:rsidRPr="00CA21ED">
              <w:rPr>
                <w:rFonts w:cs="Calibri"/>
                <w:color w:val="000000"/>
              </w:rPr>
              <w:t>0.688 ; 0.859</w:t>
            </w:r>
          </w:p>
        </w:tc>
      </w:tr>
    </w:tbl>
    <w:p w14:paraId="00000037" w14:textId="77777777" w:rsidR="00866D36" w:rsidRPr="00CA21ED" w:rsidRDefault="007B532F">
      <w:r w:rsidRPr="00CA21ED">
        <w:t>AUC, area under the curve; CI, confidence interval.</w:t>
      </w:r>
    </w:p>
    <w:p w14:paraId="00000038" w14:textId="77777777" w:rsidR="00866D36" w:rsidRPr="00CA21ED" w:rsidRDefault="007B532F">
      <w:r w:rsidRPr="00CA21ED">
        <w:lastRenderedPageBreak/>
        <w:t>The “Reference Models” here are those built on the whole patient dataset from ICON-RELOADED (N=1461). Reference Model 1 includes NT-proBNP and Reference Model 2 includes clinical variables alone. The “Analysis Models” are built on the grey zone dataset from ICON-RELOADED (N=196).</w:t>
      </w:r>
    </w:p>
    <w:p w14:paraId="00000039" w14:textId="77777777" w:rsidR="00866D36" w:rsidRPr="00CA21ED" w:rsidRDefault="007B532F">
      <w:pPr>
        <w:numPr>
          <w:ilvl w:val="0"/>
          <w:numId w:val="1"/>
        </w:numPr>
        <w:pBdr>
          <w:top w:val="nil"/>
          <w:left w:val="nil"/>
          <w:bottom w:val="nil"/>
          <w:right w:val="nil"/>
          <w:between w:val="nil"/>
        </w:pBdr>
        <w:spacing w:after="0"/>
      </w:pPr>
      <w:r w:rsidRPr="00CA21ED">
        <w:rPr>
          <w:rFonts w:cs="Calibri"/>
          <w:b/>
          <w:color w:val="000000"/>
        </w:rPr>
        <w:t xml:space="preserve">Analysis Model 1: </w:t>
      </w:r>
      <w:r w:rsidRPr="00CA21ED">
        <w:rPr>
          <w:rFonts w:cs="Calibri"/>
          <w:color w:val="000000"/>
        </w:rPr>
        <w:t>A logistic regression model with response variable ADHF and covariates as selected in model 2 is estimated on the grey zone dataset. Odds ratios based on the regression coefficients (e</w:t>
      </w:r>
      <w:r w:rsidRPr="00CA21ED">
        <w:rPr>
          <w:rFonts w:cs="Calibri"/>
          <w:color w:val="000000"/>
          <w:vertAlign w:val="superscript"/>
        </w:rPr>
        <w:t>β</w:t>
      </w:r>
      <w:r w:rsidRPr="00CA21ED">
        <w:rPr>
          <w:rFonts w:cs="Calibri"/>
          <w:color w:val="000000"/>
        </w:rPr>
        <w:t>) are reported with according 95% confidence intervals.</w:t>
      </w:r>
      <w:r w:rsidRPr="00CA21ED">
        <w:rPr>
          <w:rFonts w:cs="Calibri"/>
          <w:color w:val="000000"/>
        </w:rPr>
        <w:br/>
        <w:t>In addition, scores obtained by a 10-fold cross-validated logistic regression model with the same response and covariates on the grey zone dataset are used to perform a ROC analysis. Resulting ROC curve and AUC value with corresponding 95% confidence intervals (10-fold cross-validation stratified by ADHF) are reported.</w:t>
      </w:r>
    </w:p>
    <w:p w14:paraId="0000003A" w14:textId="6D87DA86" w:rsidR="00866D36" w:rsidRPr="00CA21ED" w:rsidRDefault="007B532F">
      <w:pPr>
        <w:numPr>
          <w:ilvl w:val="0"/>
          <w:numId w:val="1"/>
        </w:numPr>
        <w:pBdr>
          <w:top w:val="nil"/>
          <w:left w:val="nil"/>
          <w:bottom w:val="nil"/>
          <w:right w:val="nil"/>
          <w:between w:val="nil"/>
        </w:pBdr>
        <w:spacing w:after="0"/>
      </w:pPr>
      <w:r w:rsidRPr="00CA21ED">
        <w:rPr>
          <w:rFonts w:cs="Calibri"/>
          <w:b/>
          <w:color w:val="000000"/>
        </w:rPr>
        <w:t xml:space="preserve">Analysis Model 2: </w:t>
      </w:r>
      <w:r w:rsidRPr="00CA21ED">
        <w:rPr>
          <w:rFonts w:cs="Calibri"/>
          <w:color w:val="000000"/>
        </w:rPr>
        <w:t>A logistic regression model with response variable ADHF and covariates as selected in model 2 is fitted on the full dataset and applied on the grey zone dataset to obtain regression scores, using 10-fold cross-validation stratified by ADHF. The resulting regression scores for the grey zone dataset are used to perform a ROC analysis. Resulting ROC curve and AUC value with corresponding 95% confidence intervals (10-fold cross-validation stratified by ADHF) are reported.</w:t>
      </w:r>
    </w:p>
    <w:p w14:paraId="0000003B" w14:textId="77777777" w:rsidR="00866D36" w:rsidRPr="00CA21ED" w:rsidRDefault="007B532F">
      <w:pPr>
        <w:numPr>
          <w:ilvl w:val="0"/>
          <w:numId w:val="1"/>
        </w:numPr>
        <w:pBdr>
          <w:top w:val="nil"/>
          <w:left w:val="nil"/>
          <w:bottom w:val="nil"/>
          <w:right w:val="nil"/>
          <w:between w:val="nil"/>
        </w:pBdr>
        <w:spacing w:after="0"/>
      </w:pPr>
      <w:r w:rsidRPr="00CA21ED">
        <w:rPr>
          <w:rFonts w:cs="Calibri"/>
          <w:b/>
          <w:color w:val="000000"/>
        </w:rPr>
        <w:t xml:space="preserve">Analysis Model 3: </w:t>
      </w:r>
      <w:r w:rsidRPr="00CA21ED">
        <w:rPr>
          <w:rFonts w:cs="Calibri"/>
          <w:color w:val="000000"/>
        </w:rPr>
        <w:t>Variable selection based on logistic regression with lasso penalization with response variable ADHF and the same candidate covariates as in model 2 is performed on the grey zone dataset (lasso penalization parameter lambda selected by cross-validation criterion). Odds ratios based on the regression coefficients (e</w:t>
      </w:r>
      <w:r w:rsidRPr="00CA21ED">
        <w:rPr>
          <w:rFonts w:cs="Calibri"/>
          <w:color w:val="000000"/>
          <w:vertAlign w:val="superscript"/>
        </w:rPr>
        <w:t>β</w:t>
      </w:r>
      <w:r w:rsidRPr="00CA21ED">
        <w:rPr>
          <w:rFonts w:cs="Calibri"/>
          <w:color w:val="000000"/>
        </w:rPr>
        <w:t>) of the final model with the covariates as selected in the variable selection step are reported with according 95% confidence intervals.</w:t>
      </w:r>
      <w:r w:rsidRPr="00CA21ED">
        <w:rPr>
          <w:rFonts w:cs="Calibri"/>
          <w:color w:val="000000"/>
        </w:rPr>
        <w:br/>
        <w:t xml:space="preserve">In addition, scores obtained by a 10-fold cross-validated logistic regression model with the same response and the covariates as selected by the variable selection step are used to perform a </w:t>
      </w:r>
      <w:r w:rsidRPr="00CA21ED">
        <w:rPr>
          <w:rFonts w:cs="Calibri"/>
          <w:color w:val="000000"/>
        </w:rPr>
        <w:lastRenderedPageBreak/>
        <w:t>ROC analysis. Resulting ROC curve and AUC value with corresponding 95% confidence intervals (10-fold cross-validation stratified by ADHF) are reported.</w:t>
      </w:r>
    </w:p>
    <w:p w14:paraId="0000003C" w14:textId="77777777" w:rsidR="00866D36" w:rsidRPr="00CA21ED" w:rsidRDefault="007B532F">
      <w:pPr>
        <w:numPr>
          <w:ilvl w:val="0"/>
          <w:numId w:val="1"/>
        </w:numPr>
        <w:pBdr>
          <w:top w:val="nil"/>
          <w:left w:val="nil"/>
          <w:bottom w:val="nil"/>
          <w:right w:val="nil"/>
          <w:between w:val="nil"/>
        </w:pBdr>
        <w:spacing w:after="0"/>
      </w:pPr>
      <w:r w:rsidRPr="00CA21ED">
        <w:rPr>
          <w:rFonts w:cs="Calibri"/>
          <w:b/>
          <w:color w:val="000000"/>
        </w:rPr>
        <w:t xml:space="preserve">Analysis Model 4a: </w:t>
      </w:r>
      <w:r w:rsidRPr="00CA21ED">
        <w:rPr>
          <w:rFonts w:cs="Calibri"/>
          <w:color w:val="000000"/>
        </w:rPr>
        <w:t>Variable selection based on logistic regression with lasso penalization with response variable ADHF and the same candidate covariates as in model 2, and additionally NT-proBNP (log</w:t>
      </w:r>
      <w:r w:rsidRPr="00CA21ED">
        <w:rPr>
          <w:rFonts w:cs="Calibri"/>
          <w:color w:val="000000"/>
          <w:vertAlign w:val="subscript"/>
        </w:rPr>
        <w:t>e</w:t>
      </w:r>
      <w:r w:rsidRPr="00CA21ED">
        <w:rPr>
          <w:rFonts w:cs="Calibri"/>
          <w:color w:val="000000"/>
        </w:rPr>
        <w:t>-transformed, pg/mL), is performed on the grey zone dataset (lasso penalization parameter lambda selected by cross-validation criterion). Odds ratios derived by the regression coefficients of the final model with the covariates as selected by the variable selection step are reported with corresponding 95% confidence intervals.</w:t>
      </w:r>
      <w:r w:rsidRPr="00CA21ED">
        <w:rPr>
          <w:rFonts w:cs="Calibri"/>
          <w:color w:val="000000"/>
        </w:rPr>
        <w:br/>
        <w:t>In addition, scores obtained by a 10-fold cross-validated logistic regression model with the same response and the covariates as selected in the variable selection step are used to perform a ROC analysis. Resulting ROC curve and AUC value with corresponding 95% confidence intervals (10-fold cross-validation stratified by ADHF) are reported.</w:t>
      </w:r>
    </w:p>
    <w:p w14:paraId="0000003D" w14:textId="77777777" w:rsidR="00866D36" w:rsidRPr="00CA21ED" w:rsidRDefault="007B532F">
      <w:pPr>
        <w:numPr>
          <w:ilvl w:val="0"/>
          <w:numId w:val="1"/>
        </w:numPr>
        <w:pBdr>
          <w:top w:val="nil"/>
          <w:left w:val="nil"/>
          <w:bottom w:val="nil"/>
          <w:right w:val="nil"/>
          <w:between w:val="nil"/>
        </w:pBdr>
      </w:pPr>
      <w:r w:rsidRPr="00CA21ED">
        <w:rPr>
          <w:rFonts w:cs="Calibri"/>
          <w:b/>
          <w:color w:val="000000"/>
        </w:rPr>
        <w:t xml:space="preserve">Analysis Model 4b: </w:t>
      </w:r>
      <w:r w:rsidRPr="00CA21ED">
        <w:rPr>
          <w:rFonts w:cs="Calibri"/>
          <w:color w:val="000000"/>
        </w:rPr>
        <w:t>Variable selection based on logistic regression with lasso penalization with response variable ADHF and the same candidate covariates as in model 2, and additionally binary variables “age&gt;75 years”, “NT-proBNP&gt;400 pg/mL”, and an interaction term of these two variables, is performed on the grey zone dataset (lasso penalization parameter lambda selected by cross-validation criterion). Odds ratios derived by the regression coefficients of the final model with the covariates as selected by the variable selection step are reported with corresponding 95% confidence intervals.</w:t>
      </w:r>
      <w:r w:rsidRPr="00CA21ED">
        <w:rPr>
          <w:rFonts w:cs="Calibri"/>
          <w:color w:val="000000"/>
        </w:rPr>
        <w:br/>
        <w:t>In addition, scores obtained by a 10-fold cross-validated logistic regression model with the same response and the covariates as selected in the variable selection step are used to perform a ROC analysis. Resulting ROC curve and AUC value with corresponding 95% confidence intervals (10-fold cross-validation stratified by ADHF) are reported.</w:t>
      </w:r>
    </w:p>
    <w:p w14:paraId="0000003E" w14:textId="77777777" w:rsidR="00866D36" w:rsidRPr="00CA21ED" w:rsidRDefault="007B532F">
      <w:pPr>
        <w:pStyle w:val="Heading3"/>
      </w:pPr>
      <w:r w:rsidRPr="00CA21ED">
        <w:lastRenderedPageBreak/>
        <w:t>Conclusions from the new analysis</w:t>
      </w:r>
    </w:p>
    <w:p w14:paraId="0000003F" w14:textId="77777777" w:rsidR="00866D36" w:rsidRPr="00CA21ED" w:rsidRDefault="007B532F">
      <w:pPr>
        <w:numPr>
          <w:ilvl w:val="0"/>
          <w:numId w:val="2"/>
        </w:numPr>
        <w:pBdr>
          <w:top w:val="nil"/>
          <w:left w:val="nil"/>
          <w:bottom w:val="nil"/>
          <w:right w:val="nil"/>
          <w:between w:val="nil"/>
        </w:pBdr>
        <w:spacing w:after="0"/>
      </w:pPr>
      <w:r w:rsidRPr="00CA21ED">
        <w:rPr>
          <w:rFonts w:cs="Calibri"/>
          <w:color w:val="000000"/>
        </w:rPr>
        <w:t>The analysis models show that the diagnostic accuracy of clinical decision alone is worse in the grey zone than in the overall population, which is understandable, given that NT-proBNP will correlate with clinical severity.</w:t>
      </w:r>
    </w:p>
    <w:p w14:paraId="00000040" w14:textId="77777777" w:rsidR="00866D36" w:rsidRPr="00CA21ED" w:rsidRDefault="007B532F">
      <w:pPr>
        <w:numPr>
          <w:ilvl w:val="0"/>
          <w:numId w:val="2"/>
        </w:numPr>
        <w:pBdr>
          <w:top w:val="nil"/>
          <w:left w:val="nil"/>
          <w:bottom w:val="nil"/>
          <w:right w:val="nil"/>
          <w:between w:val="nil"/>
        </w:pBdr>
        <w:spacing w:after="0"/>
      </w:pPr>
      <w:r w:rsidRPr="00CA21ED">
        <w:rPr>
          <w:rFonts w:cs="Calibri"/>
          <w:color w:val="000000"/>
        </w:rPr>
        <w:t>The analysis models show that the diagnostic accuracy of clinical decision in the grey zone is still reasonably good in the grey zone, with sensitivity and specificity pairs far away from the central line and the lower CI of the AUC far from the 0.5 which represents randomness.</w:t>
      </w:r>
    </w:p>
    <w:p w14:paraId="00000041" w14:textId="77777777" w:rsidR="00866D36" w:rsidRPr="00CA21ED" w:rsidRDefault="007B532F">
      <w:pPr>
        <w:numPr>
          <w:ilvl w:val="0"/>
          <w:numId w:val="2"/>
        </w:numPr>
        <w:pBdr>
          <w:top w:val="nil"/>
          <w:left w:val="nil"/>
          <w:bottom w:val="nil"/>
          <w:right w:val="nil"/>
          <w:between w:val="nil"/>
        </w:pBdr>
        <w:spacing w:after="0"/>
      </w:pPr>
      <w:r w:rsidRPr="00CA21ED">
        <w:rPr>
          <w:rFonts w:cs="Calibri"/>
          <w:color w:val="000000"/>
        </w:rPr>
        <w:t>The ROC curves are fairly consistent between the different approaches used. AUCs range from 0.73 to 0.8 (vs. 0.885 in the whole dataset) and curves overlap with each other significantly.</w:t>
      </w:r>
    </w:p>
    <w:p w14:paraId="00000042" w14:textId="77777777" w:rsidR="00866D36" w:rsidRPr="00CA21ED" w:rsidRDefault="007B532F">
      <w:pPr>
        <w:numPr>
          <w:ilvl w:val="0"/>
          <w:numId w:val="2"/>
        </w:numPr>
        <w:pBdr>
          <w:top w:val="nil"/>
          <w:left w:val="nil"/>
          <w:bottom w:val="nil"/>
          <w:right w:val="nil"/>
          <w:between w:val="nil"/>
        </w:pBdr>
        <w:spacing w:after="0"/>
      </w:pPr>
      <w:r w:rsidRPr="00CA21ED">
        <w:rPr>
          <w:rFonts w:cs="Calibri"/>
          <w:color w:val="000000"/>
        </w:rPr>
        <w:t>Although the curves are fairly similar, the best prediction appears to be provided by Analysis Model 2, which uses the original variables and beta coefficients from the whole dataset. This suggests that clinical variables can be weighed in the same way for grey zone patients as for the cohort at large.</w:t>
      </w:r>
    </w:p>
    <w:p w14:paraId="00000043" w14:textId="77777777" w:rsidR="00866D36" w:rsidRPr="00CA21ED" w:rsidRDefault="007B532F">
      <w:pPr>
        <w:numPr>
          <w:ilvl w:val="0"/>
          <w:numId w:val="2"/>
        </w:numPr>
        <w:pBdr>
          <w:top w:val="nil"/>
          <w:left w:val="nil"/>
          <w:bottom w:val="nil"/>
          <w:right w:val="nil"/>
          <w:between w:val="nil"/>
        </w:pBdr>
        <w:spacing w:after="0"/>
      </w:pPr>
      <w:r w:rsidRPr="00CA21ED">
        <w:rPr>
          <w:rFonts w:cs="Calibri"/>
          <w:color w:val="000000"/>
        </w:rPr>
        <w:t>NT-proBNP does not appear to improve or hinder prediction within the grey zone.</w:t>
      </w:r>
    </w:p>
    <w:p w14:paraId="00000044" w14:textId="0902BCCA" w:rsidR="00866D36" w:rsidRPr="00CA21ED" w:rsidRDefault="007B532F">
      <w:pPr>
        <w:numPr>
          <w:ilvl w:val="0"/>
          <w:numId w:val="2"/>
        </w:numPr>
        <w:pBdr>
          <w:top w:val="nil"/>
          <w:left w:val="nil"/>
          <w:bottom w:val="nil"/>
          <w:right w:val="nil"/>
          <w:between w:val="nil"/>
        </w:pBdr>
        <w:spacing w:after="0"/>
      </w:pPr>
      <w:r w:rsidRPr="00CA21ED">
        <w:rPr>
          <w:rFonts w:cs="Calibri"/>
          <w:color w:val="000000"/>
        </w:rPr>
        <w:t>Although these new data do not enable us to know the actual sensitivity and specificity of clinical decision in the grey zone, the ROC curve provides some guidance as to the range of plausible values that could be used within the economic model.</w:t>
      </w:r>
    </w:p>
    <w:p w14:paraId="00000045" w14:textId="77777777" w:rsidR="00866D36" w:rsidRPr="00CA21ED" w:rsidRDefault="007B532F">
      <w:pPr>
        <w:numPr>
          <w:ilvl w:val="0"/>
          <w:numId w:val="2"/>
        </w:numPr>
        <w:pBdr>
          <w:top w:val="nil"/>
          <w:left w:val="nil"/>
          <w:bottom w:val="nil"/>
          <w:right w:val="nil"/>
          <w:between w:val="nil"/>
        </w:pBdr>
      </w:pPr>
      <w:r w:rsidRPr="00CA21ED">
        <w:rPr>
          <w:rFonts w:cs="Calibri"/>
          <w:color w:val="000000"/>
        </w:rPr>
        <w:t>The economic model should be updated with a sensitivity/specificity pair from one of the new grey zone ROC curves.</w:t>
      </w:r>
    </w:p>
    <w:p w14:paraId="00000046" w14:textId="77777777" w:rsidR="00866D36" w:rsidRPr="00CA21ED" w:rsidRDefault="007B532F">
      <w:pPr>
        <w:pStyle w:val="Heading3"/>
      </w:pPr>
      <w:r w:rsidRPr="00CA21ED">
        <w:t>New economic model results</w:t>
      </w:r>
    </w:p>
    <w:p w14:paraId="00000047" w14:textId="29BCB9E1" w:rsidR="00866D36" w:rsidRPr="00CA21ED" w:rsidRDefault="007B532F">
      <w:pPr>
        <w:rPr>
          <w:highlight w:val="yellow"/>
        </w:rPr>
      </w:pPr>
      <w:r w:rsidRPr="00CA21ED">
        <w:t xml:space="preserve">In the economic model based on ICON-RELOADED, the researchers consulted with a group of clinicians and selected a point on the shoulder of the ROC curve of Reference Model 2 that they felt best represented the central sensitivity and specificity of clinical decision alone </w:t>
      </w:r>
      <w:r w:rsidR="00EF02B7" w:rsidRPr="00CA21ED">
        <w:fldChar w:fldCharType="begin"/>
      </w:r>
      <w:r w:rsidR="00EF02B7" w:rsidRPr="00CA21ED">
        <w:instrText xml:space="preserve"> ADDIN EN.CITE &lt;EndNote&gt;&lt;Cite&gt;&lt;Author&gt;Siebert&lt;/Author&gt;&lt;Year&gt;2021&lt;/Year&gt;&lt;RecNum&gt;7&lt;/RecNum&gt;&lt;DisplayText&gt;(6)&lt;/DisplayText&gt;&lt;record&gt;&lt;rec-number&gt;7&lt;/rec-number&gt;&lt;foreign-keys&gt;&lt;key app="EN" db-id="f9e92ea9tpxdzoex9spxs9asfpp0rx2xe2s2" timestamp="1643128797"&gt;7&lt;/key&gt;&lt;/foreign-keys&gt;&lt;ref-type name="Journal Article"&gt;17&lt;/ref-type&gt;&lt;contributors&gt;&lt;authors&gt;&lt;author&gt;Siebert, Uwe&lt;/author&gt;&lt;author&gt;Milev, Sandra&lt;/author&gt;&lt;author&gt;Zou, Denise&lt;/author&gt;&lt;author&gt;Litkiewicz, Michal&lt;/author&gt;&lt;author&gt;Gaggin, Hannah K&lt;/author&gt;&lt;author&gt;Tirapelle, Linda&lt;/author&gt;&lt;author&gt;Masson, Serge&lt;/author&gt;&lt;author&gt;Januzzi, James L&lt;/author&gt;&lt;/authors&gt;&lt;/contributors&gt;&lt;titles&gt;&lt;title&gt;Economic Evaluation of an N-terminal Pro B-type Natriuretic Peptide-Supported Diagnostic Strategy Among Dyspneic Patients Suspected of Acute Heart Failure in the Emergency Department&lt;/title&gt;&lt;secondary-title&gt;The American Journal of Cardiology&lt;/secondary-title&gt;&lt;/titles&gt;&lt;periodical&gt;&lt;full-title&gt;The American Journal of Cardiology&lt;/full-title&gt;&lt;/periodical&gt;&lt;pages&gt;61-69&lt;/pages&gt;&lt;volume&gt;147&lt;/volume&gt;&lt;dates&gt;&lt;year&gt;2021&lt;/year&gt;&lt;/dates&gt;&lt;isbn&gt;0002-9149&lt;/isbn&gt;&lt;urls&gt;&lt;/urls&gt;&lt;/record&gt;&lt;/Cite&gt;&lt;/EndNote&gt;</w:instrText>
      </w:r>
      <w:r w:rsidR="00EF02B7" w:rsidRPr="00CA21ED">
        <w:fldChar w:fldCharType="separate"/>
      </w:r>
      <w:r w:rsidR="00EF02B7" w:rsidRPr="00CA21ED">
        <w:t>(6)</w:t>
      </w:r>
      <w:r w:rsidR="00EF02B7" w:rsidRPr="00CA21ED">
        <w:fldChar w:fldCharType="end"/>
      </w:r>
      <w:r w:rsidRPr="00CA21ED">
        <w:t xml:space="preserve">. They chose the point at </w:t>
      </w:r>
      <w:r w:rsidRPr="00CA21ED">
        <w:lastRenderedPageBreak/>
        <w:t>80%/80%. The same approach was followed here to obtain a sensitivity/specificity pair to represent grey zone decision making within the economic model. For the base case a sensitivity/specificity pair sitting near the “shoulder” of the ROC around 80%/60% was assumed.</w:t>
      </w:r>
      <w:r w:rsidR="00AA0C74">
        <w:t xml:space="preserve"> Sensitivity/specific pairs on the ROC curve of 70%/70% and 60%/80% were explored in scenario analysis </w:t>
      </w:r>
    </w:p>
    <w:p w14:paraId="00000048" w14:textId="77777777" w:rsidR="00866D36" w:rsidRPr="00CA21ED" w:rsidRDefault="007B532F">
      <w:pPr>
        <w:pStyle w:val="Heading2"/>
      </w:pPr>
      <w:bookmarkStart w:id="13" w:name="_heading=h.4d34og8" w:colFirst="0" w:colLast="0"/>
      <w:bookmarkEnd w:id="13"/>
      <w:r w:rsidRPr="00CA21ED">
        <w:t>Long-term survival</w:t>
      </w:r>
    </w:p>
    <w:p w14:paraId="00000049" w14:textId="0BB6803A" w:rsidR="00866D36" w:rsidRPr="00CA21ED" w:rsidRDefault="007B532F">
      <w:r w:rsidRPr="00CA21ED">
        <w:t xml:space="preserve">A Kaplan-Meier curve showing up to </w:t>
      </w:r>
      <w:r w:rsidR="00036827" w:rsidRPr="00CA21ED">
        <w:t>5</w:t>
      </w:r>
      <w:r w:rsidRPr="00CA21ED">
        <w:t>-year survival for patients with AHF first diagnosed in hospital in the UK in the period 200</w:t>
      </w:r>
      <w:r w:rsidR="00CD2528" w:rsidRPr="00CA21ED">
        <w:t>9</w:t>
      </w:r>
      <w:r w:rsidRPr="00CA21ED">
        <w:t>-20</w:t>
      </w:r>
      <w:r w:rsidR="00CD2528" w:rsidRPr="00CA21ED">
        <w:t>14</w:t>
      </w:r>
      <w:r w:rsidRPr="00CA21ED">
        <w:t xml:space="preserve"> was obtained from </w:t>
      </w:r>
      <w:r w:rsidR="00CD2528" w:rsidRPr="00CA21ED">
        <w:t>NICOR</w:t>
      </w:r>
      <w:r w:rsidRPr="00CA21ED">
        <w:t xml:space="preserve"> 201</w:t>
      </w:r>
      <w:r w:rsidR="001E5420" w:rsidRPr="00CA21ED">
        <w:t>5</w:t>
      </w:r>
      <w:r w:rsidRPr="00CA21ED">
        <w:t xml:space="preserve"> </w:t>
      </w:r>
      <w:r w:rsidR="00EF02B7" w:rsidRPr="00CA21ED">
        <w:fldChar w:fldCharType="begin"/>
      </w:r>
      <w:r w:rsidR="001E5420" w:rsidRPr="00CA21ED">
        <w:instrText xml:space="preserve"> ADDIN EN.CITE &lt;EndNote&gt;&lt;Cite&gt;&lt;Author&gt;The National Institute for Cardiovascular Outcomes Research (NICOR)&lt;/Author&gt;&lt;Year&gt;2015&lt;/Year&gt;&lt;RecNum&gt;52&lt;/RecNum&gt;&lt;DisplayText&gt;(8)&lt;/DisplayText&gt;&lt;record&gt;&lt;rec-number&gt;52&lt;/rec-number&gt;&lt;foreign-keys&gt;&lt;key app="EN" db-id="f9e92ea9tpxdzoex9spxs9asfpp0rx2xe2s2" timestamp="1660565675"&gt;52&lt;/key&gt;&lt;/foreign-keys&gt;&lt;ref-type name="Web Page"&gt;12&lt;/ref-type&gt;&lt;contributors&gt;&lt;authors&gt;&lt;author&gt;The National Institute for Cardiovascular Outcomes Research (NICOR),&lt;/author&gt;&lt;/authors&gt;&lt;/contributors&gt;&lt;titles&gt;&lt;title&gt; National Heart Failure Audit April 2013-March 2014&lt;/title&gt;&lt;/titles&gt;&lt;number&gt;8 July 2022&lt;/number&gt;&lt;dates&gt;&lt;year&gt;2015&lt;/year&gt;&lt;/dates&gt;&lt;urls&gt;&lt;related-urls&gt;&lt;url&gt;https://www.nicor.org.uk/wp-content/uploads/2019/02/hfannual13-14-updated.pdf&lt;/url&gt;&lt;/related-urls&gt;&lt;/urls&gt;&lt;/record&gt;&lt;/Cite&gt;&lt;/EndNote&gt;</w:instrText>
      </w:r>
      <w:r w:rsidR="00EF02B7" w:rsidRPr="00CA21ED">
        <w:fldChar w:fldCharType="separate"/>
      </w:r>
      <w:r w:rsidR="001E5420" w:rsidRPr="00CA21ED">
        <w:t>(8)</w:t>
      </w:r>
      <w:r w:rsidR="00EF02B7" w:rsidRPr="00CA21ED">
        <w:fldChar w:fldCharType="end"/>
      </w:r>
      <w:r w:rsidRPr="00CA21ED">
        <w:t>. This survival curve was digiti</w:t>
      </w:r>
      <w:r w:rsidR="003E5DB9" w:rsidRPr="00CA21ED">
        <w:t>s</w:t>
      </w:r>
      <w:r w:rsidRPr="00CA21ED">
        <w:t>ed using graph digiti</w:t>
      </w:r>
      <w:r w:rsidR="00CA21ED">
        <w:t>s</w:t>
      </w:r>
      <w:r w:rsidRPr="00CA21ED">
        <w:t xml:space="preserve">ation software (WebPlotDigitizer, Version 4.4) and the resulting X,Y data were converted into synthetic individual patient survival times using the well validated Guyot algorithm </w:t>
      </w:r>
      <w:r w:rsidR="00EF02B7" w:rsidRPr="00CA21ED">
        <w:fldChar w:fldCharType="begin"/>
      </w:r>
      <w:r w:rsidR="001E5420" w:rsidRPr="00CA21ED">
        <w:instrText xml:space="preserve"> ADDIN EN.CITE &lt;EndNote&gt;&lt;Cite&gt;&lt;Author&gt;Guyot&lt;/Author&gt;&lt;Year&gt;2012&lt;/Year&gt;&lt;RecNum&gt;36&lt;/RecNum&gt;&lt;DisplayText&gt;(9)&lt;/DisplayText&gt;&lt;record&gt;&lt;rec-number&gt;36&lt;/rec-number&gt;&lt;foreign-keys&gt;&lt;key app="EN" db-id="f9e92ea9tpxdzoex9spxs9asfpp0rx2xe2s2" timestamp="1643642470"&gt;36&lt;/key&gt;&lt;/foreign-keys&gt;&lt;ref-type name="Journal Article"&gt;17&lt;/ref-type&gt;&lt;contributors&gt;&lt;authors&gt;&lt;author&gt;Guyot, Patricia&lt;/author&gt;&lt;author&gt;Ades, AE&lt;/author&gt;&lt;author&gt;Ouwens, Mario JNM&lt;/author&gt;&lt;author&gt;Welton, Nicky J&lt;/author&gt;&lt;/authors&gt;&lt;/contributors&gt;&lt;titles&gt;&lt;title&gt;Enhanced secondary analysis of survival data: reconstructing the data from published Kaplan-Meier survival curves&lt;/title&gt;&lt;secondary-title&gt;BMC medical research methodology&lt;/secondary-title&gt;&lt;/titles&gt;&lt;periodical&gt;&lt;full-title&gt;BMC medical research methodology&lt;/full-title&gt;&lt;/periodical&gt;&lt;pages&gt;1-13&lt;/pages&gt;&lt;volume&gt;12&lt;/volume&gt;&lt;number&gt;1&lt;/number&gt;&lt;dates&gt;&lt;year&gt;2012&lt;/year&gt;&lt;/dates&gt;&lt;isbn&gt;1471-2288&lt;/isbn&gt;&lt;urls&gt;&lt;/urls&gt;&lt;/record&gt;&lt;/Cite&gt;&lt;/EndNote&gt;</w:instrText>
      </w:r>
      <w:r w:rsidR="00EF02B7" w:rsidRPr="00CA21ED">
        <w:fldChar w:fldCharType="separate"/>
      </w:r>
      <w:r w:rsidR="001E5420" w:rsidRPr="00CA21ED">
        <w:t>(9)</w:t>
      </w:r>
      <w:r w:rsidR="00EF02B7" w:rsidRPr="00CA21ED">
        <w:fldChar w:fldCharType="end"/>
      </w:r>
      <w:r w:rsidRPr="00CA21ED">
        <w:t xml:space="preserve">. Survival analysis was undertaken on the synthetic individual patient data using the </w:t>
      </w:r>
      <w:r w:rsidRPr="00CA21ED">
        <w:rPr>
          <w:i/>
        </w:rPr>
        <w:t>survfit</w:t>
      </w:r>
      <w:r w:rsidRPr="00CA21ED">
        <w:t xml:space="preserve"> and </w:t>
      </w:r>
      <w:r w:rsidRPr="00CA21ED">
        <w:rPr>
          <w:i/>
        </w:rPr>
        <w:t>flexsurvreg</w:t>
      </w:r>
      <w:r w:rsidRPr="00CA21ED">
        <w:t xml:space="preserve"> functions in R, and appropriate parametric curves for use in base case and sensitivity analysis were selected based on visual inspection and Akaike’s Information Criterion (AIC) in line with NICE DSU recommended methods </w:t>
      </w:r>
      <w:r w:rsidR="00EF02B7" w:rsidRPr="00CA21ED">
        <w:fldChar w:fldCharType="begin"/>
      </w:r>
      <w:r w:rsidR="001E5420" w:rsidRPr="00CA21ED">
        <w:instrText xml:space="preserve"> ADDIN EN.CITE &lt;EndNote&gt;&lt;Cite&gt;&lt;Author&gt;Latimer&lt;/Author&gt;&lt;Year&gt;2011&lt;/Year&gt;&lt;RecNum&gt;37&lt;/RecNum&gt;&lt;DisplayText&gt;(10)&lt;/DisplayText&gt;&lt;record&gt;&lt;rec-number&gt;37&lt;/rec-number&gt;&lt;foreign-keys&gt;&lt;key app="EN" db-id="f9e92ea9tpxdzoex9spxs9asfpp0rx2xe2s2" timestamp="1643642627"&gt;37&lt;/key&gt;&lt;/foreign-keys&gt;&lt;ref-type name="Web Page"&gt;12&lt;/ref-type&gt;&lt;contributors&gt;&lt;authors&gt;&lt;author&gt;Latimer, Nicholas&lt;/author&gt;&lt;/authors&gt;&lt;/contributors&gt;&lt;titles&gt;&lt;title&gt;NICE DSU technical support document 14: survival analysis for economic evaluations alongside clinical trials-extrapolation with patient-level data&lt;/title&gt;&lt;secondary-title&gt;Report by the Decision Support Unit&lt;/secondary-title&gt;&lt;/titles&gt;&lt;periodical&gt;&lt;full-title&gt;Report by the Decision Support Unit&lt;/full-title&gt;&lt;/periodical&gt;&lt;number&gt;31 January 2022&lt;/number&gt;&lt;dates&gt;&lt;year&gt;2011&lt;/year&gt;&lt;/dates&gt;&lt;urls&gt;&lt;related-urls&gt;&lt;url&gt;http://nicedsu.org.uk/wp-content/uploads/2016/03/NICE-DSU-TSD-Survival-analysis.updated-March-2013.v2.pdf&lt;/url&gt;&lt;/related-urls&gt;&lt;/urls&gt;&lt;/record&gt;&lt;/Cite&gt;&lt;/EndNote&gt;</w:instrText>
      </w:r>
      <w:r w:rsidR="00EF02B7" w:rsidRPr="00CA21ED">
        <w:fldChar w:fldCharType="separate"/>
      </w:r>
      <w:r w:rsidR="001E5420" w:rsidRPr="00CA21ED">
        <w:rPr>
          <w:noProof/>
        </w:rPr>
        <w:t>(10)</w:t>
      </w:r>
      <w:r w:rsidR="00EF02B7" w:rsidRPr="00CA21ED">
        <w:fldChar w:fldCharType="end"/>
      </w:r>
      <w:r w:rsidRPr="00CA21ED">
        <w:t>. Graphs showing visual fit of the parametric curves to the original Kaplan-Meier data, along with tables of AIC are presented in</w:t>
      </w:r>
      <w:r w:rsidR="008335C1" w:rsidRPr="00CA21ED">
        <w:t xml:space="preserve"> </w:t>
      </w:r>
      <w:r w:rsidR="008335C1" w:rsidRPr="00CA21ED">
        <w:fldChar w:fldCharType="begin"/>
      </w:r>
      <w:r w:rsidR="008335C1" w:rsidRPr="00CA21ED">
        <w:instrText xml:space="preserve"> REF _Ref100565618 \h </w:instrText>
      </w:r>
      <w:r w:rsidR="008335C1" w:rsidRPr="00CA21ED">
        <w:fldChar w:fldCharType="separate"/>
      </w:r>
      <w:r w:rsidR="00A47A11" w:rsidRPr="00CA21ED">
        <w:t xml:space="preserve">Figure </w:t>
      </w:r>
      <w:r w:rsidR="00A47A11">
        <w:rPr>
          <w:noProof/>
        </w:rPr>
        <w:t>7</w:t>
      </w:r>
      <w:r w:rsidR="008335C1" w:rsidRPr="00CA21ED">
        <w:fldChar w:fldCharType="end"/>
      </w:r>
      <w:r w:rsidRPr="00CA21ED">
        <w:t>. A one year Kaplan-Meier curve for patients with AHF discharged from hospital during 2017/18 obtained from the NICOR dataset</w:t>
      </w:r>
      <w:r w:rsidR="00CA21ED">
        <w:t xml:space="preserve"> </w:t>
      </w:r>
      <w:r w:rsidR="00CA21ED">
        <w:fldChar w:fldCharType="begin"/>
      </w:r>
      <w:r w:rsidR="00CA21ED">
        <w:instrText xml:space="preserve"> ADDIN EN.CITE &lt;EndNote&gt;&lt;Cite&gt;&lt;Author&gt;The National Institute for Cardiovascular Outcomes Research (NICOR)&lt;/Author&gt;&lt;Year&gt;2021&lt;/Year&gt;&lt;RecNum&gt;12&lt;/RecNum&gt;&lt;DisplayText&gt;(11)&lt;/DisplayText&gt;&lt;record&gt;&lt;rec-number&gt;12&lt;/rec-number&gt;&lt;foreign-keys&gt;&lt;key app="EN" db-id="f9e92ea9tpxdzoex9spxs9asfpp0rx2xe2s2" timestamp="1643129472"&gt;12&lt;/key&gt;&lt;/foreign-keys&gt;&lt;ref-type name="Web Page"&gt;12&lt;/ref-type&gt;&lt;contributors&gt;&lt;authors&gt;&lt;author&gt;The National Institute for Cardiovascular Outcomes Research (NICOR),&lt;/author&gt;&lt;/authors&gt;&lt;/contributors&gt;&lt;titles&gt;&lt;title&gt;National Cardiac Audit Programme National Heart Failure Audit (NHFA) 2021 Summary Report (2019/20 data)&lt;/title&gt;&lt;/titles&gt;&lt;number&gt;25 January 2022&lt;/number&gt;&lt;dates&gt;&lt;year&gt;2021&lt;/year&gt;&lt;/dates&gt;&lt;urls&gt;&lt;related-urls&gt;&lt;url&gt;https://www.nicor.org.uk/wp-content/uploads/2021/10/NHFA-Domain-Report_2021_FINAL.pdf&lt;/url&gt;&lt;/related-urls&gt;&lt;/urls&gt;&lt;/record&gt;&lt;/Cite&gt;&lt;/EndNote&gt;</w:instrText>
      </w:r>
      <w:r w:rsidR="00CA21ED">
        <w:fldChar w:fldCharType="separate"/>
      </w:r>
      <w:r w:rsidR="00CA21ED">
        <w:rPr>
          <w:noProof/>
        </w:rPr>
        <w:t>(11)</w:t>
      </w:r>
      <w:r w:rsidR="00CA21ED">
        <w:fldChar w:fldCharType="end"/>
      </w:r>
      <w:r w:rsidR="00CA21ED">
        <w:t xml:space="preserve">, </w:t>
      </w:r>
      <w:r w:rsidR="00CD2528" w:rsidRPr="00CA21ED">
        <w:t>as well as dataset from an observational study by Taylor et al. 2019</w:t>
      </w:r>
      <w:r w:rsidRPr="00CA21ED">
        <w:t xml:space="preserve"> </w:t>
      </w:r>
      <w:r w:rsidR="00CA21ED">
        <w:fldChar w:fldCharType="begin"/>
      </w:r>
      <w:r w:rsidR="00CA21ED">
        <w:instrText xml:space="preserve"> ADDIN EN.CITE &lt;EndNote&gt;&lt;Cite&gt;&lt;Author&gt;The National Institute for Cardiovascular Outcomes Research (NICOR)&lt;/Author&gt;&lt;Year&gt;2015&lt;/Year&gt;&lt;RecNum&gt;52&lt;/RecNum&gt;&lt;DisplayText&gt;(8)&lt;/DisplayText&gt;&lt;record&gt;&lt;rec-number&gt;52&lt;/rec-number&gt;&lt;foreign-keys&gt;&lt;key app="EN" db-id="f9e92ea9tpxdzoex9spxs9asfpp0rx2xe2s2" timestamp="1660565675"&gt;52&lt;/key&gt;&lt;/foreign-keys&gt;&lt;ref-type name="Web Page"&gt;12&lt;/ref-type&gt;&lt;contributors&gt;&lt;authors&gt;&lt;author&gt;The National Institute for Cardiovascular Outcomes Research (NICOR),&lt;/author&gt;&lt;/authors&gt;&lt;/contributors&gt;&lt;titles&gt;&lt;title&gt; National Heart Failure Audit April 2013-March 2014&lt;/title&gt;&lt;/titles&gt;&lt;number&gt;8 July 2022&lt;/number&gt;&lt;dates&gt;&lt;year&gt;2015&lt;/year&gt;&lt;/dates&gt;&lt;urls&gt;&lt;related-urls&gt;&lt;url&gt;https://www.nicor.org.uk/wp-content/uploads/2019/02/hfannual13-14-updated.pdf&lt;/url&gt;&lt;/related-urls&gt;&lt;/urls&gt;&lt;/record&gt;&lt;/Cite&gt;&lt;/EndNote&gt;</w:instrText>
      </w:r>
      <w:r w:rsidR="00CA21ED">
        <w:fldChar w:fldCharType="separate"/>
      </w:r>
      <w:r w:rsidR="00CA21ED">
        <w:rPr>
          <w:noProof/>
        </w:rPr>
        <w:t>(8)</w:t>
      </w:r>
      <w:r w:rsidR="00CA21ED">
        <w:fldChar w:fldCharType="end"/>
      </w:r>
      <w:r w:rsidR="00CA21ED">
        <w:t xml:space="preserve"> </w:t>
      </w:r>
      <w:r w:rsidR="00CD2528" w:rsidRPr="00CA21ED">
        <w:t xml:space="preserve">were </w:t>
      </w:r>
      <w:r w:rsidRPr="00CA21ED">
        <w:t>use</w:t>
      </w:r>
      <w:r w:rsidR="00CD2528" w:rsidRPr="00CA21ED">
        <w:t>d</w:t>
      </w:r>
      <w:r w:rsidRPr="00CA21ED">
        <w:t xml:space="preserve"> in sensitivity analysis. </w:t>
      </w:r>
    </w:p>
    <w:p w14:paraId="0000004A" w14:textId="283001E8" w:rsidR="00866D36" w:rsidRPr="00CA21ED" w:rsidRDefault="007B532F">
      <w:r w:rsidRPr="00CA21ED">
        <w:t xml:space="preserve">The same methodology was applied to these alternative data. The survival curve within the Taylor paper relates to survival from date of diagnosis, as such, this does not exactly match the desired population of survival from discharge. The authors do highlight that as data is collected from GP registers, a proportion of in hospital AHF deaths are unlikely to have this diagnosis transferred to their GP records. As such, the population may closely match the modelled population of patients after discharge. </w:t>
      </w:r>
    </w:p>
    <w:p w14:paraId="0000004B" w14:textId="7DA0C26F" w:rsidR="00866D36" w:rsidRPr="00CA21ED" w:rsidRDefault="007B532F">
      <w:r w:rsidRPr="00CA21ED">
        <w:lastRenderedPageBreak/>
        <w:t xml:space="preserve">Of the fitted parametric curves the </w:t>
      </w:r>
      <w:r w:rsidR="00CD2528" w:rsidRPr="00CA21ED">
        <w:t xml:space="preserve">Weibull </w:t>
      </w:r>
      <w:r w:rsidRPr="00CA21ED">
        <w:t>distribution had the</w:t>
      </w:r>
      <w:r w:rsidR="00CD2528" w:rsidRPr="00CA21ED">
        <w:t xml:space="preserve"> second</w:t>
      </w:r>
      <w:r w:rsidRPr="00CA21ED">
        <w:t xml:space="preserve"> lowest AIC </w:t>
      </w:r>
      <w:r w:rsidR="00CD2528" w:rsidRPr="00CA21ED">
        <w:t>but a better</w:t>
      </w:r>
      <w:r w:rsidRPr="00CA21ED">
        <w:t xml:space="preserve"> visual fit</w:t>
      </w:r>
      <w:r w:rsidR="00CD2528" w:rsidRPr="00CA21ED">
        <w:t xml:space="preserve">, especially post year 3, </w:t>
      </w:r>
      <w:r w:rsidR="00036827" w:rsidRPr="00CA21ED">
        <w:t>versus the</w:t>
      </w:r>
      <w:r w:rsidR="00CD2528" w:rsidRPr="00CA21ED">
        <w:t xml:space="preserve"> Gamma curve with the best AIC</w:t>
      </w:r>
      <w:r w:rsidRPr="00CA21ED">
        <w:t xml:space="preserve">. The parameters of the </w:t>
      </w:r>
      <w:r w:rsidR="00CD2528" w:rsidRPr="00CA21ED">
        <w:t>Weibull</w:t>
      </w:r>
      <w:r w:rsidRPr="00CA21ED">
        <w:t xml:space="preserve"> curve were included within the PSA;</w:t>
      </w:r>
      <w:r w:rsidR="00CD2528" w:rsidRPr="00CA21ED">
        <w:t xml:space="preserve"> </w:t>
      </w:r>
      <w:r w:rsidR="00C11C66">
        <w:t>the</w:t>
      </w:r>
      <w:r w:rsidR="00CD2528" w:rsidRPr="00CA21ED">
        <w:t xml:space="preserve"> Gamma curve was included as a scenario analysis</w:t>
      </w:r>
      <w:r w:rsidRPr="00CA21ED">
        <w:t xml:space="preserve">. </w:t>
      </w:r>
    </w:p>
    <w:p w14:paraId="7BF45773" w14:textId="6213C46A" w:rsidR="008335C1" w:rsidRPr="00CA21ED" w:rsidRDefault="008335C1" w:rsidP="00CA21ED">
      <w:pPr>
        <w:pStyle w:val="Caption"/>
      </w:pPr>
      <w:bookmarkStart w:id="14" w:name="_heading=h.2s8eyo1" w:colFirst="0" w:colLast="0"/>
      <w:bookmarkStart w:id="15" w:name="_Ref100565618"/>
      <w:bookmarkEnd w:id="14"/>
      <w:r w:rsidRPr="00CA21ED">
        <w:t xml:space="preserve">Figure </w:t>
      </w:r>
      <w:fldSimple w:instr=" SEQ Figure \* ARABIC ">
        <w:r w:rsidR="00A47A11">
          <w:rPr>
            <w:noProof/>
          </w:rPr>
          <w:t>7</w:t>
        </w:r>
      </w:fldSimple>
      <w:bookmarkEnd w:id="15"/>
      <w:r w:rsidRPr="00CA21ED">
        <w:t xml:space="preserve">: Parametric curves fitted to the </w:t>
      </w:r>
      <w:r w:rsidR="00CD2528" w:rsidRPr="00CA21ED">
        <w:t xml:space="preserve">NICOR </w:t>
      </w:r>
      <w:r w:rsidRPr="00CA21ED">
        <w:t>Kaplan-Meier curves, with AIC and BIC.</w:t>
      </w:r>
    </w:p>
    <w:p w14:paraId="35000A61" w14:textId="748B7082" w:rsidR="00CA21ED" w:rsidRPr="00CA21ED" w:rsidRDefault="00CA21ED" w:rsidP="00CA21ED">
      <w:r>
        <w:rPr>
          <w:noProof/>
        </w:rPr>
        <w:drawing>
          <wp:inline distT="0" distB="0" distL="0" distR="0" wp14:anchorId="1DB1925D" wp14:editId="4DF2BEB8">
            <wp:extent cx="5944235" cy="422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4224655"/>
                    </a:xfrm>
                    <a:prstGeom prst="rect">
                      <a:avLst/>
                    </a:prstGeom>
                    <a:noFill/>
                  </pic:spPr>
                </pic:pic>
              </a:graphicData>
            </a:graphic>
          </wp:inline>
        </w:drawing>
      </w:r>
    </w:p>
    <w:p w14:paraId="0000004E" w14:textId="443EB6E7" w:rsidR="00866D36" w:rsidRPr="00CA21ED" w:rsidRDefault="007B532F">
      <w:r w:rsidRPr="00CA21ED">
        <w:t>Abbreviations: AIC, Akaike's information criteria; BIC, Bayesian information criteria.</w:t>
      </w:r>
    </w:p>
    <w:p w14:paraId="0000004F" w14:textId="01FA2A8C" w:rsidR="00866D36" w:rsidRPr="00CA21ED" w:rsidRDefault="007B532F">
      <w:r w:rsidRPr="00CA21ED">
        <w:t xml:space="preserve">In keeping with the approach taken in CG187, the survival curve for FNs was calculated by applying weighted hazard ratios to the survival curve for TPs, since these patients also have AHF, but don’t benefit from disease modifying interventions. A multivariate cox proportional hazards model conducted on the patients included in the NICOR dataset showed that there were three treatment related factors that were independent predictors of survival: not receiving an angiotensin-converting enzyme inhibitor </w:t>
      </w:r>
      <w:r w:rsidRPr="00CA21ED">
        <w:lastRenderedPageBreak/>
        <w:t>(ACEi) and/or a</w:t>
      </w:r>
      <w:r w:rsidR="00CA21ED">
        <w:t>n</w:t>
      </w:r>
      <w:r w:rsidRPr="00CA21ED">
        <w:t xml:space="preserve"> angiotensin receptor blocker (ARB), not receiving a beta-blocker, and not receiving cardiologist follow-up (</w:t>
      </w:r>
      <w:r w:rsidR="00FF7C95" w:rsidRPr="00CA21ED">
        <w:fldChar w:fldCharType="begin"/>
      </w:r>
      <w:r w:rsidR="00FF7C95" w:rsidRPr="00CA21ED">
        <w:instrText xml:space="preserve"> REF _Ref100153344 \h </w:instrText>
      </w:r>
      <w:r w:rsidR="00FF7C95" w:rsidRPr="00CA21ED">
        <w:fldChar w:fldCharType="separate"/>
      </w:r>
      <w:r w:rsidR="00A47A11" w:rsidRPr="00CA21ED">
        <w:t xml:space="preserve">Table </w:t>
      </w:r>
      <w:r w:rsidR="00A47A11">
        <w:rPr>
          <w:noProof/>
        </w:rPr>
        <w:t>2</w:t>
      </w:r>
      <w:r w:rsidR="00FF7C95" w:rsidRPr="00CA21ED">
        <w:fldChar w:fldCharType="end"/>
      </w:r>
      <w:r w:rsidRPr="00CA21ED">
        <w:t xml:space="preserve">). </w:t>
      </w:r>
    </w:p>
    <w:p w14:paraId="00000050" w14:textId="366D6D5C" w:rsidR="00866D36" w:rsidRPr="00CA21ED" w:rsidRDefault="007B532F">
      <w:r w:rsidRPr="00CA21ED">
        <w:t>The hazard ratio for being an FN versus a TP was down-weighted by the proportion of patients that received the respective interventions</w:t>
      </w:r>
      <w:r w:rsidR="00FF7C95" w:rsidRPr="00CA21ED">
        <w:t xml:space="preserve"> (</w:t>
      </w:r>
      <w:r w:rsidR="00FF7C95" w:rsidRPr="00CA21ED">
        <w:fldChar w:fldCharType="begin"/>
      </w:r>
      <w:r w:rsidR="00FF7C95" w:rsidRPr="00CA21ED">
        <w:instrText xml:space="preserve"> REF _Ref100153356 \h </w:instrText>
      </w:r>
      <w:r w:rsidR="00FF7C95" w:rsidRPr="00CA21ED">
        <w:fldChar w:fldCharType="separate"/>
      </w:r>
      <w:r w:rsidR="00A47A11" w:rsidRPr="00CA21ED">
        <w:t xml:space="preserve">Table </w:t>
      </w:r>
      <w:r w:rsidR="00A47A11">
        <w:rPr>
          <w:noProof/>
        </w:rPr>
        <w:t>3</w:t>
      </w:r>
      <w:r w:rsidR="00FF7C95" w:rsidRPr="00CA21ED">
        <w:fldChar w:fldCharType="end"/>
      </w:r>
      <w:r w:rsidR="00FF7C95" w:rsidRPr="00CA21ED">
        <w:t>)</w:t>
      </w:r>
      <w:r w:rsidRPr="00CA21ED">
        <w:t xml:space="preserve">. For example, if 75% of TPs received the intervention then the relevant log hazard ratio was weighted by 0.75 for the FN population. At the start of the longer-term model a proportion of TPs were assumed to start on each follow-up service, and the weighted hazard ratios were applied to the overall survival curve to model each population over time. </w:t>
      </w:r>
    </w:p>
    <w:p w14:paraId="00000051" w14:textId="40635D39" w:rsidR="00866D36" w:rsidRPr="00CA21ED" w:rsidRDefault="007B532F">
      <w:r w:rsidRPr="00CA21ED">
        <w:t>Although a proportion of patients in the model receive an aldosterone a</w:t>
      </w:r>
      <w:r w:rsidR="000458C2" w:rsidRPr="00CA21ED">
        <w:t>nta</w:t>
      </w:r>
      <w:r w:rsidRPr="00CA21ED">
        <w:t>gonist (AA), which modifies their risk of readmission, AAs were not included as a mortality modifier for unconverted FNs. This is because the multivariate cox model from NICOR did not include an AA variable and of this was introduced exogenously, this would bias the analysis as 57% of patients within the NICOR cox model were already taking AAs. Much of the benefit is likely accounted for if patients were taking AAs alongside beta-blockers and ACEi/ARBs.</w:t>
      </w:r>
      <w:r w:rsidR="00C57387">
        <w:t xml:space="preserve"> However, as the</w:t>
      </w:r>
      <w:r w:rsidR="00CD2528" w:rsidRPr="00CA21ED">
        <w:t xml:space="preserve"> NICE</w:t>
      </w:r>
      <w:r w:rsidR="00C57387">
        <w:t xml:space="preserve"> model</w:t>
      </w:r>
      <w:r w:rsidR="00CD2528" w:rsidRPr="00CA21ED">
        <w:t xml:space="preserve"> assumed a HR on mortality of 0.8 for AAs this </w:t>
      </w:r>
      <w:r w:rsidR="00C57387">
        <w:t xml:space="preserve">assumption </w:t>
      </w:r>
      <w:r w:rsidR="00CD2528" w:rsidRPr="00CA21ED">
        <w:t>has been explored in scenario analysis</w:t>
      </w:r>
      <w:r w:rsidR="00C57387">
        <w:t xml:space="preserve"> </w:t>
      </w:r>
      <w:r w:rsidR="00C57387">
        <w:fldChar w:fldCharType="begin"/>
      </w:r>
      <w:r w:rsidR="008B792D">
        <w:instrText xml:space="preserve"> ADDIN EN.CITE &lt;EndNote&gt;&lt;Cite&gt;&lt;Author&gt;National Institute for Health and Care Excellence (NICE)&lt;/Author&gt;&lt;Year&gt;2014&lt;/Year&gt;&lt;RecNum&gt;1&lt;/RecNum&gt;&lt;DisplayText&gt;(12)&lt;/DisplayText&gt;&lt;record&gt;&lt;rec-number&gt;1&lt;/rec-number&gt;&lt;foreign-keys&gt;&lt;key app="EN" db-id="f9e92ea9tpxdzoex9spxs9asfpp0rx2xe2s2" timestamp="1643128140"&gt;1&lt;/key&gt;&lt;/foreign-keys&gt;&lt;ref-type name="Web Page"&gt;12&lt;/ref-type&gt;&lt;contributors&gt;&lt;authors&gt;&lt;author&gt;National Institute for Health and Care Excellence (NICE),&lt;/author&gt;&lt;/authors&gt;&lt;/contributors&gt;&lt;titles&gt;&lt;title&gt;Acute heart failure: diagnosis and management (CG187)&lt;/title&gt;&lt;/titles&gt;&lt;number&gt;25 January 2022&lt;/number&gt;&lt;dates&gt;&lt;year&gt;2014&lt;/year&gt;&lt;/dates&gt;&lt;urls&gt;&lt;related-urls&gt;&lt;url&gt;https://www.nice.org.uk/guidance/cg187&lt;/url&gt;&lt;/related-urls&gt;&lt;/urls&gt;&lt;/record&gt;&lt;/Cite&gt;&lt;/EndNote&gt;</w:instrText>
      </w:r>
      <w:r w:rsidR="00C57387">
        <w:fldChar w:fldCharType="separate"/>
      </w:r>
      <w:r w:rsidR="00C57387">
        <w:rPr>
          <w:noProof/>
        </w:rPr>
        <w:t>(12)</w:t>
      </w:r>
      <w:r w:rsidR="00C57387">
        <w:fldChar w:fldCharType="end"/>
      </w:r>
      <w:r w:rsidR="00C57387">
        <w:t>.</w:t>
      </w:r>
    </w:p>
    <w:p w14:paraId="00000052" w14:textId="0DE329E7" w:rsidR="00866D36" w:rsidRPr="00CA21ED" w:rsidRDefault="007B532F">
      <w:r w:rsidRPr="00CA21ED">
        <w:t>The costs and benefits of sacubitril/valsartan were excluded from the model in the base case. This is firstly because the true incremental cost-effectiveness ratio (ICER) for sacubitril/valsartan was expected to be ~£20,000/QALY and the net benefit therefore ~zero</w:t>
      </w:r>
      <w:r w:rsidR="00DF0436" w:rsidRPr="00CA21ED">
        <w:t xml:space="preserve"> </w:t>
      </w:r>
      <w:r w:rsidR="00D72311" w:rsidRPr="00CA21ED">
        <w:fldChar w:fldCharType="begin"/>
      </w:r>
      <w:r w:rsidR="00C57387">
        <w:instrText xml:space="preserve"> ADDIN EN.CITE &lt;EndNote&gt;&lt;Cite&gt;&lt;Author&gt;National institute for Health and Care Excellence (NICE)&lt;/Author&gt;&lt;Year&gt;2016&lt;/Year&gt;&lt;RecNum&gt;38&lt;/RecNum&gt;&lt;DisplayText&gt;(13)&lt;/DisplayText&gt;&lt;record&gt;&lt;rec-number&gt;38&lt;/rec-number&gt;&lt;foreign-keys&gt;&lt;key app="EN" db-id="f9e92ea9tpxdzoex9spxs9asfpp0rx2xe2s2" timestamp="1643643703"&gt;38&lt;/key&gt;&lt;/foreign-keys&gt;&lt;ref-type name="Web Page"&gt;12&lt;/ref-type&gt;&lt;contributors&gt;&lt;authors&gt;&lt;author&gt;National institute for Health and Care Excellence (NICE),&lt;/author&gt;&lt;/authors&gt;&lt;/contributors&gt;&lt;titles&gt;&lt;title&gt;Sacubitril valsartan for treating symptomatic chronic heart failure with reduced ejection fraction (TA388)&lt;/title&gt;&lt;/titles&gt;&lt;number&gt;31 January 2022&lt;/number&gt;&lt;dates&gt;&lt;year&gt;2016&lt;/year&gt;&lt;/dates&gt;&lt;urls&gt;&lt;related-urls&gt;&lt;url&gt;https://www.nice.org.uk/guidance/ta388&lt;/url&gt;&lt;/related-urls&gt;&lt;/urls&gt;&lt;/record&gt;&lt;/Cite&gt;&lt;/EndNote&gt;</w:instrText>
      </w:r>
      <w:r w:rsidR="00D72311" w:rsidRPr="00CA21ED">
        <w:fldChar w:fldCharType="separate"/>
      </w:r>
      <w:r w:rsidR="00C57387">
        <w:rPr>
          <w:noProof/>
        </w:rPr>
        <w:t>(13)</w:t>
      </w:r>
      <w:r w:rsidR="00D72311" w:rsidRPr="00CA21ED">
        <w:fldChar w:fldCharType="end"/>
      </w:r>
      <w:r w:rsidRPr="00CA21ED">
        <w:t xml:space="preserve">. Secondly, no data on sacubitril/valsartan were available in NICOR or the Taylor observational study and the vast majority of the data in the Taylor study relate to a time period prior to sacubitril/valsartan’s approval. Thirdly, </w:t>
      </w:r>
      <w:r w:rsidR="00C57387">
        <w:t>limited</w:t>
      </w:r>
      <w:r w:rsidRPr="00CA21ED">
        <w:t xml:space="preserve"> data </w:t>
      </w:r>
      <w:r w:rsidR="00CD2528" w:rsidRPr="00CA21ED">
        <w:t>were available</w:t>
      </w:r>
      <w:r w:rsidRPr="00CA21ED">
        <w:t xml:space="preserve"> </w:t>
      </w:r>
      <w:r w:rsidR="00C57387">
        <w:t>on the</w:t>
      </w:r>
      <w:r w:rsidRPr="00CA21ED">
        <w:t xml:space="preserve"> proportion of patients receive sacubitril/valsartan</w:t>
      </w:r>
      <w:r w:rsidR="00C57387">
        <w:t>.</w:t>
      </w:r>
      <w:r w:rsidR="00CD2528" w:rsidRPr="00CA21ED">
        <w:t xml:space="preserve"> NHS digital published an estimate of tablet usage between 2018-2020, these figures suggest that 5% of registered heart failure patients are currently on sacubitril/valsartan and rising.</w:t>
      </w:r>
      <w:r w:rsidRPr="00CA21ED">
        <w:t xml:space="preserve"> </w:t>
      </w:r>
      <w:r w:rsidR="00CD2528" w:rsidRPr="00CA21ED">
        <w:t>Therefore in</w:t>
      </w:r>
      <w:r w:rsidRPr="00CA21ED">
        <w:t xml:space="preserve"> a </w:t>
      </w:r>
      <w:r w:rsidR="00C57387">
        <w:t xml:space="preserve">conservative </w:t>
      </w:r>
      <w:r w:rsidR="00244897" w:rsidRPr="00CA21ED">
        <w:t>sensitivity</w:t>
      </w:r>
      <w:r w:rsidRPr="00CA21ED">
        <w:t xml:space="preserve"> analysis</w:t>
      </w:r>
      <w:r w:rsidR="00C57387">
        <w:t xml:space="preserve"> to account for future increases in use of </w:t>
      </w:r>
      <w:r w:rsidR="00C57387" w:rsidRPr="00CA21ED">
        <w:t>sacubitril/valsartan</w:t>
      </w:r>
      <w:r w:rsidRPr="00CA21ED">
        <w:t>, 10% of</w:t>
      </w:r>
      <w:r w:rsidR="00C57387">
        <w:t xml:space="preserve"> AHF</w:t>
      </w:r>
      <w:r w:rsidRPr="00CA21ED">
        <w:t xml:space="preserve"> positive patients were assumed to receive </w:t>
      </w:r>
      <w:r w:rsidRPr="00CA21ED">
        <w:lastRenderedPageBreak/>
        <w:t>sacubitril/valsartan’s benefits and costs. These 10% of patients were modelled using an adjusted</w:t>
      </w:r>
      <w:r w:rsidR="00C57387">
        <w:t xml:space="preserve"> </w:t>
      </w:r>
      <w:r w:rsidR="005D06B9" w:rsidRPr="00CA21ED">
        <w:t xml:space="preserve">survival </w:t>
      </w:r>
      <w:r w:rsidRPr="00CA21ED">
        <w:t xml:space="preserve">curve based on the all-cause </w:t>
      </w:r>
      <w:r w:rsidR="00244897" w:rsidRPr="00CA21ED">
        <w:t>mortality</w:t>
      </w:r>
      <w:r w:rsidRPr="00CA21ED">
        <w:t xml:space="preserve"> hazard ratio taken from the NICE technology appraisal for sacubitril/valsartan </w:t>
      </w:r>
      <w:r w:rsidR="00D72311" w:rsidRPr="00CA21ED">
        <w:fldChar w:fldCharType="begin"/>
      </w:r>
      <w:r w:rsidR="00C57387">
        <w:instrText xml:space="preserve"> ADDIN EN.CITE &lt;EndNote&gt;&lt;Cite&gt;&lt;Author&gt;McMurray&lt;/Author&gt;&lt;Year&gt;2014&lt;/Year&gt;&lt;RecNum&gt;39&lt;/RecNum&gt;&lt;DisplayText&gt;(14)&lt;/DisplayText&gt;&lt;record&gt;&lt;rec-number&gt;39&lt;/rec-number&gt;&lt;foreign-keys&gt;&lt;key app="EN" db-id="f9e92ea9tpxdzoex9spxs9asfpp0rx2xe2s2" timestamp="1643644508"&gt;39&lt;/key&gt;&lt;/foreign-keys&gt;&lt;ref-type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Karl&lt;/author&gt;&lt;/authors&gt;&lt;/contributors&gt;&lt;titles&gt;&lt;title&gt;Angiotensin–neprilysin inhibition versus enalapril in heart failure&lt;/title&gt;&lt;secondary-title&gt;N Engl J Med&lt;/secondary-title&gt;&lt;/titles&gt;&lt;periodical&gt;&lt;full-title&gt;N Engl J Med&lt;/full-title&gt;&lt;/periodical&gt;&lt;pages&gt;993-1004&lt;/pages&gt;&lt;volume&gt;371&lt;/volume&gt;&lt;dates&gt;&lt;year&gt;2014&lt;/year&gt;&lt;/dates&gt;&lt;urls&gt;&lt;/urls&gt;&lt;/record&gt;&lt;/Cite&gt;&lt;/EndNote&gt;</w:instrText>
      </w:r>
      <w:r w:rsidR="00D72311" w:rsidRPr="00CA21ED">
        <w:fldChar w:fldCharType="separate"/>
      </w:r>
      <w:r w:rsidR="00C57387">
        <w:rPr>
          <w:noProof/>
        </w:rPr>
        <w:t>(14)</w:t>
      </w:r>
      <w:r w:rsidR="00D72311" w:rsidRPr="00CA21ED">
        <w:fldChar w:fldCharType="end"/>
      </w:r>
      <w:r w:rsidRPr="00CA21ED">
        <w:t xml:space="preserve">. The TP survival curve was the sum of the sacubitril/valsartan and non-sacubitril/valsartan population at any given time point. </w:t>
      </w:r>
    </w:p>
    <w:p w14:paraId="00000053" w14:textId="74282564" w:rsidR="00866D36" w:rsidRPr="00CA21ED" w:rsidRDefault="007B532F">
      <w:r w:rsidRPr="00CA21ED">
        <w:t xml:space="preserve">The committee discussion in NICE TA388 indicates that some patients could be eligible for sacubitril/valsartan straight away; for example, if they were already taking ACEis for another condition or existing HF </w:t>
      </w:r>
      <w:r w:rsidR="00D72311" w:rsidRPr="00CA21ED">
        <w:fldChar w:fldCharType="begin"/>
      </w:r>
      <w:r w:rsidR="00C57387">
        <w:instrText xml:space="preserve"> ADDIN EN.CITE &lt;EndNote&gt;&lt;Cite&gt;&lt;Author&gt;National institute for Health and Care Excellence (NICE)&lt;/Author&gt;&lt;Year&gt;2016&lt;/Year&gt;&lt;RecNum&gt;38&lt;/RecNum&gt;&lt;DisplayText&gt;(13)&lt;/DisplayText&gt;&lt;record&gt;&lt;rec-number&gt;38&lt;/rec-number&gt;&lt;foreign-keys&gt;&lt;key app="EN" db-id="f9e92ea9tpxdzoex9spxs9asfpp0rx2xe2s2" timestamp="1643643703"&gt;38&lt;/key&gt;&lt;/foreign-keys&gt;&lt;ref-type name="Web Page"&gt;12&lt;/ref-type&gt;&lt;contributors&gt;&lt;authors&gt;&lt;author&gt;National institute for Health and Care Excellence (NICE),&lt;/author&gt;&lt;/authors&gt;&lt;/contributors&gt;&lt;titles&gt;&lt;title&gt;Sacubitril valsartan for treating symptomatic chronic heart failure with reduced ejection fraction (TA388)&lt;/title&gt;&lt;/titles&gt;&lt;number&gt;31 January 2022&lt;/number&gt;&lt;dates&gt;&lt;year&gt;2016&lt;/year&gt;&lt;/dates&gt;&lt;urls&gt;&lt;related-urls&gt;&lt;url&gt;https://www.nice.org.uk/guidance/ta388&lt;/url&gt;&lt;/related-urls&gt;&lt;/urls&gt;&lt;/record&gt;&lt;/Cite&gt;&lt;/EndNote&gt;</w:instrText>
      </w:r>
      <w:r w:rsidR="00D72311" w:rsidRPr="00CA21ED">
        <w:fldChar w:fldCharType="separate"/>
      </w:r>
      <w:r w:rsidR="00C57387">
        <w:rPr>
          <w:noProof/>
        </w:rPr>
        <w:t>(13)</w:t>
      </w:r>
      <w:r w:rsidR="00D72311" w:rsidRPr="00CA21ED">
        <w:fldChar w:fldCharType="end"/>
      </w:r>
      <w:r w:rsidRPr="00CA21ED">
        <w:t>. Rather than attempting to account for a delay in treatment initiation with sacubitril/valsartan, the 10% was therefore applied as a blanket assumption to all positive and converted patients in all cycles of the model.</w:t>
      </w:r>
    </w:p>
    <w:p w14:paraId="00000054" w14:textId="414FA9FC" w:rsidR="00866D36" w:rsidRPr="00CA21ED" w:rsidRDefault="007B532F">
      <w:r w:rsidRPr="00CA21ED">
        <w:t xml:space="preserve">Patients entering the model were assumed to have a median age of </w:t>
      </w:r>
      <w:r w:rsidR="00CD2528" w:rsidRPr="00CA21ED">
        <w:t>81</w:t>
      </w:r>
      <w:r w:rsidR="00C57387">
        <w:t xml:space="preserve"> </w:t>
      </w:r>
      <w:r w:rsidR="00C57387">
        <w:fldChar w:fldCharType="begin"/>
      </w:r>
      <w:r w:rsidR="00C57387">
        <w:instrText xml:space="preserve"> ADDIN EN.CITE &lt;EndNote&gt;&lt;Cite&gt;&lt;Author&gt;The National Institute for Cardiovascular Outcomes Research (NICOR)&lt;/Author&gt;&lt;Year&gt;2021&lt;/Year&gt;&lt;RecNum&gt;12&lt;/RecNum&gt;&lt;DisplayText&gt;(11)&lt;/DisplayText&gt;&lt;record&gt;&lt;rec-number&gt;12&lt;/rec-number&gt;&lt;foreign-keys&gt;&lt;key app="EN" db-id="f9e92ea9tpxdzoex9spxs9asfpp0rx2xe2s2" timestamp="1643129472"&gt;12&lt;/key&gt;&lt;/foreign-keys&gt;&lt;ref-type name="Web Page"&gt;12&lt;/ref-type&gt;&lt;contributors&gt;&lt;authors&gt;&lt;author&gt;The National Institute for Cardiovascular Outcomes Research (NICOR),&lt;/author&gt;&lt;/authors&gt;&lt;/contributors&gt;&lt;titles&gt;&lt;title&gt;National Cardiac Audit Programme National Heart Failure Audit (NHFA) 2021 Summary Report (2019/20 data)&lt;/title&gt;&lt;/titles&gt;&lt;number&gt;25 January 2022&lt;/number&gt;&lt;dates&gt;&lt;year&gt;2021&lt;/year&gt;&lt;/dates&gt;&lt;urls&gt;&lt;related-urls&gt;&lt;url&gt;https://www.nicor.org.uk/wp-content/uploads/2021/10/NHFA-Domain-Report_2021_FINAL.pdf&lt;/url&gt;&lt;/related-urls&gt;&lt;/urls&gt;&lt;/record&gt;&lt;/Cite&gt;&lt;/EndNote&gt;</w:instrText>
      </w:r>
      <w:r w:rsidR="00C57387">
        <w:fldChar w:fldCharType="separate"/>
      </w:r>
      <w:r w:rsidR="00C57387">
        <w:rPr>
          <w:noProof/>
        </w:rPr>
        <w:t>(11)</w:t>
      </w:r>
      <w:r w:rsidR="00C57387">
        <w:fldChar w:fldCharType="end"/>
      </w:r>
      <w:r w:rsidRPr="00CA21ED">
        <w:t xml:space="preserve">. Because of the asymptotic nature of parametric survival curves it is common for a small proportion of patients to remain alive in models to implausibly old ages. The curves were therefore tapered in a linear fashion from age 95 to ensure that all patients in the model had died by age 100. </w:t>
      </w:r>
    </w:p>
    <w:p w14:paraId="00000055" w14:textId="3A797A6E" w:rsidR="00866D36" w:rsidRPr="00CA21ED" w:rsidRDefault="00FF7C95" w:rsidP="00FF7C95">
      <w:pPr>
        <w:pStyle w:val="Caption"/>
      </w:pPr>
      <w:bookmarkStart w:id="16" w:name="_heading=h.17dp8vu" w:colFirst="0" w:colLast="0"/>
      <w:bookmarkStart w:id="17" w:name="_Ref100153344"/>
      <w:bookmarkEnd w:id="16"/>
      <w:r w:rsidRPr="00CA21ED">
        <w:t xml:space="preserve">Table </w:t>
      </w:r>
      <w:fldSimple w:instr=" SEQ Table \* ARABIC ">
        <w:r w:rsidR="00A47A11">
          <w:rPr>
            <w:noProof/>
          </w:rPr>
          <w:t>2</w:t>
        </w:r>
      </w:fldSimple>
      <w:bookmarkEnd w:id="17"/>
      <w:r w:rsidRPr="00CA21ED">
        <w:t>: Mortality hazard ratios by follow-up intervention</w:t>
      </w:r>
    </w:p>
    <w:tbl>
      <w:tblPr>
        <w:tblStyle w:val="TableGrid"/>
        <w:tblW w:w="9350" w:type="dxa"/>
        <w:tblLayout w:type="fixed"/>
        <w:tblLook w:val="0600" w:firstRow="0" w:lastRow="0" w:firstColumn="0" w:lastColumn="0" w:noHBand="1" w:noVBand="1"/>
      </w:tblPr>
      <w:tblGrid>
        <w:gridCol w:w="3504"/>
        <w:gridCol w:w="3084"/>
        <w:gridCol w:w="2762"/>
      </w:tblGrid>
      <w:tr w:rsidR="00866D36" w:rsidRPr="00CA21ED" w14:paraId="73354AFA" w14:textId="77777777" w:rsidTr="001C28EA">
        <w:trPr>
          <w:trHeight w:val="270"/>
        </w:trPr>
        <w:tc>
          <w:tcPr>
            <w:tcW w:w="3504" w:type="dxa"/>
          </w:tcPr>
          <w:p w14:paraId="00000056" w14:textId="77777777" w:rsidR="00866D36" w:rsidRPr="00CA21ED" w:rsidRDefault="007B532F">
            <w:r w:rsidRPr="00CA21ED">
              <w:t>Follow up service</w:t>
            </w:r>
          </w:p>
        </w:tc>
        <w:tc>
          <w:tcPr>
            <w:tcW w:w="3084" w:type="dxa"/>
          </w:tcPr>
          <w:p w14:paraId="00000057" w14:textId="77777777" w:rsidR="00866D36" w:rsidRPr="00CA21ED" w:rsidRDefault="007B532F">
            <w:r w:rsidRPr="00CA21ED">
              <w:t>Hazard ratio (95% CI)</w:t>
            </w:r>
          </w:p>
        </w:tc>
        <w:tc>
          <w:tcPr>
            <w:tcW w:w="2762" w:type="dxa"/>
          </w:tcPr>
          <w:p w14:paraId="00000058" w14:textId="77777777" w:rsidR="00866D36" w:rsidRPr="00CA21ED" w:rsidRDefault="007B532F">
            <w:r w:rsidRPr="00CA21ED">
              <w:t>Source</w:t>
            </w:r>
          </w:p>
        </w:tc>
      </w:tr>
      <w:tr w:rsidR="00866D36" w:rsidRPr="00CA21ED" w14:paraId="5E8A3CEC" w14:textId="77777777" w:rsidTr="001C28EA">
        <w:trPr>
          <w:trHeight w:val="270"/>
        </w:trPr>
        <w:tc>
          <w:tcPr>
            <w:tcW w:w="3504" w:type="dxa"/>
          </w:tcPr>
          <w:p w14:paraId="00000059" w14:textId="77777777" w:rsidR="00866D36" w:rsidRPr="00CA21ED" w:rsidRDefault="007B532F">
            <w:r w:rsidRPr="00CA21ED">
              <w:t>Cardiology follow-up</w:t>
            </w:r>
          </w:p>
        </w:tc>
        <w:tc>
          <w:tcPr>
            <w:tcW w:w="3084" w:type="dxa"/>
          </w:tcPr>
          <w:p w14:paraId="0000005A" w14:textId="77777777" w:rsidR="00866D36" w:rsidRPr="00CA21ED" w:rsidRDefault="007B532F">
            <w:r w:rsidRPr="00CA21ED">
              <w:t>0.68 (0.64, 0.73)</w:t>
            </w:r>
          </w:p>
        </w:tc>
        <w:tc>
          <w:tcPr>
            <w:tcW w:w="2762" w:type="dxa"/>
          </w:tcPr>
          <w:p w14:paraId="0000005B" w14:textId="77777777" w:rsidR="00866D36" w:rsidRPr="00CA21ED" w:rsidRDefault="007B532F">
            <w:r w:rsidRPr="00CA21ED">
              <w:t>NICOR 2021</w:t>
            </w:r>
          </w:p>
        </w:tc>
      </w:tr>
      <w:tr w:rsidR="00866D36" w:rsidRPr="00CA21ED" w14:paraId="78501D58" w14:textId="77777777" w:rsidTr="001C28EA">
        <w:trPr>
          <w:trHeight w:val="270"/>
        </w:trPr>
        <w:tc>
          <w:tcPr>
            <w:tcW w:w="3504" w:type="dxa"/>
          </w:tcPr>
          <w:p w14:paraId="0000005C" w14:textId="77777777" w:rsidR="00866D36" w:rsidRPr="00CA21ED" w:rsidRDefault="007B532F">
            <w:r w:rsidRPr="00CA21ED">
              <w:t>Beta-blockers</w:t>
            </w:r>
          </w:p>
        </w:tc>
        <w:tc>
          <w:tcPr>
            <w:tcW w:w="3084" w:type="dxa"/>
          </w:tcPr>
          <w:p w14:paraId="0000005D" w14:textId="77777777" w:rsidR="00866D36" w:rsidRPr="00CA21ED" w:rsidRDefault="007B532F">
            <w:r w:rsidRPr="00CA21ED">
              <w:t>0.83 (0.76, 0.86)</w:t>
            </w:r>
          </w:p>
        </w:tc>
        <w:tc>
          <w:tcPr>
            <w:tcW w:w="2762" w:type="dxa"/>
          </w:tcPr>
          <w:p w14:paraId="0000005E" w14:textId="77777777" w:rsidR="00866D36" w:rsidRPr="00CA21ED" w:rsidRDefault="007B532F">
            <w:r w:rsidRPr="00CA21ED">
              <w:t>NICOR 2021</w:t>
            </w:r>
          </w:p>
        </w:tc>
      </w:tr>
      <w:tr w:rsidR="00866D36" w:rsidRPr="00CA21ED" w14:paraId="3482C396" w14:textId="77777777" w:rsidTr="001C28EA">
        <w:trPr>
          <w:trHeight w:val="270"/>
        </w:trPr>
        <w:tc>
          <w:tcPr>
            <w:tcW w:w="3504" w:type="dxa"/>
          </w:tcPr>
          <w:p w14:paraId="0000005F" w14:textId="332BD715" w:rsidR="00866D36" w:rsidRPr="00CA21ED" w:rsidRDefault="007B532F">
            <w:r w:rsidRPr="00CA21ED">
              <w:t>ACEi/ARB</w:t>
            </w:r>
            <w:r w:rsidR="002356BA">
              <w:t>s</w:t>
            </w:r>
          </w:p>
        </w:tc>
        <w:tc>
          <w:tcPr>
            <w:tcW w:w="3084" w:type="dxa"/>
          </w:tcPr>
          <w:p w14:paraId="00000060" w14:textId="77777777" w:rsidR="00866D36" w:rsidRPr="00CA21ED" w:rsidRDefault="007B532F">
            <w:r w:rsidRPr="00CA21ED">
              <w:t>0.69 (0.65, 0.74)</w:t>
            </w:r>
          </w:p>
        </w:tc>
        <w:tc>
          <w:tcPr>
            <w:tcW w:w="2762" w:type="dxa"/>
          </w:tcPr>
          <w:p w14:paraId="00000061" w14:textId="77777777" w:rsidR="00866D36" w:rsidRPr="00CA21ED" w:rsidRDefault="007B532F">
            <w:r w:rsidRPr="00CA21ED">
              <w:t>NICOR 2021</w:t>
            </w:r>
          </w:p>
        </w:tc>
      </w:tr>
      <w:tr w:rsidR="00CD2528" w:rsidRPr="00CA21ED" w14:paraId="7858131B" w14:textId="77777777" w:rsidTr="001C28EA">
        <w:trPr>
          <w:trHeight w:val="270"/>
        </w:trPr>
        <w:tc>
          <w:tcPr>
            <w:tcW w:w="3504" w:type="dxa"/>
          </w:tcPr>
          <w:p w14:paraId="1E1BEBAC" w14:textId="23D0183D" w:rsidR="00CD2528" w:rsidRPr="00CA21ED" w:rsidRDefault="009B589E">
            <w:r>
              <w:t>AA</w:t>
            </w:r>
            <w:r w:rsidR="00E91689">
              <w:t>s (MRAs)</w:t>
            </w:r>
          </w:p>
        </w:tc>
        <w:tc>
          <w:tcPr>
            <w:tcW w:w="3084" w:type="dxa"/>
          </w:tcPr>
          <w:p w14:paraId="302CE5ED" w14:textId="67F47B19" w:rsidR="00CD2528" w:rsidRPr="00CA21ED" w:rsidRDefault="00CD2528">
            <w:r w:rsidRPr="00CA21ED">
              <w:t>0.80 (0.65,0.98)</w:t>
            </w:r>
          </w:p>
        </w:tc>
        <w:tc>
          <w:tcPr>
            <w:tcW w:w="2762" w:type="dxa"/>
          </w:tcPr>
          <w:p w14:paraId="457D70AA" w14:textId="49E3C47B" w:rsidR="00CD2528" w:rsidRPr="00CA21ED" w:rsidRDefault="00CD2528">
            <w:r w:rsidRPr="00CA21ED">
              <w:t>NICE 2014</w:t>
            </w:r>
          </w:p>
        </w:tc>
      </w:tr>
      <w:tr w:rsidR="00866D36" w:rsidRPr="00CA21ED" w14:paraId="17962CD5" w14:textId="77777777" w:rsidTr="001C28EA">
        <w:trPr>
          <w:trHeight w:val="270"/>
        </w:trPr>
        <w:tc>
          <w:tcPr>
            <w:tcW w:w="3504" w:type="dxa"/>
          </w:tcPr>
          <w:p w14:paraId="00000062" w14:textId="1397768E" w:rsidR="00866D36" w:rsidRPr="00CA21ED" w:rsidRDefault="008E1F34">
            <w:r w:rsidRPr="00CA21ED">
              <w:t>Sacubitril</w:t>
            </w:r>
            <w:r w:rsidR="007B532F" w:rsidRPr="00CA21ED">
              <w:t>/valsartan</w:t>
            </w:r>
          </w:p>
        </w:tc>
        <w:tc>
          <w:tcPr>
            <w:tcW w:w="3084" w:type="dxa"/>
          </w:tcPr>
          <w:p w14:paraId="00000063" w14:textId="77777777" w:rsidR="00866D36" w:rsidRPr="00CA21ED" w:rsidRDefault="007B532F">
            <w:r w:rsidRPr="00CA21ED">
              <w:t>0.84 (0.76, 0.93)</w:t>
            </w:r>
          </w:p>
        </w:tc>
        <w:tc>
          <w:tcPr>
            <w:tcW w:w="2762" w:type="dxa"/>
          </w:tcPr>
          <w:p w14:paraId="00000064" w14:textId="7C2ACEE3" w:rsidR="00866D36" w:rsidRPr="00CA21ED" w:rsidRDefault="007B532F">
            <w:r w:rsidRPr="00CA21ED">
              <w:t xml:space="preserve">McMurray et al 2014 </w:t>
            </w:r>
            <w:r w:rsidR="00D72311" w:rsidRPr="00CA21ED">
              <w:fldChar w:fldCharType="begin"/>
            </w:r>
            <w:r w:rsidR="00C57387">
              <w:instrText xml:space="preserve"> ADDIN EN.CITE &lt;EndNote&gt;&lt;Cite&gt;&lt;Author&gt;McMurray&lt;/Author&gt;&lt;Year&gt;2014&lt;/Year&gt;&lt;RecNum&gt;39&lt;/RecNum&gt;&lt;DisplayText&gt;(14)&lt;/DisplayText&gt;&lt;record&gt;&lt;rec-number&gt;39&lt;/rec-number&gt;&lt;foreign-keys&gt;&lt;key app="EN" db-id="f9e92ea9tpxdzoex9spxs9asfpp0rx2xe2s2" timestamp="1643644508"&gt;39&lt;/key&gt;&lt;/foreign-keys&gt;&lt;ref-type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Karl&lt;/author&gt;&lt;/authors&gt;&lt;/contributors&gt;&lt;titles&gt;&lt;title&gt;Angiotensin–neprilysin inhibition versus enalapril in heart failure&lt;/title&gt;&lt;secondary-title&gt;N Engl J Med&lt;/secondary-title&gt;&lt;/titles&gt;&lt;periodical&gt;&lt;full-title&gt;N Engl J Med&lt;/full-title&gt;&lt;/periodical&gt;&lt;pages&gt;993-1004&lt;/pages&gt;&lt;volume&gt;371&lt;/volume&gt;&lt;dates&gt;&lt;year&gt;2014&lt;/year&gt;&lt;/dates&gt;&lt;urls&gt;&lt;/urls&gt;&lt;/record&gt;&lt;/Cite&gt;&lt;/EndNote&gt;</w:instrText>
            </w:r>
            <w:r w:rsidR="00D72311" w:rsidRPr="00CA21ED">
              <w:fldChar w:fldCharType="separate"/>
            </w:r>
            <w:r w:rsidR="00C57387">
              <w:rPr>
                <w:noProof/>
              </w:rPr>
              <w:t>(14)</w:t>
            </w:r>
            <w:r w:rsidR="00D72311" w:rsidRPr="00CA21ED">
              <w:fldChar w:fldCharType="end"/>
            </w:r>
          </w:p>
        </w:tc>
      </w:tr>
    </w:tbl>
    <w:p w14:paraId="00000065" w14:textId="1EB6274A" w:rsidR="00866D36" w:rsidRPr="00CA21ED" w:rsidRDefault="007B532F">
      <w:r w:rsidRPr="00CA21ED">
        <w:t xml:space="preserve">Abbreviations: </w:t>
      </w:r>
      <w:r w:rsidR="00E91689">
        <w:t xml:space="preserve">AA, aldosterone antagonist; </w:t>
      </w:r>
      <w:r w:rsidRPr="00CA21ED">
        <w:t xml:space="preserve">ACEi, angiotensin-converting enzyme inhibitors; ARB, angiotensin receptor blocker; CI, confidence interval; </w:t>
      </w:r>
      <w:r w:rsidR="009D47B7">
        <w:t>MRA, m</w:t>
      </w:r>
      <w:r w:rsidR="009D47B7" w:rsidRPr="009D47B7">
        <w:t xml:space="preserve">ineralocorticoid </w:t>
      </w:r>
      <w:r w:rsidR="009D47B7">
        <w:t>r</w:t>
      </w:r>
      <w:r w:rsidR="009D47B7" w:rsidRPr="009D47B7">
        <w:t xml:space="preserve">eceptor </w:t>
      </w:r>
      <w:r w:rsidR="009D47B7">
        <w:t>a</w:t>
      </w:r>
      <w:r w:rsidR="009D47B7" w:rsidRPr="009D47B7">
        <w:t>ntagonist</w:t>
      </w:r>
      <w:r w:rsidR="009D47B7">
        <w:t xml:space="preserve">; </w:t>
      </w:r>
      <w:r w:rsidRPr="00CA21ED">
        <w:t>NICOR, The National Institute for Cardiovascular Outcomes Research.</w:t>
      </w:r>
    </w:p>
    <w:p w14:paraId="00000066" w14:textId="398A7DE9" w:rsidR="00866D36" w:rsidRPr="00CA21ED" w:rsidRDefault="00FF7C95" w:rsidP="00FF7C95">
      <w:pPr>
        <w:pStyle w:val="Caption"/>
      </w:pPr>
      <w:bookmarkStart w:id="18" w:name="_heading=h.3rdcrjn" w:colFirst="0" w:colLast="0"/>
      <w:bookmarkStart w:id="19" w:name="_Ref100153356"/>
      <w:bookmarkEnd w:id="18"/>
      <w:r w:rsidRPr="00CA21ED">
        <w:t xml:space="preserve">Table </w:t>
      </w:r>
      <w:fldSimple w:instr=" SEQ Table \* ARABIC ">
        <w:r w:rsidR="00A47A11">
          <w:rPr>
            <w:noProof/>
          </w:rPr>
          <w:t>3</w:t>
        </w:r>
      </w:fldSimple>
      <w:bookmarkEnd w:id="19"/>
      <w:r w:rsidRPr="00CA21ED">
        <w:t>: Proportion of TPs receiving follow-up interventions</w:t>
      </w:r>
    </w:p>
    <w:tbl>
      <w:tblPr>
        <w:tblStyle w:val="TableGrid"/>
        <w:tblW w:w="9350" w:type="dxa"/>
        <w:tblLayout w:type="fixed"/>
        <w:tblLook w:val="0600" w:firstRow="0" w:lastRow="0" w:firstColumn="0" w:lastColumn="0" w:noHBand="1" w:noVBand="1"/>
      </w:tblPr>
      <w:tblGrid>
        <w:gridCol w:w="3411"/>
        <w:gridCol w:w="3824"/>
        <w:gridCol w:w="2115"/>
      </w:tblGrid>
      <w:tr w:rsidR="00866D36" w:rsidRPr="00CA21ED" w14:paraId="7742AAF6" w14:textId="77777777" w:rsidTr="001C28EA">
        <w:trPr>
          <w:trHeight w:val="257"/>
        </w:trPr>
        <w:tc>
          <w:tcPr>
            <w:tcW w:w="3411" w:type="dxa"/>
          </w:tcPr>
          <w:p w14:paraId="00000067" w14:textId="77777777" w:rsidR="00866D36" w:rsidRPr="00CA21ED" w:rsidRDefault="007B532F">
            <w:r w:rsidRPr="00CA21ED">
              <w:t>Drug therapy</w:t>
            </w:r>
          </w:p>
        </w:tc>
        <w:tc>
          <w:tcPr>
            <w:tcW w:w="3824" w:type="dxa"/>
          </w:tcPr>
          <w:p w14:paraId="00000068" w14:textId="77777777" w:rsidR="00866D36" w:rsidRPr="00CA21ED" w:rsidRDefault="007B532F">
            <w:r w:rsidRPr="00CA21ED">
              <w:t>Proportion receiving therapy (SE)</w:t>
            </w:r>
          </w:p>
        </w:tc>
        <w:tc>
          <w:tcPr>
            <w:tcW w:w="2115" w:type="dxa"/>
          </w:tcPr>
          <w:p w14:paraId="00000069" w14:textId="77777777" w:rsidR="00866D36" w:rsidRPr="00CA21ED" w:rsidRDefault="007B532F">
            <w:r w:rsidRPr="00CA21ED">
              <w:t>Source</w:t>
            </w:r>
          </w:p>
        </w:tc>
      </w:tr>
      <w:tr w:rsidR="00866D36" w:rsidRPr="00CA21ED" w14:paraId="53A5996D" w14:textId="77777777" w:rsidTr="001C28EA">
        <w:trPr>
          <w:trHeight w:val="257"/>
        </w:trPr>
        <w:tc>
          <w:tcPr>
            <w:tcW w:w="3411" w:type="dxa"/>
          </w:tcPr>
          <w:p w14:paraId="0000006A" w14:textId="77777777" w:rsidR="00866D36" w:rsidRPr="00CA21ED" w:rsidRDefault="007B532F">
            <w:r w:rsidRPr="00CA21ED">
              <w:t>Cardiology follow-up</w:t>
            </w:r>
          </w:p>
        </w:tc>
        <w:tc>
          <w:tcPr>
            <w:tcW w:w="3824" w:type="dxa"/>
          </w:tcPr>
          <w:p w14:paraId="0000006B" w14:textId="77777777" w:rsidR="00866D36" w:rsidRPr="00CA21ED" w:rsidRDefault="007B532F">
            <w:r w:rsidRPr="00CA21ED">
              <w:t>0.46</w:t>
            </w:r>
          </w:p>
        </w:tc>
        <w:tc>
          <w:tcPr>
            <w:tcW w:w="2115" w:type="dxa"/>
          </w:tcPr>
          <w:p w14:paraId="0000006C" w14:textId="77777777" w:rsidR="00866D36" w:rsidRPr="00CA21ED" w:rsidRDefault="007B532F">
            <w:r w:rsidRPr="00CA21ED">
              <w:t>NICOR 2021</w:t>
            </w:r>
          </w:p>
        </w:tc>
      </w:tr>
      <w:tr w:rsidR="00866D36" w:rsidRPr="00CA21ED" w14:paraId="12FBC065" w14:textId="77777777" w:rsidTr="001C28EA">
        <w:trPr>
          <w:trHeight w:val="257"/>
        </w:trPr>
        <w:tc>
          <w:tcPr>
            <w:tcW w:w="3411" w:type="dxa"/>
          </w:tcPr>
          <w:p w14:paraId="0000006D" w14:textId="34DA3B90" w:rsidR="00866D36" w:rsidRPr="00CA21ED" w:rsidRDefault="007B532F">
            <w:r w:rsidRPr="00CA21ED">
              <w:t>ACEi/ARB</w:t>
            </w:r>
            <w:r w:rsidR="002356BA">
              <w:t>s</w:t>
            </w:r>
          </w:p>
        </w:tc>
        <w:tc>
          <w:tcPr>
            <w:tcW w:w="3824" w:type="dxa"/>
          </w:tcPr>
          <w:p w14:paraId="0000006E" w14:textId="77777777" w:rsidR="00866D36" w:rsidRPr="00CA21ED" w:rsidRDefault="007B532F">
            <w:r w:rsidRPr="00CA21ED">
              <w:t>0.84 (0.001)</w:t>
            </w:r>
          </w:p>
        </w:tc>
        <w:tc>
          <w:tcPr>
            <w:tcW w:w="2115" w:type="dxa"/>
          </w:tcPr>
          <w:p w14:paraId="0000006F" w14:textId="77777777" w:rsidR="00866D36" w:rsidRPr="00CA21ED" w:rsidRDefault="007B532F">
            <w:r w:rsidRPr="00CA21ED">
              <w:t>NICOR 2021</w:t>
            </w:r>
          </w:p>
        </w:tc>
      </w:tr>
      <w:tr w:rsidR="00866D36" w:rsidRPr="00CA21ED" w14:paraId="5F109557" w14:textId="77777777" w:rsidTr="001C28EA">
        <w:trPr>
          <w:trHeight w:val="257"/>
        </w:trPr>
        <w:tc>
          <w:tcPr>
            <w:tcW w:w="3411" w:type="dxa"/>
          </w:tcPr>
          <w:p w14:paraId="00000070" w14:textId="77777777" w:rsidR="00866D36" w:rsidRPr="00CA21ED" w:rsidRDefault="007B532F">
            <w:r w:rsidRPr="00CA21ED">
              <w:lastRenderedPageBreak/>
              <w:t>Beta-blockers</w:t>
            </w:r>
          </w:p>
        </w:tc>
        <w:tc>
          <w:tcPr>
            <w:tcW w:w="3824" w:type="dxa"/>
          </w:tcPr>
          <w:p w14:paraId="00000071" w14:textId="77777777" w:rsidR="00866D36" w:rsidRPr="00CA21ED" w:rsidRDefault="007B532F">
            <w:r w:rsidRPr="00CA21ED">
              <w:t>0.9 (0.001)</w:t>
            </w:r>
          </w:p>
        </w:tc>
        <w:tc>
          <w:tcPr>
            <w:tcW w:w="2115" w:type="dxa"/>
          </w:tcPr>
          <w:p w14:paraId="00000072" w14:textId="77777777" w:rsidR="00866D36" w:rsidRPr="00CA21ED" w:rsidRDefault="007B532F">
            <w:r w:rsidRPr="00CA21ED">
              <w:t>NICOR 2021</w:t>
            </w:r>
          </w:p>
        </w:tc>
      </w:tr>
      <w:tr w:rsidR="00CD2528" w:rsidRPr="00CA21ED" w14:paraId="0A19B2CB" w14:textId="77777777" w:rsidTr="001C28EA">
        <w:trPr>
          <w:trHeight w:val="257"/>
        </w:trPr>
        <w:tc>
          <w:tcPr>
            <w:tcW w:w="3411" w:type="dxa"/>
          </w:tcPr>
          <w:p w14:paraId="3C646144" w14:textId="220B900A" w:rsidR="00CD2528" w:rsidRPr="00CA21ED" w:rsidRDefault="00E91689">
            <w:r>
              <w:t>AAs (MRAs)</w:t>
            </w:r>
          </w:p>
        </w:tc>
        <w:tc>
          <w:tcPr>
            <w:tcW w:w="3824" w:type="dxa"/>
          </w:tcPr>
          <w:p w14:paraId="71F442E5" w14:textId="6F0F2A8B" w:rsidR="00CD2528" w:rsidRPr="00CA21ED" w:rsidRDefault="00CD2528">
            <w:r w:rsidRPr="00CA21ED">
              <w:t>0.57 (0.002)</w:t>
            </w:r>
          </w:p>
        </w:tc>
        <w:tc>
          <w:tcPr>
            <w:tcW w:w="2115" w:type="dxa"/>
          </w:tcPr>
          <w:p w14:paraId="42B73930" w14:textId="18BEDD2F" w:rsidR="00CD2528" w:rsidRPr="00CA21ED" w:rsidRDefault="00CD2528">
            <w:r w:rsidRPr="00CA21ED">
              <w:t>NICOR 2021</w:t>
            </w:r>
          </w:p>
        </w:tc>
      </w:tr>
      <w:tr w:rsidR="00866D36" w:rsidRPr="00CA21ED" w14:paraId="1A3E22B8" w14:textId="77777777" w:rsidTr="001C28EA">
        <w:trPr>
          <w:trHeight w:val="257"/>
        </w:trPr>
        <w:tc>
          <w:tcPr>
            <w:tcW w:w="3411" w:type="dxa"/>
          </w:tcPr>
          <w:p w14:paraId="00000073" w14:textId="77777777" w:rsidR="00866D36" w:rsidRPr="00CA21ED" w:rsidRDefault="007B532F">
            <w:r w:rsidRPr="00CA21ED">
              <w:t>Sacubitril/valsartan</w:t>
            </w:r>
          </w:p>
        </w:tc>
        <w:tc>
          <w:tcPr>
            <w:tcW w:w="3824" w:type="dxa"/>
          </w:tcPr>
          <w:p w14:paraId="00000074" w14:textId="77777777" w:rsidR="00866D36" w:rsidRPr="00CA21ED" w:rsidRDefault="007B532F">
            <w:r w:rsidRPr="00CA21ED">
              <w:t>0.1</w:t>
            </w:r>
          </w:p>
        </w:tc>
        <w:tc>
          <w:tcPr>
            <w:tcW w:w="2115" w:type="dxa"/>
          </w:tcPr>
          <w:p w14:paraId="00000075" w14:textId="77777777" w:rsidR="00866D36" w:rsidRPr="00CA21ED" w:rsidRDefault="007B532F">
            <w:r w:rsidRPr="00CA21ED">
              <w:t>Assumption</w:t>
            </w:r>
          </w:p>
        </w:tc>
      </w:tr>
    </w:tbl>
    <w:p w14:paraId="00000076" w14:textId="05F070D3" w:rsidR="00866D36" w:rsidRPr="00CA21ED" w:rsidRDefault="007B532F">
      <w:r w:rsidRPr="00CA21ED">
        <w:t xml:space="preserve">Abbreviations: </w:t>
      </w:r>
      <w:r w:rsidR="00156ACA">
        <w:t xml:space="preserve">AA, aldosterone antagonist; </w:t>
      </w:r>
      <w:r w:rsidRPr="00CA21ED">
        <w:t xml:space="preserve">ACEi, angiotensin-converting enzyme inhibitors; ARB, angiotensin receptor blocker; </w:t>
      </w:r>
      <w:r w:rsidR="009D47B7">
        <w:t>MRA, m</w:t>
      </w:r>
      <w:r w:rsidR="009D47B7" w:rsidRPr="009D47B7">
        <w:t xml:space="preserve">ineralocorticoid </w:t>
      </w:r>
      <w:r w:rsidR="009D47B7">
        <w:t>r</w:t>
      </w:r>
      <w:r w:rsidR="009D47B7" w:rsidRPr="009D47B7">
        <w:t xml:space="preserve">eceptor </w:t>
      </w:r>
      <w:r w:rsidR="009D47B7">
        <w:t>a</w:t>
      </w:r>
      <w:r w:rsidR="009D47B7" w:rsidRPr="009D47B7">
        <w:t>ntagonist</w:t>
      </w:r>
      <w:r w:rsidR="009D47B7">
        <w:t xml:space="preserve">; </w:t>
      </w:r>
      <w:r w:rsidRPr="00CA21ED">
        <w:t>NICOR, The National Institute for Cardiovascular Outcomes Research; SE, standard error; TP, true positive.</w:t>
      </w:r>
    </w:p>
    <w:p w14:paraId="00000079" w14:textId="77777777" w:rsidR="00866D36" w:rsidRPr="00CA21ED" w:rsidRDefault="00AD2239">
      <w:pPr>
        <w:pStyle w:val="Heading2"/>
      </w:pPr>
      <w:sdt>
        <w:sdtPr>
          <w:tag w:val="goog_rdk_6"/>
          <w:id w:val="791639940"/>
        </w:sdtPr>
        <w:sdtEndPr/>
        <w:sdtContent/>
      </w:sdt>
      <w:sdt>
        <w:sdtPr>
          <w:tag w:val="goog_rdk_7"/>
          <w:id w:val="1825305509"/>
        </w:sdtPr>
        <w:sdtEndPr/>
        <w:sdtContent/>
      </w:sdt>
      <w:r w:rsidR="007B532F" w:rsidRPr="00CA21ED">
        <w:t>Readmission probabilities</w:t>
      </w:r>
    </w:p>
    <w:p w14:paraId="6591A408" w14:textId="2A4FCD99" w:rsidR="00D108BF" w:rsidRPr="00CA21ED" w:rsidRDefault="00D108BF" w:rsidP="00D108BF">
      <w:r w:rsidRPr="00CA21ED">
        <w:t xml:space="preserve">Readmission probabilities </w:t>
      </w:r>
      <w:r w:rsidR="00F71130" w:rsidRPr="00CA21ED">
        <w:t xml:space="preserve">for TPs </w:t>
      </w:r>
      <w:r w:rsidRPr="00CA21ED">
        <w:t xml:space="preserve">were taken from the NICE CG187 economic model </w:t>
      </w:r>
      <w:r w:rsidR="008A3DEB" w:rsidRPr="00CA21ED">
        <w:t>(</w:t>
      </w:r>
      <w:r w:rsidR="001C2484" w:rsidRPr="00CA21ED">
        <w:fldChar w:fldCharType="begin"/>
      </w:r>
      <w:r w:rsidR="001C2484" w:rsidRPr="00CA21ED">
        <w:instrText xml:space="preserve"> REF _Ref100153414 \h </w:instrText>
      </w:r>
      <w:r w:rsidR="001C2484" w:rsidRPr="00CA21ED">
        <w:fldChar w:fldCharType="separate"/>
      </w:r>
      <w:r w:rsidR="00A47A11" w:rsidRPr="00CA21ED">
        <w:t xml:space="preserve">Table </w:t>
      </w:r>
      <w:r w:rsidR="00A47A11">
        <w:rPr>
          <w:noProof/>
        </w:rPr>
        <w:t>5</w:t>
      </w:r>
      <w:r w:rsidR="001C2484" w:rsidRPr="00CA21ED">
        <w:fldChar w:fldCharType="end"/>
      </w:r>
      <w:r w:rsidR="001C2484" w:rsidRPr="00CA21ED">
        <w:t xml:space="preserve">), </w:t>
      </w:r>
      <w:r w:rsidRPr="00CA21ED">
        <w:t>and were originally derived from a study of UK AHF patients followed up for four years after diagnosis in hospital.</w:t>
      </w:r>
      <w:r w:rsidR="002D3175" w:rsidRPr="00CA21ED">
        <w:t xml:space="preserve"> </w:t>
      </w:r>
      <w:r w:rsidRPr="00CA21ED">
        <w:t xml:space="preserve">When extending the time horizon of the model beyond 4 years, </w:t>
      </w:r>
      <w:r w:rsidR="00F71130" w:rsidRPr="00CA21ED">
        <w:t>it was</w:t>
      </w:r>
      <w:r w:rsidRPr="00CA21ED">
        <w:t xml:space="preserve"> assumed</w:t>
      </w:r>
      <w:r w:rsidR="00F71130" w:rsidRPr="00CA21ED">
        <w:t xml:space="preserve"> that</w:t>
      </w:r>
      <w:r w:rsidRPr="00CA21ED">
        <w:t xml:space="preserve"> the monthly proportion of admissions remained constant. </w:t>
      </w:r>
      <w:r w:rsidR="00F71130" w:rsidRPr="00CA21ED">
        <w:t xml:space="preserve">As admission probability was very </w:t>
      </w:r>
      <w:r w:rsidRPr="00CA21ED">
        <w:t>low at this point</w:t>
      </w:r>
      <w:r w:rsidR="00F71130" w:rsidRPr="00CA21ED">
        <w:t>,</w:t>
      </w:r>
      <w:r w:rsidRPr="00CA21ED">
        <w:t xml:space="preserve"> any plausible variations in this assumption </w:t>
      </w:r>
      <w:r w:rsidR="00F71130" w:rsidRPr="00CA21ED">
        <w:t>we</w:t>
      </w:r>
      <w:r w:rsidRPr="00CA21ED">
        <w:t xml:space="preserve">re not expected to </w:t>
      </w:r>
      <w:r w:rsidR="003C126E" w:rsidRPr="00CA21ED">
        <w:t>substantially i</w:t>
      </w:r>
      <w:r w:rsidR="00F71130" w:rsidRPr="00CA21ED">
        <w:t>mpac</w:t>
      </w:r>
      <w:r w:rsidRPr="00CA21ED">
        <w:t xml:space="preserve">t the results. </w:t>
      </w:r>
    </w:p>
    <w:p w14:paraId="1936AFB5" w14:textId="2F1A8B41" w:rsidR="00D108BF" w:rsidRPr="00CA21ED" w:rsidRDefault="002D3175" w:rsidP="00D108BF">
      <w:r w:rsidRPr="00CA21ED">
        <w:t>F</w:t>
      </w:r>
      <w:r w:rsidR="00D108BF" w:rsidRPr="00CA21ED">
        <w:t>or FNs, admissions were adjusted by a relative risk</w:t>
      </w:r>
      <w:r w:rsidR="00FC458C" w:rsidRPr="00CA21ED">
        <w:t>,</w:t>
      </w:r>
      <w:r w:rsidRPr="00CA21ED">
        <w:t xml:space="preserve"> as they would not receive appropriate treatments</w:t>
      </w:r>
      <w:r w:rsidR="00AB2CAC" w:rsidRPr="00CA21ED">
        <w:t xml:space="preserve"> (</w:t>
      </w:r>
      <w:r w:rsidR="001C2484" w:rsidRPr="00CA21ED">
        <w:fldChar w:fldCharType="begin"/>
      </w:r>
      <w:r w:rsidR="001C2484" w:rsidRPr="00CA21ED">
        <w:instrText xml:space="preserve"> REF _Ref100153410 \h </w:instrText>
      </w:r>
      <w:r w:rsidR="001C2484" w:rsidRPr="00CA21ED">
        <w:fldChar w:fldCharType="separate"/>
      </w:r>
      <w:r w:rsidR="00A47A11" w:rsidRPr="00CA21ED">
        <w:t xml:space="preserve">Table </w:t>
      </w:r>
      <w:r w:rsidR="00A47A11">
        <w:rPr>
          <w:noProof/>
        </w:rPr>
        <w:t>4</w:t>
      </w:r>
      <w:r w:rsidR="001C2484" w:rsidRPr="00CA21ED">
        <w:fldChar w:fldCharType="end"/>
      </w:r>
      <w:r w:rsidR="001C2484" w:rsidRPr="00CA21ED">
        <w:t xml:space="preserve">). </w:t>
      </w:r>
      <w:r w:rsidRPr="00CA21ED">
        <w:t>As</w:t>
      </w:r>
      <w:r w:rsidR="00D108BF" w:rsidRPr="00CA21ED">
        <w:t xml:space="preserve"> not all TPs </w:t>
      </w:r>
      <w:r w:rsidR="00AB2CAC" w:rsidRPr="00CA21ED">
        <w:t>would</w:t>
      </w:r>
      <w:r w:rsidR="00D108BF" w:rsidRPr="00CA21ED">
        <w:t xml:space="preserve"> be expected to receive the benefits of the relevant treatments, relative risks</w:t>
      </w:r>
      <w:r w:rsidRPr="00CA21ED">
        <w:t xml:space="preserve"> were down-weighted</w:t>
      </w:r>
      <w:r w:rsidR="00D108BF" w:rsidRPr="00CA21ED">
        <w:t xml:space="preserve"> by the proportion of patients receiving the interventions in the latest NICOR data. For example, if 75% of </w:t>
      </w:r>
      <w:r w:rsidRPr="00CA21ED">
        <w:t>TP</w:t>
      </w:r>
      <w:r w:rsidR="00D108BF" w:rsidRPr="00CA21ED">
        <w:t xml:space="preserve"> patients received the intervention then the relevant log relative risk was weighted by 0.75 for the F</w:t>
      </w:r>
      <w:r w:rsidRPr="00CA21ED">
        <w:t>N</w:t>
      </w:r>
      <w:r w:rsidR="00D108BF" w:rsidRPr="00CA21ED">
        <w:t xml:space="preserve"> population. The weighted relative risk was then weighted again by the proportion of patients who had converted to TPs at the start of each cycle. </w:t>
      </w:r>
      <w:r w:rsidR="00AB2CAC" w:rsidRPr="00CA21ED">
        <w:t>At</w:t>
      </w:r>
      <w:r w:rsidR="00D108BF" w:rsidRPr="00CA21ED">
        <w:t xml:space="preserve"> the point that all FNs have converted to TPs, the overall relative risk becomes 1.</w:t>
      </w:r>
    </w:p>
    <w:p w14:paraId="411EEA75" w14:textId="09792F77" w:rsidR="003C126E" w:rsidRPr="00CA21ED" w:rsidRDefault="003C126E" w:rsidP="003C126E">
      <w:r w:rsidRPr="00CA21ED">
        <w:t>In the base case only AA</w:t>
      </w:r>
      <w:r w:rsidR="00FF7C95" w:rsidRPr="00CA21ED">
        <w:t>s</w:t>
      </w:r>
      <w:r w:rsidRPr="00CA21ED">
        <w:t>, ACEi/ARBs, and beta-blockers were applied to calculate the readmission probability for FN</w:t>
      </w:r>
      <w:r w:rsidR="00FF7C95" w:rsidRPr="00CA21ED">
        <w:t>s</w:t>
      </w:r>
      <w:r w:rsidRPr="00CA21ED">
        <w:t xml:space="preserve"> as the study used to calculate the baseline probabilities would not have included any patients on Sacubitril/Valsartan. In the scenario where Sacubitril/Valsartan was explored</w:t>
      </w:r>
      <w:r w:rsidR="00FF7C95" w:rsidRPr="00CA21ED">
        <w:t>,</w:t>
      </w:r>
      <w:r w:rsidRPr="00CA21ED">
        <w:t xml:space="preserve"> a similar method to the survival curve was used</w:t>
      </w:r>
      <w:r w:rsidR="00FF7C95" w:rsidRPr="00CA21ED">
        <w:t>,</w:t>
      </w:r>
      <w:r w:rsidRPr="00CA21ED">
        <w:t xml:space="preserve"> where patients receiving Sacubitril/Valsartan ha</w:t>
      </w:r>
      <w:r w:rsidR="00FF7C95" w:rsidRPr="00CA21ED">
        <w:t>d</w:t>
      </w:r>
      <w:r w:rsidRPr="00CA21ED">
        <w:t xml:space="preserve"> their </w:t>
      </w:r>
      <w:r w:rsidRPr="00CA21ED">
        <w:lastRenderedPageBreak/>
        <w:t xml:space="preserve">readmission </w:t>
      </w:r>
      <w:r w:rsidR="008E1F34" w:rsidRPr="00CA21ED">
        <w:t>probability</w:t>
      </w:r>
      <w:r w:rsidR="00FF7C95" w:rsidRPr="00CA21ED">
        <w:t xml:space="preserve"> </w:t>
      </w:r>
      <w:r w:rsidRPr="00CA21ED">
        <w:t>adjusted using the risk ratio in</w:t>
      </w:r>
      <w:r w:rsidR="001C2484" w:rsidRPr="00CA21ED">
        <w:t xml:space="preserve"> </w:t>
      </w:r>
      <w:r w:rsidR="001C2484" w:rsidRPr="00CA21ED">
        <w:fldChar w:fldCharType="begin"/>
      </w:r>
      <w:r w:rsidR="001C2484" w:rsidRPr="00CA21ED">
        <w:instrText xml:space="preserve"> REF _Ref100153410 \h </w:instrText>
      </w:r>
      <w:r w:rsidR="001C2484" w:rsidRPr="00CA21ED">
        <w:fldChar w:fldCharType="separate"/>
      </w:r>
      <w:r w:rsidR="00A47A11" w:rsidRPr="00CA21ED">
        <w:t xml:space="preserve">Table </w:t>
      </w:r>
      <w:r w:rsidR="00A47A11">
        <w:rPr>
          <w:noProof/>
        </w:rPr>
        <w:t>4</w:t>
      </w:r>
      <w:r w:rsidR="001C2484" w:rsidRPr="00CA21ED">
        <w:fldChar w:fldCharType="end"/>
      </w:r>
      <w:r w:rsidR="001C2484" w:rsidRPr="00CA21ED">
        <w:t>,</w:t>
      </w:r>
      <w:r w:rsidRPr="00CA21ED">
        <w:t xml:space="preserve"> and patients not receiving Sacubitril/Valsartan experience</w:t>
      </w:r>
      <w:r w:rsidR="00FF7C95" w:rsidRPr="00CA21ED">
        <w:t>d</w:t>
      </w:r>
      <w:r w:rsidRPr="00CA21ED">
        <w:t xml:space="preserve"> the baseline readmission probability.</w:t>
      </w:r>
    </w:p>
    <w:p w14:paraId="6BD61FE8" w14:textId="522D125F" w:rsidR="002D3175" w:rsidRPr="00CA21ED" w:rsidRDefault="00FF7C95" w:rsidP="00FF7C95">
      <w:pPr>
        <w:pStyle w:val="Caption"/>
      </w:pPr>
      <w:bookmarkStart w:id="20" w:name="_Ref100153410"/>
      <w:r w:rsidRPr="00CA21ED">
        <w:t xml:space="preserve">Table </w:t>
      </w:r>
      <w:fldSimple w:instr=" SEQ Table \* ARABIC ">
        <w:r w:rsidR="00A47A11">
          <w:rPr>
            <w:noProof/>
          </w:rPr>
          <w:t>4</w:t>
        </w:r>
      </w:fldSimple>
      <w:bookmarkEnd w:id="20"/>
      <w:r w:rsidRPr="00CA21ED">
        <w:t>: Readmission relative risk ratios by follow-up drug therapy</w:t>
      </w:r>
    </w:p>
    <w:tbl>
      <w:tblPr>
        <w:tblStyle w:val="TableGrid"/>
        <w:tblW w:w="5000" w:type="pct"/>
        <w:tblLook w:val="0620" w:firstRow="1" w:lastRow="0" w:firstColumn="0" w:lastColumn="0" w:noHBand="1" w:noVBand="1"/>
      </w:tblPr>
      <w:tblGrid>
        <w:gridCol w:w="3218"/>
        <w:gridCol w:w="3609"/>
        <w:gridCol w:w="2523"/>
      </w:tblGrid>
      <w:tr w:rsidR="002D3175" w:rsidRPr="00CA21ED" w14:paraId="0B1D08BC" w14:textId="77777777" w:rsidTr="008A3DEB">
        <w:trPr>
          <w:trHeight w:val="278"/>
        </w:trPr>
        <w:tc>
          <w:tcPr>
            <w:tcW w:w="1721" w:type="pct"/>
            <w:noWrap/>
            <w:hideMark/>
          </w:tcPr>
          <w:p w14:paraId="1092F13C" w14:textId="77777777" w:rsidR="002D3175" w:rsidRPr="00CA21ED" w:rsidRDefault="002D3175" w:rsidP="008A3DEB">
            <w:r w:rsidRPr="00CA21ED">
              <w:t>Drug therapy</w:t>
            </w:r>
          </w:p>
        </w:tc>
        <w:tc>
          <w:tcPr>
            <w:tcW w:w="1930" w:type="pct"/>
            <w:noWrap/>
            <w:hideMark/>
          </w:tcPr>
          <w:p w14:paraId="703D3847" w14:textId="77777777" w:rsidR="002D3175" w:rsidRPr="00CA21ED" w:rsidRDefault="002D3175" w:rsidP="008A3DEB">
            <w:r w:rsidRPr="00CA21ED">
              <w:t>Risk ratio (95% CI)</w:t>
            </w:r>
          </w:p>
        </w:tc>
        <w:tc>
          <w:tcPr>
            <w:tcW w:w="1350" w:type="pct"/>
            <w:noWrap/>
            <w:hideMark/>
          </w:tcPr>
          <w:p w14:paraId="77A4DF72" w14:textId="77777777" w:rsidR="002D3175" w:rsidRPr="00CA21ED" w:rsidRDefault="002D3175" w:rsidP="008A3DEB">
            <w:r w:rsidRPr="00CA21ED">
              <w:t>Source</w:t>
            </w:r>
          </w:p>
        </w:tc>
      </w:tr>
      <w:tr w:rsidR="002D3175" w:rsidRPr="00CA21ED" w14:paraId="20DCAF69" w14:textId="77777777" w:rsidTr="008A3DEB">
        <w:trPr>
          <w:trHeight w:val="278"/>
        </w:trPr>
        <w:tc>
          <w:tcPr>
            <w:tcW w:w="1721" w:type="pct"/>
            <w:noWrap/>
            <w:hideMark/>
          </w:tcPr>
          <w:p w14:paraId="73E4D28F" w14:textId="77777777" w:rsidR="002D3175" w:rsidRPr="00CA21ED" w:rsidRDefault="002D3175" w:rsidP="008A3DEB">
            <w:r w:rsidRPr="00CA21ED">
              <w:t>Aldosterone Agonists</w:t>
            </w:r>
          </w:p>
        </w:tc>
        <w:tc>
          <w:tcPr>
            <w:tcW w:w="1930" w:type="pct"/>
            <w:noWrap/>
            <w:hideMark/>
          </w:tcPr>
          <w:p w14:paraId="2C6EB5FB" w14:textId="77777777" w:rsidR="002D3175" w:rsidRPr="00CA21ED" w:rsidRDefault="002D3175" w:rsidP="008A3DEB">
            <w:r w:rsidRPr="00CA21ED">
              <w:t>0.65 (0.54, 0.78)</w:t>
            </w:r>
          </w:p>
        </w:tc>
        <w:tc>
          <w:tcPr>
            <w:tcW w:w="1350" w:type="pct"/>
            <w:noWrap/>
            <w:hideMark/>
          </w:tcPr>
          <w:p w14:paraId="2E4825BE" w14:textId="77777777" w:rsidR="002D3175" w:rsidRPr="00CA21ED" w:rsidRDefault="002D3175" w:rsidP="008A3DEB">
            <w:r w:rsidRPr="00CA21ED">
              <w:t>CG187</w:t>
            </w:r>
          </w:p>
        </w:tc>
      </w:tr>
      <w:tr w:rsidR="002D3175" w:rsidRPr="00CA21ED" w14:paraId="57F87576" w14:textId="77777777" w:rsidTr="008A3DEB">
        <w:trPr>
          <w:trHeight w:val="278"/>
        </w:trPr>
        <w:tc>
          <w:tcPr>
            <w:tcW w:w="1721" w:type="pct"/>
            <w:noWrap/>
            <w:hideMark/>
          </w:tcPr>
          <w:p w14:paraId="4D420A43" w14:textId="77777777" w:rsidR="002D3175" w:rsidRPr="00CA21ED" w:rsidRDefault="002D3175" w:rsidP="008A3DEB">
            <w:r w:rsidRPr="00CA21ED">
              <w:t>ACEi/ARB</w:t>
            </w:r>
          </w:p>
        </w:tc>
        <w:tc>
          <w:tcPr>
            <w:tcW w:w="1930" w:type="pct"/>
            <w:noWrap/>
            <w:hideMark/>
          </w:tcPr>
          <w:p w14:paraId="7990923D" w14:textId="77777777" w:rsidR="002D3175" w:rsidRPr="00CA21ED" w:rsidRDefault="002D3175" w:rsidP="008A3DEB">
            <w:r w:rsidRPr="00CA21ED">
              <w:t>0.8 (0.75, 0.86)</w:t>
            </w:r>
          </w:p>
        </w:tc>
        <w:tc>
          <w:tcPr>
            <w:tcW w:w="1350" w:type="pct"/>
            <w:noWrap/>
            <w:hideMark/>
          </w:tcPr>
          <w:p w14:paraId="3A472F90" w14:textId="77777777" w:rsidR="002D3175" w:rsidRPr="00CA21ED" w:rsidRDefault="002D3175" w:rsidP="008A3DEB">
            <w:r w:rsidRPr="00CA21ED">
              <w:t>CG187</w:t>
            </w:r>
          </w:p>
        </w:tc>
      </w:tr>
      <w:tr w:rsidR="002D3175" w:rsidRPr="00CA21ED" w14:paraId="448C12D8" w14:textId="77777777" w:rsidTr="008A3DEB">
        <w:trPr>
          <w:trHeight w:val="278"/>
        </w:trPr>
        <w:tc>
          <w:tcPr>
            <w:tcW w:w="1721" w:type="pct"/>
            <w:noWrap/>
            <w:hideMark/>
          </w:tcPr>
          <w:p w14:paraId="71BF1B03" w14:textId="77777777" w:rsidR="002D3175" w:rsidRPr="00CA21ED" w:rsidRDefault="002D3175" w:rsidP="008A3DEB">
            <w:r w:rsidRPr="00CA21ED">
              <w:t>Beta-blocker</w:t>
            </w:r>
          </w:p>
        </w:tc>
        <w:tc>
          <w:tcPr>
            <w:tcW w:w="1930" w:type="pct"/>
            <w:noWrap/>
            <w:hideMark/>
          </w:tcPr>
          <w:p w14:paraId="4B7C388D" w14:textId="77777777" w:rsidR="002D3175" w:rsidRPr="00CA21ED" w:rsidRDefault="002D3175" w:rsidP="008A3DEB">
            <w:r w:rsidRPr="00CA21ED">
              <w:t>0.77 (0.72, 0.84)</w:t>
            </w:r>
          </w:p>
        </w:tc>
        <w:tc>
          <w:tcPr>
            <w:tcW w:w="1350" w:type="pct"/>
            <w:noWrap/>
            <w:hideMark/>
          </w:tcPr>
          <w:p w14:paraId="779259CD" w14:textId="77777777" w:rsidR="002D3175" w:rsidRPr="00CA21ED" w:rsidRDefault="002D3175" w:rsidP="008A3DEB">
            <w:r w:rsidRPr="00CA21ED">
              <w:t>CG187</w:t>
            </w:r>
          </w:p>
        </w:tc>
      </w:tr>
      <w:tr w:rsidR="002D3175" w:rsidRPr="00CA21ED" w14:paraId="7DA62065" w14:textId="77777777" w:rsidTr="008A3DEB">
        <w:trPr>
          <w:trHeight w:val="278"/>
        </w:trPr>
        <w:tc>
          <w:tcPr>
            <w:tcW w:w="1721" w:type="pct"/>
            <w:noWrap/>
            <w:hideMark/>
          </w:tcPr>
          <w:p w14:paraId="4CBBCE98" w14:textId="77777777" w:rsidR="002D3175" w:rsidRPr="00CA21ED" w:rsidRDefault="002D3175" w:rsidP="008A3DEB">
            <w:r w:rsidRPr="00CA21ED">
              <w:t>Sacubitril/Valsartan</w:t>
            </w:r>
          </w:p>
        </w:tc>
        <w:tc>
          <w:tcPr>
            <w:tcW w:w="1930" w:type="pct"/>
            <w:noWrap/>
            <w:hideMark/>
          </w:tcPr>
          <w:p w14:paraId="5BF18D29" w14:textId="77777777" w:rsidR="002D3175" w:rsidRPr="00CA21ED" w:rsidRDefault="002D3175" w:rsidP="008A3DEB">
            <w:r w:rsidRPr="00CA21ED">
              <w:t>0.79 (0.71, 0.89)</w:t>
            </w:r>
          </w:p>
        </w:tc>
        <w:tc>
          <w:tcPr>
            <w:tcW w:w="1350" w:type="pct"/>
            <w:noWrap/>
            <w:hideMark/>
          </w:tcPr>
          <w:p w14:paraId="5CC145F8" w14:textId="504113A9" w:rsidR="002D3175" w:rsidRPr="00CA21ED" w:rsidRDefault="008A3DEB" w:rsidP="008A3DEB">
            <w:r w:rsidRPr="00CA21ED">
              <w:t xml:space="preserve">McMurray et al 2014 </w:t>
            </w:r>
            <w:r w:rsidRPr="00CA21ED">
              <w:fldChar w:fldCharType="begin"/>
            </w:r>
            <w:r w:rsidR="00C57387">
              <w:instrText xml:space="preserve"> ADDIN EN.CITE &lt;EndNote&gt;&lt;Cite&gt;&lt;Author&gt;McMurray&lt;/Author&gt;&lt;Year&gt;2014&lt;/Year&gt;&lt;RecNum&gt;39&lt;/RecNum&gt;&lt;DisplayText&gt;(14)&lt;/DisplayText&gt;&lt;record&gt;&lt;rec-number&gt;39&lt;/rec-number&gt;&lt;foreign-keys&gt;&lt;key app="EN" db-id="f9e92ea9tpxdzoex9spxs9asfpp0rx2xe2s2" timestamp="1643644508"&gt;39&lt;/key&gt;&lt;/foreign-keys&gt;&lt;ref-type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Karl&lt;/author&gt;&lt;/authors&gt;&lt;/contributors&gt;&lt;titles&gt;&lt;title&gt;Angiotensin–neprilysin inhibition versus enalapril in heart failure&lt;/title&gt;&lt;secondary-title&gt;N Engl J Med&lt;/secondary-title&gt;&lt;/titles&gt;&lt;periodical&gt;&lt;full-title&gt;N Engl J Med&lt;/full-title&gt;&lt;/periodical&gt;&lt;pages&gt;993-1004&lt;/pages&gt;&lt;volume&gt;371&lt;/volume&gt;&lt;dates&gt;&lt;year&gt;2014&lt;/year&gt;&lt;/dates&gt;&lt;urls&gt;&lt;/urls&gt;&lt;/record&gt;&lt;/Cite&gt;&lt;/EndNote&gt;</w:instrText>
            </w:r>
            <w:r w:rsidRPr="00CA21ED">
              <w:fldChar w:fldCharType="separate"/>
            </w:r>
            <w:r w:rsidR="00C57387">
              <w:rPr>
                <w:noProof/>
              </w:rPr>
              <w:t>(14)</w:t>
            </w:r>
            <w:r w:rsidRPr="00CA21ED">
              <w:fldChar w:fldCharType="end"/>
            </w:r>
          </w:p>
        </w:tc>
      </w:tr>
    </w:tbl>
    <w:p w14:paraId="5D096DEC" w14:textId="77777777" w:rsidR="003C126E" w:rsidRPr="00CA21ED" w:rsidRDefault="003C126E" w:rsidP="003C126E">
      <w:pPr>
        <w:pStyle w:val="Caption"/>
      </w:pPr>
      <w:bookmarkStart w:id="21" w:name="_Ref60643843"/>
      <w:bookmarkStart w:id="22" w:name="_Toc90900035"/>
    </w:p>
    <w:p w14:paraId="3BC5752A" w14:textId="5246F658" w:rsidR="003C126E" w:rsidRPr="00CA21ED" w:rsidRDefault="00FF7C95" w:rsidP="00FF7C95">
      <w:pPr>
        <w:pStyle w:val="Caption"/>
      </w:pPr>
      <w:bookmarkStart w:id="23" w:name="_Ref100153414"/>
      <w:bookmarkEnd w:id="21"/>
      <w:bookmarkEnd w:id="22"/>
      <w:r w:rsidRPr="00CA21ED">
        <w:t xml:space="preserve">Table </w:t>
      </w:r>
      <w:fldSimple w:instr=" SEQ Table \* ARABIC ">
        <w:r w:rsidR="00A47A11">
          <w:rPr>
            <w:noProof/>
          </w:rPr>
          <w:t>5</w:t>
        </w:r>
      </w:fldSimple>
      <w:bookmarkEnd w:id="23"/>
      <w:r w:rsidRPr="00CA21ED">
        <w:t>: Probability of readmission for heart failure by patient status</w:t>
      </w:r>
    </w:p>
    <w:tbl>
      <w:tblPr>
        <w:tblStyle w:val="TableGrid"/>
        <w:tblW w:w="5000" w:type="pct"/>
        <w:tblLook w:val="0620" w:firstRow="1" w:lastRow="0" w:firstColumn="0" w:lastColumn="0" w:noHBand="1" w:noVBand="1"/>
      </w:tblPr>
      <w:tblGrid>
        <w:gridCol w:w="1597"/>
        <w:gridCol w:w="3889"/>
        <w:gridCol w:w="3864"/>
      </w:tblGrid>
      <w:tr w:rsidR="00FC458C" w:rsidRPr="00CA21ED" w14:paraId="3ADA8E46" w14:textId="77777777" w:rsidTr="001F4383">
        <w:trPr>
          <w:trHeight w:val="288"/>
        </w:trPr>
        <w:tc>
          <w:tcPr>
            <w:tcW w:w="979" w:type="pct"/>
            <w:noWrap/>
            <w:hideMark/>
          </w:tcPr>
          <w:p w14:paraId="212CB084" w14:textId="77777777" w:rsidR="003C126E" w:rsidRPr="00CA21ED" w:rsidRDefault="003C126E" w:rsidP="008A3DEB">
            <w:r w:rsidRPr="00CA21ED">
              <w:t>Cycle of 3 months</w:t>
            </w:r>
          </w:p>
        </w:tc>
        <w:tc>
          <w:tcPr>
            <w:tcW w:w="1856" w:type="pct"/>
            <w:noWrap/>
            <w:hideMark/>
          </w:tcPr>
          <w:p w14:paraId="4A7C6CC7" w14:textId="07EF1E48" w:rsidR="003C126E" w:rsidRPr="00CA21ED" w:rsidRDefault="003C126E" w:rsidP="008A3DEB">
            <w:r w:rsidRPr="00CA21ED">
              <w:t>Baseline probability of a HF readmission</w:t>
            </w:r>
            <w:r w:rsidR="00FC458C" w:rsidRPr="00CA21ED">
              <w:t xml:space="preserve"> for TPs</w:t>
            </w:r>
          </w:p>
        </w:tc>
        <w:tc>
          <w:tcPr>
            <w:tcW w:w="2165" w:type="pct"/>
            <w:noWrap/>
            <w:hideMark/>
          </w:tcPr>
          <w:p w14:paraId="2265EA4F" w14:textId="77777777" w:rsidR="003C126E" w:rsidRPr="00CA21ED" w:rsidRDefault="003C126E" w:rsidP="008A3DEB">
            <w:r w:rsidRPr="00CA21ED">
              <w:t>Probability of readmission for unconverted FNs</w:t>
            </w:r>
          </w:p>
        </w:tc>
      </w:tr>
      <w:tr w:rsidR="00FC458C" w:rsidRPr="00CA21ED" w14:paraId="28E148B7" w14:textId="77777777" w:rsidTr="001F4383">
        <w:trPr>
          <w:trHeight w:val="288"/>
        </w:trPr>
        <w:tc>
          <w:tcPr>
            <w:tcW w:w="979" w:type="pct"/>
            <w:noWrap/>
            <w:hideMark/>
          </w:tcPr>
          <w:p w14:paraId="6D90E865" w14:textId="77777777" w:rsidR="003C126E" w:rsidRPr="00CA21ED" w:rsidRDefault="003C126E" w:rsidP="008A3DEB">
            <w:r w:rsidRPr="00CA21ED">
              <w:t xml:space="preserve">   Cycle 1</w:t>
            </w:r>
          </w:p>
        </w:tc>
        <w:tc>
          <w:tcPr>
            <w:tcW w:w="1856" w:type="pct"/>
            <w:noWrap/>
            <w:hideMark/>
          </w:tcPr>
          <w:p w14:paraId="6B306A24" w14:textId="77777777" w:rsidR="003C126E" w:rsidRPr="00CA21ED" w:rsidRDefault="003C126E" w:rsidP="008A3DEB">
            <w:r w:rsidRPr="00CA21ED">
              <w:t>0.178</w:t>
            </w:r>
          </w:p>
        </w:tc>
        <w:tc>
          <w:tcPr>
            <w:tcW w:w="2165" w:type="pct"/>
            <w:noWrap/>
            <w:hideMark/>
          </w:tcPr>
          <w:p w14:paraId="3B64E63B" w14:textId="77777777" w:rsidR="003C126E" w:rsidRPr="00CA21ED" w:rsidRDefault="003C126E" w:rsidP="008A3DEB">
            <w:r w:rsidRPr="00CA21ED">
              <w:t>0.326</w:t>
            </w:r>
          </w:p>
        </w:tc>
      </w:tr>
      <w:tr w:rsidR="00FC458C" w:rsidRPr="00CA21ED" w14:paraId="7F982156" w14:textId="77777777" w:rsidTr="001F4383">
        <w:trPr>
          <w:trHeight w:val="288"/>
        </w:trPr>
        <w:tc>
          <w:tcPr>
            <w:tcW w:w="979" w:type="pct"/>
            <w:noWrap/>
            <w:hideMark/>
          </w:tcPr>
          <w:p w14:paraId="65AF61CE" w14:textId="77777777" w:rsidR="003C126E" w:rsidRPr="00CA21ED" w:rsidRDefault="003C126E" w:rsidP="008A3DEB">
            <w:r w:rsidRPr="00CA21ED">
              <w:t xml:space="preserve">   Cycle 2</w:t>
            </w:r>
          </w:p>
        </w:tc>
        <w:tc>
          <w:tcPr>
            <w:tcW w:w="1856" w:type="pct"/>
            <w:noWrap/>
            <w:hideMark/>
          </w:tcPr>
          <w:p w14:paraId="14480710" w14:textId="77777777" w:rsidR="003C126E" w:rsidRPr="00CA21ED" w:rsidRDefault="003C126E" w:rsidP="008A3DEB">
            <w:r w:rsidRPr="00CA21ED">
              <w:t>0.081</w:t>
            </w:r>
          </w:p>
        </w:tc>
        <w:tc>
          <w:tcPr>
            <w:tcW w:w="2165" w:type="pct"/>
            <w:noWrap/>
            <w:hideMark/>
          </w:tcPr>
          <w:p w14:paraId="2A43A184" w14:textId="77777777" w:rsidR="003C126E" w:rsidRPr="00CA21ED" w:rsidRDefault="003C126E" w:rsidP="008A3DEB">
            <w:r w:rsidRPr="00CA21ED">
              <w:t>0.149</w:t>
            </w:r>
          </w:p>
        </w:tc>
      </w:tr>
      <w:tr w:rsidR="00FC458C" w:rsidRPr="00CA21ED" w14:paraId="2825B9FA" w14:textId="77777777" w:rsidTr="001F4383">
        <w:trPr>
          <w:trHeight w:val="288"/>
        </w:trPr>
        <w:tc>
          <w:tcPr>
            <w:tcW w:w="979" w:type="pct"/>
            <w:noWrap/>
            <w:hideMark/>
          </w:tcPr>
          <w:p w14:paraId="0A43DF06" w14:textId="77777777" w:rsidR="003C126E" w:rsidRPr="00CA21ED" w:rsidRDefault="003C126E" w:rsidP="008A3DEB">
            <w:r w:rsidRPr="00CA21ED">
              <w:t xml:space="preserve">   Cycle 3</w:t>
            </w:r>
          </w:p>
        </w:tc>
        <w:tc>
          <w:tcPr>
            <w:tcW w:w="1856" w:type="pct"/>
            <w:noWrap/>
            <w:hideMark/>
          </w:tcPr>
          <w:p w14:paraId="68CFA98A" w14:textId="77777777" w:rsidR="003C126E" w:rsidRPr="00CA21ED" w:rsidRDefault="003C126E" w:rsidP="008A3DEB">
            <w:r w:rsidRPr="00CA21ED">
              <w:t>0.071</w:t>
            </w:r>
          </w:p>
        </w:tc>
        <w:tc>
          <w:tcPr>
            <w:tcW w:w="2165" w:type="pct"/>
            <w:noWrap/>
            <w:hideMark/>
          </w:tcPr>
          <w:p w14:paraId="01A81477" w14:textId="77777777" w:rsidR="003C126E" w:rsidRPr="00CA21ED" w:rsidRDefault="003C126E" w:rsidP="008A3DEB">
            <w:r w:rsidRPr="00CA21ED">
              <w:t>0.130</w:t>
            </w:r>
          </w:p>
        </w:tc>
      </w:tr>
      <w:tr w:rsidR="00FC458C" w:rsidRPr="00CA21ED" w14:paraId="2BD4DD5F" w14:textId="77777777" w:rsidTr="001F4383">
        <w:trPr>
          <w:trHeight w:val="288"/>
        </w:trPr>
        <w:tc>
          <w:tcPr>
            <w:tcW w:w="979" w:type="pct"/>
            <w:noWrap/>
            <w:hideMark/>
          </w:tcPr>
          <w:p w14:paraId="4A5C6DC2" w14:textId="77777777" w:rsidR="003C126E" w:rsidRPr="00CA21ED" w:rsidRDefault="003C126E" w:rsidP="008A3DEB">
            <w:r w:rsidRPr="00CA21ED">
              <w:t xml:space="preserve">   Cycle 4</w:t>
            </w:r>
          </w:p>
        </w:tc>
        <w:tc>
          <w:tcPr>
            <w:tcW w:w="1856" w:type="pct"/>
            <w:noWrap/>
            <w:hideMark/>
          </w:tcPr>
          <w:p w14:paraId="56EB8AD2" w14:textId="77777777" w:rsidR="003C126E" w:rsidRPr="00CA21ED" w:rsidRDefault="003C126E" w:rsidP="008A3DEB">
            <w:r w:rsidRPr="00CA21ED">
              <w:t>0.058</w:t>
            </w:r>
          </w:p>
        </w:tc>
        <w:tc>
          <w:tcPr>
            <w:tcW w:w="2165" w:type="pct"/>
            <w:noWrap/>
            <w:hideMark/>
          </w:tcPr>
          <w:p w14:paraId="25398CA2" w14:textId="77777777" w:rsidR="003C126E" w:rsidRPr="00CA21ED" w:rsidRDefault="003C126E" w:rsidP="008A3DEB">
            <w:r w:rsidRPr="00CA21ED">
              <w:t>0.106</w:t>
            </w:r>
          </w:p>
        </w:tc>
      </w:tr>
      <w:tr w:rsidR="00FC458C" w:rsidRPr="00CA21ED" w14:paraId="4EE22A1C" w14:textId="77777777" w:rsidTr="001F4383">
        <w:trPr>
          <w:trHeight w:val="288"/>
        </w:trPr>
        <w:tc>
          <w:tcPr>
            <w:tcW w:w="979" w:type="pct"/>
            <w:noWrap/>
            <w:hideMark/>
          </w:tcPr>
          <w:p w14:paraId="203D5A08" w14:textId="77777777" w:rsidR="003C126E" w:rsidRPr="00CA21ED" w:rsidRDefault="003C126E" w:rsidP="008A3DEB">
            <w:r w:rsidRPr="00CA21ED">
              <w:t xml:space="preserve">   Cycle 5</w:t>
            </w:r>
          </w:p>
        </w:tc>
        <w:tc>
          <w:tcPr>
            <w:tcW w:w="1856" w:type="pct"/>
            <w:noWrap/>
            <w:hideMark/>
          </w:tcPr>
          <w:p w14:paraId="6CB3BA8C" w14:textId="77777777" w:rsidR="003C126E" w:rsidRPr="00CA21ED" w:rsidRDefault="003C126E" w:rsidP="008A3DEB">
            <w:r w:rsidRPr="00CA21ED">
              <w:t>0.032</w:t>
            </w:r>
          </w:p>
        </w:tc>
        <w:tc>
          <w:tcPr>
            <w:tcW w:w="2165" w:type="pct"/>
            <w:noWrap/>
            <w:hideMark/>
          </w:tcPr>
          <w:p w14:paraId="46087E4D" w14:textId="77777777" w:rsidR="003C126E" w:rsidRPr="00CA21ED" w:rsidRDefault="003C126E" w:rsidP="008A3DEB">
            <w:r w:rsidRPr="00CA21ED">
              <w:t>0.059</w:t>
            </w:r>
          </w:p>
        </w:tc>
      </w:tr>
      <w:tr w:rsidR="00FC458C" w:rsidRPr="00CA21ED" w14:paraId="424E7EFD" w14:textId="77777777" w:rsidTr="001F4383">
        <w:trPr>
          <w:trHeight w:val="288"/>
        </w:trPr>
        <w:tc>
          <w:tcPr>
            <w:tcW w:w="979" w:type="pct"/>
            <w:noWrap/>
            <w:hideMark/>
          </w:tcPr>
          <w:p w14:paraId="557661B7" w14:textId="77777777" w:rsidR="003C126E" w:rsidRPr="00CA21ED" w:rsidRDefault="003C126E" w:rsidP="008A3DEB">
            <w:r w:rsidRPr="00CA21ED">
              <w:t xml:space="preserve">   Cycle 6</w:t>
            </w:r>
          </w:p>
        </w:tc>
        <w:tc>
          <w:tcPr>
            <w:tcW w:w="1856" w:type="pct"/>
            <w:noWrap/>
            <w:hideMark/>
          </w:tcPr>
          <w:p w14:paraId="398F98C0" w14:textId="77777777" w:rsidR="003C126E" w:rsidRPr="00CA21ED" w:rsidRDefault="003C126E" w:rsidP="008A3DEB">
            <w:r w:rsidRPr="00CA21ED">
              <w:t>0.057</w:t>
            </w:r>
          </w:p>
        </w:tc>
        <w:tc>
          <w:tcPr>
            <w:tcW w:w="2165" w:type="pct"/>
            <w:noWrap/>
            <w:hideMark/>
          </w:tcPr>
          <w:p w14:paraId="54E3CD79" w14:textId="77777777" w:rsidR="003C126E" w:rsidRPr="00CA21ED" w:rsidRDefault="003C126E" w:rsidP="008A3DEB">
            <w:r w:rsidRPr="00CA21ED">
              <w:t>0.105</w:t>
            </w:r>
          </w:p>
        </w:tc>
      </w:tr>
      <w:tr w:rsidR="00FC458C" w:rsidRPr="00CA21ED" w14:paraId="7852276D" w14:textId="77777777" w:rsidTr="001F4383">
        <w:trPr>
          <w:trHeight w:val="288"/>
        </w:trPr>
        <w:tc>
          <w:tcPr>
            <w:tcW w:w="979" w:type="pct"/>
            <w:noWrap/>
            <w:hideMark/>
          </w:tcPr>
          <w:p w14:paraId="586A7631" w14:textId="77777777" w:rsidR="003C126E" w:rsidRPr="00CA21ED" w:rsidRDefault="003C126E" w:rsidP="008A3DEB">
            <w:r w:rsidRPr="00CA21ED">
              <w:t xml:space="preserve">   Cycle 7</w:t>
            </w:r>
          </w:p>
        </w:tc>
        <w:tc>
          <w:tcPr>
            <w:tcW w:w="1856" w:type="pct"/>
            <w:noWrap/>
            <w:hideMark/>
          </w:tcPr>
          <w:p w14:paraId="07451E2E" w14:textId="77777777" w:rsidR="003C126E" w:rsidRPr="00CA21ED" w:rsidRDefault="003C126E" w:rsidP="008A3DEB">
            <w:r w:rsidRPr="00CA21ED">
              <w:t>0.025</w:t>
            </w:r>
          </w:p>
        </w:tc>
        <w:tc>
          <w:tcPr>
            <w:tcW w:w="2165" w:type="pct"/>
            <w:noWrap/>
            <w:hideMark/>
          </w:tcPr>
          <w:p w14:paraId="01A37F2A" w14:textId="77777777" w:rsidR="003C126E" w:rsidRPr="00CA21ED" w:rsidRDefault="003C126E" w:rsidP="008A3DEB">
            <w:r w:rsidRPr="00CA21ED">
              <w:t>0.046</w:t>
            </w:r>
          </w:p>
        </w:tc>
      </w:tr>
      <w:tr w:rsidR="00FC458C" w:rsidRPr="00CA21ED" w14:paraId="6A903761" w14:textId="77777777" w:rsidTr="001F4383">
        <w:trPr>
          <w:trHeight w:val="288"/>
        </w:trPr>
        <w:tc>
          <w:tcPr>
            <w:tcW w:w="979" w:type="pct"/>
            <w:noWrap/>
            <w:hideMark/>
          </w:tcPr>
          <w:p w14:paraId="02BF7125" w14:textId="77777777" w:rsidR="003C126E" w:rsidRPr="00CA21ED" w:rsidRDefault="003C126E" w:rsidP="008A3DEB">
            <w:r w:rsidRPr="00CA21ED">
              <w:t xml:space="preserve">   Cycle 8</w:t>
            </w:r>
          </w:p>
        </w:tc>
        <w:tc>
          <w:tcPr>
            <w:tcW w:w="1856" w:type="pct"/>
            <w:noWrap/>
            <w:hideMark/>
          </w:tcPr>
          <w:p w14:paraId="056450B7" w14:textId="77777777" w:rsidR="003C126E" w:rsidRPr="00CA21ED" w:rsidRDefault="003C126E" w:rsidP="008A3DEB">
            <w:r w:rsidRPr="00CA21ED">
              <w:t>0.06</w:t>
            </w:r>
          </w:p>
        </w:tc>
        <w:tc>
          <w:tcPr>
            <w:tcW w:w="2165" w:type="pct"/>
            <w:noWrap/>
            <w:hideMark/>
          </w:tcPr>
          <w:p w14:paraId="74793FC4" w14:textId="77777777" w:rsidR="003C126E" w:rsidRPr="00CA21ED" w:rsidRDefault="003C126E" w:rsidP="008A3DEB">
            <w:r w:rsidRPr="00CA21ED">
              <w:t>0.110</w:t>
            </w:r>
          </w:p>
        </w:tc>
      </w:tr>
      <w:tr w:rsidR="00FC458C" w:rsidRPr="00CA21ED" w14:paraId="51FE99C5" w14:textId="77777777" w:rsidTr="001F4383">
        <w:trPr>
          <w:trHeight w:val="288"/>
        </w:trPr>
        <w:tc>
          <w:tcPr>
            <w:tcW w:w="979" w:type="pct"/>
            <w:noWrap/>
            <w:hideMark/>
          </w:tcPr>
          <w:p w14:paraId="39A9789A" w14:textId="77777777" w:rsidR="003C126E" w:rsidRPr="00CA21ED" w:rsidRDefault="003C126E" w:rsidP="008A3DEB">
            <w:r w:rsidRPr="00CA21ED">
              <w:t xml:space="preserve">   Cycle 9</w:t>
            </w:r>
          </w:p>
        </w:tc>
        <w:tc>
          <w:tcPr>
            <w:tcW w:w="1856" w:type="pct"/>
            <w:noWrap/>
            <w:hideMark/>
          </w:tcPr>
          <w:p w14:paraId="35848928" w14:textId="77777777" w:rsidR="003C126E" w:rsidRPr="00CA21ED" w:rsidRDefault="003C126E" w:rsidP="008A3DEB">
            <w:r w:rsidRPr="00CA21ED">
              <w:t>0.038</w:t>
            </w:r>
          </w:p>
        </w:tc>
        <w:tc>
          <w:tcPr>
            <w:tcW w:w="2165" w:type="pct"/>
            <w:noWrap/>
            <w:hideMark/>
          </w:tcPr>
          <w:p w14:paraId="388E9BDF" w14:textId="77777777" w:rsidR="003C126E" w:rsidRPr="00CA21ED" w:rsidRDefault="003C126E" w:rsidP="008A3DEB">
            <w:r w:rsidRPr="00CA21ED">
              <w:t>0.070</w:t>
            </w:r>
          </w:p>
        </w:tc>
      </w:tr>
      <w:tr w:rsidR="00FC458C" w:rsidRPr="00CA21ED" w14:paraId="628A2FD3" w14:textId="77777777" w:rsidTr="001F4383">
        <w:trPr>
          <w:trHeight w:val="288"/>
        </w:trPr>
        <w:tc>
          <w:tcPr>
            <w:tcW w:w="979" w:type="pct"/>
            <w:noWrap/>
            <w:hideMark/>
          </w:tcPr>
          <w:p w14:paraId="2F5DF9A7" w14:textId="77777777" w:rsidR="003C126E" w:rsidRPr="00CA21ED" w:rsidRDefault="003C126E" w:rsidP="008A3DEB">
            <w:r w:rsidRPr="00CA21ED">
              <w:t xml:space="preserve">   Cycle 10</w:t>
            </w:r>
          </w:p>
        </w:tc>
        <w:tc>
          <w:tcPr>
            <w:tcW w:w="1856" w:type="pct"/>
            <w:noWrap/>
            <w:hideMark/>
          </w:tcPr>
          <w:p w14:paraId="433F4267" w14:textId="77777777" w:rsidR="003C126E" w:rsidRPr="00CA21ED" w:rsidRDefault="003C126E" w:rsidP="008A3DEB">
            <w:r w:rsidRPr="00CA21ED">
              <w:t>0.036</w:t>
            </w:r>
          </w:p>
        </w:tc>
        <w:tc>
          <w:tcPr>
            <w:tcW w:w="2165" w:type="pct"/>
            <w:noWrap/>
            <w:hideMark/>
          </w:tcPr>
          <w:p w14:paraId="6CE32EE0" w14:textId="77777777" w:rsidR="003C126E" w:rsidRPr="00CA21ED" w:rsidRDefault="003C126E" w:rsidP="008A3DEB">
            <w:r w:rsidRPr="00CA21ED">
              <w:t>0.066</w:t>
            </w:r>
          </w:p>
        </w:tc>
      </w:tr>
      <w:tr w:rsidR="00FC458C" w:rsidRPr="00CA21ED" w14:paraId="23F33AF6" w14:textId="77777777" w:rsidTr="001F4383">
        <w:trPr>
          <w:trHeight w:val="288"/>
        </w:trPr>
        <w:tc>
          <w:tcPr>
            <w:tcW w:w="979" w:type="pct"/>
            <w:noWrap/>
            <w:hideMark/>
          </w:tcPr>
          <w:p w14:paraId="6A599395" w14:textId="77777777" w:rsidR="003C126E" w:rsidRPr="00CA21ED" w:rsidRDefault="003C126E" w:rsidP="008A3DEB">
            <w:r w:rsidRPr="00CA21ED">
              <w:t xml:space="preserve">   Cycle 11</w:t>
            </w:r>
          </w:p>
        </w:tc>
        <w:tc>
          <w:tcPr>
            <w:tcW w:w="1856" w:type="pct"/>
            <w:noWrap/>
            <w:hideMark/>
          </w:tcPr>
          <w:p w14:paraId="097FA47B" w14:textId="77777777" w:rsidR="003C126E" w:rsidRPr="00CA21ED" w:rsidRDefault="003C126E" w:rsidP="008A3DEB">
            <w:r w:rsidRPr="00CA21ED">
              <w:t>0.034</w:t>
            </w:r>
          </w:p>
        </w:tc>
        <w:tc>
          <w:tcPr>
            <w:tcW w:w="2165" w:type="pct"/>
            <w:noWrap/>
            <w:hideMark/>
          </w:tcPr>
          <w:p w14:paraId="00D5C500" w14:textId="77777777" w:rsidR="003C126E" w:rsidRPr="00CA21ED" w:rsidRDefault="003C126E" w:rsidP="008A3DEB">
            <w:r w:rsidRPr="00CA21ED">
              <w:t>0.062</w:t>
            </w:r>
          </w:p>
        </w:tc>
      </w:tr>
      <w:tr w:rsidR="00FC458C" w:rsidRPr="00CA21ED" w14:paraId="6C2882B7" w14:textId="77777777" w:rsidTr="001F4383">
        <w:trPr>
          <w:trHeight w:val="288"/>
        </w:trPr>
        <w:tc>
          <w:tcPr>
            <w:tcW w:w="979" w:type="pct"/>
            <w:noWrap/>
            <w:hideMark/>
          </w:tcPr>
          <w:p w14:paraId="4529BE6B" w14:textId="77777777" w:rsidR="003C126E" w:rsidRPr="00CA21ED" w:rsidRDefault="003C126E" w:rsidP="008A3DEB">
            <w:r w:rsidRPr="00CA21ED">
              <w:t xml:space="preserve">   Cycle 12</w:t>
            </w:r>
          </w:p>
        </w:tc>
        <w:tc>
          <w:tcPr>
            <w:tcW w:w="1856" w:type="pct"/>
            <w:noWrap/>
            <w:hideMark/>
          </w:tcPr>
          <w:p w14:paraId="6D7AE60C" w14:textId="77777777" w:rsidR="003C126E" w:rsidRPr="00CA21ED" w:rsidRDefault="003C126E" w:rsidP="008A3DEB">
            <w:r w:rsidRPr="00CA21ED">
              <w:t>0.033</w:t>
            </w:r>
          </w:p>
        </w:tc>
        <w:tc>
          <w:tcPr>
            <w:tcW w:w="2165" w:type="pct"/>
            <w:noWrap/>
            <w:hideMark/>
          </w:tcPr>
          <w:p w14:paraId="1ED85458" w14:textId="77777777" w:rsidR="003C126E" w:rsidRPr="00CA21ED" w:rsidRDefault="003C126E" w:rsidP="008A3DEB">
            <w:r w:rsidRPr="00CA21ED">
              <w:t>0.061</w:t>
            </w:r>
          </w:p>
        </w:tc>
      </w:tr>
      <w:tr w:rsidR="00FC458C" w:rsidRPr="00CA21ED" w14:paraId="4F6EAEDD" w14:textId="77777777" w:rsidTr="001F4383">
        <w:trPr>
          <w:trHeight w:val="288"/>
        </w:trPr>
        <w:tc>
          <w:tcPr>
            <w:tcW w:w="979" w:type="pct"/>
            <w:noWrap/>
            <w:hideMark/>
          </w:tcPr>
          <w:p w14:paraId="692BA302" w14:textId="77777777" w:rsidR="003C126E" w:rsidRPr="00CA21ED" w:rsidRDefault="003C126E" w:rsidP="008A3DEB">
            <w:r w:rsidRPr="00CA21ED">
              <w:t xml:space="preserve">   Cycle 13</w:t>
            </w:r>
          </w:p>
        </w:tc>
        <w:tc>
          <w:tcPr>
            <w:tcW w:w="1856" w:type="pct"/>
            <w:noWrap/>
            <w:hideMark/>
          </w:tcPr>
          <w:p w14:paraId="4A197FBC" w14:textId="77777777" w:rsidR="003C126E" w:rsidRPr="00CA21ED" w:rsidRDefault="003C126E" w:rsidP="008A3DEB">
            <w:r w:rsidRPr="00CA21ED">
              <w:t>0.031</w:t>
            </w:r>
          </w:p>
        </w:tc>
        <w:tc>
          <w:tcPr>
            <w:tcW w:w="2165" w:type="pct"/>
            <w:noWrap/>
            <w:hideMark/>
          </w:tcPr>
          <w:p w14:paraId="4F461A60" w14:textId="77777777" w:rsidR="003C126E" w:rsidRPr="00CA21ED" w:rsidRDefault="003C126E" w:rsidP="008A3DEB">
            <w:r w:rsidRPr="00CA21ED">
              <w:t>0.057</w:t>
            </w:r>
          </w:p>
        </w:tc>
      </w:tr>
      <w:tr w:rsidR="00FC458C" w:rsidRPr="00CA21ED" w14:paraId="699E41D6" w14:textId="77777777" w:rsidTr="001F4383">
        <w:trPr>
          <w:trHeight w:val="288"/>
        </w:trPr>
        <w:tc>
          <w:tcPr>
            <w:tcW w:w="979" w:type="pct"/>
            <w:noWrap/>
            <w:hideMark/>
          </w:tcPr>
          <w:p w14:paraId="643733E4" w14:textId="77777777" w:rsidR="003C126E" w:rsidRPr="00CA21ED" w:rsidRDefault="003C126E" w:rsidP="008A3DEB">
            <w:r w:rsidRPr="00CA21ED">
              <w:t xml:space="preserve">   Cycle 14</w:t>
            </w:r>
          </w:p>
        </w:tc>
        <w:tc>
          <w:tcPr>
            <w:tcW w:w="1856" w:type="pct"/>
            <w:noWrap/>
            <w:hideMark/>
          </w:tcPr>
          <w:p w14:paraId="34CEA957" w14:textId="77777777" w:rsidR="003C126E" w:rsidRPr="00CA21ED" w:rsidRDefault="003C126E" w:rsidP="008A3DEB">
            <w:r w:rsidRPr="00CA21ED">
              <w:t>0.03</w:t>
            </w:r>
          </w:p>
        </w:tc>
        <w:tc>
          <w:tcPr>
            <w:tcW w:w="2165" w:type="pct"/>
            <w:noWrap/>
            <w:hideMark/>
          </w:tcPr>
          <w:p w14:paraId="77433D94" w14:textId="77777777" w:rsidR="003C126E" w:rsidRPr="00CA21ED" w:rsidRDefault="003C126E" w:rsidP="008A3DEB">
            <w:r w:rsidRPr="00CA21ED">
              <w:t>0.055</w:t>
            </w:r>
          </w:p>
        </w:tc>
      </w:tr>
      <w:tr w:rsidR="00FC458C" w:rsidRPr="00CA21ED" w14:paraId="60B62963" w14:textId="77777777" w:rsidTr="001F4383">
        <w:trPr>
          <w:trHeight w:val="288"/>
        </w:trPr>
        <w:tc>
          <w:tcPr>
            <w:tcW w:w="979" w:type="pct"/>
            <w:noWrap/>
            <w:hideMark/>
          </w:tcPr>
          <w:p w14:paraId="77509E4F" w14:textId="77777777" w:rsidR="003C126E" w:rsidRPr="00CA21ED" w:rsidRDefault="003C126E" w:rsidP="008A3DEB">
            <w:r w:rsidRPr="00CA21ED">
              <w:t xml:space="preserve">   Cycle 15</w:t>
            </w:r>
          </w:p>
        </w:tc>
        <w:tc>
          <w:tcPr>
            <w:tcW w:w="1856" w:type="pct"/>
            <w:noWrap/>
            <w:hideMark/>
          </w:tcPr>
          <w:p w14:paraId="6AD6284B" w14:textId="77777777" w:rsidR="003C126E" w:rsidRPr="00CA21ED" w:rsidRDefault="003C126E" w:rsidP="008A3DEB">
            <w:r w:rsidRPr="00CA21ED">
              <w:t>0.029</w:t>
            </w:r>
          </w:p>
        </w:tc>
        <w:tc>
          <w:tcPr>
            <w:tcW w:w="2165" w:type="pct"/>
            <w:noWrap/>
            <w:hideMark/>
          </w:tcPr>
          <w:p w14:paraId="34D4BF28" w14:textId="77777777" w:rsidR="003C126E" w:rsidRPr="00CA21ED" w:rsidRDefault="003C126E" w:rsidP="008A3DEB">
            <w:r w:rsidRPr="00CA21ED">
              <w:t>0.053</w:t>
            </w:r>
          </w:p>
        </w:tc>
      </w:tr>
      <w:tr w:rsidR="00FC458C" w:rsidRPr="00CA21ED" w14:paraId="339417B3" w14:textId="77777777" w:rsidTr="001F4383">
        <w:trPr>
          <w:trHeight w:val="288"/>
        </w:trPr>
        <w:tc>
          <w:tcPr>
            <w:tcW w:w="979" w:type="pct"/>
            <w:noWrap/>
            <w:hideMark/>
          </w:tcPr>
          <w:p w14:paraId="475E9C39" w14:textId="77777777" w:rsidR="003C126E" w:rsidRPr="00CA21ED" w:rsidRDefault="003C126E" w:rsidP="008A3DEB">
            <w:r w:rsidRPr="00CA21ED">
              <w:t xml:space="preserve">   Cycle 16</w:t>
            </w:r>
          </w:p>
        </w:tc>
        <w:tc>
          <w:tcPr>
            <w:tcW w:w="1856" w:type="pct"/>
            <w:noWrap/>
            <w:hideMark/>
          </w:tcPr>
          <w:p w14:paraId="139C07B5" w14:textId="77777777" w:rsidR="003C126E" w:rsidRPr="00CA21ED" w:rsidRDefault="003C126E" w:rsidP="008A3DEB">
            <w:r w:rsidRPr="00CA21ED">
              <w:t>0.028</w:t>
            </w:r>
          </w:p>
        </w:tc>
        <w:tc>
          <w:tcPr>
            <w:tcW w:w="2165" w:type="pct"/>
            <w:noWrap/>
            <w:hideMark/>
          </w:tcPr>
          <w:p w14:paraId="63E06BCA" w14:textId="77777777" w:rsidR="003C126E" w:rsidRPr="00CA21ED" w:rsidRDefault="003C126E" w:rsidP="008A3DEB">
            <w:r w:rsidRPr="00CA21ED">
              <w:t>0.051</w:t>
            </w:r>
          </w:p>
        </w:tc>
      </w:tr>
    </w:tbl>
    <w:p w14:paraId="535DF668" w14:textId="04B7BF48" w:rsidR="003C126E" w:rsidRPr="00CA21ED" w:rsidRDefault="003C126E" w:rsidP="003C126E">
      <w:r w:rsidRPr="00CA21ED">
        <w:t>Abbreviations: FN, false negative</w:t>
      </w:r>
      <w:r w:rsidR="00205631" w:rsidRPr="00CA21ED">
        <w:t>; HF, readmission; TP, true positive</w:t>
      </w:r>
      <w:r w:rsidRPr="00CA21ED">
        <w:t>.</w:t>
      </w:r>
    </w:p>
    <w:p w14:paraId="0000007B" w14:textId="50222110" w:rsidR="00866D36" w:rsidRPr="00CA21ED" w:rsidRDefault="007B532F">
      <w:pPr>
        <w:pStyle w:val="Heading1"/>
      </w:pPr>
      <w:r w:rsidRPr="00CA21ED">
        <w:t>Additional model parameters</w:t>
      </w:r>
    </w:p>
    <w:p w14:paraId="0000007C" w14:textId="77777777" w:rsidR="00866D36" w:rsidRPr="00CA21ED" w:rsidRDefault="007B532F">
      <w:pPr>
        <w:pStyle w:val="Heading2"/>
      </w:pPr>
      <w:r w:rsidRPr="00CA21ED">
        <w:t>Follow-up care costs</w:t>
      </w:r>
    </w:p>
    <w:p w14:paraId="0000007D" w14:textId="207998EA" w:rsidR="00866D36" w:rsidRPr="00CA21ED" w:rsidRDefault="007B532F">
      <w:r w:rsidRPr="00CA21ED">
        <w:t xml:space="preserve">Within the model, patients could receive cardiology follow-up and/or heart failure specialist nurse (HFSN) follow-up. The proportion of patients receiving each service was taken from the latest national heart failure audit, with 46% receiving cardiologist follow-up and 55% receiving HFSN follow-up </w:t>
      </w:r>
      <w:r w:rsidR="00D72311" w:rsidRPr="00CA21ED">
        <w:fldChar w:fldCharType="begin"/>
      </w:r>
      <w:r w:rsidR="001E5420" w:rsidRPr="00CA21ED">
        <w:instrText xml:space="preserve"> ADDIN EN.CITE &lt;EndNote&gt;&lt;Cite&gt;&lt;Author&gt;The National Institute for Cardiovascular Outcomes Research (NICOR)&lt;/Author&gt;&lt;Year&gt;2021&lt;/Year&gt;&lt;RecNum&gt;12&lt;/RecNum&gt;&lt;DisplayText&gt;(11)&lt;/DisplayText&gt;&lt;record&gt;&lt;rec-number&gt;12&lt;/rec-number&gt;&lt;foreign-keys&gt;&lt;key app="EN" db-id="f9e92ea9tpxdzoex9spxs9asfpp0rx2xe2s2" timestamp="1643129472"&gt;12&lt;/key&gt;&lt;/foreign-keys&gt;&lt;ref-type name="Web Page"&gt;12&lt;/ref-type&gt;&lt;contributors&gt;&lt;authors&gt;&lt;author&gt;The National Institute for Cardiovascular Outcomes Research (NICOR),&lt;/author&gt;&lt;/authors&gt;&lt;/contributors&gt;&lt;titles&gt;&lt;title&gt;National Cardiac Audit Programme National Heart Failure Audit (NHFA) 2021 Summary Report (2019/20 data)&lt;/title&gt;&lt;/titles&gt;&lt;number&gt;25 January 2022&lt;/number&gt;&lt;dates&gt;&lt;year&gt;2021&lt;/year&gt;&lt;/dates&gt;&lt;urls&gt;&lt;related-urls&gt;&lt;url&gt;https://www.nicor.org.uk/wp-content/uploads/2021/10/NHFA-Domain-Report_2021_FINAL.pdf&lt;/url&gt;&lt;/related-urls&gt;&lt;/urls&gt;&lt;/record&gt;&lt;/Cite&gt;&lt;/EndNote&gt;</w:instrText>
      </w:r>
      <w:r w:rsidR="00D72311" w:rsidRPr="00CA21ED">
        <w:fldChar w:fldCharType="separate"/>
      </w:r>
      <w:r w:rsidR="001E5420" w:rsidRPr="00CA21ED">
        <w:rPr>
          <w:noProof/>
        </w:rPr>
        <w:t>(11)</w:t>
      </w:r>
      <w:r w:rsidR="00D72311" w:rsidRPr="00CA21ED">
        <w:fldChar w:fldCharType="end"/>
      </w:r>
      <w:r w:rsidRPr="00CA21ED">
        <w:t xml:space="preserve"> </w:t>
      </w:r>
      <w:r w:rsidRPr="00CA21ED">
        <w:lastRenderedPageBreak/>
        <w:t>(</w:t>
      </w:r>
      <w:r w:rsidR="0032283A" w:rsidRPr="00CA21ED">
        <w:fldChar w:fldCharType="begin"/>
      </w:r>
      <w:r w:rsidR="0032283A" w:rsidRPr="00CA21ED">
        <w:instrText xml:space="preserve"> REF _Ref100153423 \h </w:instrText>
      </w:r>
      <w:r w:rsidR="0032283A" w:rsidRPr="00CA21ED">
        <w:fldChar w:fldCharType="separate"/>
      </w:r>
      <w:r w:rsidR="00A47A11" w:rsidRPr="00CA21ED">
        <w:t xml:space="preserve">Table </w:t>
      </w:r>
      <w:r w:rsidR="00A47A11">
        <w:rPr>
          <w:noProof/>
        </w:rPr>
        <w:t>6</w:t>
      </w:r>
      <w:r w:rsidR="0032283A" w:rsidRPr="00CA21ED">
        <w:fldChar w:fldCharType="end"/>
      </w:r>
      <w:r w:rsidRPr="00CA21ED">
        <w:t>). Per annum itemised resource use for each of these follow-up services was sourced from NICE CG187. Costs were sourced from NICE CG187 and updated to include the latest figures from either NHS Reference Costs or PSSRU Unit Costs (</w:t>
      </w:r>
      <w:r w:rsidR="0032283A" w:rsidRPr="00CA21ED">
        <w:fldChar w:fldCharType="begin"/>
      </w:r>
      <w:r w:rsidR="0032283A" w:rsidRPr="00CA21ED">
        <w:instrText xml:space="preserve"> REF _Ref100153463 \h </w:instrText>
      </w:r>
      <w:r w:rsidR="0032283A" w:rsidRPr="00CA21ED">
        <w:fldChar w:fldCharType="separate"/>
      </w:r>
      <w:r w:rsidR="00A47A11" w:rsidRPr="00CA21ED">
        <w:t xml:space="preserve">Table </w:t>
      </w:r>
      <w:r w:rsidR="00A47A11">
        <w:rPr>
          <w:noProof/>
        </w:rPr>
        <w:t>7</w:t>
      </w:r>
      <w:r w:rsidR="0032283A" w:rsidRPr="00CA21ED">
        <w:fldChar w:fldCharType="end"/>
      </w:r>
      <w:r w:rsidRPr="00CA21ED">
        <w:t>).</w:t>
      </w:r>
    </w:p>
    <w:p w14:paraId="0000007E" w14:textId="2D3EE281" w:rsidR="00866D36" w:rsidRPr="00CA21ED" w:rsidRDefault="00FF7C95" w:rsidP="00FF7C95">
      <w:pPr>
        <w:pStyle w:val="Caption"/>
      </w:pPr>
      <w:bookmarkStart w:id="24" w:name="_heading=h.26in1rg" w:colFirst="0" w:colLast="0"/>
      <w:bookmarkStart w:id="25" w:name="_Ref100153423"/>
      <w:bookmarkEnd w:id="24"/>
      <w:r w:rsidRPr="00CA21ED">
        <w:t xml:space="preserve">Table </w:t>
      </w:r>
      <w:fldSimple w:instr=" SEQ Table \* ARABIC ">
        <w:r w:rsidR="00A47A11">
          <w:rPr>
            <w:noProof/>
          </w:rPr>
          <w:t>6</w:t>
        </w:r>
      </w:fldSimple>
      <w:bookmarkEnd w:id="25"/>
      <w:r w:rsidRPr="00CA21ED">
        <w:t>: Resource use for follow-up services</w:t>
      </w:r>
    </w:p>
    <w:tbl>
      <w:tblPr>
        <w:tblStyle w:val="TableGrid"/>
        <w:tblW w:w="9350" w:type="dxa"/>
        <w:tblLayout w:type="fixed"/>
        <w:tblLook w:val="0600" w:firstRow="0" w:lastRow="0" w:firstColumn="0" w:lastColumn="0" w:noHBand="1" w:noVBand="1"/>
      </w:tblPr>
      <w:tblGrid>
        <w:gridCol w:w="5456"/>
        <w:gridCol w:w="1814"/>
        <w:gridCol w:w="2080"/>
      </w:tblGrid>
      <w:tr w:rsidR="00866D36" w:rsidRPr="00CA21ED" w14:paraId="2B65FF0B" w14:textId="77777777" w:rsidTr="001C28EA">
        <w:trPr>
          <w:trHeight w:val="309"/>
        </w:trPr>
        <w:tc>
          <w:tcPr>
            <w:tcW w:w="5456" w:type="dxa"/>
          </w:tcPr>
          <w:p w14:paraId="0000007F" w14:textId="77777777" w:rsidR="00866D36" w:rsidRPr="00CA21ED" w:rsidRDefault="007B532F">
            <w:r w:rsidRPr="00CA21ED">
              <w:t>Follow-up service</w:t>
            </w:r>
          </w:p>
        </w:tc>
        <w:tc>
          <w:tcPr>
            <w:tcW w:w="1814" w:type="dxa"/>
          </w:tcPr>
          <w:p w14:paraId="00000080" w14:textId="77777777" w:rsidR="00866D36" w:rsidRPr="00CA21ED" w:rsidRDefault="007B532F">
            <w:r w:rsidRPr="00CA21ED">
              <w:t>Receiving service</w:t>
            </w:r>
          </w:p>
        </w:tc>
        <w:tc>
          <w:tcPr>
            <w:tcW w:w="2080" w:type="dxa"/>
          </w:tcPr>
          <w:p w14:paraId="00000081" w14:textId="77777777" w:rsidR="00866D36" w:rsidRPr="00CA21ED" w:rsidRDefault="007B532F">
            <w:r w:rsidRPr="00CA21ED">
              <w:t>Not receiving service</w:t>
            </w:r>
          </w:p>
        </w:tc>
      </w:tr>
      <w:tr w:rsidR="00866D36" w:rsidRPr="00CA21ED" w14:paraId="02F617C0" w14:textId="77777777" w:rsidTr="001C28EA">
        <w:trPr>
          <w:trHeight w:val="309"/>
        </w:trPr>
        <w:tc>
          <w:tcPr>
            <w:tcW w:w="9350" w:type="dxa"/>
            <w:gridSpan w:val="3"/>
          </w:tcPr>
          <w:p w14:paraId="00000082" w14:textId="77777777" w:rsidR="00866D36" w:rsidRPr="00CA21ED" w:rsidRDefault="007B532F">
            <w:pPr>
              <w:rPr>
                <w:rFonts w:ascii="Times New Roman" w:eastAsia="Times New Roman" w:hAnsi="Times New Roman" w:cs="Times New Roman"/>
              </w:rPr>
            </w:pPr>
            <w:r w:rsidRPr="00CA21ED">
              <w:t>Cardiology</w:t>
            </w:r>
          </w:p>
        </w:tc>
      </w:tr>
      <w:tr w:rsidR="00866D36" w:rsidRPr="00CA21ED" w14:paraId="35F9D08E" w14:textId="77777777" w:rsidTr="001C28EA">
        <w:trPr>
          <w:trHeight w:val="309"/>
        </w:trPr>
        <w:tc>
          <w:tcPr>
            <w:tcW w:w="5456" w:type="dxa"/>
          </w:tcPr>
          <w:p w14:paraId="00000085" w14:textId="77777777" w:rsidR="00866D36" w:rsidRPr="00CA21ED" w:rsidRDefault="007B532F">
            <w:r w:rsidRPr="00CA21ED">
              <w:t>Outpatient visit (first year)</w:t>
            </w:r>
          </w:p>
        </w:tc>
        <w:tc>
          <w:tcPr>
            <w:tcW w:w="1814" w:type="dxa"/>
          </w:tcPr>
          <w:p w14:paraId="00000086" w14:textId="77777777" w:rsidR="00866D36" w:rsidRPr="00CA21ED" w:rsidRDefault="007B532F">
            <w:r w:rsidRPr="00CA21ED">
              <w:t>2</w:t>
            </w:r>
          </w:p>
        </w:tc>
        <w:tc>
          <w:tcPr>
            <w:tcW w:w="2080" w:type="dxa"/>
          </w:tcPr>
          <w:p w14:paraId="00000087" w14:textId="77777777" w:rsidR="00866D36" w:rsidRPr="00CA21ED" w:rsidRDefault="007B532F">
            <w:r w:rsidRPr="00CA21ED">
              <w:t>0</w:t>
            </w:r>
          </w:p>
        </w:tc>
      </w:tr>
      <w:tr w:rsidR="00866D36" w:rsidRPr="00CA21ED" w14:paraId="4BC2AD15" w14:textId="77777777" w:rsidTr="001C28EA">
        <w:trPr>
          <w:trHeight w:val="309"/>
        </w:trPr>
        <w:tc>
          <w:tcPr>
            <w:tcW w:w="5456" w:type="dxa"/>
          </w:tcPr>
          <w:p w14:paraId="00000088" w14:textId="77777777" w:rsidR="00866D36" w:rsidRPr="00CA21ED" w:rsidRDefault="007B532F">
            <w:r w:rsidRPr="00CA21ED">
              <w:t>Outpatient visit (subsequent years)</w:t>
            </w:r>
          </w:p>
        </w:tc>
        <w:tc>
          <w:tcPr>
            <w:tcW w:w="1814" w:type="dxa"/>
          </w:tcPr>
          <w:p w14:paraId="00000089" w14:textId="77777777" w:rsidR="00866D36" w:rsidRPr="00CA21ED" w:rsidRDefault="007B532F">
            <w:r w:rsidRPr="00CA21ED">
              <w:t>1</w:t>
            </w:r>
          </w:p>
        </w:tc>
        <w:tc>
          <w:tcPr>
            <w:tcW w:w="2080" w:type="dxa"/>
          </w:tcPr>
          <w:p w14:paraId="0000008A" w14:textId="77777777" w:rsidR="00866D36" w:rsidRPr="00CA21ED" w:rsidRDefault="007B532F">
            <w:r w:rsidRPr="00CA21ED">
              <w:t>0</w:t>
            </w:r>
          </w:p>
        </w:tc>
      </w:tr>
      <w:tr w:rsidR="00866D36" w:rsidRPr="00CA21ED" w14:paraId="0676D2C7" w14:textId="77777777" w:rsidTr="001C28EA">
        <w:trPr>
          <w:trHeight w:val="309"/>
        </w:trPr>
        <w:tc>
          <w:tcPr>
            <w:tcW w:w="5456" w:type="dxa"/>
          </w:tcPr>
          <w:p w14:paraId="0000008B" w14:textId="77777777" w:rsidR="00866D36" w:rsidRPr="00CA21ED" w:rsidRDefault="007B532F">
            <w:r w:rsidRPr="00CA21ED">
              <w:t>NT-proBNP tests (first year)</w:t>
            </w:r>
          </w:p>
        </w:tc>
        <w:tc>
          <w:tcPr>
            <w:tcW w:w="1814" w:type="dxa"/>
          </w:tcPr>
          <w:p w14:paraId="0000008C" w14:textId="77777777" w:rsidR="00866D36" w:rsidRPr="00CA21ED" w:rsidRDefault="007B532F">
            <w:r w:rsidRPr="00CA21ED">
              <w:t>2</w:t>
            </w:r>
          </w:p>
        </w:tc>
        <w:tc>
          <w:tcPr>
            <w:tcW w:w="2080" w:type="dxa"/>
          </w:tcPr>
          <w:p w14:paraId="0000008D" w14:textId="77777777" w:rsidR="00866D36" w:rsidRPr="00CA21ED" w:rsidRDefault="007B532F">
            <w:r w:rsidRPr="00CA21ED">
              <w:t>0</w:t>
            </w:r>
          </w:p>
        </w:tc>
      </w:tr>
      <w:tr w:rsidR="00866D36" w:rsidRPr="00CA21ED" w14:paraId="1780CF19" w14:textId="77777777" w:rsidTr="001C28EA">
        <w:trPr>
          <w:trHeight w:val="309"/>
        </w:trPr>
        <w:tc>
          <w:tcPr>
            <w:tcW w:w="5456" w:type="dxa"/>
          </w:tcPr>
          <w:p w14:paraId="0000008E" w14:textId="77777777" w:rsidR="00866D36" w:rsidRPr="00CA21ED" w:rsidRDefault="007B532F">
            <w:r w:rsidRPr="00CA21ED">
              <w:t>Blood tests (first year)</w:t>
            </w:r>
          </w:p>
        </w:tc>
        <w:tc>
          <w:tcPr>
            <w:tcW w:w="1814" w:type="dxa"/>
          </w:tcPr>
          <w:p w14:paraId="0000008F" w14:textId="77777777" w:rsidR="00866D36" w:rsidRPr="00CA21ED" w:rsidRDefault="007B532F">
            <w:r w:rsidRPr="00CA21ED">
              <w:t>2</w:t>
            </w:r>
          </w:p>
        </w:tc>
        <w:tc>
          <w:tcPr>
            <w:tcW w:w="2080" w:type="dxa"/>
          </w:tcPr>
          <w:p w14:paraId="00000090" w14:textId="77777777" w:rsidR="00866D36" w:rsidRPr="00CA21ED" w:rsidRDefault="007B532F">
            <w:r w:rsidRPr="00CA21ED">
              <w:t>0</w:t>
            </w:r>
          </w:p>
        </w:tc>
      </w:tr>
      <w:tr w:rsidR="00866D36" w:rsidRPr="00CA21ED" w14:paraId="4395AB67" w14:textId="77777777" w:rsidTr="001C28EA">
        <w:trPr>
          <w:trHeight w:val="309"/>
        </w:trPr>
        <w:tc>
          <w:tcPr>
            <w:tcW w:w="9350" w:type="dxa"/>
            <w:gridSpan w:val="3"/>
          </w:tcPr>
          <w:p w14:paraId="00000091" w14:textId="77777777" w:rsidR="00866D36" w:rsidRPr="00CA21ED" w:rsidRDefault="007B532F">
            <w:pPr>
              <w:rPr>
                <w:rFonts w:ascii="Times New Roman" w:eastAsia="Times New Roman" w:hAnsi="Times New Roman" w:cs="Times New Roman"/>
              </w:rPr>
            </w:pPr>
            <w:r w:rsidRPr="00CA21ED">
              <w:t>HFSN follow-up</w:t>
            </w:r>
          </w:p>
        </w:tc>
      </w:tr>
      <w:tr w:rsidR="00866D36" w:rsidRPr="00CA21ED" w14:paraId="5FDD6688" w14:textId="77777777" w:rsidTr="001C28EA">
        <w:trPr>
          <w:trHeight w:val="309"/>
        </w:trPr>
        <w:tc>
          <w:tcPr>
            <w:tcW w:w="5456" w:type="dxa"/>
          </w:tcPr>
          <w:p w14:paraId="00000094" w14:textId="77777777" w:rsidR="00866D36" w:rsidRPr="00CA21ED" w:rsidRDefault="007B532F">
            <w:r w:rsidRPr="00CA21ED">
              <w:t>Community HFSN visit</w:t>
            </w:r>
          </w:p>
        </w:tc>
        <w:tc>
          <w:tcPr>
            <w:tcW w:w="1814" w:type="dxa"/>
          </w:tcPr>
          <w:p w14:paraId="00000095" w14:textId="77777777" w:rsidR="00866D36" w:rsidRPr="00CA21ED" w:rsidRDefault="007B532F">
            <w:r w:rsidRPr="00CA21ED">
              <w:t>4</w:t>
            </w:r>
          </w:p>
        </w:tc>
        <w:tc>
          <w:tcPr>
            <w:tcW w:w="2080" w:type="dxa"/>
          </w:tcPr>
          <w:p w14:paraId="00000096" w14:textId="77777777" w:rsidR="00866D36" w:rsidRPr="00CA21ED" w:rsidRDefault="007B532F">
            <w:r w:rsidRPr="00CA21ED">
              <w:t>0</w:t>
            </w:r>
          </w:p>
        </w:tc>
      </w:tr>
      <w:tr w:rsidR="00866D36" w:rsidRPr="00CA21ED" w14:paraId="4BB3609F" w14:textId="77777777" w:rsidTr="001C28EA">
        <w:trPr>
          <w:trHeight w:val="309"/>
        </w:trPr>
        <w:tc>
          <w:tcPr>
            <w:tcW w:w="5456" w:type="dxa"/>
          </w:tcPr>
          <w:p w14:paraId="00000097" w14:textId="77777777" w:rsidR="00866D36" w:rsidRPr="00CA21ED" w:rsidRDefault="007B532F">
            <w:r w:rsidRPr="00CA21ED">
              <w:t>GP visit</w:t>
            </w:r>
          </w:p>
        </w:tc>
        <w:tc>
          <w:tcPr>
            <w:tcW w:w="1814" w:type="dxa"/>
          </w:tcPr>
          <w:p w14:paraId="00000098" w14:textId="77777777" w:rsidR="00866D36" w:rsidRPr="00CA21ED" w:rsidRDefault="007B532F">
            <w:r w:rsidRPr="00CA21ED">
              <w:t>3</w:t>
            </w:r>
          </w:p>
        </w:tc>
        <w:tc>
          <w:tcPr>
            <w:tcW w:w="2080" w:type="dxa"/>
          </w:tcPr>
          <w:p w14:paraId="00000099" w14:textId="77777777" w:rsidR="00866D36" w:rsidRPr="00CA21ED" w:rsidRDefault="007B532F">
            <w:r w:rsidRPr="00CA21ED">
              <w:t>7</w:t>
            </w:r>
          </w:p>
        </w:tc>
      </w:tr>
    </w:tbl>
    <w:p w14:paraId="0000009A" w14:textId="77777777" w:rsidR="00866D36" w:rsidRPr="00CA21ED" w:rsidRDefault="007B532F">
      <w:r w:rsidRPr="00CA21ED">
        <w:t>Abbreviations: GP, general practitioner; HFSN, heart failure specialist nurse; NT-proBNP, N-terminal pro B-type natriuretic peptide.</w:t>
      </w:r>
    </w:p>
    <w:p w14:paraId="0000009B" w14:textId="07E00603" w:rsidR="00866D36" w:rsidRPr="00CA21ED" w:rsidRDefault="00FF7C95" w:rsidP="00FF7C95">
      <w:pPr>
        <w:pStyle w:val="Caption"/>
      </w:pPr>
      <w:bookmarkStart w:id="26" w:name="_heading=h.lnxbz9" w:colFirst="0" w:colLast="0"/>
      <w:bookmarkStart w:id="27" w:name="_Ref100153463"/>
      <w:bookmarkEnd w:id="26"/>
      <w:r w:rsidRPr="00CA21ED">
        <w:t xml:space="preserve">Table </w:t>
      </w:r>
      <w:fldSimple w:instr=" SEQ Table \* ARABIC ">
        <w:r w:rsidR="00A47A11">
          <w:rPr>
            <w:noProof/>
          </w:rPr>
          <w:t>7</w:t>
        </w:r>
      </w:fldSimple>
      <w:bookmarkEnd w:id="27"/>
      <w:r w:rsidRPr="00CA21ED">
        <w:t>: Follow-on resource use cost</w:t>
      </w:r>
    </w:p>
    <w:tbl>
      <w:tblPr>
        <w:tblStyle w:val="TableGrid"/>
        <w:tblW w:w="9467" w:type="dxa"/>
        <w:tblLayout w:type="fixed"/>
        <w:tblLook w:val="0600" w:firstRow="0" w:lastRow="0" w:firstColumn="0" w:lastColumn="0" w:noHBand="1" w:noVBand="1"/>
      </w:tblPr>
      <w:tblGrid>
        <w:gridCol w:w="2249"/>
        <w:gridCol w:w="830"/>
        <w:gridCol w:w="6388"/>
      </w:tblGrid>
      <w:tr w:rsidR="00866D36" w:rsidRPr="00CA21ED" w14:paraId="3B8E9F36" w14:textId="77777777" w:rsidTr="00585D26">
        <w:trPr>
          <w:trHeight w:val="288"/>
        </w:trPr>
        <w:tc>
          <w:tcPr>
            <w:tcW w:w="2249" w:type="dxa"/>
          </w:tcPr>
          <w:p w14:paraId="0000009C" w14:textId="77777777" w:rsidR="00866D36" w:rsidRPr="00CA21ED" w:rsidRDefault="007B532F">
            <w:r w:rsidRPr="00CA21ED">
              <w:t>Follow-on service</w:t>
            </w:r>
          </w:p>
        </w:tc>
        <w:tc>
          <w:tcPr>
            <w:tcW w:w="830" w:type="dxa"/>
          </w:tcPr>
          <w:p w14:paraId="0000009D" w14:textId="77777777" w:rsidR="00866D36" w:rsidRPr="00CA21ED" w:rsidRDefault="007B532F">
            <w:r w:rsidRPr="00CA21ED">
              <w:t>Cost</w:t>
            </w:r>
          </w:p>
        </w:tc>
        <w:tc>
          <w:tcPr>
            <w:tcW w:w="6388" w:type="dxa"/>
          </w:tcPr>
          <w:p w14:paraId="0000009E" w14:textId="77777777" w:rsidR="00866D36" w:rsidRPr="00CA21ED" w:rsidRDefault="007B532F">
            <w:pPr>
              <w:rPr>
                <w:rFonts w:ascii="Times New Roman" w:eastAsia="Times New Roman" w:hAnsi="Times New Roman" w:cs="Times New Roman"/>
              </w:rPr>
            </w:pPr>
            <w:r w:rsidRPr="00CA21ED">
              <w:t>Source</w:t>
            </w:r>
          </w:p>
        </w:tc>
      </w:tr>
      <w:tr w:rsidR="00866D36" w:rsidRPr="00CA21ED" w14:paraId="697EA039" w14:textId="77777777" w:rsidTr="00585D26">
        <w:trPr>
          <w:trHeight w:val="288"/>
        </w:trPr>
        <w:tc>
          <w:tcPr>
            <w:tcW w:w="2249" w:type="dxa"/>
          </w:tcPr>
          <w:p w14:paraId="0000009F" w14:textId="77777777" w:rsidR="00866D36" w:rsidRPr="00CA21ED" w:rsidRDefault="007B532F">
            <w:r w:rsidRPr="00CA21ED">
              <w:t>GP visit</w:t>
            </w:r>
          </w:p>
        </w:tc>
        <w:tc>
          <w:tcPr>
            <w:tcW w:w="830" w:type="dxa"/>
          </w:tcPr>
          <w:p w14:paraId="000000A0" w14:textId="36BB0C7A" w:rsidR="001F4383" w:rsidRPr="00CA21ED" w:rsidRDefault="007B532F" w:rsidP="00227D45">
            <w:r w:rsidRPr="00CA21ED">
              <w:t>£42.32</w:t>
            </w:r>
          </w:p>
        </w:tc>
        <w:tc>
          <w:tcPr>
            <w:tcW w:w="6388" w:type="dxa"/>
          </w:tcPr>
          <w:p w14:paraId="000000A1" w14:textId="1978079A" w:rsidR="008170BF" w:rsidRPr="00CA21ED" w:rsidRDefault="007B532F" w:rsidP="00227D45">
            <w:r w:rsidRPr="00CA21ED">
              <w:t>PSSRU Unit Costs 2019/20: 11.7 minute consultation</w:t>
            </w:r>
          </w:p>
        </w:tc>
      </w:tr>
      <w:tr w:rsidR="00866D36" w:rsidRPr="00CA21ED" w14:paraId="39D5A118" w14:textId="77777777" w:rsidTr="00585D26">
        <w:trPr>
          <w:trHeight w:val="288"/>
        </w:trPr>
        <w:tc>
          <w:tcPr>
            <w:tcW w:w="2249" w:type="dxa"/>
          </w:tcPr>
          <w:p w14:paraId="000000A2" w14:textId="77777777" w:rsidR="00866D36" w:rsidRPr="00CA21ED" w:rsidRDefault="007B532F">
            <w:r w:rsidRPr="00CA21ED">
              <w:t>Community HFSN visit</w:t>
            </w:r>
          </w:p>
        </w:tc>
        <w:tc>
          <w:tcPr>
            <w:tcW w:w="830" w:type="dxa"/>
          </w:tcPr>
          <w:p w14:paraId="000000A3" w14:textId="71E4050B" w:rsidR="00866D36" w:rsidRPr="00CA21ED" w:rsidRDefault="007B532F">
            <w:r w:rsidRPr="00CA21ED">
              <w:t>£49.25</w:t>
            </w:r>
          </w:p>
        </w:tc>
        <w:tc>
          <w:tcPr>
            <w:tcW w:w="6388" w:type="dxa"/>
          </w:tcPr>
          <w:p w14:paraId="000000A4" w14:textId="77777777" w:rsidR="00866D36" w:rsidRPr="00CA21ED" w:rsidRDefault="007B532F">
            <w:r w:rsidRPr="00CA21ED">
              <w:t>PSSRU Unit Costs 2019/20: Nurse Specialist (Community), 1 hour.</w:t>
            </w:r>
          </w:p>
        </w:tc>
      </w:tr>
      <w:tr w:rsidR="00866D36" w:rsidRPr="00CA21ED" w14:paraId="5391EF42" w14:textId="77777777" w:rsidTr="00585D26">
        <w:trPr>
          <w:trHeight w:val="288"/>
        </w:trPr>
        <w:tc>
          <w:tcPr>
            <w:tcW w:w="2249" w:type="dxa"/>
          </w:tcPr>
          <w:p w14:paraId="000000A5" w14:textId="77777777" w:rsidR="00866D36" w:rsidRPr="00CA21ED" w:rsidRDefault="007B532F">
            <w:r w:rsidRPr="00CA21ED">
              <w:t>Hospital outpatient visit</w:t>
            </w:r>
          </w:p>
        </w:tc>
        <w:tc>
          <w:tcPr>
            <w:tcW w:w="830" w:type="dxa"/>
          </w:tcPr>
          <w:p w14:paraId="000000A6" w14:textId="3E86092A" w:rsidR="001F4383" w:rsidRPr="00CA21ED" w:rsidRDefault="007B532F" w:rsidP="00227D45">
            <w:r w:rsidRPr="00CA21ED">
              <w:t>£145</w:t>
            </w:r>
          </w:p>
        </w:tc>
        <w:tc>
          <w:tcPr>
            <w:tcW w:w="6388" w:type="dxa"/>
          </w:tcPr>
          <w:p w14:paraId="000000A7" w14:textId="42B0A84C" w:rsidR="008170BF" w:rsidRPr="00CA21ED" w:rsidRDefault="007B532F" w:rsidP="00227D45">
            <w:r w:rsidRPr="00CA21ED">
              <w:t>NHS Reference Costs 2019/20: Cardiology outpatient visit.</w:t>
            </w:r>
            <w:r w:rsidR="00585D26" w:rsidRPr="00CA21ED">
              <w:t xml:space="preserve"> </w:t>
            </w:r>
          </w:p>
        </w:tc>
      </w:tr>
      <w:tr w:rsidR="00866D36" w:rsidRPr="00CA21ED" w14:paraId="20949324" w14:textId="77777777" w:rsidTr="00585D26">
        <w:trPr>
          <w:trHeight w:val="288"/>
        </w:trPr>
        <w:tc>
          <w:tcPr>
            <w:tcW w:w="2249" w:type="dxa"/>
          </w:tcPr>
          <w:p w14:paraId="000000A8" w14:textId="77777777" w:rsidR="00866D36" w:rsidRPr="00CA21ED" w:rsidRDefault="007B532F">
            <w:r w:rsidRPr="00CA21ED">
              <w:t>Blood test</w:t>
            </w:r>
          </w:p>
        </w:tc>
        <w:tc>
          <w:tcPr>
            <w:tcW w:w="830" w:type="dxa"/>
          </w:tcPr>
          <w:p w14:paraId="000000A9" w14:textId="77777777" w:rsidR="00866D36" w:rsidRPr="00CA21ED" w:rsidRDefault="007B532F">
            <w:r w:rsidRPr="00CA21ED">
              <w:t>£2</w:t>
            </w:r>
          </w:p>
        </w:tc>
        <w:tc>
          <w:tcPr>
            <w:tcW w:w="6388" w:type="dxa"/>
          </w:tcPr>
          <w:p w14:paraId="000000AA" w14:textId="4D65E4DA" w:rsidR="00866D36" w:rsidRPr="00CA21ED" w:rsidRDefault="007B532F">
            <w:r w:rsidRPr="00CA21ED">
              <w:t>NHS Reference Costs 2018/19: Integrated blood services.</w:t>
            </w:r>
          </w:p>
        </w:tc>
      </w:tr>
    </w:tbl>
    <w:p w14:paraId="000000AB" w14:textId="77777777" w:rsidR="00866D36" w:rsidRPr="00CA21ED" w:rsidRDefault="007B532F">
      <w:r w:rsidRPr="00CA21ED">
        <w:t>Abbreviations; HFSN, heart failure specialist nurse; NHS, National Health Service; PSSRU, Personal Social Services Research Unit.</w:t>
      </w:r>
    </w:p>
    <w:p w14:paraId="000000AC" w14:textId="19C28FD0" w:rsidR="00866D36" w:rsidRPr="00CA21ED" w:rsidRDefault="007B532F">
      <w:r w:rsidRPr="00CA21ED">
        <w:t xml:space="preserve">In line with the methodology from the NICE CG187 model, average unit costs for each of the drug therapies were calculated using NHS tariff costs </w:t>
      </w:r>
      <w:r w:rsidR="00D72311" w:rsidRPr="00CA21ED">
        <w:fldChar w:fldCharType="begin"/>
      </w:r>
      <w:r w:rsidR="00C57387">
        <w:instrText xml:space="preserve"> ADDIN EN.CITE &lt;EndNote&gt;&lt;Cite&gt;&lt;Author&gt;NHS Business Services Authority&lt;/Author&gt;&lt;Year&gt;2021&lt;/Year&gt;&lt;RecNum&gt;17&lt;/RecNum&gt;&lt;DisplayText&gt;(15)&lt;/DisplayText&gt;&lt;record&gt;&lt;rec-number&gt;17&lt;/rec-number&gt;&lt;foreign-keys&gt;&lt;key app="EN" db-id="f9e92ea9tpxdzoex9spxs9asfpp0rx2xe2s2" timestamp="1643130956"&gt;17&lt;/key&gt;&lt;/foreign-keys&gt;&lt;ref-type name="Web Page"&gt;12&lt;/ref-type&gt;&lt;contributors&gt;&lt;authors&gt;&lt;author&gt;NHS Business Services Authority,&lt;/author&gt;&lt;/authors&gt;&lt;/contributors&gt;&lt;titles&gt;&lt;title&gt;NHS Electronic Drug Tariff&lt;/title&gt;&lt;/titles&gt;&lt;number&gt;25 January 2022&lt;/number&gt;&lt;dates&gt;&lt;year&gt;2021&lt;/year&gt;&lt;/dates&gt;&lt;urls&gt;&lt;related-urls&gt;&lt;url&gt;http://www.drugtariff.nhsbsa.nhs.uk/#/00446515-DC_2/DC00446511/Home&lt;/url&gt;&lt;/related-urls&gt;&lt;/urls&gt;&lt;/record&gt;&lt;/Cite&gt;&lt;/EndNote&gt;</w:instrText>
      </w:r>
      <w:r w:rsidR="00D72311" w:rsidRPr="00CA21ED">
        <w:fldChar w:fldCharType="separate"/>
      </w:r>
      <w:r w:rsidR="00C57387">
        <w:rPr>
          <w:noProof/>
        </w:rPr>
        <w:t>(15)</w:t>
      </w:r>
      <w:r w:rsidR="00D72311" w:rsidRPr="00CA21ED">
        <w:fldChar w:fldCharType="end"/>
      </w:r>
      <w:r w:rsidRPr="00CA21ED">
        <w:t xml:space="preserve">, with dosage taken from the British National Formulary </w:t>
      </w:r>
      <w:r w:rsidR="00BB5602" w:rsidRPr="00CA21ED">
        <w:fldChar w:fldCharType="begin"/>
      </w:r>
      <w:r w:rsidR="00C57387">
        <w:instrText xml:space="preserve"> ADDIN EN.CITE &lt;EndNote&gt;&lt;Cite&gt;&lt;Author&gt;British National Formulary (BNF)&lt;/Author&gt;&lt;RecNum&gt;18&lt;/RecNum&gt;&lt;DisplayText&gt;(16)&lt;/DisplayText&gt;&lt;record&gt;&lt;rec-number&gt;18&lt;/rec-number&gt;&lt;foreign-keys&gt;&lt;key app="EN" db-id="f9e92ea9tpxdzoex9spxs9asfpp0rx2xe2s2" timestamp="1643131128"&gt;18&lt;/key&gt;&lt;/foreign-keys&gt;&lt;ref-type name="Web Page"&gt;12&lt;/ref-type&gt;&lt;contributors&gt;&lt;authors&gt;&lt;author&gt;British National Formulary (BNF),&lt;/author&gt;&lt;/authors&gt;&lt;/contributors&gt;&lt;titles&gt;&lt;/titles&gt;&lt;number&gt;25 January 2022&lt;/number&gt;&lt;dates&gt;&lt;/dates&gt;&lt;urls&gt;&lt;related-urls&gt;&lt;url&gt;https://bnf.nice.org.uk/&lt;/url&gt;&lt;/related-urls&gt;&lt;/urls&gt;&lt;/record&gt;&lt;/Cite&gt;&lt;/EndNote&gt;</w:instrText>
      </w:r>
      <w:r w:rsidR="00BB5602" w:rsidRPr="00CA21ED">
        <w:fldChar w:fldCharType="separate"/>
      </w:r>
      <w:r w:rsidR="00C57387">
        <w:rPr>
          <w:noProof/>
        </w:rPr>
        <w:t>(16)</w:t>
      </w:r>
      <w:r w:rsidR="00BB5602" w:rsidRPr="00CA21ED">
        <w:fldChar w:fldCharType="end"/>
      </w:r>
      <w:r w:rsidRPr="00CA21ED">
        <w:t xml:space="preserve">, and then weighted by the proportion of each drug being prescribed in the 2020 prescription cost analysis </w:t>
      </w:r>
      <w:r w:rsidR="00BB5602" w:rsidRPr="00CA21ED">
        <w:fldChar w:fldCharType="begin"/>
      </w:r>
      <w:r w:rsidR="00C57387">
        <w:instrText xml:space="preserve"> ADDIN EN.CITE &lt;EndNote&gt;&lt;Cite&gt;&lt;Author&gt;NHS Business Services Authority&lt;/Author&gt;&lt;Year&gt;2020&lt;/Year&gt;&lt;RecNum&gt;20&lt;/RecNum&gt;&lt;DisplayText&gt;(17)&lt;/DisplayText&gt;&lt;record&gt;&lt;rec-number&gt;20&lt;/rec-number&gt;&lt;foreign-keys&gt;&lt;key app="EN" db-id="f9e92ea9tpxdzoex9spxs9asfpp0rx2xe2s2" timestamp="1643131454"&gt;20&lt;/key&gt;&lt;/foreign-keys&gt;&lt;ref-type name="Web Page"&gt;12&lt;/ref-type&gt;&lt;contributors&gt;&lt;authors&gt;&lt;author&gt;NHS Business Services Authority,&lt;/author&gt;&lt;/authors&gt;&lt;/contributors&gt;&lt;titles&gt;&lt;title&gt;Prescription Cost Analysis - England 2020/21&lt;/title&gt;&lt;/titles&gt;&lt;number&gt;25 January 2022&lt;/number&gt;&lt;dates&gt;&lt;year&gt;2020&lt;/year&gt;&lt;/dates&gt;&lt;urls&gt;&lt;related-urls&gt;&lt;url&gt;https://www.nhsbsa.nhs.uk/statistical-collections/prescription-cost-analysis-england/prescription-cost-analysis-england-202021&lt;/url&gt;&lt;/related-urls&gt;&lt;/urls&gt;&lt;/record&gt;&lt;/Cite&gt;&lt;/EndNote&gt;</w:instrText>
      </w:r>
      <w:r w:rsidR="00BB5602" w:rsidRPr="00CA21ED">
        <w:fldChar w:fldCharType="separate"/>
      </w:r>
      <w:r w:rsidR="00C57387">
        <w:rPr>
          <w:noProof/>
        </w:rPr>
        <w:t>(17)</w:t>
      </w:r>
      <w:r w:rsidR="00BB5602" w:rsidRPr="00CA21ED">
        <w:fldChar w:fldCharType="end"/>
      </w:r>
      <w:r w:rsidR="001A5032" w:rsidRPr="00CA21ED">
        <w:t xml:space="preserve"> (</w:t>
      </w:r>
      <w:r w:rsidR="001A5032" w:rsidRPr="00CA21ED">
        <w:fldChar w:fldCharType="begin"/>
      </w:r>
      <w:r w:rsidR="001A5032" w:rsidRPr="00CA21ED">
        <w:instrText xml:space="preserve"> REF _Ref100153486 \h </w:instrText>
      </w:r>
      <w:r w:rsidR="001A5032" w:rsidRPr="00CA21ED">
        <w:fldChar w:fldCharType="separate"/>
      </w:r>
      <w:r w:rsidR="00A47A11" w:rsidRPr="00CA21ED">
        <w:t xml:space="preserve">Table </w:t>
      </w:r>
      <w:r w:rsidR="00A47A11">
        <w:rPr>
          <w:noProof/>
        </w:rPr>
        <w:t>8</w:t>
      </w:r>
      <w:r w:rsidR="001A5032" w:rsidRPr="00CA21ED">
        <w:fldChar w:fldCharType="end"/>
      </w:r>
      <w:r w:rsidR="001A5032" w:rsidRPr="00CA21ED">
        <w:t>)</w:t>
      </w:r>
      <w:r w:rsidRPr="00CA21ED">
        <w:t>. As was highlighted in the NICE guideline this includes all prescriptions of these drugs, and therefore may not be a perfect representation of the case mix for CHF-specific prescription.</w:t>
      </w:r>
    </w:p>
    <w:p w14:paraId="000000AD" w14:textId="6501A7BE" w:rsidR="00866D36" w:rsidRPr="00CA21ED" w:rsidRDefault="00FF7C95" w:rsidP="00FF7C95">
      <w:pPr>
        <w:pStyle w:val="Caption"/>
      </w:pPr>
      <w:bookmarkStart w:id="28" w:name="_heading=h.35nkun2" w:colFirst="0" w:colLast="0"/>
      <w:bookmarkStart w:id="29" w:name="_Ref100153486"/>
      <w:bookmarkEnd w:id="28"/>
      <w:r w:rsidRPr="00CA21ED">
        <w:lastRenderedPageBreak/>
        <w:t xml:space="preserve">Table </w:t>
      </w:r>
      <w:fldSimple w:instr=" SEQ Table \* ARABIC ">
        <w:r w:rsidR="00A47A11">
          <w:rPr>
            <w:noProof/>
          </w:rPr>
          <w:t>8</w:t>
        </w:r>
      </w:fldSimple>
      <w:bookmarkEnd w:id="29"/>
      <w:r w:rsidRPr="00CA21ED">
        <w:t>: Weighted daily cost of follow up drug therapy</w:t>
      </w:r>
    </w:p>
    <w:tbl>
      <w:tblPr>
        <w:tblStyle w:val="TableGrid"/>
        <w:tblW w:w="9350" w:type="dxa"/>
        <w:tblLayout w:type="fixed"/>
        <w:tblLook w:val="0400" w:firstRow="0" w:lastRow="0" w:firstColumn="0" w:lastColumn="0" w:noHBand="0" w:noVBand="1"/>
      </w:tblPr>
      <w:tblGrid>
        <w:gridCol w:w="2571"/>
        <w:gridCol w:w="3832"/>
        <w:gridCol w:w="2947"/>
      </w:tblGrid>
      <w:tr w:rsidR="00866D36" w:rsidRPr="00CA21ED" w14:paraId="7EDD8F96" w14:textId="77777777" w:rsidTr="001C28EA">
        <w:tc>
          <w:tcPr>
            <w:tcW w:w="2571" w:type="dxa"/>
          </w:tcPr>
          <w:p w14:paraId="000000AE" w14:textId="77777777" w:rsidR="00866D36" w:rsidRPr="00CA21ED" w:rsidRDefault="007B532F">
            <w:r w:rsidRPr="00CA21ED">
              <w:t>Drug class</w:t>
            </w:r>
          </w:p>
        </w:tc>
        <w:tc>
          <w:tcPr>
            <w:tcW w:w="3832" w:type="dxa"/>
          </w:tcPr>
          <w:p w14:paraId="000000AF" w14:textId="77777777" w:rsidR="00866D36" w:rsidRPr="00CA21ED" w:rsidRDefault="007B532F">
            <w:r w:rsidRPr="00CA21ED">
              <w:t>Drugs</w:t>
            </w:r>
          </w:p>
        </w:tc>
        <w:tc>
          <w:tcPr>
            <w:tcW w:w="2947" w:type="dxa"/>
          </w:tcPr>
          <w:p w14:paraId="000000B0" w14:textId="77777777" w:rsidR="00866D36" w:rsidRPr="00CA21ED" w:rsidRDefault="007B532F">
            <w:r w:rsidRPr="00CA21ED">
              <w:t>Weighted average cost</w:t>
            </w:r>
          </w:p>
        </w:tc>
      </w:tr>
      <w:tr w:rsidR="00866D36" w:rsidRPr="00CA21ED" w14:paraId="14DA6096" w14:textId="77777777" w:rsidTr="001C28EA">
        <w:tc>
          <w:tcPr>
            <w:tcW w:w="2571" w:type="dxa"/>
          </w:tcPr>
          <w:p w14:paraId="000000B1" w14:textId="77777777" w:rsidR="00866D36" w:rsidRPr="00CA21ED" w:rsidRDefault="007B532F">
            <w:r w:rsidRPr="00CA21ED">
              <w:t>ACEi/ARB</w:t>
            </w:r>
          </w:p>
        </w:tc>
        <w:tc>
          <w:tcPr>
            <w:tcW w:w="3832" w:type="dxa"/>
          </w:tcPr>
          <w:p w14:paraId="000000B2" w14:textId="77777777" w:rsidR="00866D36" w:rsidRPr="00CA21ED" w:rsidRDefault="007B532F">
            <w:r w:rsidRPr="00CA21ED">
              <w:t>Enalapril maleate, lisinopril, perindopril erbumine, ramipril/candesartan cilexetil, irbesartan, losartan potassium, valsartan</w:t>
            </w:r>
          </w:p>
        </w:tc>
        <w:tc>
          <w:tcPr>
            <w:tcW w:w="2947" w:type="dxa"/>
          </w:tcPr>
          <w:p w14:paraId="000000B3" w14:textId="0F5E9992" w:rsidR="001F4383" w:rsidRPr="00CA21ED" w:rsidRDefault="007B532F">
            <w:r w:rsidRPr="00CA21ED">
              <w:t>£0.11</w:t>
            </w:r>
          </w:p>
        </w:tc>
      </w:tr>
      <w:tr w:rsidR="00866D36" w:rsidRPr="00CA21ED" w14:paraId="18B80DF8" w14:textId="77777777" w:rsidTr="001C28EA">
        <w:tc>
          <w:tcPr>
            <w:tcW w:w="2571" w:type="dxa"/>
          </w:tcPr>
          <w:p w14:paraId="000000B4" w14:textId="77777777" w:rsidR="00866D36" w:rsidRPr="00CA21ED" w:rsidRDefault="007B532F">
            <w:r w:rsidRPr="00CA21ED">
              <w:t>Beta-blockers</w:t>
            </w:r>
          </w:p>
        </w:tc>
        <w:tc>
          <w:tcPr>
            <w:tcW w:w="3832" w:type="dxa"/>
          </w:tcPr>
          <w:p w14:paraId="000000B5" w14:textId="77777777" w:rsidR="00866D36" w:rsidRPr="00CA21ED" w:rsidRDefault="007B532F">
            <w:r w:rsidRPr="00CA21ED">
              <w:t>Bisoprolol fumarate, carvedilol, nebivolol</w:t>
            </w:r>
          </w:p>
        </w:tc>
        <w:tc>
          <w:tcPr>
            <w:tcW w:w="2947" w:type="dxa"/>
          </w:tcPr>
          <w:p w14:paraId="0EBC1C4C" w14:textId="6662FFA5" w:rsidR="001227AF" w:rsidRPr="00CA21ED" w:rsidRDefault="007B532F" w:rsidP="001227AF">
            <w:r w:rsidRPr="00CA21ED">
              <w:t>£0.03</w:t>
            </w:r>
          </w:p>
          <w:p w14:paraId="000000B6" w14:textId="50E87524" w:rsidR="001F4383" w:rsidRPr="00CA21ED" w:rsidRDefault="001F4383"/>
        </w:tc>
      </w:tr>
      <w:tr w:rsidR="00866D36" w:rsidRPr="00CA21ED" w14:paraId="67FCB4C3" w14:textId="77777777" w:rsidTr="001C28EA">
        <w:tc>
          <w:tcPr>
            <w:tcW w:w="2571" w:type="dxa"/>
          </w:tcPr>
          <w:p w14:paraId="000000B7" w14:textId="292B7C9C" w:rsidR="00866D36" w:rsidRPr="00CA21ED" w:rsidRDefault="007B532F">
            <w:r w:rsidRPr="00CA21ED">
              <w:t>Aldosterone a</w:t>
            </w:r>
            <w:r w:rsidR="00DF0436" w:rsidRPr="00CA21ED">
              <w:t>nta</w:t>
            </w:r>
            <w:r w:rsidRPr="00CA21ED">
              <w:t>gonist</w:t>
            </w:r>
          </w:p>
        </w:tc>
        <w:tc>
          <w:tcPr>
            <w:tcW w:w="3832" w:type="dxa"/>
          </w:tcPr>
          <w:p w14:paraId="000000B8" w14:textId="77777777" w:rsidR="00866D36" w:rsidRPr="00CA21ED" w:rsidRDefault="007B532F">
            <w:r w:rsidRPr="00CA21ED">
              <w:t>Eplerenone, spironolactone</w:t>
            </w:r>
          </w:p>
        </w:tc>
        <w:tc>
          <w:tcPr>
            <w:tcW w:w="2947" w:type="dxa"/>
          </w:tcPr>
          <w:p w14:paraId="5610BB49" w14:textId="46313D2D" w:rsidR="001227AF" w:rsidRPr="00CA21ED" w:rsidRDefault="007B532F" w:rsidP="001227AF">
            <w:r w:rsidRPr="00CA21ED">
              <w:t>£0.08</w:t>
            </w:r>
          </w:p>
          <w:p w14:paraId="000000B9" w14:textId="4A9A439B" w:rsidR="001F4383" w:rsidRPr="00CA21ED" w:rsidRDefault="001F4383"/>
        </w:tc>
      </w:tr>
      <w:tr w:rsidR="00866D36" w:rsidRPr="00CA21ED" w14:paraId="64AF9C97" w14:textId="77777777" w:rsidTr="001C28EA">
        <w:tc>
          <w:tcPr>
            <w:tcW w:w="2571" w:type="dxa"/>
          </w:tcPr>
          <w:p w14:paraId="000000BA" w14:textId="77777777" w:rsidR="00866D36" w:rsidRPr="00CA21ED" w:rsidRDefault="007B532F">
            <w:r w:rsidRPr="00CA21ED">
              <w:t>Sacubitril/valsartan</w:t>
            </w:r>
          </w:p>
        </w:tc>
        <w:tc>
          <w:tcPr>
            <w:tcW w:w="3832" w:type="dxa"/>
          </w:tcPr>
          <w:p w14:paraId="000000BB" w14:textId="77777777" w:rsidR="00866D36" w:rsidRPr="00CA21ED" w:rsidRDefault="007B532F">
            <w:r w:rsidRPr="00CA21ED">
              <w:t>Sacubitril, Valsartan</w:t>
            </w:r>
          </w:p>
        </w:tc>
        <w:tc>
          <w:tcPr>
            <w:tcW w:w="2947" w:type="dxa"/>
          </w:tcPr>
          <w:p w14:paraId="000000BC" w14:textId="77777777" w:rsidR="00866D36" w:rsidRPr="00CA21ED" w:rsidRDefault="007B532F">
            <w:r w:rsidRPr="00CA21ED">
              <w:t>£3.27</w:t>
            </w:r>
          </w:p>
        </w:tc>
      </w:tr>
    </w:tbl>
    <w:p w14:paraId="000000BD" w14:textId="77777777" w:rsidR="00866D36" w:rsidRPr="00CA21ED" w:rsidRDefault="007B532F">
      <w:r w:rsidRPr="00CA21ED">
        <w:t>Abbreviations: ACEi, angiotensin-converting enzyme inhibitors; ARB, angiotensin receptor blocker.</w:t>
      </w:r>
    </w:p>
    <w:p w14:paraId="46F48E94" w14:textId="67CEC983" w:rsidR="00265134" w:rsidRPr="00CA21ED" w:rsidRDefault="00F92FD3" w:rsidP="00265134">
      <w:pPr>
        <w:pStyle w:val="Heading1"/>
      </w:pPr>
      <w:r w:rsidRPr="00CA21ED">
        <w:t>Inputs for the European scenario analyses</w:t>
      </w:r>
    </w:p>
    <w:p w14:paraId="091ECDD2" w14:textId="49E9A2B0" w:rsidR="00644409" w:rsidRPr="00CA21ED" w:rsidRDefault="00644409" w:rsidP="00585D26">
      <w:r w:rsidRPr="00CA21ED">
        <w:t xml:space="preserve">A summary of the </w:t>
      </w:r>
      <w:r w:rsidR="008703CE" w:rsidRPr="00CA21ED">
        <w:t xml:space="preserve">alternative </w:t>
      </w:r>
      <w:r w:rsidRPr="00CA21ED">
        <w:t xml:space="preserve">inputs for the European </w:t>
      </w:r>
      <w:r w:rsidR="00227D45" w:rsidRPr="00CA21ED">
        <w:t>scenario</w:t>
      </w:r>
      <w:r w:rsidRPr="00CA21ED">
        <w:t xml:space="preserve"> analyses is provided in </w:t>
      </w:r>
      <w:r w:rsidRPr="00CA21ED">
        <w:fldChar w:fldCharType="begin"/>
      </w:r>
      <w:r w:rsidRPr="00CA21ED">
        <w:instrText xml:space="preserve"> REF _Ref107328685 \h </w:instrText>
      </w:r>
      <w:r w:rsidRPr="00CA21ED">
        <w:fldChar w:fldCharType="separate"/>
      </w:r>
      <w:r w:rsidR="00A47A11" w:rsidRPr="00CA21ED">
        <w:t xml:space="preserve">Table </w:t>
      </w:r>
      <w:r w:rsidR="00A47A11">
        <w:rPr>
          <w:noProof/>
        </w:rPr>
        <w:t>9</w:t>
      </w:r>
      <w:r w:rsidRPr="00CA21ED">
        <w:fldChar w:fldCharType="end"/>
      </w:r>
      <w:r w:rsidRPr="00CA21ED">
        <w:t xml:space="preserve">. </w:t>
      </w:r>
    </w:p>
    <w:p w14:paraId="1FA7DA12" w14:textId="4575DB56" w:rsidR="00A63CE7" w:rsidRPr="00CA21ED" w:rsidRDefault="006F3561" w:rsidP="00585D26">
      <w:r w:rsidRPr="00CA21ED">
        <w:t xml:space="preserve">Due to lack of audit data for the European countries, it was assumed that 100% of TPs/FPs </w:t>
      </w:r>
      <w:r w:rsidR="00A63CE7" w:rsidRPr="00CA21ED">
        <w:t xml:space="preserve">would </w:t>
      </w:r>
      <w:r w:rsidRPr="00CA21ED">
        <w:t xml:space="preserve">receive echocardiograms, </w:t>
      </w:r>
      <w:r w:rsidR="00CD2528" w:rsidRPr="00CA21ED">
        <w:t>the same proportion of</w:t>
      </w:r>
      <w:r w:rsidRPr="00CA21ED">
        <w:t xml:space="preserve"> patients</w:t>
      </w:r>
      <w:r w:rsidR="00A63CE7" w:rsidRPr="00CA21ED">
        <w:t xml:space="preserve"> would</w:t>
      </w:r>
      <w:r w:rsidRPr="00CA21ED">
        <w:t xml:space="preserve"> receive cardiology follow-up</w:t>
      </w:r>
      <w:r w:rsidR="00CD2528" w:rsidRPr="00CA21ED">
        <w:t xml:space="preserve"> as the UK</w:t>
      </w:r>
      <w:r w:rsidRPr="00CA21ED">
        <w:t xml:space="preserve">, and all patients </w:t>
      </w:r>
      <w:r w:rsidR="00A63CE7" w:rsidRPr="00CA21ED">
        <w:t xml:space="preserve">would </w:t>
      </w:r>
      <w:r w:rsidRPr="00CA21ED">
        <w:t xml:space="preserve">visit a GP over a HF nurse. Given that ESC guidance for follow-up care is aligned with NICE guidance, contact time with consultants and GPs was assumed to be equal to the </w:t>
      </w:r>
      <w:r w:rsidR="0045490C" w:rsidRPr="00CA21ED">
        <w:t xml:space="preserve">NICE </w:t>
      </w:r>
      <w:r w:rsidRPr="00CA21ED">
        <w:t>CG187 model. Costs were sourced from national databases where possible, with currency conversion</w:t>
      </w:r>
      <w:r w:rsidRPr="00CA21ED">
        <w:rPr>
          <w:rFonts w:cs="Calibri"/>
        </w:rPr>
        <w:t xml:space="preserve"> used </w:t>
      </w:r>
      <w:r w:rsidRPr="00CA21ED">
        <w:t>where costs were not available.</w:t>
      </w:r>
    </w:p>
    <w:p w14:paraId="06F13DF2" w14:textId="2BEFE2C1" w:rsidR="00265134" w:rsidRPr="00CA21ED" w:rsidRDefault="00265134" w:rsidP="00585D26">
      <w:r w:rsidRPr="00CA21ED">
        <w:t xml:space="preserve">For </w:t>
      </w:r>
      <w:r w:rsidR="00F92FD3" w:rsidRPr="00CA21ED">
        <w:t>the Netherlands</w:t>
      </w:r>
      <w:r w:rsidR="000632BB" w:rsidRPr="00CA21ED">
        <w:t>, the cost of an</w:t>
      </w:r>
      <w:r w:rsidR="008703CE" w:rsidRPr="00CA21ED">
        <w:t xml:space="preserve"> </w:t>
      </w:r>
      <w:r w:rsidR="000632BB" w:rsidRPr="00CA21ED">
        <w:t xml:space="preserve">AHF </w:t>
      </w:r>
      <w:r w:rsidRPr="00CA21ED">
        <w:t>admission</w:t>
      </w:r>
      <w:r w:rsidR="000632BB" w:rsidRPr="00CA21ED">
        <w:t xml:space="preserve"> was based on</w:t>
      </w:r>
      <w:r w:rsidRPr="00CA21ED">
        <w:t xml:space="preserve"> a weighted average of the Zorgproduct codes 99899024, 99899049, 99899050, 99899108. For </w:t>
      </w:r>
      <w:r w:rsidR="000632BB" w:rsidRPr="00CA21ED">
        <w:t>non-AHF admission</w:t>
      </w:r>
      <w:r w:rsidR="00EC0B35" w:rsidRPr="00CA21ED">
        <w:t>s</w:t>
      </w:r>
      <w:r w:rsidRPr="00CA21ED">
        <w:t xml:space="preserve">, the weighted average cost of all codes relating to </w:t>
      </w:r>
      <w:r w:rsidR="000632BB" w:rsidRPr="00CA21ED">
        <w:t xml:space="preserve">a </w:t>
      </w:r>
      <w:r w:rsidRPr="00CA21ED">
        <w:t>nursing day or bed day (excluding heart failure) was used, in line with the UK methodology</w:t>
      </w:r>
      <w:r w:rsidR="00F22A4B">
        <w:t xml:space="preserve"> </w:t>
      </w:r>
      <w:r w:rsidR="00F22A4B">
        <w:fldChar w:fldCharType="begin"/>
      </w:r>
      <w:r w:rsidR="00F22A4B">
        <w:instrText xml:space="preserve"> ADDIN EN.CITE &lt;EndNote&gt;&lt;Cite&gt;&lt;Author&gt;Nederlandse Zorgautoriteit (NZa)&lt;/Author&gt;&lt;RecNum&gt;53&lt;/RecNum&gt;&lt;DisplayText&gt;(18)&lt;/DisplayText&gt;&lt;record&gt;&lt;rec-number&gt;53&lt;/rec-number&gt;&lt;foreign-keys&gt;&lt;key app="EN" db-id="f9e92ea9tpxdzoex9spxs9asfpp0rx2xe2s2" timestamp="1660570191"&gt;53&lt;/key&gt;&lt;/foreign-keys&gt;&lt;ref-type name="Web Page"&gt;12&lt;/ref-type&gt;&lt;contributors&gt;&lt;authors&gt;&lt;author&gt;Nederlandse Zorgautoriteit (NZa),&lt;/author&gt;&lt;/authors&gt;&lt;/contributors&gt;&lt;titles&gt;&lt;title&gt;DBC-Informatiesysteem.  “Zorgactiviteiten per jaar, specialisme, diagnose, zorgproduct.”&lt;/title&gt;&lt;/titles&gt;&lt;number&gt;22 June 2022&lt;/number&gt;&lt;dates&gt;&lt;/dates&gt;&lt;urls&gt;&lt;related-urls&gt;&lt;url&gt;https://www.opendisdata.nl/downloads&lt;/url&gt;&lt;/related-urls&gt;&lt;/urls&gt;&lt;/record&gt;&lt;/Cite&gt;&lt;/EndNote&gt;</w:instrText>
      </w:r>
      <w:r w:rsidR="00F22A4B">
        <w:fldChar w:fldCharType="separate"/>
      </w:r>
      <w:r w:rsidR="00F22A4B">
        <w:rPr>
          <w:noProof/>
        </w:rPr>
        <w:t>(18)</w:t>
      </w:r>
      <w:r w:rsidR="00F22A4B">
        <w:fldChar w:fldCharType="end"/>
      </w:r>
      <w:r w:rsidR="00F92FD3" w:rsidRPr="00CA21ED">
        <w:t>.</w:t>
      </w:r>
    </w:p>
    <w:p w14:paraId="72197DE1" w14:textId="4B015A32" w:rsidR="00265134" w:rsidRPr="00CA21ED" w:rsidRDefault="00265134" w:rsidP="00F92FD3">
      <w:r w:rsidRPr="00CA21ED">
        <w:t xml:space="preserve">For </w:t>
      </w:r>
      <w:r w:rsidR="00F92FD3" w:rsidRPr="00CA21ED">
        <w:t>Spain,</w:t>
      </w:r>
      <w:r w:rsidRPr="00CA21ED">
        <w:t xml:space="preserve"> the </w:t>
      </w:r>
      <w:r w:rsidR="000632BB" w:rsidRPr="00CA21ED">
        <w:t>average cost of an AH</w:t>
      </w:r>
      <w:r w:rsidR="008703CE" w:rsidRPr="00CA21ED">
        <w:t>F</w:t>
      </w:r>
      <w:r w:rsidR="000632BB" w:rsidRPr="00CA21ED">
        <w:t xml:space="preserve"> admission </w:t>
      </w:r>
      <w:r w:rsidR="000632BB" w:rsidRPr="00CE5499">
        <w:t>was sourced</w:t>
      </w:r>
      <w:r w:rsidRPr="00CE5499">
        <w:t xml:space="preserve"> directly </w:t>
      </w:r>
      <w:r w:rsidR="000632BB" w:rsidRPr="00CE5499">
        <w:t xml:space="preserve">from </w:t>
      </w:r>
      <w:r w:rsidRPr="00CE5499">
        <w:t>GRP-APR code 194. For non-</w:t>
      </w:r>
      <w:r w:rsidR="000632BB" w:rsidRPr="00CE5499">
        <w:t>AHF</w:t>
      </w:r>
      <w:r w:rsidRPr="00CE5499">
        <w:t xml:space="preserve"> admissions</w:t>
      </w:r>
      <w:r w:rsidR="00D84D2B" w:rsidRPr="00CE5499">
        <w:t>, the cost</w:t>
      </w:r>
      <w:r w:rsidR="00826240" w:rsidRPr="00CE5499">
        <w:t xml:space="preserve"> was assumed to be</w:t>
      </w:r>
      <w:r w:rsidR="00D84D2B" w:rsidRPr="00CE5499">
        <w:t xml:space="preserve"> equal to</w:t>
      </w:r>
      <w:r w:rsidR="00826240" w:rsidRPr="00CE5499">
        <w:t xml:space="preserve"> the </w:t>
      </w:r>
      <w:r w:rsidR="00551214" w:rsidRPr="00CE5499">
        <w:t xml:space="preserve">Spanish </w:t>
      </w:r>
      <w:r w:rsidR="00826240" w:rsidRPr="00CE5499">
        <w:t xml:space="preserve">bed day cost </w:t>
      </w:r>
      <w:r w:rsidR="00572519" w:rsidRPr="00CE5499">
        <w:t>multiplied</w:t>
      </w:r>
      <w:r w:rsidR="00D84D2B" w:rsidRPr="00CE5499">
        <w:t xml:space="preserve"> by</w:t>
      </w:r>
      <w:r w:rsidR="00826240" w:rsidRPr="00CE5499">
        <w:t xml:space="preserve"> the average length of stay for non-AFH admissions </w:t>
      </w:r>
      <w:r w:rsidR="00551214" w:rsidRPr="00CE5499">
        <w:t>for the UK</w:t>
      </w:r>
      <w:r w:rsidR="00D84D2B" w:rsidRPr="00CE5499">
        <w:t xml:space="preserve">. </w:t>
      </w:r>
      <w:r w:rsidR="008703CE" w:rsidRPr="00CE5499">
        <w:t>Although</w:t>
      </w:r>
      <w:r w:rsidR="00826240" w:rsidRPr="00CE5499">
        <w:t xml:space="preserve"> this is </w:t>
      </w:r>
      <w:r w:rsidR="008703CE" w:rsidRPr="00CE5499">
        <w:t>a pr</w:t>
      </w:r>
      <w:r w:rsidR="00481E6C" w:rsidRPr="00CE5499">
        <w:t>agmatic</w:t>
      </w:r>
      <w:r w:rsidR="008703CE" w:rsidRPr="00CE5499">
        <w:t xml:space="preserve"> </w:t>
      </w:r>
      <w:r w:rsidR="00826240" w:rsidRPr="00CE5499">
        <w:t>assumption</w:t>
      </w:r>
      <w:r w:rsidR="008703CE" w:rsidRPr="00CE5499">
        <w:t xml:space="preserve">, </w:t>
      </w:r>
      <w:r w:rsidR="00826240" w:rsidRPr="00CE5499">
        <w:t xml:space="preserve">the ratio of cost between TP and TN was similar to </w:t>
      </w:r>
      <w:r w:rsidR="00F92FD3" w:rsidRPr="00CE5499">
        <w:t>the Netherlands</w:t>
      </w:r>
      <w:r w:rsidR="00152B25" w:rsidRPr="00CA21ED">
        <w:t>.</w:t>
      </w:r>
    </w:p>
    <w:p w14:paraId="6480DAB3" w14:textId="1B256B39" w:rsidR="005120C1" w:rsidRPr="00CA21ED" w:rsidRDefault="005120C1" w:rsidP="005120C1">
      <w:pPr>
        <w:pStyle w:val="Caption"/>
      </w:pPr>
      <w:bookmarkStart w:id="30" w:name="_Ref107328685"/>
      <w:r w:rsidRPr="00CA21ED">
        <w:lastRenderedPageBreak/>
        <w:t xml:space="preserve">Table </w:t>
      </w:r>
      <w:fldSimple w:instr=" SEQ Table \* ARABIC ">
        <w:r w:rsidR="00A47A11">
          <w:rPr>
            <w:noProof/>
          </w:rPr>
          <w:t>9</w:t>
        </w:r>
      </w:fldSimple>
      <w:bookmarkEnd w:id="30"/>
      <w:r w:rsidRPr="00CA21ED">
        <w:t>: Alternative model parameters for European country scenario analyses</w:t>
      </w:r>
    </w:p>
    <w:tbl>
      <w:tblPr>
        <w:tblStyle w:val="TableGrid"/>
        <w:tblW w:w="5000" w:type="pct"/>
        <w:tblLayout w:type="fixed"/>
        <w:tblLook w:val="0400" w:firstRow="0" w:lastRow="0" w:firstColumn="0" w:lastColumn="0" w:noHBand="0" w:noVBand="1"/>
      </w:tblPr>
      <w:tblGrid>
        <w:gridCol w:w="1272"/>
        <w:gridCol w:w="1984"/>
        <w:gridCol w:w="1133"/>
        <w:gridCol w:w="1844"/>
        <w:gridCol w:w="1133"/>
        <w:gridCol w:w="1984"/>
      </w:tblGrid>
      <w:tr w:rsidR="00FF2B6B" w:rsidRPr="00CA21ED" w14:paraId="0B3BB4D8" w14:textId="4668D2C1" w:rsidTr="001227AF">
        <w:tc>
          <w:tcPr>
            <w:tcW w:w="680" w:type="pct"/>
            <w:vMerge w:val="restart"/>
          </w:tcPr>
          <w:p w14:paraId="5326FD72" w14:textId="47059984" w:rsidR="00FF2B6B" w:rsidRPr="00CA21ED" w:rsidRDefault="00FF2B6B" w:rsidP="00FF2B6B">
            <w:r w:rsidRPr="00CA21ED">
              <w:rPr>
                <w:color w:val="000000"/>
                <w:sz w:val="20"/>
                <w:szCs w:val="20"/>
              </w:rPr>
              <w:t>Variable group</w:t>
            </w:r>
          </w:p>
        </w:tc>
        <w:tc>
          <w:tcPr>
            <w:tcW w:w="1061" w:type="pct"/>
            <w:vMerge w:val="restart"/>
            <w:shd w:val="clear" w:color="auto" w:fill="auto"/>
          </w:tcPr>
          <w:p w14:paraId="3E52E65C" w14:textId="3CDF4002" w:rsidR="00FF2B6B" w:rsidRPr="00CA21ED" w:rsidRDefault="00FF2B6B" w:rsidP="00FF2B6B">
            <w:r w:rsidRPr="00CA21ED">
              <w:rPr>
                <w:color w:val="000000"/>
                <w:sz w:val="20"/>
                <w:szCs w:val="20"/>
              </w:rPr>
              <w:t>Variable</w:t>
            </w:r>
          </w:p>
        </w:tc>
        <w:tc>
          <w:tcPr>
            <w:tcW w:w="1592" w:type="pct"/>
            <w:gridSpan w:val="2"/>
            <w:shd w:val="clear" w:color="auto" w:fill="auto"/>
          </w:tcPr>
          <w:p w14:paraId="14EF7EB1" w14:textId="5C07FC0C" w:rsidR="00FF2B6B" w:rsidRPr="00CA21ED" w:rsidRDefault="00FF2B6B" w:rsidP="00FF2B6B">
            <w:pPr>
              <w:jc w:val="center"/>
            </w:pPr>
            <w:r w:rsidRPr="00CA21ED">
              <w:t>The Netherlands</w:t>
            </w:r>
          </w:p>
        </w:tc>
        <w:tc>
          <w:tcPr>
            <w:tcW w:w="1667" w:type="pct"/>
            <w:gridSpan w:val="2"/>
            <w:shd w:val="clear" w:color="auto" w:fill="auto"/>
          </w:tcPr>
          <w:p w14:paraId="3E6A1725" w14:textId="286750F2" w:rsidR="00FF2B6B" w:rsidRPr="00CA21ED" w:rsidRDefault="00FF2B6B" w:rsidP="00FF2B6B">
            <w:pPr>
              <w:jc w:val="center"/>
            </w:pPr>
            <w:r w:rsidRPr="00CA21ED">
              <w:t>Spain</w:t>
            </w:r>
          </w:p>
        </w:tc>
      </w:tr>
      <w:tr w:rsidR="00D15FA0" w:rsidRPr="00CA21ED" w14:paraId="385A9488" w14:textId="77777777" w:rsidTr="001227AF">
        <w:tc>
          <w:tcPr>
            <w:tcW w:w="680" w:type="pct"/>
            <w:vMerge/>
          </w:tcPr>
          <w:p w14:paraId="6564D04C" w14:textId="77777777" w:rsidR="00FF2B6B" w:rsidRPr="00CA21ED" w:rsidRDefault="00FF2B6B" w:rsidP="00D43771">
            <w:pPr>
              <w:ind w:left="25"/>
            </w:pPr>
          </w:p>
        </w:tc>
        <w:tc>
          <w:tcPr>
            <w:tcW w:w="1061" w:type="pct"/>
            <w:vMerge/>
            <w:shd w:val="clear" w:color="auto" w:fill="auto"/>
          </w:tcPr>
          <w:p w14:paraId="4FD658B7" w14:textId="67D4AFB0" w:rsidR="00FF2B6B" w:rsidRPr="00CA21ED" w:rsidRDefault="00FF2B6B" w:rsidP="00D43771">
            <w:pPr>
              <w:ind w:left="25"/>
            </w:pPr>
          </w:p>
        </w:tc>
        <w:tc>
          <w:tcPr>
            <w:tcW w:w="606" w:type="pct"/>
            <w:shd w:val="clear" w:color="auto" w:fill="auto"/>
          </w:tcPr>
          <w:p w14:paraId="6D16529F" w14:textId="7A4F1BF0" w:rsidR="00FF2B6B" w:rsidRPr="00CA21ED" w:rsidRDefault="00FF2B6B" w:rsidP="00D43771">
            <w:pPr>
              <w:jc w:val="center"/>
            </w:pPr>
            <w:r w:rsidRPr="00CA21ED">
              <w:t>Input</w:t>
            </w:r>
          </w:p>
        </w:tc>
        <w:tc>
          <w:tcPr>
            <w:tcW w:w="986" w:type="pct"/>
          </w:tcPr>
          <w:p w14:paraId="0C6C9E6B" w14:textId="15BEEA71" w:rsidR="00FF2B6B" w:rsidRPr="00CA21ED" w:rsidRDefault="00FF2B6B" w:rsidP="00D43771">
            <w:pPr>
              <w:jc w:val="center"/>
            </w:pPr>
            <w:r w:rsidRPr="00CA21ED">
              <w:t>Source</w:t>
            </w:r>
          </w:p>
        </w:tc>
        <w:tc>
          <w:tcPr>
            <w:tcW w:w="606" w:type="pct"/>
            <w:shd w:val="clear" w:color="auto" w:fill="auto"/>
          </w:tcPr>
          <w:p w14:paraId="3E061DB4" w14:textId="5C347842" w:rsidR="00FF2B6B" w:rsidRPr="00CA21ED" w:rsidRDefault="00FF2B6B" w:rsidP="00D43771">
            <w:pPr>
              <w:jc w:val="center"/>
            </w:pPr>
            <w:r w:rsidRPr="00CA21ED">
              <w:t>Input</w:t>
            </w:r>
          </w:p>
        </w:tc>
        <w:tc>
          <w:tcPr>
            <w:tcW w:w="1061" w:type="pct"/>
          </w:tcPr>
          <w:p w14:paraId="0BAE4A07" w14:textId="2767EDFD" w:rsidR="00FF2B6B" w:rsidRPr="00CA21ED" w:rsidRDefault="00FF2B6B" w:rsidP="00D43771">
            <w:pPr>
              <w:jc w:val="center"/>
            </w:pPr>
            <w:r w:rsidRPr="00CA21ED">
              <w:t>Source</w:t>
            </w:r>
          </w:p>
        </w:tc>
      </w:tr>
      <w:tr w:rsidR="001227AF" w:rsidRPr="00CA21ED" w14:paraId="2298E505" w14:textId="77777777" w:rsidTr="001227AF">
        <w:tc>
          <w:tcPr>
            <w:tcW w:w="680" w:type="pct"/>
            <w:vMerge w:val="restart"/>
          </w:tcPr>
          <w:p w14:paraId="15A35E4E" w14:textId="5E2B0BC1" w:rsidR="001227AF" w:rsidRPr="00CA21ED" w:rsidRDefault="001227AF" w:rsidP="00D43771">
            <w:pPr>
              <w:ind w:left="25"/>
            </w:pPr>
            <w:r w:rsidRPr="00CA21ED">
              <w:t>Costs</w:t>
            </w:r>
          </w:p>
        </w:tc>
        <w:tc>
          <w:tcPr>
            <w:tcW w:w="1061" w:type="pct"/>
            <w:shd w:val="clear" w:color="auto" w:fill="auto"/>
          </w:tcPr>
          <w:p w14:paraId="3765823F" w14:textId="635FEA72" w:rsidR="001227AF" w:rsidRPr="00CA21ED" w:rsidRDefault="001227AF" w:rsidP="00D43771">
            <w:pPr>
              <w:ind w:left="25"/>
            </w:pPr>
            <w:r w:rsidRPr="00CA21ED">
              <w:t>Discount rate</w:t>
            </w:r>
          </w:p>
        </w:tc>
        <w:tc>
          <w:tcPr>
            <w:tcW w:w="606" w:type="pct"/>
            <w:shd w:val="clear" w:color="auto" w:fill="auto"/>
          </w:tcPr>
          <w:p w14:paraId="2F81FEC2" w14:textId="77777777" w:rsidR="001227AF" w:rsidRPr="00CA21ED" w:rsidRDefault="001227AF" w:rsidP="00D43771">
            <w:pPr>
              <w:jc w:val="center"/>
            </w:pPr>
            <w:r w:rsidRPr="00CA21ED">
              <w:t>Costs: 4%</w:t>
            </w:r>
          </w:p>
          <w:p w14:paraId="4C426F4C" w14:textId="1B3BA553" w:rsidR="001227AF" w:rsidRPr="00CA21ED" w:rsidRDefault="001227AF" w:rsidP="00D43771">
            <w:pPr>
              <w:jc w:val="center"/>
            </w:pPr>
            <w:r w:rsidRPr="00CA21ED">
              <w:t>QALYs: 1.5%</w:t>
            </w:r>
          </w:p>
        </w:tc>
        <w:tc>
          <w:tcPr>
            <w:tcW w:w="986" w:type="pct"/>
          </w:tcPr>
          <w:p w14:paraId="2BB48A3B" w14:textId="6B5E2CD7" w:rsidR="001227AF" w:rsidRPr="00CA21ED" w:rsidRDefault="006505E3" w:rsidP="005D3E21">
            <w:pPr>
              <w:jc w:val="center"/>
              <w:rPr>
                <w:highlight w:val="yellow"/>
              </w:rPr>
            </w:pPr>
            <w:r w:rsidRPr="00CA21ED">
              <w:t>ISPOR HEOR resources</w:t>
            </w:r>
            <w:r w:rsidR="00A81DA9" w:rsidRPr="00CA21ED">
              <w:t xml:space="preserve"> </w:t>
            </w:r>
            <w:r w:rsidR="00A81DA9" w:rsidRPr="00CA21ED">
              <w:fldChar w:fldCharType="begin"/>
            </w:r>
            <w:r w:rsidR="00F22A4B">
              <w:instrText xml:space="preserve"> ADDIN EN.CITE &lt;EndNote&gt;&lt;Cite&gt;&lt;Author&gt;International Society for Pharmacoeconomics and Outcomes Research (ISPOR)&lt;/Author&gt;&lt;Year&gt;2020&lt;/Year&gt;&lt;RecNum&gt;46&lt;/RecNum&gt;&lt;DisplayText&gt;(19)&lt;/DisplayText&gt;&lt;record&gt;&lt;rec-number&gt;46&lt;/rec-number&gt;&lt;foreign-keys&gt;&lt;key app="EN" db-id="f9e92ea9tpxdzoex9spxs9asfpp0rx2xe2s2" timestamp="1656513866"&gt;46&lt;/key&gt;&lt;/foreign-keys&gt;&lt;ref-type name="Web Page"&gt;12&lt;/ref-type&gt;&lt;contributors&gt;&lt;authors&gt;&lt;author&gt;International Society for Pharmacoeconomics and Outcomes Research (ISPOR),&lt;/author&gt;&lt;/authors&gt;&lt;/contributors&gt;&lt;titles&gt;&lt;title&gt;Pharmacoeconomic Guidelines: The Netherlands&lt;/title&gt;&lt;/titles&gt;&lt;number&gt;29th June 2022&lt;/number&gt;&lt;dates&gt;&lt;year&gt;2020&lt;/year&gt;&lt;/dates&gt;&lt;urls&gt;&lt;related-urls&gt;&lt;url&gt;https://www.ispor.org/heor-resources/more-heor-resources/pharmacoeconomic-guidelines/pe-guideline-detail/the-netherlands&lt;/url&gt;&lt;/related-urls&gt;&lt;/urls&gt;&lt;/record&gt;&lt;/Cite&gt;&lt;/EndNote&gt;</w:instrText>
            </w:r>
            <w:r w:rsidR="00A81DA9" w:rsidRPr="00CA21ED">
              <w:fldChar w:fldCharType="separate"/>
            </w:r>
            <w:r w:rsidR="00F22A4B">
              <w:rPr>
                <w:noProof/>
              </w:rPr>
              <w:t>(19)</w:t>
            </w:r>
            <w:r w:rsidR="00A81DA9" w:rsidRPr="00CA21ED">
              <w:fldChar w:fldCharType="end"/>
            </w:r>
          </w:p>
        </w:tc>
        <w:tc>
          <w:tcPr>
            <w:tcW w:w="606" w:type="pct"/>
            <w:shd w:val="clear" w:color="auto" w:fill="auto"/>
          </w:tcPr>
          <w:p w14:paraId="4827C82F" w14:textId="6534F1DE" w:rsidR="001227AF" w:rsidRPr="00CA21ED" w:rsidRDefault="001227AF" w:rsidP="00D43771">
            <w:pPr>
              <w:jc w:val="center"/>
            </w:pPr>
            <w:r w:rsidRPr="00CA21ED">
              <w:t>3%</w:t>
            </w:r>
          </w:p>
        </w:tc>
        <w:tc>
          <w:tcPr>
            <w:tcW w:w="1061" w:type="pct"/>
          </w:tcPr>
          <w:p w14:paraId="3937893E" w14:textId="6C858ED5" w:rsidR="001227AF" w:rsidRPr="00CA21ED" w:rsidRDefault="009E0EB8" w:rsidP="005D3E21">
            <w:pPr>
              <w:jc w:val="center"/>
              <w:rPr>
                <w:highlight w:val="yellow"/>
              </w:rPr>
            </w:pPr>
            <w:r w:rsidRPr="00CA21ED">
              <w:t>ISPOR HEOR resources</w:t>
            </w:r>
            <w:r w:rsidR="00750B7F" w:rsidRPr="00CA21ED">
              <w:t xml:space="preserve"> </w:t>
            </w:r>
            <w:r w:rsidR="00750B7F" w:rsidRPr="00CA21ED">
              <w:fldChar w:fldCharType="begin"/>
            </w:r>
            <w:r w:rsidR="00F22A4B">
              <w:instrText xml:space="preserve"> ADDIN EN.CITE &lt;EndNote&gt;&lt;Cite&gt;&lt;Author&gt;International Society for Pharmacoeconomics and Outcomes Research (ISPOR)&lt;/Author&gt;&lt;Year&gt;2020&lt;/Year&gt;&lt;RecNum&gt;47&lt;/RecNum&gt;&lt;DisplayText&gt;(20)&lt;/DisplayText&gt;&lt;record&gt;&lt;rec-number&gt;47&lt;/rec-number&gt;&lt;foreign-keys&gt;&lt;key app="EN" db-id="f9e92ea9tpxdzoex9spxs9asfpp0rx2xe2s2" timestamp="1656513930"&gt;47&lt;/key&gt;&lt;/foreign-keys&gt;&lt;ref-type name="Web Page"&gt;12&lt;/ref-type&gt;&lt;contributors&gt;&lt;authors&gt;&lt;author&gt;International Society for Pharmacoeconomics and Outcomes Research (ISPOR),&lt;/author&gt;&lt;/authors&gt;&lt;/contributors&gt;&lt;titles&gt;&lt;title&gt;Pharmacoeconomic Guidelines: Spain&lt;/title&gt;&lt;/titles&gt;&lt;number&gt;29th June 2022&lt;/number&gt;&lt;dates&gt;&lt;year&gt;2020&lt;/year&gt;&lt;/dates&gt;&lt;urls&gt;&lt;related-urls&gt;&lt;url&gt;https://www.ispor.org/heor-resources/more-heor-resources/pharmacoeconomic-guidelines/pe-guideline-detail/spain&lt;/url&gt;&lt;/related-urls&gt;&lt;/urls&gt;&lt;/record&gt;&lt;/Cite&gt;&lt;/EndNote&gt;</w:instrText>
            </w:r>
            <w:r w:rsidR="00750B7F" w:rsidRPr="00CA21ED">
              <w:fldChar w:fldCharType="separate"/>
            </w:r>
            <w:r w:rsidR="00F22A4B">
              <w:rPr>
                <w:noProof/>
              </w:rPr>
              <w:t>(20)</w:t>
            </w:r>
            <w:r w:rsidR="00750B7F" w:rsidRPr="00CA21ED">
              <w:fldChar w:fldCharType="end"/>
            </w:r>
          </w:p>
        </w:tc>
      </w:tr>
      <w:tr w:rsidR="001227AF" w:rsidRPr="00CA21ED" w14:paraId="7ACED69D" w14:textId="3D703ED5" w:rsidTr="001227AF">
        <w:tc>
          <w:tcPr>
            <w:tcW w:w="680" w:type="pct"/>
            <w:vMerge/>
          </w:tcPr>
          <w:p w14:paraId="51EB1881" w14:textId="76DA2AAE" w:rsidR="001227AF" w:rsidRPr="00CA21ED" w:rsidRDefault="001227AF" w:rsidP="00D43771">
            <w:pPr>
              <w:ind w:left="25"/>
            </w:pPr>
          </w:p>
        </w:tc>
        <w:tc>
          <w:tcPr>
            <w:tcW w:w="1061" w:type="pct"/>
            <w:shd w:val="clear" w:color="auto" w:fill="auto"/>
          </w:tcPr>
          <w:p w14:paraId="0C95732D" w14:textId="48286D04" w:rsidR="001227AF" w:rsidRPr="00CA21ED" w:rsidRDefault="001227AF" w:rsidP="00D43771">
            <w:pPr>
              <w:ind w:left="25"/>
            </w:pPr>
            <w:r w:rsidRPr="00CA21ED">
              <w:t>Cost of an AHF admission (for TP patients</w:t>
            </w:r>
          </w:p>
        </w:tc>
        <w:tc>
          <w:tcPr>
            <w:tcW w:w="606" w:type="pct"/>
            <w:shd w:val="clear" w:color="auto" w:fill="auto"/>
          </w:tcPr>
          <w:p w14:paraId="58A283ED" w14:textId="77777777" w:rsidR="001227AF" w:rsidRPr="00CA21ED" w:rsidRDefault="001227AF" w:rsidP="00D43771">
            <w:pPr>
              <w:jc w:val="center"/>
            </w:pPr>
            <w:r w:rsidRPr="00CA21ED">
              <w:t>€4,919.99</w:t>
            </w:r>
          </w:p>
        </w:tc>
        <w:tc>
          <w:tcPr>
            <w:tcW w:w="986" w:type="pct"/>
          </w:tcPr>
          <w:p w14:paraId="281142AC" w14:textId="221D89FE" w:rsidR="001227AF" w:rsidRPr="00822B76" w:rsidRDefault="001227AF" w:rsidP="005D3E21">
            <w:pPr>
              <w:jc w:val="center"/>
            </w:pPr>
            <w:r w:rsidRPr="00822B76">
              <w:t>Dutch Healthcare Authority DIS</w:t>
            </w:r>
            <w:r w:rsidR="00822B76" w:rsidRPr="00822B76">
              <w:t xml:space="preserve"> </w:t>
            </w:r>
            <w:r w:rsidR="00822B76" w:rsidRPr="00822B76">
              <w:fldChar w:fldCharType="begin"/>
            </w:r>
            <w:r w:rsidR="00822B76" w:rsidRPr="00822B76">
              <w:instrText xml:space="preserve"> ADDIN EN.CITE &lt;EndNote&gt;&lt;Cite&gt;&lt;Author&gt;Nederlandse Zorgautoriteit (NZa)&lt;/Author&gt;&lt;RecNum&gt;53&lt;/RecNum&gt;&lt;DisplayText&gt;(18)&lt;/DisplayText&gt;&lt;record&gt;&lt;rec-number&gt;53&lt;/rec-number&gt;&lt;foreign-keys&gt;&lt;key app="EN" db-id="f9e92ea9tpxdzoex9spxs9asfpp0rx2xe2s2" timestamp="1660570191"&gt;53&lt;/key&gt;&lt;/foreign-keys&gt;&lt;ref-type name="Web Page"&gt;12&lt;/ref-type&gt;&lt;contributors&gt;&lt;authors&gt;&lt;author&gt;Nederlandse Zorgautoriteit (NZa),&lt;/author&gt;&lt;/authors&gt;&lt;/contributors&gt;&lt;titles&gt;&lt;title&gt;DBC-Informatiesysteem.  “Zorgactiviteiten per jaar, specialisme, diagnose, zorgproduct.”&lt;/title&gt;&lt;/titles&gt;&lt;number&gt;22 June 2022&lt;/number&gt;&lt;dates&gt;&lt;/dates&gt;&lt;urls&gt;&lt;related-urls&gt;&lt;url&gt;https://www.opendisdata.nl/downloads&lt;/url&gt;&lt;/related-urls&gt;&lt;/urls&gt;&lt;/record&gt;&lt;/Cite&gt;&lt;/EndNote&gt;</w:instrText>
            </w:r>
            <w:r w:rsidR="00822B76" w:rsidRPr="00822B76">
              <w:fldChar w:fldCharType="separate"/>
            </w:r>
            <w:r w:rsidR="00822B76" w:rsidRPr="00822B76">
              <w:rPr>
                <w:noProof/>
              </w:rPr>
              <w:t>(18)</w:t>
            </w:r>
            <w:r w:rsidR="00822B76" w:rsidRPr="00822B76">
              <w:fldChar w:fldCharType="end"/>
            </w:r>
          </w:p>
        </w:tc>
        <w:tc>
          <w:tcPr>
            <w:tcW w:w="606" w:type="pct"/>
            <w:shd w:val="clear" w:color="auto" w:fill="auto"/>
          </w:tcPr>
          <w:p w14:paraId="6DAC01D2" w14:textId="5F6B07A6" w:rsidR="001227AF" w:rsidRPr="00CA21ED" w:rsidRDefault="001227AF" w:rsidP="00D43771">
            <w:pPr>
              <w:jc w:val="center"/>
            </w:pPr>
            <w:r w:rsidRPr="00CA21ED">
              <w:t>€3,395.80</w:t>
            </w:r>
          </w:p>
        </w:tc>
        <w:tc>
          <w:tcPr>
            <w:tcW w:w="1061" w:type="pct"/>
          </w:tcPr>
          <w:p w14:paraId="16274454" w14:textId="22BB63FC" w:rsidR="001227AF" w:rsidRPr="00CA21ED" w:rsidRDefault="001227AF" w:rsidP="005D3E21">
            <w:pPr>
              <w:jc w:val="center"/>
              <w:rPr>
                <w:highlight w:val="yellow"/>
              </w:rPr>
            </w:pPr>
            <w:r w:rsidRPr="00CA21ED">
              <w:rPr>
                <w:highlight w:val="yellow"/>
              </w:rPr>
              <w:t/>
            </w:r>
            <w:r w:rsidR="00EF3196" w:rsidRPr="00CA21ED">
              <w:t xml:space="preserve">Hospital costs - Analytical Accounting </w:t>
            </w:r>
            <w:r w:rsidR="00EF3196" w:rsidRPr="00CA21ED">
              <w:fldChar w:fldCharType="begin"/>
            </w:r>
            <w:r w:rsidR="00F22A4B">
              <w:instrText xml:space="preserve"> ADDIN EN.CITE &lt;EndNote&gt;&lt;Cite&gt;&lt;Author&gt;Sanidad&lt;/Author&gt;&lt;Year&gt;2019&lt;/Year&gt;&lt;RecNum&gt;48&lt;/RecNum&gt;&lt;DisplayText&gt;(21)&lt;/DisplayText&gt;&lt;record&gt;&lt;rec-number&gt;48&lt;/rec-number&gt;&lt;foreign-keys&gt;&lt;key app="EN" db-id="f9e92ea9tpxdzoex9spxs9asfpp0rx2xe2s2" timestamp="1656514062"&gt;48&lt;/key&gt;&lt;/foreign-keys&gt;&lt;ref-type name="Web Page"&gt;12&lt;/ref-type&gt;&lt;contributors&gt;&lt;authors&gt;&lt;author&gt;Ministerio de Sanidad,&lt;/author&gt;&lt;/authors&gt;&lt;/contributors&gt;&lt;titles&gt;&lt;title&gt;Costes hospitalarios - Contabilidad Analítica&lt;/title&gt;&lt;/titles&gt;&lt;number&gt;29th June 2022&lt;/number&gt;&lt;dates&gt;&lt;year&gt;2019&lt;/year&gt;&lt;/dates&gt;&lt;urls&gt;&lt;related-urls&gt;&lt;url&gt;https://www.sanidad.gob.es/estadEstudios/estadisticas/inforRecopilaciones/anaDesarrolloGDR.htm&lt;/url&gt;&lt;/related-urls&gt;&lt;/urls&gt;&lt;/record&gt;&lt;/Cite&gt;&lt;/EndNote&gt;</w:instrText>
            </w:r>
            <w:r w:rsidR="00EF3196" w:rsidRPr="00CA21ED">
              <w:fldChar w:fldCharType="separate"/>
            </w:r>
            <w:r w:rsidR="00F22A4B">
              <w:rPr>
                <w:noProof/>
              </w:rPr>
              <w:t>(21)</w:t>
            </w:r>
            <w:r w:rsidR="00EF3196" w:rsidRPr="00CA21ED">
              <w:fldChar w:fldCharType="end"/>
            </w:r>
          </w:p>
        </w:tc>
      </w:tr>
      <w:tr w:rsidR="001227AF" w:rsidRPr="00CA21ED" w14:paraId="4A167715" w14:textId="6770A11D" w:rsidTr="001227AF">
        <w:tc>
          <w:tcPr>
            <w:tcW w:w="680" w:type="pct"/>
            <w:vMerge/>
          </w:tcPr>
          <w:p w14:paraId="0274A614" w14:textId="77777777" w:rsidR="001227AF" w:rsidRPr="00CA21ED" w:rsidRDefault="001227AF" w:rsidP="00D43771">
            <w:pPr>
              <w:ind w:left="25"/>
            </w:pPr>
          </w:p>
        </w:tc>
        <w:tc>
          <w:tcPr>
            <w:tcW w:w="1061" w:type="pct"/>
            <w:shd w:val="clear" w:color="auto" w:fill="auto"/>
          </w:tcPr>
          <w:p w14:paraId="6C0C32A7" w14:textId="50C7221D" w:rsidR="001227AF" w:rsidRPr="00CA21ED" w:rsidRDefault="001227AF" w:rsidP="00D43771">
            <w:pPr>
              <w:ind w:left="25"/>
            </w:pPr>
            <w:r w:rsidRPr="00CA21ED">
              <w:t>Cost of a non-AHF admission (for TN patients)</w:t>
            </w:r>
          </w:p>
        </w:tc>
        <w:tc>
          <w:tcPr>
            <w:tcW w:w="606" w:type="pct"/>
            <w:shd w:val="clear" w:color="auto" w:fill="auto"/>
          </w:tcPr>
          <w:p w14:paraId="3FE43DD4" w14:textId="77777777" w:rsidR="001227AF" w:rsidRPr="00CA21ED" w:rsidRDefault="001227AF" w:rsidP="00D43771">
            <w:pPr>
              <w:jc w:val="center"/>
            </w:pPr>
            <w:r w:rsidRPr="00CA21ED">
              <w:t>€3,269.45</w:t>
            </w:r>
          </w:p>
        </w:tc>
        <w:tc>
          <w:tcPr>
            <w:tcW w:w="986" w:type="pct"/>
          </w:tcPr>
          <w:p w14:paraId="1DA3E1BB" w14:textId="52BE263E" w:rsidR="001227AF" w:rsidRPr="00191F37" w:rsidRDefault="001227AF" w:rsidP="005D3E21">
            <w:pPr>
              <w:jc w:val="center"/>
            </w:pPr>
            <w:r w:rsidRPr="00191F37">
              <w:t>Dutch Healthcare Authority DIS</w:t>
            </w:r>
            <w:r w:rsidR="00822B76" w:rsidRPr="00191F37">
              <w:t xml:space="preserve"> </w:t>
            </w:r>
            <w:r w:rsidR="00822B76" w:rsidRPr="00191F37">
              <w:fldChar w:fldCharType="begin"/>
            </w:r>
            <w:r w:rsidR="00822B76" w:rsidRPr="00191F37">
              <w:instrText xml:space="preserve"> ADDIN EN.CITE &lt;EndNote&gt;&lt;Cite&gt;&lt;Author&gt;Nederlandse Zorgautoriteit (NZa)&lt;/Author&gt;&lt;RecNum&gt;53&lt;/RecNum&gt;&lt;DisplayText&gt;(18)&lt;/DisplayText&gt;&lt;record&gt;&lt;rec-number&gt;53&lt;/rec-number&gt;&lt;foreign-keys&gt;&lt;key app="EN" db-id="f9e92ea9tpxdzoex9spxs9asfpp0rx2xe2s2" timestamp="1660570191"&gt;53&lt;/key&gt;&lt;/foreign-keys&gt;&lt;ref-type name="Web Page"&gt;12&lt;/ref-type&gt;&lt;contributors&gt;&lt;authors&gt;&lt;author&gt;Nederlandse Zorgautoriteit (NZa),&lt;/author&gt;&lt;/authors&gt;&lt;/contributors&gt;&lt;titles&gt;&lt;title&gt;DBC-Informatiesysteem.  “Zorgactiviteiten per jaar, specialisme, diagnose, zorgproduct.”&lt;/title&gt;&lt;/titles&gt;&lt;number&gt;22 June 2022&lt;/number&gt;&lt;dates&gt;&lt;/dates&gt;&lt;urls&gt;&lt;related-urls&gt;&lt;url&gt;https://www.opendisdata.nl/downloads&lt;/url&gt;&lt;/related-urls&gt;&lt;/urls&gt;&lt;/record&gt;&lt;/Cite&gt;&lt;/EndNote&gt;</w:instrText>
            </w:r>
            <w:r w:rsidR="00822B76" w:rsidRPr="00191F37">
              <w:fldChar w:fldCharType="separate"/>
            </w:r>
            <w:r w:rsidR="00822B76" w:rsidRPr="00191F37">
              <w:rPr>
                <w:noProof/>
              </w:rPr>
              <w:t>(18)</w:t>
            </w:r>
            <w:r w:rsidR="00822B76" w:rsidRPr="00191F37">
              <w:fldChar w:fldCharType="end"/>
            </w:r>
          </w:p>
        </w:tc>
        <w:tc>
          <w:tcPr>
            <w:tcW w:w="606" w:type="pct"/>
            <w:shd w:val="clear" w:color="auto" w:fill="auto"/>
          </w:tcPr>
          <w:p w14:paraId="3224D545" w14:textId="693126A1" w:rsidR="001227AF" w:rsidRPr="00CA21ED" w:rsidRDefault="001227AF" w:rsidP="00D43771">
            <w:pPr>
              <w:jc w:val="center"/>
            </w:pPr>
            <w:r w:rsidRPr="00CA21ED">
              <w:t>€2,156.60</w:t>
            </w:r>
          </w:p>
        </w:tc>
        <w:tc>
          <w:tcPr>
            <w:tcW w:w="1061" w:type="pct"/>
          </w:tcPr>
          <w:p w14:paraId="66E1B956" w14:textId="707B3549" w:rsidR="001227AF" w:rsidRPr="00CA21ED" w:rsidRDefault="001227AF" w:rsidP="005D3E21">
            <w:pPr>
              <w:jc w:val="center"/>
              <w:rPr>
                <w:highlight w:val="yellow"/>
              </w:rPr>
            </w:pPr>
            <w:r w:rsidRPr="00CA21ED">
              <w:t xml:space="preserve">Assumption: bed day </w:t>
            </w:r>
            <w:r w:rsidR="00C1550F" w:rsidRPr="00CA21ED">
              <w:t>cost multiplied by</w:t>
            </w:r>
            <w:r w:rsidRPr="00CA21ED">
              <w:t xml:space="preserve"> UK average length of stay for non-AHF</w:t>
            </w:r>
            <w:r w:rsidR="00C1550F" w:rsidRPr="00CA21ED">
              <w:t xml:space="preserve"> admission</w:t>
            </w:r>
          </w:p>
        </w:tc>
      </w:tr>
      <w:tr w:rsidR="001227AF" w:rsidRPr="00CA21ED" w14:paraId="5C15D85B" w14:textId="6C5E5397" w:rsidTr="001227AF">
        <w:trPr>
          <w:trHeight w:val="77"/>
        </w:trPr>
        <w:tc>
          <w:tcPr>
            <w:tcW w:w="680" w:type="pct"/>
            <w:vMerge/>
          </w:tcPr>
          <w:p w14:paraId="26E890F0" w14:textId="77777777" w:rsidR="001227AF" w:rsidRPr="00CA21ED" w:rsidRDefault="001227AF" w:rsidP="00D43771">
            <w:pPr>
              <w:ind w:left="25"/>
            </w:pPr>
          </w:p>
        </w:tc>
        <w:tc>
          <w:tcPr>
            <w:tcW w:w="1061" w:type="pct"/>
            <w:shd w:val="clear" w:color="auto" w:fill="auto"/>
          </w:tcPr>
          <w:p w14:paraId="5AE33140" w14:textId="0E7E8608" w:rsidR="001227AF" w:rsidRPr="00CA21ED" w:rsidRDefault="001227AF" w:rsidP="00D43771">
            <w:pPr>
              <w:ind w:left="25"/>
            </w:pPr>
            <w:r w:rsidRPr="00CA21ED">
              <w:t>Cost of an excess bed day for admitted FP patients</w:t>
            </w:r>
          </w:p>
        </w:tc>
        <w:tc>
          <w:tcPr>
            <w:tcW w:w="606" w:type="pct"/>
            <w:shd w:val="clear" w:color="auto" w:fill="auto"/>
          </w:tcPr>
          <w:p w14:paraId="701B2C8A" w14:textId="77777777" w:rsidR="001227AF" w:rsidRPr="00CA21ED" w:rsidRDefault="001227AF" w:rsidP="00D43771">
            <w:pPr>
              <w:jc w:val="center"/>
            </w:pPr>
            <w:r w:rsidRPr="00CA21ED">
              <w:t>€479</w:t>
            </w:r>
          </w:p>
        </w:tc>
        <w:tc>
          <w:tcPr>
            <w:tcW w:w="986" w:type="pct"/>
          </w:tcPr>
          <w:p w14:paraId="1421D95E" w14:textId="6254E300" w:rsidR="001227AF" w:rsidRPr="00191F37" w:rsidRDefault="002932AF" w:rsidP="002932AF">
            <w:pPr>
              <w:jc w:val="center"/>
            </w:pPr>
            <w:r w:rsidRPr="00191F37">
              <w:t>Institute for Medical Technology Assessment (iMTA)</w:t>
            </w:r>
            <w:r w:rsidR="00F22A4B" w:rsidRPr="00191F37">
              <w:t xml:space="preserve"> </w:t>
            </w:r>
            <w:r w:rsidR="00816ED5" w:rsidRPr="00191F37">
              <w:fldChar w:fldCharType="begin"/>
            </w:r>
            <w:r w:rsidR="00816ED5" w:rsidRPr="00191F37">
              <w:instrText xml:space="preserve"> ADDIN EN.CITE &lt;EndNote&gt;&lt;Cite&gt;&lt;Author&gt;Institute for Medical Technology Assessment (iMTA)&lt;/Author&gt;&lt;RecNum&gt;49&lt;/RecNum&gt;&lt;DisplayText&gt;(22)&lt;/DisplayText&gt;&lt;record&gt;&lt;rec-number&gt;49&lt;/rec-number&gt;&lt;foreign-keys&gt;&lt;key app="EN" db-id="f9e92ea9tpxdzoex9spxs9asfpp0rx2xe2s2" timestamp="1656514264"&gt;49&lt;/key&gt;&lt;/foreign-keys&gt;&lt;ref-type name="Web Page"&gt;12&lt;/ref-type&gt;&lt;contributors&gt;&lt;authors&gt;&lt;author&gt;Institute for Medical Technology Assessment (iMTA),&lt;/author&gt;&lt;/authors&gt;&lt;/contributors&gt;&lt;titles&gt;&lt;title&gt;The iMTA Disease Burden Calculator (iDBC) for proportional shortfall and fair innings for The Netherlands&lt;/title&gt;&lt;/titles&gt;&lt;number&gt;22 June 2022&lt;/number&gt;&lt;dates&gt;&lt;/dates&gt;&lt;urls&gt;&lt;related-urls&gt;&lt;url&gt;https://www.imta.nl/&lt;/url&gt;&lt;/related-urls&gt;&lt;/urls&gt;&lt;/record&gt;&lt;/Cite&gt;&lt;/EndNote&gt;</w:instrText>
            </w:r>
            <w:r w:rsidR="00816ED5" w:rsidRPr="00191F37">
              <w:fldChar w:fldCharType="separate"/>
            </w:r>
            <w:r w:rsidR="00816ED5" w:rsidRPr="00191F37">
              <w:rPr>
                <w:noProof/>
              </w:rPr>
              <w:t>(22)</w:t>
            </w:r>
            <w:r w:rsidR="00816ED5" w:rsidRPr="00191F37">
              <w:fldChar w:fldCharType="end"/>
            </w:r>
          </w:p>
        </w:tc>
        <w:tc>
          <w:tcPr>
            <w:tcW w:w="606" w:type="pct"/>
            <w:shd w:val="clear" w:color="auto" w:fill="auto"/>
          </w:tcPr>
          <w:p w14:paraId="5D889701" w14:textId="4A2BF9FA" w:rsidR="001227AF" w:rsidRPr="00CA21ED" w:rsidRDefault="001227AF" w:rsidP="00D43771">
            <w:pPr>
              <w:jc w:val="center"/>
            </w:pPr>
            <w:r w:rsidRPr="00CA21ED">
              <w:t>€385.80</w:t>
            </w:r>
          </w:p>
        </w:tc>
        <w:tc>
          <w:tcPr>
            <w:tcW w:w="1061" w:type="pct"/>
          </w:tcPr>
          <w:p w14:paraId="79B9BFE3" w14:textId="7CDFBD1A" w:rsidR="001227AF" w:rsidRPr="00CA21ED" w:rsidRDefault="005D6A20" w:rsidP="005D3E21">
            <w:pPr>
              <w:jc w:val="center"/>
            </w:pPr>
            <w:r w:rsidRPr="00CA21ED">
              <w:t xml:space="preserve">Mainar et al. 2015 </w:t>
            </w:r>
            <w:r w:rsidRPr="00CA21ED">
              <w:fldChar w:fldCharType="begin"/>
            </w:r>
            <w:r w:rsidR="00816ED5">
              <w:instrText xml:space="preserve"> ADDIN EN.CITE &lt;EndNote&gt;&lt;Cite&gt;&lt;Author&gt;Mainar&lt;/Author&gt;&lt;Year&gt;2015&lt;/Year&gt;&lt;RecNum&gt;45&lt;/RecNum&gt;&lt;DisplayText&gt;(23)&lt;/DisplayText&gt;&lt;record&gt;&lt;rec-number&gt;45&lt;/rec-number&gt;&lt;foreign-keys&gt;&lt;key app="EN" db-id="f9e92ea9tpxdzoex9spxs9asfpp0rx2xe2s2" timestamp="1656432602"&gt;45&lt;/key&gt;&lt;/foreign-keys&gt;&lt;ref-type name="Journal Article"&gt;17&lt;/ref-type&gt;&lt;contributors&gt;&lt;authors&gt;&lt;author&gt;Mainar, Antoni Sicras&lt;/author&gt;&lt;author&gt;Artieda, Ruth Navarro&lt;/author&gt;&lt;author&gt;Nolla, Jordi Ibáñez&lt;/author&gt;&lt;/authors&gt;&lt;/contributors&gt;&lt;titles&gt;&lt;title&gt;Economic impact of heart failure according to the effects of kidney failure&lt;/title&gt;&lt;secondary-title&gt;Revista Española de Cardiología (English Edition)&lt;/secondary-title&gt;&lt;/titles&gt;&lt;periodical&gt;&lt;full-title&gt;Revista Española de Cardiología (English Edition)&lt;/full-title&gt;&lt;/periodical&gt;&lt;pages&gt;39-46&lt;/pages&gt;&lt;volume&gt;68&lt;/volume&gt;&lt;number&gt;1&lt;/number&gt;&lt;dates&gt;&lt;year&gt;2015&lt;/year&gt;&lt;/dates&gt;&lt;isbn&gt;1885-5857&lt;/isbn&gt;&lt;urls&gt;&lt;/urls&gt;&lt;/record&gt;&lt;/Cite&gt;&lt;/EndNote&gt;</w:instrText>
            </w:r>
            <w:r w:rsidRPr="00CA21ED">
              <w:fldChar w:fldCharType="separate"/>
            </w:r>
            <w:r w:rsidR="00816ED5">
              <w:rPr>
                <w:noProof/>
              </w:rPr>
              <w:t>(23)</w:t>
            </w:r>
            <w:r w:rsidRPr="00CA21ED">
              <w:fldChar w:fldCharType="end"/>
            </w:r>
          </w:p>
        </w:tc>
      </w:tr>
      <w:tr w:rsidR="001227AF" w:rsidRPr="00CA21ED" w14:paraId="1CC1E572" w14:textId="68886971" w:rsidTr="001227AF">
        <w:trPr>
          <w:trHeight w:val="77"/>
        </w:trPr>
        <w:tc>
          <w:tcPr>
            <w:tcW w:w="680" w:type="pct"/>
            <w:vMerge/>
          </w:tcPr>
          <w:p w14:paraId="34422DBC" w14:textId="77777777" w:rsidR="001227AF" w:rsidRPr="00CA21ED" w:rsidRDefault="001227AF" w:rsidP="00D43771">
            <w:pPr>
              <w:ind w:left="25"/>
            </w:pPr>
          </w:p>
        </w:tc>
        <w:tc>
          <w:tcPr>
            <w:tcW w:w="1061" w:type="pct"/>
            <w:shd w:val="clear" w:color="auto" w:fill="auto"/>
          </w:tcPr>
          <w:p w14:paraId="4D19F07A" w14:textId="19B44831" w:rsidR="001227AF" w:rsidRPr="00CA21ED" w:rsidRDefault="001227AF" w:rsidP="00D43771">
            <w:pPr>
              <w:ind w:left="25"/>
            </w:pPr>
            <w:r w:rsidRPr="00CA21ED">
              <w:t>Cost of an excess bed day for admitted FN patients</w:t>
            </w:r>
          </w:p>
        </w:tc>
        <w:tc>
          <w:tcPr>
            <w:tcW w:w="606" w:type="pct"/>
            <w:shd w:val="clear" w:color="auto" w:fill="auto"/>
          </w:tcPr>
          <w:p w14:paraId="54633BE9" w14:textId="77777777" w:rsidR="001227AF" w:rsidRPr="00CA21ED" w:rsidRDefault="001227AF" w:rsidP="00D43771">
            <w:pPr>
              <w:jc w:val="center"/>
            </w:pPr>
            <w:r w:rsidRPr="00CA21ED">
              <w:t>€479</w:t>
            </w:r>
          </w:p>
        </w:tc>
        <w:tc>
          <w:tcPr>
            <w:tcW w:w="986" w:type="pct"/>
          </w:tcPr>
          <w:p w14:paraId="574AEEB7" w14:textId="5ACE6F0C" w:rsidR="001227AF" w:rsidRPr="00CA21ED" w:rsidRDefault="001227AF" w:rsidP="005D3E21">
            <w:pPr>
              <w:jc w:val="center"/>
            </w:pPr>
            <w:r w:rsidRPr="00CA21ED">
              <w:t/>
            </w:r>
            <w:r w:rsidRPr="00CA21ED">
              <w:t xml:space="preserve">Assumption: </w:t>
            </w:r>
            <w:r w:rsidR="002932AF" w:rsidRPr="00CA21ED">
              <w:t>equivalent to FP patients</w:t>
            </w:r>
            <w:r w:rsidRPr="00CA21ED">
              <w:t xml:space="preserve"> </w:t>
            </w:r>
          </w:p>
        </w:tc>
        <w:tc>
          <w:tcPr>
            <w:tcW w:w="606" w:type="pct"/>
            <w:shd w:val="clear" w:color="auto" w:fill="auto"/>
          </w:tcPr>
          <w:p w14:paraId="7DFE3847" w14:textId="56F3853A" w:rsidR="001227AF" w:rsidRPr="00CA21ED" w:rsidRDefault="001227AF" w:rsidP="00D43771">
            <w:pPr>
              <w:jc w:val="center"/>
            </w:pPr>
            <w:r w:rsidRPr="00CA21ED">
              <w:t>€385.80</w:t>
            </w:r>
          </w:p>
        </w:tc>
        <w:tc>
          <w:tcPr>
            <w:tcW w:w="1061" w:type="pct"/>
          </w:tcPr>
          <w:p w14:paraId="54420305" w14:textId="421D0AA6" w:rsidR="001227AF" w:rsidRPr="00CA21ED" w:rsidRDefault="002932AF" w:rsidP="00D43771">
            <w:pPr>
              <w:jc w:val="center"/>
            </w:pPr>
            <w:r w:rsidRPr="00CA21ED">
              <w:t>Assumption: equivalent to FP patients</w:t>
            </w:r>
          </w:p>
        </w:tc>
      </w:tr>
      <w:tr w:rsidR="001227AF" w:rsidRPr="00CA21ED" w14:paraId="655B67D9" w14:textId="624D5A3B" w:rsidTr="001227AF">
        <w:tc>
          <w:tcPr>
            <w:tcW w:w="680" w:type="pct"/>
            <w:vMerge/>
          </w:tcPr>
          <w:p w14:paraId="36E37B5C" w14:textId="77777777" w:rsidR="001227AF" w:rsidRPr="00CA21ED" w:rsidRDefault="001227AF" w:rsidP="00D43771">
            <w:pPr>
              <w:ind w:left="25"/>
            </w:pPr>
          </w:p>
        </w:tc>
        <w:tc>
          <w:tcPr>
            <w:tcW w:w="1061" w:type="pct"/>
            <w:shd w:val="clear" w:color="auto" w:fill="auto"/>
          </w:tcPr>
          <w:p w14:paraId="558BFE62" w14:textId="36FD84FC" w:rsidR="001227AF" w:rsidRPr="00CA21ED" w:rsidRDefault="001227AF" w:rsidP="00D43771">
            <w:pPr>
              <w:ind w:left="25"/>
            </w:pPr>
            <w:r w:rsidRPr="00CA21ED">
              <w:t>Cost of echocardiogram</w:t>
            </w:r>
          </w:p>
        </w:tc>
        <w:tc>
          <w:tcPr>
            <w:tcW w:w="606" w:type="pct"/>
            <w:shd w:val="clear" w:color="auto" w:fill="auto"/>
          </w:tcPr>
          <w:p w14:paraId="15D5E655" w14:textId="77777777" w:rsidR="001227AF" w:rsidRPr="00CA21ED" w:rsidRDefault="001227AF" w:rsidP="00D43771">
            <w:pPr>
              <w:jc w:val="center"/>
            </w:pPr>
            <w:r w:rsidRPr="00CA21ED">
              <w:t>€117</w:t>
            </w:r>
          </w:p>
        </w:tc>
        <w:tc>
          <w:tcPr>
            <w:tcW w:w="986" w:type="pct"/>
          </w:tcPr>
          <w:p w14:paraId="4C3FC08A" w14:textId="3CE1CCDF" w:rsidR="001227AF" w:rsidRPr="00CA21ED" w:rsidRDefault="001227AF" w:rsidP="0052040D">
            <w:pPr>
              <w:jc w:val="center"/>
            </w:pPr>
            <w:r w:rsidRPr="00CA21ED">
              <w:t/>
            </w:r>
            <w:r w:rsidR="00D4542B" w:rsidRPr="00CA21ED">
              <w:t xml:space="preserve">Treskes et al. 2022 </w:t>
            </w:r>
            <w:r w:rsidR="00D4542B" w:rsidRPr="00CA21ED">
              <w:fldChar w:fldCharType="begin"/>
            </w:r>
            <w:r w:rsidR="00816ED5">
              <w:instrText xml:space="preserve"> ADDIN EN.CITE &lt;EndNote&gt;&lt;Cite&gt;&lt;Author&gt;Treskes&lt;/Author&gt;&lt;Year&gt;2022&lt;/Year&gt;&lt;RecNum&gt;43&lt;/RecNum&gt;&lt;DisplayText&gt;(24)&lt;/DisplayText&gt;&lt;record&gt;&lt;rec-number&gt;43&lt;/rec-number&gt;&lt;foreign-keys&gt;&lt;key app="EN" db-id="f9e92ea9tpxdzoex9spxs9asfpp0rx2xe2s2" timestamp="1656432517"&gt;43&lt;/key&gt;&lt;/foreign-keys&gt;&lt;ref-type name="Journal Article"&gt;17&lt;/ref-type&gt;&lt;contributors&gt;&lt;authors&gt;&lt;author&gt;Treskes, Roderick Willem&lt;/author&gt;&lt;author&gt;van den Akker-van, M Elske&lt;/author&gt;&lt;author&gt;van Winden, Louise&lt;/author&gt;&lt;author&gt;van Keulen, Nicole&lt;/author&gt;&lt;author&gt;van der Velde, Enno Tjeerd&lt;/author&gt;&lt;author&gt;Beeres, Saskia&lt;/author&gt;&lt;author&gt;Atsma, Douwe&lt;/author&gt;&lt;author&gt;Schalij, Martin Jan&lt;/author&gt;&lt;/authors&gt;&lt;/contributors&gt;&lt;titles&gt;&lt;title&gt;The Box—eHealth in the Outpatient Clinic Follow-up of Patients With Acute Myocardial Infarction: Cost-Utility Analysis&lt;/title&gt;&lt;secondary-title&gt;Journal of Medical Internet Research&lt;/secondary-title&gt;&lt;/titles&gt;&lt;periodical&gt;&lt;full-title&gt;Journal of Medical Internet Research&lt;/full-title&gt;&lt;/periodical&gt;&lt;pages&gt;e30236&lt;/pages&gt;&lt;volume&gt;24&lt;/volume&gt;&lt;number&gt;4&lt;/number&gt;&lt;dates&gt;&lt;year&gt;2022&lt;/year&gt;&lt;/dates&gt;&lt;urls&gt;&lt;/urls&gt;&lt;/record&gt;&lt;/Cite&gt;&lt;/EndNote&gt;</w:instrText>
            </w:r>
            <w:r w:rsidR="00D4542B" w:rsidRPr="00CA21ED">
              <w:fldChar w:fldCharType="separate"/>
            </w:r>
            <w:r w:rsidR="00816ED5">
              <w:rPr>
                <w:noProof/>
              </w:rPr>
              <w:t>(24)</w:t>
            </w:r>
            <w:r w:rsidR="00D4542B" w:rsidRPr="00CA21ED">
              <w:fldChar w:fldCharType="end"/>
            </w:r>
          </w:p>
        </w:tc>
        <w:tc>
          <w:tcPr>
            <w:tcW w:w="606" w:type="pct"/>
            <w:shd w:val="clear" w:color="auto" w:fill="auto"/>
          </w:tcPr>
          <w:p w14:paraId="49F2094B" w14:textId="6F4F320B" w:rsidR="001227AF" w:rsidRPr="00CA21ED" w:rsidRDefault="001227AF" w:rsidP="00D43771">
            <w:pPr>
              <w:jc w:val="center"/>
            </w:pPr>
            <w:r w:rsidRPr="00CA21ED">
              <w:t>€137</w:t>
            </w:r>
          </w:p>
        </w:tc>
        <w:tc>
          <w:tcPr>
            <w:tcW w:w="1061" w:type="pct"/>
          </w:tcPr>
          <w:p w14:paraId="4C8B7FE5" w14:textId="61506AD3" w:rsidR="001227AF" w:rsidRPr="00CA21ED" w:rsidRDefault="00B52C10" w:rsidP="005D3E21">
            <w:pPr>
              <w:jc w:val="center"/>
              <w:rPr>
                <w:highlight w:val="yellow"/>
              </w:rPr>
            </w:pPr>
            <w:r w:rsidRPr="00CA21ED">
              <w:t xml:space="preserve">Ciruelos et al. 2019 </w:t>
            </w:r>
            <w:r w:rsidRPr="00CA21ED">
              <w:fldChar w:fldCharType="begin"/>
            </w:r>
            <w:r w:rsidR="00816ED5">
              <w:instrText xml:space="preserve"> ADDIN EN.CITE &lt;EndNote&gt;&lt;Cite&gt;&lt;Author&gt;Ciruelos&lt;/Author&gt;&lt;Year&gt;2019&lt;/Year&gt;&lt;RecNum&gt;44&lt;/RecNum&gt;&lt;DisplayText&gt;(25)&lt;/DisplayText&gt;&lt;record&gt;&lt;rec-number&gt;44&lt;/rec-number&gt;&lt;foreign-keys&gt;&lt;key app="EN" db-id="f9e92ea9tpxdzoex9spxs9asfpp0rx2xe2s2" timestamp="1656432564"&gt;44&lt;/key&gt;&lt;/foreign-keys&gt;&lt;ref-type name="Journal Article"&gt;17&lt;/ref-type&gt;&lt;contributors&gt;&lt;authors&gt;&lt;author&gt;Ciruelos, Eva&lt;/author&gt;&lt;author&gt;Alba, Emilio&lt;/author&gt;&lt;author&gt;López, Rafael&lt;/author&gt;&lt;author&gt;Lluch, Anna&lt;/author&gt;&lt;author&gt;Martín, Miguel&lt;/author&gt;&lt;author&gt;Arroyo, Isabel&lt;/author&gt;&lt;author&gt;Navarro, Beatriz&lt;/author&gt;&lt;author&gt;Carcedo, David&lt;/author&gt;&lt;author&gt;Colomer, Ramón&lt;/author&gt;&lt;author&gt;Albanell, Joan&lt;/author&gt;&lt;/authors&gt;&lt;/contributors&gt;&lt;titles&gt;&lt;title&gt;Contribution of trastuzumab to the prognostic improvement of HER2-positive early breast cancer in Spain: an estimation of life years and disease-free life years gained since its approval&lt;/title&gt;&lt;secondary-title&gt;Oncotarget&lt;/secondary-title&gt;&lt;/titles&gt;&lt;periodical&gt;&lt;full-title&gt;Oncotarget&lt;/full-title&gt;&lt;/periodical&gt;&lt;pages&gt;4321&lt;/pages&gt;&lt;volume&gt;10&lt;/volume&gt;&lt;number&gt;42&lt;/number&gt;&lt;dates&gt;&lt;year&gt;2019&lt;/year&gt;&lt;/dates&gt;&lt;urls&gt;&lt;/urls&gt;&lt;/record&gt;&lt;/Cite&gt;&lt;/EndNote&gt;</w:instrText>
            </w:r>
            <w:r w:rsidRPr="00CA21ED">
              <w:fldChar w:fldCharType="separate"/>
            </w:r>
            <w:r w:rsidR="00816ED5">
              <w:rPr>
                <w:noProof/>
              </w:rPr>
              <w:t>(25)</w:t>
            </w:r>
            <w:r w:rsidRPr="00CA21ED">
              <w:fldChar w:fldCharType="end"/>
            </w:r>
          </w:p>
        </w:tc>
      </w:tr>
      <w:tr w:rsidR="00AD3C3A" w:rsidRPr="00CA21ED" w14:paraId="57EBDC7F" w14:textId="77777777" w:rsidTr="001227AF">
        <w:tc>
          <w:tcPr>
            <w:tcW w:w="680" w:type="pct"/>
            <w:vMerge w:val="restart"/>
          </w:tcPr>
          <w:p w14:paraId="3D1E450A" w14:textId="6CE61DF7" w:rsidR="00AD3C3A" w:rsidRPr="00CA21ED" w:rsidRDefault="00AD3C3A" w:rsidP="00D43771">
            <w:pPr>
              <w:ind w:left="25"/>
            </w:pPr>
            <w:r w:rsidRPr="00CA21ED">
              <w:t>Follow-up costs</w:t>
            </w:r>
          </w:p>
        </w:tc>
        <w:tc>
          <w:tcPr>
            <w:tcW w:w="1061" w:type="pct"/>
            <w:shd w:val="clear" w:color="auto" w:fill="auto"/>
          </w:tcPr>
          <w:p w14:paraId="4D4B76E9" w14:textId="6D65215F" w:rsidR="00AD3C3A" w:rsidRPr="00CA21ED" w:rsidRDefault="00AD3C3A" w:rsidP="00D43771">
            <w:pPr>
              <w:ind w:left="25"/>
            </w:pPr>
            <w:r w:rsidRPr="00CA21ED">
              <w:t>GP visit</w:t>
            </w:r>
          </w:p>
        </w:tc>
        <w:tc>
          <w:tcPr>
            <w:tcW w:w="606" w:type="pct"/>
            <w:shd w:val="clear" w:color="auto" w:fill="auto"/>
          </w:tcPr>
          <w:p w14:paraId="631DA029" w14:textId="00C516F9" w:rsidR="00AD3C3A" w:rsidRPr="00CA21ED" w:rsidRDefault="00AD3C3A" w:rsidP="00D43771">
            <w:pPr>
              <w:jc w:val="center"/>
            </w:pPr>
            <w:r w:rsidRPr="00CA21ED">
              <w:rPr>
                <w:rFonts w:cs="Calibri"/>
              </w:rPr>
              <w:t>€33</w:t>
            </w:r>
          </w:p>
        </w:tc>
        <w:tc>
          <w:tcPr>
            <w:tcW w:w="986" w:type="pct"/>
            <w:vMerge w:val="restart"/>
          </w:tcPr>
          <w:p w14:paraId="029624BB" w14:textId="65FF074B" w:rsidR="00AD3C3A" w:rsidRPr="00CA21ED" w:rsidRDefault="00AD3C3A" w:rsidP="002932AF">
            <w:pPr>
              <w:jc w:val="center"/>
            </w:pPr>
            <w:r w:rsidRPr="00CA21ED">
              <w:t>Institute for Medical Technology Assessment (iMTA)</w:t>
            </w:r>
            <w:r w:rsidR="0090550C" w:rsidRPr="00CA21ED">
              <w:t xml:space="preserve"> </w:t>
            </w:r>
            <w:r w:rsidR="00816ED5">
              <w:fldChar w:fldCharType="begin"/>
            </w:r>
            <w:r w:rsidR="00816ED5">
              <w:instrText xml:space="preserve"> ADDIN EN.CITE &lt;EndNote&gt;&lt;Cite&gt;&lt;Author&gt;Institute for Medical Technology Assessment (iMTA)&lt;/Author&gt;&lt;RecNum&gt;49&lt;/RecNum&gt;&lt;DisplayText&gt;(22)&lt;/DisplayText&gt;&lt;record&gt;&lt;rec-number&gt;49&lt;/rec-number&gt;&lt;foreign-keys&gt;&lt;key app="EN" db-id="f9e92ea9tpxdzoex9spxs9asfpp0rx2xe2s2" timestamp="1656514264"&gt;49&lt;/key&gt;&lt;/foreign-keys&gt;&lt;ref-type name="Web Page"&gt;12&lt;/ref-type&gt;&lt;contributors&gt;&lt;authors&gt;&lt;author&gt;Institute for Medical Technology Assessment (iMTA),&lt;/author&gt;&lt;/authors&gt;&lt;/contributors&gt;&lt;titles&gt;&lt;title&gt;The iMTA Disease Burden Calculator (iDBC) for proportional shortfall and fair innings for The Netherlands&lt;/title&gt;&lt;/titles&gt;&lt;number&gt;22 June 2022&lt;/number&gt;&lt;dates&gt;&lt;/dates&gt;&lt;urls&gt;&lt;related-urls&gt;&lt;url&gt;https://www.imta.nl/&lt;/url&gt;&lt;/related-urls&gt;&lt;/urls&gt;&lt;/record&gt;&lt;/Cite&gt;&lt;/EndNote&gt;</w:instrText>
            </w:r>
            <w:r w:rsidR="00816ED5">
              <w:fldChar w:fldCharType="separate"/>
            </w:r>
            <w:r w:rsidR="00816ED5">
              <w:rPr>
                <w:noProof/>
              </w:rPr>
              <w:t>(22)</w:t>
            </w:r>
            <w:r w:rsidR="00816ED5">
              <w:fldChar w:fldCharType="end"/>
            </w:r>
          </w:p>
        </w:tc>
        <w:tc>
          <w:tcPr>
            <w:tcW w:w="606" w:type="pct"/>
            <w:shd w:val="clear" w:color="auto" w:fill="auto"/>
          </w:tcPr>
          <w:p w14:paraId="550BD99F" w14:textId="0F9AD358" w:rsidR="00AD3C3A" w:rsidRPr="00CA21ED" w:rsidRDefault="00AD3C3A" w:rsidP="00D43771">
            <w:pPr>
              <w:jc w:val="center"/>
            </w:pPr>
            <w:r w:rsidRPr="00CA21ED">
              <w:rPr>
                <w:rFonts w:cs="Calibri"/>
              </w:rPr>
              <w:t>€ 78.45</w:t>
            </w:r>
          </w:p>
        </w:tc>
        <w:tc>
          <w:tcPr>
            <w:tcW w:w="1061" w:type="pct"/>
            <w:vMerge w:val="restart"/>
          </w:tcPr>
          <w:p w14:paraId="42A891BD" w14:textId="24E7E039" w:rsidR="00AD3C3A" w:rsidRPr="00CA21ED" w:rsidRDefault="00AD3C3A" w:rsidP="005D3E21">
            <w:pPr>
              <w:jc w:val="center"/>
              <w:rPr>
                <w:highlight w:val="yellow"/>
              </w:rPr>
            </w:pPr>
            <w:r w:rsidRPr="00CA21ED">
              <w:t xml:space="preserve">Leon-Justel et al. </w:t>
            </w:r>
            <w:r w:rsidRPr="00CA21ED">
              <w:t/>
            </w:r>
            <w:r w:rsidRPr="00CA21ED">
              <w:t xml:space="preserve">2021 </w:t>
            </w:r>
            <w:r w:rsidRPr="00CA21ED">
              <w:fldChar w:fldCharType="begin"/>
            </w:r>
            <w:r w:rsidR="00816ED5">
              <w:instrText xml:space="preserve"> ADDIN EN.CITE &lt;EndNote&gt;&lt;Cite&gt;&lt;Author&gt;Leon-Justel&lt;/Author&gt;&lt;Year&gt;2021&lt;/Year&gt;&lt;RecNum&gt;42&lt;/RecNum&gt;&lt;DisplayText&gt;(26)&lt;/DisplayText&gt;&lt;record&gt;&lt;rec-number&gt;42&lt;/rec-number&gt;&lt;foreign-keys&gt;&lt;key app="EN" db-id="f9e92ea9tpxdzoex9spxs9asfpp0rx2xe2s2" timestamp="1656432413"&gt;42&lt;/key&gt;&lt;/foreign-keys&gt;&lt;ref-type name="Journal Article"&gt;17&lt;/ref-type&gt;&lt;contributors&gt;&lt;authors&gt;&lt;author&gt;Leon-Justel, Antonio&lt;/author&gt;&lt;author&gt;Morgado Garcia-Polavieja, Jose I&lt;/author&gt;&lt;author&gt;Alvarez-Rios, Ana Isabel&lt;/author&gt;&lt;author&gt;Caro Fernandez, Francisco Jose&lt;/author&gt;&lt;author&gt;Merino, Pedro Agustin Pajaro&lt;/author&gt;&lt;author&gt;Galvez Rios, Elena&lt;/author&gt;&lt;author&gt;Vazquez-Rico, Ignacio&lt;/author&gt;&lt;author&gt;Diaz Fernandez, Jose Francisco&lt;/author&gt;&lt;/authors&gt;&lt;/contributors&gt;&lt;titles&gt;&lt;title&gt;Biomarkers-based personalized follow-up in chronic heart failure improves patient’s outcomes and reduces care associate cost&lt;/title&gt;&lt;secondary-title&gt;Health and quality of life outcomes&lt;/secondary-title&gt;&lt;/titles&gt;&lt;periodical&gt;&lt;full-title&gt;Health and quality of life outcomes&lt;/full-title&gt;&lt;/periodical&gt;&lt;pages&gt;1-12&lt;/pages&gt;&lt;volume&gt;19&lt;/volume&gt;&lt;number&gt;1&lt;/number&gt;&lt;dates&gt;&lt;year&gt;2021&lt;/year&gt;&lt;/dates&gt;&lt;isbn&gt;1477-7525&lt;/isbn&gt;&lt;urls&gt;&lt;/urls&gt;&lt;/record&gt;&lt;/Cite&gt;&lt;/EndNote&gt;</w:instrText>
            </w:r>
            <w:r w:rsidRPr="00CA21ED">
              <w:fldChar w:fldCharType="separate"/>
            </w:r>
            <w:r w:rsidR="00816ED5">
              <w:rPr>
                <w:noProof/>
              </w:rPr>
              <w:t>(26)</w:t>
            </w:r>
            <w:r w:rsidRPr="00CA21ED">
              <w:fldChar w:fldCharType="end"/>
            </w:r>
          </w:p>
        </w:tc>
      </w:tr>
      <w:tr w:rsidR="00AD3C3A" w:rsidRPr="00CA21ED" w14:paraId="54A95969" w14:textId="77777777" w:rsidTr="001227AF">
        <w:tc>
          <w:tcPr>
            <w:tcW w:w="680" w:type="pct"/>
            <w:vMerge/>
          </w:tcPr>
          <w:p w14:paraId="3AEB5371" w14:textId="77777777" w:rsidR="00AD3C3A" w:rsidRPr="00CA21ED" w:rsidRDefault="00AD3C3A" w:rsidP="00D43771">
            <w:pPr>
              <w:ind w:left="25"/>
            </w:pPr>
          </w:p>
        </w:tc>
        <w:tc>
          <w:tcPr>
            <w:tcW w:w="1061" w:type="pct"/>
            <w:shd w:val="clear" w:color="auto" w:fill="auto"/>
          </w:tcPr>
          <w:p w14:paraId="70ECFBCD" w14:textId="13E61394" w:rsidR="00AD3C3A" w:rsidRPr="00CA21ED" w:rsidRDefault="007816C3" w:rsidP="00D43771">
            <w:pPr>
              <w:ind w:left="25"/>
              <w:rPr>
                <w:color w:val="000000"/>
                <w:sz w:val="20"/>
                <w:szCs w:val="20"/>
              </w:rPr>
            </w:pPr>
            <w:r w:rsidRPr="00CA21ED">
              <w:rPr>
                <w:color w:val="000000"/>
                <w:sz w:val="20"/>
                <w:szCs w:val="20"/>
              </w:rPr>
              <w:t>Hospital</w:t>
            </w:r>
            <w:r w:rsidR="00AD3C3A" w:rsidRPr="00CA21ED">
              <w:rPr>
                <w:color w:val="000000"/>
                <w:sz w:val="20"/>
                <w:szCs w:val="20"/>
              </w:rPr>
              <w:t xml:space="preserve"> outpatient visit</w:t>
            </w:r>
          </w:p>
        </w:tc>
        <w:tc>
          <w:tcPr>
            <w:tcW w:w="606" w:type="pct"/>
            <w:shd w:val="clear" w:color="auto" w:fill="auto"/>
          </w:tcPr>
          <w:p w14:paraId="4E84DAF0" w14:textId="46593E84" w:rsidR="00AD3C3A" w:rsidRPr="00CA21ED" w:rsidRDefault="00AD3C3A" w:rsidP="00D43771">
            <w:pPr>
              <w:jc w:val="center"/>
            </w:pPr>
            <w:r w:rsidRPr="00CA21ED">
              <w:rPr>
                <w:rFonts w:cs="Calibri"/>
              </w:rPr>
              <w:t>€94</w:t>
            </w:r>
          </w:p>
        </w:tc>
        <w:tc>
          <w:tcPr>
            <w:tcW w:w="986" w:type="pct"/>
            <w:vMerge/>
          </w:tcPr>
          <w:p w14:paraId="59CFFF94" w14:textId="059449C1" w:rsidR="00AD3C3A" w:rsidRPr="00CA21ED" w:rsidRDefault="00AD3C3A" w:rsidP="002932AF">
            <w:pPr>
              <w:jc w:val="center"/>
              <w:rPr>
                <w:highlight w:val="yellow"/>
              </w:rPr>
            </w:pPr>
          </w:p>
        </w:tc>
        <w:tc>
          <w:tcPr>
            <w:tcW w:w="606" w:type="pct"/>
            <w:shd w:val="clear" w:color="auto" w:fill="auto"/>
          </w:tcPr>
          <w:p w14:paraId="1B8CBB2B" w14:textId="0C5AB745" w:rsidR="00AD3C3A" w:rsidRPr="00CA21ED" w:rsidRDefault="00AD3C3A" w:rsidP="00D43771">
            <w:pPr>
              <w:jc w:val="center"/>
            </w:pPr>
            <w:r w:rsidRPr="00CA21ED">
              <w:rPr>
                <w:rFonts w:cs="Calibri"/>
              </w:rPr>
              <w:t>€ 97.83</w:t>
            </w:r>
          </w:p>
        </w:tc>
        <w:tc>
          <w:tcPr>
            <w:tcW w:w="1061" w:type="pct"/>
            <w:vMerge/>
          </w:tcPr>
          <w:p w14:paraId="00F51167" w14:textId="0D0C9AA9" w:rsidR="00AD3C3A" w:rsidRPr="00CA21ED" w:rsidRDefault="00AD3C3A" w:rsidP="005D3E21">
            <w:pPr>
              <w:jc w:val="center"/>
            </w:pPr>
          </w:p>
        </w:tc>
      </w:tr>
      <w:tr w:rsidR="00AD3C3A" w:rsidRPr="00CA21ED" w14:paraId="74F12130" w14:textId="77777777" w:rsidTr="001227AF">
        <w:tc>
          <w:tcPr>
            <w:tcW w:w="680" w:type="pct"/>
            <w:vMerge w:val="restart"/>
          </w:tcPr>
          <w:p w14:paraId="53B6DE58" w14:textId="00207ADE" w:rsidR="00AD3C3A" w:rsidRPr="00CA21ED" w:rsidRDefault="00AD3C3A" w:rsidP="00D43771">
            <w:pPr>
              <w:ind w:left="25"/>
            </w:pPr>
            <w:r w:rsidRPr="00CA21ED">
              <w:t>Drug costs</w:t>
            </w:r>
          </w:p>
        </w:tc>
        <w:tc>
          <w:tcPr>
            <w:tcW w:w="1061" w:type="pct"/>
            <w:shd w:val="clear" w:color="auto" w:fill="auto"/>
          </w:tcPr>
          <w:p w14:paraId="297CB761" w14:textId="35242C49" w:rsidR="00AD3C3A" w:rsidRPr="00CA21ED" w:rsidRDefault="00AD3C3A" w:rsidP="00D43771">
            <w:pPr>
              <w:ind w:left="25"/>
              <w:rPr>
                <w:color w:val="000000"/>
                <w:sz w:val="20"/>
                <w:szCs w:val="20"/>
              </w:rPr>
            </w:pPr>
            <w:r w:rsidRPr="00CA21ED">
              <w:t>ACEi/ARB</w:t>
            </w:r>
          </w:p>
        </w:tc>
        <w:tc>
          <w:tcPr>
            <w:tcW w:w="606" w:type="pct"/>
            <w:shd w:val="clear" w:color="auto" w:fill="auto"/>
          </w:tcPr>
          <w:p w14:paraId="3093BCCF" w14:textId="42169F50" w:rsidR="00AD3C3A" w:rsidRPr="00CA21ED" w:rsidRDefault="00AD3C3A" w:rsidP="00D43771">
            <w:pPr>
              <w:jc w:val="center"/>
              <w:rPr>
                <w:rFonts w:cs="Calibri"/>
              </w:rPr>
            </w:pPr>
            <w:r w:rsidRPr="00CA21ED">
              <w:rPr>
                <w:rFonts w:cs="Calibri"/>
              </w:rPr>
              <w:t>€ 0.13</w:t>
            </w:r>
          </w:p>
        </w:tc>
        <w:tc>
          <w:tcPr>
            <w:tcW w:w="986" w:type="pct"/>
            <w:vMerge w:val="restart"/>
          </w:tcPr>
          <w:p w14:paraId="2EBF305C" w14:textId="6EEE95D8" w:rsidR="00AD3C3A" w:rsidRPr="00CA21ED" w:rsidRDefault="00AD3C3A" w:rsidP="004756D8">
            <w:pPr>
              <w:jc w:val="center"/>
              <w:rPr>
                <w:highlight w:val="yellow"/>
              </w:rPr>
            </w:pPr>
            <w:r w:rsidRPr="00CA21ED">
              <w:rPr>
                <w:rStyle w:val="CommentReference"/>
                <w:highlight w:val="yellow"/>
              </w:rPr>
              <w:t/>
            </w:r>
            <w:r w:rsidRPr="00CA21ED">
              <w:t xml:space="preserve">Regulation on maximum prices for medicines </w:t>
            </w:r>
            <w:r w:rsidRPr="00CA21ED">
              <w:fldChar w:fldCharType="begin"/>
            </w:r>
            <w:r w:rsidR="00816ED5">
              <w:instrText xml:space="preserve"> ADDIN EN.CITE &lt;EndNote&gt;&lt;Cite&gt;&lt;Author&gt;De Minister van Volksgezondheid&lt;/Author&gt;&lt;RecNum&gt;41&lt;/RecNum&gt;&lt;DisplayText&gt;(27)&lt;/DisplayText&gt;&lt;record&gt;&lt;rec-number&gt;41&lt;/rec-number&gt;&lt;foreign-keys&gt;&lt;key app="EN" db-id="f9e92ea9tpxdzoex9spxs9asfpp0rx2xe2s2" timestamp="1656432303"&gt;41&lt;/key&gt;&lt;/foreign-keys&gt;&lt;ref-type name="Web Page"&gt;12&lt;/ref-type&gt;&lt;contributors&gt;&lt;authors&gt;&lt;author&gt;De Minister van Volksgezondheid,** , Welzijn en Sport&lt;/author&gt;&lt;/authors&gt;&lt;/contributors&gt;&lt;titles&gt;&lt;title&gt;Regeling maximumprijzen geneesmiddelen&lt;/title&gt;&lt;/titles&gt;&lt;number&gt;28th June 2022&lt;/number&gt;&lt;dates&gt;&lt;/dates&gt;&lt;urls&gt;&lt;related-urls&gt;&lt;url&gt;https://wetten.overheid.nl/BWBR0008023/2015-07-01#Opschrift&lt;/url&gt;&lt;/related-urls&gt;&lt;/urls&gt;&lt;/record&gt;&lt;/Cite&gt;&lt;/EndNote&gt;</w:instrText>
            </w:r>
            <w:r w:rsidRPr="00CA21ED">
              <w:fldChar w:fldCharType="separate"/>
            </w:r>
            <w:r w:rsidR="00816ED5">
              <w:rPr>
                <w:noProof/>
              </w:rPr>
              <w:t>(27)</w:t>
            </w:r>
            <w:r w:rsidRPr="00CA21ED">
              <w:fldChar w:fldCharType="end"/>
            </w:r>
          </w:p>
        </w:tc>
        <w:tc>
          <w:tcPr>
            <w:tcW w:w="606" w:type="pct"/>
            <w:shd w:val="clear" w:color="auto" w:fill="auto"/>
          </w:tcPr>
          <w:p w14:paraId="77AF071F" w14:textId="0EDD8639" w:rsidR="00AD3C3A" w:rsidRPr="00CA21ED" w:rsidRDefault="00AD3C3A" w:rsidP="00D43771">
            <w:pPr>
              <w:jc w:val="center"/>
            </w:pPr>
            <w:r w:rsidRPr="00CA21ED">
              <w:t>€ 0.09</w:t>
            </w:r>
          </w:p>
        </w:tc>
        <w:tc>
          <w:tcPr>
            <w:tcW w:w="1061" w:type="pct"/>
            <w:vMerge/>
          </w:tcPr>
          <w:p w14:paraId="10B117F7" w14:textId="0D47B60B" w:rsidR="00AD3C3A" w:rsidRPr="00CA21ED" w:rsidRDefault="00AD3C3A" w:rsidP="00EF0FE6">
            <w:pPr>
              <w:pStyle w:val="CommentText"/>
              <w:jc w:val="center"/>
              <w:rPr>
                <w:sz w:val="22"/>
                <w:szCs w:val="22"/>
              </w:rPr>
            </w:pPr>
          </w:p>
        </w:tc>
      </w:tr>
      <w:tr w:rsidR="00AD3C3A" w:rsidRPr="00CA21ED" w14:paraId="76B07288" w14:textId="77777777" w:rsidTr="001227AF">
        <w:tc>
          <w:tcPr>
            <w:tcW w:w="680" w:type="pct"/>
            <w:vMerge/>
          </w:tcPr>
          <w:p w14:paraId="22E0A530" w14:textId="77777777" w:rsidR="00AD3C3A" w:rsidRPr="00CA21ED" w:rsidRDefault="00AD3C3A" w:rsidP="00D43771">
            <w:pPr>
              <w:ind w:left="25"/>
            </w:pPr>
          </w:p>
        </w:tc>
        <w:tc>
          <w:tcPr>
            <w:tcW w:w="1061" w:type="pct"/>
            <w:shd w:val="clear" w:color="auto" w:fill="auto"/>
          </w:tcPr>
          <w:p w14:paraId="1F2DF7A2" w14:textId="1B3CFB74" w:rsidR="00AD3C3A" w:rsidRPr="00CA21ED" w:rsidRDefault="00AD3C3A" w:rsidP="00D43771">
            <w:pPr>
              <w:ind w:left="25"/>
              <w:rPr>
                <w:color w:val="000000"/>
                <w:sz w:val="20"/>
                <w:szCs w:val="20"/>
              </w:rPr>
            </w:pPr>
            <w:r w:rsidRPr="00CA21ED">
              <w:t>Beta-blockers</w:t>
            </w:r>
          </w:p>
        </w:tc>
        <w:tc>
          <w:tcPr>
            <w:tcW w:w="606" w:type="pct"/>
            <w:shd w:val="clear" w:color="auto" w:fill="auto"/>
          </w:tcPr>
          <w:p w14:paraId="4181C97C" w14:textId="3D2983AA" w:rsidR="00AD3C3A" w:rsidRPr="00CA21ED" w:rsidRDefault="00AD3C3A" w:rsidP="00D43771">
            <w:pPr>
              <w:jc w:val="center"/>
              <w:rPr>
                <w:rFonts w:cs="Calibri"/>
              </w:rPr>
            </w:pPr>
            <w:r w:rsidRPr="00CA21ED">
              <w:rPr>
                <w:rFonts w:cs="Calibri"/>
              </w:rPr>
              <w:t>€0.11</w:t>
            </w:r>
          </w:p>
        </w:tc>
        <w:tc>
          <w:tcPr>
            <w:tcW w:w="986" w:type="pct"/>
            <w:vMerge/>
          </w:tcPr>
          <w:p w14:paraId="2B1B6667" w14:textId="77777777" w:rsidR="00AD3C3A" w:rsidRPr="00CA21ED" w:rsidRDefault="00AD3C3A" w:rsidP="00585D26"/>
        </w:tc>
        <w:tc>
          <w:tcPr>
            <w:tcW w:w="606" w:type="pct"/>
            <w:shd w:val="clear" w:color="auto" w:fill="auto"/>
          </w:tcPr>
          <w:p w14:paraId="5534346A" w14:textId="5669D5B3" w:rsidR="00AD3C3A" w:rsidRPr="00CA21ED" w:rsidRDefault="00AD3C3A" w:rsidP="00D43771">
            <w:pPr>
              <w:jc w:val="center"/>
              <w:rPr>
                <w:rFonts w:cs="Calibri"/>
              </w:rPr>
            </w:pPr>
            <w:r w:rsidRPr="00CA21ED">
              <w:rPr>
                <w:rFonts w:cs="Calibri"/>
              </w:rPr>
              <w:t>€0.04</w:t>
            </w:r>
          </w:p>
        </w:tc>
        <w:tc>
          <w:tcPr>
            <w:tcW w:w="1061" w:type="pct"/>
            <w:vMerge/>
          </w:tcPr>
          <w:p w14:paraId="4ECBACC9" w14:textId="77777777" w:rsidR="00AD3C3A" w:rsidRPr="00CA21ED" w:rsidRDefault="00AD3C3A" w:rsidP="005D3E21">
            <w:pPr>
              <w:jc w:val="center"/>
              <w:rPr>
                <w:highlight w:val="yellow"/>
              </w:rPr>
            </w:pPr>
          </w:p>
        </w:tc>
      </w:tr>
      <w:tr w:rsidR="00AD3C3A" w:rsidRPr="00CA21ED" w14:paraId="3CE835A0" w14:textId="77777777" w:rsidTr="001227AF">
        <w:tc>
          <w:tcPr>
            <w:tcW w:w="680" w:type="pct"/>
            <w:vMerge/>
          </w:tcPr>
          <w:p w14:paraId="6C929A25" w14:textId="77777777" w:rsidR="00AD3C3A" w:rsidRPr="00CA21ED" w:rsidRDefault="00AD3C3A" w:rsidP="00D43771">
            <w:pPr>
              <w:ind w:left="25"/>
            </w:pPr>
          </w:p>
        </w:tc>
        <w:tc>
          <w:tcPr>
            <w:tcW w:w="1061" w:type="pct"/>
            <w:shd w:val="clear" w:color="auto" w:fill="auto"/>
          </w:tcPr>
          <w:p w14:paraId="4F307DF1" w14:textId="0C62807E" w:rsidR="00AD3C3A" w:rsidRPr="00CA21ED" w:rsidRDefault="00AD3C3A" w:rsidP="00D43771">
            <w:pPr>
              <w:ind w:left="25"/>
              <w:rPr>
                <w:color w:val="000000"/>
                <w:sz w:val="20"/>
                <w:szCs w:val="20"/>
              </w:rPr>
            </w:pPr>
            <w:r w:rsidRPr="00CA21ED">
              <w:t>Aldosterone antagonist</w:t>
            </w:r>
          </w:p>
        </w:tc>
        <w:tc>
          <w:tcPr>
            <w:tcW w:w="606" w:type="pct"/>
            <w:shd w:val="clear" w:color="auto" w:fill="auto"/>
          </w:tcPr>
          <w:p w14:paraId="125C742D" w14:textId="57299224" w:rsidR="00AD3C3A" w:rsidRPr="00CA21ED" w:rsidRDefault="00AD3C3A" w:rsidP="00D43771">
            <w:pPr>
              <w:jc w:val="center"/>
              <w:rPr>
                <w:rFonts w:cs="Calibri"/>
              </w:rPr>
            </w:pPr>
            <w:r w:rsidRPr="00CA21ED">
              <w:rPr>
                <w:rFonts w:cs="Calibri"/>
              </w:rPr>
              <w:t>€0.53</w:t>
            </w:r>
          </w:p>
        </w:tc>
        <w:tc>
          <w:tcPr>
            <w:tcW w:w="986" w:type="pct"/>
            <w:vMerge/>
          </w:tcPr>
          <w:p w14:paraId="7FE18BDB" w14:textId="77777777" w:rsidR="00AD3C3A" w:rsidRPr="00CA21ED" w:rsidRDefault="00AD3C3A" w:rsidP="00585D26"/>
        </w:tc>
        <w:tc>
          <w:tcPr>
            <w:tcW w:w="606" w:type="pct"/>
            <w:shd w:val="clear" w:color="auto" w:fill="auto"/>
          </w:tcPr>
          <w:p w14:paraId="0ABF4287" w14:textId="35382A57" w:rsidR="00AD3C3A" w:rsidRPr="00CA21ED" w:rsidRDefault="00AD3C3A" w:rsidP="00D43771">
            <w:pPr>
              <w:jc w:val="center"/>
              <w:rPr>
                <w:rFonts w:cs="Calibri"/>
              </w:rPr>
            </w:pPr>
            <w:r w:rsidRPr="00CA21ED">
              <w:rPr>
                <w:rFonts w:cs="Calibri"/>
              </w:rPr>
              <w:t>€0.04</w:t>
            </w:r>
          </w:p>
        </w:tc>
        <w:tc>
          <w:tcPr>
            <w:tcW w:w="1061" w:type="pct"/>
            <w:vMerge/>
          </w:tcPr>
          <w:p w14:paraId="6667F328" w14:textId="77777777" w:rsidR="00AD3C3A" w:rsidRPr="00CA21ED" w:rsidRDefault="00AD3C3A" w:rsidP="005D3E21">
            <w:pPr>
              <w:jc w:val="center"/>
              <w:rPr>
                <w:highlight w:val="yellow"/>
              </w:rPr>
            </w:pPr>
          </w:p>
        </w:tc>
      </w:tr>
      <w:tr w:rsidR="00FF2B6B" w:rsidRPr="00CA21ED" w14:paraId="1D971490" w14:textId="77777777" w:rsidTr="001227AF">
        <w:tc>
          <w:tcPr>
            <w:tcW w:w="680" w:type="pct"/>
          </w:tcPr>
          <w:p w14:paraId="6D7FB9C6" w14:textId="09745334" w:rsidR="00FF2B6B" w:rsidRPr="00CA21ED" w:rsidRDefault="00FF2B6B" w:rsidP="00D43771">
            <w:pPr>
              <w:ind w:left="25"/>
            </w:pPr>
            <w:r w:rsidRPr="00CA21ED">
              <w:t>Resource use</w:t>
            </w:r>
          </w:p>
        </w:tc>
        <w:tc>
          <w:tcPr>
            <w:tcW w:w="1061" w:type="pct"/>
            <w:shd w:val="clear" w:color="auto" w:fill="auto"/>
          </w:tcPr>
          <w:p w14:paraId="5806C422" w14:textId="61CB20B8" w:rsidR="00FF2B6B" w:rsidRPr="00CA21ED" w:rsidRDefault="0052040D" w:rsidP="00D43771">
            <w:pPr>
              <w:ind w:left="25"/>
            </w:pPr>
            <w:r w:rsidRPr="00CA21ED">
              <w:rPr>
                <w:color w:val="000000"/>
                <w:sz w:val="20"/>
                <w:szCs w:val="20"/>
              </w:rPr>
              <w:t>Proportion or patients receiving echocardiogram</w:t>
            </w:r>
          </w:p>
        </w:tc>
        <w:tc>
          <w:tcPr>
            <w:tcW w:w="606" w:type="pct"/>
            <w:shd w:val="clear" w:color="auto" w:fill="auto"/>
          </w:tcPr>
          <w:p w14:paraId="169F3913" w14:textId="3C18C6E1" w:rsidR="00FF2B6B" w:rsidRPr="00CA21ED" w:rsidRDefault="0052040D" w:rsidP="00D43771">
            <w:pPr>
              <w:jc w:val="center"/>
            </w:pPr>
            <w:r w:rsidRPr="00CA21ED">
              <w:t>1</w:t>
            </w:r>
          </w:p>
        </w:tc>
        <w:tc>
          <w:tcPr>
            <w:tcW w:w="986" w:type="pct"/>
          </w:tcPr>
          <w:p w14:paraId="755D56E1" w14:textId="15A3ABBC" w:rsidR="00FF2B6B" w:rsidRPr="00CA21ED" w:rsidRDefault="0052040D" w:rsidP="0052040D">
            <w:pPr>
              <w:jc w:val="center"/>
            </w:pPr>
            <w:r w:rsidRPr="00CA21ED">
              <w:t>Assumption</w:t>
            </w:r>
          </w:p>
        </w:tc>
        <w:tc>
          <w:tcPr>
            <w:tcW w:w="606" w:type="pct"/>
            <w:shd w:val="clear" w:color="auto" w:fill="auto"/>
          </w:tcPr>
          <w:p w14:paraId="18DAF2CC" w14:textId="4C73C008" w:rsidR="00FF2B6B" w:rsidRPr="00CA21ED" w:rsidRDefault="0052040D" w:rsidP="00D43771">
            <w:pPr>
              <w:jc w:val="center"/>
            </w:pPr>
            <w:r w:rsidRPr="00CA21ED">
              <w:t>1</w:t>
            </w:r>
          </w:p>
        </w:tc>
        <w:tc>
          <w:tcPr>
            <w:tcW w:w="1061" w:type="pct"/>
          </w:tcPr>
          <w:p w14:paraId="22A135BB" w14:textId="0D7E6BCC" w:rsidR="00FF2B6B" w:rsidRPr="00CA21ED" w:rsidRDefault="0052040D" w:rsidP="005D3E21">
            <w:pPr>
              <w:jc w:val="center"/>
            </w:pPr>
            <w:r w:rsidRPr="00CA21ED">
              <w:t>Assumption</w:t>
            </w:r>
          </w:p>
        </w:tc>
      </w:tr>
      <w:tr w:rsidR="00D15FA0" w:rsidRPr="00CA21ED" w14:paraId="4A8238BD" w14:textId="77777777" w:rsidTr="001227AF">
        <w:tc>
          <w:tcPr>
            <w:tcW w:w="680" w:type="pct"/>
          </w:tcPr>
          <w:p w14:paraId="05BF36C2" w14:textId="1D3AA1D6" w:rsidR="00D15FA0" w:rsidRPr="00CA21ED" w:rsidRDefault="00D15FA0" w:rsidP="00D15FA0">
            <w:pPr>
              <w:ind w:left="25"/>
            </w:pPr>
            <w:r w:rsidRPr="00CA21ED">
              <w:t>Mortality</w:t>
            </w:r>
          </w:p>
        </w:tc>
        <w:tc>
          <w:tcPr>
            <w:tcW w:w="1061" w:type="pct"/>
            <w:shd w:val="clear" w:color="auto" w:fill="auto"/>
          </w:tcPr>
          <w:p w14:paraId="13A47317" w14:textId="489D083F" w:rsidR="00D15FA0" w:rsidRPr="00CA21ED" w:rsidRDefault="00D15FA0" w:rsidP="00D15FA0">
            <w:pPr>
              <w:ind w:left="25"/>
              <w:rPr>
                <w:color w:val="000000"/>
                <w:sz w:val="20"/>
                <w:szCs w:val="20"/>
              </w:rPr>
            </w:pPr>
            <w:r w:rsidRPr="00CA21ED">
              <w:rPr>
                <w:color w:val="000000"/>
                <w:sz w:val="20"/>
                <w:szCs w:val="20"/>
              </w:rPr>
              <w:t>Proportion of patients seeing a specialist</w:t>
            </w:r>
          </w:p>
        </w:tc>
        <w:tc>
          <w:tcPr>
            <w:tcW w:w="606" w:type="pct"/>
            <w:shd w:val="clear" w:color="auto" w:fill="auto"/>
          </w:tcPr>
          <w:p w14:paraId="26DFFF31" w14:textId="20511F57" w:rsidR="00D15FA0" w:rsidRPr="00CA21ED" w:rsidRDefault="00C668C2" w:rsidP="00D15FA0">
            <w:pPr>
              <w:jc w:val="center"/>
            </w:pPr>
            <w:r w:rsidRPr="00CA21ED">
              <w:t>0.46</w:t>
            </w:r>
          </w:p>
        </w:tc>
        <w:tc>
          <w:tcPr>
            <w:tcW w:w="986" w:type="pct"/>
          </w:tcPr>
          <w:p w14:paraId="7A4DB95D" w14:textId="28A99708" w:rsidR="00D15FA0" w:rsidRPr="00CA21ED" w:rsidRDefault="00C668C2" w:rsidP="00D15FA0">
            <w:pPr>
              <w:jc w:val="center"/>
            </w:pPr>
            <w:r w:rsidRPr="00CA21ED">
              <w:t>Assumed equal to UK</w:t>
            </w:r>
          </w:p>
        </w:tc>
        <w:tc>
          <w:tcPr>
            <w:tcW w:w="606" w:type="pct"/>
            <w:shd w:val="clear" w:color="auto" w:fill="auto"/>
          </w:tcPr>
          <w:p w14:paraId="12CD1854" w14:textId="519B2527" w:rsidR="00D15FA0" w:rsidRPr="00CA21ED" w:rsidRDefault="00C668C2" w:rsidP="00D15FA0">
            <w:pPr>
              <w:jc w:val="center"/>
            </w:pPr>
            <w:r w:rsidRPr="00CA21ED">
              <w:t>0.46</w:t>
            </w:r>
          </w:p>
        </w:tc>
        <w:tc>
          <w:tcPr>
            <w:tcW w:w="1061" w:type="pct"/>
          </w:tcPr>
          <w:p w14:paraId="612B0596" w14:textId="5718D31F" w:rsidR="00D15FA0" w:rsidRPr="00CA21ED" w:rsidRDefault="00C668C2" w:rsidP="00D15FA0">
            <w:pPr>
              <w:jc w:val="center"/>
            </w:pPr>
            <w:r w:rsidRPr="00CA21ED">
              <w:t>Assumed equal to UK</w:t>
            </w:r>
          </w:p>
        </w:tc>
      </w:tr>
      <w:tr w:rsidR="00D15FA0" w:rsidRPr="00CA21ED" w14:paraId="46546FCC" w14:textId="77777777" w:rsidTr="001227AF">
        <w:tc>
          <w:tcPr>
            <w:tcW w:w="680" w:type="pct"/>
            <w:tcBorders>
              <w:bottom w:val="single" w:sz="4" w:space="0" w:color="auto"/>
            </w:tcBorders>
          </w:tcPr>
          <w:p w14:paraId="058B68A6" w14:textId="46B75016" w:rsidR="00D15FA0" w:rsidRPr="00CA21ED" w:rsidRDefault="00D15FA0" w:rsidP="00D15FA0">
            <w:pPr>
              <w:ind w:left="25"/>
            </w:pPr>
            <w:r w:rsidRPr="00CA21ED">
              <w:t>Currency conversion</w:t>
            </w:r>
          </w:p>
        </w:tc>
        <w:tc>
          <w:tcPr>
            <w:tcW w:w="1061" w:type="pct"/>
            <w:tcBorders>
              <w:bottom w:val="single" w:sz="4" w:space="0" w:color="auto"/>
            </w:tcBorders>
            <w:shd w:val="clear" w:color="auto" w:fill="auto"/>
          </w:tcPr>
          <w:p w14:paraId="503A5E54" w14:textId="2D673FCD" w:rsidR="00D15FA0" w:rsidRPr="00CA21ED" w:rsidRDefault="001F75B8" w:rsidP="00D15FA0">
            <w:pPr>
              <w:ind w:left="25"/>
              <w:rPr>
                <w:color w:val="000000"/>
                <w:sz w:val="20"/>
                <w:szCs w:val="20"/>
              </w:rPr>
            </w:pPr>
            <w:r w:rsidRPr="00CA21ED">
              <w:rPr>
                <w:color w:val="000000"/>
                <w:sz w:val="20"/>
                <w:szCs w:val="20"/>
              </w:rPr>
              <w:t>GBP to EUR</w:t>
            </w:r>
          </w:p>
        </w:tc>
        <w:tc>
          <w:tcPr>
            <w:tcW w:w="606" w:type="pct"/>
            <w:tcBorders>
              <w:bottom w:val="single" w:sz="4" w:space="0" w:color="auto"/>
            </w:tcBorders>
            <w:shd w:val="clear" w:color="auto" w:fill="auto"/>
          </w:tcPr>
          <w:p w14:paraId="6A4194EE" w14:textId="1D80F3E1" w:rsidR="00D15FA0" w:rsidRPr="00CA21ED" w:rsidRDefault="00D15FA0" w:rsidP="00D15FA0">
            <w:pPr>
              <w:jc w:val="center"/>
            </w:pPr>
            <w:r w:rsidRPr="00CA21ED">
              <w:t>1.17</w:t>
            </w:r>
          </w:p>
        </w:tc>
        <w:tc>
          <w:tcPr>
            <w:tcW w:w="986" w:type="pct"/>
            <w:tcBorders>
              <w:bottom w:val="single" w:sz="4" w:space="0" w:color="auto"/>
            </w:tcBorders>
          </w:tcPr>
          <w:p w14:paraId="70FB552F" w14:textId="6C5EAE5C" w:rsidR="00D15FA0" w:rsidRPr="00CA21ED" w:rsidRDefault="003C22FF" w:rsidP="003C22FF">
            <w:pPr>
              <w:pStyle w:val="CommentText"/>
              <w:rPr>
                <w:highlight w:val="yellow"/>
              </w:rPr>
            </w:pPr>
            <w:r w:rsidRPr="00CA21ED">
              <w:t>Online c</w:t>
            </w:r>
            <w:r w:rsidR="001F75B8" w:rsidRPr="00CA21ED">
              <w:t>urrency converter</w:t>
            </w:r>
            <w:r w:rsidRPr="00CA21ED">
              <w:t xml:space="preserve"> </w:t>
            </w:r>
            <w:r w:rsidRPr="00CA21ED">
              <w:fldChar w:fldCharType="begin"/>
            </w:r>
            <w:r w:rsidR="00816ED5">
              <w:instrText xml:space="preserve"> ADDIN EN.CITE &lt;EndNote&gt;&lt;Cite&gt;&lt;Author&gt;Xe Currency Converter&lt;/Author&gt;&lt;Year&gt;2022&lt;/Year&gt;&lt;RecNum&gt;50&lt;/RecNum&gt;&lt;DisplayText&gt;(28)&lt;/DisplayText&gt;&lt;record&gt;&lt;rec-number&gt;50&lt;/rec-number&gt;&lt;foreign-keys&gt;&lt;key app="EN" db-id="f9e92ea9tpxdzoex9spxs9asfpp0rx2xe2s2" timestamp="1656514426"&gt;50&lt;/key&gt;&lt;/foreign-keys&gt;&lt;ref-type name="Web Page"&gt;12&lt;/ref-type&gt;&lt;contributors&gt;&lt;authors&gt;&lt;author&gt;Xe Currency Converter,&lt;/author&gt;&lt;/authors&gt;&lt;/contributors&gt;&lt;titles&gt;&lt;title&gt;1 GBP to EUR&lt;/title&gt;&lt;/titles&gt;&lt;number&gt;27th May 2022&lt;/number&gt;&lt;dates&gt;&lt;year&gt;2022&lt;/year&gt;&lt;/dates&gt;&lt;urls&gt;&lt;related-urls&gt;&lt;url&gt;https://www.xe.com/currencyconverter/convert/?Amount=1&amp;amp;From=GBP&amp;amp;To=EUR  &lt;/url&gt;&lt;/related-urls&gt;&lt;/urls&gt;&lt;/record&gt;&lt;/Cite&gt;&lt;/EndNote&gt;</w:instrText>
            </w:r>
            <w:r w:rsidRPr="00CA21ED">
              <w:fldChar w:fldCharType="separate"/>
            </w:r>
            <w:r w:rsidR="00816ED5">
              <w:rPr>
                <w:noProof/>
              </w:rPr>
              <w:t>(28)</w:t>
            </w:r>
            <w:r w:rsidRPr="00CA21ED">
              <w:fldChar w:fldCharType="end"/>
            </w:r>
          </w:p>
        </w:tc>
        <w:tc>
          <w:tcPr>
            <w:tcW w:w="606" w:type="pct"/>
            <w:tcBorders>
              <w:bottom w:val="single" w:sz="4" w:space="0" w:color="auto"/>
            </w:tcBorders>
            <w:shd w:val="clear" w:color="auto" w:fill="auto"/>
          </w:tcPr>
          <w:p w14:paraId="74FFED66" w14:textId="331AEB16" w:rsidR="00D15FA0" w:rsidRPr="00CA21ED" w:rsidRDefault="00D15FA0" w:rsidP="00D15FA0">
            <w:pPr>
              <w:jc w:val="center"/>
            </w:pPr>
            <w:r w:rsidRPr="00CA21ED">
              <w:t>1.17</w:t>
            </w:r>
          </w:p>
        </w:tc>
        <w:tc>
          <w:tcPr>
            <w:tcW w:w="1061" w:type="pct"/>
            <w:tcBorders>
              <w:bottom w:val="single" w:sz="4" w:space="0" w:color="auto"/>
            </w:tcBorders>
          </w:tcPr>
          <w:p w14:paraId="19434FAD" w14:textId="7B502277" w:rsidR="00D15FA0" w:rsidRPr="00CA21ED" w:rsidRDefault="003C22FF" w:rsidP="00D15FA0">
            <w:pPr>
              <w:pStyle w:val="CommentText"/>
              <w:rPr>
                <w:highlight w:val="yellow"/>
              </w:rPr>
            </w:pPr>
            <w:r w:rsidRPr="00CA21ED">
              <w:t>Online c</w:t>
            </w:r>
            <w:r w:rsidR="006C5805" w:rsidRPr="00CA21ED">
              <w:t>urrency converter</w:t>
            </w:r>
            <w:r w:rsidRPr="00CA21ED">
              <w:t xml:space="preserve"> </w:t>
            </w:r>
            <w:r w:rsidRPr="00CA21ED">
              <w:fldChar w:fldCharType="begin"/>
            </w:r>
            <w:r w:rsidR="00816ED5">
              <w:instrText xml:space="preserve"> ADDIN EN.CITE &lt;EndNote&gt;&lt;Cite&gt;&lt;Author&gt;Xe Currency Converter&lt;/Author&gt;&lt;Year&gt;2022&lt;/Year&gt;&lt;RecNum&gt;50&lt;/RecNum&gt;&lt;DisplayText&gt;(28)&lt;/DisplayText&gt;&lt;record&gt;&lt;rec-number&gt;50&lt;/rec-number&gt;&lt;foreign-keys&gt;&lt;key app="EN" db-id="f9e92ea9tpxdzoex9spxs9asfpp0rx2xe2s2" timestamp="1656514426"&gt;50&lt;/key&gt;&lt;/foreign-keys&gt;&lt;ref-type name="Web Page"&gt;12&lt;/ref-type&gt;&lt;contributors&gt;&lt;authors&gt;&lt;author&gt;Xe Currency Converter,&lt;/author&gt;&lt;/authors&gt;&lt;/contributors&gt;&lt;titles&gt;&lt;title&gt;1 GBP to EUR&lt;/title&gt;&lt;/titles&gt;&lt;number&gt;27th May 2022&lt;/number&gt;&lt;dates&gt;&lt;year&gt;2022&lt;/year&gt;&lt;/dates&gt;&lt;urls&gt;&lt;related-urls&gt;&lt;url&gt;https://www.xe.com/currencyconverter/convert/?Amount=1&amp;amp;From=GBP&amp;amp;To=EUR  &lt;/url&gt;&lt;/related-urls&gt;&lt;/urls&gt;&lt;/record&gt;&lt;/Cite&gt;&lt;/EndNote&gt;</w:instrText>
            </w:r>
            <w:r w:rsidRPr="00CA21ED">
              <w:fldChar w:fldCharType="separate"/>
            </w:r>
            <w:r w:rsidR="00816ED5">
              <w:rPr>
                <w:noProof/>
              </w:rPr>
              <w:t>(28)</w:t>
            </w:r>
            <w:r w:rsidRPr="00CA21ED">
              <w:fldChar w:fldCharType="end"/>
            </w:r>
          </w:p>
        </w:tc>
      </w:tr>
    </w:tbl>
    <w:p w14:paraId="0244E672" w14:textId="46927ED4" w:rsidR="00D935D4" w:rsidRPr="00CA21ED" w:rsidRDefault="005120C1" w:rsidP="00D935D4">
      <w:pPr>
        <w:contextualSpacing/>
      </w:pPr>
      <w:r w:rsidRPr="00CA21ED">
        <w:t xml:space="preserve">Footnote: NHB = incremental gain in QALYs – (incremental cost / opportunity cost threshold). Opportunity cost threshold: UK £20,000; the Netherlands </w:t>
      </w:r>
      <w:r w:rsidRPr="00CA21ED">
        <w:rPr>
          <w:rFonts w:cs="Calibri"/>
        </w:rPr>
        <w:t>€50,000</w:t>
      </w:r>
      <w:r w:rsidRPr="00CA21ED">
        <w:t xml:space="preserve">; Spain </w:t>
      </w:r>
      <w:r w:rsidRPr="00CA21ED">
        <w:rPr>
          <w:rFonts w:cs="Calibri"/>
        </w:rPr>
        <w:t>€</w:t>
      </w:r>
      <w:r w:rsidRPr="00CA21ED">
        <w:t xml:space="preserve">30,000. ICER, incremental </w:t>
      </w:r>
      <w:r w:rsidRPr="00CA21ED">
        <w:lastRenderedPageBreak/>
        <w:t>cost-effectiveness ratio; NA, not applicable; NHB, net health benefit; NT-proBNP, N-terminal pro B-type natriuretic peptide; QALY, quality-adjusted life year; RI, rule-in; RO, rule-out; UK, United Kingdom.</w:t>
      </w:r>
    </w:p>
    <w:p w14:paraId="284942F6" w14:textId="4E9C631F" w:rsidR="00D935D4" w:rsidRPr="00CA21ED" w:rsidRDefault="00D935D4" w:rsidP="00D935D4">
      <w:pPr>
        <w:pStyle w:val="Caption"/>
        <w:rPr>
          <w:bCs/>
        </w:rPr>
      </w:pPr>
      <w:r w:rsidRPr="00CA21ED">
        <w:t xml:space="preserve">Table </w:t>
      </w:r>
      <w:fldSimple w:instr=" SEQ Table \* ARABIC ">
        <w:r w:rsidR="00A47A11">
          <w:rPr>
            <w:noProof/>
          </w:rPr>
          <w:t>10</w:t>
        </w:r>
      </w:fldSimple>
      <w:r w:rsidRPr="00CA21ED">
        <w:t xml:space="preserve">: </w:t>
      </w:r>
      <w:r w:rsidRPr="00CA21ED">
        <w:rPr>
          <w:bCs/>
        </w:rPr>
        <w:t>Intermediate results for the Netherlands and Spain</w:t>
      </w:r>
    </w:p>
    <w:tbl>
      <w:tblPr>
        <w:tblStyle w:val="TableGrid"/>
        <w:tblW w:w="9350" w:type="dxa"/>
        <w:tblLayout w:type="fixed"/>
        <w:tblLook w:val="0600" w:firstRow="0" w:lastRow="0" w:firstColumn="0" w:lastColumn="0" w:noHBand="1" w:noVBand="1"/>
      </w:tblPr>
      <w:tblGrid>
        <w:gridCol w:w="4531"/>
        <w:gridCol w:w="1606"/>
        <w:gridCol w:w="1606"/>
        <w:gridCol w:w="1607"/>
      </w:tblGrid>
      <w:tr w:rsidR="00D935D4" w:rsidRPr="00CA21ED" w14:paraId="324B7F38" w14:textId="77777777" w:rsidTr="00D43771">
        <w:trPr>
          <w:trHeight w:val="290"/>
        </w:trPr>
        <w:tc>
          <w:tcPr>
            <w:tcW w:w="4531" w:type="dxa"/>
          </w:tcPr>
          <w:p w14:paraId="1D9A9CE8" w14:textId="77777777" w:rsidR="00D935D4" w:rsidRPr="00CA21ED" w:rsidRDefault="00D935D4" w:rsidP="00D43771">
            <w:r w:rsidRPr="00CA21ED">
              <w:t>Intermediate outcomes</w:t>
            </w:r>
          </w:p>
        </w:tc>
        <w:tc>
          <w:tcPr>
            <w:tcW w:w="1606" w:type="dxa"/>
          </w:tcPr>
          <w:p w14:paraId="4F8229FA" w14:textId="77777777" w:rsidR="00D935D4" w:rsidRPr="00CA21ED" w:rsidRDefault="00D935D4" w:rsidP="00D43771">
            <w:r w:rsidRPr="00CA21ED">
              <w:t>Clinical decision alone</w:t>
            </w:r>
          </w:p>
        </w:tc>
        <w:tc>
          <w:tcPr>
            <w:tcW w:w="1606" w:type="dxa"/>
          </w:tcPr>
          <w:p w14:paraId="4F91306A" w14:textId="77777777" w:rsidR="00D935D4" w:rsidRPr="00CA21ED" w:rsidRDefault="00D935D4" w:rsidP="00D43771">
            <w:r w:rsidRPr="00CA21ED">
              <w:t>NT-proBNP RO strategy</w:t>
            </w:r>
          </w:p>
        </w:tc>
        <w:tc>
          <w:tcPr>
            <w:tcW w:w="1607" w:type="dxa"/>
          </w:tcPr>
          <w:p w14:paraId="0FFB2F1F" w14:textId="77777777" w:rsidR="00D935D4" w:rsidRPr="00CA21ED" w:rsidRDefault="00D935D4" w:rsidP="00D43771">
            <w:r w:rsidRPr="00CA21ED">
              <w:t>NT-proBNP RI/RO strategy</w:t>
            </w:r>
          </w:p>
        </w:tc>
      </w:tr>
      <w:tr w:rsidR="00D935D4" w:rsidRPr="00CA21ED" w14:paraId="0F9F72A8" w14:textId="77777777" w:rsidTr="00D43771">
        <w:trPr>
          <w:trHeight w:val="290"/>
        </w:trPr>
        <w:tc>
          <w:tcPr>
            <w:tcW w:w="4531" w:type="dxa"/>
          </w:tcPr>
          <w:p w14:paraId="155C61B6" w14:textId="77777777" w:rsidR="00D935D4" w:rsidRPr="00CA21ED" w:rsidRDefault="00D935D4" w:rsidP="00D43771">
            <w:r w:rsidRPr="00CA21ED">
              <w:t>Sensitivity</w:t>
            </w:r>
          </w:p>
        </w:tc>
        <w:tc>
          <w:tcPr>
            <w:tcW w:w="1606" w:type="dxa"/>
            <w:vAlign w:val="bottom"/>
          </w:tcPr>
          <w:p w14:paraId="141D38D8" w14:textId="77777777" w:rsidR="00D935D4" w:rsidRPr="00CA21ED" w:rsidRDefault="00D935D4" w:rsidP="00D43771">
            <w:r w:rsidRPr="00CA21ED">
              <w:rPr>
                <w:color w:val="000000"/>
              </w:rPr>
              <w:t>78.0%</w:t>
            </w:r>
          </w:p>
        </w:tc>
        <w:tc>
          <w:tcPr>
            <w:tcW w:w="1606" w:type="dxa"/>
            <w:vAlign w:val="bottom"/>
          </w:tcPr>
          <w:p w14:paraId="401A7303" w14:textId="77777777" w:rsidR="00D935D4" w:rsidRPr="00CA21ED" w:rsidRDefault="00D935D4" w:rsidP="00D43771">
            <w:r w:rsidRPr="00CA21ED">
              <w:rPr>
                <w:color w:val="000000"/>
              </w:rPr>
              <w:t>98.0%</w:t>
            </w:r>
          </w:p>
        </w:tc>
        <w:tc>
          <w:tcPr>
            <w:tcW w:w="1607" w:type="dxa"/>
            <w:vAlign w:val="bottom"/>
          </w:tcPr>
          <w:p w14:paraId="51BB0AF0" w14:textId="77777777" w:rsidR="00D935D4" w:rsidRPr="00CA21ED" w:rsidRDefault="00D935D4" w:rsidP="00D43771">
            <w:r w:rsidRPr="00CA21ED">
              <w:rPr>
                <w:color w:val="000000"/>
              </w:rPr>
              <w:t>95.3%</w:t>
            </w:r>
          </w:p>
        </w:tc>
      </w:tr>
      <w:tr w:rsidR="00D935D4" w:rsidRPr="00CA21ED" w14:paraId="783547F3" w14:textId="77777777" w:rsidTr="00D43771">
        <w:trPr>
          <w:trHeight w:val="290"/>
        </w:trPr>
        <w:tc>
          <w:tcPr>
            <w:tcW w:w="4531" w:type="dxa"/>
          </w:tcPr>
          <w:p w14:paraId="72FE45DC" w14:textId="77777777" w:rsidR="00D935D4" w:rsidRPr="00CA21ED" w:rsidRDefault="00D935D4" w:rsidP="00D43771">
            <w:r w:rsidRPr="00CA21ED">
              <w:t>Specificity</w:t>
            </w:r>
          </w:p>
        </w:tc>
        <w:tc>
          <w:tcPr>
            <w:tcW w:w="1606" w:type="dxa"/>
            <w:vAlign w:val="bottom"/>
          </w:tcPr>
          <w:p w14:paraId="1FCAF6EB" w14:textId="77777777" w:rsidR="00D935D4" w:rsidRPr="00CA21ED" w:rsidRDefault="00D935D4" w:rsidP="00D43771">
            <w:r w:rsidRPr="00CA21ED">
              <w:rPr>
                <w:color w:val="000000"/>
              </w:rPr>
              <w:t>81.0%</w:t>
            </w:r>
          </w:p>
        </w:tc>
        <w:tc>
          <w:tcPr>
            <w:tcW w:w="1606" w:type="dxa"/>
            <w:vAlign w:val="bottom"/>
          </w:tcPr>
          <w:p w14:paraId="486F61B9" w14:textId="77777777" w:rsidR="00D935D4" w:rsidRPr="00CA21ED" w:rsidRDefault="00D935D4" w:rsidP="00D43771">
            <w:r w:rsidRPr="00CA21ED">
              <w:rPr>
                <w:color w:val="000000"/>
              </w:rPr>
              <w:t>45.4%</w:t>
            </w:r>
          </w:p>
        </w:tc>
        <w:tc>
          <w:tcPr>
            <w:tcW w:w="1607" w:type="dxa"/>
            <w:vAlign w:val="bottom"/>
          </w:tcPr>
          <w:p w14:paraId="7404D391" w14:textId="77777777" w:rsidR="00D935D4" w:rsidRPr="00CA21ED" w:rsidRDefault="00D935D4" w:rsidP="00D43771">
            <w:r w:rsidRPr="00CA21ED">
              <w:rPr>
                <w:color w:val="000000"/>
              </w:rPr>
              <w:t>66.2%</w:t>
            </w:r>
          </w:p>
        </w:tc>
      </w:tr>
      <w:tr w:rsidR="00D935D4" w:rsidRPr="00CA21ED" w14:paraId="324D9F41" w14:textId="77777777" w:rsidTr="00D43771">
        <w:trPr>
          <w:trHeight w:val="290"/>
        </w:trPr>
        <w:tc>
          <w:tcPr>
            <w:tcW w:w="4531" w:type="dxa"/>
          </w:tcPr>
          <w:p w14:paraId="2F16333C" w14:textId="77777777" w:rsidR="00D935D4" w:rsidRPr="00CA21ED" w:rsidRDefault="00D935D4" w:rsidP="00D43771">
            <w:r w:rsidRPr="00CA21ED">
              <w:t>PPV</w:t>
            </w:r>
          </w:p>
        </w:tc>
        <w:tc>
          <w:tcPr>
            <w:tcW w:w="1606" w:type="dxa"/>
            <w:vAlign w:val="bottom"/>
          </w:tcPr>
          <w:p w14:paraId="01B84550" w14:textId="77777777" w:rsidR="00D935D4" w:rsidRPr="00CA21ED" w:rsidRDefault="00D935D4" w:rsidP="00D43771">
            <w:r w:rsidRPr="00CA21ED">
              <w:rPr>
                <w:color w:val="000000"/>
              </w:rPr>
              <w:t>75.9%</w:t>
            </w:r>
          </w:p>
        </w:tc>
        <w:tc>
          <w:tcPr>
            <w:tcW w:w="1606" w:type="dxa"/>
            <w:vAlign w:val="bottom"/>
          </w:tcPr>
          <w:p w14:paraId="1547D09A" w14:textId="77777777" w:rsidR="00D935D4" w:rsidRPr="00CA21ED" w:rsidRDefault="00D935D4" w:rsidP="00D43771">
            <w:r w:rsidRPr="00CA21ED">
              <w:rPr>
                <w:color w:val="000000"/>
              </w:rPr>
              <w:t>57.9%</w:t>
            </w:r>
          </w:p>
        </w:tc>
        <w:tc>
          <w:tcPr>
            <w:tcW w:w="1607" w:type="dxa"/>
            <w:vAlign w:val="bottom"/>
          </w:tcPr>
          <w:p w14:paraId="7F1A62CF" w14:textId="77777777" w:rsidR="00D935D4" w:rsidRPr="00CA21ED" w:rsidRDefault="00D935D4" w:rsidP="00D43771">
            <w:r w:rsidRPr="00CA21ED">
              <w:rPr>
                <w:color w:val="000000"/>
              </w:rPr>
              <w:t>68.4%</w:t>
            </w:r>
          </w:p>
        </w:tc>
      </w:tr>
      <w:tr w:rsidR="00D935D4" w:rsidRPr="00CA21ED" w14:paraId="651E7CEA" w14:textId="77777777" w:rsidTr="00D43771">
        <w:trPr>
          <w:trHeight w:val="290"/>
        </w:trPr>
        <w:tc>
          <w:tcPr>
            <w:tcW w:w="4531" w:type="dxa"/>
          </w:tcPr>
          <w:p w14:paraId="66E3446C" w14:textId="77777777" w:rsidR="00D935D4" w:rsidRPr="00CA21ED" w:rsidRDefault="00D935D4" w:rsidP="00D43771">
            <w:r w:rsidRPr="00CA21ED">
              <w:t>NPV</w:t>
            </w:r>
          </w:p>
        </w:tc>
        <w:tc>
          <w:tcPr>
            <w:tcW w:w="1606" w:type="dxa"/>
            <w:vAlign w:val="bottom"/>
          </w:tcPr>
          <w:p w14:paraId="37C4CBD6" w14:textId="77777777" w:rsidR="00D935D4" w:rsidRPr="00CA21ED" w:rsidRDefault="00D935D4" w:rsidP="00D43771">
            <w:r w:rsidRPr="00CA21ED">
              <w:rPr>
                <w:color w:val="000000"/>
              </w:rPr>
              <w:t>82.8%</w:t>
            </w:r>
          </w:p>
        </w:tc>
        <w:tc>
          <w:tcPr>
            <w:tcW w:w="1606" w:type="dxa"/>
            <w:vAlign w:val="bottom"/>
          </w:tcPr>
          <w:p w14:paraId="13CC9A1A" w14:textId="77777777" w:rsidR="00D935D4" w:rsidRPr="00CA21ED" w:rsidRDefault="00D935D4" w:rsidP="00D43771">
            <w:r w:rsidRPr="00CA21ED">
              <w:rPr>
                <w:color w:val="000000"/>
              </w:rPr>
              <w:t>96.7%</w:t>
            </w:r>
          </w:p>
        </w:tc>
        <w:tc>
          <w:tcPr>
            <w:tcW w:w="1607" w:type="dxa"/>
            <w:vAlign w:val="bottom"/>
          </w:tcPr>
          <w:p w14:paraId="2B408441" w14:textId="77777777" w:rsidR="00D935D4" w:rsidRPr="00CA21ED" w:rsidRDefault="00D935D4" w:rsidP="00D43771">
            <w:r w:rsidRPr="00CA21ED">
              <w:rPr>
                <w:color w:val="000000"/>
              </w:rPr>
              <w:t>94.8%</w:t>
            </w:r>
          </w:p>
        </w:tc>
      </w:tr>
      <w:tr w:rsidR="00D935D4" w:rsidRPr="00CA21ED" w14:paraId="48658B8C" w14:textId="77777777" w:rsidTr="00D43771">
        <w:trPr>
          <w:trHeight w:val="290"/>
        </w:trPr>
        <w:tc>
          <w:tcPr>
            <w:tcW w:w="4531" w:type="dxa"/>
          </w:tcPr>
          <w:p w14:paraId="5DAB0BE6" w14:textId="77777777" w:rsidR="00D935D4" w:rsidRPr="00CA21ED" w:rsidRDefault="00D935D4" w:rsidP="00D43771">
            <w:r w:rsidRPr="00CA21ED">
              <w:t>HF deaths during the decision tree</w:t>
            </w:r>
          </w:p>
        </w:tc>
        <w:tc>
          <w:tcPr>
            <w:tcW w:w="1606" w:type="dxa"/>
            <w:vAlign w:val="bottom"/>
          </w:tcPr>
          <w:p w14:paraId="05F4702B" w14:textId="77777777" w:rsidR="00D935D4" w:rsidRPr="00CA21ED" w:rsidRDefault="00D935D4" w:rsidP="00D43771">
            <w:r w:rsidRPr="00CA21ED">
              <w:rPr>
                <w:color w:val="000000"/>
              </w:rPr>
              <w:t>39.4</w:t>
            </w:r>
          </w:p>
        </w:tc>
        <w:tc>
          <w:tcPr>
            <w:tcW w:w="1606" w:type="dxa"/>
            <w:vAlign w:val="bottom"/>
          </w:tcPr>
          <w:p w14:paraId="0D7FCD88" w14:textId="77777777" w:rsidR="00D935D4" w:rsidRPr="00CA21ED" w:rsidRDefault="00D935D4" w:rsidP="00D43771">
            <w:r w:rsidRPr="00CA21ED">
              <w:rPr>
                <w:color w:val="000000"/>
              </w:rPr>
              <w:t>34.7</w:t>
            </w:r>
          </w:p>
        </w:tc>
        <w:tc>
          <w:tcPr>
            <w:tcW w:w="1607" w:type="dxa"/>
            <w:vAlign w:val="bottom"/>
          </w:tcPr>
          <w:p w14:paraId="7AFC9ED0" w14:textId="77777777" w:rsidR="00D935D4" w:rsidRPr="00CA21ED" w:rsidRDefault="00D935D4" w:rsidP="00D43771">
            <w:r w:rsidRPr="00CA21ED">
              <w:rPr>
                <w:color w:val="000000"/>
              </w:rPr>
              <w:t>35.4</w:t>
            </w:r>
          </w:p>
        </w:tc>
      </w:tr>
      <w:tr w:rsidR="00D935D4" w:rsidRPr="00CA21ED" w14:paraId="350FD9E0" w14:textId="77777777" w:rsidTr="00D43771">
        <w:trPr>
          <w:trHeight w:val="290"/>
        </w:trPr>
        <w:tc>
          <w:tcPr>
            <w:tcW w:w="4531" w:type="dxa"/>
          </w:tcPr>
          <w:p w14:paraId="7AA7489B" w14:textId="77777777" w:rsidR="00D935D4" w:rsidRPr="00CA21ED" w:rsidRDefault="00D935D4" w:rsidP="00D43771">
            <w:r w:rsidRPr="00CA21ED">
              <w:t xml:space="preserve">Initial admissions </w:t>
            </w:r>
          </w:p>
        </w:tc>
        <w:tc>
          <w:tcPr>
            <w:tcW w:w="1606" w:type="dxa"/>
            <w:vAlign w:val="bottom"/>
          </w:tcPr>
          <w:p w14:paraId="7E995ED6" w14:textId="77777777" w:rsidR="00D935D4" w:rsidRPr="00CA21ED" w:rsidRDefault="00D935D4" w:rsidP="00D43771">
            <w:r w:rsidRPr="00CA21ED">
              <w:rPr>
                <w:color w:val="000000"/>
              </w:rPr>
              <w:t>753</w:t>
            </w:r>
          </w:p>
        </w:tc>
        <w:tc>
          <w:tcPr>
            <w:tcW w:w="1606" w:type="dxa"/>
            <w:vAlign w:val="bottom"/>
          </w:tcPr>
          <w:p w14:paraId="5CD833BF" w14:textId="77777777" w:rsidR="00D935D4" w:rsidRPr="00CA21ED" w:rsidRDefault="00D935D4" w:rsidP="00D43771">
            <w:r w:rsidRPr="00CA21ED">
              <w:rPr>
                <w:color w:val="000000"/>
              </w:rPr>
              <w:t>793</w:t>
            </w:r>
          </w:p>
        </w:tc>
        <w:tc>
          <w:tcPr>
            <w:tcW w:w="1607" w:type="dxa"/>
            <w:vAlign w:val="bottom"/>
          </w:tcPr>
          <w:p w14:paraId="6D4617E7" w14:textId="77777777" w:rsidR="00D935D4" w:rsidRPr="00CA21ED" w:rsidRDefault="00D935D4" w:rsidP="00D43771">
            <w:r w:rsidRPr="00CA21ED">
              <w:rPr>
                <w:color w:val="000000"/>
              </w:rPr>
              <w:t>742</w:t>
            </w:r>
          </w:p>
        </w:tc>
      </w:tr>
      <w:tr w:rsidR="00D935D4" w:rsidRPr="00CA21ED" w14:paraId="08D90D76" w14:textId="77777777" w:rsidTr="00D43771">
        <w:trPr>
          <w:trHeight w:val="290"/>
        </w:trPr>
        <w:tc>
          <w:tcPr>
            <w:tcW w:w="4531" w:type="dxa"/>
          </w:tcPr>
          <w:p w14:paraId="3C264203" w14:textId="77777777" w:rsidR="00D935D4" w:rsidRPr="00CA21ED" w:rsidRDefault="00D935D4" w:rsidP="00D43771">
            <w:r w:rsidRPr="00CA21ED">
              <w:t>Total echocardiograms during initial admissions</w:t>
            </w:r>
          </w:p>
        </w:tc>
        <w:tc>
          <w:tcPr>
            <w:tcW w:w="1606" w:type="dxa"/>
            <w:vAlign w:val="bottom"/>
          </w:tcPr>
          <w:p w14:paraId="22BF4C8D" w14:textId="77777777" w:rsidR="00D935D4" w:rsidRPr="00CA21ED" w:rsidRDefault="00D935D4" w:rsidP="00D43771">
            <w:r w:rsidRPr="00CA21ED">
              <w:rPr>
                <w:color w:val="000000"/>
              </w:rPr>
              <w:t>484.7</w:t>
            </w:r>
          </w:p>
        </w:tc>
        <w:tc>
          <w:tcPr>
            <w:tcW w:w="1606" w:type="dxa"/>
            <w:vAlign w:val="bottom"/>
          </w:tcPr>
          <w:p w14:paraId="1FE88070" w14:textId="77777777" w:rsidR="00D935D4" w:rsidRPr="00CA21ED" w:rsidRDefault="00D935D4" w:rsidP="00D43771">
            <w:r w:rsidRPr="00CA21ED">
              <w:rPr>
                <w:color w:val="000000"/>
              </w:rPr>
              <w:t>673.5</w:t>
            </w:r>
          </w:p>
        </w:tc>
        <w:tc>
          <w:tcPr>
            <w:tcW w:w="1607" w:type="dxa"/>
            <w:vAlign w:val="bottom"/>
          </w:tcPr>
          <w:p w14:paraId="3593F98B" w14:textId="77777777" w:rsidR="00D935D4" w:rsidRPr="00CA21ED" w:rsidRDefault="00D935D4" w:rsidP="00D43771">
            <w:r w:rsidRPr="00CA21ED">
              <w:rPr>
                <w:color w:val="000000"/>
              </w:rPr>
              <w:t>566.0</w:t>
            </w:r>
          </w:p>
        </w:tc>
      </w:tr>
      <w:tr w:rsidR="00D935D4" w:rsidRPr="00CA21ED" w14:paraId="4A2482F1" w14:textId="77777777" w:rsidTr="00D43771">
        <w:trPr>
          <w:trHeight w:val="290"/>
        </w:trPr>
        <w:tc>
          <w:tcPr>
            <w:tcW w:w="4531" w:type="dxa"/>
          </w:tcPr>
          <w:p w14:paraId="09E611AE" w14:textId="77777777" w:rsidR="00D935D4" w:rsidRPr="00CA21ED" w:rsidRDefault="00D935D4" w:rsidP="00D43771">
            <w:r w:rsidRPr="00CA21ED">
              <w:t>Readmissions</w:t>
            </w:r>
          </w:p>
        </w:tc>
        <w:tc>
          <w:tcPr>
            <w:tcW w:w="1606" w:type="dxa"/>
            <w:vAlign w:val="bottom"/>
          </w:tcPr>
          <w:p w14:paraId="5A410153" w14:textId="77777777" w:rsidR="00D935D4" w:rsidRPr="00CA21ED" w:rsidRDefault="00D935D4" w:rsidP="00D43771">
            <w:r w:rsidRPr="00CA21ED">
              <w:rPr>
                <w:color w:val="000000"/>
              </w:rPr>
              <w:t>339.1</w:t>
            </w:r>
          </w:p>
        </w:tc>
        <w:tc>
          <w:tcPr>
            <w:tcW w:w="1606" w:type="dxa"/>
            <w:vAlign w:val="bottom"/>
          </w:tcPr>
          <w:p w14:paraId="0ADCA113" w14:textId="77777777" w:rsidR="00D935D4" w:rsidRPr="00CA21ED" w:rsidRDefault="00D935D4" w:rsidP="00D43771">
            <w:r w:rsidRPr="00CA21ED">
              <w:rPr>
                <w:color w:val="000000"/>
              </w:rPr>
              <w:t>346.3</w:t>
            </w:r>
          </w:p>
        </w:tc>
        <w:tc>
          <w:tcPr>
            <w:tcW w:w="1607" w:type="dxa"/>
            <w:vAlign w:val="bottom"/>
          </w:tcPr>
          <w:p w14:paraId="4D1C1A29" w14:textId="77777777" w:rsidR="00D935D4" w:rsidRPr="00CA21ED" w:rsidRDefault="00D935D4" w:rsidP="00D43771">
            <w:r w:rsidRPr="00CA21ED">
              <w:rPr>
                <w:color w:val="000000"/>
              </w:rPr>
              <w:t>345.3</w:t>
            </w:r>
          </w:p>
        </w:tc>
      </w:tr>
      <w:tr w:rsidR="00D935D4" w:rsidRPr="00CA21ED" w14:paraId="58BBE551" w14:textId="77777777" w:rsidTr="00D43771">
        <w:trPr>
          <w:trHeight w:val="290"/>
        </w:trPr>
        <w:tc>
          <w:tcPr>
            <w:tcW w:w="4531" w:type="dxa"/>
          </w:tcPr>
          <w:p w14:paraId="75C02E8A" w14:textId="77777777" w:rsidR="00D935D4" w:rsidRPr="00CA21ED" w:rsidRDefault="00D935D4" w:rsidP="00D43771">
            <w:r w:rsidRPr="00CA21ED">
              <w:t>Life years for AHF patients in the long-term model</w:t>
            </w:r>
          </w:p>
        </w:tc>
        <w:tc>
          <w:tcPr>
            <w:tcW w:w="1606" w:type="dxa"/>
            <w:vAlign w:val="bottom"/>
          </w:tcPr>
          <w:p w14:paraId="68C65FEA" w14:textId="77777777" w:rsidR="00D935D4" w:rsidRPr="00CA21ED" w:rsidRDefault="00D935D4" w:rsidP="00D43771">
            <w:r w:rsidRPr="00CA21ED">
              <w:rPr>
                <w:color w:val="000000"/>
              </w:rPr>
              <w:t>1956.6</w:t>
            </w:r>
          </w:p>
        </w:tc>
        <w:tc>
          <w:tcPr>
            <w:tcW w:w="1606" w:type="dxa"/>
            <w:vAlign w:val="bottom"/>
          </w:tcPr>
          <w:p w14:paraId="1D5A708C" w14:textId="77777777" w:rsidR="00D935D4" w:rsidRPr="00CA21ED" w:rsidRDefault="00D935D4" w:rsidP="00D43771">
            <w:r w:rsidRPr="00CA21ED">
              <w:rPr>
                <w:color w:val="000000"/>
              </w:rPr>
              <w:t>2011.2</w:t>
            </w:r>
          </w:p>
        </w:tc>
        <w:tc>
          <w:tcPr>
            <w:tcW w:w="1607" w:type="dxa"/>
            <w:vAlign w:val="bottom"/>
          </w:tcPr>
          <w:p w14:paraId="319C6AD9" w14:textId="77777777" w:rsidR="00D935D4" w:rsidRPr="00CA21ED" w:rsidRDefault="00D935D4" w:rsidP="00D43771">
            <w:r w:rsidRPr="00CA21ED">
              <w:rPr>
                <w:color w:val="000000"/>
              </w:rPr>
              <w:t>2003.6</w:t>
            </w:r>
          </w:p>
        </w:tc>
      </w:tr>
    </w:tbl>
    <w:p w14:paraId="78FC4DE3" w14:textId="77777777" w:rsidR="00D935D4" w:rsidRPr="00CA21ED" w:rsidRDefault="00D935D4" w:rsidP="00F92FD3">
      <w:pPr>
        <w:contextualSpacing/>
      </w:pPr>
    </w:p>
    <w:p w14:paraId="613D45FC" w14:textId="4E19053D" w:rsidR="00D935D4" w:rsidRPr="00CA21ED" w:rsidRDefault="00D935D4" w:rsidP="00D935D4">
      <w:pPr>
        <w:rPr>
          <w:b/>
        </w:rPr>
      </w:pPr>
      <w:r w:rsidRPr="00CA21ED">
        <w:rPr>
          <w:b/>
        </w:rPr>
        <w:t>Netherlands societal perspective scenario analysis</w:t>
      </w:r>
    </w:p>
    <w:p w14:paraId="4690A9B3" w14:textId="2AE864DC" w:rsidR="00F129D7" w:rsidRPr="00CA21ED" w:rsidRDefault="00D935D4" w:rsidP="00D935D4">
      <w:r w:rsidRPr="00CA21ED">
        <w:t>While the model was set up from a healthcare perspective, Dutch guidelines indicate that economic analyses should follow a societal perspective</w:t>
      </w:r>
      <w:r w:rsidR="00E9369D" w:rsidRPr="00CA21ED">
        <w:t xml:space="preserve"> </w:t>
      </w:r>
      <w:r w:rsidR="00965121" w:rsidRPr="00CA21ED">
        <w:fldChar w:fldCharType="begin"/>
      </w:r>
      <w:r w:rsidR="00F22A4B">
        <w:instrText xml:space="preserve"> ADDIN EN.CITE &lt;EndNote&gt;&lt;Cite&gt;&lt;Author&gt;International Society for Pharmacoeconomics and Outcomes Research (ISPOR)&lt;/Author&gt;&lt;Year&gt;2020&lt;/Year&gt;&lt;RecNum&gt;46&lt;/RecNum&gt;&lt;DisplayText&gt;(19)&lt;/DisplayText&gt;&lt;record&gt;&lt;rec-number&gt;46&lt;/rec-number&gt;&lt;foreign-keys&gt;&lt;key app="EN" db-id="f9e92ea9tpxdzoex9spxs9asfpp0rx2xe2s2" timestamp="1656513866"&gt;46&lt;/key&gt;&lt;/foreign-keys&gt;&lt;ref-type name="Web Page"&gt;12&lt;/ref-type&gt;&lt;contributors&gt;&lt;authors&gt;&lt;author&gt;International Society for Pharmacoeconomics and Outcomes Research (ISPOR),&lt;/author&gt;&lt;/authors&gt;&lt;/contributors&gt;&lt;titles&gt;&lt;title&gt;Pharmacoeconomic Guidelines: The Netherlands&lt;/title&gt;&lt;/titles&gt;&lt;number&gt;29th June 2022&lt;/number&gt;&lt;dates&gt;&lt;year&gt;2020&lt;/year&gt;&lt;/dates&gt;&lt;urls&gt;&lt;related-urls&gt;&lt;url&gt;https://www.ispor.org/heor-resources/more-heor-resources/pharmacoeconomic-guidelines/pe-guideline-detail/the-netherlands&lt;/url&gt;&lt;/related-urls&gt;&lt;/urls&gt;&lt;/record&gt;&lt;/Cite&gt;&lt;/EndNote&gt;</w:instrText>
      </w:r>
      <w:r w:rsidR="00965121" w:rsidRPr="00CA21ED">
        <w:fldChar w:fldCharType="separate"/>
      </w:r>
      <w:r w:rsidR="00F22A4B">
        <w:rPr>
          <w:noProof/>
        </w:rPr>
        <w:t>(19)</w:t>
      </w:r>
      <w:r w:rsidR="00965121" w:rsidRPr="00CA21ED">
        <w:fldChar w:fldCharType="end"/>
      </w:r>
      <w:r w:rsidR="00965121" w:rsidRPr="00CA21ED">
        <w:t xml:space="preserve">, </w:t>
      </w:r>
      <w:r w:rsidRPr="00CA21ED">
        <w:t>considering productiv</w:t>
      </w:r>
      <w:r w:rsidR="00DF38BA" w:rsidRPr="00CA21ED">
        <w:t>ity</w:t>
      </w:r>
      <w:r w:rsidRPr="00CA21ED">
        <w:t xml:space="preserve"> loss, informal care, and travel costs. </w:t>
      </w:r>
      <w:r w:rsidR="00DF38BA" w:rsidRPr="00CA21ED">
        <w:t>Model p</w:t>
      </w:r>
      <w:r w:rsidRPr="00CA21ED">
        <w:t>arameters for these</w:t>
      </w:r>
      <w:r w:rsidR="00DF38BA" w:rsidRPr="00CA21ED">
        <w:t xml:space="preserve"> variables</w:t>
      </w:r>
      <w:r w:rsidRPr="00CA21ED">
        <w:t xml:space="preserve"> </w:t>
      </w:r>
      <w:r w:rsidR="00DF38BA" w:rsidRPr="00CA21ED">
        <w:t>were sourced</w:t>
      </w:r>
      <w:r w:rsidRPr="00CA21ED">
        <w:t xml:space="preserve"> from Ramos et al</w:t>
      </w:r>
      <w:r w:rsidR="003533A0" w:rsidRPr="00CA21ED">
        <w:t xml:space="preserve">. 2017 </w:t>
      </w:r>
      <w:r w:rsidR="003533A0" w:rsidRPr="00CA21ED">
        <w:fldChar w:fldCharType="begin"/>
      </w:r>
      <w:r w:rsidR="00816ED5">
        <w:instrText xml:space="preserve"> ADDIN EN.CITE &lt;EndNote&gt;&lt;Cite&gt;&lt;Author&gt;Ramos&lt;/Author&gt;&lt;Year&gt;2017&lt;/Year&gt;&lt;RecNum&gt;51&lt;/RecNum&gt;&lt;DisplayText&gt;(29)&lt;/DisplayText&gt;&lt;record&gt;&lt;rec-number&gt;51&lt;/rec-number&gt;&lt;foreign-keys&gt;&lt;key app="EN" db-id="f9e92ea9tpxdzoex9spxs9asfpp0rx2xe2s2" timestamp="1656515706"&gt;51&lt;/key&gt;&lt;/foreign-keys&gt;&lt;ref-type name="Journal Article"&gt;17&lt;/ref-type&gt;&lt;contributors&gt;&lt;authors&gt;&lt;author&gt;Ramos, Isaac Corro&lt;/author&gt;&lt;author&gt;Versteegh, Matthijs M&lt;/author&gt;&lt;author&gt;de Boer, Rudolf A&lt;/author&gt;&lt;author&gt;Koenders, Jolanda MA&lt;/author&gt;&lt;author&gt;Linssen, Gerard CM&lt;/author&gt;&lt;author&gt;Meeder, Joan G&lt;/author&gt;&lt;author&gt;Rutten-van Mölken, Maureen PMH&lt;/author&gt;&lt;/authors&gt;&lt;/contributors&gt;&lt;titles&gt;&lt;title&gt;Cost effectiveness of the angiotensin receptor neprilysin inhibitor sacubitril/valsartan for patients with chronic heart failure and reduced ejection fraction in the Netherlands: a country adaptation analysis under the former and current Dutch Pharmacoeconomic Guidelines&lt;/title&gt;&lt;secondary-title&gt;Value in Health&lt;/secondary-title&gt;&lt;/titles&gt;&lt;periodical&gt;&lt;full-title&gt;Value in Health&lt;/full-title&gt;&lt;/periodical&gt;&lt;pages&gt;1260-1269&lt;/pages&gt;&lt;volume&gt;20&lt;/volume&gt;&lt;number&gt;10&lt;/number&gt;&lt;dates&gt;&lt;year&gt;2017&lt;/year&gt;&lt;/dates&gt;&lt;isbn&gt;1098-3015&lt;/isbn&gt;&lt;urls&gt;&lt;/urls&gt;&lt;/record&gt;&lt;/Cite&gt;&lt;/EndNote&gt;</w:instrText>
      </w:r>
      <w:r w:rsidR="003533A0" w:rsidRPr="00CA21ED">
        <w:fldChar w:fldCharType="separate"/>
      </w:r>
      <w:r w:rsidR="00816ED5">
        <w:rPr>
          <w:noProof/>
        </w:rPr>
        <w:t>(29)</w:t>
      </w:r>
      <w:r w:rsidR="003533A0" w:rsidRPr="00CA21ED">
        <w:fldChar w:fldCharType="end"/>
      </w:r>
      <w:r w:rsidRPr="00CA21ED">
        <w:t xml:space="preserve">. </w:t>
      </w:r>
      <w:r w:rsidR="00965121" w:rsidRPr="00CA21ED">
        <w:t>Ramos et al.</w:t>
      </w:r>
      <w:r w:rsidRPr="00CA21ED">
        <w:t xml:space="preserve"> directly relates to heart failure patients and </w:t>
      </w:r>
      <w:r w:rsidR="00965121" w:rsidRPr="00CA21ED">
        <w:t xml:space="preserve">is </w:t>
      </w:r>
      <w:r w:rsidRPr="00CA21ED">
        <w:t xml:space="preserve">therefore </w:t>
      </w:r>
      <w:r w:rsidR="00965121" w:rsidRPr="00CA21ED">
        <w:t>l</w:t>
      </w:r>
      <w:r w:rsidRPr="00CA21ED">
        <w:t xml:space="preserve">ikely generalisable to this analysis. </w:t>
      </w:r>
      <w:r w:rsidR="00965121" w:rsidRPr="00CA21ED">
        <w:t>The estimated cost of i</w:t>
      </w:r>
      <w:r w:rsidRPr="00CA21ED">
        <w:t>nformal care was €66 per month, inf</w:t>
      </w:r>
      <w:r w:rsidR="00965121" w:rsidRPr="00CA21ED">
        <w:t>la</w:t>
      </w:r>
      <w:r w:rsidRPr="00CA21ED">
        <w:t xml:space="preserve">ted to €71 via the </w:t>
      </w:r>
      <w:r w:rsidR="00965121" w:rsidRPr="00CA21ED">
        <w:t>i</w:t>
      </w:r>
      <w:r w:rsidRPr="00CA21ED">
        <w:t>MTA tool</w:t>
      </w:r>
      <w:r w:rsidR="006E1E76">
        <w:t xml:space="preserve"> </w:t>
      </w:r>
      <w:r w:rsidR="006E1E76">
        <w:fldChar w:fldCharType="begin"/>
      </w:r>
      <w:r w:rsidR="006E1E76">
        <w:instrText xml:space="preserve"> ADDIN EN.CITE &lt;EndNote&gt;&lt;Cite&gt;&lt;Author&gt;Institute for Medical Technology Assessment (iMTA)&lt;/Author&gt;&lt;RecNum&gt;49&lt;/RecNum&gt;&lt;DisplayText&gt;(22)&lt;/DisplayText&gt;&lt;record&gt;&lt;rec-number&gt;49&lt;/rec-number&gt;&lt;foreign-keys&gt;&lt;key app="EN" db-id="f9e92ea9tpxdzoex9spxs9asfpp0rx2xe2s2" timestamp="1656514264"&gt;49&lt;/key&gt;&lt;/foreign-keys&gt;&lt;ref-type name="Web Page"&gt;12&lt;/ref-type&gt;&lt;contributors&gt;&lt;authors&gt;&lt;author&gt;Institute for Medical Technology Assessment (iMTA),&lt;/author&gt;&lt;/authors&gt;&lt;/contributors&gt;&lt;titles&gt;&lt;title&gt;The iMTA Disease Burden Calculator (iDBC) for proportional shortfall and fair innings for The Netherlands&lt;/title&gt;&lt;/titles&gt;&lt;number&gt;22 June 2022&lt;/number&gt;&lt;dates&gt;&lt;/dates&gt;&lt;urls&gt;&lt;related-urls&gt;&lt;url&gt;https://www.imta.nl/&lt;/url&gt;&lt;/related-urls&gt;&lt;/urls&gt;&lt;/record&gt;&lt;/Cite&gt;&lt;/EndNote&gt;</w:instrText>
      </w:r>
      <w:r w:rsidR="006E1E76">
        <w:fldChar w:fldCharType="separate"/>
      </w:r>
      <w:r w:rsidR="006E1E76">
        <w:rPr>
          <w:noProof/>
        </w:rPr>
        <w:t>(22)</w:t>
      </w:r>
      <w:r w:rsidR="006E1E76">
        <w:fldChar w:fldCharType="end"/>
      </w:r>
      <w:r w:rsidRPr="00CA21ED">
        <w:t xml:space="preserve">. This </w:t>
      </w:r>
      <w:r w:rsidR="00C53C13" w:rsidRPr="00CA21ED">
        <w:t>was</w:t>
      </w:r>
      <w:r w:rsidRPr="00CA21ED">
        <w:t xml:space="preserve"> applied </w:t>
      </w:r>
      <w:r w:rsidR="00965121" w:rsidRPr="00CA21ED">
        <w:t xml:space="preserve">only </w:t>
      </w:r>
      <w:r w:rsidRPr="00CA21ED">
        <w:t xml:space="preserve">to </w:t>
      </w:r>
      <w:r w:rsidR="00965121" w:rsidRPr="00CA21ED">
        <w:t>T</w:t>
      </w:r>
      <w:r w:rsidRPr="00CA21ED">
        <w:t xml:space="preserve">P/FNs as the model does not estimate the survival of </w:t>
      </w:r>
      <w:r w:rsidR="00965121" w:rsidRPr="00CA21ED">
        <w:t>non-AHF</w:t>
      </w:r>
      <w:r w:rsidRPr="00CA21ED">
        <w:t xml:space="preserve"> patients, nor is it assumed </w:t>
      </w:r>
      <w:r w:rsidR="00965121" w:rsidRPr="00CA21ED">
        <w:t xml:space="preserve">that </w:t>
      </w:r>
      <w:r w:rsidRPr="00CA21ED">
        <w:t>there is a</w:t>
      </w:r>
      <w:r w:rsidR="00965121" w:rsidRPr="00CA21ED">
        <w:t>n</w:t>
      </w:r>
      <w:r w:rsidRPr="00CA21ED">
        <w:t xml:space="preserve"> inpatient </w:t>
      </w:r>
      <w:r w:rsidR="00145EF9" w:rsidRPr="00CA21ED">
        <w:t>mortality</w:t>
      </w:r>
      <w:r w:rsidRPr="00CA21ED">
        <w:t xml:space="preserve"> for incorrect diagnosis of</w:t>
      </w:r>
      <w:r w:rsidR="00965121" w:rsidRPr="00CA21ED">
        <w:t xml:space="preserve"> </w:t>
      </w:r>
      <w:r w:rsidR="008D0F49" w:rsidRPr="00CA21ED">
        <w:t>FP/TNs</w:t>
      </w:r>
      <w:r w:rsidR="00DC2CA0" w:rsidRPr="00CA21ED">
        <w:t xml:space="preserve">, </w:t>
      </w:r>
      <w:r w:rsidR="00C53C13" w:rsidRPr="00CA21ED">
        <w:t>and as such costs for FP/TNs would be equivalent across treatment strategies.</w:t>
      </w:r>
      <w:r w:rsidR="00F022F6" w:rsidRPr="00CA21ED">
        <w:t xml:space="preserve"> </w:t>
      </w:r>
      <w:r w:rsidRPr="00CA21ED">
        <w:t xml:space="preserve">Travel expenses of €5.07 (inflated from €4.73) were </w:t>
      </w:r>
      <w:r w:rsidR="00F129D7" w:rsidRPr="00CA21ED">
        <w:t xml:space="preserve">also </w:t>
      </w:r>
      <w:r w:rsidR="00F022F6" w:rsidRPr="00CA21ED">
        <w:t>assigned to</w:t>
      </w:r>
      <w:r w:rsidRPr="00CA21ED">
        <w:t xml:space="preserve"> </w:t>
      </w:r>
      <w:r w:rsidR="00C53C13" w:rsidRPr="00CA21ED">
        <w:t>each follow-up</w:t>
      </w:r>
      <w:r w:rsidRPr="00CA21ED">
        <w:t xml:space="preserve"> contact (GP or consultant).</w:t>
      </w:r>
    </w:p>
    <w:p w14:paraId="06B2CD56" w14:textId="1E3BE392" w:rsidR="00D935D4" w:rsidRPr="00CA21ED" w:rsidRDefault="00D935D4" w:rsidP="00D935D4">
      <w:pPr>
        <w:rPr>
          <w:highlight w:val="yellow"/>
        </w:rPr>
      </w:pPr>
      <w:r w:rsidRPr="00CA21ED">
        <w:t>Lastly</w:t>
      </w:r>
      <w:r w:rsidR="00F022F6" w:rsidRPr="00CA21ED">
        <w:t>,</w:t>
      </w:r>
      <w:r w:rsidRPr="00CA21ED">
        <w:t xml:space="preserve"> a single per patient productivity loss cost </w:t>
      </w:r>
      <w:r w:rsidR="00F129D7" w:rsidRPr="00CA21ED">
        <w:t xml:space="preserve">of €78 per day (inflated from €73) </w:t>
      </w:r>
      <w:r w:rsidRPr="00CA21ED">
        <w:t xml:space="preserve">was assigned to </w:t>
      </w:r>
      <w:r w:rsidR="00147718" w:rsidRPr="00CA21ED">
        <w:t xml:space="preserve">each </w:t>
      </w:r>
      <w:r w:rsidRPr="00CA21ED">
        <w:t>patient</w:t>
      </w:r>
      <w:r w:rsidR="00F129D7" w:rsidRPr="00CA21ED">
        <w:t>, calculated based on</w:t>
      </w:r>
      <w:r w:rsidRPr="00CA21ED">
        <w:t xml:space="preserve"> the age break down from Kozhuharov</w:t>
      </w:r>
      <w:r w:rsidR="00D70A54" w:rsidRPr="00CA21ED">
        <w:t xml:space="preserve"> et al.</w:t>
      </w:r>
      <w:r w:rsidRPr="00CA21ED">
        <w:t xml:space="preserve"> (BASEL V)</w:t>
      </w:r>
      <w:r w:rsidR="00D70A54" w:rsidRPr="00CA21ED">
        <w:t xml:space="preserve"> </w:t>
      </w:r>
      <w:r w:rsidR="00D70A54" w:rsidRPr="00CA21ED">
        <w:fldChar w:fldCharType="begin"/>
      </w:r>
      <w:r w:rsidR="00D70A54" w:rsidRPr="00CA21ED">
        <w:instrText xml:space="preserve"> ADDIN EN.CITE &lt;EndNote&gt;&lt;Cite&gt;&lt;Author&gt;Kozhuharov&lt;/Author&gt;&lt;Year&gt;2019&lt;/Year&gt;&lt;RecNum&gt;3&lt;/RecNum&gt;&lt;DisplayText&gt;(4)&lt;/DisplayText&gt;&lt;record&gt;&lt;rec-number&gt;3&lt;/rec-number&gt;&lt;foreign-keys&gt;&lt;key app="EN" db-id="f9e92ea9tpxdzoex9spxs9asfpp0rx2xe2s2" timestamp="1643128383"&gt;3&lt;/key&gt;&lt;/foreign-keys&gt;&lt;ref-type name="Journal Article"&gt;17&lt;/ref-type&gt;&lt;contributors&gt;&lt;authors&gt;&lt;author&gt;Kozhuharov, Nikola&lt;/author&gt;&lt;author&gt;Sabti, Zaid&lt;/author&gt;&lt;author&gt;Wussler, Desiree&lt;/author&gt;&lt;author&gt;Nowak, Albina&lt;/author&gt;&lt;author&gt;Badertscher, Patrick&lt;/author&gt;&lt;author&gt;Twerenbold, Raphael&lt;/author&gt;&lt;author&gt;Wildi, Karin&lt;/author&gt;&lt;author&gt;Stallone, Fabio&lt;/author&gt;&lt;author&gt;Vogt, Fabian&lt;/author&gt;&lt;author&gt;Hilti, Jonas&lt;/author&gt;&lt;/authors&gt;&lt;/contributors&gt;&lt;titles&gt;&lt;title&gt;Prospective validation of N‐terminal pro B‐type natriuretic peptide cut‐off concentrations for the diagnosis of acute heart failure&lt;/title&gt;&lt;secondary-title&gt;European journal of heart failure&lt;/secondary-title&gt;&lt;/titles&gt;&lt;periodical&gt;&lt;full-title&gt;European journal of heart failure&lt;/full-title&gt;&lt;/periodical&gt;&lt;pages&gt;813-815&lt;/pages&gt;&lt;volume&gt;21&lt;/volume&gt;&lt;number&gt;6&lt;/number&gt;&lt;dates&gt;&lt;year&gt;2019&lt;/year&gt;&lt;/dates&gt;&lt;isbn&gt;1388-9842&lt;/isbn&gt;&lt;urls&gt;&lt;/urls&gt;&lt;/record&gt;&lt;/Cite&gt;&lt;/EndNote&gt;</w:instrText>
      </w:r>
      <w:r w:rsidR="00D70A54" w:rsidRPr="00CA21ED">
        <w:fldChar w:fldCharType="separate"/>
      </w:r>
      <w:r w:rsidR="00D70A54" w:rsidRPr="00CA21ED">
        <w:t>(4)</w:t>
      </w:r>
      <w:r w:rsidR="00D70A54" w:rsidRPr="00CA21ED">
        <w:fldChar w:fldCharType="end"/>
      </w:r>
      <w:r w:rsidR="00D70A54" w:rsidRPr="00CA21ED">
        <w:t>,</w:t>
      </w:r>
      <w:r w:rsidRPr="00CA21ED">
        <w:t xml:space="preserve"> and the age</w:t>
      </w:r>
      <w:r w:rsidR="00147718" w:rsidRPr="00CA21ED">
        <w:t>-</w:t>
      </w:r>
      <w:r w:rsidRPr="00CA21ED">
        <w:t xml:space="preserve">specific costs from Ramos </w:t>
      </w:r>
      <w:r w:rsidR="00147718" w:rsidRPr="00CA21ED">
        <w:t>et al</w:t>
      </w:r>
      <w:r w:rsidRPr="00CA21ED">
        <w:t xml:space="preserve">. This was </w:t>
      </w:r>
      <w:r w:rsidR="00184703" w:rsidRPr="00CA21ED">
        <w:t>conservatively</w:t>
      </w:r>
      <w:r w:rsidRPr="00CA21ED">
        <w:t xml:space="preserve"> applied to </w:t>
      </w:r>
      <w:r w:rsidR="00F129D7" w:rsidRPr="00CA21ED">
        <w:t xml:space="preserve">AHF and non-AHF </w:t>
      </w:r>
      <w:r w:rsidRPr="00CA21ED">
        <w:t xml:space="preserve">patients for one </w:t>
      </w:r>
      <w:r w:rsidRPr="00CA21ED">
        <w:lastRenderedPageBreak/>
        <w:t>month post</w:t>
      </w:r>
      <w:r w:rsidR="00244640" w:rsidRPr="00CA21ED">
        <w:t>-</w:t>
      </w:r>
      <w:r w:rsidRPr="00CA21ED">
        <w:t>admission. Ramos et al</w:t>
      </w:r>
      <w:r w:rsidR="00F129D7" w:rsidRPr="00CA21ED">
        <w:t xml:space="preserve">. </w:t>
      </w:r>
      <w:r w:rsidRPr="00CA21ED">
        <w:t>did not consider the productivity los</w:t>
      </w:r>
      <w:r w:rsidR="00A8223B" w:rsidRPr="00CA21ED">
        <w:t>t/</w:t>
      </w:r>
      <w:r w:rsidRPr="00CA21ED">
        <w:t>gain</w:t>
      </w:r>
      <w:r w:rsidR="00A8223B" w:rsidRPr="00CA21ED">
        <w:t>ed</w:t>
      </w:r>
      <w:r w:rsidRPr="00CA21ED">
        <w:t xml:space="preserve"> due to differences in </w:t>
      </w:r>
      <w:r w:rsidR="00184703" w:rsidRPr="00CA21ED">
        <w:t>mortality</w:t>
      </w:r>
      <w:r w:rsidR="00F129D7" w:rsidRPr="00CA21ED">
        <w:t>. F</w:t>
      </w:r>
      <w:r w:rsidRPr="00CA21ED">
        <w:t>or th</w:t>
      </w:r>
      <w:r w:rsidR="00D70A54" w:rsidRPr="00CA21ED">
        <w:t xml:space="preserve">e model, </w:t>
      </w:r>
      <w:r w:rsidR="00184703" w:rsidRPr="00CA21ED">
        <w:t>mortality</w:t>
      </w:r>
      <w:r w:rsidRPr="00CA21ED">
        <w:t xml:space="preserve"> was applied equally across the age groups</w:t>
      </w:r>
      <w:r w:rsidR="00D70A54" w:rsidRPr="00CA21ED">
        <w:t xml:space="preserve"> using Kozhuharov et al.</w:t>
      </w:r>
      <w:r w:rsidR="00210C53" w:rsidRPr="00CA21ED">
        <w:t>,</w:t>
      </w:r>
      <w:r w:rsidR="00D70A54" w:rsidRPr="00CA21ED">
        <w:t xml:space="preserve"> and </w:t>
      </w:r>
      <w:r w:rsidRPr="00CA21ED">
        <w:t>the time between death and retirement was estimated as the age group mid</w:t>
      </w:r>
      <w:r w:rsidR="00D70A54" w:rsidRPr="00CA21ED">
        <w:t>-</w:t>
      </w:r>
      <w:r w:rsidRPr="00CA21ED">
        <w:t>point up until a retirement age of 65.</w:t>
      </w:r>
      <w:r w:rsidR="00A27842" w:rsidRPr="00CA21ED">
        <w:t xml:space="preserve"> </w:t>
      </w:r>
    </w:p>
    <w:p w14:paraId="147C083A" w14:textId="21E4A7EA" w:rsidR="00D935D4" w:rsidRPr="00CA21ED" w:rsidRDefault="00D935D4" w:rsidP="00D935D4">
      <w:r w:rsidRPr="00CA21ED">
        <w:t xml:space="preserve">The </w:t>
      </w:r>
      <w:r w:rsidR="00184703" w:rsidRPr="00CA21ED">
        <w:t>sensitivity</w:t>
      </w:r>
      <w:r w:rsidRPr="00CA21ED">
        <w:t xml:space="preserve"> analysis results show that </w:t>
      </w:r>
      <w:r w:rsidR="003B6C89" w:rsidRPr="00CA21ED">
        <w:t xml:space="preserve">the </w:t>
      </w:r>
      <w:r w:rsidRPr="00CA21ED">
        <w:t xml:space="preserve">inclusion of societal costs do not </w:t>
      </w:r>
      <w:r w:rsidR="00184703" w:rsidRPr="00CA21ED">
        <w:t>materially</w:t>
      </w:r>
      <w:r w:rsidRPr="00CA21ED">
        <w:t xml:space="preserve"> alter the comparison between RO and RI/RO, due to the marginal differences in sensitivity. </w:t>
      </w:r>
      <w:r w:rsidR="00784D17" w:rsidRPr="00CA21ED">
        <w:t>However, they</w:t>
      </w:r>
      <w:r w:rsidRPr="00CA21ED">
        <w:t xml:space="preserve"> do significantly alter the comparisons </w:t>
      </w:r>
      <w:r w:rsidR="002C3323" w:rsidRPr="00CA21ED">
        <w:t xml:space="preserve">between </w:t>
      </w:r>
      <w:r w:rsidRPr="00CA21ED">
        <w:t>NT</w:t>
      </w:r>
      <w:r w:rsidR="005C0ACC" w:rsidRPr="00CA21ED">
        <w:t>-</w:t>
      </w:r>
      <w:r w:rsidRPr="00CA21ED">
        <w:t xml:space="preserve">proBNP </w:t>
      </w:r>
      <w:r w:rsidR="002C3323" w:rsidRPr="00CA21ED">
        <w:t>and</w:t>
      </w:r>
      <w:r w:rsidRPr="00CA21ED">
        <w:t xml:space="preserve"> </w:t>
      </w:r>
      <w:r w:rsidR="001B7C06" w:rsidRPr="00CA21ED">
        <w:t>clinical decision alone</w:t>
      </w:r>
      <w:r w:rsidRPr="00CA21ED">
        <w:t xml:space="preserve">, resulting in both RO/RI and RO dominating </w:t>
      </w:r>
      <w:r w:rsidR="001B7C06" w:rsidRPr="00CA21ED">
        <w:t>clinical decision alone</w:t>
      </w:r>
      <w:r w:rsidRPr="00CA21ED">
        <w:t xml:space="preserve">. The poor sensitivity of </w:t>
      </w:r>
      <w:r w:rsidR="001B7C06" w:rsidRPr="00CA21ED">
        <w:t>clinical decision alone</w:t>
      </w:r>
      <w:r w:rsidRPr="00CA21ED">
        <w:t xml:space="preserve"> means a larger proportion of patients die before </w:t>
      </w:r>
      <w:r w:rsidR="00B02900" w:rsidRPr="00CA21ED">
        <w:t>retirement and</w:t>
      </w:r>
      <w:r w:rsidRPr="00CA21ED">
        <w:t xml:space="preserve"> </w:t>
      </w:r>
      <w:r w:rsidR="002C3323" w:rsidRPr="00CA21ED">
        <w:t>are therefore associated with a productivity loss.</w:t>
      </w:r>
      <w:r w:rsidRPr="00CA21ED">
        <w:t xml:space="preserve"> </w:t>
      </w:r>
      <w:r w:rsidR="00C33833" w:rsidRPr="00CA21ED">
        <w:t>However, there are some limitations to the conclusion. A</w:t>
      </w:r>
      <w:r w:rsidR="002C3323" w:rsidRPr="00CA21ED">
        <w:t xml:space="preserve">s the pragmatic </w:t>
      </w:r>
      <w:r w:rsidR="006D3170" w:rsidRPr="00CA21ED">
        <w:t>approach</w:t>
      </w:r>
      <w:r w:rsidR="002C3323" w:rsidRPr="00CA21ED">
        <w:t xml:space="preserve"> to modelling </w:t>
      </w:r>
      <w:r w:rsidR="006D3170" w:rsidRPr="00CA21ED">
        <w:t>productivity</w:t>
      </w:r>
      <w:r w:rsidR="002C3323" w:rsidRPr="00CA21ED">
        <w:t xml:space="preserve"> loss assumed equal mortality across age groups it likely overestimate</w:t>
      </w:r>
      <w:r w:rsidR="00C33833" w:rsidRPr="00CA21ED">
        <w:t>d</w:t>
      </w:r>
      <w:r w:rsidR="002C3323" w:rsidRPr="00CA21ED">
        <w:t xml:space="preserve"> productivity loss for less sensitive strategies</w:t>
      </w:r>
      <w:r w:rsidR="00C33833" w:rsidRPr="00CA21ED">
        <w:t>. T</w:t>
      </w:r>
      <w:r w:rsidR="002C3323" w:rsidRPr="00CA21ED">
        <w:t xml:space="preserve">he true mortality rate in the working cohort (associated with the greatest </w:t>
      </w:r>
      <w:r w:rsidR="006D3170" w:rsidRPr="00CA21ED">
        <w:t>productivity</w:t>
      </w:r>
      <w:r w:rsidR="002C3323" w:rsidRPr="00CA21ED">
        <w:t xml:space="preserve"> loss) is expected to be lower than modelled</w:t>
      </w:r>
      <w:r w:rsidR="001B7C06" w:rsidRPr="00CA21ED">
        <w:t xml:space="preserve">. While the </w:t>
      </w:r>
      <w:r w:rsidR="00C33833" w:rsidRPr="00CA21ED">
        <w:t>impact on productivity may not be as dramatic</w:t>
      </w:r>
      <w:r w:rsidR="001B7C06" w:rsidRPr="00CA21ED">
        <w:t xml:space="preserve"> as seen here, the direction of the impact would remain unchanged, thus favouring NT-proBNP </w:t>
      </w:r>
      <w:r w:rsidR="006D3170" w:rsidRPr="00CA21ED">
        <w:t>strategies</w:t>
      </w:r>
      <w:r w:rsidR="001B7C06" w:rsidRPr="00CA21ED">
        <w:t xml:space="preserve"> over clinical decision alone.</w:t>
      </w:r>
    </w:p>
    <w:p w14:paraId="233524FB" w14:textId="676017BF" w:rsidR="00D935D4" w:rsidRPr="00CA21ED" w:rsidRDefault="00D935D4" w:rsidP="00D935D4">
      <w:pPr>
        <w:pStyle w:val="Caption"/>
      </w:pPr>
      <w:r w:rsidRPr="00CA21ED">
        <w:t xml:space="preserve">Table </w:t>
      </w:r>
      <w:fldSimple w:instr=" SEQ Table \* ARABIC ">
        <w:r w:rsidR="00A47A11">
          <w:rPr>
            <w:noProof/>
          </w:rPr>
          <w:t>11</w:t>
        </w:r>
      </w:fldSimple>
      <w:r w:rsidRPr="00CA21ED">
        <w:t>: Cost-effectiveness results for Netherlands societal perspective scenario analysis</w:t>
      </w:r>
    </w:p>
    <w:tbl>
      <w:tblPr>
        <w:tblStyle w:val="TableGrid"/>
        <w:tblW w:w="5000" w:type="pct"/>
        <w:tblLook w:val="0400" w:firstRow="0" w:lastRow="0" w:firstColumn="0" w:lastColumn="0" w:noHBand="0" w:noVBand="1"/>
      </w:tblPr>
      <w:tblGrid>
        <w:gridCol w:w="1921"/>
        <w:gridCol w:w="2443"/>
        <w:gridCol w:w="1945"/>
        <w:gridCol w:w="1489"/>
        <w:gridCol w:w="1552"/>
      </w:tblGrid>
      <w:tr w:rsidR="00FB69DC" w:rsidRPr="00CA21ED" w14:paraId="006E2603" w14:textId="77777777" w:rsidTr="00647CD9">
        <w:tc>
          <w:tcPr>
            <w:tcW w:w="1027" w:type="pct"/>
          </w:tcPr>
          <w:p w14:paraId="73B9F5FD" w14:textId="77777777" w:rsidR="00FB69DC" w:rsidRPr="00CA21ED" w:rsidRDefault="00FB69DC" w:rsidP="00D43771">
            <w:r w:rsidRPr="00CA21ED">
              <w:t>Strategy</w:t>
            </w:r>
          </w:p>
        </w:tc>
        <w:tc>
          <w:tcPr>
            <w:tcW w:w="1306" w:type="pct"/>
          </w:tcPr>
          <w:p w14:paraId="401EEAE3" w14:textId="77777777" w:rsidR="00FB69DC" w:rsidRPr="00CA21ED" w:rsidRDefault="00FB69DC" w:rsidP="00D43771">
            <w:r w:rsidRPr="00CA21ED">
              <w:t>Costs</w:t>
            </w:r>
          </w:p>
        </w:tc>
        <w:tc>
          <w:tcPr>
            <w:tcW w:w="1040" w:type="pct"/>
          </w:tcPr>
          <w:p w14:paraId="7D25E997" w14:textId="77777777" w:rsidR="00FB69DC" w:rsidRPr="00CA21ED" w:rsidRDefault="00FB69DC" w:rsidP="00D43771">
            <w:r w:rsidRPr="00CA21ED">
              <w:t>QALYs</w:t>
            </w:r>
          </w:p>
        </w:tc>
        <w:tc>
          <w:tcPr>
            <w:tcW w:w="796" w:type="pct"/>
          </w:tcPr>
          <w:p w14:paraId="327F51F9" w14:textId="77777777" w:rsidR="00FB69DC" w:rsidRPr="00CA21ED" w:rsidRDefault="00FB69DC" w:rsidP="00D43771">
            <w:r w:rsidRPr="00CA21ED">
              <w:t>ICER vs clinical decision alone</w:t>
            </w:r>
          </w:p>
        </w:tc>
        <w:tc>
          <w:tcPr>
            <w:tcW w:w="830" w:type="pct"/>
          </w:tcPr>
          <w:p w14:paraId="59788AB5" w14:textId="77777777" w:rsidR="00FB69DC" w:rsidRPr="00CA21ED" w:rsidRDefault="00FB69DC" w:rsidP="00D43771">
            <w:r w:rsidRPr="00CA21ED">
              <w:t>ICER vs RI/RO strategy</w:t>
            </w:r>
          </w:p>
        </w:tc>
      </w:tr>
      <w:tr w:rsidR="00647CD9" w:rsidRPr="00CA21ED" w14:paraId="7E16886D" w14:textId="77777777" w:rsidTr="00647CD9">
        <w:tc>
          <w:tcPr>
            <w:tcW w:w="1027" w:type="pct"/>
          </w:tcPr>
          <w:p w14:paraId="654AEE05" w14:textId="77777777" w:rsidR="00647CD9" w:rsidRPr="00CA21ED" w:rsidRDefault="00647CD9" w:rsidP="00647CD9">
            <w:r w:rsidRPr="00CA21ED">
              <w:t>Clinical decision alone</w:t>
            </w:r>
          </w:p>
        </w:tc>
        <w:tc>
          <w:tcPr>
            <w:tcW w:w="1306" w:type="pct"/>
          </w:tcPr>
          <w:p w14:paraId="069A1D42" w14:textId="33718C68" w:rsidR="00647CD9" w:rsidRPr="00CA21ED" w:rsidRDefault="00647CD9" w:rsidP="00647CD9">
            <w:r w:rsidRPr="00CA21ED">
              <w:rPr>
                <w:rFonts w:cs="Calibri"/>
                <w:color w:val="000000"/>
              </w:rPr>
              <w:t>€</w:t>
            </w:r>
            <w:r w:rsidRPr="00CA21ED">
              <w:t>15,769,454</w:t>
            </w:r>
          </w:p>
        </w:tc>
        <w:tc>
          <w:tcPr>
            <w:tcW w:w="1040" w:type="pct"/>
          </w:tcPr>
          <w:p w14:paraId="61612A44" w14:textId="21949EFB" w:rsidR="00647CD9" w:rsidRPr="00CA21ED" w:rsidRDefault="00647CD9" w:rsidP="00647CD9">
            <w:r w:rsidRPr="00CA21ED">
              <w:t>1</w:t>
            </w:r>
            <w:r w:rsidR="006E1E76">
              <w:t>,</w:t>
            </w:r>
            <w:r w:rsidRPr="00CA21ED">
              <w:t>378.56</w:t>
            </w:r>
          </w:p>
        </w:tc>
        <w:tc>
          <w:tcPr>
            <w:tcW w:w="796" w:type="pct"/>
          </w:tcPr>
          <w:p w14:paraId="679F62DE" w14:textId="77777777" w:rsidR="00647CD9" w:rsidRPr="00CA21ED" w:rsidRDefault="00647CD9" w:rsidP="00647CD9">
            <w:r w:rsidRPr="00CA21ED">
              <w:t>-</w:t>
            </w:r>
          </w:p>
        </w:tc>
        <w:tc>
          <w:tcPr>
            <w:tcW w:w="830" w:type="pct"/>
          </w:tcPr>
          <w:p w14:paraId="68A0DBA0" w14:textId="77777777" w:rsidR="00647CD9" w:rsidRPr="00CA21ED" w:rsidRDefault="00647CD9" w:rsidP="00647CD9">
            <w:r w:rsidRPr="00CA21ED">
              <w:t>-</w:t>
            </w:r>
          </w:p>
        </w:tc>
      </w:tr>
      <w:tr w:rsidR="00647CD9" w:rsidRPr="00CA21ED" w14:paraId="503AC81B" w14:textId="77777777" w:rsidTr="00647CD9">
        <w:tc>
          <w:tcPr>
            <w:tcW w:w="1027" w:type="pct"/>
          </w:tcPr>
          <w:p w14:paraId="67486D49" w14:textId="77777777" w:rsidR="00647CD9" w:rsidRPr="00CA21ED" w:rsidRDefault="00647CD9" w:rsidP="00647CD9">
            <w:r w:rsidRPr="00CA21ED">
              <w:t>NT-proBNP RI/RO</w:t>
            </w:r>
          </w:p>
        </w:tc>
        <w:tc>
          <w:tcPr>
            <w:tcW w:w="1306" w:type="pct"/>
          </w:tcPr>
          <w:p w14:paraId="6095878C" w14:textId="18A43170" w:rsidR="00647CD9" w:rsidRPr="00CA21ED" w:rsidRDefault="00647CD9" w:rsidP="00647CD9">
            <w:pPr>
              <w:rPr>
                <w:rFonts w:cs="Times New Roman"/>
                <w:color w:val="000000"/>
              </w:rPr>
            </w:pPr>
            <w:r w:rsidRPr="00CA21ED">
              <w:rPr>
                <w:rFonts w:cs="Calibri"/>
                <w:color w:val="000000"/>
              </w:rPr>
              <w:t>€</w:t>
            </w:r>
            <w:r w:rsidRPr="00CA21ED">
              <w:t>15,252,111</w:t>
            </w:r>
          </w:p>
        </w:tc>
        <w:tc>
          <w:tcPr>
            <w:tcW w:w="1040" w:type="pct"/>
          </w:tcPr>
          <w:p w14:paraId="637DF3A1" w14:textId="5DA3D42E" w:rsidR="00647CD9" w:rsidRPr="00CA21ED" w:rsidRDefault="00647CD9" w:rsidP="00647CD9">
            <w:pPr>
              <w:rPr>
                <w:rFonts w:cs="Times New Roman"/>
                <w:color w:val="000000"/>
              </w:rPr>
            </w:pPr>
            <w:r w:rsidRPr="00CA21ED">
              <w:t>1</w:t>
            </w:r>
            <w:r w:rsidR="006E1E76">
              <w:t>,</w:t>
            </w:r>
            <w:r w:rsidRPr="00CA21ED">
              <w:t>401.14</w:t>
            </w:r>
          </w:p>
        </w:tc>
        <w:tc>
          <w:tcPr>
            <w:tcW w:w="796" w:type="pct"/>
          </w:tcPr>
          <w:p w14:paraId="71F8454C" w14:textId="77777777" w:rsidR="00647CD9" w:rsidRPr="00CA21ED" w:rsidRDefault="00647CD9" w:rsidP="00647CD9">
            <w:pPr>
              <w:rPr>
                <w:color w:val="000000"/>
              </w:rPr>
            </w:pPr>
            <w:r w:rsidRPr="00CA21ED">
              <w:t xml:space="preserve">RI/RO dominates </w:t>
            </w:r>
          </w:p>
        </w:tc>
        <w:tc>
          <w:tcPr>
            <w:tcW w:w="830" w:type="pct"/>
          </w:tcPr>
          <w:p w14:paraId="5C875E55" w14:textId="77777777" w:rsidR="00647CD9" w:rsidRPr="00CA21ED" w:rsidRDefault="00647CD9" w:rsidP="00647CD9">
            <w:pPr>
              <w:rPr>
                <w:color w:val="000000"/>
              </w:rPr>
            </w:pPr>
            <w:r w:rsidRPr="00CA21ED">
              <w:rPr>
                <w:color w:val="000000"/>
              </w:rPr>
              <w:t>-</w:t>
            </w:r>
          </w:p>
        </w:tc>
      </w:tr>
      <w:tr w:rsidR="00647CD9" w:rsidRPr="00CA21ED" w14:paraId="7AEDF42D" w14:textId="77777777" w:rsidTr="00647CD9">
        <w:tc>
          <w:tcPr>
            <w:tcW w:w="1027" w:type="pct"/>
          </w:tcPr>
          <w:p w14:paraId="105D70BA" w14:textId="77777777" w:rsidR="00647CD9" w:rsidRPr="00CA21ED" w:rsidRDefault="00647CD9" w:rsidP="00647CD9">
            <w:r w:rsidRPr="00CA21ED">
              <w:t>NT-proBNP RO</w:t>
            </w:r>
          </w:p>
        </w:tc>
        <w:tc>
          <w:tcPr>
            <w:tcW w:w="1306" w:type="pct"/>
          </w:tcPr>
          <w:p w14:paraId="6BBA4A16" w14:textId="2F1D4C7C" w:rsidR="00647CD9" w:rsidRPr="00CA21ED" w:rsidRDefault="00647CD9" w:rsidP="00647CD9">
            <w:pPr>
              <w:rPr>
                <w:rFonts w:cs="Times New Roman"/>
                <w:color w:val="000000"/>
              </w:rPr>
            </w:pPr>
            <w:r w:rsidRPr="00CA21ED">
              <w:t>€15,769,454</w:t>
            </w:r>
          </w:p>
        </w:tc>
        <w:tc>
          <w:tcPr>
            <w:tcW w:w="1040" w:type="pct"/>
          </w:tcPr>
          <w:p w14:paraId="64B928DF" w14:textId="33402BF6" w:rsidR="00647CD9" w:rsidRPr="00CA21ED" w:rsidRDefault="00647CD9" w:rsidP="00647CD9">
            <w:r w:rsidRPr="00CA21ED">
              <w:t>1</w:t>
            </w:r>
            <w:r w:rsidR="006E1E76">
              <w:t>,</w:t>
            </w:r>
            <w:r w:rsidRPr="00CA21ED">
              <w:t>378.56</w:t>
            </w:r>
          </w:p>
        </w:tc>
        <w:tc>
          <w:tcPr>
            <w:tcW w:w="796" w:type="pct"/>
          </w:tcPr>
          <w:p w14:paraId="2E61EF05" w14:textId="6D88AE76" w:rsidR="00647CD9" w:rsidRPr="00CA21ED" w:rsidRDefault="00647CD9" w:rsidP="00647CD9">
            <w:pPr>
              <w:rPr>
                <w:color w:val="000000"/>
              </w:rPr>
            </w:pPr>
            <w:r w:rsidRPr="00CA21ED">
              <w:t>RO dominates</w:t>
            </w:r>
          </w:p>
        </w:tc>
        <w:tc>
          <w:tcPr>
            <w:tcW w:w="830" w:type="pct"/>
          </w:tcPr>
          <w:p w14:paraId="7E1B5DE4" w14:textId="3FE350D0" w:rsidR="00647CD9" w:rsidRPr="00CA21ED" w:rsidRDefault="00647CD9" w:rsidP="00647CD9">
            <w:pPr>
              <w:rPr>
                <w:color w:val="000000"/>
              </w:rPr>
            </w:pPr>
            <w:r w:rsidRPr="00CA21ED">
              <w:rPr>
                <w:rFonts w:cs="Calibri"/>
                <w:color w:val="000000"/>
              </w:rPr>
              <w:t>€</w:t>
            </w:r>
            <w:r w:rsidRPr="00CA21ED">
              <w:t>126,086</w:t>
            </w:r>
          </w:p>
        </w:tc>
      </w:tr>
    </w:tbl>
    <w:p w14:paraId="15BD6866" w14:textId="05856567" w:rsidR="00D935D4" w:rsidRPr="00CA21ED" w:rsidRDefault="006D6B82" w:rsidP="00D935D4">
      <w:pPr>
        <w:rPr>
          <w:b/>
          <w:sz w:val="24"/>
          <w:szCs w:val="24"/>
        </w:rPr>
      </w:pPr>
      <w:r w:rsidRPr="00CA21ED">
        <w:t>ICER, incremental cost-effectiveness ratio; NT-proBNP, N-terminal pro B-type natriuretic peptide; QALY, quality-adjusted life year; RI, rule-in; RO, rule-out.</w:t>
      </w:r>
      <w:r w:rsidR="00D935D4" w:rsidRPr="00CA21ED">
        <w:rPr>
          <w:b/>
        </w:rPr>
        <w:br w:type="page"/>
      </w:r>
    </w:p>
    <w:p w14:paraId="1FABD4A1" w14:textId="77777777" w:rsidR="00BE3037" w:rsidRPr="00CA21ED" w:rsidRDefault="00BE3037" w:rsidP="00AC6F3E">
      <w:pPr>
        <w:sectPr w:rsidR="00BE3037" w:rsidRPr="00CA21ED">
          <w:footerReference w:type="default" r:id="rId19"/>
          <w:footerReference w:type="first" r:id="rId20"/>
          <w:pgSz w:w="12240" w:h="15840"/>
          <w:pgMar w:top="1440" w:right="1440" w:bottom="1440" w:left="1440" w:header="720" w:footer="720" w:gutter="0"/>
          <w:pgNumType w:start="1"/>
          <w:cols w:space="720"/>
          <w:titlePg/>
        </w:sectPr>
      </w:pPr>
    </w:p>
    <w:p w14:paraId="000000BF" w14:textId="5C97C5A4" w:rsidR="00866D36" w:rsidRPr="00CA21ED" w:rsidRDefault="0090684D">
      <w:pPr>
        <w:pStyle w:val="Heading1"/>
      </w:pPr>
      <w:r w:rsidRPr="00CA21ED">
        <w:lastRenderedPageBreak/>
        <w:t>Other s</w:t>
      </w:r>
      <w:r w:rsidR="007B532F" w:rsidRPr="00CA21ED">
        <w:t>cenario analysis results</w:t>
      </w:r>
    </w:p>
    <w:p w14:paraId="000000C0" w14:textId="00604997" w:rsidR="00866D36" w:rsidRPr="00CA21ED" w:rsidRDefault="007B532F">
      <w:bookmarkStart w:id="31" w:name="_heading=h.1ksv4uv" w:colFirst="0" w:colLast="0"/>
      <w:bookmarkEnd w:id="31"/>
      <w:r w:rsidRPr="00CA21ED">
        <w:t xml:space="preserve">Sensitivity and scenario analyses are </w:t>
      </w:r>
      <w:r w:rsidR="0084185A" w:rsidRPr="00CA21ED">
        <w:t>presented</w:t>
      </w:r>
      <w:r w:rsidRPr="00CA21ED">
        <w:t xml:space="preserve"> in </w:t>
      </w:r>
      <w:r w:rsidR="001A5032" w:rsidRPr="00CA21ED">
        <w:fldChar w:fldCharType="begin"/>
      </w:r>
      <w:r w:rsidR="001A5032" w:rsidRPr="00CA21ED">
        <w:instrText xml:space="preserve"> REF _Ref100153492 \h </w:instrText>
      </w:r>
      <w:r w:rsidR="001A5032" w:rsidRPr="00CA21ED">
        <w:fldChar w:fldCharType="separate"/>
      </w:r>
      <w:r w:rsidR="00A47A11" w:rsidRPr="00CA21ED">
        <w:t xml:space="preserve">Table </w:t>
      </w:r>
      <w:r w:rsidR="00A47A11">
        <w:rPr>
          <w:noProof/>
        </w:rPr>
        <w:t>12</w:t>
      </w:r>
      <w:r w:rsidR="001A5032" w:rsidRPr="00CA21ED">
        <w:fldChar w:fldCharType="end"/>
      </w:r>
      <w:r w:rsidR="001A5032" w:rsidRPr="00CA21ED">
        <w:t xml:space="preserve"> </w:t>
      </w:r>
      <w:r w:rsidRPr="00CA21ED">
        <w:t>in terms of NHB. In each scenario analysis, the strategy with the highest NHB is the most cost-effective.</w:t>
      </w:r>
    </w:p>
    <w:p w14:paraId="000000C1" w14:textId="1655B11A" w:rsidR="00866D36" w:rsidRPr="00CA21ED" w:rsidRDefault="00FF7C95" w:rsidP="00FF7C95">
      <w:pPr>
        <w:pStyle w:val="Caption"/>
      </w:pPr>
      <w:bookmarkStart w:id="32" w:name="_heading=h.44sinio" w:colFirst="0" w:colLast="0"/>
      <w:bookmarkStart w:id="33" w:name="_Ref100153492"/>
      <w:bookmarkEnd w:id="32"/>
      <w:r w:rsidRPr="00CA21ED">
        <w:t xml:space="preserve">Table </w:t>
      </w:r>
      <w:fldSimple w:instr=" SEQ Table \* ARABIC ">
        <w:r w:rsidR="00A47A11">
          <w:rPr>
            <w:noProof/>
          </w:rPr>
          <w:t>12</w:t>
        </w:r>
      </w:fldSimple>
      <w:bookmarkEnd w:id="33"/>
      <w:r w:rsidRPr="00CA21ED">
        <w:t xml:space="preserve">: NHB for the three strategies in </w:t>
      </w:r>
      <w:r w:rsidR="0084185A" w:rsidRPr="00CA21ED">
        <w:t>scenario analysis</w:t>
      </w:r>
    </w:p>
    <w:tbl>
      <w:tblPr>
        <w:tblStyle w:val="a5"/>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683"/>
        <w:gridCol w:w="1891"/>
        <w:gridCol w:w="2221"/>
        <w:gridCol w:w="1701"/>
      </w:tblGrid>
      <w:tr w:rsidR="00866D36" w:rsidRPr="00CA21ED" w14:paraId="7CD54CF1" w14:textId="77777777" w:rsidTr="00B52FCA">
        <w:trPr>
          <w:cantSplit/>
          <w:trHeight w:val="300"/>
          <w:tblHeader/>
        </w:trPr>
        <w:tc>
          <w:tcPr>
            <w:tcW w:w="7223" w:type="dxa"/>
            <w:gridSpan w:val="2"/>
            <w:shd w:val="clear" w:color="auto" w:fill="auto"/>
          </w:tcPr>
          <w:p w14:paraId="000000C2" w14:textId="77777777" w:rsidR="00866D36" w:rsidRPr="00CA21ED" w:rsidRDefault="007B532F">
            <w:r w:rsidRPr="00CA21ED">
              <w:t>Scenario</w:t>
            </w:r>
          </w:p>
        </w:tc>
        <w:tc>
          <w:tcPr>
            <w:tcW w:w="1891" w:type="dxa"/>
            <w:shd w:val="clear" w:color="auto" w:fill="auto"/>
          </w:tcPr>
          <w:p w14:paraId="000000C4" w14:textId="77777777" w:rsidR="00866D36" w:rsidRPr="00CA21ED" w:rsidRDefault="007B532F" w:rsidP="00671547">
            <w:pPr>
              <w:rPr>
                <w:rFonts w:asciiTheme="minorHAnsi" w:hAnsiTheme="minorHAnsi"/>
              </w:rPr>
            </w:pPr>
            <w:r w:rsidRPr="00CA21ED">
              <w:rPr>
                <w:rFonts w:asciiTheme="minorHAnsi" w:hAnsiTheme="minorHAnsi"/>
              </w:rPr>
              <w:t>NT-proBNP RI/RO</w:t>
            </w:r>
          </w:p>
        </w:tc>
        <w:tc>
          <w:tcPr>
            <w:tcW w:w="2221" w:type="dxa"/>
            <w:shd w:val="clear" w:color="auto" w:fill="auto"/>
          </w:tcPr>
          <w:p w14:paraId="000000C5" w14:textId="77777777" w:rsidR="00866D36" w:rsidRPr="00CA21ED" w:rsidRDefault="007B532F" w:rsidP="00671547">
            <w:pPr>
              <w:rPr>
                <w:rFonts w:asciiTheme="minorHAnsi" w:hAnsiTheme="minorHAnsi"/>
              </w:rPr>
            </w:pPr>
            <w:r w:rsidRPr="00CA21ED">
              <w:rPr>
                <w:rFonts w:asciiTheme="minorHAnsi" w:hAnsiTheme="minorHAnsi"/>
              </w:rPr>
              <w:t>Clinical decision alone</w:t>
            </w:r>
          </w:p>
        </w:tc>
        <w:tc>
          <w:tcPr>
            <w:tcW w:w="1701" w:type="dxa"/>
            <w:shd w:val="clear" w:color="auto" w:fill="auto"/>
          </w:tcPr>
          <w:p w14:paraId="000000C6" w14:textId="77777777" w:rsidR="00866D36" w:rsidRPr="00CA21ED" w:rsidRDefault="007B532F" w:rsidP="00671547">
            <w:pPr>
              <w:rPr>
                <w:rFonts w:asciiTheme="minorHAnsi" w:hAnsiTheme="minorHAnsi"/>
              </w:rPr>
            </w:pPr>
            <w:r w:rsidRPr="00CA21ED">
              <w:rPr>
                <w:rFonts w:asciiTheme="minorHAnsi" w:hAnsiTheme="minorHAnsi"/>
              </w:rPr>
              <w:t>NT-proBNP RO</w:t>
            </w:r>
          </w:p>
        </w:tc>
      </w:tr>
      <w:tr w:rsidR="00C668C2" w:rsidRPr="00CA21ED" w14:paraId="1DF5C42C" w14:textId="77777777" w:rsidTr="00B52FCA">
        <w:trPr>
          <w:cantSplit/>
          <w:trHeight w:val="375"/>
        </w:trPr>
        <w:tc>
          <w:tcPr>
            <w:tcW w:w="3540" w:type="dxa"/>
            <w:vMerge w:val="restart"/>
            <w:shd w:val="clear" w:color="auto" w:fill="auto"/>
          </w:tcPr>
          <w:p w14:paraId="000000C7" w14:textId="77777777" w:rsidR="00C668C2" w:rsidRPr="00CA21ED" w:rsidRDefault="00C668C2" w:rsidP="00C668C2">
            <w:r w:rsidRPr="00CA21ED">
              <w:t>Sensitivity/specificity of clinical decision alone</w:t>
            </w:r>
          </w:p>
        </w:tc>
        <w:tc>
          <w:tcPr>
            <w:tcW w:w="3683" w:type="dxa"/>
            <w:shd w:val="clear" w:color="auto" w:fill="auto"/>
          </w:tcPr>
          <w:p w14:paraId="000000C8" w14:textId="77777777" w:rsidR="00C668C2" w:rsidRPr="00CA21ED" w:rsidRDefault="00C668C2" w:rsidP="00C668C2">
            <w:pPr>
              <w:rPr>
                <w:b/>
              </w:rPr>
            </w:pPr>
            <w:r w:rsidRPr="00CA21ED">
              <w:rPr>
                <w:b/>
              </w:rPr>
              <w:t>IMPROVE (base case)</w:t>
            </w:r>
          </w:p>
        </w:tc>
        <w:tc>
          <w:tcPr>
            <w:tcW w:w="1891" w:type="dxa"/>
            <w:shd w:val="clear" w:color="auto" w:fill="C6E0B4"/>
            <w:vAlign w:val="bottom"/>
          </w:tcPr>
          <w:p w14:paraId="000000C9" w14:textId="7A860A00"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CA" w14:textId="7B5397D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0CB" w14:textId="14C51FA7"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787380F5" w14:textId="77777777" w:rsidTr="00B52FCA">
        <w:trPr>
          <w:cantSplit/>
          <w:trHeight w:val="87"/>
        </w:trPr>
        <w:tc>
          <w:tcPr>
            <w:tcW w:w="3540" w:type="dxa"/>
            <w:vMerge/>
            <w:shd w:val="clear" w:color="auto" w:fill="auto"/>
          </w:tcPr>
          <w:p w14:paraId="000000CC"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0CD" w14:textId="77777777" w:rsidR="00C668C2" w:rsidRPr="00CA21ED" w:rsidRDefault="00C668C2" w:rsidP="00C668C2">
            <w:r w:rsidRPr="00CA21ED">
              <w:t>NICE/ICON</w:t>
            </w:r>
          </w:p>
        </w:tc>
        <w:tc>
          <w:tcPr>
            <w:tcW w:w="1891" w:type="dxa"/>
            <w:shd w:val="clear" w:color="auto" w:fill="C6E0B4"/>
            <w:vAlign w:val="bottom"/>
          </w:tcPr>
          <w:p w14:paraId="000000CE" w14:textId="0B7B0A0E"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CF" w14:textId="6FED1152" w:rsidR="00C668C2" w:rsidRPr="00CA21ED" w:rsidRDefault="00C668C2" w:rsidP="00C668C2">
            <w:pPr>
              <w:rPr>
                <w:rFonts w:asciiTheme="minorHAnsi" w:hAnsiTheme="minorHAnsi"/>
              </w:rPr>
            </w:pPr>
            <w:r w:rsidRPr="00CA21ED">
              <w:rPr>
                <w:rFonts w:cs="Calibri"/>
                <w:color w:val="000000"/>
                <w:sz w:val="20"/>
                <w:szCs w:val="20"/>
              </w:rPr>
              <w:t>1029.91</w:t>
            </w:r>
          </w:p>
        </w:tc>
        <w:tc>
          <w:tcPr>
            <w:tcW w:w="1701" w:type="dxa"/>
            <w:shd w:val="clear" w:color="auto" w:fill="FFF2CC"/>
            <w:vAlign w:val="bottom"/>
          </w:tcPr>
          <w:p w14:paraId="000000D0" w14:textId="484132F5"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022720F5" w14:textId="77777777" w:rsidTr="00B52FCA">
        <w:trPr>
          <w:cantSplit/>
          <w:trHeight w:val="288"/>
        </w:trPr>
        <w:tc>
          <w:tcPr>
            <w:tcW w:w="3540" w:type="dxa"/>
            <w:vMerge w:val="restart"/>
            <w:shd w:val="clear" w:color="auto" w:fill="auto"/>
          </w:tcPr>
          <w:p w14:paraId="000000D1" w14:textId="77777777" w:rsidR="00C668C2" w:rsidRPr="00CA21ED" w:rsidRDefault="00C668C2" w:rsidP="00C668C2">
            <w:r w:rsidRPr="00CA21ED">
              <w:t>Admission probabilities for RO</w:t>
            </w:r>
          </w:p>
        </w:tc>
        <w:tc>
          <w:tcPr>
            <w:tcW w:w="3683" w:type="dxa"/>
            <w:shd w:val="clear" w:color="auto" w:fill="auto"/>
          </w:tcPr>
          <w:p w14:paraId="000000D2" w14:textId="77777777" w:rsidR="00C668C2" w:rsidRPr="00CA21ED" w:rsidRDefault="00C668C2" w:rsidP="00C668C2">
            <w:pPr>
              <w:rPr>
                <w:b/>
              </w:rPr>
            </w:pPr>
            <w:r w:rsidRPr="00CA21ED">
              <w:rPr>
                <w:b/>
              </w:rPr>
              <w:t>Composite inclusive of grey zone (base case)</w:t>
            </w:r>
          </w:p>
        </w:tc>
        <w:tc>
          <w:tcPr>
            <w:tcW w:w="1891" w:type="dxa"/>
            <w:shd w:val="clear" w:color="auto" w:fill="C6E0B4"/>
            <w:vAlign w:val="bottom"/>
          </w:tcPr>
          <w:p w14:paraId="000000D3" w14:textId="7FFCEEA9"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D4" w14:textId="7604A96D"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0D5" w14:textId="7FDF47CD"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3228047D" w14:textId="77777777" w:rsidTr="00B52FCA">
        <w:trPr>
          <w:cantSplit/>
          <w:trHeight w:val="288"/>
        </w:trPr>
        <w:tc>
          <w:tcPr>
            <w:tcW w:w="3540" w:type="dxa"/>
            <w:vMerge/>
            <w:shd w:val="clear" w:color="auto" w:fill="auto"/>
          </w:tcPr>
          <w:p w14:paraId="000000D6"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0D7" w14:textId="3D6F878A" w:rsidR="00C668C2" w:rsidRPr="00CA21ED" w:rsidRDefault="00C668C2" w:rsidP="00C668C2">
            <w:r w:rsidRPr="00CA21ED">
              <w:t>Aligned with non-grey zone RI/RO values</w:t>
            </w:r>
          </w:p>
        </w:tc>
        <w:tc>
          <w:tcPr>
            <w:tcW w:w="1891" w:type="dxa"/>
            <w:shd w:val="clear" w:color="auto" w:fill="C5E0B3" w:themeFill="accent6" w:themeFillTint="66"/>
            <w:vAlign w:val="bottom"/>
          </w:tcPr>
          <w:p w14:paraId="000000D8" w14:textId="55D57FC7"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D9" w14:textId="17B40C87"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themeFill="accent4" w:themeFillTint="33"/>
            <w:vAlign w:val="bottom"/>
          </w:tcPr>
          <w:p w14:paraId="000000DA" w14:textId="5AB5332C" w:rsidR="00C668C2" w:rsidRPr="00CA21ED" w:rsidRDefault="00C668C2" w:rsidP="00C668C2">
            <w:pPr>
              <w:rPr>
                <w:rFonts w:asciiTheme="minorHAnsi" w:hAnsiTheme="minorHAnsi"/>
              </w:rPr>
            </w:pPr>
            <w:r w:rsidRPr="00CA21ED">
              <w:rPr>
                <w:rFonts w:cs="Calibri"/>
                <w:color w:val="000000"/>
                <w:sz w:val="20"/>
                <w:szCs w:val="20"/>
              </w:rPr>
              <w:t>1050.67</w:t>
            </w:r>
          </w:p>
        </w:tc>
      </w:tr>
      <w:tr w:rsidR="00C668C2" w:rsidRPr="00CA21ED" w14:paraId="4440ECB4" w14:textId="77777777" w:rsidTr="00B52FCA">
        <w:trPr>
          <w:cantSplit/>
          <w:trHeight w:val="288"/>
        </w:trPr>
        <w:tc>
          <w:tcPr>
            <w:tcW w:w="3540" w:type="dxa"/>
            <w:vMerge w:val="restart"/>
            <w:shd w:val="clear" w:color="auto" w:fill="auto"/>
          </w:tcPr>
          <w:p w14:paraId="000000DB" w14:textId="77777777" w:rsidR="00C668C2" w:rsidRPr="00CA21ED" w:rsidRDefault="00C668C2" w:rsidP="00C668C2">
            <w:r w:rsidRPr="00CA21ED">
              <w:t>Mortality in the decision tree for non-admitted patients</w:t>
            </w:r>
          </w:p>
        </w:tc>
        <w:tc>
          <w:tcPr>
            <w:tcW w:w="3683" w:type="dxa"/>
            <w:shd w:val="clear" w:color="auto" w:fill="auto"/>
          </w:tcPr>
          <w:p w14:paraId="000000DC" w14:textId="77777777" w:rsidR="00C668C2" w:rsidRPr="00CA21ED" w:rsidRDefault="00C668C2" w:rsidP="00C668C2">
            <w:pPr>
              <w:rPr>
                <w:b/>
              </w:rPr>
            </w:pPr>
            <w:r w:rsidRPr="00CA21ED">
              <w:rPr>
                <w:b/>
              </w:rPr>
              <w:t>Aligned with inpatient mortality for admitted patients (base case)</w:t>
            </w:r>
          </w:p>
        </w:tc>
        <w:tc>
          <w:tcPr>
            <w:tcW w:w="1891" w:type="dxa"/>
            <w:shd w:val="clear" w:color="auto" w:fill="C6E0B4"/>
            <w:vAlign w:val="bottom"/>
          </w:tcPr>
          <w:p w14:paraId="000000DD" w14:textId="5BDC146B"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DE" w14:textId="444EEAF6"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0DF" w14:textId="59A9A50B"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09C59634" w14:textId="77777777" w:rsidTr="00B52FCA">
        <w:trPr>
          <w:cantSplit/>
          <w:trHeight w:val="87"/>
        </w:trPr>
        <w:tc>
          <w:tcPr>
            <w:tcW w:w="3540" w:type="dxa"/>
            <w:vMerge/>
            <w:shd w:val="clear" w:color="auto" w:fill="auto"/>
          </w:tcPr>
          <w:p w14:paraId="000000E0"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0E1" w14:textId="77777777" w:rsidR="00C668C2" w:rsidRPr="00CA21ED" w:rsidRDefault="00C668C2" w:rsidP="00C668C2">
            <w:r w:rsidRPr="00CA21ED">
              <w:t>No mortality</w:t>
            </w:r>
          </w:p>
        </w:tc>
        <w:tc>
          <w:tcPr>
            <w:tcW w:w="1891" w:type="dxa"/>
            <w:shd w:val="clear" w:color="auto" w:fill="C6E0B4"/>
            <w:vAlign w:val="bottom"/>
          </w:tcPr>
          <w:p w14:paraId="000000E2" w14:textId="580EFF3D" w:rsidR="00C668C2" w:rsidRPr="00CA21ED" w:rsidRDefault="00C668C2" w:rsidP="00C668C2">
            <w:pPr>
              <w:rPr>
                <w:rFonts w:asciiTheme="minorHAnsi" w:hAnsiTheme="minorHAnsi"/>
              </w:rPr>
            </w:pPr>
            <w:r w:rsidRPr="00CA21ED">
              <w:rPr>
                <w:rFonts w:cs="Calibri"/>
                <w:color w:val="000000"/>
                <w:sz w:val="20"/>
                <w:szCs w:val="20"/>
              </w:rPr>
              <w:t>1060.06</w:t>
            </w:r>
          </w:p>
        </w:tc>
        <w:tc>
          <w:tcPr>
            <w:tcW w:w="2221" w:type="dxa"/>
            <w:shd w:val="clear" w:color="auto" w:fill="FF9999"/>
            <w:vAlign w:val="bottom"/>
          </w:tcPr>
          <w:p w14:paraId="000000E3" w14:textId="2E1A7F6A" w:rsidR="00C668C2" w:rsidRPr="00CA21ED" w:rsidRDefault="00C668C2" w:rsidP="00C668C2">
            <w:pPr>
              <w:rPr>
                <w:rFonts w:asciiTheme="minorHAnsi" w:hAnsiTheme="minorHAnsi"/>
              </w:rPr>
            </w:pPr>
            <w:r w:rsidRPr="00CA21ED">
              <w:rPr>
                <w:rFonts w:cs="Calibri"/>
                <w:color w:val="000000"/>
                <w:sz w:val="20"/>
                <w:szCs w:val="20"/>
              </w:rPr>
              <w:t>1042.16</w:t>
            </w:r>
          </w:p>
        </w:tc>
        <w:tc>
          <w:tcPr>
            <w:tcW w:w="1701" w:type="dxa"/>
            <w:shd w:val="clear" w:color="auto" w:fill="FFF2CC"/>
            <w:vAlign w:val="bottom"/>
          </w:tcPr>
          <w:p w14:paraId="000000E4" w14:textId="380F5887" w:rsidR="00C668C2" w:rsidRPr="00CA21ED" w:rsidRDefault="00C668C2" w:rsidP="00C668C2">
            <w:pPr>
              <w:rPr>
                <w:rFonts w:asciiTheme="minorHAnsi" w:hAnsiTheme="minorHAnsi"/>
              </w:rPr>
            </w:pPr>
            <w:r w:rsidRPr="00CA21ED">
              <w:rPr>
                <w:rFonts w:cs="Calibri"/>
                <w:color w:val="000000"/>
                <w:sz w:val="20"/>
                <w:szCs w:val="20"/>
              </w:rPr>
              <w:t>1052.11</w:t>
            </w:r>
          </w:p>
        </w:tc>
      </w:tr>
      <w:tr w:rsidR="00C668C2" w:rsidRPr="00CA21ED" w14:paraId="7C1FF013" w14:textId="77777777" w:rsidTr="00B52FCA">
        <w:trPr>
          <w:cantSplit/>
          <w:trHeight w:val="87"/>
        </w:trPr>
        <w:tc>
          <w:tcPr>
            <w:tcW w:w="3540" w:type="dxa"/>
            <w:vMerge w:val="restart"/>
            <w:shd w:val="clear" w:color="auto" w:fill="auto"/>
          </w:tcPr>
          <w:p w14:paraId="000000E5" w14:textId="23CDA807" w:rsidR="00C668C2" w:rsidRPr="00CA21ED" w:rsidRDefault="00C668C2" w:rsidP="00C668C2">
            <w:r w:rsidRPr="00CA21ED">
              <w:lastRenderedPageBreak/>
              <w:t>Admission probabilities for clinical decision alone and RI/RO strategy non-grey zone NT-proBNP</w:t>
            </w:r>
          </w:p>
        </w:tc>
        <w:tc>
          <w:tcPr>
            <w:tcW w:w="3683" w:type="dxa"/>
            <w:shd w:val="clear" w:color="auto" w:fill="auto"/>
          </w:tcPr>
          <w:p w14:paraId="000000E6" w14:textId="66412BA3" w:rsidR="00C668C2" w:rsidRPr="00CA21ED" w:rsidRDefault="00C668C2" w:rsidP="00C668C2">
            <w:pPr>
              <w:rPr>
                <w:b/>
              </w:rPr>
            </w:pPr>
            <w:r w:rsidRPr="00CA21ED">
              <w:rPr>
                <w:b/>
              </w:rPr>
              <w:t>ICON-RELOADED economic model (base case)</w:t>
            </w:r>
          </w:p>
        </w:tc>
        <w:tc>
          <w:tcPr>
            <w:tcW w:w="1891" w:type="dxa"/>
            <w:shd w:val="clear" w:color="auto" w:fill="C6E0B4"/>
            <w:vAlign w:val="bottom"/>
          </w:tcPr>
          <w:p w14:paraId="000000E7" w14:textId="75E1BC7B"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E8" w14:textId="165E9199"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0E9" w14:textId="545842E9"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704A0907" w14:textId="77777777" w:rsidTr="00B52FCA">
        <w:trPr>
          <w:cantSplit/>
          <w:trHeight w:val="288"/>
        </w:trPr>
        <w:tc>
          <w:tcPr>
            <w:tcW w:w="3540" w:type="dxa"/>
            <w:vMerge/>
            <w:shd w:val="clear" w:color="auto" w:fill="auto"/>
          </w:tcPr>
          <w:p w14:paraId="000000EA"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0EB" w14:textId="77777777" w:rsidR="00C668C2" w:rsidRPr="00CA21ED" w:rsidRDefault="00C668C2" w:rsidP="00C668C2">
            <w:r w:rsidRPr="00CA21ED">
              <w:t xml:space="preserve">Siebert 2006 </w:t>
            </w:r>
          </w:p>
        </w:tc>
        <w:tc>
          <w:tcPr>
            <w:tcW w:w="1891" w:type="dxa"/>
            <w:shd w:val="clear" w:color="auto" w:fill="C6E0B4"/>
            <w:vAlign w:val="bottom"/>
          </w:tcPr>
          <w:p w14:paraId="000000EC" w14:textId="5CFAF84A" w:rsidR="00C668C2" w:rsidRPr="00CA21ED" w:rsidRDefault="00C668C2" w:rsidP="00C668C2">
            <w:pPr>
              <w:rPr>
                <w:rFonts w:asciiTheme="minorHAnsi" w:hAnsiTheme="minorHAnsi"/>
              </w:rPr>
            </w:pPr>
            <w:r w:rsidRPr="00CA21ED">
              <w:rPr>
                <w:rFonts w:cs="Calibri"/>
                <w:color w:val="000000"/>
                <w:sz w:val="20"/>
                <w:szCs w:val="20"/>
              </w:rPr>
              <w:t>1043.78</w:t>
            </w:r>
          </w:p>
        </w:tc>
        <w:tc>
          <w:tcPr>
            <w:tcW w:w="2221" w:type="dxa"/>
            <w:shd w:val="clear" w:color="auto" w:fill="FF9999"/>
            <w:vAlign w:val="bottom"/>
          </w:tcPr>
          <w:p w14:paraId="000000ED" w14:textId="52157916" w:rsidR="00C668C2" w:rsidRPr="00CA21ED" w:rsidRDefault="00C668C2" w:rsidP="00C668C2">
            <w:pPr>
              <w:rPr>
                <w:rFonts w:asciiTheme="minorHAnsi" w:hAnsiTheme="minorHAnsi"/>
              </w:rPr>
            </w:pPr>
            <w:r w:rsidRPr="00CA21ED">
              <w:rPr>
                <w:rFonts w:cs="Calibri"/>
                <w:color w:val="000000"/>
                <w:sz w:val="20"/>
                <w:szCs w:val="20"/>
              </w:rPr>
              <w:t>1019.28</w:t>
            </w:r>
          </w:p>
        </w:tc>
        <w:tc>
          <w:tcPr>
            <w:tcW w:w="1701" w:type="dxa"/>
            <w:shd w:val="clear" w:color="auto" w:fill="FFF2CC"/>
            <w:vAlign w:val="bottom"/>
          </w:tcPr>
          <w:p w14:paraId="000000EE" w14:textId="6A8DE57A" w:rsidR="00C668C2" w:rsidRPr="00CA21ED" w:rsidRDefault="00C668C2" w:rsidP="00C668C2">
            <w:pPr>
              <w:rPr>
                <w:rFonts w:asciiTheme="minorHAnsi" w:hAnsiTheme="minorHAnsi"/>
              </w:rPr>
            </w:pPr>
            <w:r w:rsidRPr="00CA21ED">
              <w:rPr>
                <w:rFonts w:cs="Calibri"/>
                <w:color w:val="000000"/>
                <w:sz w:val="20"/>
                <w:szCs w:val="20"/>
              </w:rPr>
              <w:t>1038.67</w:t>
            </w:r>
          </w:p>
        </w:tc>
      </w:tr>
      <w:tr w:rsidR="00C668C2" w:rsidRPr="00CA21ED" w14:paraId="634942C2" w14:textId="77777777" w:rsidTr="00B52FCA">
        <w:trPr>
          <w:cantSplit/>
          <w:trHeight w:val="288"/>
        </w:trPr>
        <w:tc>
          <w:tcPr>
            <w:tcW w:w="3540" w:type="dxa"/>
            <w:vMerge w:val="restart"/>
            <w:shd w:val="clear" w:color="auto" w:fill="auto"/>
          </w:tcPr>
          <w:p w14:paraId="000000EF" w14:textId="77777777" w:rsidR="00C668C2" w:rsidRPr="00CA21ED" w:rsidRDefault="00C668C2" w:rsidP="00C668C2">
            <w:r w:rsidRPr="00CA21ED">
              <w:t>Cardiology follow-up for FPs in the longer-term model</w:t>
            </w:r>
          </w:p>
        </w:tc>
        <w:tc>
          <w:tcPr>
            <w:tcW w:w="3683" w:type="dxa"/>
            <w:shd w:val="clear" w:color="auto" w:fill="auto"/>
          </w:tcPr>
          <w:p w14:paraId="000000F0" w14:textId="77777777" w:rsidR="00C668C2" w:rsidRPr="00CA21ED" w:rsidRDefault="00C668C2" w:rsidP="00C668C2">
            <w:pPr>
              <w:rPr>
                <w:b/>
              </w:rPr>
            </w:pPr>
            <w:r w:rsidRPr="00CA21ED">
              <w:rPr>
                <w:b/>
              </w:rPr>
              <w:t>Included (base case)</w:t>
            </w:r>
          </w:p>
        </w:tc>
        <w:tc>
          <w:tcPr>
            <w:tcW w:w="1891" w:type="dxa"/>
            <w:shd w:val="clear" w:color="auto" w:fill="C6E0B4"/>
            <w:vAlign w:val="bottom"/>
          </w:tcPr>
          <w:p w14:paraId="000000F1" w14:textId="6B2C79AB"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F2" w14:textId="75720ADC"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0F3" w14:textId="2AF3B5C9"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0C92F801" w14:textId="77777777" w:rsidTr="00B52FCA">
        <w:trPr>
          <w:cantSplit/>
          <w:trHeight w:val="300"/>
        </w:trPr>
        <w:tc>
          <w:tcPr>
            <w:tcW w:w="3540" w:type="dxa"/>
            <w:vMerge/>
            <w:shd w:val="clear" w:color="auto" w:fill="auto"/>
          </w:tcPr>
          <w:p w14:paraId="000000F4"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0F5" w14:textId="77777777" w:rsidR="00C668C2" w:rsidRPr="00CA21ED" w:rsidRDefault="00C668C2" w:rsidP="00C668C2">
            <w:r w:rsidRPr="00CA21ED">
              <w:t>Excluded</w:t>
            </w:r>
          </w:p>
        </w:tc>
        <w:tc>
          <w:tcPr>
            <w:tcW w:w="1891" w:type="dxa"/>
            <w:shd w:val="clear" w:color="auto" w:fill="C6E0B4"/>
            <w:vAlign w:val="bottom"/>
          </w:tcPr>
          <w:p w14:paraId="000000F6" w14:textId="095DB813" w:rsidR="00C668C2" w:rsidRPr="00CA21ED" w:rsidRDefault="00C668C2" w:rsidP="00C668C2">
            <w:pPr>
              <w:rPr>
                <w:rFonts w:asciiTheme="minorHAnsi" w:hAnsiTheme="minorHAnsi"/>
              </w:rPr>
            </w:pPr>
            <w:r w:rsidRPr="00CA21ED">
              <w:rPr>
                <w:rFonts w:cs="Calibri"/>
                <w:color w:val="000000"/>
                <w:sz w:val="20"/>
                <w:szCs w:val="20"/>
              </w:rPr>
              <w:t>1051.11</w:t>
            </w:r>
          </w:p>
        </w:tc>
        <w:tc>
          <w:tcPr>
            <w:tcW w:w="2221" w:type="dxa"/>
            <w:shd w:val="clear" w:color="auto" w:fill="FF9999"/>
            <w:vAlign w:val="bottom"/>
          </w:tcPr>
          <w:p w14:paraId="000000F7" w14:textId="12D404F5" w:rsidR="00C668C2" w:rsidRPr="00CA21ED" w:rsidRDefault="00C668C2" w:rsidP="00C668C2">
            <w:pPr>
              <w:rPr>
                <w:rFonts w:asciiTheme="minorHAnsi" w:hAnsiTheme="minorHAnsi"/>
              </w:rPr>
            </w:pPr>
            <w:r w:rsidRPr="00CA21ED">
              <w:rPr>
                <w:rFonts w:cs="Calibri"/>
                <w:color w:val="000000"/>
                <w:sz w:val="20"/>
                <w:szCs w:val="20"/>
              </w:rPr>
              <w:t>1029.83</w:t>
            </w:r>
          </w:p>
        </w:tc>
        <w:tc>
          <w:tcPr>
            <w:tcW w:w="1701" w:type="dxa"/>
            <w:shd w:val="clear" w:color="auto" w:fill="FFF2CC"/>
            <w:vAlign w:val="bottom"/>
          </w:tcPr>
          <w:p w14:paraId="000000F8" w14:textId="1B9BF8FB" w:rsidR="00C668C2" w:rsidRPr="00CA21ED" w:rsidRDefault="00C668C2" w:rsidP="00C668C2">
            <w:pPr>
              <w:rPr>
                <w:rFonts w:asciiTheme="minorHAnsi" w:hAnsiTheme="minorHAnsi"/>
              </w:rPr>
            </w:pPr>
            <w:r w:rsidRPr="00CA21ED">
              <w:rPr>
                <w:rFonts w:cs="Calibri"/>
                <w:color w:val="000000"/>
                <w:sz w:val="20"/>
                <w:szCs w:val="20"/>
              </w:rPr>
              <w:t>1043.94</w:t>
            </w:r>
          </w:p>
        </w:tc>
      </w:tr>
      <w:tr w:rsidR="00C668C2" w:rsidRPr="00CA21ED" w14:paraId="7D40E493" w14:textId="77777777" w:rsidTr="00B52FCA">
        <w:trPr>
          <w:cantSplit/>
          <w:trHeight w:val="300"/>
        </w:trPr>
        <w:tc>
          <w:tcPr>
            <w:tcW w:w="3540" w:type="dxa"/>
            <w:vMerge w:val="restart"/>
            <w:shd w:val="clear" w:color="auto" w:fill="auto"/>
          </w:tcPr>
          <w:p w14:paraId="000000F9" w14:textId="77777777" w:rsidR="00C668C2" w:rsidRPr="00CA21ED" w:rsidRDefault="00C668C2" w:rsidP="00C668C2">
            <w:r w:rsidRPr="00CA21ED">
              <w:t>Prevalence of AHF</w:t>
            </w:r>
          </w:p>
        </w:tc>
        <w:tc>
          <w:tcPr>
            <w:tcW w:w="3683" w:type="dxa"/>
            <w:shd w:val="clear" w:color="auto" w:fill="auto"/>
          </w:tcPr>
          <w:p w14:paraId="000000FA" w14:textId="77777777" w:rsidR="00C668C2" w:rsidRPr="00CA21ED" w:rsidRDefault="00C668C2" w:rsidP="00C668C2">
            <w:pPr>
              <w:rPr>
                <w:b/>
              </w:rPr>
            </w:pPr>
            <w:r w:rsidRPr="00CA21ED">
              <w:rPr>
                <w:b/>
              </w:rPr>
              <w:t>Meta-analysis (base case)</w:t>
            </w:r>
          </w:p>
        </w:tc>
        <w:tc>
          <w:tcPr>
            <w:tcW w:w="1891" w:type="dxa"/>
            <w:shd w:val="clear" w:color="auto" w:fill="C6E0B4"/>
            <w:vAlign w:val="bottom"/>
          </w:tcPr>
          <w:p w14:paraId="000000FB" w14:textId="7EA663BD"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0FC" w14:textId="3F459E8C"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0FD" w14:textId="725549E5"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3D8DCDAB" w14:textId="77777777" w:rsidTr="00B52FCA">
        <w:trPr>
          <w:cantSplit/>
          <w:trHeight w:val="288"/>
        </w:trPr>
        <w:tc>
          <w:tcPr>
            <w:tcW w:w="3540" w:type="dxa"/>
            <w:vMerge/>
            <w:shd w:val="clear" w:color="auto" w:fill="auto"/>
          </w:tcPr>
          <w:p w14:paraId="000000FE"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0FF" w14:textId="77777777" w:rsidR="00C668C2" w:rsidRPr="00CA21ED" w:rsidRDefault="00C668C2" w:rsidP="00C668C2">
            <w:r w:rsidRPr="00CA21ED">
              <w:t>BNP study</w:t>
            </w:r>
          </w:p>
        </w:tc>
        <w:tc>
          <w:tcPr>
            <w:tcW w:w="1891" w:type="dxa"/>
            <w:shd w:val="clear" w:color="auto" w:fill="C6E0B4"/>
            <w:vAlign w:val="bottom"/>
          </w:tcPr>
          <w:p w14:paraId="00000100" w14:textId="4EC22AE2" w:rsidR="00C668C2" w:rsidRPr="00CA21ED" w:rsidRDefault="00C668C2" w:rsidP="00C668C2">
            <w:pPr>
              <w:rPr>
                <w:rFonts w:asciiTheme="minorHAnsi" w:hAnsiTheme="minorHAnsi"/>
              </w:rPr>
            </w:pPr>
            <w:r w:rsidRPr="00CA21ED">
              <w:rPr>
                <w:rFonts w:cs="Calibri"/>
                <w:color w:val="000000"/>
                <w:sz w:val="20"/>
                <w:szCs w:val="20"/>
              </w:rPr>
              <w:t>1146.00</w:t>
            </w:r>
          </w:p>
        </w:tc>
        <w:tc>
          <w:tcPr>
            <w:tcW w:w="2221" w:type="dxa"/>
            <w:shd w:val="clear" w:color="auto" w:fill="FF9999"/>
            <w:vAlign w:val="bottom"/>
          </w:tcPr>
          <w:p w14:paraId="00000101" w14:textId="725206FE" w:rsidR="00C668C2" w:rsidRPr="00CA21ED" w:rsidRDefault="00C668C2" w:rsidP="00C668C2">
            <w:pPr>
              <w:rPr>
                <w:rFonts w:asciiTheme="minorHAnsi" w:hAnsiTheme="minorHAnsi"/>
              </w:rPr>
            </w:pPr>
            <w:r w:rsidRPr="00CA21ED">
              <w:rPr>
                <w:rFonts w:cs="Calibri"/>
                <w:color w:val="000000"/>
                <w:sz w:val="20"/>
                <w:szCs w:val="20"/>
              </w:rPr>
              <w:t>1123.42</w:t>
            </w:r>
          </w:p>
        </w:tc>
        <w:tc>
          <w:tcPr>
            <w:tcW w:w="1701" w:type="dxa"/>
            <w:shd w:val="clear" w:color="auto" w:fill="FFF2CC"/>
            <w:vAlign w:val="bottom"/>
          </w:tcPr>
          <w:p w14:paraId="00000102" w14:textId="5A373335" w:rsidR="00C668C2" w:rsidRPr="00CA21ED" w:rsidRDefault="00C668C2" w:rsidP="00C668C2">
            <w:pPr>
              <w:rPr>
                <w:rFonts w:asciiTheme="minorHAnsi" w:hAnsiTheme="minorHAnsi"/>
              </w:rPr>
            </w:pPr>
            <w:r w:rsidRPr="00CA21ED">
              <w:rPr>
                <w:rFonts w:cs="Calibri"/>
                <w:color w:val="000000"/>
                <w:sz w:val="20"/>
                <w:szCs w:val="20"/>
              </w:rPr>
              <w:t>1139.60</w:t>
            </w:r>
          </w:p>
        </w:tc>
      </w:tr>
      <w:tr w:rsidR="00C668C2" w:rsidRPr="00CA21ED" w14:paraId="0417F31D" w14:textId="77777777" w:rsidTr="00B52FCA">
        <w:trPr>
          <w:cantSplit/>
          <w:trHeight w:val="277"/>
        </w:trPr>
        <w:tc>
          <w:tcPr>
            <w:tcW w:w="3540" w:type="dxa"/>
            <w:vMerge/>
            <w:shd w:val="clear" w:color="auto" w:fill="auto"/>
          </w:tcPr>
          <w:p w14:paraId="00000103"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04" w14:textId="77777777" w:rsidR="00C668C2" w:rsidRPr="00CA21ED" w:rsidRDefault="00C668C2" w:rsidP="00C668C2">
            <w:r w:rsidRPr="00CA21ED">
              <w:t>ICON-RELOADED</w:t>
            </w:r>
          </w:p>
        </w:tc>
        <w:tc>
          <w:tcPr>
            <w:tcW w:w="1891" w:type="dxa"/>
            <w:shd w:val="clear" w:color="auto" w:fill="C6E0B4"/>
            <w:vAlign w:val="bottom"/>
          </w:tcPr>
          <w:p w14:paraId="00000105" w14:textId="2B22CFDE" w:rsidR="00C668C2" w:rsidRPr="00CA21ED" w:rsidRDefault="00C668C2" w:rsidP="00C668C2">
            <w:pPr>
              <w:rPr>
                <w:rFonts w:asciiTheme="minorHAnsi" w:hAnsiTheme="minorHAnsi"/>
              </w:rPr>
            </w:pPr>
            <w:r w:rsidRPr="00CA21ED">
              <w:rPr>
                <w:rFonts w:cs="Calibri"/>
                <w:color w:val="000000"/>
                <w:sz w:val="20"/>
                <w:szCs w:val="20"/>
              </w:rPr>
              <w:t>395.05</w:t>
            </w:r>
          </w:p>
        </w:tc>
        <w:tc>
          <w:tcPr>
            <w:tcW w:w="2221" w:type="dxa"/>
            <w:shd w:val="clear" w:color="auto" w:fill="FFF2CC" w:themeFill="accent4" w:themeFillTint="33"/>
            <w:vAlign w:val="bottom"/>
          </w:tcPr>
          <w:p w14:paraId="00000106" w14:textId="510C8D2A" w:rsidR="00C668C2" w:rsidRPr="00CA21ED" w:rsidRDefault="00C668C2" w:rsidP="00C668C2">
            <w:pPr>
              <w:rPr>
                <w:rFonts w:asciiTheme="minorHAnsi" w:hAnsiTheme="minorHAnsi"/>
              </w:rPr>
            </w:pPr>
            <w:r w:rsidRPr="00CA21ED">
              <w:rPr>
                <w:rFonts w:cs="Calibri"/>
                <w:color w:val="000000"/>
                <w:sz w:val="20"/>
                <w:szCs w:val="20"/>
              </w:rPr>
              <w:t>383.97</w:t>
            </w:r>
          </w:p>
        </w:tc>
        <w:tc>
          <w:tcPr>
            <w:tcW w:w="1701" w:type="dxa"/>
            <w:shd w:val="clear" w:color="auto" w:fill="FF9999"/>
            <w:vAlign w:val="bottom"/>
          </w:tcPr>
          <w:p w14:paraId="00000107" w14:textId="64E39AD1" w:rsidR="00C668C2" w:rsidRPr="00CA21ED" w:rsidRDefault="00C668C2" w:rsidP="00C668C2">
            <w:pPr>
              <w:rPr>
                <w:rFonts w:asciiTheme="minorHAnsi" w:hAnsiTheme="minorHAnsi"/>
              </w:rPr>
            </w:pPr>
            <w:r w:rsidRPr="00CA21ED">
              <w:rPr>
                <w:rFonts w:cs="Calibri"/>
                <w:color w:val="000000"/>
                <w:sz w:val="20"/>
                <w:szCs w:val="20"/>
              </w:rPr>
              <w:t>381.48</w:t>
            </w:r>
          </w:p>
        </w:tc>
      </w:tr>
      <w:tr w:rsidR="00C668C2" w:rsidRPr="00CA21ED" w14:paraId="25D658C8" w14:textId="77777777" w:rsidTr="00CD30EA">
        <w:trPr>
          <w:cantSplit/>
          <w:trHeight w:val="288"/>
        </w:trPr>
        <w:tc>
          <w:tcPr>
            <w:tcW w:w="3540" w:type="dxa"/>
            <w:vMerge w:val="restart"/>
            <w:shd w:val="clear" w:color="auto" w:fill="auto"/>
          </w:tcPr>
          <w:p w14:paraId="00000108" w14:textId="77777777" w:rsidR="00C668C2" w:rsidRPr="00CA21ED" w:rsidRDefault="00C668C2" w:rsidP="00C668C2">
            <w:r w:rsidRPr="00CA21ED">
              <w:t>Rates of echocardiogram for FNs during admission (conversion to TPs)</w:t>
            </w:r>
          </w:p>
        </w:tc>
        <w:tc>
          <w:tcPr>
            <w:tcW w:w="3683" w:type="dxa"/>
            <w:shd w:val="clear" w:color="auto" w:fill="auto"/>
          </w:tcPr>
          <w:p w14:paraId="00000109" w14:textId="77777777" w:rsidR="00C668C2" w:rsidRPr="00CA21ED" w:rsidRDefault="00C668C2" w:rsidP="00C668C2">
            <w:pPr>
              <w:rPr>
                <w:b/>
              </w:rPr>
            </w:pPr>
            <w:r w:rsidRPr="00CA21ED">
              <w:rPr>
                <w:b/>
              </w:rPr>
              <w:t>80% (base case)</w:t>
            </w:r>
          </w:p>
        </w:tc>
        <w:tc>
          <w:tcPr>
            <w:tcW w:w="1891" w:type="dxa"/>
            <w:shd w:val="clear" w:color="auto" w:fill="C6E0B4"/>
            <w:vAlign w:val="bottom"/>
          </w:tcPr>
          <w:p w14:paraId="0000010A" w14:textId="1F475956"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0B" w14:textId="62B3E08A"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0C" w14:textId="5EFECADB"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2B18C1CE" w14:textId="77777777" w:rsidTr="00CD30EA">
        <w:trPr>
          <w:cantSplit/>
          <w:trHeight w:val="300"/>
        </w:trPr>
        <w:tc>
          <w:tcPr>
            <w:tcW w:w="3540" w:type="dxa"/>
            <w:vMerge/>
            <w:shd w:val="clear" w:color="auto" w:fill="auto"/>
          </w:tcPr>
          <w:p w14:paraId="0000010D"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0E" w14:textId="77777777" w:rsidR="00C668C2" w:rsidRPr="00CA21ED" w:rsidRDefault="00C668C2" w:rsidP="00C668C2">
            <w:r w:rsidRPr="00CA21ED">
              <w:t>0%</w:t>
            </w:r>
          </w:p>
        </w:tc>
        <w:tc>
          <w:tcPr>
            <w:tcW w:w="1891" w:type="dxa"/>
            <w:shd w:val="clear" w:color="auto" w:fill="C6E0B4"/>
            <w:vAlign w:val="bottom"/>
          </w:tcPr>
          <w:p w14:paraId="0000010F" w14:textId="2C435133" w:rsidR="00C668C2" w:rsidRPr="00CA21ED" w:rsidRDefault="00C668C2" w:rsidP="00C668C2">
            <w:pPr>
              <w:rPr>
                <w:rFonts w:asciiTheme="minorHAnsi" w:hAnsiTheme="minorHAnsi"/>
              </w:rPr>
            </w:pPr>
            <w:r w:rsidRPr="00CA21ED">
              <w:rPr>
                <w:rFonts w:cs="Calibri"/>
                <w:color w:val="000000"/>
                <w:sz w:val="20"/>
                <w:szCs w:val="20"/>
              </w:rPr>
              <w:t>1047.72</w:t>
            </w:r>
          </w:p>
        </w:tc>
        <w:tc>
          <w:tcPr>
            <w:tcW w:w="2221" w:type="dxa"/>
            <w:shd w:val="clear" w:color="auto" w:fill="FF9999"/>
            <w:vAlign w:val="bottom"/>
          </w:tcPr>
          <w:p w14:paraId="00000110" w14:textId="5AEEB49A" w:rsidR="00C668C2" w:rsidRPr="00CA21ED" w:rsidRDefault="00C668C2" w:rsidP="00C668C2">
            <w:pPr>
              <w:rPr>
                <w:rFonts w:asciiTheme="minorHAnsi" w:hAnsiTheme="minorHAnsi"/>
              </w:rPr>
            </w:pPr>
            <w:r w:rsidRPr="00CA21ED">
              <w:rPr>
                <w:rFonts w:cs="Calibri"/>
                <w:color w:val="000000"/>
                <w:sz w:val="20"/>
                <w:szCs w:val="20"/>
              </w:rPr>
              <w:t>1014.65</w:t>
            </w:r>
          </w:p>
        </w:tc>
        <w:tc>
          <w:tcPr>
            <w:tcW w:w="1701" w:type="dxa"/>
            <w:shd w:val="clear" w:color="auto" w:fill="FFF2CC"/>
            <w:vAlign w:val="bottom"/>
          </w:tcPr>
          <w:p w14:paraId="00000111" w14:textId="38CC5CA8" w:rsidR="00C668C2" w:rsidRPr="00CA21ED" w:rsidRDefault="00C668C2" w:rsidP="00C668C2">
            <w:pPr>
              <w:rPr>
                <w:rFonts w:asciiTheme="minorHAnsi" w:hAnsiTheme="minorHAnsi"/>
              </w:rPr>
            </w:pPr>
            <w:r w:rsidRPr="00CA21ED">
              <w:rPr>
                <w:rFonts w:cs="Calibri"/>
                <w:color w:val="000000"/>
                <w:sz w:val="20"/>
                <w:szCs w:val="20"/>
              </w:rPr>
              <w:t>1042.23</w:t>
            </w:r>
          </w:p>
        </w:tc>
      </w:tr>
      <w:tr w:rsidR="0090070D" w:rsidRPr="00CA21ED" w14:paraId="1F80919F" w14:textId="77777777" w:rsidTr="0090070D">
        <w:trPr>
          <w:cantSplit/>
          <w:trHeight w:val="300"/>
        </w:trPr>
        <w:tc>
          <w:tcPr>
            <w:tcW w:w="3540" w:type="dxa"/>
            <w:vMerge/>
            <w:shd w:val="clear" w:color="auto" w:fill="auto"/>
          </w:tcPr>
          <w:p w14:paraId="657A8433" w14:textId="77777777" w:rsidR="0090070D" w:rsidRPr="00CA21ED" w:rsidRDefault="0090070D" w:rsidP="0090070D">
            <w:pPr>
              <w:widowControl w:val="0"/>
              <w:pBdr>
                <w:top w:val="nil"/>
                <w:left w:val="nil"/>
                <w:bottom w:val="nil"/>
                <w:right w:val="nil"/>
                <w:between w:val="nil"/>
              </w:pBdr>
              <w:spacing w:after="0" w:line="276" w:lineRule="auto"/>
            </w:pPr>
          </w:p>
        </w:tc>
        <w:tc>
          <w:tcPr>
            <w:tcW w:w="3683" w:type="dxa"/>
            <w:shd w:val="clear" w:color="auto" w:fill="auto"/>
          </w:tcPr>
          <w:p w14:paraId="282E9728" w14:textId="3A564DAE" w:rsidR="0090070D" w:rsidRPr="00CA21ED" w:rsidRDefault="0090070D" w:rsidP="0090070D">
            <w:r w:rsidRPr="00CA21ED">
              <w:t>100%</w:t>
            </w:r>
          </w:p>
        </w:tc>
        <w:tc>
          <w:tcPr>
            <w:tcW w:w="1891" w:type="dxa"/>
            <w:shd w:val="clear" w:color="auto" w:fill="C6E0B4"/>
            <w:vAlign w:val="bottom"/>
          </w:tcPr>
          <w:p w14:paraId="1E69B253" w14:textId="5888C9D8" w:rsidR="0090070D" w:rsidRPr="00CA21ED" w:rsidRDefault="00C668C2" w:rsidP="0090070D">
            <w:pPr>
              <w:rPr>
                <w:rFonts w:cs="Calibri"/>
                <w:color w:val="000000"/>
                <w:sz w:val="20"/>
                <w:szCs w:val="20"/>
              </w:rPr>
            </w:pPr>
            <w:r w:rsidRPr="00CA21ED">
              <w:rPr>
                <w:rFonts w:cs="Calibri"/>
                <w:color w:val="000000"/>
                <w:sz w:val="20"/>
                <w:szCs w:val="20"/>
              </w:rPr>
              <w:t>1051.67</w:t>
            </w:r>
          </w:p>
        </w:tc>
        <w:tc>
          <w:tcPr>
            <w:tcW w:w="2221" w:type="dxa"/>
            <w:shd w:val="clear" w:color="auto" w:fill="FF9999"/>
            <w:vAlign w:val="bottom"/>
          </w:tcPr>
          <w:p w14:paraId="57EAD6FE" w14:textId="54987411" w:rsidR="0090070D" w:rsidRPr="00CA21ED" w:rsidRDefault="00C668C2" w:rsidP="0090070D">
            <w:pPr>
              <w:rPr>
                <w:rFonts w:cs="Calibri"/>
                <w:color w:val="000000"/>
                <w:sz w:val="20"/>
                <w:szCs w:val="20"/>
              </w:rPr>
            </w:pPr>
            <w:r w:rsidRPr="00CA21ED">
              <w:rPr>
                <w:rFonts w:cs="Calibri"/>
                <w:color w:val="000000"/>
                <w:sz w:val="20"/>
                <w:szCs w:val="20"/>
              </w:rPr>
              <w:t>1033.53</w:t>
            </w:r>
          </w:p>
        </w:tc>
        <w:tc>
          <w:tcPr>
            <w:tcW w:w="1701" w:type="dxa"/>
            <w:shd w:val="clear" w:color="auto" w:fill="FFF2CC"/>
            <w:vAlign w:val="bottom"/>
          </w:tcPr>
          <w:p w14:paraId="6746BAFE" w14:textId="1FC33518" w:rsidR="0090070D" w:rsidRPr="00CA21ED" w:rsidRDefault="00C668C2" w:rsidP="0090070D">
            <w:pPr>
              <w:rPr>
                <w:rFonts w:cs="Calibri"/>
                <w:color w:val="000000"/>
                <w:sz w:val="20"/>
                <w:szCs w:val="20"/>
              </w:rPr>
            </w:pPr>
            <w:r w:rsidRPr="00CA21ED">
              <w:rPr>
                <w:rFonts w:cs="Calibri"/>
                <w:color w:val="000000"/>
                <w:sz w:val="20"/>
                <w:szCs w:val="20"/>
              </w:rPr>
              <w:t>1043.90</w:t>
            </w:r>
          </w:p>
        </w:tc>
      </w:tr>
      <w:tr w:rsidR="00C668C2" w:rsidRPr="00CA21ED" w14:paraId="6FCFCACF" w14:textId="77777777" w:rsidTr="00B52FCA">
        <w:trPr>
          <w:cantSplit/>
          <w:trHeight w:val="288"/>
        </w:trPr>
        <w:tc>
          <w:tcPr>
            <w:tcW w:w="3540" w:type="dxa"/>
            <w:vMerge w:val="restart"/>
            <w:shd w:val="clear" w:color="auto" w:fill="auto"/>
          </w:tcPr>
          <w:p w14:paraId="00000112" w14:textId="77777777" w:rsidR="00C668C2" w:rsidRPr="00CA21ED" w:rsidRDefault="00C668C2" w:rsidP="00C668C2">
            <w:r w:rsidRPr="00CA21ED">
              <w:t>Conversion of FPs to TNs in the longer-term model</w:t>
            </w:r>
          </w:p>
        </w:tc>
        <w:tc>
          <w:tcPr>
            <w:tcW w:w="3683" w:type="dxa"/>
            <w:shd w:val="clear" w:color="auto" w:fill="auto"/>
          </w:tcPr>
          <w:p w14:paraId="00000113" w14:textId="77777777" w:rsidR="00C668C2" w:rsidRPr="00CA21ED" w:rsidRDefault="00C668C2" w:rsidP="00C668C2">
            <w:pPr>
              <w:rPr>
                <w:b/>
              </w:rPr>
            </w:pPr>
            <w:r w:rsidRPr="00CA21ED">
              <w:rPr>
                <w:b/>
              </w:rPr>
              <w:t>After 1 cycle (base case)</w:t>
            </w:r>
          </w:p>
        </w:tc>
        <w:tc>
          <w:tcPr>
            <w:tcW w:w="1891" w:type="dxa"/>
            <w:shd w:val="clear" w:color="auto" w:fill="C6E0B4"/>
            <w:vAlign w:val="bottom"/>
          </w:tcPr>
          <w:p w14:paraId="00000114" w14:textId="31BB646B"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15" w14:textId="3A848B34"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16" w14:textId="7FFBF948"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11A45246" w14:textId="77777777" w:rsidTr="00B52FCA">
        <w:trPr>
          <w:cantSplit/>
          <w:trHeight w:val="288"/>
        </w:trPr>
        <w:tc>
          <w:tcPr>
            <w:tcW w:w="3540" w:type="dxa"/>
            <w:vMerge/>
            <w:shd w:val="clear" w:color="auto" w:fill="auto"/>
          </w:tcPr>
          <w:p w14:paraId="00000117"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18" w14:textId="77777777" w:rsidR="00C668C2" w:rsidRPr="00CA21ED" w:rsidRDefault="00C668C2" w:rsidP="00C668C2">
            <w:r w:rsidRPr="00CA21ED">
              <w:t>Exp admissions curve</w:t>
            </w:r>
          </w:p>
        </w:tc>
        <w:tc>
          <w:tcPr>
            <w:tcW w:w="1891" w:type="dxa"/>
            <w:shd w:val="clear" w:color="auto" w:fill="C6E0B4"/>
            <w:vAlign w:val="bottom"/>
          </w:tcPr>
          <w:p w14:paraId="00000119" w14:textId="0B369607" w:rsidR="00C668C2" w:rsidRPr="00CA21ED" w:rsidRDefault="00C668C2" w:rsidP="00C668C2">
            <w:pPr>
              <w:rPr>
                <w:rFonts w:asciiTheme="minorHAnsi" w:hAnsiTheme="minorHAnsi"/>
              </w:rPr>
            </w:pPr>
            <w:r w:rsidRPr="00CA21ED">
              <w:rPr>
                <w:rFonts w:cs="Calibri"/>
                <w:color w:val="000000"/>
                <w:sz w:val="20"/>
                <w:szCs w:val="20"/>
              </w:rPr>
              <w:t>1048.77</w:t>
            </w:r>
          </w:p>
        </w:tc>
        <w:tc>
          <w:tcPr>
            <w:tcW w:w="2221" w:type="dxa"/>
            <w:shd w:val="clear" w:color="auto" w:fill="FF9999"/>
            <w:vAlign w:val="bottom"/>
          </w:tcPr>
          <w:p w14:paraId="0000011A" w14:textId="00569E46" w:rsidR="00C668C2" w:rsidRPr="00CA21ED" w:rsidRDefault="00C668C2" w:rsidP="00C668C2">
            <w:pPr>
              <w:rPr>
                <w:rFonts w:asciiTheme="minorHAnsi" w:hAnsiTheme="minorHAnsi"/>
              </w:rPr>
            </w:pPr>
            <w:r w:rsidRPr="00CA21ED">
              <w:rPr>
                <w:rFonts w:cs="Calibri"/>
                <w:color w:val="000000"/>
                <w:sz w:val="20"/>
                <w:szCs w:val="20"/>
              </w:rPr>
              <w:t>1020.27</w:t>
            </w:r>
          </w:p>
        </w:tc>
        <w:tc>
          <w:tcPr>
            <w:tcW w:w="1701" w:type="dxa"/>
            <w:shd w:val="clear" w:color="auto" w:fill="FFF2CC"/>
            <w:vAlign w:val="bottom"/>
          </w:tcPr>
          <w:p w14:paraId="0000011B" w14:textId="7CA0713C" w:rsidR="00C668C2" w:rsidRPr="00CA21ED" w:rsidRDefault="00C668C2" w:rsidP="00C668C2">
            <w:pPr>
              <w:rPr>
                <w:rFonts w:asciiTheme="minorHAnsi" w:hAnsiTheme="minorHAnsi"/>
              </w:rPr>
            </w:pPr>
            <w:r w:rsidRPr="00CA21ED">
              <w:rPr>
                <w:rFonts w:cs="Calibri"/>
                <w:color w:val="000000"/>
                <w:sz w:val="20"/>
                <w:szCs w:val="20"/>
              </w:rPr>
              <w:t>1042.67</w:t>
            </w:r>
          </w:p>
        </w:tc>
      </w:tr>
      <w:tr w:rsidR="00C668C2" w:rsidRPr="00CA21ED" w14:paraId="67F510A2" w14:textId="77777777" w:rsidTr="00B52FCA">
        <w:trPr>
          <w:cantSplit/>
          <w:trHeight w:val="288"/>
        </w:trPr>
        <w:tc>
          <w:tcPr>
            <w:tcW w:w="3540" w:type="dxa"/>
            <w:vMerge/>
            <w:shd w:val="clear" w:color="auto" w:fill="auto"/>
          </w:tcPr>
          <w:p w14:paraId="0000011C"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1D" w14:textId="77777777" w:rsidR="00C668C2" w:rsidRPr="00CA21ED" w:rsidRDefault="00C668C2" w:rsidP="00C668C2">
            <w:r w:rsidRPr="00CA21ED">
              <w:t>Median 0.25 yrs</w:t>
            </w:r>
          </w:p>
        </w:tc>
        <w:tc>
          <w:tcPr>
            <w:tcW w:w="1891" w:type="dxa"/>
            <w:shd w:val="clear" w:color="auto" w:fill="C6E0B4"/>
            <w:vAlign w:val="bottom"/>
          </w:tcPr>
          <w:p w14:paraId="0000011E" w14:textId="52C131AF" w:rsidR="00C668C2" w:rsidRPr="00CA21ED" w:rsidRDefault="00C668C2" w:rsidP="00C668C2">
            <w:pPr>
              <w:rPr>
                <w:rFonts w:asciiTheme="minorHAnsi" w:hAnsiTheme="minorHAnsi"/>
              </w:rPr>
            </w:pPr>
            <w:r w:rsidRPr="00CA21ED">
              <w:rPr>
                <w:rFonts w:cs="Calibri"/>
                <w:color w:val="000000"/>
                <w:sz w:val="20"/>
                <w:szCs w:val="20"/>
              </w:rPr>
              <w:t>1049.91</w:t>
            </w:r>
          </w:p>
        </w:tc>
        <w:tc>
          <w:tcPr>
            <w:tcW w:w="2221" w:type="dxa"/>
            <w:shd w:val="clear" w:color="auto" w:fill="FF9999"/>
            <w:vAlign w:val="bottom"/>
          </w:tcPr>
          <w:p w14:paraId="0000011F" w14:textId="70E89E10" w:rsidR="00C668C2" w:rsidRPr="00CA21ED" w:rsidRDefault="00C668C2" w:rsidP="00C668C2">
            <w:pPr>
              <w:rPr>
                <w:rFonts w:asciiTheme="minorHAnsi" w:hAnsiTheme="minorHAnsi"/>
              </w:rPr>
            </w:pPr>
            <w:r w:rsidRPr="00CA21ED">
              <w:rPr>
                <w:rFonts w:cs="Calibri"/>
                <w:color w:val="000000"/>
                <w:sz w:val="20"/>
                <w:szCs w:val="20"/>
              </w:rPr>
              <w:t>1025.42</w:t>
            </w:r>
          </w:p>
        </w:tc>
        <w:tc>
          <w:tcPr>
            <w:tcW w:w="1701" w:type="dxa"/>
            <w:shd w:val="clear" w:color="auto" w:fill="FFF2CC"/>
            <w:vAlign w:val="bottom"/>
          </w:tcPr>
          <w:p w14:paraId="00000120" w14:textId="7BE30057" w:rsidR="00C668C2" w:rsidRPr="00CA21ED" w:rsidRDefault="00C668C2" w:rsidP="00C668C2">
            <w:pPr>
              <w:rPr>
                <w:rFonts w:asciiTheme="minorHAnsi" w:hAnsiTheme="minorHAnsi"/>
              </w:rPr>
            </w:pPr>
            <w:r w:rsidRPr="00CA21ED">
              <w:rPr>
                <w:rFonts w:cs="Calibri"/>
                <w:color w:val="000000"/>
                <w:sz w:val="20"/>
                <w:szCs w:val="20"/>
              </w:rPr>
              <w:t>1043.16</w:t>
            </w:r>
          </w:p>
        </w:tc>
      </w:tr>
      <w:tr w:rsidR="00C668C2" w:rsidRPr="00CA21ED" w14:paraId="3F8C0273" w14:textId="77777777" w:rsidTr="00B52FCA">
        <w:trPr>
          <w:cantSplit/>
          <w:trHeight w:val="288"/>
        </w:trPr>
        <w:tc>
          <w:tcPr>
            <w:tcW w:w="3540" w:type="dxa"/>
            <w:vMerge/>
            <w:shd w:val="clear" w:color="auto" w:fill="auto"/>
          </w:tcPr>
          <w:p w14:paraId="00000121"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22" w14:textId="77777777" w:rsidR="00C668C2" w:rsidRPr="00CA21ED" w:rsidRDefault="00C668C2" w:rsidP="00C668C2">
            <w:r w:rsidRPr="00CA21ED">
              <w:t>Median 1 yr</w:t>
            </w:r>
          </w:p>
        </w:tc>
        <w:tc>
          <w:tcPr>
            <w:tcW w:w="1891" w:type="dxa"/>
            <w:shd w:val="clear" w:color="auto" w:fill="C6E0B4"/>
            <w:vAlign w:val="bottom"/>
          </w:tcPr>
          <w:p w14:paraId="00000123" w14:textId="2CD3404A" w:rsidR="00C668C2" w:rsidRPr="00CA21ED" w:rsidRDefault="00C668C2" w:rsidP="00C668C2">
            <w:pPr>
              <w:rPr>
                <w:rFonts w:asciiTheme="minorHAnsi" w:hAnsiTheme="minorHAnsi"/>
              </w:rPr>
            </w:pPr>
            <w:r w:rsidRPr="00CA21ED">
              <w:rPr>
                <w:rFonts w:cs="Calibri"/>
                <w:color w:val="000000"/>
                <w:sz w:val="20"/>
                <w:szCs w:val="20"/>
              </w:rPr>
              <w:t>1047.38</w:t>
            </w:r>
          </w:p>
        </w:tc>
        <w:tc>
          <w:tcPr>
            <w:tcW w:w="2221" w:type="dxa"/>
            <w:shd w:val="clear" w:color="auto" w:fill="FF9999"/>
            <w:vAlign w:val="bottom"/>
          </w:tcPr>
          <w:p w14:paraId="00000124" w14:textId="67FFA1BB" w:rsidR="00C668C2" w:rsidRPr="00CA21ED" w:rsidRDefault="00C668C2" w:rsidP="00C668C2">
            <w:pPr>
              <w:rPr>
                <w:rFonts w:asciiTheme="minorHAnsi" w:hAnsiTheme="minorHAnsi"/>
              </w:rPr>
            </w:pPr>
            <w:r w:rsidRPr="00CA21ED">
              <w:rPr>
                <w:rFonts w:cs="Calibri"/>
                <w:color w:val="000000"/>
                <w:sz w:val="20"/>
                <w:szCs w:val="20"/>
              </w:rPr>
              <w:t>1014.04</w:t>
            </w:r>
          </w:p>
        </w:tc>
        <w:tc>
          <w:tcPr>
            <w:tcW w:w="1701" w:type="dxa"/>
            <w:shd w:val="clear" w:color="auto" w:fill="FFF2CC"/>
            <w:vAlign w:val="bottom"/>
          </w:tcPr>
          <w:p w14:paraId="00000125" w14:textId="0E9B1C78" w:rsidR="00C668C2" w:rsidRPr="00CA21ED" w:rsidRDefault="00C668C2" w:rsidP="00C668C2">
            <w:pPr>
              <w:rPr>
                <w:rFonts w:asciiTheme="minorHAnsi" w:hAnsiTheme="minorHAnsi"/>
              </w:rPr>
            </w:pPr>
            <w:r w:rsidRPr="00CA21ED">
              <w:rPr>
                <w:rFonts w:cs="Calibri"/>
                <w:color w:val="000000"/>
                <w:sz w:val="20"/>
                <w:szCs w:val="20"/>
              </w:rPr>
              <w:t>1042.09</w:t>
            </w:r>
          </w:p>
        </w:tc>
      </w:tr>
      <w:tr w:rsidR="00C668C2" w:rsidRPr="00CA21ED" w14:paraId="7946C952" w14:textId="77777777" w:rsidTr="00B52FCA">
        <w:trPr>
          <w:cantSplit/>
          <w:trHeight w:val="288"/>
        </w:trPr>
        <w:tc>
          <w:tcPr>
            <w:tcW w:w="3540" w:type="dxa"/>
            <w:vMerge/>
            <w:shd w:val="clear" w:color="auto" w:fill="auto"/>
          </w:tcPr>
          <w:p w14:paraId="00000126"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27" w14:textId="77777777" w:rsidR="00C668C2" w:rsidRPr="00CA21ED" w:rsidRDefault="00C668C2" w:rsidP="00C668C2">
            <w:r w:rsidRPr="00CA21ED">
              <w:t>Median 2 yrs</w:t>
            </w:r>
          </w:p>
        </w:tc>
        <w:tc>
          <w:tcPr>
            <w:tcW w:w="1891" w:type="dxa"/>
            <w:shd w:val="clear" w:color="auto" w:fill="C6E0B4"/>
            <w:vAlign w:val="bottom"/>
          </w:tcPr>
          <w:p w14:paraId="00000128" w14:textId="6581123B" w:rsidR="00C668C2" w:rsidRPr="00CA21ED" w:rsidRDefault="00C668C2" w:rsidP="00C668C2">
            <w:pPr>
              <w:rPr>
                <w:rFonts w:asciiTheme="minorHAnsi" w:hAnsiTheme="minorHAnsi"/>
              </w:rPr>
            </w:pPr>
            <w:r w:rsidRPr="00CA21ED">
              <w:rPr>
                <w:rFonts w:cs="Calibri"/>
                <w:color w:val="000000"/>
                <w:sz w:val="20"/>
                <w:szCs w:val="20"/>
              </w:rPr>
              <w:t>1045.68</w:t>
            </w:r>
          </w:p>
        </w:tc>
        <w:tc>
          <w:tcPr>
            <w:tcW w:w="2221" w:type="dxa"/>
            <w:shd w:val="clear" w:color="auto" w:fill="FF9999"/>
            <w:vAlign w:val="bottom"/>
          </w:tcPr>
          <w:p w14:paraId="00000129" w14:textId="184F5688" w:rsidR="00C668C2" w:rsidRPr="00CA21ED" w:rsidRDefault="00C668C2" w:rsidP="00C668C2">
            <w:pPr>
              <w:rPr>
                <w:rFonts w:asciiTheme="minorHAnsi" w:hAnsiTheme="minorHAnsi"/>
              </w:rPr>
            </w:pPr>
            <w:r w:rsidRPr="00CA21ED">
              <w:rPr>
                <w:rFonts w:cs="Calibri"/>
                <w:color w:val="000000"/>
                <w:sz w:val="20"/>
                <w:szCs w:val="20"/>
              </w:rPr>
              <w:t>1006.39</w:t>
            </w:r>
          </w:p>
        </w:tc>
        <w:tc>
          <w:tcPr>
            <w:tcW w:w="1701" w:type="dxa"/>
            <w:shd w:val="clear" w:color="auto" w:fill="FFF2CC"/>
            <w:vAlign w:val="bottom"/>
          </w:tcPr>
          <w:p w14:paraId="0000012A" w14:textId="329FF204" w:rsidR="00C668C2" w:rsidRPr="00CA21ED" w:rsidRDefault="00C668C2" w:rsidP="00C668C2">
            <w:pPr>
              <w:rPr>
                <w:rFonts w:asciiTheme="minorHAnsi" w:hAnsiTheme="minorHAnsi"/>
              </w:rPr>
            </w:pPr>
            <w:r w:rsidRPr="00CA21ED">
              <w:rPr>
                <w:rFonts w:cs="Calibri"/>
                <w:color w:val="000000"/>
                <w:sz w:val="20"/>
                <w:szCs w:val="20"/>
              </w:rPr>
              <w:t>1041.36</w:t>
            </w:r>
          </w:p>
        </w:tc>
      </w:tr>
      <w:tr w:rsidR="00C668C2" w:rsidRPr="00CA21ED" w14:paraId="2BA63CEF" w14:textId="77777777" w:rsidTr="00B52FCA">
        <w:trPr>
          <w:cantSplit/>
          <w:trHeight w:val="288"/>
        </w:trPr>
        <w:tc>
          <w:tcPr>
            <w:tcW w:w="3540" w:type="dxa"/>
            <w:vMerge/>
            <w:shd w:val="clear" w:color="auto" w:fill="auto"/>
          </w:tcPr>
          <w:p w14:paraId="0000012B"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2C" w14:textId="77777777" w:rsidR="00C668C2" w:rsidRPr="00CA21ED" w:rsidRDefault="00C668C2" w:rsidP="00C668C2">
            <w:r w:rsidRPr="00CA21ED">
              <w:t>Never</w:t>
            </w:r>
          </w:p>
        </w:tc>
        <w:tc>
          <w:tcPr>
            <w:tcW w:w="1891" w:type="dxa"/>
            <w:shd w:val="clear" w:color="auto" w:fill="C6E0B4"/>
            <w:vAlign w:val="bottom"/>
          </w:tcPr>
          <w:p w14:paraId="0000012D" w14:textId="4EAB362E" w:rsidR="00C668C2" w:rsidRPr="00CA21ED" w:rsidRDefault="00C668C2" w:rsidP="00C668C2">
            <w:pPr>
              <w:rPr>
                <w:rFonts w:asciiTheme="minorHAnsi" w:hAnsiTheme="minorHAnsi"/>
              </w:rPr>
            </w:pPr>
            <w:r w:rsidRPr="00CA21ED">
              <w:rPr>
                <w:rFonts w:cs="Calibri"/>
                <w:color w:val="000000"/>
                <w:sz w:val="20"/>
                <w:szCs w:val="20"/>
              </w:rPr>
              <w:t>1041.47</w:t>
            </w:r>
          </w:p>
        </w:tc>
        <w:tc>
          <w:tcPr>
            <w:tcW w:w="2221" w:type="dxa"/>
            <w:shd w:val="clear" w:color="auto" w:fill="FF9999"/>
            <w:vAlign w:val="bottom"/>
          </w:tcPr>
          <w:p w14:paraId="0000012E" w14:textId="5585569E" w:rsidR="00C668C2" w:rsidRPr="00CA21ED" w:rsidRDefault="00C668C2" w:rsidP="00C668C2">
            <w:pPr>
              <w:rPr>
                <w:rFonts w:asciiTheme="minorHAnsi" w:hAnsiTheme="minorHAnsi"/>
              </w:rPr>
            </w:pPr>
            <w:r w:rsidRPr="00CA21ED">
              <w:rPr>
                <w:rFonts w:cs="Calibri"/>
                <w:color w:val="000000"/>
                <w:sz w:val="20"/>
                <w:szCs w:val="20"/>
              </w:rPr>
              <w:t>987.49</w:t>
            </w:r>
          </w:p>
        </w:tc>
        <w:tc>
          <w:tcPr>
            <w:tcW w:w="1701" w:type="dxa"/>
            <w:shd w:val="clear" w:color="auto" w:fill="FFF2CC"/>
            <w:vAlign w:val="bottom"/>
          </w:tcPr>
          <w:p w14:paraId="0000012F" w14:textId="243A3F55" w:rsidR="00C668C2" w:rsidRPr="00CA21ED" w:rsidRDefault="00C668C2" w:rsidP="00C668C2">
            <w:pPr>
              <w:rPr>
                <w:rFonts w:asciiTheme="minorHAnsi" w:hAnsiTheme="minorHAnsi"/>
              </w:rPr>
            </w:pPr>
            <w:r w:rsidRPr="00CA21ED">
              <w:rPr>
                <w:rFonts w:cs="Calibri"/>
                <w:color w:val="000000"/>
                <w:sz w:val="20"/>
                <w:szCs w:val="20"/>
              </w:rPr>
              <w:t>1039.58</w:t>
            </w:r>
          </w:p>
        </w:tc>
      </w:tr>
      <w:tr w:rsidR="00C668C2" w:rsidRPr="00CA21ED" w14:paraId="237C7744" w14:textId="77777777" w:rsidTr="00B52FCA">
        <w:trPr>
          <w:cantSplit/>
          <w:trHeight w:val="300"/>
        </w:trPr>
        <w:tc>
          <w:tcPr>
            <w:tcW w:w="3540" w:type="dxa"/>
            <w:vMerge/>
            <w:shd w:val="clear" w:color="auto" w:fill="auto"/>
          </w:tcPr>
          <w:p w14:paraId="00000130"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31" w14:textId="77777777" w:rsidR="00C668C2" w:rsidRPr="00CA21ED" w:rsidRDefault="00C668C2" w:rsidP="00C668C2">
            <w:r w:rsidRPr="00CA21ED">
              <w:t>Exact cumulative admissions match</w:t>
            </w:r>
          </w:p>
        </w:tc>
        <w:tc>
          <w:tcPr>
            <w:tcW w:w="1891" w:type="dxa"/>
            <w:shd w:val="clear" w:color="auto" w:fill="C6E0B4"/>
            <w:vAlign w:val="bottom"/>
          </w:tcPr>
          <w:p w14:paraId="00000132" w14:textId="3E3A28B8" w:rsidR="00C668C2" w:rsidRPr="00CA21ED" w:rsidRDefault="00C668C2" w:rsidP="00C668C2">
            <w:pPr>
              <w:rPr>
                <w:rFonts w:asciiTheme="minorHAnsi" w:hAnsiTheme="minorHAnsi"/>
              </w:rPr>
            </w:pPr>
            <w:r w:rsidRPr="00CA21ED">
              <w:rPr>
                <w:rFonts w:cs="Calibri"/>
                <w:color w:val="000000"/>
                <w:sz w:val="20"/>
                <w:szCs w:val="20"/>
              </w:rPr>
              <w:t>1047.54</w:t>
            </w:r>
          </w:p>
        </w:tc>
        <w:tc>
          <w:tcPr>
            <w:tcW w:w="2221" w:type="dxa"/>
            <w:shd w:val="clear" w:color="auto" w:fill="FF9999"/>
            <w:vAlign w:val="bottom"/>
          </w:tcPr>
          <w:p w14:paraId="00000133" w14:textId="1DCA5B55" w:rsidR="00C668C2" w:rsidRPr="00CA21ED" w:rsidRDefault="00C668C2" w:rsidP="00C668C2">
            <w:pPr>
              <w:rPr>
                <w:rFonts w:asciiTheme="minorHAnsi" w:hAnsiTheme="minorHAnsi"/>
              </w:rPr>
            </w:pPr>
            <w:r w:rsidRPr="00CA21ED">
              <w:rPr>
                <w:rFonts w:cs="Calibri"/>
                <w:color w:val="000000"/>
                <w:sz w:val="20"/>
                <w:szCs w:val="20"/>
              </w:rPr>
              <w:t>1014.77</w:t>
            </w:r>
          </w:p>
        </w:tc>
        <w:tc>
          <w:tcPr>
            <w:tcW w:w="1701" w:type="dxa"/>
            <w:shd w:val="clear" w:color="auto" w:fill="FFF2CC"/>
            <w:vAlign w:val="bottom"/>
          </w:tcPr>
          <w:p w14:paraId="00000134" w14:textId="6A97FA3E" w:rsidR="00C668C2" w:rsidRPr="00CA21ED" w:rsidRDefault="00C668C2" w:rsidP="00C668C2">
            <w:pPr>
              <w:rPr>
                <w:rFonts w:asciiTheme="minorHAnsi" w:hAnsiTheme="minorHAnsi"/>
              </w:rPr>
            </w:pPr>
            <w:r w:rsidRPr="00CA21ED">
              <w:rPr>
                <w:rFonts w:cs="Calibri"/>
                <w:color w:val="000000"/>
                <w:sz w:val="20"/>
                <w:szCs w:val="20"/>
              </w:rPr>
              <w:t>1042.15</w:t>
            </w:r>
          </w:p>
        </w:tc>
      </w:tr>
      <w:tr w:rsidR="00C668C2" w:rsidRPr="00CA21ED" w14:paraId="78F82864" w14:textId="77777777" w:rsidTr="00B52FCA">
        <w:trPr>
          <w:cantSplit/>
          <w:trHeight w:val="288"/>
        </w:trPr>
        <w:tc>
          <w:tcPr>
            <w:tcW w:w="3540" w:type="dxa"/>
            <w:vMerge w:val="restart"/>
            <w:shd w:val="clear" w:color="auto" w:fill="auto"/>
          </w:tcPr>
          <w:p w14:paraId="00000135" w14:textId="77777777" w:rsidR="00C668C2" w:rsidRPr="00CA21ED" w:rsidRDefault="00C668C2" w:rsidP="00C668C2">
            <w:r w:rsidRPr="00CA21ED">
              <w:t>Sensitivity/specificity of NT-proBNP RO at 300 pg/mL threshold</w:t>
            </w:r>
          </w:p>
        </w:tc>
        <w:tc>
          <w:tcPr>
            <w:tcW w:w="3683" w:type="dxa"/>
            <w:shd w:val="clear" w:color="auto" w:fill="auto"/>
          </w:tcPr>
          <w:p w14:paraId="00000136" w14:textId="77777777" w:rsidR="00C668C2" w:rsidRPr="00CA21ED" w:rsidRDefault="00C668C2" w:rsidP="00C668C2">
            <w:pPr>
              <w:rPr>
                <w:b/>
              </w:rPr>
            </w:pPr>
            <w:r w:rsidRPr="00CA21ED">
              <w:rPr>
                <w:b/>
              </w:rPr>
              <w:t>Meta-analysis excluding Behnes 2009 (base case)</w:t>
            </w:r>
          </w:p>
        </w:tc>
        <w:tc>
          <w:tcPr>
            <w:tcW w:w="1891" w:type="dxa"/>
            <w:shd w:val="clear" w:color="auto" w:fill="C6E0B4"/>
            <w:vAlign w:val="bottom"/>
          </w:tcPr>
          <w:p w14:paraId="00000137" w14:textId="2E78A9D1"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38" w14:textId="2CE9511D"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39" w14:textId="711753CB"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63328979" w14:textId="77777777" w:rsidTr="00B52FCA">
        <w:trPr>
          <w:cantSplit/>
          <w:trHeight w:val="309"/>
        </w:trPr>
        <w:tc>
          <w:tcPr>
            <w:tcW w:w="3540" w:type="dxa"/>
            <w:vMerge/>
            <w:shd w:val="clear" w:color="auto" w:fill="auto"/>
          </w:tcPr>
          <w:p w14:paraId="0000013A"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3B" w14:textId="77777777" w:rsidR="00C668C2" w:rsidRPr="00CA21ED" w:rsidRDefault="00C668C2" w:rsidP="00C668C2">
            <w:r w:rsidRPr="00CA21ED">
              <w:t>BASEL over 75s only</w:t>
            </w:r>
          </w:p>
        </w:tc>
        <w:tc>
          <w:tcPr>
            <w:tcW w:w="1891" w:type="dxa"/>
            <w:shd w:val="clear" w:color="auto" w:fill="C6E0B4"/>
            <w:vAlign w:val="bottom"/>
          </w:tcPr>
          <w:p w14:paraId="0000013C" w14:textId="5BB56E81" w:rsidR="00C668C2" w:rsidRPr="00CA21ED" w:rsidRDefault="00C668C2" w:rsidP="00C668C2">
            <w:pPr>
              <w:rPr>
                <w:rFonts w:asciiTheme="minorHAnsi" w:hAnsiTheme="minorHAnsi"/>
              </w:rPr>
            </w:pPr>
            <w:r w:rsidRPr="00CA21ED">
              <w:rPr>
                <w:rFonts w:cs="Calibri"/>
                <w:color w:val="000000"/>
                <w:sz w:val="20"/>
                <w:szCs w:val="20"/>
              </w:rPr>
              <w:t>1044.80</w:t>
            </w:r>
          </w:p>
        </w:tc>
        <w:tc>
          <w:tcPr>
            <w:tcW w:w="2221" w:type="dxa"/>
            <w:shd w:val="clear" w:color="auto" w:fill="FF9999"/>
            <w:vAlign w:val="bottom"/>
          </w:tcPr>
          <w:p w14:paraId="0000013D" w14:textId="444168F3"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3E" w14:textId="430125CA" w:rsidR="00C668C2" w:rsidRPr="00CA21ED" w:rsidRDefault="00C668C2" w:rsidP="00C668C2">
            <w:pPr>
              <w:rPr>
                <w:rFonts w:asciiTheme="minorHAnsi" w:hAnsiTheme="minorHAnsi"/>
              </w:rPr>
            </w:pPr>
            <w:r w:rsidRPr="00CA21ED">
              <w:rPr>
                <w:rFonts w:cs="Calibri"/>
                <w:color w:val="000000"/>
                <w:sz w:val="20"/>
                <w:szCs w:val="20"/>
              </w:rPr>
              <w:t>1035.12</w:t>
            </w:r>
          </w:p>
        </w:tc>
      </w:tr>
      <w:tr w:rsidR="00C668C2" w:rsidRPr="00CA21ED" w14:paraId="24D0DE9F" w14:textId="77777777" w:rsidTr="00B52FCA">
        <w:trPr>
          <w:cantSplit/>
          <w:trHeight w:val="87"/>
        </w:trPr>
        <w:tc>
          <w:tcPr>
            <w:tcW w:w="3540" w:type="dxa"/>
            <w:vMerge w:val="restart"/>
            <w:shd w:val="clear" w:color="auto" w:fill="auto"/>
          </w:tcPr>
          <w:p w14:paraId="0000013F" w14:textId="77777777" w:rsidR="00C668C2" w:rsidRPr="00CA21ED" w:rsidRDefault="00C668C2" w:rsidP="00C668C2">
            <w:r w:rsidRPr="00CA21ED">
              <w:t>Probability that patients with AHF have an NT-proBNP result &gt; age-specific rule-in threshold</w:t>
            </w:r>
          </w:p>
        </w:tc>
        <w:tc>
          <w:tcPr>
            <w:tcW w:w="3683" w:type="dxa"/>
            <w:shd w:val="clear" w:color="auto" w:fill="auto"/>
          </w:tcPr>
          <w:p w14:paraId="00000140" w14:textId="77777777" w:rsidR="00C668C2" w:rsidRPr="00CA21ED" w:rsidRDefault="00C668C2" w:rsidP="00C668C2">
            <w:pPr>
              <w:rPr>
                <w:b/>
              </w:rPr>
            </w:pPr>
            <w:r w:rsidRPr="00CA21ED">
              <w:rPr>
                <w:b/>
              </w:rPr>
              <w:t>BASEL (base case)</w:t>
            </w:r>
          </w:p>
        </w:tc>
        <w:tc>
          <w:tcPr>
            <w:tcW w:w="1891" w:type="dxa"/>
            <w:shd w:val="clear" w:color="auto" w:fill="C6E0B4"/>
            <w:vAlign w:val="bottom"/>
          </w:tcPr>
          <w:p w14:paraId="00000141" w14:textId="35170BB3"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42" w14:textId="408D5565"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43" w14:textId="0B4A54A7"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7BF9304E" w14:textId="77777777" w:rsidTr="00B52FCA">
        <w:trPr>
          <w:cantSplit/>
          <w:trHeight w:val="288"/>
        </w:trPr>
        <w:tc>
          <w:tcPr>
            <w:tcW w:w="3540" w:type="dxa"/>
            <w:vMerge/>
            <w:shd w:val="clear" w:color="auto" w:fill="auto"/>
          </w:tcPr>
          <w:p w14:paraId="00000144"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45" w14:textId="77777777" w:rsidR="00C668C2" w:rsidRPr="00CA21ED" w:rsidRDefault="00C668C2" w:rsidP="00C668C2">
            <w:r w:rsidRPr="00CA21ED">
              <w:t>ICON</w:t>
            </w:r>
          </w:p>
        </w:tc>
        <w:tc>
          <w:tcPr>
            <w:tcW w:w="1891" w:type="dxa"/>
            <w:shd w:val="clear" w:color="auto" w:fill="C6E0B4"/>
            <w:vAlign w:val="bottom"/>
          </w:tcPr>
          <w:p w14:paraId="00000146" w14:textId="7D0D48BA" w:rsidR="00C668C2" w:rsidRPr="00CA21ED" w:rsidRDefault="00C668C2" w:rsidP="00C668C2">
            <w:pPr>
              <w:rPr>
                <w:rFonts w:asciiTheme="minorHAnsi" w:hAnsiTheme="minorHAnsi"/>
              </w:rPr>
            </w:pPr>
            <w:r w:rsidRPr="00CA21ED">
              <w:rPr>
                <w:rFonts w:cs="Calibri"/>
                <w:color w:val="000000"/>
                <w:sz w:val="20"/>
                <w:szCs w:val="20"/>
              </w:rPr>
              <w:t>1050.54</w:t>
            </w:r>
          </w:p>
        </w:tc>
        <w:tc>
          <w:tcPr>
            <w:tcW w:w="2221" w:type="dxa"/>
            <w:shd w:val="clear" w:color="auto" w:fill="FF9999"/>
            <w:vAlign w:val="bottom"/>
          </w:tcPr>
          <w:p w14:paraId="00000147" w14:textId="402043C3"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48" w14:textId="60687B10"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21BF2988" w14:textId="77777777" w:rsidTr="00B52FCA">
        <w:trPr>
          <w:cantSplit/>
          <w:trHeight w:val="288"/>
        </w:trPr>
        <w:tc>
          <w:tcPr>
            <w:tcW w:w="3540" w:type="dxa"/>
            <w:vMerge/>
            <w:shd w:val="clear" w:color="auto" w:fill="auto"/>
          </w:tcPr>
          <w:p w14:paraId="00000149"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4A" w14:textId="77777777" w:rsidR="00C668C2" w:rsidRPr="00CA21ED" w:rsidRDefault="00C668C2" w:rsidP="00C668C2">
            <w:r w:rsidRPr="00CA21ED">
              <w:t>New Zealand</w:t>
            </w:r>
          </w:p>
        </w:tc>
        <w:tc>
          <w:tcPr>
            <w:tcW w:w="1891" w:type="dxa"/>
            <w:shd w:val="clear" w:color="auto" w:fill="C6E0B4"/>
            <w:vAlign w:val="bottom"/>
          </w:tcPr>
          <w:p w14:paraId="0000014B" w14:textId="5228518E" w:rsidR="00C668C2" w:rsidRPr="00CA21ED" w:rsidRDefault="00C668C2" w:rsidP="00C668C2">
            <w:pPr>
              <w:rPr>
                <w:rFonts w:asciiTheme="minorHAnsi" w:hAnsiTheme="minorHAnsi"/>
              </w:rPr>
            </w:pPr>
            <w:r w:rsidRPr="00CA21ED">
              <w:rPr>
                <w:rFonts w:cs="Calibri"/>
                <w:color w:val="000000"/>
                <w:sz w:val="20"/>
                <w:szCs w:val="20"/>
              </w:rPr>
              <w:t>1051.95</w:t>
            </w:r>
          </w:p>
        </w:tc>
        <w:tc>
          <w:tcPr>
            <w:tcW w:w="2221" w:type="dxa"/>
            <w:shd w:val="clear" w:color="auto" w:fill="FF9999"/>
            <w:vAlign w:val="bottom"/>
          </w:tcPr>
          <w:p w14:paraId="0000014C" w14:textId="3EBD9C2A"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4D" w14:textId="68A31F60"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3DA9105C" w14:textId="77777777" w:rsidTr="00B52FCA">
        <w:trPr>
          <w:cantSplit/>
          <w:trHeight w:val="288"/>
        </w:trPr>
        <w:tc>
          <w:tcPr>
            <w:tcW w:w="3540" w:type="dxa"/>
            <w:vMerge/>
            <w:shd w:val="clear" w:color="auto" w:fill="auto"/>
          </w:tcPr>
          <w:p w14:paraId="0000014E"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4F" w14:textId="77777777" w:rsidR="00C668C2" w:rsidRPr="00CA21ED" w:rsidRDefault="00C668C2" w:rsidP="00C668C2">
            <w:r w:rsidRPr="00CA21ED">
              <w:t>Singapore</w:t>
            </w:r>
          </w:p>
        </w:tc>
        <w:tc>
          <w:tcPr>
            <w:tcW w:w="1891" w:type="dxa"/>
            <w:shd w:val="clear" w:color="auto" w:fill="C6E0B4"/>
            <w:vAlign w:val="bottom"/>
          </w:tcPr>
          <w:p w14:paraId="00000150" w14:textId="3B32645F" w:rsidR="00C668C2" w:rsidRPr="00CA21ED" w:rsidRDefault="00C668C2" w:rsidP="00C668C2">
            <w:pPr>
              <w:rPr>
                <w:rFonts w:asciiTheme="minorHAnsi" w:hAnsiTheme="minorHAnsi"/>
              </w:rPr>
            </w:pPr>
            <w:r w:rsidRPr="00CA21ED">
              <w:rPr>
                <w:rFonts w:cs="Calibri"/>
                <w:color w:val="000000"/>
                <w:sz w:val="20"/>
                <w:szCs w:val="20"/>
              </w:rPr>
              <w:t>1052.09</w:t>
            </w:r>
          </w:p>
        </w:tc>
        <w:tc>
          <w:tcPr>
            <w:tcW w:w="2221" w:type="dxa"/>
            <w:shd w:val="clear" w:color="auto" w:fill="FF9999"/>
            <w:vAlign w:val="bottom"/>
          </w:tcPr>
          <w:p w14:paraId="00000151" w14:textId="40B9F17A"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52" w14:textId="79686B72"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19E57DFA" w14:textId="77777777" w:rsidTr="00B52FCA">
        <w:trPr>
          <w:cantSplit/>
          <w:trHeight w:val="288"/>
        </w:trPr>
        <w:tc>
          <w:tcPr>
            <w:tcW w:w="3540" w:type="dxa"/>
            <w:vMerge/>
            <w:shd w:val="clear" w:color="auto" w:fill="auto"/>
          </w:tcPr>
          <w:p w14:paraId="00000153"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54" w14:textId="77777777" w:rsidR="00C668C2" w:rsidRPr="00CA21ED" w:rsidRDefault="00C668C2" w:rsidP="00C668C2">
            <w:r w:rsidRPr="00CA21ED">
              <w:t>Januzzi meta-analysis</w:t>
            </w:r>
          </w:p>
        </w:tc>
        <w:tc>
          <w:tcPr>
            <w:tcW w:w="1891" w:type="dxa"/>
            <w:shd w:val="clear" w:color="auto" w:fill="C6E0B4"/>
            <w:vAlign w:val="bottom"/>
          </w:tcPr>
          <w:p w14:paraId="00000155" w14:textId="2BEE9A5A" w:rsidR="00C668C2" w:rsidRPr="00CA21ED" w:rsidRDefault="00C668C2" w:rsidP="00C668C2">
            <w:pPr>
              <w:rPr>
                <w:rFonts w:asciiTheme="minorHAnsi" w:hAnsiTheme="minorHAnsi"/>
              </w:rPr>
            </w:pPr>
            <w:r w:rsidRPr="00CA21ED">
              <w:rPr>
                <w:rFonts w:cs="Calibri"/>
                <w:color w:val="000000"/>
                <w:sz w:val="20"/>
                <w:szCs w:val="20"/>
              </w:rPr>
              <w:t>1051.95</w:t>
            </w:r>
          </w:p>
        </w:tc>
        <w:tc>
          <w:tcPr>
            <w:tcW w:w="2221" w:type="dxa"/>
            <w:shd w:val="clear" w:color="auto" w:fill="FF9999"/>
            <w:vAlign w:val="bottom"/>
          </w:tcPr>
          <w:p w14:paraId="00000156" w14:textId="67B92A5D"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57" w14:textId="6A69F027"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141EB085" w14:textId="77777777" w:rsidTr="00B52FCA">
        <w:trPr>
          <w:cantSplit/>
          <w:trHeight w:val="288"/>
        </w:trPr>
        <w:tc>
          <w:tcPr>
            <w:tcW w:w="3540" w:type="dxa"/>
            <w:vMerge/>
            <w:shd w:val="clear" w:color="auto" w:fill="auto"/>
          </w:tcPr>
          <w:p w14:paraId="00000158"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59" w14:textId="77777777" w:rsidR="00C668C2" w:rsidRPr="00CA21ED" w:rsidRDefault="00C668C2" w:rsidP="00C668C2">
            <w:r w:rsidRPr="00CA21ED">
              <w:t>Meta-analysis excl. Singapore</w:t>
            </w:r>
          </w:p>
        </w:tc>
        <w:tc>
          <w:tcPr>
            <w:tcW w:w="1891" w:type="dxa"/>
            <w:shd w:val="clear" w:color="auto" w:fill="C6E0B4"/>
            <w:vAlign w:val="bottom"/>
          </w:tcPr>
          <w:p w14:paraId="0000015A" w14:textId="0F91FF80" w:rsidR="00C668C2" w:rsidRPr="00CA21ED" w:rsidRDefault="00C668C2" w:rsidP="00C668C2">
            <w:pPr>
              <w:rPr>
                <w:rFonts w:asciiTheme="minorHAnsi" w:hAnsiTheme="minorHAnsi"/>
              </w:rPr>
            </w:pPr>
            <w:r w:rsidRPr="00CA21ED">
              <w:rPr>
                <w:rFonts w:cs="Calibri"/>
                <w:color w:val="000000"/>
                <w:sz w:val="20"/>
                <w:szCs w:val="20"/>
              </w:rPr>
              <w:t>1051.35</w:t>
            </w:r>
          </w:p>
        </w:tc>
        <w:tc>
          <w:tcPr>
            <w:tcW w:w="2221" w:type="dxa"/>
            <w:shd w:val="clear" w:color="auto" w:fill="FF9999"/>
            <w:vAlign w:val="bottom"/>
          </w:tcPr>
          <w:p w14:paraId="0000015B" w14:textId="737ECE98"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5C" w14:textId="457A07E9"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7866A9D7" w14:textId="77777777" w:rsidTr="00B52FCA">
        <w:trPr>
          <w:cantSplit/>
          <w:trHeight w:val="288"/>
        </w:trPr>
        <w:tc>
          <w:tcPr>
            <w:tcW w:w="3540" w:type="dxa"/>
            <w:vMerge/>
            <w:shd w:val="clear" w:color="auto" w:fill="auto"/>
          </w:tcPr>
          <w:p w14:paraId="0000015D"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5E" w14:textId="77777777" w:rsidR="00C668C2" w:rsidRPr="00CA21ED" w:rsidRDefault="00C668C2" w:rsidP="00C668C2">
            <w:r w:rsidRPr="00CA21ED">
              <w:t>Meta-analysis all</w:t>
            </w:r>
          </w:p>
        </w:tc>
        <w:tc>
          <w:tcPr>
            <w:tcW w:w="1891" w:type="dxa"/>
            <w:shd w:val="clear" w:color="auto" w:fill="C6E0B4"/>
            <w:vAlign w:val="bottom"/>
          </w:tcPr>
          <w:p w14:paraId="0000015F" w14:textId="72241BD7" w:rsidR="00C668C2" w:rsidRPr="00CA21ED" w:rsidRDefault="00C668C2" w:rsidP="00C668C2">
            <w:pPr>
              <w:rPr>
                <w:rFonts w:asciiTheme="minorHAnsi" w:hAnsiTheme="minorHAnsi"/>
              </w:rPr>
            </w:pPr>
            <w:r w:rsidRPr="00CA21ED">
              <w:rPr>
                <w:rFonts w:cs="Calibri"/>
                <w:color w:val="000000"/>
                <w:sz w:val="20"/>
                <w:szCs w:val="20"/>
              </w:rPr>
              <w:t>1051.47</w:t>
            </w:r>
          </w:p>
        </w:tc>
        <w:tc>
          <w:tcPr>
            <w:tcW w:w="2221" w:type="dxa"/>
            <w:shd w:val="clear" w:color="auto" w:fill="FF9999"/>
            <w:vAlign w:val="bottom"/>
          </w:tcPr>
          <w:p w14:paraId="00000160" w14:textId="1D20E7C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61" w14:textId="7C9E9426"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158EA0E8" w14:textId="77777777" w:rsidTr="00B52FCA">
        <w:trPr>
          <w:cantSplit/>
          <w:trHeight w:val="300"/>
        </w:trPr>
        <w:tc>
          <w:tcPr>
            <w:tcW w:w="3540" w:type="dxa"/>
            <w:vMerge/>
            <w:shd w:val="clear" w:color="auto" w:fill="auto"/>
          </w:tcPr>
          <w:p w14:paraId="00000162"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63" w14:textId="77777777" w:rsidR="00C668C2" w:rsidRPr="00CA21ED" w:rsidRDefault="00C668C2" w:rsidP="00C668C2">
            <w:r w:rsidRPr="00CA21ED">
              <w:t>Over 75s only</w:t>
            </w:r>
          </w:p>
        </w:tc>
        <w:tc>
          <w:tcPr>
            <w:tcW w:w="1891" w:type="dxa"/>
            <w:shd w:val="clear" w:color="auto" w:fill="C6E0B4"/>
            <w:vAlign w:val="bottom"/>
          </w:tcPr>
          <w:p w14:paraId="00000164" w14:textId="109C6A5F" w:rsidR="00C668C2" w:rsidRPr="00CA21ED" w:rsidRDefault="00C668C2" w:rsidP="00C668C2">
            <w:pPr>
              <w:rPr>
                <w:rFonts w:asciiTheme="minorHAnsi" w:hAnsiTheme="minorHAnsi"/>
              </w:rPr>
            </w:pPr>
            <w:r w:rsidRPr="00CA21ED">
              <w:rPr>
                <w:rFonts w:cs="Calibri"/>
                <w:color w:val="000000"/>
                <w:sz w:val="20"/>
                <w:szCs w:val="20"/>
              </w:rPr>
              <w:t>1050.03</w:t>
            </w:r>
          </w:p>
        </w:tc>
        <w:tc>
          <w:tcPr>
            <w:tcW w:w="2221" w:type="dxa"/>
            <w:shd w:val="clear" w:color="auto" w:fill="FF9999"/>
            <w:vAlign w:val="bottom"/>
          </w:tcPr>
          <w:p w14:paraId="00000165" w14:textId="0F475FEC"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66" w14:textId="2E0A1B21"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1BBFAB3E" w14:textId="77777777" w:rsidTr="00B52FCA">
        <w:trPr>
          <w:cantSplit/>
          <w:trHeight w:val="288"/>
        </w:trPr>
        <w:tc>
          <w:tcPr>
            <w:tcW w:w="3540" w:type="dxa"/>
            <w:vMerge w:val="restart"/>
            <w:shd w:val="clear" w:color="auto" w:fill="auto"/>
          </w:tcPr>
          <w:p w14:paraId="00000167" w14:textId="77777777" w:rsidR="00C668C2" w:rsidRPr="00CA21ED" w:rsidRDefault="00C668C2" w:rsidP="00C668C2">
            <w:r w:rsidRPr="00CA21ED">
              <w:t>Probability that patients without AHF have an NT-proBNP result &gt; age-specific rule-in threshold</w:t>
            </w:r>
          </w:p>
        </w:tc>
        <w:tc>
          <w:tcPr>
            <w:tcW w:w="3683" w:type="dxa"/>
            <w:shd w:val="clear" w:color="auto" w:fill="auto"/>
          </w:tcPr>
          <w:p w14:paraId="00000168" w14:textId="77777777" w:rsidR="00C668C2" w:rsidRPr="00CA21ED" w:rsidRDefault="00C668C2" w:rsidP="00C668C2">
            <w:r w:rsidRPr="00CA21ED">
              <w:rPr>
                <w:b/>
              </w:rPr>
              <w:t>BASEL (base case)</w:t>
            </w:r>
          </w:p>
        </w:tc>
        <w:tc>
          <w:tcPr>
            <w:tcW w:w="1891" w:type="dxa"/>
            <w:shd w:val="clear" w:color="auto" w:fill="C6E0B4"/>
            <w:vAlign w:val="bottom"/>
          </w:tcPr>
          <w:p w14:paraId="00000169" w14:textId="37C6B26E"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6A" w14:textId="1B80DA44"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6B" w14:textId="391A2035"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23191D87" w14:textId="77777777" w:rsidTr="00B52FCA">
        <w:trPr>
          <w:cantSplit/>
          <w:trHeight w:val="288"/>
        </w:trPr>
        <w:tc>
          <w:tcPr>
            <w:tcW w:w="3540" w:type="dxa"/>
            <w:vMerge/>
            <w:shd w:val="clear" w:color="auto" w:fill="auto"/>
          </w:tcPr>
          <w:p w14:paraId="0000016C"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6D" w14:textId="77777777" w:rsidR="00C668C2" w:rsidRPr="00CA21ED" w:rsidRDefault="00C668C2" w:rsidP="00C668C2">
            <w:r w:rsidRPr="00CA21ED">
              <w:t>ICON</w:t>
            </w:r>
          </w:p>
        </w:tc>
        <w:tc>
          <w:tcPr>
            <w:tcW w:w="1891" w:type="dxa"/>
            <w:shd w:val="clear" w:color="auto" w:fill="C6E0B4"/>
            <w:vAlign w:val="bottom"/>
          </w:tcPr>
          <w:p w14:paraId="0000016E" w14:textId="08367A22" w:rsidR="00C668C2" w:rsidRPr="00CA21ED" w:rsidRDefault="00C668C2" w:rsidP="00C668C2">
            <w:pPr>
              <w:rPr>
                <w:rFonts w:asciiTheme="minorHAnsi" w:hAnsiTheme="minorHAnsi"/>
              </w:rPr>
            </w:pPr>
            <w:r w:rsidRPr="00CA21ED">
              <w:rPr>
                <w:rFonts w:cs="Calibri"/>
                <w:color w:val="000000"/>
                <w:sz w:val="20"/>
                <w:szCs w:val="20"/>
              </w:rPr>
              <w:t>1050.33</w:t>
            </w:r>
          </w:p>
        </w:tc>
        <w:tc>
          <w:tcPr>
            <w:tcW w:w="2221" w:type="dxa"/>
            <w:shd w:val="clear" w:color="auto" w:fill="FF9999"/>
            <w:vAlign w:val="bottom"/>
          </w:tcPr>
          <w:p w14:paraId="0000016F" w14:textId="47690AF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70" w14:textId="23C1912F" w:rsidR="00C668C2" w:rsidRPr="00CA21ED" w:rsidRDefault="00C668C2" w:rsidP="00C668C2">
            <w:pPr>
              <w:rPr>
                <w:rFonts w:asciiTheme="minorHAnsi" w:hAnsiTheme="minorHAnsi"/>
              </w:rPr>
            </w:pPr>
            <w:r w:rsidRPr="00CA21ED">
              <w:rPr>
                <w:rFonts w:cs="Calibri"/>
                <w:color w:val="000000"/>
                <w:sz w:val="20"/>
                <w:szCs w:val="20"/>
              </w:rPr>
              <w:t>1045.00</w:t>
            </w:r>
          </w:p>
        </w:tc>
      </w:tr>
      <w:tr w:rsidR="00C668C2" w:rsidRPr="00CA21ED" w14:paraId="158E79C5" w14:textId="77777777" w:rsidTr="00B52FCA">
        <w:trPr>
          <w:cantSplit/>
          <w:trHeight w:val="288"/>
        </w:trPr>
        <w:tc>
          <w:tcPr>
            <w:tcW w:w="3540" w:type="dxa"/>
            <w:vMerge/>
            <w:shd w:val="clear" w:color="auto" w:fill="auto"/>
          </w:tcPr>
          <w:p w14:paraId="00000171"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72" w14:textId="77777777" w:rsidR="00C668C2" w:rsidRPr="00CA21ED" w:rsidRDefault="00C668C2" w:rsidP="00C668C2">
            <w:r w:rsidRPr="00CA21ED">
              <w:t>New Zealand</w:t>
            </w:r>
          </w:p>
        </w:tc>
        <w:tc>
          <w:tcPr>
            <w:tcW w:w="1891" w:type="dxa"/>
            <w:shd w:val="clear" w:color="auto" w:fill="C6E0B4"/>
            <w:vAlign w:val="bottom"/>
          </w:tcPr>
          <w:p w14:paraId="00000173" w14:textId="0EF9134E" w:rsidR="00C668C2" w:rsidRPr="00CA21ED" w:rsidRDefault="00C668C2" w:rsidP="00C668C2">
            <w:pPr>
              <w:rPr>
                <w:rFonts w:asciiTheme="minorHAnsi" w:hAnsiTheme="minorHAnsi"/>
              </w:rPr>
            </w:pPr>
            <w:r w:rsidRPr="00CA21ED">
              <w:rPr>
                <w:rFonts w:cs="Calibri"/>
                <w:color w:val="000000"/>
                <w:sz w:val="20"/>
                <w:szCs w:val="20"/>
              </w:rPr>
              <w:t>1050.17</w:t>
            </w:r>
          </w:p>
        </w:tc>
        <w:tc>
          <w:tcPr>
            <w:tcW w:w="2221" w:type="dxa"/>
            <w:shd w:val="clear" w:color="auto" w:fill="FF9999"/>
            <w:vAlign w:val="bottom"/>
          </w:tcPr>
          <w:p w14:paraId="00000174" w14:textId="634B1F7E"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75" w14:textId="39769142" w:rsidR="00C668C2" w:rsidRPr="00CA21ED" w:rsidRDefault="00C668C2" w:rsidP="00C668C2">
            <w:pPr>
              <w:rPr>
                <w:rFonts w:asciiTheme="minorHAnsi" w:hAnsiTheme="minorHAnsi"/>
              </w:rPr>
            </w:pPr>
            <w:r w:rsidRPr="00CA21ED">
              <w:rPr>
                <w:rFonts w:cs="Calibri"/>
                <w:color w:val="000000"/>
                <w:sz w:val="20"/>
                <w:szCs w:val="20"/>
              </w:rPr>
              <w:t>1045.40</w:t>
            </w:r>
          </w:p>
        </w:tc>
      </w:tr>
      <w:tr w:rsidR="00C668C2" w:rsidRPr="00CA21ED" w14:paraId="15E2371D" w14:textId="77777777" w:rsidTr="00B52FCA">
        <w:trPr>
          <w:cantSplit/>
          <w:trHeight w:val="288"/>
        </w:trPr>
        <w:tc>
          <w:tcPr>
            <w:tcW w:w="3540" w:type="dxa"/>
            <w:vMerge/>
            <w:shd w:val="clear" w:color="auto" w:fill="auto"/>
          </w:tcPr>
          <w:p w14:paraId="00000176"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77" w14:textId="77777777" w:rsidR="00C668C2" w:rsidRPr="00CA21ED" w:rsidRDefault="00C668C2" w:rsidP="00C668C2">
            <w:r w:rsidRPr="00CA21ED">
              <w:t>Singapore</w:t>
            </w:r>
          </w:p>
        </w:tc>
        <w:tc>
          <w:tcPr>
            <w:tcW w:w="1891" w:type="dxa"/>
            <w:shd w:val="clear" w:color="auto" w:fill="C6E0B4"/>
            <w:vAlign w:val="bottom"/>
          </w:tcPr>
          <w:p w14:paraId="00000178" w14:textId="279371C2" w:rsidR="00C668C2" w:rsidRPr="00CA21ED" w:rsidRDefault="00C668C2" w:rsidP="00C668C2">
            <w:pPr>
              <w:rPr>
                <w:rFonts w:asciiTheme="minorHAnsi" w:hAnsiTheme="minorHAnsi"/>
              </w:rPr>
            </w:pPr>
            <w:r w:rsidRPr="00CA21ED">
              <w:rPr>
                <w:rFonts w:cs="Calibri"/>
                <w:color w:val="000000"/>
                <w:sz w:val="20"/>
                <w:szCs w:val="20"/>
              </w:rPr>
              <w:t>1050.08</w:t>
            </w:r>
          </w:p>
        </w:tc>
        <w:tc>
          <w:tcPr>
            <w:tcW w:w="2221" w:type="dxa"/>
            <w:shd w:val="clear" w:color="auto" w:fill="FF9999"/>
            <w:vAlign w:val="bottom"/>
          </w:tcPr>
          <w:p w14:paraId="00000179" w14:textId="694B269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7A" w14:textId="6BB4C349" w:rsidR="00C668C2" w:rsidRPr="00CA21ED" w:rsidRDefault="00C668C2" w:rsidP="00C668C2">
            <w:pPr>
              <w:rPr>
                <w:rFonts w:asciiTheme="minorHAnsi" w:hAnsiTheme="minorHAnsi"/>
              </w:rPr>
            </w:pPr>
            <w:r w:rsidRPr="00CA21ED">
              <w:rPr>
                <w:rFonts w:cs="Calibri"/>
                <w:color w:val="000000"/>
                <w:sz w:val="20"/>
                <w:szCs w:val="20"/>
              </w:rPr>
              <w:t>1045.60</w:t>
            </w:r>
          </w:p>
        </w:tc>
      </w:tr>
      <w:tr w:rsidR="00C668C2" w:rsidRPr="00CA21ED" w14:paraId="2268FE06" w14:textId="77777777" w:rsidTr="00B52FCA">
        <w:trPr>
          <w:cantSplit/>
          <w:trHeight w:val="288"/>
        </w:trPr>
        <w:tc>
          <w:tcPr>
            <w:tcW w:w="3540" w:type="dxa"/>
            <w:vMerge/>
            <w:shd w:val="clear" w:color="auto" w:fill="auto"/>
          </w:tcPr>
          <w:p w14:paraId="0000017B"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7C" w14:textId="77777777" w:rsidR="00C668C2" w:rsidRPr="00CA21ED" w:rsidRDefault="00C668C2" w:rsidP="00C668C2">
            <w:r w:rsidRPr="00CA21ED">
              <w:t>Januzzi meta-analysis</w:t>
            </w:r>
          </w:p>
        </w:tc>
        <w:tc>
          <w:tcPr>
            <w:tcW w:w="1891" w:type="dxa"/>
            <w:shd w:val="clear" w:color="auto" w:fill="C6E0B4"/>
            <w:vAlign w:val="bottom"/>
          </w:tcPr>
          <w:p w14:paraId="0000017D" w14:textId="000907C9" w:rsidR="00C668C2" w:rsidRPr="00CA21ED" w:rsidRDefault="00C668C2" w:rsidP="00C668C2">
            <w:pPr>
              <w:rPr>
                <w:rFonts w:asciiTheme="minorHAnsi" w:hAnsiTheme="minorHAnsi"/>
              </w:rPr>
            </w:pPr>
            <w:r w:rsidRPr="00CA21ED">
              <w:rPr>
                <w:rFonts w:cs="Calibri"/>
                <w:color w:val="000000"/>
                <w:sz w:val="20"/>
                <w:szCs w:val="20"/>
              </w:rPr>
              <w:t>1050.68</w:t>
            </w:r>
          </w:p>
        </w:tc>
        <w:tc>
          <w:tcPr>
            <w:tcW w:w="2221" w:type="dxa"/>
            <w:shd w:val="clear" w:color="auto" w:fill="FF9999"/>
            <w:vAlign w:val="bottom"/>
          </w:tcPr>
          <w:p w14:paraId="0000017E" w14:textId="3FA87C79"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7F" w14:textId="71FCA959" w:rsidR="00C668C2" w:rsidRPr="00CA21ED" w:rsidRDefault="00C668C2" w:rsidP="00C668C2">
            <w:pPr>
              <w:rPr>
                <w:rFonts w:asciiTheme="minorHAnsi" w:hAnsiTheme="minorHAnsi"/>
              </w:rPr>
            </w:pPr>
            <w:r w:rsidRPr="00CA21ED">
              <w:rPr>
                <w:rFonts w:cs="Calibri"/>
                <w:color w:val="000000"/>
                <w:sz w:val="20"/>
                <w:szCs w:val="20"/>
              </w:rPr>
              <w:t>1044.11</w:t>
            </w:r>
          </w:p>
        </w:tc>
      </w:tr>
      <w:tr w:rsidR="00C668C2" w:rsidRPr="00CA21ED" w14:paraId="30E5DF48" w14:textId="77777777" w:rsidTr="00B52FCA">
        <w:trPr>
          <w:cantSplit/>
          <w:trHeight w:val="288"/>
        </w:trPr>
        <w:tc>
          <w:tcPr>
            <w:tcW w:w="3540" w:type="dxa"/>
            <w:vMerge/>
            <w:shd w:val="clear" w:color="auto" w:fill="auto"/>
          </w:tcPr>
          <w:p w14:paraId="00000180"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81" w14:textId="77777777" w:rsidR="00C668C2" w:rsidRPr="00CA21ED" w:rsidRDefault="00C668C2" w:rsidP="00C668C2">
            <w:r w:rsidRPr="00CA21ED">
              <w:t>Meta-analysis excl. Singapore</w:t>
            </w:r>
          </w:p>
        </w:tc>
        <w:tc>
          <w:tcPr>
            <w:tcW w:w="1891" w:type="dxa"/>
            <w:shd w:val="clear" w:color="auto" w:fill="C6E0B4"/>
            <w:vAlign w:val="bottom"/>
          </w:tcPr>
          <w:p w14:paraId="00000182" w14:textId="7899EB2C" w:rsidR="00C668C2" w:rsidRPr="00CA21ED" w:rsidRDefault="00C668C2" w:rsidP="00C668C2">
            <w:pPr>
              <w:rPr>
                <w:rFonts w:asciiTheme="minorHAnsi" w:hAnsiTheme="minorHAnsi"/>
              </w:rPr>
            </w:pPr>
            <w:r w:rsidRPr="00CA21ED">
              <w:rPr>
                <w:rFonts w:cs="Calibri"/>
                <w:color w:val="000000"/>
                <w:sz w:val="20"/>
                <w:szCs w:val="20"/>
              </w:rPr>
              <w:t>1050.53</w:t>
            </w:r>
          </w:p>
        </w:tc>
        <w:tc>
          <w:tcPr>
            <w:tcW w:w="2221" w:type="dxa"/>
            <w:shd w:val="clear" w:color="auto" w:fill="FF9999"/>
            <w:vAlign w:val="bottom"/>
          </w:tcPr>
          <w:p w14:paraId="00000183" w14:textId="01DE60FB"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84" w14:textId="3684CF10" w:rsidR="00C668C2" w:rsidRPr="00CA21ED" w:rsidRDefault="00C668C2" w:rsidP="00C668C2">
            <w:pPr>
              <w:rPr>
                <w:rFonts w:asciiTheme="minorHAnsi" w:hAnsiTheme="minorHAnsi"/>
              </w:rPr>
            </w:pPr>
            <w:r w:rsidRPr="00CA21ED">
              <w:rPr>
                <w:rFonts w:cs="Calibri"/>
                <w:color w:val="000000"/>
                <w:sz w:val="20"/>
                <w:szCs w:val="20"/>
              </w:rPr>
              <w:t>1044.51</w:t>
            </w:r>
          </w:p>
        </w:tc>
      </w:tr>
      <w:tr w:rsidR="00C668C2" w:rsidRPr="00CA21ED" w14:paraId="7DB3A259" w14:textId="77777777" w:rsidTr="00B52FCA">
        <w:trPr>
          <w:cantSplit/>
          <w:trHeight w:val="288"/>
        </w:trPr>
        <w:tc>
          <w:tcPr>
            <w:tcW w:w="3540" w:type="dxa"/>
            <w:vMerge/>
            <w:shd w:val="clear" w:color="auto" w:fill="auto"/>
          </w:tcPr>
          <w:p w14:paraId="00000185"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86" w14:textId="77777777" w:rsidR="00C668C2" w:rsidRPr="00CA21ED" w:rsidRDefault="00C668C2" w:rsidP="00C668C2">
            <w:r w:rsidRPr="00CA21ED">
              <w:t>Meta-analysis all</w:t>
            </w:r>
          </w:p>
        </w:tc>
        <w:tc>
          <w:tcPr>
            <w:tcW w:w="1891" w:type="dxa"/>
            <w:shd w:val="clear" w:color="auto" w:fill="C6E0B4"/>
            <w:vAlign w:val="bottom"/>
          </w:tcPr>
          <w:p w14:paraId="00000187" w14:textId="002BB672" w:rsidR="00C668C2" w:rsidRPr="00CA21ED" w:rsidRDefault="00C668C2" w:rsidP="00C668C2">
            <w:pPr>
              <w:rPr>
                <w:rFonts w:asciiTheme="minorHAnsi" w:hAnsiTheme="minorHAnsi"/>
              </w:rPr>
            </w:pPr>
            <w:r w:rsidRPr="00CA21ED">
              <w:rPr>
                <w:rFonts w:cs="Calibri"/>
                <w:color w:val="000000"/>
                <w:sz w:val="20"/>
                <w:szCs w:val="20"/>
              </w:rPr>
              <w:t>1050.45</w:t>
            </w:r>
          </w:p>
        </w:tc>
        <w:tc>
          <w:tcPr>
            <w:tcW w:w="2221" w:type="dxa"/>
            <w:shd w:val="clear" w:color="auto" w:fill="FF9999"/>
            <w:vAlign w:val="bottom"/>
          </w:tcPr>
          <w:p w14:paraId="00000188" w14:textId="12FBC385"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89" w14:textId="14CAB02D" w:rsidR="00C668C2" w:rsidRPr="00CA21ED" w:rsidRDefault="00C668C2" w:rsidP="00C668C2">
            <w:pPr>
              <w:rPr>
                <w:rFonts w:asciiTheme="minorHAnsi" w:hAnsiTheme="minorHAnsi"/>
              </w:rPr>
            </w:pPr>
            <w:r w:rsidRPr="00CA21ED">
              <w:rPr>
                <w:rFonts w:cs="Calibri"/>
                <w:color w:val="000000"/>
                <w:sz w:val="20"/>
                <w:szCs w:val="20"/>
              </w:rPr>
              <w:t>1044.70</w:t>
            </w:r>
          </w:p>
        </w:tc>
      </w:tr>
      <w:tr w:rsidR="00C668C2" w:rsidRPr="00CA21ED" w14:paraId="6F681E53" w14:textId="77777777" w:rsidTr="00B52FCA">
        <w:trPr>
          <w:cantSplit/>
          <w:trHeight w:val="300"/>
        </w:trPr>
        <w:tc>
          <w:tcPr>
            <w:tcW w:w="3540" w:type="dxa"/>
            <w:vMerge/>
            <w:shd w:val="clear" w:color="auto" w:fill="auto"/>
          </w:tcPr>
          <w:p w14:paraId="0000018A"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8B" w14:textId="77777777" w:rsidR="00C668C2" w:rsidRPr="00CA21ED" w:rsidRDefault="00C668C2" w:rsidP="00C668C2">
            <w:r w:rsidRPr="00CA21ED">
              <w:t>Over 75s only</w:t>
            </w:r>
          </w:p>
        </w:tc>
        <w:tc>
          <w:tcPr>
            <w:tcW w:w="1891" w:type="dxa"/>
            <w:shd w:val="clear" w:color="auto" w:fill="C6E0B4"/>
            <w:vAlign w:val="bottom"/>
          </w:tcPr>
          <w:p w14:paraId="0000018C" w14:textId="1B6169F7" w:rsidR="00C668C2" w:rsidRPr="00CA21ED" w:rsidRDefault="00C668C2" w:rsidP="00C668C2">
            <w:pPr>
              <w:rPr>
                <w:rFonts w:asciiTheme="minorHAnsi" w:hAnsiTheme="minorHAnsi"/>
              </w:rPr>
            </w:pPr>
            <w:r w:rsidRPr="00CA21ED">
              <w:rPr>
                <w:rFonts w:cs="Calibri"/>
                <w:color w:val="000000"/>
                <w:sz w:val="20"/>
                <w:szCs w:val="20"/>
              </w:rPr>
              <w:t>1051.34</w:t>
            </w:r>
          </w:p>
        </w:tc>
        <w:tc>
          <w:tcPr>
            <w:tcW w:w="2221" w:type="dxa"/>
            <w:shd w:val="clear" w:color="auto" w:fill="FF9999"/>
            <w:vAlign w:val="bottom"/>
          </w:tcPr>
          <w:p w14:paraId="0000018D" w14:textId="1F6E21F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8E" w14:textId="278B5BEB" w:rsidR="00C668C2" w:rsidRPr="00CA21ED" w:rsidRDefault="00C668C2" w:rsidP="00C668C2">
            <w:pPr>
              <w:rPr>
                <w:rFonts w:asciiTheme="minorHAnsi" w:hAnsiTheme="minorHAnsi"/>
              </w:rPr>
            </w:pPr>
            <w:r w:rsidRPr="00CA21ED">
              <w:rPr>
                <w:rFonts w:cs="Calibri"/>
                <w:color w:val="000000"/>
                <w:sz w:val="20"/>
                <w:szCs w:val="20"/>
              </w:rPr>
              <w:t>1042.17</w:t>
            </w:r>
          </w:p>
        </w:tc>
      </w:tr>
      <w:tr w:rsidR="00C668C2" w:rsidRPr="00CA21ED" w14:paraId="086048DF" w14:textId="77777777" w:rsidTr="00B52FCA">
        <w:trPr>
          <w:cantSplit/>
          <w:trHeight w:val="288"/>
        </w:trPr>
        <w:tc>
          <w:tcPr>
            <w:tcW w:w="3540" w:type="dxa"/>
            <w:vMerge w:val="restart"/>
            <w:shd w:val="clear" w:color="auto" w:fill="auto"/>
          </w:tcPr>
          <w:p w14:paraId="0000018F" w14:textId="77777777" w:rsidR="00C668C2" w:rsidRPr="00CA21ED" w:rsidRDefault="00C668C2" w:rsidP="00C668C2">
            <w:r w:rsidRPr="00CA21ED">
              <w:t>QALY penalty for FPs in the longer-term model</w:t>
            </w:r>
          </w:p>
        </w:tc>
        <w:tc>
          <w:tcPr>
            <w:tcW w:w="3683" w:type="dxa"/>
            <w:shd w:val="clear" w:color="auto" w:fill="auto"/>
          </w:tcPr>
          <w:p w14:paraId="00000190" w14:textId="77777777" w:rsidR="00C668C2" w:rsidRPr="00CA21ED" w:rsidRDefault="00C668C2" w:rsidP="00C668C2">
            <w:pPr>
              <w:rPr>
                <w:b/>
              </w:rPr>
            </w:pPr>
            <w:r w:rsidRPr="00CA21ED">
              <w:rPr>
                <w:b/>
              </w:rPr>
              <w:t>0 (base case)</w:t>
            </w:r>
          </w:p>
        </w:tc>
        <w:tc>
          <w:tcPr>
            <w:tcW w:w="1891" w:type="dxa"/>
            <w:shd w:val="clear" w:color="auto" w:fill="C6E0B4"/>
            <w:vAlign w:val="bottom"/>
          </w:tcPr>
          <w:p w14:paraId="00000191" w14:textId="2D6A1C7B"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92" w14:textId="79DCF05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93" w14:textId="582516AE"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70D84A15" w14:textId="77777777" w:rsidTr="00B52FCA">
        <w:trPr>
          <w:cantSplit/>
          <w:trHeight w:val="288"/>
        </w:trPr>
        <w:tc>
          <w:tcPr>
            <w:tcW w:w="3540" w:type="dxa"/>
            <w:vMerge/>
            <w:shd w:val="clear" w:color="auto" w:fill="auto"/>
          </w:tcPr>
          <w:p w14:paraId="00000194"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95" w14:textId="77777777" w:rsidR="00C668C2" w:rsidRPr="00CA21ED" w:rsidRDefault="00C668C2" w:rsidP="00C668C2">
            <w:r w:rsidRPr="00CA21ED">
              <w:t>-0.01</w:t>
            </w:r>
          </w:p>
        </w:tc>
        <w:tc>
          <w:tcPr>
            <w:tcW w:w="1891" w:type="dxa"/>
            <w:shd w:val="clear" w:color="auto" w:fill="C6E0B4"/>
            <w:vAlign w:val="bottom"/>
          </w:tcPr>
          <w:p w14:paraId="00000196" w14:textId="3E9AD075" w:rsidR="00C668C2" w:rsidRPr="00CA21ED" w:rsidRDefault="00C668C2" w:rsidP="00C668C2">
            <w:pPr>
              <w:rPr>
                <w:rFonts w:asciiTheme="minorHAnsi" w:hAnsiTheme="minorHAnsi"/>
              </w:rPr>
            </w:pPr>
            <w:r w:rsidRPr="00CA21ED">
              <w:rPr>
                <w:rFonts w:cs="Calibri"/>
                <w:color w:val="000000"/>
                <w:sz w:val="20"/>
                <w:szCs w:val="20"/>
              </w:rPr>
              <w:t>1050.42</w:t>
            </w:r>
          </w:p>
        </w:tc>
        <w:tc>
          <w:tcPr>
            <w:tcW w:w="2221" w:type="dxa"/>
            <w:shd w:val="clear" w:color="auto" w:fill="FF9999"/>
            <w:vAlign w:val="bottom"/>
          </w:tcPr>
          <w:p w14:paraId="00000197" w14:textId="19DE5661" w:rsidR="00C668C2" w:rsidRPr="00CA21ED" w:rsidRDefault="00C668C2" w:rsidP="00C668C2">
            <w:pPr>
              <w:rPr>
                <w:rFonts w:asciiTheme="minorHAnsi" w:hAnsiTheme="minorHAnsi"/>
              </w:rPr>
            </w:pPr>
            <w:r w:rsidRPr="00CA21ED">
              <w:rPr>
                <w:rFonts w:cs="Calibri"/>
                <w:color w:val="000000"/>
                <w:sz w:val="20"/>
                <w:szCs w:val="20"/>
              </w:rPr>
              <w:t>1029.60</w:t>
            </w:r>
          </w:p>
        </w:tc>
        <w:tc>
          <w:tcPr>
            <w:tcW w:w="1701" w:type="dxa"/>
            <w:shd w:val="clear" w:color="auto" w:fill="FFF2CC"/>
            <w:vAlign w:val="bottom"/>
          </w:tcPr>
          <w:p w14:paraId="00000198" w14:textId="1D77B67E" w:rsidR="00C668C2" w:rsidRPr="00CA21ED" w:rsidRDefault="00C668C2" w:rsidP="00C668C2">
            <w:pPr>
              <w:rPr>
                <w:rFonts w:asciiTheme="minorHAnsi" w:hAnsiTheme="minorHAnsi"/>
              </w:rPr>
            </w:pPr>
            <w:r w:rsidRPr="00CA21ED">
              <w:rPr>
                <w:rFonts w:cs="Calibri"/>
                <w:color w:val="000000"/>
                <w:sz w:val="20"/>
                <w:szCs w:val="20"/>
              </w:rPr>
              <w:t>1042.82</w:t>
            </w:r>
          </w:p>
        </w:tc>
      </w:tr>
      <w:tr w:rsidR="00C668C2" w:rsidRPr="00CA21ED" w14:paraId="349EF4E0" w14:textId="77777777" w:rsidTr="00B52FCA">
        <w:trPr>
          <w:cantSplit/>
          <w:trHeight w:val="288"/>
        </w:trPr>
        <w:tc>
          <w:tcPr>
            <w:tcW w:w="3540" w:type="dxa"/>
            <w:vMerge/>
            <w:shd w:val="clear" w:color="auto" w:fill="auto"/>
          </w:tcPr>
          <w:p w14:paraId="00000199"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9A" w14:textId="77777777" w:rsidR="00C668C2" w:rsidRPr="00CA21ED" w:rsidRDefault="00C668C2" w:rsidP="00C668C2">
            <w:r w:rsidRPr="00CA21ED">
              <w:t>-0.05</w:t>
            </w:r>
          </w:p>
        </w:tc>
        <w:tc>
          <w:tcPr>
            <w:tcW w:w="1891" w:type="dxa"/>
            <w:shd w:val="clear" w:color="auto" w:fill="C6E0B4"/>
            <w:vAlign w:val="bottom"/>
          </w:tcPr>
          <w:p w14:paraId="0000019B" w14:textId="757C4ABD" w:rsidR="00C668C2" w:rsidRPr="00CA21ED" w:rsidRDefault="00C668C2" w:rsidP="00C668C2">
            <w:pPr>
              <w:rPr>
                <w:rFonts w:asciiTheme="minorHAnsi" w:hAnsiTheme="minorHAnsi"/>
              </w:rPr>
            </w:pPr>
            <w:r w:rsidRPr="00CA21ED">
              <w:rPr>
                <w:rFonts w:cs="Calibri"/>
                <w:color w:val="000000"/>
                <w:sz w:val="20"/>
                <w:szCs w:val="20"/>
              </w:rPr>
              <w:t>1048.57</w:t>
            </w:r>
          </w:p>
        </w:tc>
        <w:tc>
          <w:tcPr>
            <w:tcW w:w="2221" w:type="dxa"/>
            <w:shd w:val="clear" w:color="auto" w:fill="FF9999"/>
            <w:vAlign w:val="bottom"/>
          </w:tcPr>
          <w:p w14:paraId="0000019C" w14:textId="4FC7A443" w:rsidR="00C668C2" w:rsidRPr="00CA21ED" w:rsidRDefault="00C668C2" w:rsidP="00C668C2">
            <w:pPr>
              <w:rPr>
                <w:rFonts w:asciiTheme="minorHAnsi" w:hAnsiTheme="minorHAnsi"/>
              </w:rPr>
            </w:pPr>
            <w:r w:rsidRPr="00CA21ED">
              <w:rPr>
                <w:rFonts w:cs="Calibri"/>
                <w:color w:val="000000"/>
                <w:sz w:val="20"/>
                <w:szCs w:val="20"/>
              </w:rPr>
              <w:t>1029.00</w:t>
            </w:r>
          </w:p>
        </w:tc>
        <w:tc>
          <w:tcPr>
            <w:tcW w:w="1701" w:type="dxa"/>
            <w:shd w:val="clear" w:color="auto" w:fill="FFF2CC"/>
            <w:vAlign w:val="bottom"/>
          </w:tcPr>
          <w:p w14:paraId="0000019D" w14:textId="3B60F646" w:rsidR="00C668C2" w:rsidRPr="00CA21ED" w:rsidRDefault="00C668C2" w:rsidP="00C668C2">
            <w:pPr>
              <w:rPr>
                <w:rFonts w:asciiTheme="minorHAnsi" w:hAnsiTheme="minorHAnsi"/>
              </w:rPr>
            </w:pPr>
            <w:r w:rsidRPr="00CA21ED">
              <w:rPr>
                <w:rFonts w:cs="Calibri"/>
                <w:color w:val="000000"/>
                <w:sz w:val="20"/>
                <w:szCs w:val="20"/>
              </w:rPr>
              <w:t>1039.84</w:t>
            </w:r>
          </w:p>
        </w:tc>
      </w:tr>
      <w:tr w:rsidR="00C668C2" w:rsidRPr="00CA21ED" w14:paraId="512508EB" w14:textId="77777777" w:rsidTr="00B52FCA">
        <w:trPr>
          <w:cantSplit/>
          <w:trHeight w:val="288"/>
        </w:trPr>
        <w:tc>
          <w:tcPr>
            <w:tcW w:w="3540" w:type="dxa"/>
            <w:vMerge/>
            <w:shd w:val="clear" w:color="auto" w:fill="auto"/>
          </w:tcPr>
          <w:p w14:paraId="0000019E"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9F" w14:textId="77777777" w:rsidR="00C668C2" w:rsidRPr="00CA21ED" w:rsidRDefault="00C668C2" w:rsidP="00C668C2">
            <w:r w:rsidRPr="00CA21ED">
              <w:t>-0.1</w:t>
            </w:r>
          </w:p>
        </w:tc>
        <w:tc>
          <w:tcPr>
            <w:tcW w:w="1891" w:type="dxa"/>
            <w:shd w:val="clear" w:color="auto" w:fill="C6E0B4"/>
            <w:vAlign w:val="bottom"/>
          </w:tcPr>
          <w:p w14:paraId="000001A0" w14:textId="25976822" w:rsidR="00C668C2" w:rsidRPr="00CA21ED" w:rsidRDefault="00C668C2" w:rsidP="00C668C2">
            <w:pPr>
              <w:rPr>
                <w:rFonts w:asciiTheme="minorHAnsi" w:hAnsiTheme="minorHAnsi"/>
              </w:rPr>
            </w:pPr>
            <w:r w:rsidRPr="00CA21ED">
              <w:rPr>
                <w:rFonts w:cs="Calibri"/>
                <w:color w:val="000000"/>
                <w:sz w:val="20"/>
                <w:szCs w:val="20"/>
              </w:rPr>
              <w:t>1046.27</w:t>
            </w:r>
          </w:p>
        </w:tc>
        <w:tc>
          <w:tcPr>
            <w:tcW w:w="2221" w:type="dxa"/>
            <w:shd w:val="clear" w:color="auto" w:fill="FF9999"/>
            <w:vAlign w:val="bottom"/>
          </w:tcPr>
          <w:p w14:paraId="000001A1" w14:textId="79C40E4B" w:rsidR="00C668C2" w:rsidRPr="00CA21ED" w:rsidRDefault="00C668C2" w:rsidP="00C668C2">
            <w:pPr>
              <w:rPr>
                <w:rFonts w:asciiTheme="minorHAnsi" w:hAnsiTheme="minorHAnsi"/>
              </w:rPr>
            </w:pPr>
            <w:r w:rsidRPr="00CA21ED">
              <w:rPr>
                <w:rFonts w:cs="Calibri"/>
                <w:color w:val="000000"/>
                <w:sz w:val="20"/>
                <w:szCs w:val="20"/>
              </w:rPr>
              <w:t>1028.25</w:t>
            </w:r>
          </w:p>
        </w:tc>
        <w:tc>
          <w:tcPr>
            <w:tcW w:w="1701" w:type="dxa"/>
            <w:shd w:val="clear" w:color="auto" w:fill="FFF2CC"/>
            <w:vAlign w:val="bottom"/>
          </w:tcPr>
          <w:p w14:paraId="000001A2" w14:textId="586D06DE" w:rsidR="00C668C2" w:rsidRPr="00CA21ED" w:rsidRDefault="00C668C2" w:rsidP="00C668C2">
            <w:pPr>
              <w:rPr>
                <w:rFonts w:asciiTheme="minorHAnsi" w:hAnsiTheme="minorHAnsi"/>
              </w:rPr>
            </w:pPr>
            <w:r w:rsidRPr="00CA21ED">
              <w:rPr>
                <w:rFonts w:cs="Calibri"/>
                <w:color w:val="000000"/>
                <w:sz w:val="20"/>
                <w:szCs w:val="20"/>
              </w:rPr>
              <w:t>1036.11</w:t>
            </w:r>
          </w:p>
        </w:tc>
      </w:tr>
      <w:tr w:rsidR="00C668C2" w:rsidRPr="00CA21ED" w14:paraId="14D40D85" w14:textId="77777777" w:rsidTr="00B52FCA">
        <w:trPr>
          <w:cantSplit/>
          <w:trHeight w:val="300"/>
        </w:trPr>
        <w:tc>
          <w:tcPr>
            <w:tcW w:w="3540" w:type="dxa"/>
            <w:vMerge/>
            <w:shd w:val="clear" w:color="auto" w:fill="auto"/>
          </w:tcPr>
          <w:p w14:paraId="000001A3"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A4" w14:textId="77777777" w:rsidR="00C668C2" w:rsidRPr="00CA21ED" w:rsidRDefault="00C668C2" w:rsidP="00C668C2">
            <w:r w:rsidRPr="00CA21ED">
              <w:t>-0.2</w:t>
            </w:r>
          </w:p>
        </w:tc>
        <w:tc>
          <w:tcPr>
            <w:tcW w:w="1891" w:type="dxa"/>
            <w:shd w:val="clear" w:color="auto" w:fill="C6E0B4"/>
            <w:vAlign w:val="bottom"/>
          </w:tcPr>
          <w:p w14:paraId="000001A5" w14:textId="3C727A02" w:rsidR="00C668C2" w:rsidRPr="00CA21ED" w:rsidRDefault="00C668C2" w:rsidP="00C668C2">
            <w:pPr>
              <w:rPr>
                <w:rFonts w:asciiTheme="minorHAnsi" w:hAnsiTheme="minorHAnsi"/>
              </w:rPr>
            </w:pPr>
            <w:r w:rsidRPr="00CA21ED">
              <w:rPr>
                <w:rFonts w:cs="Calibri"/>
                <w:color w:val="000000"/>
                <w:sz w:val="20"/>
                <w:szCs w:val="20"/>
              </w:rPr>
              <w:t>1041.65</w:t>
            </w:r>
          </w:p>
        </w:tc>
        <w:tc>
          <w:tcPr>
            <w:tcW w:w="2221" w:type="dxa"/>
            <w:shd w:val="clear" w:color="auto" w:fill="FF9999"/>
            <w:vAlign w:val="bottom"/>
          </w:tcPr>
          <w:p w14:paraId="000001A6" w14:textId="61DA6BD9" w:rsidR="00C668C2" w:rsidRPr="00CA21ED" w:rsidRDefault="00C668C2" w:rsidP="00C668C2">
            <w:pPr>
              <w:rPr>
                <w:rFonts w:asciiTheme="minorHAnsi" w:hAnsiTheme="minorHAnsi"/>
              </w:rPr>
            </w:pPr>
            <w:r w:rsidRPr="00CA21ED">
              <w:rPr>
                <w:rFonts w:cs="Calibri"/>
                <w:color w:val="000000"/>
                <w:sz w:val="20"/>
                <w:szCs w:val="20"/>
              </w:rPr>
              <w:t>1026.74</w:t>
            </w:r>
          </w:p>
        </w:tc>
        <w:tc>
          <w:tcPr>
            <w:tcW w:w="1701" w:type="dxa"/>
            <w:shd w:val="clear" w:color="auto" w:fill="FFF2CC"/>
            <w:vAlign w:val="bottom"/>
          </w:tcPr>
          <w:p w14:paraId="000001A7" w14:textId="2254B2AD" w:rsidR="00C668C2" w:rsidRPr="00CA21ED" w:rsidRDefault="00C668C2" w:rsidP="00C668C2">
            <w:pPr>
              <w:rPr>
                <w:rFonts w:asciiTheme="minorHAnsi" w:hAnsiTheme="minorHAnsi"/>
              </w:rPr>
            </w:pPr>
            <w:r w:rsidRPr="00CA21ED">
              <w:rPr>
                <w:rFonts w:cs="Calibri"/>
                <w:color w:val="000000"/>
                <w:sz w:val="20"/>
                <w:szCs w:val="20"/>
              </w:rPr>
              <w:t>1028.65</w:t>
            </w:r>
          </w:p>
        </w:tc>
      </w:tr>
      <w:tr w:rsidR="00C668C2" w:rsidRPr="00CA21ED" w14:paraId="26175B3E" w14:textId="77777777" w:rsidTr="00B52FCA">
        <w:trPr>
          <w:cantSplit/>
          <w:trHeight w:val="288"/>
        </w:trPr>
        <w:tc>
          <w:tcPr>
            <w:tcW w:w="3540" w:type="dxa"/>
            <w:vMerge w:val="restart"/>
            <w:shd w:val="clear" w:color="auto" w:fill="auto"/>
          </w:tcPr>
          <w:p w14:paraId="000001A8" w14:textId="77777777" w:rsidR="00C668C2" w:rsidRPr="00CA21ED" w:rsidRDefault="00C668C2" w:rsidP="00C668C2">
            <w:r w:rsidRPr="00CA21ED">
              <w:t>Survival curve tapering</w:t>
            </w:r>
          </w:p>
        </w:tc>
        <w:tc>
          <w:tcPr>
            <w:tcW w:w="3683" w:type="dxa"/>
            <w:shd w:val="clear" w:color="auto" w:fill="auto"/>
          </w:tcPr>
          <w:p w14:paraId="000001A9" w14:textId="77777777" w:rsidR="00C668C2" w:rsidRPr="00CA21ED" w:rsidRDefault="00C668C2" w:rsidP="00C668C2">
            <w:pPr>
              <w:rPr>
                <w:b/>
              </w:rPr>
            </w:pPr>
            <w:r w:rsidRPr="00CA21ED">
              <w:rPr>
                <w:b/>
              </w:rPr>
              <w:t>Taper survival curve to 0 at age 100 (base case)</w:t>
            </w:r>
          </w:p>
        </w:tc>
        <w:tc>
          <w:tcPr>
            <w:tcW w:w="1891" w:type="dxa"/>
            <w:shd w:val="clear" w:color="auto" w:fill="C6E0B4"/>
            <w:vAlign w:val="bottom"/>
          </w:tcPr>
          <w:p w14:paraId="000001AA" w14:textId="7EE39ADC"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AB" w14:textId="5999665F"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AC" w14:textId="30E834D9"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69142EA4" w14:textId="77777777" w:rsidTr="00B52FCA">
        <w:trPr>
          <w:cantSplit/>
          <w:trHeight w:val="300"/>
        </w:trPr>
        <w:tc>
          <w:tcPr>
            <w:tcW w:w="3540" w:type="dxa"/>
            <w:vMerge/>
            <w:shd w:val="clear" w:color="auto" w:fill="auto"/>
          </w:tcPr>
          <w:p w14:paraId="000001AD"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AE" w14:textId="77777777" w:rsidR="00C668C2" w:rsidRPr="00CA21ED" w:rsidRDefault="00C668C2" w:rsidP="00C668C2">
            <w:r w:rsidRPr="00CA21ED">
              <w:t>Do not taper survival curve</w:t>
            </w:r>
          </w:p>
        </w:tc>
        <w:tc>
          <w:tcPr>
            <w:tcW w:w="1891" w:type="dxa"/>
            <w:shd w:val="clear" w:color="auto" w:fill="C6E0B4"/>
            <w:vAlign w:val="bottom"/>
          </w:tcPr>
          <w:p w14:paraId="000001AF" w14:textId="52934879" w:rsidR="00C668C2" w:rsidRPr="00CA21ED" w:rsidRDefault="00C668C2" w:rsidP="00C668C2">
            <w:pPr>
              <w:rPr>
                <w:rFonts w:asciiTheme="minorHAnsi" w:hAnsiTheme="minorHAnsi"/>
              </w:rPr>
            </w:pPr>
            <w:r w:rsidRPr="00CA21ED">
              <w:rPr>
                <w:rFonts w:cs="Calibri"/>
                <w:color w:val="000000"/>
                <w:sz w:val="20"/>
                <w:szCs w:val="20"/>
              </w:rPr>
              <w:t>1069.93</w:t>
            </w:r>
          </w:p>
        </w:tc>
        <w:tc>
          <w:tcPr>
            <w:tcW w:w="2221" w:type="dxa"/>
            <w:shd w:val="clear" w:color="auto" w:fill="FF9999"/>
            <w:vAlign w:val="bottom"/>
          </w:tcPr>
          <w:p w14:paraId="000001B0" w14:textId="591553CC" w:rsidR="00C668C2" w:rsidRPr="00CA21ED" w:rsidRDefault="00C668C2" w:rsidP="00C668C2">
            <w:pPr>
              <w:rPr>
                <w:rFonts w:asciiTheme="minorHAnsi" w:hAnsiTheme="minorHAnsi"/>
              </w:rPr>
            </w:pPr>
            <w:r w:rsidRPr="00CA21ED">
              <w:rPr>
                <w:rFonts w:cs="Calibri"/>
                <w:color w:val="000000"/>
                <w:sz w:val="20"/>
                <w:szCs w:val="20"/>
              </w:rPr>
              <w:t>1048.49</w:t>
            </w:r>
          </w:p>
        </w:tc>
        <w:tc>
          <w:tcPr>
            <w:tcW w:w="1701" w:type="dxa"/>
            <w:shd w:val="clear" w:color="auto" w:fill="FFF2CC"/>
            <w:vAlign w:val="bottom"/>
          </w:tcPr>
          <w:p w14:paraId="000001B1" w14:textId="09F2398A" w:rsidR="00C668C2" w:rsidRPr="00CA21ED" w:rsidRDefault="00C668C2" w:rsidP="00C668C2">
            <w:pPr>
              <w:rPr>
                <w:rFonts w:asciiTheme="minorHAnsi" w:hAnsiTheme="minorHAnsi"/>
              </w:rPr>
            </w:pPr>
            <w:r w:rsidRPr="00CA21ED">
              <w:rPr>
                <w:rFonts w:cs="Calibri"/>
                <w:color w:val="000000"/>
                <w:sz w:val="20"/>
                <w:szCs w:val="20"/>
              </w:rPr>
              <w:t>1062.67</w:t>
            </w:r>
          </w:p>
        </w:tc>
      </w:tr>
      <w:tr w:rsidR="00C668C2" w:rsidRPr="00CA21ED" w14:paraId="464E309B" w14:textId="77777777" w:rsidTr="00B52FCA">
        <w:trPr>
          <w:cantSplit/>
          <w:trHeight w:val="300"/>
        </w:trPr>
        <w:tc>
          <w:tcPr>
            <w:tcW w:w="3540" w:type="dxa"/>
            <w:vMerge w:val="restart"/>
            <w:shd w:val="clear" w:color="auto" w:fill="auto"/>
          </w:tcPr>
          <w:p w14:paraId="000001B2" w14:textId="77777777" w:rsidR="00C668C2" w:rsidRPr="00CA21ED" w:rsidRDefault="00C668C2" w:rsidP="00C668C2">
            <w:r w:rsidRPr="00CA21ED">
              <w:t>Parametric survival curve for TPs</w:t>
            </w:r>
          </w:p>
        </w:tc>
        <w:tc>
          <w:tcPr>
            <w:tcW w:w="3683" w:type="dxa"/>
            <w:shd w:val="clear" w:color="auto" w:fill="auto"/>
          </w:tcPr>
          <w:p w14:paraId="000001B3" w14:textId="234F17EF" w:rsidR="00C668C2" w:rsidRPr="00CA21ED" w:rsidRDefault="00C668C2" w:rsidP="00C668C2">
            <w:pPr>
              <w:rPr>
                <w:b/>
              </w:rPr>
            </w:pPr>
            <w:r w:rsidRPr="00CA21ED">
              <w:rPr>
                <w:b/>
              </w:rPr>
              <w:t>NICOR 2014 Weibull (base case)</w:t>
            </w:r>
          </w:p>
        </w:tc>
        <w:tc>
          <w:tcPr>
            <w:tcW w:w="1891" w:type="dxa"/>
            <w:shd w:val="clear" w:color="auto" w:fill="C6E0B4"/>
            <w:vAlign w:val="bottom"/>
          </w:tcPr>
          <w:p w14:paraId="000001B4" w14:textId="22B8C5F9"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B5" w14:textId="11E6B444"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B6" w14:textId="045B08DD" w:rsidR="00C668C2" w:rsidRPr="00CA21ED" w:rsidRDefault="00C668C2" w:rsidP="00C668C2">
            <w:pPr>
              <w:rPr>
                <w:rFonts w:asciiTheme="minorHAnsi" w:hAnsiTheme="minorHAnsi"/>
              </w:rPr>
            </w:pPr>
            <w:r w:rsidRPr="00CA21ED">
              <w:rPr>
                <w:rFonts w:cs="Calibri"/>
                <w:color w:val="000000"/>
                <w:sz w:val="20"/>
                <w:szCs w:val="20"/>
              </w:rPr>
              <w:t>1043.57</w:t>
            </w:r>
          </w:p>
        </w:tc>
      </w:tr>
      <w:tr w:rsidR="00890668" w:rsidRPr="00CA21ED" w14:paraId="1F3ECCAE" w14:textId="77777777" w:rsidTr="00B52FCA">
        <w:trPr>
          <w:cantSplit/>
          <w:trHeight w:val="288"/>
        </w:trPr>
        <w:tc>
          <w:tcPr>
            <w:tcW w:w="3540" w:type="dxa"/>
            <w:vMerge/>
            <w:shd w:val="clear" w:color="auto" w:fill="auto"/>
          </w:tcPr>
          <w:p w14:paraId="269A53A1" w14:textId="77777777" w:rsidR="00890668" w:rsidRPr="00CA21ED" w:rsidRDefault="00890668" w:rsidP="00C668C2">
            <w:pPr>
              <w:widowControl w:val="0"/>
              <w:pBdr>
                <w:top w:val="nil"/>
                <w:left w:val="nil"/>
                <w:bottom w:val="nil"/>
                <w:right w:val="nil"/>
                <w:between w:val="nil"/>
              </w:pBdr>
              <w:spacing w:after="0" w:line="276" w:lineRule="auto"/>
            </w:pPr>
          </w:p>
        </w:tc>
        <w:tc>
          <w:tcPr>
            <w:tcW w:w="3683" w:type="dxa"/>
            <w:shd w:val="clear" w:color="auto" w:fill="auto"/>
          </w:tcPr>
          <w:p w14:paraId="0987035C" w14:textId="1AA8A62E" w:rsidR="00890668" w:rsidRPr="00CA21ED" w:rsidRDefault="00890668" w:rsidP="00C668C2">
            <w:r w:rsidRPr="00CA21ED">
              <w:t>NICOR 2014 Gamma</w:t>
            </w:r>
          </w:p>
        </w:tc>
        <w:tc>
          <w:tcPr>
            <w:tcW w:w="1891" w:type="dxa"/>
            <w:shd w:val="clear" w:color="auto" w:fill="C6E0B4"/>
            <w:vAlign w:val="bottom"/>
          </w:tcPr>
          <w:p w14:paraId="1B9898EC" w14:textId="2F8CC336" w:rsidR="00890668" w:rsidRPr="00CA21ED" w:rsidRDefault="00890668" w:rsidP="00C668C2">
            <w:pPr>
              <w:rPr>
                <w:rFonts w:cs="Calibri"/>
                <w:color w:val="000000"/>
                <w:sz w:val="20"/>
                <w:szCs w:val="20"/>
              </w:rPr>
            </w:pPr>
            <w:r w:rsidRPr="00CA21ED">
              <w:rPr>
                <w:rFonts w:cs="Calibri"/>
                <w:color w:val="000000"/>
                <w:sz w:val="20"/>
                <w:szCs w:val="20"/>
              </w:rPr>
              <w:t>1053.75</w:t>
            </w:r>
          </w:p>
        </w:tc>
        <w:tc>
          <w:tcPr>
            <w:tcW w:w="2221" w:type="dxa"/>
            <w:shd w:val="clear" w:color="auto" w:fill="FF9999"/>
            <w:vAlign w:val="bottom"/>
          </w:tcPr>
          <w:p w14:paraId="482F4790" w14:textId="0422F29F" w:rsidR="00890668" w:rsidRPr="00CA21ED" w:rsidRDefault="00890668" w:rsidP="00C668C2">
            <w:pPr>
              <w:rPr>
                <w:rFonts w:cs="Calibri"/>
                <w:color w:val="000000"/>
                <w:sz w:val="20"/>
                <w:szCs w:val="20"/>
              </w:rPr>
            </w:pPr>
            <w:r w:rsidRPr="00CA21ED">
              <w:rPr>
                <w:rFonts w:cs="Calibri"/>
                <w:color w:val="000000"/>
                <w:sz w:val="20"/>
                <w:szCs w:val="20"/>
              </w:rPr>
              <w:t>1027.39</w:t>
            </w:r>
          </w:p>
        </w:tc>
        <w:tc>
          <w:tcPr>
            <w:tcW w:w="1701" w:type="dxa"/>
            <w:shd w:val="clear" w:color="auto" w:fill="FFF2CC"/>
            <w:vAlign w:val="bottom"/>
          </w:tcPr>
          <w:p w14:paraId="58D93122" w14:textId="15CC494A" w:rsidR="00890668" w:rsidRPr="00CA21ED" w:rsidRDefault="00890668" w:rsidP="00C668C2">
            <w:pPr>
              <w:rPr>
                <w:rFonts w:cs="Calibri"/>
                <w:color w:val="000000"/>
                <w:sz w:val="20"/>
                <w:szCs w:val="20"/>
              </w:rPr>
            </w:pPr>
            <w:r w:rsidRPr="00CA21ED">
              <w:rPr>
                <w:rFonts w:cs="Calibri"/>
                <w:color w:val="000000"/>
                <w:sz w:val="20"/>
                <w:szCs w:val="20"/>
              </w:rPr>
              <w:t>1407.31</w:t>
            </w:r>
          </w:p>
        </w:tc>
      </w:tr>
      <w:tr w:rsidR="00C668C2" w:rsidRPr="00CA21ED" w14:paraId="40AB7AC8" w14:textId="77777777" w:rsidTr="00B52FCA">
        <w:trPr>
          <w:cantSplit/>
          <w:trHeight w:val="288"/>
        </w:trPr>
        <w:tc>
          <w:tcPr>
            <w:tcW w:w="3540" w:type="dxa"/>
            <w:vMerge/>
            <w:shd w:val="clear" w:color="auto" w:fill="auto"/>
          </w:tcPr>
          <w:p w14:paraId="000001B7"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B8" w14:textId="64999B6C" w:rsidR="00C668C2" w:rsidRPr="00CA21ED" w:rsidRDefault="00C668C2" w:rsidP="00C668C2">
            <w:r w:rsidRPr="00CA21ED">
              <w:t>Taylor 2019 Gamma</w:t>
            </w:r>
          </w:p>
        </w:tc>
        <w:tc>
          <w:tcPr>
            <w:tcW w:w="1891" w:type="dxa"/>
            <w:shd w:val="clear" w:color="auto" w:fill="C6E0B4"/>
            <w:vAlign w:val="bottom"/>
          </w:tcPr>
          <w:p w14:paraId="000001B9" w14:textId="011D2C2B" w:rsidR="00C668C2" w:rsidRPr="00CA21ED" w:rsidRDefault="00C668C2" w:rsidP="00C668C2">
            <w:pPr>
              <w:rPr>
                <w:rFonts w:asciiTheme="minorHAnsi" w:hAnsiTheme="minorHAnsi"/>
              </w:rPr>
            </w:pPr>
            <w:r w:rsidRPr="00CA21ED">
              <w:rPr>
                <w:rFonts w:cs="Calibri"/>
                <w:color w:val="000000"/>
                <w:sz w:val="20"/>
                <w:szCs w:val="20"/>
              </w:rPr>
              <w:t>1053.75</w:t>
            </w:r>
          </w:p>
        </w:tc>
        <w:tc>
          <w:tcPr>
            <w:tcW w:w="2221" w:type="dxa"/>
            <w:shd w:val="clear" w:color="auto" w:fill="FF9999"/>
            <w:vAlign w:val="bottom"/>
          </w:tcPr>
          <w:p w14:paraId="000001BA" w14:textId="03292D51" w:rsidR="00C668C2" w:rsidRPr="00CA21ED" w:rsidRDefault="00C668C2" w:rsidP="00C668C2">
            <w:pPr>
              <w:rPr>
                <w:rFonts w:asciiTheme="minorHAnsi" w:hAnsiTheme="minorHAnsi"/>
              </w:rPr>
            </w:pPr>
            <w:r w:rsidRPr="00CA21ED">
              <w:rPr>
                <w:rFonts w:cs="Calibri"/>
                <w:color w:val="000000"/>
                <w:sz w:val="20"/>
                <w:szCs w:val="20"/>
              </w:rPr>
              <w:t>1027.39</w:t>
            </w:r>
          </w:p>
        </w:tc>
        <w:tc>
          <w:tcPr>
            <w:tcW w:w="1701" w:type="dxa"/>
            <w:shd w:val="clear" w:color="auto" w:fill="FFF2CC"/>
            <w:vAlign w:val="bottom"/>
          </w:tcPr>
          <w:p w14:paraId="000001BB" w14:textId="14A3C3D5" w:rsidR="00C668C2" w:rsidRPr="00CA21ED" w:rsidRDefault="00C668C2" w:rsidP="00C668C2">
            <w:pPr>
              <w:rPr>
                <w:rFonts w:asciiTheme="minorHAnsi" w:hAnsiTheme="minorHAnsi"/>
              </w:rPr>
            </w:pPr>
            <w:r w:rsidRPr="00CA21ED">
              <w:rPr>
                <w:rFonts w:cs="Calibri"/>
                <w:color w:val="000000"/>
                <w:sz w:val="20"/>
                <w:szCs w:val="20"/>
              </w:rPr>
              <w:t>1047.31</w:t>
            </w:r>
          </w:p>
        </w:tc>
      </w:tr>
      <w:tr w:rsidR="00C668C2" w:rsidRPr="00CA21ED" w14:paraId="0D9227A5" w14:textId="77777777" w:rsidTr="00B52FCA">
        <w:trPr>
          <w:cantSplit/>
          <w:trHeight w:val="288"/>
        </w:trPr>
        <w:tc>
          <w:tcPr>
            <w:tcW w:w="3540" w:type="dxa"/>
            <w:vMerge/>
            <w:shd w:val="clear" w:color="auto" w:fill="auto"/>
          </w:tcPr>
          <w:p w14:paraId="000001BC"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BD" w14:textId="57EFB38D" w:rsidR="00C668C2" w:rsidRPr="00CA21ED" w:rsidRDefault="00C668C2" w:rsidP="00C668C2">
            <w:r w:rsidRPr="00CA21ED">
              <w:t>NICOR 2019 Gamma</w:t>
            </w:r>
          </w:p>
        </w:tc>
        <w:tc>
          <w:tcPr>
            <w:tcW w:w="1891" w:type="dxa"/>
            <w:shd w:val="clear" w:color="auto" w:fill="C6E0B4"/>
            <w:vAlign w:val="bottom"/>
          </w:tcPr>
          <w:p w14:paraId="000001BE" w14:textId="787A3E8A" w:rsidR="00C668C2" w:rsidRPr="00CA21ED" w:rsidRDefault="00C668C2" w:rsidP="00C668C2">
            <w:pPr>
              <w:rPr>
                <w:rFonts w:asciiTheme="minorHAnsi" w:hAnsiTheme="minorHAnsi"/>
              </w:rPr>
            </w:pPr>
            <w:r w:rsidRPr="00CA21ED">
              <w:rPr>
                <w:rFonts w:cs="Calibri"/>
                <w:color w:val="000000"/>
                <w:sz w:val="20"/>
                <w:szCs w:val="20"/>
              </w:rPr>
              <w:t>1390.18</w:t>
            </w:r>
          </w:p>
        </w:tc>
        <w:tc>
          <w:tcPr>
            <w:tcW w:w="2221" w:type="dxa"/>
            <w:shd w:val="clear" w:color="auto" w:fill="FF9999"/>
            <w:vAlign w:val="bottom"/>
          </w:tcPr>
          <w:p w14:paraId="000001BF" w14:textId="0FE1F94E" w:rsidR="00C668C2" w:rsidRPr="00CA21ED" w:rsidRDefault="00C668C2" w:rsidP="00C668C2">
            <w:pPr>
              <w:rPr>
                <w:rFonts w:asciiTheme="minorHAnsi" w:hAnsiTheme="minorHAnsi"/>
              </w:rPr>
            </w:pPr>
            <w:r w:rsidRPr="00CA21ED">
              <w:rPr>
                <w:rFonts w:cs="Calibri"/>
                <w:color w:val="000000"/>
                <w:sz w:val="20"/>
                <w:szCs w:val="20"/>
              </w:rPr>
              <w:t>1361.26</w:t>
            </w:r>
          </w:p>
        </w:tc>
        <w:tc>
          <w:tcPr>
            <w:tcW w:w="1701" w:type="dxa"/>
            <w:shd w:val="clear" w:color="auto" w:fill="FFF2CC"/>
            <w:vAlign w:val="bottom"/>
          </w:tcPr>
          <w:p w14:paraId="000001C0" w14:textId="27C480AC" w:rsidR="00C668C2" w:rsidRPr="00CA21ED" w:rsidRDefault="00C668C2" w:rsidP="00C668C2">
            <w:pPr>
              <w:rPr>
                <w:rFonts w:asciiTheme="minorHAnsi" w:hAnsiTheme="minorHAnsi"/>
              </w:rPr>
            </w:pPr>
            <w:r w:rsidRPr="00CA21ED">
              <w:rPr>
                <w:rFonts w:cs="Calibri"/>
                <w:color w:val="000000"/>
                <w:sz w:val="20"/>
                <w:szCs w:val="20"/>
              </w:rPr>
              <w:t>1384.14</w:t>
            </w:r>
          </w:p>
        </w:tc>
      </w:tr>
      <w:tr w:rsidR="00C668C2" w:rsidRPr="00CA21ED" w14:paraId="3B07A861" w14:textId="77777777" w:rsidTr="00B52FCA">
        <w:trPr>
          <w:cantSplit/>
          <w:trHeight w:val="288"/>
        </w:trPr>
        <w:tc>
          <w:tcPr>
            <w:tcW w:w="3540" w:type="dxa"/>
            <w:vMerge/>
            <w:shd w:val="clear" w:color="auto" w:fill="auto"/>
          </w:tcPr>
          <w:p w14:paraId="000001C1"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C2" w14:textId="20B8F263" w:rsidR="00C668C2" w:rsidRPr="00CA21ED" w:rsidRDefault="00C668C2" w:rsidP="00C668C2">
            <w:r w:rsidRPr="00CA21ED">
              <w:t>NICOR 2019 Exp</w:t>
            </w:r>
          </w:p>
        </w:tc>
        <w:tc>
          <w:tcPr>
            <w:tcW w:w="1891" w:type="dxa"/>
            <w:shd w:val="clear" w:color="auto" w:fill="C6E0B4"/>
            <w:vAlign w:val="bottom"/>
          </w:tcPr>
          <w:p w14:paraId="000001C3" w14:textId="020B7F69" w:rsidR="00C668C2" w:rsidRPr="00CA21ED" w:rsidRDefault="00C668C2" w:rsidP="00C668C2">
            <w:pPr>
              <w:rPr>
                <w:rFonts w:asciiTheme="minorHAnsi" w:hAnsiTheme="minorHAnsi"/>
              </w:rPr>
            </w:pPr>
            <w:r w:rsidRPr="00CA21ED">
              <w:rPr>
                <w:rFonts w:cs="Calibri"/>
                <w:color w:val="000000"/>
                <w:sz w:val="20"/>
                <w:szCs w:val="20"/>
              </w:rPr>
              <w:t>948.33</w:t>
            </w:r>
          </w:p>
        </w:tc>
        <w:tc>
          <w:tcPr>
            <w:tcW w:w="2221" w:type="dxa"/>
            <w:shd w:val="clear" w:color="auto" w:fill="FF9999"/>
            <w:vAlign w:val="bottom"/>
          </w:tcPr>
          <w:p w14:paraId="000001C4" w14:textId="0751FD34" w:rsidR="00C668C2" w:rsidRPr="00CA21ED" w:rsidRDefault="00C668C2" w:rsidP="00C668C2">
            <w:pPr>
              <w:rPr>
                <w:rFonts w:asciiTheme="minorHAnsi" w:hAnsiTheme="minorHAnsi"/>
              </w:rPr>
            </w:pPr>
            <w:r w:rsidRPr="00CA21ED">
              <w:rPr>
                <w:rFonts w:cs="Calibri"/>
                <w:color w:val="000000"/>
                <w:sz w:val="20"/>
                <w:szCs w:val="20"/>
              </w:rPr>
              <w:t>933.30</w:t>
            </w:r>
          </w:p>
        </w:tc>
        <w:tc>
          <w:tcPr>
            <w:tcW w:w="1701" w:type="dxa"/>
            <w:shd w:val="clear" w:color="auto" w:fill="FFF2CC"/>
            <w:vAlign w:val="bottom"/>
          </w:tcPr>
          <w:p w14:paraId="000001C5" w14:textId="08F2F599" w:rsidR="00C668C2" w:rsidRPr="00CA21ED" w:rsidRDefault="00C668C2" w:rsidP="00C668C2">
            <w:pPr>
              <w:rPr>
                <w:rFonts w:asciiTheme="minorHAnsi" w:hAnsiTheme="minorHAnsi"/>
              </w:rPr>
            </w:pPr>
            <w:r w:rsidRPr="00CA21ED">
              <w:rPr>
                <w:rFonts w:cs="Calibri"/>
                <w:color w:val="000000"/>
                <w:sz w:val="20"/>
                <w:szCs w:val="20"/>
              </w:rPr>
              <w:t>940.02</w:t>
            </w:r>
          </w:p>
        </w:tc>
      </w:tr>
      <w:tr w:rsidR="00C668C2" w:rsidRPr="00CA21ED" w14:paraId="2FD356FF" w14:textId="77777777" w:rsidTr="00B52FCA">
        <w:trPr>
          <w:cantSplit/>
          <w:trHeight w:val="300"/>
        </w:trPr>
        <w:tc>
          <w:tcPr>
            <w:tcW w:w="3540" w:type="dxa"/>
            <w:vMerge w:val="restart"/>
            <w:shd w:val="clear" w:color="auto" w:fill="auto"/>
          </w:tcPr>
          <w:p w14:paraId="000001C6" w14:textId="344D8B12" w:rsidR="00C668C2" w:rsidRPr="00CA21ED" w:rsidRDefault="00C668C2" w:rsidP="00C668C2">
            <w:r w:rsidRPr="00CA21ED">
              <w:t>Specificity/sensitivity of grey zone clinical decision</w:t>
            </w:r>
          </w:p>
        </w:tc>
        <w:tc>
          <w:tcPr>
            <w:tcW w:w="3683" w:type="dxa"/>
            <w:shd w:val="clear" w:color="auto" w:fill="auto"/>
          </w:tcPr>
          <w:p w14:paraId="000001C7" w14:textId="77777777" w:rsidR="00C668C2" w:rsidRPr="00CA21ED" w:rsidRDefault="00C668C2" w:rsidP="00C668C2">
            <w:pPr>
              <w:rPr>
                <w:b/>
              </w:rPr>
            </w:pPr>
            <w:r w:rsidRPr="00CA21ED">
              <w:rPr>
                <w:b/>
              </w:rPr>
              <w:t>80/60% (base case)</w:t>
            </w:r>
          </w:p>
        </w:tc>
        <w:tc>
          <w:tcPr>
            <w:tcW w:w="1891" w:type="dxa"/>
            <w:shd w:val="clear" w:color="auto" w:fill="C6E0B4"/>
            <w:vAlign w:val="bottom"/>
          </w:tcPr>
          <w:p w14:paraId="000001C8" w14:textId="0CC21989"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C9" w14:textId="5E2122E9"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CA" w14:textId="4EA0ED5D" w:rsidR="00C668C2" w:rsidRPr="00CA21ED" w:rsidRDefault="00C668C2" w:rsidP="00C668C2">
            <w:pPr>
              <w:rPr>
                <w:rFonts w:asciiTheme="minorHAnsi" w:hAnsiTheme="minorHAnsi"/>
              </w:rPr>
            </w:pPr>
            <w:r w:rsidRPr="00CA21ED">
              <w:rPr>
                <w:rFonts w:cs="Calibri"/>
                <w:color w:val="000000"/>
                <w:sz w:val="20"/>
                <w:szCs w:val="20"/>
              </w:rPr>
              <w:t>1043.57</w:t>
            </w:r>
          </w:p>
        </w:tc>
      </w:tr>
      <w:tr w:rsidR="00AA0C74" w:rsidRPr="00CA21ED" w14:paraId="539DAE3E" w14:textId="77777777" w:rsidTr="00B52FCA">
        <w:trPr>
          <w:cantSplit/>
          <w:trHeight w:val="288"/>
        </w:trPr>
        <w:tc>
          <w:tcPr>
            <w:tcW w:w="3540" w:type="dxa"/>
            <w:vMerge/>
            <w:shd w:val="clear" w:color="auto" w:fill="auto"/>
          </w:tcPr>
          <w:p w14:paraId="59748AD2" w14:textId="77777777" w:rsidR="00AA0C74" w:rsidRPr="00CA21ED" w:rsidRDefault="00AA0C74" w:rsidP="00C668C2">
            <w:pPr>
              <w:widowControl w:val="0"/>
              <w:pBdr>
                <w:top w:val="nil"/>
                <w:left w:val="nil"/>
                <w:bottom w:val="nil"/>
                <w:right w:val="nil"/>
                <w:between w:val="nil"/>
              </w:pBdr>
              <w:spacing w:after="0" w:line="276" w:lineRule="auto"/>
            </w:pPr>
          </w:p>
        </w:tc>
        <w:tc>
          <w:tcPr>
            <w:tcW w:w="3683" w:type="dxa"/>
            <w:shd w:val="clear" w:color="auto" w:fill="auto"/>
          </w:tcPr>
          <w:p w14:paraId="66FE7B8B" w14:textId="3BB164C0" w:rsidR="00AA0C74" w:rsidRPr="00CA21ED" w:rsidRDefault="00AA0C74" w:rsidP="00C668C2">
            <w:r>
              <w:t>70%/70% (Analysis model 2 ROC)</w:t>
            </w:r>
          </w:p>
        </w:tc>
        <w:tc>
          <w:tcPr>
            <w:tcW w:w="1891" w:type="dxa"/>
            <w:shd w:val="clear" w:color="auto" w:fill="C6E0B4"/>
            <w:vAlign w:val="bottom"/>
          </w:tcPr>
          <w:p w14:paraId="4BD67ADB" w14:textId="439CAB36" w:rsidR="00AA0C74" w:rsidRPr="00CA21ED" w:rsidRDefault="00AA0C74" w:rsidP="00C668C2">
            <w:pPr>
              <w:rPr>
                <w:rFonts w:cs="Calibri"/>
                <w:color w:val="000000"/>
                <w:sz w:val="20"/>
                <w:szCs w:val="20"/>
              </w:rPr>
            </w:pPr>
            <w:r>
              <w:rPr>
                <w:rFonts w:cs="Calibri"/>
                <w:color w:val="000000"/>
                <w:sz w:val="20"/>
                <w:szCs w:val="20"/>
              </w:rPr>
              <w:t>1049.57</w:t>
            </w:r>
          </w:p>
        </w:tc>
        <w:tc>
          <w:tcPr>
            <w:tcW w:w="2221" w:type="dxa"/>
            <w:shd w:val="clear" w:color="auto" w:fill="FF9999"/>
            <w:vAlign w:val="bottom"/>
          </w:tcPr>
          <w:p w14:paraId="7E340AF5" w14:textId="105D6647" w:rsidR="00AA0C74" w:rsidRPr="00CA21ED" w:rsidRDefault="00AA0C74" w:rsidP="00C668C2">
            <w:pPr>
              <w:rPr>
                <w:rFonts w:cs="Calibri"/>
                <w:color w:val="000000"/>
                <w:sz w:val="20"/>
                <w:szCs w:val="20"/>
              </w:rPr>
            </w:pPr>
            <w:r>
              <w:rPr>
                <w:rFonts w:cs="Calibri"/>
                <w:color w:val="000000"/>
                <w:sz w:val="20"/>
                <w:szCs w:val="20"/>
              </w:rPr>
              <w:t>1029.75</w:t>
            </w:r>
          </w:p>
        </w:tc>
        <w:tc>
          <w:tcPr>
            <w:tcW w:w="1701" w:type="dxa"/>
            <w:shd w:val="clear" w:color="auto" w:fill="FFF2CC"/>
            <w:vAlign w:val="bottom"/>
          </w:tcPr>
          <w:p w14:paraId="2D954C52" w14:textId="047D2686" w:rsidR="00AA0C74" w:rsidRPr="00CA21ED" w:rsidRDefault="00AA0C74" w:rsidP="00C668C2">
            <w:pPr>
              <w:rPr>
                <w:rFonts w:cs="Calibri"/>
                <w:color w:val="000000"/>
                <w:sz w:val="20"/>
                <w:szCs w:val="20"/>
              </w:rPr>
            </w:pPr>
            <w:r>
              <w:rPr>
                <w:rFonts w:cs="Calibri"/>
                <w:color w:val="000000"/>
                <w:sz w:val="20"/>
                <w:szCs w:val="20"/>
              </w:rPr>
              <w:t>1043.10</w:t>
            </w:r>
          </w:p>
        </w:tc>
      </w:tr>
      <w:tr w:rsidR="00AA0C74" w:rsidRPr="00CA21ED" w14:paraId="09D7C852" w14:textId="77777777" w:rsidTr="00B52FCA">
        <w:trPr>
          <w:cantSplit/>
          <w:trHeight w:val="288"/>
        </w:trPr>
        <w:tc>
          <w:tcPr>
            <w:tcW w:w="3540" w:type="dxa"/>
            <w:vMerge/>
            <w:shd w:val="clear" w:color="auto" w:fill="auto"/>
          </w:tcPr>
          <w:p w14:paraId="6ADB79C8" w14:textId="77777777" w:rsidR="00AA0C74" w:rsidRPr="00CA21ED" w:rsidRDefault="00AA0C74" w:rsidP="00C668C2">
            <w:pPr>
              <w:widowControl w:val="0"/>
              <w:pBdr>
                <w:top w:val="nil"/>
                <w:left w:val="nil"/>
                <w:bottom w:val="nil"/>
                <w:right w:val="nil"/>
                <w:between w:val="nil"/>
              </w:pBdr>
              <w:spacing w:after="0" w:line="276" w:lineRule="auto"/>
            </w:pPr>
          </w:p>
        </w:tc>
        <w:tc>
          <w:tcPr>
            <w:tcW w:w="3683" w:type="dxa"/>
            <w:shd w:val="clear" w:color="auto" w:fill="auto"/>
          </w:tcPr>
          <w:p w14:paraId="00DBD510" w14:textId="533D8B1D" w:rsidR="00AA0C74" w:rsidRPr="00CA21ED" w:rsidRDefault="00AA0C74" w:rsidP="00C668C2">
            <w:r>
              <w:t>60%/80% (Analysis model 2 ROC)</w:t>
            </w:r>
          </w:p>
        </w:tc>
        <w:tc>
          <w:tcPr>
            <w:tcW w:w="1891" w:type="dxa"/>
            <w:shd w:val="clear" w:color="auto" w:fill="C6E0B4"/>
            <w:vAlign w:val="bottom"/>
          </w:tcPr>
          <w:p w14:paraId="0C896D67" w14:textId="3171BDA0" w:rsidR="00AA0C74" w:rsidRPr="00CA21ED" w:rsidRDefault="00AA0C74" w:rsidP="00C668C2">
            <w:pPr>
              <w:rPr>
                <w:rFonts w:cs="Calibri"/>
                <w:color w:val="000000"/>
                <w:sz w:val="20"/>
                <w:szCs w:val="20"/>
              </w:rPr>
            </w:pPr>
            <w:r>
              <w:rPr>
                <w:rFonts w:cs="Calibri"/>
                <w:color w:val="000000"/>
                <w:sz w:val="20"/>
                <w:szCs w:val="20"/>
              </w:rPr>
              <w:t>1048.26</w:t>
            </w:r>
          </w:p>
        </w:tc>
        <w:tc>
          <w:tcPr>
            <w:tcW w:w="2221" w:type="dxa"/>
            <w:shd w:val="clear" w:color="auto" w:fill="FF9999"/>
            <w:vAlign w:val="bottom"/>
          </w:tcPr>
          <w:p w14:paraId="0F36D0CE" w14:textId="1F11F68C" w:rsidR="00AA0C74" w:rsidRPr="00CA21ED" w:rsidRDefault="00AA0C74" w:rsidP="00C668C2">
            <w:pPr>
              <w:rPr>
                <w:rFonts w:cs="Calibri"/>
                <w:color w:val="000000"/>
                <w:sz w:val="20"/>
                <w:szCs w:val="20"/>
              </w:rPr>
            </w:pPr>
            <w:r>
              <w:rPr>
                <w:rFonts w:cs="Calibri"/>
                <w:color w:val="000000"/>
                <w:sz w:val="20"/>
                <w:szCs w:val="20"/>
              </w:rPr>
              <w:t>1029.75</w:t>
            </w:r>
          </w:p>
        </w:tc>
        <w:tc>
          <w:tcPr>
            <w:tcW w:w="1701" w:type="dxa"/>
            <w:shd w:val="clear" w:color="auto" w:fill="FFF2CC"/>
            <w:vAlign w:val="bottom"/>
          </w:tcPr>
          <w:p w14:paraId="44F51948" w14:textId="591C05B0" w:rsidR="00AA0C74" w:rsidRPr="00CA21ED" w:rsidRDefault="00AA0C74" w:rsidP="00C668C2">
            <w:pPr>
              <w:rPr>
                <w:rFonts w:cs="Calibri"/>
                <w:color w:val="000000"/>
                <w:sz w:val="20"/>
                <w:szCs w:val="20"/>
              </w:rPr>
            </w:pPr>
            <w:r>
              <w:rPr>
                <w:rFonts w:cs="Calibri"/>
                <w:color w:val="000000"/>
                <w:sz w:val="20"/>
                <w:szCs w:val="20"/>
              </w:rPr>
              <w:t>1042.96</w:t>
            </w:r>
          </w:p>
        </w:tc>
      </w:tr>
      <w:tr w:rsidR="00C668C2" w:rsidRPr="00CA21ED" w14:paraId="59BD5298" w14:textId="77777777" w:rsidTr="00B52FCA">
        <w:trPr>
          <w:cantSplit/>
          <w:trHeight w:val="288"/>
        </w:trPr>
        <w:tc>
          <w:tcPr>
            <w:tcW w:w="3540" w:type="dxa"/>
            <w:vMerge/>
            <w:shd w:val="clear" w:color="auto" w:fill="auto"/>
          </w:tcPr>
          <w:p w14:paraId="000001CB"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CC" w14:textId="77777777" w:rsidR="00C668C2" w:rsidRPr="00CA21ED" w:rsidRDefault="00C668C2" w:rsidP="00C668C2">
            <w:r w:rsidRPr="00CA21ED">
              <w:t>Aligned with clinical decision alone</w:t>
            </w:r>
          </w:p>
        </w:tc>
        <w:tc>
          <w:tcPr>
            <w:tcW w:w="1891" w:type="dxa"/>
            <w:shd w:val="clear" w:color="auto" w:fill="C6E0B4"/>
            <w:vAlign w:val="bottom"/>
          </w:tcPr>
          <w:p w14:paraId="000001CD" w14:textId="6DAB6F73" w:rsidR="00C668C2" w:rsidRPr="00CA21ED" w:rsidRDefault="00C668C2" w:rsidP="00C668C2">
            <w:pPr>
              <w:rPr>
                <w:rFonts w:asciiTheme="minorHAnsi" w:hAnsiTheme="minorHAnsi"/>
              </w:rPr>
            </w:pPr>
            <w:r w:rsidRPr="00CA21ED">
              <w:rPr>
                <w:rFonts w:cs="Calibri"/>
                <w:color w:val="000000"/>
                <w:sz w:val="20"/>
                <w:szCs w:val="20"/>
              </w:rPr>
              <w:t>1051.09</w:t>
            </w:r>
          </w:p>
        </w:tc>
        <w:tc>
          <w:tcPr>
            <w:tcW w:w="2221" w:type="dxa"/>
            <w:shd w:val="clear" w:color="auto" w:fill="FF9999"/>
            <w:vAlign w:val="bottom"/>
          </w:tcPr>
          <w:p w14:paraId="000001CE" w14:textId="6B72337C"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CF" w14:textId="5E15BF8C" w:rsidR="00C668C2" w:rsidRPr="00CA21ED" w:rsidRDefault="00C668C2" w:rsidP="00C668C2">
            <w:pPr>
              <w:rPr>
                <w:rFonts w:asciiTheme="minorHAnsi" w:hAnsiTheme="minorHAnsi"/>
              </w:rPr>
            </w:pPr>
            <w:r w:rsidRPr="00CA21ED">
              <w:rPr>
                <w:rFonts w:cs="Calibri"/>
                <w:color w:val="000000"/>
                <w:sz w:val="20"/>
                <w:szCs w:val="20"/>
              </w:rPr>
              <w:t>1042.97</w:t>
            </w:r>
          </w:p>
        </w:tc>
      </w:tr>
      <w:tr w:rsidR="00C668C2" w:rsidRPr="00CA21ED" w14:paraId="4F1688E1" w14:textId="77777777" w:rsidTr="00B52FCA">
        <w:trPr>
          <w:cantSplit/>
          <w:trHeight w:val="288"/>
        </w:trPr>
        <w:tc>
          <w:tcPr>
            <w:tcW w:w="3540" w:type="dxa"/>
            <w:vMerge w:val="restart"/>
            <w:shd w:val="clear" w:color="auto" w:fill="auto"/>
          </w:tcPr>
          <w:p w14:paraId="000001D0" w14:textId="4904134A" w:rsidR="00C668C2" w:rsidRPr="00CA21ED" w:rsidRDefault="00C668C2" w:rsidP="00C668C2">
            <w:r w:rsidRPr="00CA21ED">
              <w:t>Cost of excess bed days for AHF and non-AHF patients</w:t>
            </w:r>
          </w:p>
        </w:tc>
        <w:tc>
          <w:tcPr>
            <w:tcW w:w="3683" w:type="dxa"/>
            <w:shd w:val="clear" w:color="auto" w:fill="auto"/>
          </w:tcPr>
          <w:p w14:paraId="000001D1" w14:textId="77777777" w:rsidR="00C668C2" w:rsidRPr="00CA21ED" w:rsidRDefault="00C668C2" w:rsidP="00C668C2">
            <w:pPr>
              <w:rPr>
                <w:b/>
              </w:rPr>
            </w:pPr>
            <w:r w:rsidRPr="00CA21ED">
              <w:rPr>
                <w:b/>
              </w:rPr>
              <w:t>NHS reference costs (base case)</w:t>
            </w:r>
          </w:p>
        </w:tc>
        <w:tc>
          <w:tcPr>
            <w:tcW w:w="1891" w:type="dxa"/>
            <w:shd w:val="clear" w:color="auto" w:fill="C6E0B4"/>
            <w:vAlign w:val="bottom"/>
          </w:tcPr>
          <w:p w14:paraId="000001D2" w14:textId="6F266F9D"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D3" w14:textId="59150CE0"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D4" w14:textId="4F3BEEE2"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2E8DFCA7" w14:textId="77777777" w:rsidTr="00B52FCA">
        <w:trPr>
          <w:cantSplit/>
          <w:trHeight w:val="288"/>
        </w:trPr>
        <w:tc>
          <w:tcPr>
            <w:tcW w:w="3540" w:type="dxa"/>
            <w:vMerge/>
            <w:shd w:val="clear" w:color="auto" w:fill="auto"/>
          </w:tcPr>
          <w:p w14:paraId="000001D5"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D6" w14:textId="77777777" w:rsidR="00C668C2" w:rsidRPr="00CA21ED" w:rsidRDefault="00C668C2" w:rsidP="00C668C2">
            <w:r w:rsidRPr="00CA21ED">
              <w:t>HRG reference data</w:t>
            </w:r>
          </w:p>
        </w:tc>
        <w:tc>
          <w:tcPr>
            <w:tcW w:w="1891" w:type="dxa"/>
            <w:shd w:val="clear" w:color="auto" w:fill="C6E0B4"/>
            <w:vAlign w:val="bottom"/>
          </w:tcPr>
          <w:p w14:paraId="000001D7" w14:textId="2F2811B7" w:rsidR="00C668C2" w:rsidRPr="00CA21ED" w:rsidRDefault="00C668C2" w:rsidP="00C668C2">
            <w:pPr>
              <w:rPr>
                <w:rFonts w:asciiTheme="minorHAnsi" w:hAnsiTheme="minorHAnsi"/>
              </w:rPr>
            </w:pPr>
            <w:r w:rsidRPr="00CA21ED">
              <w:rPr>
                <w:rFonts w:cs="Calibri"/>
                <w:color w:val="000000"/>
                <w:sz w:val="20"/>
                <w:szCs w:val="20"/>
              </w:rPr>
              <w:t>1046.72</w:t>
            </w:r>
          </w:p>
        </w:tc>
        <w:tc>
          <w:tcPr>
            <w:tcW w:w="2221" w:type="dxa"/>
            <w:shd w:val="clear" w:color="auto" w:fill="FF9999"/>
            <w:vAlign w:val="bottom"/>
          </w:tcPr>
          <w:p w14:paraId="000001D8" w14:textId="394CAE90" w:rsidR="00C668C2" w:rsidRPr="00CA21ED" w:rsidRDefault="00C668C2" w:rsidP="00C668C2">
            <w:pPr>
              <w:rPr>
                <w:rFonts w:asciiTheme="minorHAnsi" w:hAnsiTheme="minorHAnsi"/>
              </w:rPr>
            </w:pPr>
            <w:r w:rsidRPr="00CA21ED">
              <w:rPr>
                <w:rFonts w:cs="Calibri"/>
                <w:color w:val="000000"/>
                <w:sz w:val="20"/>
                <w:szCs w:val="20"/>
              </w:rPr>
              <w:t>1026.18</w:t>
            </w:r>
          </w:p>
        </w:tc>
        <w:tc>
          <w:tcPr>
            <w:tcW w:w="1701" w:type="dxa"/>
            <w:shd w:val="clear" w:color="auto" w:fill="FFF2CC"/>
            <w:vAlign w:val="bottom"/>
          </w:tcPr>
          <w:p w14:paraId="000001D9" w14:textId="7C62B70E" w:rsidR="00C668C2" w:rsidRPr="00CA21ED" w:rsidRDefault="00C668C2" w:rsidP="00C668C2">
            <w:pPr>
              <w:rPr>
                <w:rFonts w:asciiTheme="minorHAnsi" w:hAnsiTheme="minorHAnsi"/>
              </w:rPr>
            </w:pPr>
            <w:r w:rsidRPr="00CA21ED">
              <w:rPr>
                <w:rFonts w:cs="Calibri"/>
                <w:color w:val="000000"/>
                <w:sz w:val="20"/>
                <w:szCs w:val="20"/>
              </w:rPr>
              <w:t>1037.10</w:t>
            </w:r>
          </w:p>
        </w:tc>
      </w:tr>
      <w:tr w:rsidR="00C668C2" w:rsidRPr="00CA21ED" w14:paraId="18224F23" w14:textId="77777777" w:rsidTr="00B52FCA">
        <w:trPr>
          <w:cantSplit/>
          <w:trHeight w:val="300"/>
        </w:trPr>
        <w:tc>
          <w:tcPr>
            <w:tcW w:w="3540" w:type="dxa"/>
            <w:vMerge/>
            <w:shd w:val="clear" w:color="auto" w:fill="auto"/>
          </w:tcPr>
          <w:p w14:paraId="000001DA"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DB" w14:textId="77777777" w:rsidR="00C668C2" w:rsidRPr="00CA21ED" w:rsidRDefault="00C668C2" w:rsidP="00C668C2">
            <w:r w:rsidRPr="00CA21ED">
              <w:t>NHS tariff costs</w:t>
            </w:r>
          </w:p>
        </w:tc>
        <w:tc>
          <w:tcPr>
            <w:tcW w:w="1891" w:type="dxa"/>
            <w:shd w:val="clear" w:color="auto" w:fill="C6E0B4"/>
            <w:vAlign w:val="bottom"/>
          </w:tcPr>
          <w:p w14:paraId="000001DC" w14:textId="0D102A06" w:rsidR="00C668C2" w:rsidRPr="00CA21ED" w:rsidRDefault="00C668C2" w:rsidP="00C668C2">
            <w:pPr>
              <w:rPr>
                <w:rFonts w:asciiTheme="minorHAnsi" w:hAnsiTheme="minorHAnsi"/>
              </w:rPr>
            </w:pPr>
            <w:r w:rsidRPr="00CA21ED">
              <w:rPr>
                <w:rFonts w:cs="Calibri"/>
                <w:color w:val="000000"/>
                <w:sz w:val="20"/>
                <w:szCs w:val="20"/>
              </w:rPr>
              <w:t>1052.20</w:t>
            </w:r>
          </w:p>
        </w:tc>
        <w:tc>
          <w:tcPr>
            <w:tcW w:w="2221" w:type="dxa"/>
            <w:shd w:val="clear" w:color="auto" w:fill="FF9999"/>
            <w:vAlign w:val="bottom"/>
          </w:tcPr>
          <w:p w14:paraId="000001DD" w14:textId="78EFFFAD" w:rsidR="00C668C2" w:rsidRPr="00CA21ED" w:rsidRDefault="00C668C2" w:rsidP="00C668C2">
            <w:pPr>
              <w:rPr>
                <w:rFonts w:asciiTheme="minorHAnsi" w:hAnsiTheme="minorHAnsi"/>
              </w:rPr>
            </w:pPr>
            <w:r w:rsidRPr="00CA21ED">
              <w:rPr>
                <w:rFonts w:cs="Calibri"/>
                <w:color w:val="000000"/>
                <w:sz w:val="20"/>
                <w:szCs w:val="20"/>
              </w:rPr>
              <w:t>1031.05</w:t>
            </w:r>
          </w:p>
        </w:tc>
        <w:tc>
          <w:tcPr>
            <w:tcW w:w="1701" w:type="dxa"/>
            <w:shd w:val="clear" w:color="auto" w:fill="FFF2CC"/>
            <w:vAlign w:val="bottom"/>
          </w:tcPr>
          <w:p w14:paraId="000001DE" w14:textId="239D39D9" w:rsidR="00C668C2" w:rsidRPr="00CA21ED" w:rsidRDefault="00C668C2" w:rsidP="00C668C2">
            <w:pPr>
              <w:rPr>
                <w:rFonts w:asciiTheme="minorHAnsi" w:hAnsiTheme="minorHAnsi"/>
              </w:rPr>
            </w:pPr>
            <w:r w:rsidRPr="00CA21ED">
              <w:rPr>
                <w:rFonts w:cs="Calibri"/>
                <w:color w:val="000000"/>
                <w:sz w:val="20"/>
                <w:szCs w:val="20"/>
              </w:rPr>
              <w:t>1045.58</w:t>
            </w:r>
          </w:p>
        </w:tc>
      </w:tr>
      <w:tr w:rsidR="00C668C2" w:rsidRPr="00CA21ED" w14:paraId="0269549A" w14:textId="77777777" w:rsidTr="00B52FCA">
        <w:trPr>
          <w:cantSplit/>
          <w:trHeight w:val="288"/>
        </w:trPr>
        <w:tc>
          <w:tcPr>
            <w:tcW w:w="3540" w:type="dxa"/>
            <w:vMerge w:val="restart"/>
            <w:shd w:val="clear" w:color="auto" w:fill="auto"/>
          </w:tcPr>
          <w:p w14:paraId="000001F8" w14:textId="77777777" w:rsidR="00C668C2" w:rsidRPr="00CA21ED" w:rsidRDefault="00C668C2" w:rsidP="00C668C2">
            <w:r w:rsidRPr="00CA21ED">
              <w:t>Proportion of TPs receiving sacubitril/valsartan</w:t>
            </w:r>
          </w:p>
        </w:tc>
        <w:tc>
          <w:tcPr>
            <w:tcW w:w="3683" w:type="dxa"/>
            <w:shd w:val="clear" w:color="auto" w:fill="auto"/>
          </w:tcPr>
          <w:p w14:paraId="000001F9" w14:textId="77777777" w:rsidR="00C668C2" w:rsidRPr="00CA21ED" w:rsidRDefault="00C668C2" w:rsidP="00C668C2">
            <w:pPr>
              <w:rPr>
                <w:b/>
              </w:rPr>
            </w:pPr>
            <w:r w:rsidRPr="00CA21ED">
              <w:rPr>
                <w:b/>
              </w:rPr>
              <w:t>0% (base case)</w:t>
            </w:r>
          </w:p>
        </w:tc>
        <w:tc>
          <w:tcPr>
            <w:tcW w:w="1891" w:type="dxa"/>
            <w:shd w:val="clear" w:color="auto" w:fill="C6E0B4"/>
            <w:vAlign w:val="bottom"/>
          </w:tcPr>
          <w:p w14:paraId="000001FA" w14:textId="7F886BC5"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1FB" w14:textId="775BCC8D"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1FC" w14:textId="342D1D8E"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1DDF3F96" w14:textId="77777777" w:rsidTr="00B52FCA">
        <w:trPr>
          <w:cantSplit/>
          <w:trHeight w:val="300"/>
        </w:trPr>
        <w:tc>
          <w:tcPr>
            <w:tcW w:w="3540" w:type="dxa"/>
            <w:vMerge/>
            <w:shd w:val="clear" w:color="auto" w:fill="auto"/>
          </w:tcPr>
          <w:p w14:paraId="000001FD"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1FE" w14:textId="77777777" w:rsidR="00C668C2" w:rsidRPr="00CA21ED" w:rsidRDefault="00C668C2" w:rsidP="00C668C2">
            <w:r w:rsidRPr="00CA21ED">
              <w:t>10%</w:t>
            </w:r>
          </w:p>
        </w:tc>
        <w:tc>
          <w:tcPr>
            <w:tcW w:w="1891" w:type="dxa"/>
            <w:shd w:val="clear" w:color="auto" w:fill="C6E0B4"/>
            <w:vAlign w:val="bottom"/>
          </w:tcPr>
          <w:p w14:paraId="000001FF" w14:textId="6F5513BE" w:rsidR="00C668C2" w:rsidRPr="00CA21ED" w:rsidRDefault="00C668C2" w:rsidP="00C668C2">
            <w:pPr>
              <w:rPr>
                <w:rFonts w:asciiTheme="minorHAnsi" w:hAnsiTheme="minorHAnsi"/>
              </w:rPr>
            </w:pPr>
            <w:r w:rsidRPr="00CA21ED">
              <w:rPr>
                <w:rFonts w:cs="Calibri"/>
                <w:color w:val="000000"/>
                <w:sz w:val="20"/>
                <w:szCs w:val="20"/>
              </w:rPr>
              <w:t>1060.88</w:t>
            </w:r>
          </w:p>
        </w:tc>
        <w:tc>
          <w:tcPr>
            <w:tcW w:w="2221" w:type="dxa"/>
            <w:shd w:val="clear" w:color="auto" w:fill="FF9999"/>
            <w:vAlign w:val="bottom"/>
          </w:tcPr>
          <w:p w14:paraId="00000200" w14:textId="0526574F" w:rsidR="00C668C2" w:rsidRPr="00CA21ED" w:rsidRDefault="00C668C2" w:rsidP="00C668C2">
            <w:pPr>
              <w:rPr>
                <w:rFonts w:asciiTheme="minorHAnsi" w:hAnsiTheme="minorHAnsi"/>
              </w:rPr>
            </w:pPr>
            <w:r w:rsidRPr="00CA21ED">
              <w:rPr>
                <w:rFonts w:cs="Calibri"/>
                <w:color w:val="000000"/>
                <w:sz w:val="20"/>
                <w:szCs w:val="20"/>
              </w:rPr>
              <w:t>1040.81</w:t>
            </w:r>
          </w:p>
        </w:tc>
        <w:tc>
          <w:tcPr>
            <w:tcW w:w="1701" w:type="dxa"/>
            <w:shd w:val="clear" w:color="auto" w:fill="FFF2CC"/>
            <w:vAlign w:val="bottom"/>
          </w:tcPr>
          <w:p w14:paraId="00000201" w14:textId="5A339C7E" w:rsidR="00C668C2" w:rsidRPr="00CA21ED" w:rsidRDefault="00C668C2" w:rsidP="00C668C2">
            <w:pPr>
              <w:rPr>
                <w:rFonts w:asciiTheme="minorHAnsi" w:hAnsiTheme="minorHAnsi"/>
              </w:rPr>
            </w:pPr>
            <w:r w:rsidRPr="00CA21ED">
              <w:rPr>
                <w:rFonts w:cs="Calibri"/>
                <w:color w:val="000000"/>
                <w:sz w:val="20"/>
                <w:szCs w:val="20"/>
              </w:rPr>
              <w:t>1053.39</w:t>
            </w:r>
          </w:p>
        </w:tc>
      </w:tr>
      <w:tr w:rsidR="00C668C2" w:rsidRPr="00CA21ED" w14:paraId="18971458" w14:textId="77777777" w:rsidTr="00B52FCA">
        <w:trPr>
          <w:cantSplit/>
          <w:trHeight w:val="288"/>
        </w:trPr>
        <w:tc>
          <w:tcPr>
            <w:tcW w:w="3540" w:type="dxa"/>
            <w:vMerge w:val="restart"/>
            <w:shd w:val="clear" w:color="auto" w:fill="auto"/>
          </w:tcPr>
          <w:p w14:paraId="00000202" w14:textId="77777777" w:rsidR="00C668C2" w:rsidRPr="00CA21ED" w:rsidRDefault="00C668C2" w:rsidP="00C668C2">
            <w:r w:rsidRPr="00CA21ED">
              <w:lastRenderedPageBreak/>
              <w:t>Probability of admission in the NT-proBNP RI/RO strategy grey zone</w:t>
            </w:r>
          </w:p>
        </w:tc>
        <w:tc>
          <w:tcPr>
            <w:tcW w:w="3683" w:type="dxa"/>
            <w:shd w:val="clear" w:color="auto" w:fill="auto"/>
          </w:tcPr>
          <w:p w14:paraId="00000203" w14:textId="77777777" w:rsidR="00C668C2" w:rsidRPr="00CA21ED" w:rsidRDefault="00C668C2" w:rsidP="00C668C2">
            <w:pPr>
              <w:rPr>
                <w:b/>
              </w:rPr>
            </w:pPr>
            <w:r w:rsidRPr="00CA21ED">
              <w:rPr>
                <w:b/>
              </w:rPr>
              <w:t>Empirically observed and adjusted for diagnostic classification (base case)</w:t>
            </w:r>
          </w:p>
        </w:tc>
        <w:tc>
          <w:tcPr>
            <w:tcW w:w="1891" w:type="dxa"/>
            <w:shd w:val="clear" w:color="auto" w:fill="C6E0B4"/>
            <w:vAlign w:val="bottom"/>
          </w:tcPr>
          <w:p w14:paraId="00000204" w14:textId="5DBCE90C" w:rsidR="00C668C2" w:rsidRPr="00CA21ED" w:rsidRDefault="00C668C2" w:rsidP="00C668C2">
            <w:pPr>
              <w:rPr>
                <w:rFonts w:asciiTheme="minorHAnsi" w:hAnsiTheme="minorHAnsi"/>
              </w:rPr>
            </w:pPr>
            <w:r w:rsidRPr="00CA21ED">
              <w:rPr>
                <w:rFonts w:cs="Calibri"/>
                <w:color w:val="000000"/>
                <w:sz w:val="20"/>
                <w:szCs w:val="20"/>
              </w:rPr>
              <w:t>1050.88</w:t>
            </w:r>
          </w:p>
        </w:tc>
        <w:tc>
          <w:tcPr>
            <w:tcW w:w="2221" w:type="dxa"/>
            <w:shd w:val="clear" w:color="auto" w:fill="FF9999"/>
            <w:vAlign w:val="bottom"/>
          </w:tcPr>
          <w:p w14:paraId="00000205" w14:textId="07E66CB9"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206" w14:textId="609E9B0F" w:rsidR="00C668C2" w:rsidRPr="00CA21ED" w:rsidRDefault="00C668C2" w:rsidP="00C668C2">
            <w:pPr>
              <w:rPr>
                <w:rFonts w:asciiTheme="minorHAnsi" w:hAnsiTheme="minorHAnsi"/>
              </w:rPr>
            </w:pPr>
            <w:r w:rsidRPr="00CA21ED">
              <w:rPr>
                <w:rFonts w:cs="Calibri"/>
                <w:color w:val="000000"/>
                <w:sz w:val="20"/>
                <w:szCs w:val="20"/>
              </w:rPr>
              <w:t>1043.57</w:t>
            </w:r>
          </w:p>
        </w:tc>
      </w:tr>
      <w:tr w:rsidR="00C668C2" w:rsidRPr="00CA21ED" w14:paraId="76F43CF2" w14:textId="77777777" w:rsidTr="00B52FCA">
        <w:trPr>
          <w:cantSplit/>
          <w:trHeight w:val="288"/>
        </w:trPr>
        <w:tc>
          <w:tcPr>
            <w:tcW w:w="3540" w:type="dxa"/>
            <w:vMerge/>
            <w:shd w:val="clear" w:color="auto" w:fill="auto"/>
          </w:tcPr>
          <w:p w14:paraId="00000207"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208" w14:textId="77777777" w:rsidR="00C668C2" w:rsidRPr="00CA21ED" w:rsidRDefault="00C668C2" w:rsidP="00C668C2">
            <w:r w:rsidRPr="00CA21ED">
              <w:t>Aligned with clinical decision alone</w:t>
            </w:r>
          </w:p>
        </w:tc>
        <w:tc>
          <w:tcPr>
            <w:tcW w:w="1891" w:type="dxa"/>
            <w:shd w:val="clear" w:color="auto" w:fill="C6E0B4"/>
            <w:vAlign w:val="bottom"/>
          </w:tcPr>
          <w:p w14:paraId="00000209" w14:textId="62A0D3F0" w:rsidR="00C668C2" w:rsidRPr="00CA21ED" w:rsidRDefault="00C668C2" w:rsidP="00C668C2">
            <w:pPr>
              <w:rPr>
                <w:rFonts w:asciiTheme="minorHAnsi" w:hAnsiTheme="minorHAnsi"/>
              </w:rPr>
            </w:pPr>
            <w:r w:rsidRPr="00CA21ED">
              <w:rPr>
                <w:rFonts w:cs="Calibri"/>
                <w:color w:val="000000"/>
                <w:sz w:val="20"/>
                <w:szCs w:val="20"/>
              </w:rPr>
              <w:t>1051.24</w:t>
            </w:r>
          </w:p>
        </w:tc>
        <w:tc>
          <w:tcPr>
            <w:tcW w:w="2221" w:type="dxa"/>
            <w:shd w:val="clear" w:color="auto" w:fill="FF9999"/>
            <w:vAlign w:val="bottom"/>
          </w:tcPr>
          <w:p w14:paraId="0000020A" w14:textId="53BCD7A3"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20B" w14:textId="141D9982" w:rsidR="00C668C2" w:rsidRPr="00CA21ED" w:rsidRDefault="00C668C2" w:rsidP="00C668C2">
            <w:pPr>
              <w:rPr>
                <w:rFonts w:asciiTheme="minorHAnsi" w:hAnsiTheme="minorHAnsi"/>
              </w:rPr>
            </w:pPr>
            <w:r w:rsidRPr="00CA21ED">
              <w:rPr>
                <w:rFonts w:cs="Calibri"/>
                <w:color w:val="000000"/>
                <w:sz w:val="20"/>
                <w:szCs w:val="20"/>
              </w:rPr>
              <w:t>1043.81</w:t>
            </w:r>
          </w:p>
        </w:tc>
      </w:tr>
      <w:tr w:rsidR="00C668C2" w:rsidRPr="00CA21ED" w14:paraId="12D30CF9" w14:textId="77777777" w:rsidTr="00B52FCA">
        <w:trPr>
          <w:cantSplit/>
          <w:trHeight w:val="288"/>
        </w:trPr>
        <w:tc>
          <w:tcPr>
            <w:tcW w:w="3540" w:type="dxa"/>
            <w:vMerge/>
            <w:shd w:val="clear" w:color="auto" w:fill="auto"/>
          </w:tcPr>
          <w:p w14:paraId="0000020C"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20D" w14:textId="77777777" w:rsidR="00C668C2" w:rsidRPr="00CA21ED" w:rsidRDefault="00C668C2" w:rsidP="00C668C2">
            <w:r w:rsidRPr="00CA21ED">
              <w:t>Empirically observed but not changed by positive/negative status</w:t>
            </w:r>
          </w:p>
        </w:tc>
        <w:tc>
          <w:tcPr>
            <w:tcW w:w="1891" w:type="dxa"/>
            <w:shd w:val="clear" w:color="auto" w:fill="C6E0B4"/>
            <w:vAlign w:val="bottom"/>
          </w:tcPr>
          <w:p w14:paraId="0000020E" w14:textId="0C905785" w:rsidR="00C668C2" w:rsidRPr="00CA21ED" w:rsidRDefault="00C668C2" w:rsidP="00C668C2">
            <w:pPr>
              <w:rPr>
                <w:rFonts w:asciiTheme="minorHAnsi" w:hAnsiTheme="minorHAnsi"/>
              </w:rPr>
            </w:pPr>
            <w:r w:rsidRPr="00CA21ED">
              <w:rPr>
                <w:rFonts w:cs="Calibri"/>
                <w:color w:val="000000"/>
                <w:sz w:val="20"/>
                <w:szCs w:val="20"/>
              </w:rPr>
              <w:t>1051.27</w:t>
            </w:r>
          </w:p>
        </w:tc>
        <w:tc>
          <w:tcPr>
            <w:tcW w:w="2221" w:type="dxa"/>
            <w:shd w:val="clear" w:color="auto" w:fill="FF9999"/>
            <w:vAlign w:val="bottom"/>
          </w:tcPr>
          <w:p w14:paraId="0000020F" w14:textId="2272C0D4"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210" w14:textId="1A6B4EDE" w:rsidR="00C668C2" w:rsidRPr="00CA21ED" w:rsidRDefault="00C668C2" w:rsidP="00C668C2">
            <w:pPr>
              <w:rPr>
                <w:rFonts w:asciiTheme="minorHAnsi" w:hAnsiTheme="minorHAnsi"/>
              </w:rPr>
            </w:pPr>
            <w:r w:rsidRPr="00CA21ED">
              <w:rPr>
                <w:rFonts w:cs="Calibri"/>
                <w:color w:val="000000"/>
                <w:sz w:val="20"/>
                <w:szCs w:val="20"/>
              </w:rPr>
              <w:t>1047.51</w:t>
            </w:r>
          </w:p>
        </w:tc>
      </w:tr>
      <w:tr w:rsidR="00C668C2" w:rsidRPr="00CA21ED" w14:paraId="45A56614" w14:textId="77777777" w:rsidTr="00B52FCA">
        <w:trPr>
          <w:cantSplit/>
          <w:trHeight w:val="300"/>
        </w:trPr>
        <w:tc>
          <w:tcPr>
            <w:tcW w:w="3540" w:type="dxa"/>
            <w:vMerge/>
            <w:shd w:val="clear" w:color="auto" w:fill="auto"/>
          </w:tcPr>
          <w:p w14:paraId="00000211"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00000212" w14:textId="77777777" w:rsidR="00C668C2" w:rsidRPr="00CA21ED" w:rsidRDefault="00C668C2" w:rsidP="00C668C2">
            <w:pPr>
              <w:rPr>
                <w:highlight w:val="yellow"/>
              </w:rPr>
            </w:pPr>
            <w:r w:rsidRPr="00CA21ED">
              <w:t>Aligned with non-grey zone RI/RO NT-proBNP</w:t>
            </w:r>
          </w:p>
        </w:tc>
        <w:tc>
          <w:tcPr>
            <w:tcW w:w="1891" w:type="dxa"/>
            <w:shd w:val="clear" w:color="auto" w:fill="C6E0B4"/>
            <w:vAlign w:val="bottom"/>
          </w:tcPr>
          <w:p w14:paraId="00000213" w14:textId="4C398F30" w:rsidR="00C668C2" w:rsidRPr="00CA21ED" w:rsidRDefault="00C668C2" w:rsidP="00C668C2">
            <w:pPr>
              <w:rPr>
                <w:rFonts w:asciiTheme="minorHAnsi" w:hAnsiTheme="minorHAnsi"/>
              </w:rPr>
            </w:pPr>
            <w:r w:rsidRPr="00CA21ED">
              <w:rPr>
                <w:rFonts w:cs="Calibri"/>
                <w:color w:val="000000"/>
                <w:sz w:val="20"/>
                <w:szCs w:val="20"/>
              </w:rPr>
              <w:t>1057.20</w:t>
            </w:r>
          </w:p>
        </w:tc>
        <w:tc>
          <w:tcPr>
            <w:tcW w:w="2221" w:type="dxa"/>
            <w:shd w:val="clear" w:color="auto" w:fill="FF9999"/>
            <w:vAlign w:val="bottom"/>
          </w:tcPr>
          <w:p w14:paraId="00000214" w14:textId="7435D66B" w:rsidR="00C668C2" w:rsidRPr="00CA21ED" w:rsidRDefault="00C668C2" w:rsidP="00C668C2">
            <w:pPr>
              <w:rPr>
                <w:rFonts w:asciiTheme="minorHAnsi" w:hAnsiTheme="minorHAnsi"/>
              </w:rPr>
            </w:pPr>
            <w:r w:rsidRPr="00CA21ED">
              <w:rPr>
                <w:rFonts w:cs="Calibri"/>
                <w:color w:val="000000"/>
                <w:sz w:val="20"/>
                <w:szCs w:val="20"/>
              </w:rPr>
              <w:t>1029.75</w:t>
            </w:r>
          </w:p>
        </w:tc>
        <w:tc>
          <w:tcPr>
            <w:tcW w:w="1701" w:type="dxa"/>
            <w:shd w:val="clear" w:color="auto" w:fill="FFF2CC"/>
            <w:vAlign w:val="bottom"/>
          </w:tcPr>
          <w:p w14:paraId="00000215" w14:textId="6A0CE2E4" w:rsidR="00C668C2" w:rsidRPr="00CA21ED" w:rsidRDefault="00C668C2" w:rsidP="00C668C2">
            <w:pPr>
              <w:rPr>
                <w:rFonts w:asciiTheme="minorHAnsi" w:hAnsiTheme="minorHAnsi"/>
              </w:rPr>
            </w:pPr>
            <w:r w:rsidRPr="00CA21ED">
              <w:rPr>
                <w:rFonts w:cs="Calibri"/>
                <w:color w:val="000000"/>
                <w:sz w:val="20"/>
                <w:szCs w:val="20"/>
              </w:rPr>
              <w:t>1050.67</w:t>
            </w:r>
          </w:p>
        </w:tc>
      </w:tr>
      <w:tr w:rsidR="00C668C2" w:rsidRPr="00CA21ED" w14:paraId="24D70BA5" w14:textId="77777777" w:rsidTr="0090070D">
        <w:trPr>
          <w:cantSplit/>
          <w:trHeight w:val="300"/>
        </w:trPr>
        <w:tc>
          <w:tcPr>
            <w:tcW w:w="3540" w:type="dxa"/>
            <w:vMerge w:val="restart"/>
            <w:shd w:val="clear" w:color="auto" w:fill="auto"/>
          </w:tcPr>
          <w:p w14:paraId="46178BBB" w14:textId="511B0DA3" w:rsidR="00C668C2" w:rsidRPr="00CA21ED" w:rsidRDefault="00C668C2" w:rsidP="00C668C2">
            <w:pPr>
              <w:widowControl w:val="0"/>
              <w:pBdr>
                <w:top w:val="nil"/>
                <w:left w:val="nil"/>
                <w:bottom w:val="nil"/>
                <w:right w:val="nil"/>
                <w:between w:val="nil"/>
              </w:pBdr>
              <w:spacing w:after="0" w:line="276" w:lineRule="auto"/>
            </w:pPr>
            <w:r w:rsidRPr="00CA21ED">
              <w:t>Mortality hazard ratio for AA/MRA</w:t>
            </w:r>
          </w:p>
        </w:tc>
        <w:tc>
          <w:tcPr>
            <w:tcW w:w="3683" w:type="dxa"/>
            <w:shd w:val="clear" w:color="auto" w:fill="auto"/>
          </w:tcPr>
          <w:p w14:paraId="105866F1" w14:textId="3A0EFF07" w:rsidR="00C668C2" w:rsidRPr="00CA21ED" w:rsidRDefault="00C668C2" w:rsidP="00C668C2">
            <w:pPr>
              <w:rPr>
                <w:b/>
              </w:rPr>
            </w:pPr>
            <w:r w:rsidRPr="00CA21ED">
              <w:rPr>
                <w:b/>
              </w:rPr>
              <w:t>HR = 0 (base case)</w:t>
            </w:r>
          </w:p>
        </w:tc>
        <w:tc>
          <w:tcPr>
            <w:tcW w:w="1891" w:type="dxa"/>
            <w:shd w:val="clear" w:color="auto" w:fill="C6E0B4"/>
            <w:vAlign w:val="bottom"/>
          </w:tcPr>
          <w:p w14:paraId="2A71F582" w14:textId="7C196541" w:rsidR="00C668C2" w:rsidRPr="00CA21ED" w:rsidRDefault="00C668C2" w:rsidP="00C668C2">
            <w:pPr>
              <w:rPr>
                <w:rFonts w:cs="Calibri"/>
                <w:color w:val="000000"/>
                <w:sz w:val="20"/>
                <w:szCs w:val="20"/>
              </w:rPr>
            </w:pPr>
            <w:r w:rsidRPr="00CA21ED">
              <w:rPr>
                <w:rFonts w:cs="Calibri"/>
                <w:color w:val="000000"/>
                <w:sz w:val="20"/>
                <w:szCs w:val="20"/>
              </w:rPr>
              <w:t>1050.88</w:t>
            </w:r>
          </w:p>
        </w:tc>
        <w:tc>
          <w:tcPr>
            <w:tcW w:w="2221" w:type="dxa"/>
            <w:shd w:val="clear" w:color="auto" w:fill="FF9999"/>
            <w:vAlign w:val="bottom"/>
          </w:tcPr>
          <w:p w14:paraId="70E43A6A" w14:textId="5CB91CC6" w:rsidR="00C668C2" w:rsidRPr="00CA21ED" w:rsidRDefault="00C668C2" w:rsidP="00C668C2">
            <w:pPr>
              <w:rPr>
                <w:rFonts w:cs="Calibri"/>
                <w:color w:val="000000"/>
                <w:sz w:val="20"/>
                <w:szCs w:val="20"/>
              </w:rPr>
            </w:pPr>
            <w:r w:rsidRPr="00CA21ED">
              <w:rPr>
                <w:rFonts w:cs="Calibri"/>
                <w:color w:val="000000"/>
                <w:sz w:val="20"/>
                <w:szCs w:val="20"/>
              </w:rPr>
              <w:t>1029.75</w:t>
            </w:r>
          </w:p>
        </w:tc>
        <w:tc>
          <w:tcPr>
            <w:tcW w:w="1701" w:type="dxa"/>
            <w:shd w:val="clear" w:color="auto" w:fill="FFF2CC"/>
            <w:vAlign w:val="bottom"/>
          </w:tcPr>
          <w:p w14:paraId="7EA1EB91" w14:textId="28AD7294" w:rsidR="00C668C2" w:rsidRPr="00CA21ED" w:rsidRDefault="00C668C2" w:rsidP="00C668C2">
            <w:pPr>
              <w:rPr>
                <w:rFonts w:cs="Calibri"/>
                <w:color w:val="000000"/>
                <w:sz w:val="20"/>
                <w:szCs w:val="20"/>
              </w:rPr>
            </w:pPr>
            <w:r w:rsidRPr="00CA21ED">
              <w:rPr>
                <w:rFonts w:cs="Calibri"/>
                <w:color w:val="000000"/>
                <w:sz w:val="20"/>
                <w:szCs w:val="20"/>
              </w:rPr>
              <w:t>1043.57</w:t>
            </w:r>
          </w:p>
        </w:tc>
      </w:tr>
      <w:tr w:rsidR="00C668C2" w:rsidRPr="00CA21ED" w14:paraId="68917A4E" w14:textId="77777777" w:rsidTr="00F33795">
        <w:trPr>
          <w:cantSplit/>
          <w:trHeight w:val="300"/>
        </w:trPr>
        <w:tc>
          <w:tcPr>
            <w:tcW w:w="3540" w:type="dxa"/>
            <w:vMerge/>
            <w:shd w:val="clear" w:color="auto" w:fill="auto"/>
          </w:tcPr>
          <w:p w14:paraId="5CBEDEFA" w14:textId="77777777" w:rsidR="00C668C2" w:rsidRPr="00CA21ED" w:rsidRDefault="00C668C2" w:rsidP="00C668C2">
            <w:pPr>
              <w:widowControl w:val="0"/>
              <w:pBdr>
                <w:top w:val="nil"/>
                <w:left w:val="nil"/>
                <w:bottom w:val="nil"/>
                <w:right w:val="nil"/>
                <w:between w:val="nil"/>
              </w:pBdr>
              <w:spacing w:after="0" w:line="276" w:lineRule="auto"/>
            </w:pPr>
          </w:p>
        </w:tc>
        <w:tc>
          <w:tcPr>
            <w:tcW w:w="3683" w:type="dxa"/>
            <w:shd w:val="clear" w:color="auto" w:fill="auto"/>
          </w:tcPr>
          <w:p w14:paraId="217D129C" w14:textId="2D7B3EEA" w:rsidR="00C668C2" w:rsidRPr="00CA21ED" w:rsidRDefault="00C668C2" w:rsidP="00C668C2">
            <w:r w:rsidRPr="00CA21ED">
              <w:t>NICE assumption HR = 0.80</w:t>
            </w:r>
          </w:p>
        </w:tc>
        <w:tc>
          <w:tcPr>
            <w:tcW w:w="1891" w:type="dxa"/>
            <w:shd w:val="clear" w:color="auto" w:fill="C6E0B4"/>
          </w:tcPr>
          <w:p w14:paraId="563FB2D4" w14:textId="78B700DF" w:rsidR="00C668C2" w:rsidRPr="00CA21ED" w:rsidRDefault="00C668C2" w:rsidP="00C668C2">
            <w:pPr>
              <w:rPr>
                <w:rFonts w:cs="Calibri"/>
                <w:color w:val="000000"/>
                <w:sz w:val="20"/>
                <w:szCs w:val="20"/>
              </w:rPr>
            </w:pPr>
            <w:r w:rsidRPr="00CA21ED">
              <w:t>1050.21</w:t>
            </w:r>
          </w:p>
        </w:tc>
        <w:tc>
          <w:tcPr>
            <w:tcW w:w="2221" w:type="dxa"/>
            <w:shd w:val="clear" w:color="auto" w:fill="FF9999"/>
          </w:tcPr>
          <w:p w14:paraId="64BC45C8" w14:textId="3E249587" w:rsidR="00C668C2" w:rsidRPr="00CA21ED" w:rsidRDefault="00C668C2" w:rsidP="00C668C2">
            <w:pPr>
              <w:rPr>
                <w:rFonts w:cs="Calibri"/>
                <w:color w:val="000000"/>
                <w:sz w:val="20"/>
                <w:szCs w:val="20"/>
              </w:rPr>
            </w:pPr>
            <w:r w:rsidRPr="00CA21ED">
              <w:t>1026.74</w:t>
            </w:r>
          </w:p>
        </w:tc>
        <w:tc>
          <w:tcPr>
            <w:tcW w:w="1701" w:type="dxa"/>
            <w:shd w:val="clear" w:color="auto" w:fill="FFF2CC"/>
          </w:tcPr>
          <w:p w14:paraId="25CDF089" w14:textId="536CB8BC" w:rsidR="00C668C2" w:rsidRPr="00CA21ED" w:rsidRDefault="00C668C2" w:rsidP="00C668C2">
            <w:pPr>
              <w:rPr>
                <w:rFonts w:cs="Calibri"/>
                <w:color w:val="000000"/>
                <w:sz w:val="20"/>
                <w:szCs w:val="20"/>
              </w:rPr>
            </w:pPr>
            <w:r w:rsidRPr="00CA21ED">
              <w:t>1043.28</w:t>
            </w:r>
          </w:p>
        </w:tc>
      </w:tr>
    </w:tbl>
    <w:p w14:paraId="00000216" w14:textId="77777777" w:rsidR="00866D36" w:rsidRPr="00CA21ED" w:rsidRDefault="007B532F">
      <w:r w:rsidRPr="00CA21ED">
        <w:t>Footnotes: Green indicates the most cost-effective strategy, orange indicates the second most cost-effective strategy, and red indicates the least cost-effective strategy.</w:t>
      </w:r>
    </w:p>
    <w:p w14:paraId="00000217" w14:textId="10238729" w:rsidR="00866D36" w:rsidRPr="00CA21ED" w:rsidRDefault="007B532F">
      <w:pPr>
        <w:sectPr w:rsidR="00866D36" w:rsidRPr="00CA21ED">
          <w:pgSz w:w="15840" w:h="12240" w:orient="landscape"/>
          <w:pgMar w:top="1440" w:right="1440" w:bottom="1440" w:left="1440" w:header="720" w:footer="720" w:gutter="0"/>
          <w:cols w:space="720"/>
          <w:titlePg/>
        </w:sectPr>
      </w:pPr>
      <w:r w:rsidRPr="00CA21ED">
        <w:t xml:space="preserve">Abbreviations: AHF, acute heart failure; FN, false negative; FP, </w:t>
      </w:r>
      <w:r w:rsidR="00494320" w:rsidRPr="00CA21ED">
        <w:t>false</w:t>
      </w:r>
      <w:r w:rsidRPr="00CA21ED">
        <w:t xml:space="preserve"> positive; HRG, healthcare resource group; NHS, National Health Service; NICE, National Institute of Health and Care Excellence; NICOR, National Institute for Cardiovascular Outcomes Research; NT-proBNP, N-terminal pro B-type natriuretic peptide; QALY, quality-adjusted life </w:t>
      </w:r>
      <w:r w:rsidR="00494320" w:rsidRPr="00CA21ED">
        <w:t>year; RI</w:t>
      </w:r>
      <w:r w:rsidRPr="00CA21ED">
        <w:t>, rule-in; RO, rule-out; TP, true positive.</w:t>
      </w:r>
    </w:p>
    <w:p w14:paraId="00000218" w14:textId="0CE1D73B" w:rsidR="00866D36" w:rsidRPr="00CA21ED" w:rsidRDefault="007B532F">
      <w:pPr>
        <w:pStyle w:val="Heading2"/>
      </w:pPr>
      <w:r w:rsidRPr="00CA21ED">
        <w:lastRenderedPageBreak/>
        <w:t xml:space="preserve">Structural </w:t>
      </w:r>
      <w:r w:rsidR="00494320" w:rsidRPr="00CA21ED">
        <w:t>sensitivity</w:t>
      </w:r>
      <w:r w:rsidRPr="00CA21ED">
        <w:t xml:space="preserve"> analysis</w:t>
      </w:r>
    </w:p>
    <w:p w14:paraId="00000219" w14:textId="2999DE03" w:rsidR="00866D36" w:rsidRPr="00CA21ED" w:rsidRDefault="007B532F">
      <w:bookmarkStart w:id="34" w:name="_heading=h.2jxsxqh" w:colFirst="0" w:colLast="0"/>
      <w:bookmarkEnd w:id="34"/>
      <w:r w:rsidRPr="00CA21ED">
        <w:t xml:space="preserve">The results for the NICE inspired structural sensitivity analysis (assuming 100% admission from the ED) were similar to the </w:t>
      </w:r>
      <w:r w:rsidR="00ED5AF2" w:rsidRPr="00CA21ED">
        <w:t>base case</w:t>
      </w:r>
      <w:r w:rsidRPr="00CA21ED">
        <w:t xml:space="preserve">, with both NT-proBNP strategies being comfortably cost-effective versus </w:t>
      </w:r>
      <w:r w:rsidR="001B7C06" w:rsidRPr="00CA21ED">
        <w:t>clinical decision alone</w:t>
      </w:r>
      <w:r w:rsidR="001A5032" w:rsidRPr="00CA21ED">
        <w:t xml:space="preserve"> (</w:t>
      </w:r>
      <w:r w:rsidR="001A5032" w:rsidRPr="00CA21ED">
        <w:fldChar w:fldCharType="begin"/>
      </w:r>
      <w:r w:rsidR="001A5032" w:rsidRPr="00CA21ED">
        <w:instrText xml:space="preserve"> REF _Ref100153504 \h </w:instrText>
      </w:r>
      <w:r w:rsidR="001A5032" w:rsidRPr="00CA21ED">
        <w:fldChar w:fldCharType="separate"/>
      </w:r>
      <w:r w:rsidR="00A47A11" w:rsidRPr="00CA21ED">
        <w:t xml:space="preserve">Table </w:t>
      </w:r>
      <w:r w:rsidR="00A47A11">
        <w:rPr>
          <w:noProof/>
        </w:rPr>
        <w:t>13</w:t>
      </w:r>
      <w:r w:rsidR="001A5032" w:rsidRPr="00CA21ED">
        <w:fldChar w:fldCharType="end"/>
      </w:r>
      <w:r w:rsidR="001A5032" w:rsidRPr="00CA21ED">
        <w:t>)</w:t>
      </w:r>
      <w:r w:rsidRPr="00CA21ED">
        <w:t>. While RO was still not cost-effective compared to RI/RO, the ICER was much lower, because the potential benefit of reduced admissions in the NT-proBNP RI/RO strategy comparted with the RO is not factored into this model.</w:t>
      </w:r>
    </w:p>
    <w:p w14:paraId="0000021A" w14:textId="42B7CEB9" w:rsidR="00866D36" w:rsidRPr="00CA21ED" w:rsidRDefault="00FF7C95" w:rsidP="00FF7C95">
      <w:pPr>
        <w:pStyle w:val="Caption"/>
      </w:pPr>
      <w:bookmarkStart w:id="35" w:name="_Ref100153504"/>
      <w:r w:rsidRPr="00CA21ED">
        <w:t xml:space="preserve">Table </w:t>
      </w:r>
      <w:fldSimple w:instr=" SEQ Table \* ARABIC ">
        <w:r w:rsidR="00A47A11">
          <w:rPr>
            <w:noProof/>
          </w:rPr>
          <w:t>13</w:t>
        </w:r>
      </w:fldSimple>
      <w:bookmarkEnd w:id="35"/>
      <w:r w:rsidRPr="00CA21ED">
        <w:t xml:space="preserve">: Cost-effectiveness results for NICE structural </w:t>
      </w:r>
      <w:r w:rsidR="00494320" w:rsidRPr="00CA21ED">
        <w:t>sensitivity</w:t>
      </w:r>
      <w:r w:rsidRPr="00CA21ED">
        <w:t xml:space="preserve"> analysis</w:t>
      </w:r>
    </w:p>
    <w:tbl>
      <w:tblPr>
        <w:tblStyle w:val="TableGrid"/>
        <w:tblW w:w="9137" w:type="dxa"/>
        <w:tblLayout w:type="fixed"/>
        <w:tblLook w:val="0600" w:firstRow="0" w:lastRow="0" w:firstColumn="0" w:lastColumn="0" w:noHBand="1" w:noVBand="1"/>
      </w:tblPr>
      <w:tblGrid>
        <w:gridCol w:w="2253"/>
        <w:gridCol w:w="1286"/>
        <w:gridCol w:w="1134"/>
        <w:gridCol w:w="1276"/>
        <w:gridCol w:w="1417"/>
        <w:gridCol w:w="1771"/>
      </w:tblGrid>
      <w:tr w:rsidR="00866D36" w:rsidRPr="00CA21ED" w14:paraId="7549DAE3" w14:textId="77777777" w:rsidTr="00B46329">
        <w:trPr>
          <w:trHeight w:val="240"/>
        </w:trPr>
        <w:tc>
          <w:tcPr>
            <w:tcW w:w="2253" w:type="dxa"/>
          </w:tcPr>
          <w:p w14:paraId="0000021B" w14:textId="77777777" w:rsidR="00866D36" w:rsidRPr="00CA21ED" w:rsidRDefault="007B532F">
            <w:r w:rsidRPr="00CA21ED">
              <w:t>NICE</w:t>
            </w:r>
          </w:p>
        </w:tc>
        <w:tc>
          <w:tcPr>
            <w:tcW w:w="1286" w:type="dxa"/>
          </w:tcPr>
          <w:p w14:paraId="0000021C" w14:textId="77777777" w:rsidR="00866D36" w:rsidRPr="00CA21ED" w:rsidRDefault="007B532F">
            <w:r w:rsidRPr="00CA21ED">
              <w:t>Costs</w:t>
            </w:r>
          </w:p>
        </w:tc>
        <w:tc>
          <w:tcPr>
            <w:tcW w:w="1134" w:type="dxa"/>
          </w:tcPr>
          <w:p w14:paraId="0000021D" w14:textId="77777777" w:rsidR="00866D36" w:rsidRPr="00CA21ED" w:rsidRDefault="007B532F">
            <w:r w:rsidRPr="00CA21ED">
              <w:t>QALYs</w:t>
            </w:r>
          </w:p>
        </w:tc>
        <w:tc>
          <w:tcPr>
            <w:tcW w:w="1276" w:type="dxa"/>
          </w:tcPr>
          <w:p w14:paraId="0000021E" w14:textId="77777777" w:rsidR="00866D36" w:rsidRPr="00CA21ED" w:rsidRDefault="007B532F">
            <w:r w:rsidRPr="00CA21ED">
              <w:t>NHB</w:t>
            </w:r>
          </w:p>
        </w:tc>
        <w:tc>
          <w:tcPr>
            <w:tcW w:w="1417" w:type="dxa"/>
          </w:tcPr>
          <w:p w14:paraId="0000021F" w14:textId="77777777" w:rsidR="00866D36" w:rsidRPr="00CA21ED" w:rsidRDefault="007B532F">
            <w:r w:rsidRPr="00CA21ED">
              <w:t>ICER vs clinical decision alone</w:t>
            </w:r>
          </w:p>
        </w:tc>
        <w:tc>
          <w:tcPr>
            <w:tcW w:w="1771" w:type="dxa"/>
          </w:tcPr>
          <w:p w14:paraId="00000220" w14:textId="77777777" w:rsidR="00866D36" w:rsidRPr="00CA21ED" w:rsidRDefault="007B532F">
            <w:r w:rsidRPr="00CA21ED">
              <w:t>ICER vs RI/RO strategy</w:t>
            </w:r>
          </w:p>
        </w:tc>
      </w:tr>
      <w:tr w:rsidR="00C668C2" w:rsidRPr="00CA21ED" w14:paraId="2D5F3D90" w14:textId="77777777" w:rsidTr="00B46329">
        <w:trPr>
          <w:trHeight w:val="240"/>
        </w:trPr>
        <w:tc>
          <w:tcPr>
            <w:tcW w:w="2253" w:type="dxa"/>
          </w:tcPr>
          <w:p w14:paraId="00000221" w14:textId="77777777" w:rsidR="00C668C2" w:rsidRPr="00CA21ED" w:rsidRDefault="00C668C2" w:rsidP="00C668C2">
            <w:r w:rsidRPr="00CA21ED">
              <w:t>Clinical decision alone</w:t>
            </w:r>
          </w:p>
        </w:tc>
        <w:tc>
          <w:tcPr>
            <w:tcW w:w="1286" w:type="dxa"/>
          </w:tcPr>
          <w:p w14:paraId="00000222" w14:textId="66C47A87" w:rsidR="00C668C2" w:rsidRPr="00CA21ED" w:rsidRDefault="00C668C2" w:rsidP="00C668C2">
            <w:r w:rsidRPr="00CA21ED">
              <w:t>£5,365,787</w:t>
            </w:r>
          </w:p>
        </w:tc>
        <w:tc>
          <w:tcPr>
            <w:tcW w:w="1134" w:type="dxa"/>
          </w:tcPr>
          <w:p w14:paraId="00000223" w14:textId="138DC643" w:rsidR="00C668C2" w:rsidRPr="00CA21ED" w:rsidRDefault="00C668C2" w:rsidP="00C668C2">
            <w:r w:rsidRPr="00CA21ED">
              <w:t>1,257.39</w:t>
            </w:r>
          </w:p>
        </w:tc>
        <w:tc>
          <w:tcPr>
            <w:tcW w:w="1276" w:type="dxa"/>
          </w:tcPr>
          <w:p w14:paraId="00000224" w14:textId="56379B02" w:rsidR="00C668C2" w:rsidRPr="00CA21ED" w:rsidRDefault="00C668C2" w:rsidP="00C668C2">
            <w:r w:rsidRPr="00CA21ED">
              <w:t>989.10</w:t>
            </w:r>
          </w:p>
        </w:tc>
        <w:tc>
          <w:tcPr>
            <w:tcW w:w="1417" w:type="dxa"/>
          </w:tcPr>
          <w:p w14:paraId="00000225" w14:textId="77777777" w:rsidR="00C668C2" w:rsidRPr="00CA21ED" w:rsidRDefault="00C668C2" w:rsidP="00C668C2">
            <w:r w:rsidRPr="00CA21ED">
              <w:t>-</w:t>
            </w:r>
          </w:p>
        </w:tc>
        <w:tc>
          <w:tcPr>
            <w:tcW w:w="1771" w:type="dxa"/>
          </w:tcPr>
          <w:p w14:paraId="00000226" w14:textId="77777777" w:rsidR="00C668C2" w:rsidRPr="00CA21ED" w:rsidRDefault="00C668C2" w:rsidP="00C668C2">
            <w:r w:rsidRPr="00CA21ED">
              <w:t>-</w:t>
            </w:r>
          </w:p>
        </w:tc>
      </w:tr>
      <w:tr w:rsidR="00C668C2" w:rsidRPr="00CA21ED" w14:paraId="39C983F8" w14:textId="77777777" w:rsidTr="00B46329">
        <w:trPr>
          <w:trHeight w:val="240"/>
        </w:trPr>
        <w:tc>
          <w:tcPr>
            <w:tcW w:w="2253" w:type="dxa"/>
          </w:tcPr>
          <w:p w14:paraId="00000227" w14:textId="77777777" w:rsidR="00C668C2" w:rsidRPr="00CA21ED" w:rsidRDefault="00C668C2" w:rsidP="00C668C2">
            <w:r w:rsidRPr="00CA21ED">
              <w:t>NT-proBNP RI/RO</w:t>
            </w:r>
          </w:p>
        </w:tc>
        <w:tc>
          <w:tcPr>
            <w:tcW w:w="1286" w:type="dxa"/>
          </w:tcPr>
          <w:p w14:paraId="00000228" w14:textId="2AFF53C9" w:rsidR="00C668C2" w:rsidRPr="00CA21ED" w:rsidRDefault="00C668C2" w:rsidP="00C668C2">
            <w:r w:rsidRPr="00CA21ED">
              <w:t>£5,423,489</w:t>
            </w:r>
          </w:p>
        </w:tc>
        <w:tc>
          <w:tcPr>
            <w:tcW w:w="1134" w:type="dxa"/>
          </w:tcPr>
          <w:p w14:paraId="00000229" w14:textId="21AC0E7B" w:rsidR="00C668C2" w:rsidRPr="00CA21ED" w:rsidRDefault="00C668C2" w:rsidP="00C668C2">
            <w:r w:rsidRPr="00CA21ED">
              <w:t>1,272.58</w:t>
            </w:r>
          </w:p>
        </w:tc>
        <w:tc>
          <w:tcPr>
            <w:tcW w:w="1276" w:type="dxa"/>
          </w:tcPr>
          <w:p w14:paraId="0000022A" w14:textId="36A69580" w:rsidR="00C668C2" w:rsidRPr="00CA21ED" w:rsidRDefault="00C668C2" w:rsidP="00C668C2">
            <w:r w:rsidRPr="00CA21ED">
              <w:t>1,001.41</w:t>
            </w:r>
          </w:p>
        </w:tc>
        <w:tc>
          <w:tcPr>
            <w:tcW w:w="1417" w:type="dxa"/>
          </w:tcPr>
          <w:p w14:paraId="0000022B" w14:textId="53B9BFEF" w:rsidR="00C668C2" w:rsidRPr="00CA21ED" w:rsidRDefault="00C668C2" w:rsidP="00C668C2">
            <w:r w:rsidRPr="00CA21ED">
              <w:t>£3,798/QALY</w:t>
            </w:r>
          </w:p>
        </w:tc>
        <w:tc>
          <w:tcPr>
            <w:tcW w:w="1771" w:type="dxa"/>
          </w:tcPr>
          <w:p w14:paraId="0000022C" w14:textId="77777777" w:rsidR="00C668C2" w:rsidRPr="00CA21ED" w:rsidRDefault="00C668C2" w:rsidP="00C668C2">
            <w:r w:rsidRPr="00CA21ED">
              <w:t>-</w:t>
            </w:r>
          </w:p>
        </w:tc>
      </w:tr>
      <w:tr w:rsidR="00C668C2" w:rsidRPr="00CA21ED" w14:paraId="0475DE8B" w14:textId="77777777" w:rsidTr="00B46329">
        <w:trPr>
          <w:trHeight w:val="240"/>
        </w:trPr>
        <w:tc>
          <w:tcPr>
            <w:tcW w:w="2253" w:type="dxa"/>
          </w:tcPr>
          <w:p w14:paraId="0000022D" w14:textId="77777777" w:rsidR="00C668C2" w:rsidRPr="00CA21ED" w:rsidRDefault="00C668C2" w:rsidP="00C668C2">
            <w:r w:rsidRPr="00CA21ED">
              <w:t>NT-proBNP RO</w:t>
            </w:r>
          </w:p>
        </w:tc>
        <w:tc>
          <w:tcPr>
            <w:tcW w:w="1286" w:type="dxa"/>
          </w:tcPr>
          <w:p w14:paraId="0000022E" w14:textId="4580166B" w:rsidR="00C668C2" w:rsidRPr="00CA21ED" w:rsidRDefault="00C668C2" w:rsidP="00C668C2">
            <w:r w:rsidRPr="00CA21ED">
              <w:t>£5,505,227</w:t>
            </w:r>
          </w:p>
        </w:tc>
        <w:tc>
          <w:tcPr>
            <w:tcW w:w="1134" w:type="dxa"/>
          </w:tcPr>
          <w:p w14:paraId="0000022F" w14:textId="4213EF9A" w:rsidR="00C668C2" w:rsidRPr="00CA21ED" w:rsidRDefault="00C668C2" w:rsidP="00C668C2">
            <w:r w:rsidRPr="00CA21ED">
              <w:t>1,274.98</w:t>
            </w:r>
          </w:p>
        </w:tc>
        <w:tc>
          <w:tcPr>
            <w:tcW w:w="1276" w:type="dxa"/>
          </w:tcPr>
          <w:p w14:paraId="00000230" w14:textId="2258D382" w:rsidR="00C668C2" w:rsidRPr="00CA21ED" w:rsidRDefault="00C668C2" w:rsidP="00C668C2">
            <w:r w:rsidRPr="00CA21ED">
              <w:t>999.72</w:t>
            </w:r>
          </w:p>
        </w:tc>
        <w:tc>
          <w:tcPr>
            <w:tcW w:w="1417" w:type="dxa"/>
          </w:tcPr>
          <w:p w14:paraId="00000231" w14:textId="2E61DF24" w:rsidR="00C668C2" w:rsidRPr="00CA21ED" w:rsidRDefault="00AD2239" w:rsidP="00C668C2">
            <w:sdt>
              <w:sdtPr>
                <w:tag w:val="goog_rdk_8"/>
                <w:id w:val="95525061"/>
              </w:sdtPr>
              <w:sdtEndPr/>
              <w:sdtContent/>
            </w:sdt>
            <w:r w:rsidR="00C668C2" w:rsidRPr="00CA21ED">
              <w:t>£7,928 /QALY</w:t>
            </w:r>
          </w:p>
        </w:tc>
        <w:tc>
          <w:tcPr>
            <w:tcW w:w="1771" w:type="dxa"/>
          </w:tcPr>
          <w:p w14:paraId="00000232" w14:textId="720D8DEC" w:rsidR="00C668C2" w:rsidRPr="00CA21ED" w:rsidRDefault="00C668C2" w:rsidP="00C668C2">
            <w:r w:rsidRPr="00CA21ED">
              <w:t>£34,122/QALY</w:t>
            </w:r>
          </w:p>
        </w:tc>
      </w:tr>
    </w:tbl>
    <w:p w14:paraId="09ADE6D0" w14:textId="50BCAA7B" w:rsidR="005664D0" w:rsidRPr="00CA21ED" w:rsidRDefault="007B532F" w:rsidP="00BA1A06">
      <w:r w:rsidRPr="00CA21ED">
        <w:t xml:space="preserve">Abbreviations: ICER, incremental cost-effectiveness ratio; NHB, net health benefit; NICE, National Institute of Health and Care Excellence; NT-proBNP, N-terminal pro B-type natriuretic peptide; QALY, quality-adjusted life </w:t>
      </w:r>
      <w:r w:rsidR="00494320" w:rsidRPr="00CA21ED">
        <w:t>year; RI</w:t>
      </w:r>
      <w:r w:rsidRPr="00CA21ED">
        <w:t>, rule-in; RO, rule-out; TP, true positive.</w:t>
      </w:r>
    </w:p>
    <w:p w14:paraId="00000235" w14:textId="77777777" w:rsidR="00866D36" w:rsidRPr="00CA21ED" w:rsidRDefault="007B532F">
      <w:pPr>
        <w:pStyle w:val="Heading1"/>
      </w:pPr>
      <w:r w:rsidRPr="00CA21ED">
        <w:t>References</w:t>
      </w:r>
    </w:p>
    <w:p w14:paraId="3F01A9A4" w14:textId="77777777" w:rsidR="00B46329" w:rsidRPr="00B46329" w:rsidRDefault="00926D19" w:rsidP="00B46329">
      <w:pPr>
        <w:pStyle w:val="EndNoteBibliography"/>
        <w:spacing w:after="0"/>
        <w:ind w:left="720" w:hanging="720"/>
        <w:rPr>
          <w:noProof/>
        </w:rPr>
      </w:pPr>
      <w:r w:rsidRPr="00CA21ED">
        <w:rPr>
          <w:color w:val="000000"/>
          <w:lang w:val="en-GB"/>
        </w:rPr>
        <w:fldChar w:fldCharType="begin"/>
      </w:r>
      <w:r w:rsidRPr="00CA21ED">
        <w:rPr>
          <w:color w:val="000000"/>
          <w:lang w:val="en-GB"/>
        </w:rPr>
        <w:instrText xml:space="preserve"> ADDIN EN.REFLIST </w:instrText>
      </w:r>
      <w:r w:rsidRPr="00CA21ED">
        <w:rPr>
          <w:color w:val="000000"/>
          <w:lang w:val="en-GB"/>
        </w:rPr>
        <w:fldChar w:fldCharType="separate"/>
      </w:r>
      <w:r w:rsidR="00B46329" w:rsidRPr="00B46329">
        <w:rPr>
          <w:noProof/>
        </w:rPr>
        <w:t>1.</w:t>
      </w:r>
      <w:r w:rsidR="00B46329" w:rsidRPr="00B46329">
        <w:rPr>
          <w:noProof/>
        </w:rPr>
        <w:tab/>
        <w:t>Reitsma JB, Glas AS, Rutjes AW, Scholten RJ, Bossuyt PM, Zwinderman AH. Bivariate analysis of sensitivity and specificity produces informative summary measures in diagnostic reviews. Journal of clinical epidemiology. 2005;58(10):982-90.</w:t>
      </w:r>
    </w:p>
    <w:p w14:paraId="604F4CDE" w14:textId="77777777" w:rsidR="00B46329" w:rsidRPr="00B46329" w:rsidRDefault="00B46329" w:rsidP="00B46329">
      <w:pPr>
        <w:pStyle w:val="EndNoteBibliography"/>
        <w:spacing w:after="0"/>
        <w:ind w:left="720" w:hanging="720"/>
        <w:rPr>
          <w:noProof/>
        </w:rPr>
      </w:pPr>
      <w:r w:rsidRPr="00B46329">
        <w:rPr>
          <w:noProof/>
        </w:rPr>
        <w:t>2.</w:t>
      </w:r>
      <w:r w:rsidRPr="00B46329">
        <w:rPr>
          <w:noProof/>
        </w:rPr>
        <w:tab/>
        <w:t>Behnes M, Brueckmann M, Ahmad-Nejad P, Lang S, Wolpert C, Elmas E, et al. Diagnostic performance and cost effectiveness of measurements of plasma N-terminal pro brain natriuretic peptide in patients presenting with acute dyspnea or peripheral edema. International journal of cardiology. 2009;135(2):165-74.</w:t>
      </w:r>
    </w:p>
    <w:p w14:paraId="46874EBC" w14:textId="77777777" w:rsidR="00B46329" w:rsidRPr="00B46329" w:rsidRDefault="00B46329" w:rsidP="00B46329">
      <w:pPr>
        <w:pStyle w:val="EndNoteBibliography"/>
        <w:spacing w:after="0"/>
        <w:ind w:left="720" w:hanging="720"/>
        <w:rPr>
          <w:noProof/>
        </w:rPr>
      </w:pPr>
      <w:r w:rsidRPr="00B46329">
        <w:rPr>
          <w:noProof/>
        </w:rPr>
        <w:t>3.</w:t>
      </w:r>
      <w:r w:rsidRPr="00B46329">
        <w:rPr>
          <w:noProof/>
        </w:rPr>
        <w:tab/>
        <w:t>Januzzi JL, Chen-Tournoux AA, Christenson RH, Doros G, Hollander JE, Levy PD, et al. N-terminal pro–B-type natriuretic peptide in the emergency department: the ICON-RELOADED study. Journal of the American College of Cardiology. 2018;71(11):1191-200.</w:t>
      </w:r>
    </w:p>
    <w:p w14:paraId="1D1D85D3" w14:textId="77777777" w:rsidR="00B46329" w:rsidRPr="00B46329" w:rsidRDefault="00B46329" w:rsidP="00B46329">
      <w:pPr>
        <w:pStyle w:val="EndNoteBibliography"/>
        <w:spacing w:after="0"/>
        <w:ind w:left="720" w:hanging="720"/>
        <w:rPr>
          <w:noProof/>
        </w:rPr>
      </w:pPr>
      <w:r w:rsidRPr="00B46329">
        <w:rPr>
          <w:noProof/>
        </w:rPr>
        <w:t>4.</w:t>
      </w:r>
      <w:r w:rsidRPr="00B46329">
        <w:rPr>
          <w:noProof/>
        </w:rPr>
        <w:tab/>
        <w:t>Kozhuharov N, Sabti Z, Wussler D, Nowak A, Badertscher P, Twerenbold R, et al. Prospective validation of N‐terminal pro B‐type natriuretic peptide cut‐off concentrations for the diagnosis of acute heart failure. European journal of heart failure. 2019;21(6):813-5.</w:t>
      </w:r>
    </w:p>
    <w:p w14:paraId="7FD09E18" w14:textId="77777777" w:rsidR="00B46329" w:rsidRPr="00B46329" w:rsidRDefault="00B46329" w:rsidP="00B46329">
      <w:pPr>
        <w:pStyle w:val="EndNoteBibliography"/>
        <w:spacing w:after="0"/>
        <w:ind w:left="720" w:hanging="720"/>
        <w:rPr>
          <w:noProof/>
        </w:rPr>
      </w:pPr>
      <w:r w:rsidRPr="00B46329">
        <w:rPr>
          <w:noProof/>
        </w:rPr>
        <w:t>5.</w:t>
      </w:r>
      <w:r w:rsidRPr="00B46329">
        <w:rPr>
          <w:noProof/>
        </w:rPr>
        <w:tab/>
        <w:t xml:space="preserve">Ibrahim I, Kuan WS, Frampton C, Troughton R, Liew OW, Chong JPC, et al. Superior performance of N‐terminal pro brain natriuretic peptide for diagnosis of acute decompensated heart failure in </w:t>
      </w:r>
      <w:r w:rsidRPr="00B46329">
        <w:rPr>
          <w:noProof/>
        </w:rPr>
        <w:lastRenderedPageBreak/>
        <w:t>an Asian compared with a Western setting. European journal of heart failure. 2017;19(2):209-17.</w:t>
      </w:r>
    </w:p>
    <w:p w14:paraId="74A8AF79" w14:textId="77777777" w:rsidR="00B46329" w:rsidRPr="00B46329" w:rsidRDefault="00B46329" w:rsidP="00B46329">
      <w:pPr>
        <w:pStyle w:val="EndNoteBibliography"/>
        <w:spacing w:after="0"/>
        <w:ind w:left="720" w:hanging="720"/>
        <w:rPr>
          <w:noProof/>
        </w:rPr>
      </w:pPr>
      <w:r w:rsidRPr="00B46329">
        <w:rPr>
          <w:noProof/>
        </w:rPr>
        <w:t>6.</w:t>
      </w:r>
      <w:r w:rsidRPr="00B46329">
        <w:rPr>
          <w:noProof/>
        </w:rPr>
        <w:tab/>
        <w:t>Siebert U, Milev S, Zou D, Litkiewicz M, Gaggin HK, Tirapelle L, et al. Economic Evaluation of an N-terminal Pro B-type Natriuretic Peptide-Supported Diagnostic Strategy Among Dyspneic Patients Suspected of Acute Heart Failure in the Emergency Department. The American Journal of Cardiology. 2021;147:61-9.</w:t>
      </w:r>
    </w:p>
    <w:p w14:paraId="74E2253D" w14:textId="77777777" w:rsidR="00B46329" w:rsidRPr="00B46329" w:rsidRDefault="00B46329" w:rsidP="00B46329">
      <w:pPr>
        <w:pStyle w:val="EndNoteBibliography"/>
        <w:spacing w:after="0"/>
        <w:ind w:left="720" w:hanging="720"/>
        <w:rPr>
          <w:noProof/>
        </w:rPr>
      </w:pPr>
      <w:r w:rsidRPr="00B46329">
        <w:rPr>
          <w:noProof/>
        </w:rPr>
        <w:t>7.</w:t>
      </w:r>
      <w:r w:rsidRPr="00B46329">
        <w:rPr>
          <w:noProof/>
        </w:rPr>
        <w:tab/>
        <w:t>Siebert U, Milev S, Zou D, Litkiewicz M, Gaggom H, Tirapelle L, et al. PMU18 Economic evaluation of an NT-proBNP-supported diagnostic strategy among dyspneic patients suspected of acute heart failure in the emergency department. Value in Health. 2020;23:S236.</w:t>
      </w:r>
    </w:p>
    <w:p w14:paraId="08E31A95" w14:textId="09DDFDF0" w:rsidR="00B46329" w:rsidRPr="00B46329" w:rsidRDefault="00B46329" w:rsidP="00B46329">
      <w:pPr>
        <w:pStyle w:val="EndNoteBibliography"/>
        <w:spacing w:after="0"/>
        <w:ind w:left="720" w:hanging="720"/>
        <w:rPr>
          <w:noProof/>
        </w:rPr>
      </w:pPr>
      <w:r w:rsidRPr="00B46329">
        <w:rPr>
          <w:noProof/>
        </w:rPr>
        <w:t>8.</w:t>
      </w:r>
      <w:r w:rsidRPr="00B46329">
        <w:rPr>
          <w:noProof/>
        </w:rPr>
        <w:tab/>
        <w:t xml:space="preserve">The National Institute for Cardiovascular Outcomes Research (NICOR). National Heart Failure Audit April 2013-March 2014. 2015. Available from: </w:t>
      </w:r>
      <w:hyperlink r:id="rId21" w:history="1">
        <w:r w:rsidRPr="00B46329">
          <w:rPr>
            <w:rStyle w:val="Hyperlink"/>
            <w:noProof/>
          </w:rPr>
          <w:t>https://www.nicor.org.uk/wp-content/uploads/2019/02/hfannual13-14-updated.pdf</w:t>
        </w:r>
      </w:hyperlink>
      <w:r w:rsidRPr="00B46329">
        <w:rPr>
          <w:noProof/>
        </w:rPr>
        <w:t xml:space="preserve">. Accessed on: 8 July 2022 </w:t>
      </w:r>
    </w:p>
    <w:p w14:paraId="311A539D" w14:textId="77777777" w:rsidR="00B46329" w:rsidRPr="00B46329" w:rsidRDefault="00B46329" w:rsidP="00B46329">
      <w:pPr>
        <w:pStyle w:val="EndNoteBibliography"/>
        <w:spacing w:after="0"/>
        <w:ind w:left="720" w:hanging="720"/>
        <w:rPr>
          <w:noProof/>
        </w:rPr>
      </w:pPr>
      <w:r w:rsidRPr="00B46329">
        <w:rPr>
          <w:noProof/>
        </w:rPr>
        <w:t>9.</w:t>
      </w:r>
      <w:r w:rsidRPr="00B46329">
        <w:rPr>
          <w:noProof/>
        </w:rPr>
        <w:tab/>
        <w:t>Guyot P, Ades A, Ouwens MJ, Welton NJ. Enhanced secondary analysis of survival data: reconstructing the data from published Kaplan-Meier survival curves. BMC medical research methodology. 2012;12(1):1-13.</w:t>
      </w:r>
    </w:p>
    <w:p w14:paraId="05EA3FDB" w14:textId="24639131" w:rsidR="00B46329" w:rsidRPr="00B46329" w:rsidRDefault="00B46329" w:rsidP="00B46329">
      <w:pPr>
        <w:pStyle w:val="EndNoteBibliography"/>
        <w:spacing w:after="0"/>
        <w:ind w:left="720" w:hanging="720"/>
        <w:rPr>
          <w:noProof/>
        </w:rPr>
      </w:pPr>
      <w:r w:rsidRPr="00B46329">
        <w:rPr>
          <w:noProof/>
        </w:rPr>
        <w:t>10.</w:t>
      </w:r>
      <w:r w:rsidRPr="00B46329">
        <w:rPr>
          <w:noProof/>
        </w:rPr>
        <w:tab/>
        <w:t xml:space="preserve">Latimer N. NICE DSU technical support document 14: survival analysis for economic evaluations alongside clinical trials-extrapolation with patient-level data. 2011. Available from: </w:t>
      </w:r>
      <w:hyperlink r:id="rId22" w:history="1">
        <w:r w:rsidRPr="00B46329">
          <w:rPr>
            <w:rStyle w:val="Hyperlink"/>
            <w:noProof/>
          </w:rPr>
          <w:t>http://nicedsu.org.uk/wp-content/uploads/2016/03/NICE-DSU-TSD-Survival-analysis.updated-March-2013.v2.pdf</w:t>
        </w:r>
      </w:hyperlink>
      <w:r w:rsidRPr="00B46329">
        <w:rPr>
          <w:noProof/>
        </w:rPr>
        <w:t xml:space="preserve">. Accessed on: 31 January 2022 </w:t>
      </w:r>
    </w:p>
    <w:p w14:paraId="3FE88873" w14:textId="1AC5D6B3" w:rsidR="00B46329" w:rsidRPr="00B46329" w:rsidRDefault="00B46329" w:rsidP="00B46329">
      <w:pPr>
        <w:pStyle w:val="EndNoteBibliography"/>
        <w:spacing w:after="0"/>
        <w:ind w:left="720" w:hanging="720"/>
        <w:rPr>
          <w:noProof/>
        </w:rPr>
      </w:pPr>
      <w:r w:rsidRPr="00B46329">
        <w:rPr>
          <w:noProof/>
        </w:rPr>
        <w:t>11.</w:t>
      </w:r>
      <w:r w:rsidRPr="00B46329">
        <w:rPr>
          <w:noProof/>
        </w:rPr>
        <w:tab/>
        <w:t xml:space="preserve">The National Institute for Cardiovascular Outcomes Research (NICOR). National Cardiac Audit Programme National Heart Failure Audit (NHFA) 2021 Summary Report (2019/20 data). 2021. Available from: </w:t>
      </w:r>
      <w:hyperlink r:id="rId23" w:history="1">
        <w:r w:rsidRPr="00B46329">
          <w:rPr>
            <w:rStyle w:val="Hyperlink"/>
            <w:noProof/>
          </w:rPr>
          <w:t>https://www.nicor.org.uk/wp-content/uploads/2021/10/NHFA-Domain-Report_2021_FINAL.pdf</w:t>
        </w:r>
      </w:hyperlink>
      <w:r w:rsidRPr="00B46329">
        <w:rPr>
          <w:noProof/>
        </w:rPr>
        <w:t xml:space="preserve">. Accessed on: 25 January 2022 </w:t>
      </w:r>
    </w:p>
    <w:p w14:paraId="24DB6C62" w14:textId="32CA58F6" w:rsidR="00B46329" w:rsidRPr="00B46329" w:rsidRDefault="00B46329" w:rsidP="00B46329">
      <w:pPr>
        <w:pStyle w:val="EndNoteBibliography"/>
        <w:spacing w:after="0"/>
        <w:ind w:left="720" w:hanging="720"/>
        <w:rPr>
          <w:noProof/>
        </w:rPr>
      </w:pPr>
      <w:r w:rsidRPr="00B46329">
        <w:rPr>
          <w:noProof/>
        </w:rPr>
        <w:t>12.</w:t>
      </w:r>
      <w:r w:rsidRPr="00B46329">
        <w:rPr>
          <w:noProof/>
        </w:rPr>
        <w:tab/>
        <w:t xml:space="preserve">National Institute for Health and Care Excellence (NICE). Acute heart failure: diagnosis and management (CG187). 2014. Available from: </w:t>
      </w:r>
      <w:hyperlink r:id="rId24" w:history="1">
        <w:r w:rsidRPr="00B46329">
          <w:rPr>
            <w:rStyle w:val="Hyperlink"/>
            <w:noProof/>
          </w:rPr>
          <w:t>https://www.nice.org.uk/guidance/cg187</w:t>
        </w:r>
      </w:hyperlink>
      <w:r w:rsidRPr="00B46329">
        <w:rPr>
          <w:noProof/>
        </w:rPr>
        <w:t xml:space="preserve">. Accessed on: 25 January 2022 </w:t>
      </w:r>
    </w:p>
    <w:p w14:paraId="041DDCCD" w14:textId="17C3973B" w:rsidR="00B46329" w:rsidRPr="00B46329" w:rsidRDefault="00B46329" w:rsidP="00B46329">
      <w:pPr>
        <w:pStyle w:val="EndNoteBibliography"/>
        <w:spacing w:after="0"/>
        <w:ind w:left="720" w:hanging="720"/>
        <w:rPr>
          <w:noProof/>
        </w:rPr>
      </w:pPr>
      <w:r w:rsidRPr="00B46329">
        <w:rPr>
          <w:noProof/>
        </w:rPr>
        <w:t>13.</w:t>
      </w:r>
      <w:r w:rsidRPr="00B46329">
        <w:rPr>
          <w:noProof/>
        </w:rPr>
        <w:tab/>
        <w:t xml:space="preserve">National institute for Health and Care Excellence (NICE). Sacubitril valsartan for treating symptomatic chronic heart failure with reduced ejection fraction (TA388). 2016. Available from: </w:t>
      </w:r>
      <w:hyperlink r:id="rId25" w:history="1">
        <w:r w:rsidRPr="00B46329">
          <w:rPr>
            <w:rStyle w:val="Hyperlink"/>
            <w:noProof/>
          </w:rPr>
          <w:t>https://www.nice.org.uk/guidance/ta388</w:t>
        </w:r>
      </w:hyperlink>
      <w:r w:rsidRPr="00B46329">
        <w:rPr>
          <w:noProof/>
        </w:rPr>
        <w:t xml:space="preserve">. Accessed on: 31 January 2022 </w:t>
      </w:r>
    </w:p>
    <w:p w14:paraId="04031EB9" w14:textId="77777777" w:rsidR="00B46329" w:rsidRPr="00B46329" w:rsidRDefault="00B46329" w:rsidP="00B46329">
      <w:pPr>
        <w:pStyle w:val="EndNoteBibliography"/>
        <w:spacing w:after="0"/>
        <w:ind w:left="720" w:hanging="720"/>
        <w:rPr>
          <w:noProof/>
        </w:rPr>
      </w:pPr>
      <w:r w:rsidRPr="00B46329">
        <w:rPr>
          <w:noProof/>
        </w:rPr>
        <w:t>14.</w:t>
      </w:r>
      <w:r w:rsidRPr="00B46329">
        <w:rPr>
          <w:noProof/>
        </w:rPr>
        <w:tab/>
        <w:t>McMurray JJ, Packer M, Desai AS, Gong J, Lefkowitz MP, Rizkala AR, et al. Angiotensin–neprilysin inhibition versus enalapril in heart failure. N Engl J Med. 2014;371:993-1004.</w:t>
      </w:r>
    </w:p>
    <w:p w14:paraId="45945778" w14:textId="458D7F4F" w:rsidR="00B46329" w:rsidRPr="00B46329" w:rsidRDefault="00B46329" w:rsidP="00B46329">
      <w:pPr>
        <w:pStyle w:val="EndNoteBibliography"/>
        <w:spacing w:after="0"/>
        <w:ind w:left="720" w:hanging="720"/>
        <w:rPr>
          <w:noProof/>
        </w:rPr>
      </w:pPr>
      <w:r w:rsidRPr="00B46329">
        <w:rPr>
          <w:noProof/>
        </w:rPr>
        <w:t>15.</w:t>
      </w:r>
      <w:r w:rsidRPr="00B46329">
        <w:rPr>
          <w:noProof/>
        </w:rPr>
        <w:tab/>
        <w:t xml:space="preserve">NHS Business Services Authority. NHS Electronic Drug Tariff. 2021. Available from: </w:t>
      </w:r>
      <w:hyperlink r:id="rId26" w:anchor="/00446515-DC_2/DC00446511/Home" w:history="1">
        <w:r w:rsidRPr="00B46329">
          <w:rPr>
            <w:rStyle w:val="Hyperlink"/>
            <w:noProof/>
          </w:rPr>
          <w:t>http://www.drugtariff.nhsbsa.nhs.uk/#/00446515-DC_2/DC00446511/Home</w:t>
        </w:r>
      </w:hyperlink>
      <w:r w:rsidRPr="00B46329">
        <w:rPr>
          <w:noProof/>
        </w:rPr>
        <w:t xml:space="preserve">. Accessed on: 25 January 2022 </w:t>
      </w:r>
    </w:p>
    <w:p w14:paraId="1635146C" w14:textId="6059E179" w:rsidR="00B46329" w:rsidRPr="00B46329" w:rsidRDefault="00B46329" w:rsidP="00B46329">
      <w:pPr>
        <w:pStyle w:val="EndNoteBibliography"/>
        <w:spacing w:after="0"/>
        <w:ind w:left="720" w:hanging="720"/>
        <w:rPr>
          <w:noProof/>
        </w:rPr>
      </w:pPr>
      <w:r w:rsidRPr="00B46329">
        <w:rPr>
          <w:noProof/>
        </w:rPr>
        <w:t>16.</w:t>
      </w:r>
      <w:r w:rsidRPr="00B46329">
        <w:rPr>
          <w:noProof/>
        </w:rPr>
        <w:tab/>
        <w:t xml:space="preserve">British National Formulary (BNF). Available from: </w:t>
      </w:r>
      <w:hyperlink r:id="rId27" w:history="1">
        <w:r w:rsidRPr="00B46329">
          <w:rPr>
            <w:rStyle w:val="Hyperlink"/>
            <w:noProof/>
          </w:rPr>
          <w:t>https://bnf.nice.org.uk/</w:t>
        </w:r>
      </w:hyperlink>
      <w:r w:rsidRPr="00B46329">
        <w:rPr>
          <w:noProof/>
        </w:rPr>
        <w:t xml:space="preserve">. Accessed on: 25 January 2022 </w:t>
      </w:r>
    </w:p>
    <w:p w14:paraId="2C2DEA75" w14:textId="732BCEBF" w:rsidR="00B46329" w:rsidRPr="00B46329" w:rsidRDefault="00B46329" w:rsidP="00B46329">
      <w:pPr>
        <w:pStyle w:val="EndNoteBibliography"/>
        <w:spacing w:after="0"/>
        <w:ind w:left="720" w:hanging="720"/>
        <w:rPr>
          <w:noProof/>
        </w:rPr>
      </w:pPr>
      <w:r w:rsidRPr="00B46329">
        <w:rPr>
          <w:noProof/>
        </w:rPr>
        <w:t>17.</w:t>
      </w:r>
      <w:r w:rsidRPr="00B46329">
        <w:rPr>
          <w:noProof/>
        </w:rPr>
        <w:tab/>
        <w:t xml:space="preserve">NHS Business Services Authority. Prescription Cost Analysis - England 2020/21. 2020. Available from: </w:t>
      </w:r>
      <w:hyperlink r:id="rId28" w:history="1">
        <w:r w:rsidRPr="00B46329">
          <w:rPr>
            <w:rStyle w:val="Hyperlink"/>
            <w:noProof/>
          </w:rPr>
          <w:t>https://www.nhsbsa.nhs.uk/statistical-collections/prescription-cost-analysis-england/prescription-cost-analysis-england-202021</w:t>
        </w:r>
      </w:hyperlink>
      <w:r w:rsidRPr="00B46329">
        <w:rPr>
          <w:noProof/>
        </w:rPr>
        <w:t xml:space="preserve">. Accessed on: 25 January 2022 </w:t>
      </w:r>
    </w:p>
    <w:p w14:paraId="03C0DE6E" w14:textId="72A775E3" w:rsidR="00B46329" w:rsidRPr="00B46329" w:rsidRDefault="00B46329" w:rsidP="00B46329">
      <w:pPr>
        <w:pStyle w:val="EndNoteBibliography"/>
        <w:spacing w:after="0"/>
        <w:ind w:left="720" w:hanging="720"/>
        <w:rPr>
          <w:noProof/>
        </w:rPr>
      </w:pPr>
      <w:r w:rsidRPr="00B46329">
        <w:rPr>
          <w:noProof/>
        </w:rPr>
        <w:t>18.</w:t>
      </w:r>
      <w:r w:rsidRPr="00B46329">
        <w:rPr>
          <w:noProof/>
        </w:rPr>
        <w:tab/>
        <w:t xml:space="preserve">Nederlandse Zorgautoriteit (NZa). DBC-Informatiesysteem.  “Zorgactiviteiten per jaar, specialisme, diagnose, zorgproduct.”. Available from: </w:t>
      </w:r>
      <w:hyperlink r:id="rId29" w:history="1">
        <w:r w:rsidRPr="00B46329">
          <w:rPr>
            <w:rStyle w:val="Hyperlink"/>
            <w:noProof/>
          </w:rPr>
          <w:t>https://www.opendisdata.nl/downloads</w:t>
        </w:r>
      </w:hyperlink>
      <w:r w:rsidRPr="00B46329">
        <w:rPr>
          <w:noProof/>
        </w:rPr>
        <w:t xml:space="preserve">. Accessed on: 22 June 2022 </w:t>
      </w:r>
    </w:p>
    <w:p w14:paraId="315E3DFE" w14:textId="1D627316" w:rsidR="00B46329" w:rsidRPr="00B46329" w:rsidRDefault="00B46329" w:rsidP="00B46329">
      <w:pPr>
        <w:pStyle w:val="EndNoteBibliography"/>
        <w:spacing w:after="0"/>
        <w:ind w:left="720" w:hanging="720"/>
        <w:rPr>
          <w:noProof/>
        </w:rPr>
      </w:pPr>
      <w:r w:rsidRPr="00B46329">
        <w:rPr>
          <w:noProof/>
        </w:rPr>
        <w:t>19.</w:t>
      </w:r>
      <w:r w:rsidRPr="00B46329">
        <w:rPr>
          <w:noProof/>
        </w:rPr>
        <w:tab/>
        <w:t xml:space="preserve">International Society for Pharmacoeconomics and Outcomes Research (ISPOR). Pharmacoeconomic Guidelines: The Netherlands. 2020. Available from: </w:t>
      </w:r>
      <w:hyperlink r:id="rId30" w:history="1">
        <w:r w:rsidRPr="00B46329">
          <w:rPr>
            <w:rStyle w:val="Hyperlink"/>
            <w:noProof/>
          </w:rPr>
          <w:t>https://www.ispor.org/heor-resources/more-heor-resources/pharmacoeconomic-guidelines/pe-guideline-detail/the-netherlands</w:t>
        </w:r>
      </w:hyperlink>
      <w:r w:rsidRPr="00B46329">
        <w:rPr>
          <w:noProof/>
        </w:rPr>
        <w:t xml:space="preserve">. Accessed on: 29th June 2022 </w:t>
      </w:r>
    </w:p>
    <w:p w14:paraId="15A96772" w14:textId="64E5E2F0" w:rsidR="00B46329" w:rsidRPr="00B46329" w:rsidRDefault="00B46329" w:rsidP="00B46329">
      <w:pPr>
        <w:pStyle w:val="EndNoteBibliography"/>
        <w:spacing w:after="0"/>
        <w:ind w:left="720" w:hanging="720"/>
        <w:rPr>
          <w:noProof/>
        </w:rPr>
      </w:pPr>
      <w:r w:rsidRPr="00B46329">
        <w:rPr>
          <w:noProof/>
        </w:rPr>
        <w:t>20.</w:t>
      </w:r>
      <w:r w:rsidRPr="00B46329">
        <w:rPr>
          <w:noProof/>
        </w:rPr>
        <w:tab/>
        <w:t xml:space="preserve">International Society for Pharmacoeconomics and Outcomes Research (ISPOR). Pharmacoeconomic Guidelines: Spain. 2020. Available from: </w:t>
      </w:r>
      <w:hyperlink r:id="rId31" w:history="1">
        <w:r w:rsidRPr="00B46329">
          <w:rPr>
            <w:rStyle w:val="Hyperlink"/>
            <w:noProof/>
          </w:rPr>
          <w:t>https://www.ispor.org/heor-</w:t>
        </w:r>
        <w:r w:rsidRPr="00B46329">
          <w:rPr>
            <w:rStyle w:val="Hyperlink"/>
            <w:noProof/>
          </w:rPr>
          <w:lastRenderedPageBreak/>
          <w:t>resources/more-heor-resources/pharmacoeconomic-guidelines/pe-guideline-detail/spain</w:t>
        </w:r>
      </w:hyperlink>
      <w:r w:rsidRPr="00B46329">
        <w:rPr>
          <w:noProof/>
        </w:rPr>
        <w:t xml:space="preserve">. Accessed on: 29th June 2022 </w:t>
      </w:r>
    </w:p>
    <w:p w14:paraId="0F7ED0E9" w14:textId="62400A1F" w:rsidR="00B46329" w:rsidRPr="00B46329" w:rsidRDefault="00B46329" w:rsidP="00B46329">
      <w:pPr>
        <w:pStyle w:val="EndNoteBibliography"/>
        <w:spacing w:after="0"/>
        <w:ind w:left="720" w:hanging="720"/>
        <w:rPr>
          <w:noProof/>
        </w:rPr>
      </w:pPr>
      <w:r w:rsidRPr="00B46329">
        <w:rPr>
          <w:noProof/>
        </w:rPr>
        <w:t>21.</w:t>
      </w:r>
      <w:r w:rsidRPr="00B46329">
        <w:rPr>
          <w:noProof/>
        </w:rPr>
        <w:tab/>
        <w:t xml:space="preserve">Ministerio de Sanidad. Costes hospitalarios - Contabilidad Analítica. 2019. Available from: </w:t>
      </w:r>
      <w:hyperlink r:id="rId32" w:history="1">
        <w:r w:rsidRPr="00B46329">
          <w:rPr>
            <w:rStyle w:val="Hyperlink"/>
            <w:noProof/>
          </w:rPr>
          <w:t>https://www.sanidad.gob.es/estadEstudios/estadisticas/inforRecopilaciones/anaDesarrolloGDR.htm</w:t>
        </w:r>
      </w:hyperlink>
      <w:r w:rsidRPr="00B46329">
        <w:rPr>
          <w:noProof/>
        </w:rPr>
        <w:t xml:space="preserve">. Accessed on: 29th June 2022 </w:t>
      </w:r>
    </w:p>
    <w:p w14:paraId="2FD28341" w14:textId="4DD1278B" w:rsidR="00B46329" w:rsidRPr="00B46329" w:rsidRDefault="00B46329" w:rsidP="00B46329">
      <w:pPr>
        <w:pStyle w:val="EndNoteBibliography"/>
        <w:spacing w:after="0"/>
        <w:ind w:left="720" w:hanging="720"/>
        <w:rPr>
          <w:noProof/>
        </w:rPr>
      </w:pPr>
      <w:r w:rsidRPr="00B46329">
        <w:rPr>
          <w:noProof/>
        </w:rPr>
        <w:t>22.</w:t>
      </w:r>
      <w:r w:rsidRPr="00B46329">
        <w:rPr>
          <w:noProof/>
        </w:rPr>
        <w:tab/>
        <w:t xml:space="preserve">Institute for Medical Technology Assessment (iMTA). The iMTA Disease Burden Calculator (iDBC) for proportional shortfall and fair innings for The Netherlands. Available from: </w:t>
      </w:r>
      <w:hyperlink r:id="rId33" w:history="1">
        <w:r w:rsidRPr="00B46329">
          <w:rPr>
            <w:rStyle w:val="Hyperlink"/>
            <w:noProof/>
          </w:rPr>
          <w:t>https://www.imta.nl/</w:t>
        </w:r>
      </w:hyperlink>
      <w:r w:rsidRPr="00B46329">
        <w:rPr>
          <w:noProof/>
        </w:rPr>
        <w:t xml:space="preserve">. Accessed on: 22 June 2022 </w:t>
      </w:r>
    </w:p>
    <w:p w14:paraId="58E74E0E" w14:textId="77777777" w:rsidR="00B46329" w:rsidRPr="00B46329" w:rsidRDefault="00B46329" w:rsidP="00B46329">
      <w:pPr>
        <w:pStyle w:val="EndNoteBibliography"/>
        <w:spacing w:after="0"/>
        <w:ind w:left="720" w:hanging="720"/>
        <w:rPr>
          <w:noProof/>
        </w:rPr>
      </w:pPr>
      <w:r w:rsidRPr="00B46329">
        <w:rPr>
          <w:noProof/>
        </w:rPr>
        <w:t>23.</w:t>
      </w:r>
      <w:r w:rsidRPr="00B46329">
        <w:rPr>
          <w:noProof/>
        </w:rPr>
        <w:tab/>
        <w:t>Mainar AS, Artieda RN, Nolla JI. Economic impact of heart failure according to the effects of kidney failure. Revista Española de Cardiología (English Edition). 2015;68(1):39-46.</w:t>
      </w:r>
    </w:p>
    <w:p w14:paraId="36CE6F77" w14:textId="77777777" w:rsidR="00B46329" w:rsidRPr="00B46329" w:rsidRDefault="00B46329" w:rsidP="00B46329">
      <w:pPr>
        <w:pStyle w:val="EndNoteBibliography"/>
        <w:spacing w:after="0"/>
        <w:ind w:left="720" w:hanging="720"/>
        <w:rPr>
          <w:noProof/>
        </w:rPr>
      </w:pPr>
      <w:r w:rsidRPr="00B46329">
        <w:rPr>
          <w:noProof/>
        </w:rPr>
        <w:t>24.</w:t>
      </w:r>
      <w:r w:rsidRPr="00B46329">
        <w:rPr>
          <w:noProof/>
        </w:rPr>
        <w:tab/>
        <w:t>Treskes RW, van den Akker-van ME, van Winden L, van Keulen N, van der Velde ET, Beeres S, et al. The Box—eHealth in the Outpatient Clinic Follow-up of Patients With Acute Myocardial Infarction: Cost-Utility Analysis. Journal of Medical Internet Research. 2022;24(4):e30236.</w:t>
      </w:r>
    </w:p>
    <w:p w14:paraId="1A66795A" w14:textId="77777777" w:rsidR="00B46329" w:rsidRPr="00B46329" w:rsidRDefault="00B46329" w:rsidP="00B46329">
      <w:pPr>
        <w:pStyle w:val="EndNoteBibliography"/>
        <w:spacing w:after="0"/>
        <w:ind w:left="720" w:hanging="720"/>
        <w:rPr>
          <w:noProof/>
        </w:rPr>
      </w:pPr>
      <w:r w:rsidRPr="00B46329">
        <w:rPr>
          <w:noProof/>
        </w:rPr>
        <w:t>25.</w:t>
      </w:r>
      <w:r w:rsidRPr="00B46329">
        <w:rPr>
          <w:noProof/>
        </w:rPr>
        <w:tab/>
        <w:t>Ciruelos E, Alba E, López R, Lluch A, Martín M, Arroyo I, et al. Contribution of trastuzumab to the prognostic improvement of HER2-positive early breast cancer in Spain: an estimation of life years and disease-free life years gained since its approval. Oncotarget. 2019;10(42):4321.</w:t>
      </w:r>
    </w:p>
    <w:p w14:paraId="69BEEF18" w14:textId="77777777" w:rsidR="00B46329" w:rsidRPr="00B46329" w:rsidRDefault="00B46329" w:rsidP="00B46329">
      <w:pPr>
        <w:pStyle w:val="EndNoteBibliography"/>
        <w:spacing w:after="0"/>
        <w:ind w:left="720" w:hanging="720"/>
        <w:rPr>
          <w:noProof/>
        </w:rPr>
      </w:pPr>
      <w:r w:rsidRPr="00B46329">
        <w:rPr>
          <w:noProof/>
        </w:rPr>
        <w:t>26.</w:t>
      </w:r>
      <w:r w:rsidRPr="00B46329">
        <w:rPr>
          <w:noProof/>
        </w:rPr>
        <w:tab/>
        <w:t>Leon-Justel A, Morgado Garcia-Polavieja JI, Alvarez-Rios AI, Caro Fernandez FJ, Merino PAP, Galvez Rios E, et al. Biomarkers-based personalized follow-up in chronic heart failure improves patient’s outcomes and reduces care associate cost. Health and quality of life outcomes. 2021;19(1):1-12.</w:t>
      </w:r>
    </w:p>
    <w:p w14:paraId="422018A4" w14:textId="6BE6E8FE" w:rsidR="00B46329" w:rsidRPr="00B46329" w:rsidRDefault="00B46329" w:rsidP="00B46329">
      <w:pPr>
        <w:pStyle w:val="EndNoteBibliography"/>
        <w:spacing w:after="0"/>
        <w:ind w:left="720" w:hanging="720"/>
        <w:rPr>
          <w:noProof/>
        </w:rPr>
      </w:pPr>
      <w:r w:rsidRPr="00B46329">
        <w:rPr>
          <w:noProof/>
        </w:rPr>
        <w:t>27.</w:t>
      </w:r>
      <w:r w:rsidRPr="00B46329">
        <w:rPr>
          <w:noProof/>
        </w:rPr>
        <w:tab/>
        <w:t xml:space="preserve">De Minister van Volksgezondheid, Welzijn en Sport. Regeling maximumprijzen geneesmiddelen. Available from: </w:t>
      </w:r>
      <w:hyperlink r:id="rId34" w:anchor="Opschrift" w:history="1">
        <w:r w:rsidRPr="00B46329">
          <w:rPr>
            <w:rStyle w:val="Hyperlink"/>
            <w:noProof/>
          </w:rPr>
          <w:t>https://wetten.overheid.nl/BWBR0008023/2015-07-01#Opschrift</w:t>
        </w:r>
      </w:hyperlink>
      <w:r w:rsidRPr="00B46329">
        <w:rPr>
          <w:noProof/>
        </w:rPr>
        <w:t xml:space="preserve">. Accessed on: 28th June 2022 </w:t>
      </w:r>
    </w:p>
    <w:p w14:paraId="2D46F066" w14:textId="14854EE3" w:rsidR="00B46329" w:rsidRPr="00B46329" w:rsidRDefault="00B46329" w:rsidP="00B46329">
      <w:pPr>
        <w:pStyle w:val="EndNoteBibliography"/>
        <w:spacing w:after="0"/>
        <w:ind w:left="720" w:hanging="720"/>
        <w:rPr>
          <w:noProof/>
        </w:rPr>
      </w:pPr>
      <w:r w:rsidRPr="00B46329">
        <w:rPr>
          <w:noProof/>
        </w:rPr>
        <w:t>28.</w:t>
      </w:r>
      <w:r w:rsidRPr="00B46329">
        <w:rPr>
          <w:noProof/>
        </w:rPr>
        <w:tab/>
        <w:t xml:space="preserve">Xe Currency Converter. 1 GBP to EUR. 2022. Available from: </w:t>
      </w:r>
      <w:hyperlink r:id="rId35" w:history="1">
        <w:r w:rsidRPr="00B46329">
          <w:rPr>
            <w:rStyle w:val="Hyperlink"/>
            <w:noProof/>
          </w:rPr>
          <w:t>https://www.xe.com/currencyconverter/convert/?Amount=1&amp;From=GBP&amp;To=EUR</w:t>
        </w:r>
      </w:hyperlink>
      <w:r w:rsidRPr="00B46329">
        <w:rPr>
          <w:noProof/>
        </w:rPr>
        <w:t xml:space="preserve">  Accessed on: 27th May 2022 </w:t>
      </w:r>
    </w:p>
    <w:p w14:paraId="6AF87033" w14:textId="77777777" w:rsidR="00B46329" w:rsidRPr="00B46329" w:rsidRDefault="00B46329" w:rsidP="00B46329">
      <w:pPr>
        <w:pStyle w:val="EndNoteBibliography"/>
        <w:ind w:left="720" w:hanging="720"/>
        <w:rPr>
          <w:noProof/>
        </w:rPr>
      </w:pPr>
      <w:r w:rsidRPr="00B46329">
        <w:rPr>
          <w:noProof/>
        </w:rPr>
        <w:t>29.</w:t>
      </w:r>
      <w:r w:rsidRPr="00B46329">
        <w:rPr>
          <w:noProof/>
        </w:rPr>
        <w:tab/>
        <w:t>Ramos IC, Versteegh MM, de Boer RA, Koenders JM, Linssen GC, Meeder JG, et al. Cost effectiveness of the angiotensin receptor neprilysin inhibitor sacubitril/valsartan for patients with chronic heart failure and reduced ejection fraction in the Netherlands: a country adaptation analysis under the former and current Dutch Pharmacoeconomic Guidelines. Value in Health. 2017;20(10):1260-9.</w:t>
      </w:r>
    </w:p>
    <w:p w14:paraId="00000245" w14:textId="1C75B6F4" w:rsidR="00866D36" w:rsidRPr="00CA21ED" w:rsidRDefault="00926D19" w:rsidP="00926D19">
      <w:pPr>
        <w:rPr>
          <w:rFonts w:cs="Calibri"/>
          <w:color w:val="000000"/>
        </w:rPr>
      </w:pPr>
      <w:r w:rsidRPr="00CA21ED">
        <w:rPr>
          <w:rFonts w:cs="Calibri"/>
          <w:color w:val="000000"/>
        </w:rPr>
        <w:fldChar w:fldCharType="end"/>
      </w:r>
    </w:p>
    <w:sectPr w:rsidR="00866D36" w:rsidRPr="00CA21ED">
      <w:pgSz w:w="12240" w:h="15840"/>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A749" w16cex:dateUtc="2022-08-15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92BE5" w16cid:durableId="26A4A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F5C3" w14:textId="77777777" w:rsidR="00AD2239" w:rsidRDefault="00AD2239">
      <w:pPr>
        <w:spacing w:after="0" w:line="240" w:lineRule="auto"/>
      </w:pPr>
      <w:r>
        <w:separator/>
      </w:r>
    </w:p>
  </w:endnote>
  <w:endnote w:type="continuationSeparator" w:id="0">
    <w:p w14:paraId="23AD2F43" w14:textId="77777777" w:rsidR="00AD2239" w:rsidRDefault="00AD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49" w14:textId="546F1B47" w:rsidR="00D43771" w:rsidRDefault="00D43771">
    <w:pPr>
      <w:pBdr>
        <w:top w:val="nil"/>
        <w:left w:val="nil"/>
        <w:bottom w:val="nil"/>
        <w:right w:val="nil"/>
        <w:between w:val="nil"/>
      </w:pBdr>
      <w:tabs>
        <w:tab w:val="center" w:pos="4680"/>
        <w:tab w:val="right" w:pos="9360"/>
      </w:tabs>
      <w:spacing w:after="0" w:line="240" w:lineRule="auto"/>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087DE1">
      <w:rPr>
        <w:rFonts w:cs="Calibri"/>
        <w:noProof/>
        <w:color w:val="000000"/>
      </w:rPr>
      <w:t>21</w:t>
    </w:r>
    <w:r>
      <w:rPr>
        <w:rFonts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47" w14:textId="318CE0E9" w:rsidR="00D43771" w:rsidRDefault="00D43771">
    <w:pPr>
      <w:pBdr>
        <w:top w:val="nil"/>
        <w:left w:val="nil"/>
        <w:bottom w:val="nil"/>
        <w:right w:val="nil"/>
        <w:between w:val="nil"/>
      </w:pBdr>
      <w:tabs>
        <w:tab w:val="center" w:pos="4680"/>
        <w:tab w:val="right" w:pos="9360"/>
      </w:tabs>
      <w:spacing w:after="0" w:line="240" w:lineRule="auto"/>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087DE1">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DCC8" w14:textId="77777777" w:rsidR="00AD2239" w:rsidRDefault="00AD2239">
      <w:pPr>
        <w:spacing w:after="0" w:line="240" w:lineRule="auto"/>
      </w:pPr>
      <w:r>
        <w:separator/>
      </w:r>
    </w:p>
  </w:footnote>
  <w:footnote w:type="continuationSeparator" w:id="0">
    <w:p w14:paraId="1E129841" w14:textId="77777777" w:rsidR="00AD2239" w:rsidRDefault="00AD2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7529C"/>
    <w:multiLevelType w:val="multilevel"/>
    <w:tmpl w:val="BE72D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BA2015"/>
    <w:multiLevelType w:val="multilevel"/>
    <w:tmpl w:val="F3801ABA"/>
    <w:lvl w:ilvl="0">
      <w:start w:val="1"/>
      <w:numFmt w:val="decimal"/>
      <w:pStyle w:val="Bullets"/>
      <w:lvlText w:val="%1."/>
      <w:lvlJc w:val="left"/>
      <w:pPr>
        <w:tabs>
          <w:tab w:val="num" w:pos="720"/>
        </w:tabs>
        <w:ind w:left="720" w:hanging="720"/>
      </w:pPr>
    </w:lvl>
    <w:lvl w:ilvl="1">
      <w:start w:val="1"/>
      <w:numFmt w:val="decimal"/>
      <w:pStyle w:val="Sub-bullet1"/>
      <w:lvlText w:val="%2."/>
      <w:lvlJc w:val="left"/>
      <w:pPr>
        <w:tabs>
          <w:tab w:val="num" w:pos="1440"/>
        </w:tabs>
        <w:ind w:left="1440" w:hanging="720"/>
      </w:pPr>
    </w:lvl>
    <w:lvl w:ilvl="2">
      <w:start w:val="1"/>
      <w:numFmt w:val="decimal"/>
      <w:pStyle w:val="Sub-bullet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7775DB"/>
    <w:multiLevelType w:val="multilevel"/>
    <w:tmpl w:val="528AE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tAHouseStyle_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e92ea9tpxdzoex9spxs9asfpp0rx2xe2s2&quot;&gt;NT-proBNP Model Manuscript&lt;record-ids&gt;&lt;item&gt;1&lt;/item&gt;&lt;item&gt;2&lt;/item&gt;&lt;item&gt;3&lt;/item&gt;&lt;item&gt;6&lt;/item&gt;&lt;item&gt;7&lt;/item&gt;&lt;item&gt;11&lt;/item&gt;&lt;item&gt;12&lt;/item&gt;&lt;item&gt;17&lt;/item&gt;&lt;item&gt;18&lt;/item&gt;&lt;item&gt;20&lt;/item&gt;&lt;item&gt;31&lt;/item&gt;&lt;item&gt;34&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record-ids&gt;&lt;/item&gt;&lt;/Libraries&gt;"/>
  </w:docVars>
  <w:rsids>
    <w:rsidRoot w:val="00866D36"/>
    <w:rsid w:val="00006527"/>
    <w:rsid w:val="00011E9F"/>
    <w:rsid w:val="0002407C"/>
    <w:rsid w:val="00034C65"/>
    <w:rsid w:val="00036827"/>
    <w:rsid w:val="000458C2"/>
    <w:rsid w:val="00052A12"/>
    <w:rsid w:val="000632BB"/>
    <w:rsid w:val="0006567B"/>
    <w:rsid w:val="000718CD"/>
    <w:rsid w:val="00087DE1"/>
    <w:rsid w:val="000D18BC"/>
    <w:rsid w:val="000E67F3"/>
    <w:rsid w:val="000F07FB"/>
    <w:rsid w:val="000F3EB4"/>
    <w:rsid w:val="001024B3"/>
    <w:rsid w:val="001227AF"/>
    <w:rsid w:val="001257E9"/>
    <w:rsid w:val="00145EF9"/>
    <w:rsid w:val="00147718"/>
    <w:rsid w:val="00152B25"/>
    <w:rsid w:val="00156ACA"/>
    <w:rsid w:val="00164506"/>
    <w:rsid w:val="00184703"/>
    <w:rsid w:val="00191F37"/>
    <w:rsid w:val="001A5032"/>
    <w:rsid w:val="001B2964"/>
    <w:rsid w:val="001B520C"/>
    <w:rsid w:val="001B7C06"/>
    <w:rsid w:val="001C2484"/>
    <w:rsid w:val="001C28EA"/>
    <w:rsid w:val="001D589A"/>
    <w:rsid w:val="001E5420"/>
    <w:rsid w:val="001E5D41"/>
    <w:rsid w:val="001F4383"/>
    <w:rsid w:val="001F697D"/>
    <w:rsid w:val="001F75B8"/>
    <w:rsid w:val="00205631"/>
    <w:rsid w:val="00210C53"/>
    <w:rsid w:val="002211E2"/>
    <w:rsid w:val="00227D45"/>
    <w:rsid w:val="00231B28"/>
    <w:rsid w:val="00231EB0"/>
    <w:rsid w:val="002356BA"/>
    <w:rsid w:val="002434A4"/>
    <w:rsid w:val="00244640"/>
    <w:rsid w:val="00244897"/>
    <w:rsid w:val="00265134"/>
    <w:rsid w:val="00276BE2"/>
    <w:rsid w:val="002932AF"/>
    <w:rsid w:val="002A6ADF"/>
    <w:rsid w:val="002B2661"/>
    <w:rsid w:val="002C3323"/>
    <w:rsid w:val="002D3175"/>
    <w:rsid w:val="002F1E00"/>
    <w:rsid w:val="002F7C17"/>
    <w:rsid w:val="0032283A"/>
    <w:rsid w:val="00340DDD"/>
    <w:rsid w:val="003431DB"/>
    <w:rsid w:val="003533A0"/>
    <w:rsid w:val="003972EF"/>
    <w:rsid w:val="003A7C91"/>
    <w:rsid w:val="003B2ADE"/>
    <w:rsid w:val="003B6C89"/>
    <w:rsid w:val="003C126E"/>
    <w:rsid w:val="003C2102"/>
    <w:rsid w:val="003C22FF"/>
    <w:rsid w:val="003C4ABD"/>
    <w:rsid w:val="003E5C5C"/>
    <w:rsid w:val="003E5C60"/>
    <w:rsid w:val="003E5DB9"/>
    <w:rsid w:val="00443A8A"/>
    <w:rsid w:val="0045206E"/>
    <w:rsid w:val="0045490C"/>
    <w:rsid w:val="004562C4"/>
    <w:rsid w:val="004634C8"/>
    <w:rsid w:val="00471D38"/>
    <w:rsid w:val="00474B4C"/>
    <w:rsid w:val="004756D8"/>
    <w:rsid w:val="00477210"/>
    <w:rsid w:val="00481E6C"/>
    <w:rsid w:val="00493886"/>
    <w:rsid w:val="00494320"/>
    <w:rsid w:val="004A6606"/>
    <w:rsid w:val="004B310E"/>
    <w:rsid w:val="004E70BC"/>
    <w:rsid w:val="0051084E"/>
    <w:rsid w:val="005109A9"/>
    <w:rsid w:val="005120C1"/>
    <w:rsid w:val="0052040D"/>
    <w:rsid w:val="005501B1"/>
    <w:rsid w:val="00551214"/>
    <w:rsid w:val="005540FA"/>
    <w:rsid w:val="005664D0"/>
    <w:rsid w:val="0057074C"/>
    <w:rsid w:val="005709A7"/>
    <w:rsid w:val="00572519"/>
    <w:rsid w:val="0058315E"/>
    <w:rsid w:val="00585D26"/>
    <w:rsid w:val="005A3296"/>
    <w:rsid w:val="005C0ACC"/>
    <w:rsid w:val="005D06B9"/>
    <w:rsid w:val="005D3E21"/>
    <w:rsid w:val="005D6078"/>
    <w:rsid w:val="005D6A20"/>
    <w:rsid w:val="005E2303"/>
    <w:rsid w:val="005E760F"/>
    <w:rsid w:val="006131F4"/>
    <w:rsid w:val="00636A7E"/>
    <w:rsid w:val="00644409"/>
    <w:rsid w:val="00647CD9"/>
    <w:rsid w:val="006505E3"/>
    <w:rsid w:val="00656014"/>
    <w:rsid w:val="00657B65"/>
    <w:rsid w:val="00660C6E"/>
    <w:rsid w:val="00671547"/>
    <w:rsid w:val="00682A0A"/>
    <w:rsid w:val="006A79B2"/>
    <w:rsid w:val="006B4109"/>
    <w:rsid w:val="006C2569"/>
    <w:rsid w:val="006C51B8"/>
    <w:rsid w:val="006C5805"/>
    <w:rsid w:val="006D3170"/>
    <w:rsid w:val="006D4C17"/>
    <w:rsid w:val="006D6B82"/>
    <w:rsid w:val="006E1E76"/>
    <w:rsid w:val="006F3561"/>
    <w:rsid w:val="00750B7F"/>
    <w:rsid w:val="00757F83"/>
    <w:rsid w:val="007636B4"/>
    <w:rsid w:val="007816C3"/>
    <w:rsid w:val="007843A7"/>
    <w:rsid w:val="00784D17"/>
    <w:rsid w:val="007861EF"/>
    <w:rsid w:val="007B1B05"/>
    <w:rsid w:val="007B532F"/>
    <w:rsid w:val="007B6E2A"/>
    <w:rsid w:val="007F412B"/>
    <w:rsid w:val="00816ED5"/>
    <w:rsid w:val="008170BF"/>
    <w:rsid w:val="00822B76"/>
    <w:rsid w:val="00826240"/>
    <w:rsid w:val="008335C1"/>
    <w:rsid w:val="00836D77"/>
    <w:rsid w:val="0084185A"/>
    <w:rsid w:val="00847CCC"/>
    <w:rsid w:val="0086054C"/>
    <w:rsid w:val="00866D36"/>
    <w:rsid w:val="008703CE"/>
    <w:rsid w:val="0087068F"/>
    <w:rsid w:val="00871353"/>
    <w:rsid w:val="00890668"/>
    <w:rsid w:val="008A3DEB"/>
    <w:rsid w:val="008A5AE0"/>
    <w:rsid w:val="008B792D"/>
    <w:rsid w:val="008D0F49"/>
    <w:rsid w:val="008E1F34"/>
    <w:rsid w:val="008E7E34"/>
    <w:rsid w:val="008F22AB"/>
    <w:rsid w:val="0090070D"/>
    <w:rsid w:val="00902EFE"/>
    <w:rsid w:val="0090550C"/>
    <w:rsid w:val="0090684D"/>
    <w:rsid w:val="00926D19"/>
    <w:rsid w:val="00930137"/>
    <w:rsid w:val="009351AD"/>
    <w:rsid w:val="00965121"/>
    <w:rsid w:val="00972A7B"/>
    <w:rsid w:val="009A2952"/>
    <w:rsid w:val="009B43E7"/>
    <w:rsid w:val="009B589E"/>
    <w:rsid w:val="009D47B7"/>
    <w:rsid w:val="009E0EB8"/>
    <w:rsid w:val="009F0C6E"/>
    <w:rsid w:val="009F30EC"/>
    <w:rsid w:val="00A103AA"/>
    <w:rsid w:val="00A12EAD"/>
    <w:rsid w:val="00A12EB1"/>
    <w:rsid w:val="00A1583D"/>
    <w:rsid w:val="00A2377F"/>
    <w:rsid w:val="00A27842"/>
    <w:rsid w:val="00A40F72"/>
    <w:rsid w:val="00A44744"/>
    <w:rsid w:val="00A47A11"/>
    <w:rsid w:val="00A63CE7"/>
    <w:rsid w:val="00A81DA9"/>
    <w:rsid w:val="00A8223B"/>
    <w:rsid w:val="00A83435"/>
    <w:rsid w:val="00AA0C74"/>
    <w:rsid w:val="00AA5658"/>
    <w:rsid w:val="00AB2CAC"/>
    <w:rsid w:val="00AC0D29"/>
    <w:rsid w:val="00AC6F3E"/>
    <w:rsid w:val="00AD2239"/>
    <w:rsid w:val="00AD3C3A"/>
    <w:rsid w:val="00B01B1C"/>
    <w:rsid w:val="00B02900"/>
    <w:rsid w:val="00B0305C"/>
    <w:rsid w:val="00B04378"/>
    <w:rsid w:val="00B07F51"/>
    <w:rsid w:val="00B46329"/>
    <w:rsid w:val="00B52C10"/>
    <w:rsid w:val="00B52FCA"/>
    <w:rsid w:val="00B5437C"/>
    <w:rsid w:val="00B90FEE"/>
    <w:rsid w:val="00B95337"/>
    <w:rsid w:val="00B9714D"/>
    <w:rsid w:val="00BA0166"/>
    <w:rsid w:val="00BA1A06"/>
    <w:rsid w:val="00BB5602"/>
    <w:rsid w:val="00BD0313"/>
    <w:rsid w:val="00BD301B"/>
    <w:rsid w:val="00BD4776"/>
    <w:rsid w:val="00BD4F3C"/>
    <w:rsid w:val="00BE0D69"/>
    <w:rsid w:val="00BE3037"/>
    <w:rsid w:val="00BE59FF"/>
    <w:rsid w:val="00BF005E"/>
    <w:rsid w:val="00C0188E"/>
    <w:rsid w:val="00C106BA"/>
    <w:rsid w:val="00C11C66"/>
    <w:rsid w:val="00C1550F"/>
    <w:rsid w:val="00C33833"/>
    <w:rsid w:val="00C53C06"/>
    <w:rsid w:val="00C53C13"/>
    <w:rsid w:val="00C57387"/>
    <w:rsid w:val="00C60709"/>
    <w:rsid w:val="00C668C2"/>
    <w:rsid w:val="00C9190E"/>
    <w:rsid w:val="00C97615"/>
    <w:rsid w:val="00CA21ED"/>
    <w:rsid w:val="00CD2528"/>
    <w:rsid w:val="00CD3CD5"/>
    <w:rsid w:val="00CE28CF"/>
    <w:rsid w:val="00CE306A"/>
    <w:rsid w:val="00CE5499"/>
    <w:rsid w:val="00D07C38"/>
    <w:rsid w:val="00D108BF"/>
    <w:rsid w:val="00D15961"/>
    <w:rsid w:val="00D15FA0"/>
    <w:rsid w:val="00D34EE5"/>
    <w:rsid w:val="00D43771"/>
    <w:rsid w:val="00D43C71"/>
    <w:rsid w:val="00D4542B"/>
    <w:rsid w:val="00D60199"/>
    <w:rsid w:val="00D70A54"/>
    <w:rsid w:val="00D717FF"/>
    <w:rsid w:val="00D72311"/>
    <w:rsid w:val="00D83ED3"/>
    <w:rsid w:val="00D84D2B"/>
    <w:rsid w:val="00D85A88"/>
    <w:rsid w:val="00D935D4"/>
    <w:rsid w:val="00D97154"/>
    <w:rsid w:val="00DC1530"/>
    <w:rsid w:val="00DC2CA0"/>
    <w:rsid w:val="00DF0436"/>
    <w:rsid w:val="00DF38BA"/>
    <w:rsid w:val="00E131BE"/>
    <w:rsid w:val="00E2455E"/>
    <w:rsid w:val="00E308EE"/>
    <w:rsid w:val="00E41242"/>
    <w:rsid w:val="00E4763A"/>
    <w:rsid w:val="00E52210"/>
    <w:rsid w:val="00E6190E"/>
    <w:rsid w:val="00E65F74"/>
    <w:rsid w:val="00E739F8"/>
    <w:rsid w:val="00E82298"/>
    <w:rsid w:val="00E91689"/>
    <w:rsid w:val="00E9369D"/>
    <w:rsid w:val="00EA031D"/>
    <w:rsid w:val="00EA07B8"/>
    <w:rsid w:val="00EB7A07"/>
    <w:rsid w:val="00EC0B35"/>
    <w:rsid w:val="00ED155D"/>
    <w:rsid w:val="00ED5AF2"/>
    <w:rsid w:val="00EF02B7"/>
    <w:rsid w:val="00EF0FE6"/>
    <w:rsid w:val="00EF3196"/>
    <w:rsid w:val="00EF3361"/>
    <w:rsid w:val="00F022F6"/>
    <w:rsid w:val="00F11F9B"/>
    <w:rsid w:val="00F129D7"/>
    <w:rsid w:val="00F14E38"/>
    <w:rsid w:val="00F22A4B"/>
    <w:rsid w:val="00F24394"/>
    <w:rsid w:val="00F32279"/>
    <w:rsid w:val="00F3659B"/>
    <w:rsid w:val="00F71130"/>
    <w:rsid w:val="00F9294D"/>
    <w:rsid w:val="00F92FD3"/>
    <w:rsid w:val="00F979AE"/>
    <w:rsid w:val="00FA7447"/>
    <w:rsid w:val="00FB69DC"/>
    <w:rsid w:val="00FC458C"/>
    <w:rsid w:val="00FF2B6B"/>
    <w:rsid w:val="00FF3A9F"/>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E888"/>
  <w15:docId w15:val="{67FCAE5F-6DB0-49FD-832A-CE34378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2AF"/>
    <w:rPr>
      <w:rFonts w:cstheme="minorHAnsi"/>
    </w:rPr>
  </w:style>
  <w:style w:type="paragraph" w:styleId="Heading1">
    <w:name w:val="heading 1"/>
    <w:basedOn w:val="Normal"/>
    <w:next w:val="Normal"/>
    <w:link w:val="Heading1Char"/>
    <w:uiPriority w:val="9"/>
    <w:qFormat/>
    <w:rsid w:val="002D41B6"/>
    <w:pPr>
      <w:keepNext/>
      <w:spacing w:after="0"/>
      <w:outlineLvl w:val="0"/>
    </w:pPr>
    <w:rPr>
      <w:b/>
      <w:sz w:val="24"/>
      <w:szCs w:val="24"/>
    </w:rPr>
  </w:style>
  <w:style w:type="paragraph" w:styleId="Heading2">
    <w:name w:val="heading 2"/>
    <w:basedOn w:val="Normal"/>
    <w:next w:val="Normal"/>
    <w:link w:val="Heading2Char"/>
    <w:uiPriority w:val="9"/>
    <w:unhideWhenUsed/>
    <w:qFormat/>
    <w:rsid w:val="00DB07BD"/>
    <w:pPr>
      <w:keepNext/>
      <w:outlineLvl w:val="1"/>
    </w:pPr>
    <w:rPr>
      <w:b/>
      <w:i/>
      <w:iCs/>
    </w:rPr>
  </w:style>
  <w:style w:type="paragraph" w:styleId="Heading3">
    <w:name w:val="heading 3"/>
    <w:basedOn w:val="Heading2"/>
    <w:next w:val="Normal"/>
    <w:link w:val="Heading3Char"/>
    <w:uiPriority w:val="9"/>
    <w:unhideWhenUsed/>
    <w:qFormat/>
    <w:rsid w:val="00885C65"/>
    <w:pPr>
      <w:outlineLvl w:val="2"/>
    </w:pPr>
    <w:rPr>
      <w:i w:val="0"/>
      <w:iCs w:val="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263"/>
    <w:pPr>
      <w:spacing w:after="0"/>
      <w:jc w:val="center"/>
    </w:pPr>
    <w:rPr>
      <w:b/>
      <w:sz w:val="32"/>
      <w:szCs w:val="32"/>
    </w:rPr>
  </w:style>
  <w:style w:type="paragraph" w:styleId="BalloonText">
    <w:name w:val="Balloon Text"/>
    <w:basedOn w:val="Normal"/>
    <w:link w:val="BalloonTextChar"/>
    <w:uiPriority w:val="99"/>
    <w:semiHidden/>
    <w:unhideWhenUsed/>
    <w:rsid w:val="0015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18"/>
    <w:rPr>
      <w:rFonts w:ascii="Segoe UI" w:hAnsi="Segoe UI" w:cs="Segoe UI"/>
      <w:sz w:val="18"/>
      <w:szCs w:val="18"/>
    </w:rPr>
  </w:style>
  <w:style w:type="paragraph" w:styleId="ListParagraph">
    <w:name w:val="List Paragraph"/>
    <w:basedOn w:val="Normal"/>
    <w:link w:val="ListParagraphChar"/>
    <w:uiPriority w:val="34"/>
    <w:qFormat/>
    <w:rsid w:val="00EE05C7"/>
    <w:pPr>
      <w:ind w:left="720"/>
      <w:contextualSpacing/>
    </w:pPr>
  </w:style>
  <w:style w:type="paragraph" w:styleId="Caption">
    <w:name w:val="caption"/>
    <w:basedOn w:val="Sub-bullet1"/>
    <w:next w:val="Normal"/>
    <w:uiPriority w:val="35"/>
    <w:unhideWhenUsed/>
    <w:qFormat/>
    <w:rsid w:val="00033F8C"/>
    <w:pPr>
      <w:keepNext/>
      <w:numPr>
        <w:ilvl w:val="0"/>
        <w:numId w:val="0"/>
      </w:numPr>
      <w:spacing w:after="0"/>
    </w:pPr>
  </w:style>
  <w:style w:type="character" w:styleId="Hyperlink">
    <w:name w:val="Hyperlink"/>
    <w:basedOn w:val="DefaultParagraphFont"/>
    <w:uiPriority w:val="99"/>
    <w:unhideWhenUsed/>
    <w:rsid w:val="00470C7C"/>
    <w:rPr>
      <w:color w:val="0563C1" w:themeColor="hyperlink"/>
      <w:u w:val="single"/>
    </w:rPr>
  </w:style>
  <w:style w:type="character" w:styleId="CommentReference">
    <w:name w:val="annotation reference"/>
    <w:basedOn w:val="DefaultParagraphFont"/>
    <w:uiPriority w:val="99"/>
    <w:semiHidden/>
    <w:unhideWhenUsed/>
    <w:rsid w:val="006D78B4"/>
    <w:rPr>
      <w:sz w:val="16"/>
      <w:szCs w:val="16"/>
    </w:rPr>
  </w:style>
  <w:style w:type="paragraph" w:styleId="CommentText">
    <w:name w:val="annotation text"/>
    <w:basedOn w:val="Normal"/>
    <w:link w:val="CommentTextChar"/>
    <w:uiPriority w:val="99"/>
    <w:unhideWhenUsed/>
    <w:rsid w:val="006D78B4"/>
    <w:pPr>
      <w:spacing w:line="240" w:lineRule="auto"/>
    </w:pPr>
    <w:rPr>
      <w:sz w:val="20"/>
      <w:szCs w:val="20"/>
    </w:rPr>
  </w:style>
  <w:style w:type="character" w:customStyle="1" w:styleId="CommentTextChar">
    <w:name w:val="Comment Text Char"/>
    <w:basedOn w:val="DefaultParagraphFont"/>
    <w:link w:val="CommentText"/>
    <w:uiPriority w:val="99"/>
    <w:rsid w:val="006D78B4"/>
    <w:rPr>
      <w:sz w:val="20"/>
      <w:szCs w:val="20"/>
    </w:rPr>
  </w:style>
  <w:style w:type="paragraph" w:styleId="CommentSubject">
    <w:name w:val="annotation subject"/>
    <w:basedOn w:val="CommentText"/>
    <w:next w:val="CommentText"/>
    <w:link w:val="CommentSubjectChar"/>
    <w:uiPriority w:val="99"/>
    <w:semiHidden/>
    <w:unhideWhenUsed/>
    <w:rsid w:val="006D78B4"/>
    <w:rPr>
      <w:b/>
      <w:bCs/>
    </w:rPr>
  </w:style>
  <w:style w:type="character" w:customStyle="1" w:styleId="CommentSubjectChar">
    <w:name w:val="Comment Subject Char"/>
    <w:basedOn w:val="CommentTextChar"/>
    <w:link w:val="CommentSubject"/>
    <w:uiPriority w:val="99"/>
    <w:semiHidden/>
    <w:rsid w:val="006D78B4"/>
    <w:rPr>
      <w:b/>
      <w:bCs/>
      <w:sz w:val="20"/>
      <w:szCs w:val="20"/>
    </w:rPr>
  </w:style>
  <w:style w:type="character" w:styleId="FollowedHyperlink">
    <w:name w:val="FollowedHyperlink"/>
    <w:basedOn w:val="DefaultParagraphFont"/>
    <w:uiPriority w:val="99"/>
    <w:semiHidden/>
    <w:unhideWhenUsed/>
    <w:rsid w:val="00184382"/>
    <w:rPr>
      <w:color w:val="954F72" w:themeColor="followedHyperlink"/>
      <w:u w:val="single"/>
    </w:rPr>
  </w:style>
  <w:style w:type="paragraph" w:styleId="Header">
    <w:name w:val="header"/>
    <w:basedOn w:val="Normal"/>
    <w:link w:val="HeaderChar"/>
    <w:uiPriority w:val="99"/>
    <w:unhideWhenUsed/>
    <w:rsid w:val="00483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1E"/>
  </w:style>
  <w:style w:type="paragraph" w:styleId="Footer">
    <w:name w:val="footer"/>
    <w:basedOn w:val="Normal"/>
    <w:link w:val="FooterChar"/>
    <w:uiPriority w:val="99"/>
    <w:unhideWhenUsed/>
    <w:rsid w:val="0048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1E"/>
  </w:style>
  <w:style w:type="paragraph" w:styleId="NormalWeb">
    <w:name w:val="Normal (Web)"/>
    <w:basedOn w:val="Normal"/>
    <w:uiPriority w:val="99"/>
    <w:unhideWhenUsed/>
    <w:rsid w:val="00B43F06"/>
    <w:pPr>
      <w:spacing w:after="0" w:line="240" w:lineRule="auto"/>
    </w:pPr>
    <w:rPr>
      <w:rFonts w:ascii="Times New Roman" w:hAnsi="Times New Roman" w:cs="Times New Roman"/>
      <w:sz w:val="24"/>
      <w:szCs w:val="24"/>
    </w:rPr>
  </w:style>
  <w:style w:type="paragraph" w:styleId="Revision">
    <w:name w:val="Revision"/>
    <w:hidden/>
    <w:uiPriority w:val="99"/>
    <w:semiHidden/>
    <w:rsid w:val="0074519F"/>
    <w:pPr>
      <w:spacing w:after="0" w:line="240" w:lineRule="auto"/>
    </w:pPr>
  </w:style>
  <w:style w:type="character" w:styleId="LineNumber">
    <w:name w:val="line number"/>
    <w:basedOn w:val="DefaultParagraphFont"/>
    <w:uiPriority w:val="99"/>
    <w:semiHidden/>
    <w:unhideWhenUsed/>
    <w:rsid w:val="006C319B"/>
  </w:style>
  <w:style w:type="character" w:customStyle="1" w:styleId="UnresolvedMention1">
    <w:name w:val="Unresolved Mention1"/>
    <w:basedOn w:val="DefaultParagraphFont"/>
    <w:uiPriority w:val="99"/>
    <w:unhideWhenUsed/>
    <w:rsid w:val="009E2961"/>
    <w:rPr>
      <w:color w:val="808080"/>
      <w:shd w:val="clear" w:color="auto" w:fill="E6E6E6"/>
    </w:rPr>
  </w:style>
  <w:style w:type="table" w:styleId="TableGrid">
    <w:name w:val="Table Grid"/>
    <w:basedOn w:val="TableNormal"/>
    <w:uiPriority w:val="39"/>
    <w:rsid w:val="00D3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6726"/>
    <w:pPr>
      <w:spacing w:after="0" w:line="240" w:lineRule="auto"/>
    </w:pPr>
    <w:rPr>
      <w:sz w:val="20"/>
      <w:szCs w:val="20"/>
    </w:rPr>
  </w:style>
  <w:style w:type="character" w:customStyle="1" w:styleId="FootnoteTextChar">
    <w:name w:val="Footnote Text Char"/>
    <w:basedOn w:val="DefaultParagraphFont"/>
    <w:link w:val="FootnoteText"/>
    <w:uiPriority w:val="99"/>
    <w:rsid w:val="00AF6726"/>
    <w:rPr>
      <w:sz w:val="20"/>
      <w:szCs w:val="20"/>
      <w:lang w:val="en-GB"/>
    </w:rPr>
  </w:style>
  <w:style w:type="character" w:styleId="FootnoteReference">
    <w:name w:val="footnote reference"/>
    <w:basedOn w:val="DefaultParagraphFont"/>
    <w:uiPriority w:val="99"/>
    <w:semiHidden/>
    <w:unhideWhenUsed/>
    <w:rsid w:val="00AF6726"/>
    <w:rPr>
      <w:vertAlign w:val="superscript"/>
    </w:rPr>
  </w:style>
  <w:style w:type="character" w:customStyle="1" w:styleId="Heading1Char">
    <w:name w:val="Heading 1 Char"/>
    <w:basedOn w:val="DefaultParagraphFont"/>
    <w:link w:val="Heading1"/>
    <w:uiPriority w:val="9"/>
    <w:rsid w:val="002D41B6"/>
    <w:rPr>
      <w:rFonts w:cstheme="minorHAnsi"/>
      <w:b/>
      <w:sz w:val="24"/>
      <w:szCs w:val="24"/>
      <w:lang w:val="en-GB"/>
    </w:rPr>
  </w:style>
  <w:style w:type="character" w:styleId="Strong">
    <w:name w:val="Strong"/>
    <w:basedOn w:val="DefaultParagraphFont"/>
    <w:uiPriority w:val="22"/>
    <w:qFormat/>
    <w:rsid w:val="00C15029"/>
    <w:rPr>
      <w:b/>
      <w:bCs/>
    </w:rPr>
  </w:style>
  <w:style w:type="character" w:customStyle="1" w:styleId="TitleChar">
    <w:name w:val="Title Char"/>
    <w:basedOn w:val="DefaultParagraphFont"/>
    <w:link w:val="Title"/>
    <w:uiPriority w:val="10"/>
    <w:rsid w:val="00815263"/>
    <w:rPr>
      <w:rFonts w:cstheme="minorHAnsi"/>
      <w:b/>
      <w:sz w:val="32"/>
      <w:szCs w:val="32"/>
      <w:lang w:val="en-GB"/>
    </w:rPr>
  </w:style>
  <w:style w:type="character" w:customStyle="1" w:styleId="Heading2Char">
    <w:name w:val="Heading 2 Char"/>
    <w:basedOn w:val="DefaultParagraphFont"/>
    <w:link w:val="Heading2"/>
    <w:uiPriority w:val="9"/>
    <w:rsid w:val="00DB07BD"/>
    <w:rPr>
      <w:rFonts w:cstheme="minorHAnsi"/>
      <w:b/>
      <w:i/>
      <w:iCs/>
      <w:lang w:val="en-GB"/>
    </w:rPr>
  </w:style>
  <w:style w:type="paragraph" w:customStyle="1" w:styleId="Bullets">
    <w:name w:val="Bullets"/>
    <w:basedOn w:val="ListParagraph"/>
    <w:link w:val="BulletsChar"/>
    <w:qFormat/>
    <w:rsid w:val="00C907D8"/>
    <w:pPr>
      <w:numPr>
        <w:numId w:val="3"/>
      </w:numPr>
    </w:pPr>
  </w:style>
  <w:style w:type="paragraph" w:customStyle="1" w:styleId="Sub-bullet1">
    <w:name w:val="Sub-bullet 1"/>
    <w:basedOn w:val="ListParagraph"/>
    <w:link w:val="Sub-bullet1Char"/>
    <w:qFormat/>
    <w:rsid w:val="00E85864"/>
    <w:pPr>
      <w:numPr>
        <w:ilvl w:val="1"/>
        <w:numId w:val="4"/>
      </w:numPr>
    </w:pPr>
  </w:style>
  <w:style w:type="character" w:customStyle="1" w:styleId="ListParagraphChar">
    <w:name w:val="List Paragraph Char"/>
    <w:basedOn w:val="DefaultParagraphFont"/>
    <w:link w:val="ListParagraph"/>
    <w:uiPriority w:val="34"/>
    <w:rsid w:val="00C907D8"/>
    <w:rPr>
      <w:rFonts w:cstheme="minorHAnsi"/>
      <w:lang w:val="en-GB"/>
    </w:rPr>
  </w:style>
  <w:style w:type="character" w:customStyle="1" w:styleId="BulletsChar">
    <w:name w:val="Bullets Char"/>
    <w:basedOn w:val="ListParagraphChar"/>
    <w:link w:val="Bullets"/>
    <w:rsid w:val="00C907D8"/>
    <w:rPr>
      <w:rFonts w:cstheme="minorHAnsi"/>
      <w:lang w:val="en-GB"/>
    </w:rPr>
  </w:style>
  <w:style w:type="paragraph" w:customStyle="1" w:styleId="Sub-bullet2">
    <w:name w:val="Sub-bullet 2"/>
    <w:basedOn w:val="ListParagraph"/>
    <w:link w:val="Sub-bullet2Char"/>
    <w:qFormat/>
    <w:rsid w:val="00C907D8"/>
    <w:pPr>
      <w:numPr>
        <w:ilvl w:val="2"/>
        <w:numId w:val="3"/>
      </w:numPr>
    </w:pPr>
  </w:style>
  <w:style w:type="character" w:customStyle="1" w:styleId="Sub-bullet1Char">
    <w:name w:val="Sub-bullet 1 Char"/>
    <w:basedOn w:val="ListParagraphChar"/>
    <w:link w:val="Sub-bullet1"/>
    <w:rsid w:val="00E85864"/>
    <w:rPr>
      <w:rFonts w:cstheme="minorHAnsi"/>
      <w:lang w:val="en-GB"/>
    </w:rPr>
  </w:style>
  <w:style w:type="table" w:styleId="GridTable5Dark-Accent1">
    <w:name w:val="Grid Table 5 Dark Accent 1"/>
    <w:basedOn w:val="TableNormal"/>
    <w:uiPriority w:val="50"/>
    <w:rsid w:val="00F775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ub-bullet2Char">
    <w:name w:val="Sub-bullet 2 Char"/>
    <w:basedOn w:val="ListParagraphChar"/>
    <w:link w:val="Sub-bullet2"/>
    <w:rsid w:val="00C907D8"/>
    <w:rPr>
      <w:rFonts w:cstheme="minorHAnsi"/>
      <w:lang w:val="en-GB"/>
    </w:rPr>
  </w:style>
  <w:style w:type="character" w:customStyle="1" w:styleId="Mention1">
    <w:name w:val="Mention1"/>
    <w:basedOn w:val="DefaultParagraphFont"/>
    <w:uiPriority w:val="99"/>
    <w:unhideWhenUsed/>
    <w:rsid w:val="00904CFA"/>
    <w:rPr>
      <w:color w:val="2B579A"/>
      <w:shd w:val="clear" w:color="auto" w:fill="E1DFDD"/>
    </w:rPr>
  </w:style>
  <w:style w:type="paragraph" w:customStyle="1" w:styleId="EndNoteBibliographyTitle">
    <w:name w:val="EndNote Bibliography Title"/>
    <w:basedOn w:val="Normal"/>
    <w:link w:val="EndNoteBibliographyTitleChar"/>
    <w:rsid w:val="003C1DED"/>
    <w:pPr>
      <w:spacing w:after="0"/>
      <w:jc w:val="center"/>
    </w:pPr>
    <w:rPr>
      <w:rFonts w:cs="Calibri"/>
      <w:lang w:val="en-US"/>
    </w:rPr>
  </w:style>
  <w:style w:type="character" w:customStyle="1" w:styleId="EndNoteBibliographyTitleChar">
    <w:name w:val="EndNote Bibliography Title Char"/>
    <w:basedOn w:val="DefaultParagraphFont"/>
    <w:link w:val="EndNoteBibliographyTitle"/>
    <w:rsid w:val="003C1DED"/>
    <w:rPr>
      <w:lang w:val="en-US"/>
    </w:rPr>
  </w:style>
  <w:style w:type="paragraph" w:customStyle="1" w:styleId="EndNoteBibliography">
    <w:name w:val="EndNote Bibliography"/>
    <w:basedOn w:val="Normal"/>
    <w:link w:val="EndNoteBibliographyChar"/>
    <w:rsid w:val="003C1DED"/>
    <w:pPr>
      <w:spacing w:line="240" w:lineRule="auto"/>
    </w:pPr>
    <w:rPr>
      <w:rFonts w:cs="Calibri"/>
      <w:lang w:val="en-US"/>
    </w:rPr>
  </w:style>
  <w:style w:type="character" w:customStyle="1" w:styleId="EndNoteBibliographyChar">
    <w:name w:val="EndNote Bibliography Char"/>
    <w:basedOn w:val="DefaultParagraphFont"/>
    <w:link w:val="EndNoteBibliography"/>
    <w:rsid w:val="003C1DED"/>
    <w:rPr>
      <w:lang w:val="en-US"/>
    </w:rPr>
  </w:style>
  <w:style w:type="character" w:customStyle="1" w:styleId="Heading3Char">
    <w:name w:val="Heading 3 Char"/>
    <w:basedOn w:val="DefaultParagraphFont"/>
    <w:link w:val="Heading3"/>
    <w:uiPriority w:val="9"/>
    <w:rsid w:val="00885C65"/>
    <w:rPr>
      <w:rFonts w:cstheme="minorHAnsi"/>
      <w:b/>
      <w:noProof/>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character" w:styleId="Emphasis">
    <w:name w:val="Emphasis"/>
    <w:basedOn w:val="DefaultParagraphFont"/>
    <w:uiPriority w:val="20"/>
    <w:qFormat/>
    <w:rsid w:val="00BA0166"/>
    <w:rPr>
      <w:i/>
      <w:iCs/>
    </w:rPr>
  </w:style>
  <w:style w:type="character" w:customStyle="1" w:styleId="UnresolvedMention2">
    <w:name w:val="Unresolved Mention2"/>
    <w:basedOn w:val="DefaultParagraphFont"/>
    <w:uiPriority w:val="99"/>
    <w:semiHidden/>
    <w:unhideWhenUsed/>
    <w:rsid w:val="00EF02B7"/>
    <w:rPr>
      <w:color w:val="605E5C"/>
      <w:shd w:val="clear" w:color="auto" w:fill="E1DFDD"/>
    </w:rPr>
  </w:style>
  <w:style w:type="table" w:styleId="GridTable5Dark-Accent6">
    <w:name w:val="Grid Table 5 Dark Accent 6"/>
    <w:basedOn w:val="TableNormal"/>
    <w:uiPriority w:val="50"/>
    <w:rsid w:val="008A3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UnresolvedMention3">
    <w:name w:val="Unresolved Mention3"/>
    <w:basedOn w:val="DefaultParagraphFont"/>
    <w:uiPriority w:val="99"/>
    <w:semiHidden/>
    <w:unhideWhenUsed/>
    <w:rsid w:val="00EB7A07"/>
    <w:rPr>
      <w:color w:val="605E5C"/>
      <w:shd w:val="clear" w:color="auto" w:fill="E1DFDD"/>
    </w:rPr>
  </w:style>
  <w:style w:type="character" w:customStyle="1" w:styleId="UnresolvedMention">
    <w:name w:val="Unresolved Mention"/>
    <w:basedOn w:val="DefaultParagraphFont"/>
    <w:uiPriority w:val="99"/>
    <w:semiHidden/>
    <w:unhideWhenUsed/>
    <w:rsid w:val="001E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848">
      <w:bodyDiv w:val="1"/>
      <w:marLeft w:val="0"/>
      <w:marRight w:val="0"/>
      <w:marTop w:val="0"/>
      <w:marBottom w:val="0"/>
      <w:divBdr>
        <w:top w:val="none" w:sz="0" w:space="0" w:color="auto"/>
        <w:left w:val="none" w:sz="0" w:space="0" w:color="auto"/>
        <w:bottom w:val="none" w:sz="0" w:space="0" w:color="auto"/>
        <w:right w:val="none" w:sz="0" w:space="0" w:color="auto"/>
      </w:divBdr>
    </w:div>
    <w:div w:id="159931373">
      <w:bodyDiv w:val="1"/>
      <w:marLeft w:val="0"/>
      <w:marRight w:val="0"/>
      <w:marTop w:val="0"/>
      <w:marBottom w:val="0"/>
      <w:divBdr>
        <w:top w:val="none" w:sz="0" w:space="0" w:color="auto"/>
        <w:left w:val="none" w:sz="0" w:space="0" w:color="auto"/>
        <w:bottom w:val="none" w:sz="0" w:space="0" w:color="auto"/>
        <w:right w:val="none" w:sz="0" w:space="0" w:color="auto"/>
      </w:divBdr>
    </w:div>
    <w:div w:id="668020070">
      <w:bodyDiv w:val="1"/>
      <w:marLeft w:val="0"/>
      <w:marRight w:val="0"/>
      <w:marTop w:val="0"/>
      <w:marBottom w:val="0"/>
      <w:divBdr>
        <w:top w:val="none" w:sz="0" w:space="0" w:color="auto"/>
        <w:left w:val="none" w:sz="0" w:space="0" w:color="auto"/>
        <w:bottom w:val="none" w:sz="0" w:space="0" w:color="auto"/>
        <w:right w:val="none" w:sz="0" w:space="0" w:color="auto"/>
      </w:divBdr>
    </w:div>
    <w:div w:id="720634006">
      <w:bodyDiv w:val="1"/>
      <w:marLeft w:val="0"/>
      <w:marRight w:val="0"/>
      <w:marTop w:val="0"/>
      <w:marBottom w:val="0"/>
      <w:divBdr>
        <w:top w:val="none" w:sz="0" w:space="0" w:color="auto"/>
        <w:left w:val="none" w:sz="0" w:space="0" w:color="auto"/>
        <w:bottom w:val="none" w:sz="0" w:space="0" w:color="auto"/>
        <w:right w:val="none" w:sz="0" w:space="0" w:color="auto"/>
      </w:divBdr>
    </w:div>
    <w:div w:id="887911891">
      <w:bodyDiv w:val="1"/>
      <w:marLeft w:val="0"/>
      <w:marRight w:val="0"/>
      <w:marTop w:val="0"/>
      <w:marBottom w:val="0"/>
      <w:divBdr>
        <w:top w:val="none" w:sz="0" w:space="0" w:color="auto"/>
        <w:left w:val="none" w:sz="0" w:space="0" w:color="auto"/>
        <w:bottom w:val="none" w:sz="0" w:space="0" w:color="auto"/>
        <w:right w:val="none" w:sz="0" w:space="0" w:color="auto"/>
      </w:divBdr>
    </w:div>
    <w:div w:id="1448305949">
      <w:bodyDiv w:val="1"/>
      <w:marLeft w:val="0"/>
      <w:marRight w:val="0"/>
      <w:marTop w:val="0"/>
      <w:marBottom w:val="0"/>
      <w:divBdr>
        <w:top w:val="none" w:sz="0" w:space="0" w:color="auto"/>
        <w:left w:val="none" w:sz="0" w:space="0" w:color="auto"/>
        <w:bottom w:val="none" w:sz="0" w:space="0" w:color="auto"/>
        <w:right w:val="none" w:sz="0" w:space="0" w:color="auto"/>
      </w:divBdr>
    </w:div>
    <w:div w:id="16387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drugtariff.nhsbsa.nhs.uk/" TargetMode="External"/><Relationship Id="rId3" Type="http://schemas.openxmlformats.org/officeDocument/2006/relationships/customXml" Target="../customXml/item3.xml"/><Relationship Id="rId21" Type="http://schemas.openxmlformats.org/officeDocument/2006/relationships/hyperlink" Target="https://www.nicor.org.uk/wp-content/uploads/2019/02/hfannual13-14-updated.pdf" TargetMode="External"/><Relationship Id="rId34" Type="http://schemas.openxmlformats.org/officeDocument/2006/relationships/hyperlink" Target="https://wetten.overheid.nl/BWBR0008023/2015-07-01" TargetMode="Externa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nice.org.uk/guidance/ta388" TargetMode="External"/><Relationship Id="rId33" Type="http://schemas.openxmlformats.org/officeDocument/2006/relationships/hyperlink" Target="https://www.imta.n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yperlink" Target="https://www.opendisdata.nl/downloads"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ice.org.uk/guidance/cg187" TargetMode="External"/><Relationship Id="rId32" Type="http://schemas.openxmlformats.org/officeDocument/2006/relationships/hyperlink" Target="https://www.sanidad.gob.es/estadEstudios/estadisticas/inforRecopilaciones/anaDesarrolloGDR.ht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nicor.org.uk/wp-content/uploads/2021/10/NHFA-Domain-Report_2021_FINAL.pdf" TargetMode="External"/><Relationship Id="rId28" Type="http://schemas.openxmlformats.org/officeDocument/2006/relationships/hyperlink" Target="https://www.nhsbsa.nhs.uk/statistical-collections/prescription-cost-analysis-england/prescription-cost-analysis-england-20202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ispor.org/heor-resources/more-heor-resources/pharmacoeconomic-guidelines/pe-guideline-detail/spa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nicedsu.org.uk/wp-content/uploads/2016/03/NICE-DSU-TSD-Survival-analysis.updated-March-2013.v2.pdf" TargetMode="External"/><Relationship Id="rId27" Type="http://schemas.openxmlformats.org/officeDocument/2006/relationships/hyperlink" Target="https://bnf.nice.org.uk/" TargetMode="External"/><Relationship Id="rId30" Type="http://schemas.openxmlformats.org/officeDocument/2006/relationships/hyperlink" Target="https://www.ispor.org/heor-resources/more-heor-resources/pharmacoeconomic-guidelines/pe-guideline-detail/the-netherlands" TargetMode="External"/><Relationship Id="rId35" Type="http://schemas.openxmlformats.org/officeDocument/2006/relationships/hyperlink" Target="https://www.xe.com/currencyconverter/convert/?Amount=1&amp;From=GBP&amp;To=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D6CFCF57DD049A418CE37BDAAFD50" ma:contentTypeVersion="18" ma:contentTypeDescription="Create a new document." ma:contentTypeScope="" ma:versionID="0f8b46f75df36b29570e7ee9d1de397e">
  <xsd:schema xmlns:xsd="http://www.w3.org/2001/XMLSchema" xmlns:xs="http://www.w3.org/2001/XMLSchema" xmlns:p="http://schemas.microsoft.com/office/2006/metadata/properties" xmlns:ns2="84606620-b664-4739-826c-ced74822e4b4" xmlns:ns3="af6c655c-89ae-48d8-bb83-e250daf1cc27" targetNamespace="http://schemas.microsoft.com/office/2006/metadata/properties" ma:root="true" ma:fieldsID="7f5b7f5803c8069c15cda63170e8288d" ns2:_="" ns3:_="">
    <xsd:import namespace="84606620-b664-4739-826c-ced74822e4b4"/>
    <xsd:import namespace="af6c655c-89ae-48d8-bb83-e250daf1cc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Item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06620-b664-4739-826c-ced74822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Items" ma:index="20" nillable="true" ma:displayName="Items" ma:format="Dropdown" ma:internalName="Items"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999b18-140d-41f1-9601-23a4a916b6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6c655c-89ae-48d8-bb83-e250daf1cc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d1da43-d4e7-4e84-8b72-7efdb4e67c90}" ma:internalName="TaxCatchAll" ma:showField="CatchAllData" ma:web="af6c655c-89ae-48d8-bb83-e250daf1c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s xmlns="84606620-b664-4739-826c-ced74822e4b4" xsi:nil="true"/>
    <TaxCatchAll xmlns="af6c655c-89ae-48d8-bb83-e250daf1cc27" xsi:nil="true"/>
    <lcf76f155ced4ddcb4097134ff3c332f xmlns="84606620-b664-4739-826c-ced74822e4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Lj+HuaOcn+PMpr6Otl4U1D+FGQ==">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</go:docsCustomData>
</go:gDocsCustomXmlDataStorage>
</file>

<file path=customXml/item5.xml><?xml version="1.0" encoding="utf-8"?>
<b:Sources xmlns:b="http://schemas.openxmlformats.org/officeDocument/2006/bibliography" xmlns="http://schemas.openxmlformats.org/officeDocument/2006/bibliography" SelectedStyle="\IEEE2006OfficeOnline.xsl" StyleName="IEEE" Version="2006">
  <b:Source>
    <b:Tag>Cow021</b:Tag>
    <b:SourceType>JournalArticle</b:SourceType>
    <b:Guid>{166901A4-E514-43F8-8D8C-A1DC37148FFB}</b:Guid>
    <b:Author>
      <b:Author>
        <b:Corporate>Cowie MR et al.</b:Corporate>
      </b:Author>
    </b:Author>
    <b:Title>Hospitalization of patients with heart failure: a population based study</b:Title>
    <b:JournalName>European Heart Journal</b:JournalName>
    <b:Year>2002</b:Year>
    <b:Pages>877-885</b:Pages>
    <b:Issue>23</b:Issue>
    <b:RefOrder>49</b:RefOrder>
  </b:Source>
</b:Sources>
</file>

<file path=customXml/itemProps1.xml><?xml version="1.0" encoding="utf-8"?>
<ds:datastoreItem xmlns:ds="http://schemas.openxmlformats.org/officeDocument/2006/customXml" ds:itemID="{EDE68EDB-6EC2-4093-A4BA-2CA20157B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06620-b664-4739-826c-ced74822e4b4"/>
    <ds:schemaRef ds:uri="af6c655c-89ae-48d8-bb83-e250daf1c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4353C-577F-4208-A240-6B3AAB7A2692}">
  <ds:schemaRefs>
    <ds:schemaRef ds:uri="http://schemas.microsoft.com/office/2006/metadata/properties"/>
    <ds:schemaRef ds:uri="http://schemas.microsoft.com/office/infopath/2007/PartnerControls"/>
    <ds:schemaRef ds:uri="84606620-b664-4739-826c-ced74822e4b4"/>
    <ds:schemaRef ds:uri="af6c655c-89ae-48d8-bb83-e250daf1cc27"/>
  </ds:schemaRefs>
</ds:datastoreItem>
</file>

<file path=customXml/itemProps3.xml><?xml version="1.0" encoding="utf-8"?>
<ds:datastoreItem xmlns:ds="http://schemas.openxmlformats.org/officeDocument/2006/customXml" ds:itemID="{90A036CF-A611-4889-A486-90215009E3D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8E5E4BD-7BEF-4B0B-BA15-2A0AE90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31</Pages>
  <Words>12474</Words>
  <Characters>71102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83410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andy.buckland@mtechaccess.co.uk</dc:creator>
  <cp:lastModifiedBy>Walkley, Ryan {DEUA~Burgess Hill}</cp:lastModifiedBy>
  <cp:revision>5</cp:revision>
  <dcterms:created xsi:type="dcterms:W3CDTF">2022-08-18T21:23:00Z</dcterms:created>
  <dcterms:modified xsi:type="dcterms:W3CDTF">2022-10-13T09:08:00Z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0x0101009C8D6CFCF57DD049A418CE37BDAAFD50</vt:lpwstr>
  </property>
  <property fmtid="{D5CDD505-2E9C-101B-9397-08002B2CF9AE}" pid="3" name="AuthorIds_UIVersion_2048">
    <vt:lpwstr>95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