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EBBD" w14:textId="0AAA0E56" w:rsidR="00EE1FB9" w:rsidRDefault="00EE1FB9" w:rsidP="00EE1FB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Table </w:t>
      </w:r>
      <w:r w:rsidR="00FE12C0">
        <w:rPr>
          <w:rFonts w:ascii="Times New Roman" w:hAnsi="Times New Roman"/>
          <w:b/>
          <w:bCs/>
          <w:szCs w:val="24"/>
        </w:rPr>
        <w:t>S1</w:t>
      </w:r>
      <w:r>
        <w:rPr>
          <w:rFonts w:ascii="Times New Roman" w:hAnsi="Times New Roman"/>
          <w:b/>
          <w:bCs/>
          <w:szCs w:val="24"/>
        </w:rPr>
        <w:t xml:space="preserve">: </w:t>
      </w:r>
      <w:r w:rsidRPr="00C41556">
        <w:rPr>
          <w:rFonts w:ascii="Times New Roman" w:hAnsi="Times New Roman"/>
          <w:b/>
          <w:bCs/>
          <w:szCs w:val="24"/>
        </w:rPr>
        <w:t>Primary and secondary endpoints in the COVID</w:t>
      </w:r>
      <w:r>
        <w:rPr>
          <w:rFonts w:ascii="Times New Roman" w:hAnsi="Times New Roman"/>
          <w:b/>
          <w:bCs/>
          <w:szCs w:val="24"/>
        </w:rPr>
        <w:t>-19</w:t>
      </w:r>
      <w:r w:rsidRPr="00C41556">
        <w:rPr>
          <w:rFonts w:ascii="Times New Roman" w:hAnsi="Times New Roman"/>
          <w:b/>
          <w:bCs/>
          <w:szCs w:val="24"/>
        </w:rPr>
        <w:t xml:space="preserve"> analysis </w:t>
      </w:r>
      <w:r w:rsidR="00EA0596">
        <w:rPr>
          <w:rFonts w:ascii="Times New Roman" w:hAnsi="Times New Roman"/>
          <w:b/>
          <w:bCs/>
          <w:szCs w:val="24"/>
        </w:rPr>
        <w:t xml:space="preserve">for patients with anemia at randomization </w:t>
      </w:r>
      <w:r w:rsidRPr="00C41556">
        <w:rPr>
          <w:rFonts w:ascii="Times New Roman" w:hAnsi="Times New Roman"/>
          <w:b/>
          <w:bCs/>
          <w:szCs w:val="24"/>
        </w:rPr>
        <w:t>(censoring follow-up on 30 September 2020</w:t>
      </w:r>
      <w:r w:rsidR="00CA01B6">
        <w:rPr>
          <w:rFonts w:ascii="Times New Roman" w:hAnsi="Times New Roman"/>
          <w:b/>
          <w:bCs/>
          <w:szCs w:val="24"/>
        </w:rPr>
        <w:t>)</w:t>
      </w:r>
      <w:r>
        <w:rPr>
          <w:rFonts w:ascii="Times New Roman" w:hAnsi="Times New Roman"/>
          <w:b/>
          <w:bCs/>
          <w:szCs w:val="24"/>
        </w:rPr>
        <w:t>.</w:t>
      </w:r>
    </w:p>
    <w:tbl>
      <w:tblPr>
        <w:tblW w:w="0" w:type="auto"/>
        <w:tblInd w:w="1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3"/>
        <w:gridCol w:w="2126"/>
        <w:gridCol w:w="1418"/>
        <w:gridCol w:w="2344"/>
        <w:gridCol w:w="1625"/>
      </w:tblGrid>
      <w:tr w:rsidR="00731729" w:rsidRPr="002A216C" w14:paraId="5832004B" w14:textId="77777777" w:rsidTr="00731729">
        <w:trPr>
          <w:trHeight w:hRule="exact" w:val="484"/>
        </w:trPr>
        <w:tc>
          <w:tcPr>
            <w:tcW w:w="5433" w:type="dxa"/>
            <w:tcBorders>
              <w:top w:val="single" w:sz="4" w:space="0" w:color="636466"/>
              <w:left w:val="single" w:sz="6" w:space="0" w:color="636466"/>
            </w:tcBorders>
            <w:shd w:val="clear" w:color="auto" w:fill="FFFFFF"/>
          </w:tcPr>
          <w:p w14:paraId="0EFF97F1" w14:textId="77777777" w:rsidR="00EE1FB9" w:rsidRPr="002A216C" w:rsidRDefault="00EE1FB9" w:rsidP="00704EA5">
            <w:pPr>
              <w:widowControl w:val="0"/>
              <w:autoSpaceDE w:val="0"/>
              <w:autoSpaceDN w:val="0"/>
              <w:rPr>
                <w:rFonts w:eastAsia="Calibri"/>
                <w:b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b/>
                <w:color w:val="231F20"/>
                <w:sz w:val="16"/>
                <w:szCs w:val="22"/>
                <w:lang w:val="en-US" w:eastAsia="en-US"/>
              </w:rPr>
              <w:t xml:space="preserve">   End Point</w:t>
            </w:r>
          </w:p>
        </w:tc>
        <w:tc>
          <w:tcPr>
            <w:tcW w:w="2126" w:type="dxa"/>
            <w:tcBorders>
              <w:top w:val="single" w:sz="4" w:space="0" w:color="636466"/>
            </w:tcBorders>
            <w:shd w:val="clear" w:color="auto" w:fill="FFFFFF"/>
          </w:tcPr>
          <w:p w14:paraId="7E74A9C6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line="180" w:lineRule="exact"/>
              <w:ind w:left="210" w:right="367"/>
              <w:rPr>
                <w:rFonts w:eastAsia="Calibri"/>
                <w:b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b/>
                <w:color w:val="231F20"/>
                <w:sz w:val="16"/>
                <w:szCs w:val="22"/>
                <w:lang w:val="en-US" w:eastAsia="en-US"/>
              </w:rPr>
              <w:t>Ferric derisomaltose</w:t>
            </w:r>
          </w:p>
          <w:p w14:paraId="5CA21E18" w14:textId="24212792" w:rsidR="00EE1FB9" w:rsidRPr="002A216C" w:rsidRDefault="00EE1FB9" w:rsidP="00704EA5">
            <w:pPr>
              <w:widowControl w:val="0"/>
              <w:autoSpaceDE w:val="0"/>
              <w:autoSpaceDN w:val="0"/>
              <w:spacing w:line="187" w:lineRule="exact"/>
              <w:ind w:left="210" w:right="366"/>
              <w:jc w:val="center"/>
              <w:rPr>
                <w:rFonts w:eastAsia="Calibri"/>
                <w:b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b/>
                <w:color w:val="231F20"/>
                <w:w w:val="105"/>
                <w:sz w:val="16"/>
                <w:szCs w:val="22"/>
                <w:lang w:val="en-US" w:eastAsia="en-US"/>
              </w:rPr>
              <w:t xml:space="preserve">(N= </w:t>
            </w:r>
            <w:r w:rsidR="00EA0596">
              <w:rPr>
                <w:rFonts w:eastAsia="Calibri"/>
                <w:b/>
                <w:color w:val="231F20"/>
                <w:w w:val="105"/>
                <w:sz w:val="16"/>
                <w:szCs w:val="22"/>
                <w:lang w:val="en-US" w:eastAsia="en-US"/>
              </w:rPr>
              <w:t>363</w:t>
            </w:r>
            <w:r w:rsidRPr="002A216C">
              <w:rPr>
                <w:rFonts w:eastAsia="Calibri"/>
                <w:b/>
                <w:color w:val="231F20"/>
                <w:w w:val="105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636466"/>
            </w:tcBorders>
            <w:shd w:val="clear" w:color="auto" w:fill="FFFFFF"/>
          </w:tcPr>
          <w:p w14:paraId="526960A6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line="180" w:lineRule="exact"/>
              <w:ind w:left="369" w:right="267"/>
              <w:jc w:val="center"/>
              <w:rPr>
                <w:rFonts w:eastAsia="Calibri"/>
                <w:b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b/>
                <w:color w:val="231F20"/>
                <w:sz w:val="16"/>
                <w:szCs w:val="22"/>
                <w:lang w:val="en-US" w:eastAsia="en-US"/>
              </w:rPr>
              <w:t>Usual care</w:t>
            </w:r>
          </w:p>
          <w:p w14:paraId="2FADA9A8" w14:textId="771057EE" w:rsidR="00EE1FB9" w:rsidRPr="002A216C" w:rsidRDefault="00EE1FB9" w:rsidP="00704EA5">
            <w:pPr>
              <w:widowControl w:val="0"/>
              <w:autoSpaceDE w:val="0"/>
              <w:autoSpaceDN w:val="0"/>
              <w:spacing w:line="187" w:lineRule="exact"/>
              <w:ind w:left="366" w:right="267"/>
              <w:jc w:val="center"/>
              <w:rPr>
                <w:rFonts w:eastAsia="Calibri"/>
                <w:b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b/>
                <w:color w:val="231F20"/>
                <w:w w:val="105"/>
                <w:sz w:val="16"/>
                <w:szCs w:val="22"/>
                <w:lang w:val="en-US" w:eastAsia="en-US"/>
              </w:rPr>
              <w:t xml:space="preserve">(N= </w:t>
            </w:r>
            <w:r w:rsidR="00EA0596">
              <w:rPr>
                <w:rFonts w:eastAsia="Calibri"/>
                <w:b/>
                <w:color w:val="231F20"/>
                <w:w w:val="105"/>
                <w:sz w:val="16"/>
                <w:szCs w:val="22"/>
                <w:lang w:val="en-US" w:eastAsia="en-US"/>
              </w:rPr>
              <w:t>350</w:t>
            </w:r>
            <w:r w:rsidRPr="002A216C">
              <w:rPr>
                <w:rFonts w:eastAsia="Calibri"/>
                <w:b/>
                <w:color w:val="231F20"/>
                <w:w w:val="105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2344" w:type="dxa"/>
            <w:tcBorders>
              <w:top w:val="single" w:sz="4" w:space="0" w:color="636466"/>
              <w:right w:val="nil"/>
            </w:tcBorders>
            <w:shd w:val="clear" w:color="auto" w:fill="FFFFFF"/>
          </w:tcPr>
          <w:p w14:paraId="34525458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line="180" w:lineRule="exact"/>
              <w:ind w:left="883" w:hanging="615"/>
              <w:rPr>
                <w:rFonts w:eastAsia="Calibri"/>
                <w:b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b/>
                <w:color w:val="231F20"/>
                <w:sz w:val="16"/>
                <w:szCs w:val="22"/>
                <w:lang w:val="en-US" w:eastAsia="en-US"/>
              </w:rPr>
              <w:t>Estimated Treatment Effect (95% CI)</w:t>
            </w:r>
          </w:p>
        </w:tc>
        <w:tc>
          <w:tcPr>
            <w:tcW w:w="1625" w:type="dxa"/>
            <w:tcBorders>
              <w:top w:val="single" w:sz="4" w:space="0" w:color="636466"/>
              <w:left w:val="nil"/>
              <w:right w:val="single" w:sz="4" w:space="0" w:color="auto"/>
            </w:tcBorders>
            <w:shd w:val="clear" w:color="auto" w:fill="FFFFFF"/>
          </w:tcPr>
          <w:p w14:paraId="557A844A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line="180" w:lineRule="exact"/>
              <w:ind w:left="883" w:hanging="615"/>
              <w:jc w:val="center"/>
              <w:rPr>
                <w:rFonts w:eastAsia="Calibri"/>
                <w:b/>
                <w:color w:val="231F20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b/>
                <w:color w:val="231F20"/>
                <w:sz w:val="16"/>
                <w:szCs w:val="22"/>
                <w:lang w:val="en-US" w:eastAsia="en-US"/>
              </w:rPr>
              <w:t>P-value</w:t>
            </w:r>
          </w:p>
        </w:tc>
      </w:tr>
      <w:tr w:rsidR="00731729" w:rsidRPr="002A216C" w14:paraId="007CC707" w14:textId="77777777" w:rsidTr="00731729">
        <w:trPr>
          <w:trHeight w:hRule="exact" w:val="687"/>
        </w:trPr>
        <w:tc>
          <w:tcPr>
            <w:tcW w:w="5433" w:type="dxa"/>
            <w:tcBorders>
              <w:left w:val="single" w:sz="6" w:space="0" w:color="636466"/>
            </w:tcBorders>
            <w:shd w:val="clear" w:color="auto" w:fill="FFFFFF"/>
          </w:tcPr>
          <w:p w14:paraId="11422F4A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113"/>
              <w:rPr>
                <w:rFonts w:eastAsia="Calibri"/>
                <w:b/>
                <w:bCs/>
                <w:color w:val="231F20"/>
                <w:w w:val="105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b/>
                <w:bCs/>
                <w:color w:val="231F20"/>
                <w:w w:val="105"/>
                <w:sz w:val="18"/>
                <w:lang w:val="en-US" w:eastAsia="en-US"/>
              </w:rPr>
              <w:t>Primary endpoint</w:t>
            </w:r>
          </w:p>
        </w:tc>
        <w:tc>
          <w:tcPr>
            <w:tcW w:w="2126" w:type="dxa"/>
            <w:shd w:val="clear" w:color="auto" w:fill="FFFFFF"/>
          </w:tcPr>
          <w:p w14:paraId="331CEEE5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210" w:right="367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80585D4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681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2344" w:type="dxa"/>
            <w:tcBorders>
              <w:right w:val="nil"/>
            </w:tcBorders>
            <w:shd w:val="clear" w:color="auto" w:fill="FFFFFF"/>
          </w:tcPr>
          <w:p w14:paraId="06EC1087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right="531"/>
              <w:jc w:val="right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2942BDEC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right="531"/>
              <w:jc w:val="right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</w:tr>
      <w:tr w:rsidR="00731729" w:rsidRPr="002A216C" w14:paraId="3DF49367" w14:textId="77777777" w:rsidTr="00731729">
        <w:trPr>
          <w:trHeight w:hRule="exact" w:val="487"/>
        </w:trPr>
        <w:tc>
          <w:tcPr>
            <w:tcW w:w="5433" w:type="dxa"/>
            <w:tcBorders>
              <w:left w:val="single" w:sz="6" w:space="0" w:color="636466"/>
            </w:tcBorders>
            <w:shd w:val="clear" w:color="auto" w:fill="FFFFFF"/>
          </w:tcPr>
          <w:p w14:paraId="4DEC052C" w14:textId="2981438B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112"/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Cardiovascular death and hospitali</w:t>
            </w:r>
            <w:r w:rsidR="00EA0596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z</w:t>
            </w: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ation for heart failure — </w:t>
            </w:r>
            <w:r w:rsidRPr="002A216C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>no</w:t>
            </w:r>
            <w:r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>.</w:t>
            </w:r>
            <w:r w:rsidRPr="002A216C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 xml:space="preserve"> of </w:t>
            </w:r>
          </w:p>
          <w:p w14:paraId="728F5A93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112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>events (rate per 100 patient-</w:t>
            </w:r>
            <w:proofErr w:type="spellStart"/>
            <w:r w:rsidRPr="002A216C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>yr</w:t>
            </w:r>
            <w:proofErr w:type="spellEnd"/>
            <w:r w:rsidRPr="002A216C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14:paraId="0092ACCC" w14:textId="3D430C50" w:rsidR="00EE1FB9" w:rsidRPr="002A216C" w:rsidRDefault="00EA0596" w:rsidP="00704EA5">
            <w:pPr>
              <w:widowControl w:val="0"/>
              <w:autoSpaceDE w:val="0"/>
              <w:autoSpaceDN w:val="0"/>
              <w:spacing w:before="44"/>
              <w:ind w:left="210" w:right="367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>157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(2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5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14:paraId="15FBB719" w14:textId="4D4238A7" w:rsidR="00EE1FB9" w:rsidRPr="002A216C" w:rsidRDefault="00994487" w:rsidP="00704EA5">
            <w:pPr>
              <w:widowControl w:val="0"/>
              <w:autoSpaceDE w:val="0"/>
              <w:autoSpaceDN w:val="0"/>
              <w:spacing w:before="44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    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2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 xml:space="preserve">10 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(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3</w:t>
            </w:r>
            <w:r w:rsidR="000F1C87">
              <w:rPr>
                <w:rFonts w:eastAsia="Calibri"/>
                <w:sz w:val="16"/>
                <w:szCs w:val="22"/>
                <w:lang w:val="en-US" w:eastAsia="en-US"/>
              </w:rPr>
              <w:t>4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2344" w:type="dxa"/>
            <w:tcBorders>
              <w:right w:val="nil"/>
            </w:tcBorders>
            <w:shd w:val="clear" w:color="auto" w:fill="FFFFFF"/>
          </w:tcPr>
          <w:p w14:paraId="74ABFB45" w14:textId="73BF7EEC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right="531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  </w:t>
            </w:r>
            <w:r w:rsidR="00994487">
              <w:rPr>
                <w:rFonts w:eastAsia="Calibri"/>
                <w:sz w:val="16"/>
                <w:szCs w:val="22"/>
                <w:lang w:val="en-US" w:eastAsia="en-US"/>
              </w:rPr>
              <w:t xml:space="preserve"> 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0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·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7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3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(0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.53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to </w:t>
            </w:r>
            <w:proofErr w:type="gramStart"/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1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.01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)*</w:t>
            </w:r>
            <w:proofErr w:type="gramEnd"/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4D36C76" w14:textId="2DAEB6AA" w:rsidR="00EE1FB9" w:rsidRPr="002A216C" w:rsidRDefault="00731729" w:rsidP="00704EA5">
            <w:pPr>
              <w:widowControl w:val="0"/>
              <w:autoSpaceDE w:val="0"/>
              <w:autoSpaceDN w:val="0"/>
              <w:spacing w:before="44"/>
              <w:ind w:right="531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    </w:t>
            </w:r>
            <w:r w:rsidR="00994487">
              <w:rPr>
                <w:rFonts w:eastAsia="Calibri"/>
                <w:sz w:val="16"/>
                <w:szCs w:val="22"/>
                <w:lang w:val="en-US" w:eastAsia="en-US"/>
              </w:rPr>
              <w:t xml:space="preserve">  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0.0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54</w:t>
            </w:r>
          </w:p>
        </w:tc>
      </w:tr>
      <w:tr w:rsidR="00731729" w:rsidRPr="002A216C" w14:paraId="627FCE31" w14:textId="77777777" w:rsidTr="00731729">
        <w:trPr>
          <w:trHeight w:hRule="exact" w:val="517"/>
        </w:trPr>
        <w:tc>
          <w:tcPr>
            <w:tcW w:w="5433" w:type="dxa"/>
            <w:tcBorders>
              <w:left w:val="single" w:sz="6" w:space="0" w:color="636466"/>
            </w:tcBorders>
            <w:shd w:val="clear" w:color="auto" w:fill="FFFFFF"/>
          </w:tcPr>
          <w:p w14:paraId="6AC7BA85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52"/>
              <w:ind w:left="595" w:right="238" w:hanging="482"/>
              <w:rPr>
                <w:rFonts w:eastAsia="Calibri"/>
                <w:b/>
                <w:bCs/>
                <w:color w:val="231F20"/>
                <w:sz w:val="18"/>
                <w:lang w:val="en-US" w:eastAsia="en-US"/>
              </w:rPr>
            </w:pPr>
            <w:r w:rsidRPr="002A216C">
              <w:rPr>
                <w:rFonts w:eastAsia="Calibri"/>
                <w:b/>
                <w:bCs/>
                <w:color w:val="231F20"/>
                <w:sz w:val="18"/>
                <w:lang w:val="en-US" w:eastAsia="en-US"/>
              </w:rPr>
              <w:t>Secondary endpoints</w:t>
            </w:r>
          </w:p>
          <w:p w14:paraId="0B4B73EF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52"/>
              <w:ind w:left="595" w:right="238" w:hanging="482"/>
              <w:rPr>
                <w:rFonts w:eastAsia="Calibri"/>
                <w:b/>
                <w:bCs/>
                <w:color w:val="231F20"/>
                <w:sz w:val="18"/>
                <w:lang w:val="en-US" w:eastAsia="en-US"/>
              </w:rPr>
            </w:pPr>
          </w:p>
          <w:p w14:paraId="68AB55CA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52" w:line="180" w:lineRule="exact"/>
              <w:ind w:left="592" w:right="239" w:hanging="480"/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007088B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210" w:right="367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8DF6E05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681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2344" w:type="dxa"/>
            <w:tcBorders>
              <w:right w:val="nil"/>
            </w:tcBorders>
            <w:shd w:val="clear" w:color="auto" w:fill="FFFFFF"/>
          </w:tcPr>
          <w:p w14:paraId="2E8CB87E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right="468"/>
              <w:jc w:val="right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678E8B38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right="468"/>
              <w:jc w:val="right"/>
              <w:rPr>
                <w:rFonts w:eastAsia="Calibri"/>
                <w:sz w:val="16"/>
                <w:szCs w:val="22"/>
                <w:lang w:val="en-US" w:eastAsia="en-US"/>
              </w:rPr>
            </w:pPr>
          </w:p>
        </w:tc>
      </w:tr>
      <w:tr w:rsidR="00731729" w:rsidRPr="002A216C" w14:paraId="74D414F8" w14:textId="77777777" w:rsidTr="00731729">
        <w:trPr>
          <w:trHeight w:hRule="exact" w:val="289"/>
        </w:trPr>
        <w:tc>
          <w:tcPr>
            <w:tcW w:w="5433" w:type="dxa"/>
            <w:tcBorders>
              <w:left w:val="single" w:sz="6" w:space="0" w:color="636466"/>
            </w:tcBorders>
            <w:shd w:val="clear" w:color="auto" w:fill="FFFFFF"/>
          </w:tcPr>
          <w:p w14:paraId="5C160863" w14:textId="6CFBFF6A" w:rsidR="00EE1FB9" w:rsidRPr="002A216C" w:rsidRDefault="00EE1FB9" w:rsidP="00704EA5">
            <w:pPr>
              <w:widowControl w:val="0"/>
              <w:autoSpaceDE w:val="0"/>
              <w:autoSpaceDN w:val="0"/>
              <w:spacing w:before="52" w:line="180" w:lineRule="exact"/>
              <w:ind w:left="592" w:right="239" w:hanging="480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>Hospitali</w:t>
            </w:r>
            <w:r w:rsidR="00EA0596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>z</w:t>
            </w:r>
            <w:r w:rsidRPr="002A216C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>ations for heart failure — no</w:t>
            </w:r>
            <w:r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>·</w:t>
            </w:r>
            <w:r w:rsidRPr="002A216C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 xml:space="preserve"> of events (rate per 100 patient-</w:t>
            </w:r>
            <w:proofErr w:type="spellStart"/>
            <w:r w:rsidRPr="002A216C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>yr</w:t>
            </w:r>
            <w:proofErr w:type="spellEnd"/>
            <w:r w:rsidRPr="002A216C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2126" w:type="dxa"/>
            <w:shd w:val="clear" w:color="auto" w:fill="FFFFFF"/>
          </w:tcPr>
          <w:p w14:paraId="544CAEF5" w14:textId="31990CA9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210" w:right="367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1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20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(1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9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14:paraId="1CE0C38C" w14:textId="6DDA097B" w:rsidR="00EE1FB9" w:rsidRPr="002A216C" w:rsidRDefault="00994487" w:rsidP="00704EA5">
            <w:pPr>
              <w:widowControl w:val="0"/>
              <w:autoSpaceDE w:val="0"/>
              <w:autoSpaceDN w:val="0"/>
              <w:spacing w:before="44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    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161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(2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6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2344" w:type="dxa"/>
            <w:tcBorders>
              <w:right w:val="nil"/>
            </w:tcBorders>
            <w:shd w:val="clear" w:color="auto" w:fill="FFFFFF"/>
          </w:tcPr>
          <w:p w14:paraId="75BAA3D4" w14:textId="67189EE5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right="468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</w:t>
            </w:r>
            <w:r w:rsidR="00994487">
              <w:rPr>
                <w:rFonts w:eastAsia="Calibri"/>
                <w:sz w:val="16"/>
                <w:szCs w:val="22"/>
                <w:lang w:val="en-US" w:eastAsia="en-US"/>
              </w:rPr>
              <w:t xml:space="preserve"> 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0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.73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(0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.50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to </w:t>
            </w:r>
            <w:proofErr w:type="gramStart"/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1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.06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)*</w:t>
            </w:r>
            <w:proofErr w:type="gramEnd"/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42BF148" w14:textId="7107FC0A" w:rsidR="00EE1FB9" w:rsidRPr="002A216C" w:rsidRDefault="00731729" w:rsidP="00704EA5">
            <w:pPr>
              <w:widowControl w:val="0"/>
              <w:autoSpaceDE w:val="0"/>
              <w:autoSpaceDN w:val="0"/>
              <w:spacing w:before="44"/>
              <w:ind w:right="468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     </w:t>
            </w:r>
            <w:r w:rsidR="00994487">
              <w:rPr>
                <w:rFonts w:eastAsia="Calibri"/>
                <w:sz w:val="16"/>
                <w:szCs w:val="22"/>
                <w:lang w:val="en-US" w:eastAsia="en-US"/>
              </w:rPr>
              <w:t xml:space="preserve"> 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0.0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94</w:t>
            </w:r>
          </w:p>
        </w:tc>
      </w:tr>
      <w:tr w:rsidR="00731729" w:rsidRPr="002A216C" w14:paraId="54854761" w14:textId="77777777" w:rsidTr="00731729">
        <w:trPr>
          <w:trHeight w:hRule="exact" w:val="277"/>
        </w:trPr>
        <w:tc>
          <w:tcPr>
            <w:tcW w:w="5433" w:type="dxa"/>
            <w:tcBorders>
              <w:left w:val="single" w:sz="6" w:space="0" w:color="636466"/>
            </w:tcBorders>
            <w:shd w:val="clear" w:color="auto" w:fill="FFFFFF"/>
          </w:tcPr>
          <w:p w14:paraId="073568AE" w14:textId="5C908916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112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Cardiovascular hospitali</w:t>
            </w:r>
            <w:r w:rsidR="00EA0596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z</w:t>
            </w: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ation </w:t>
            </w:r>
            <w:r w:rsidR="0045717A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(first event) </w:t>
            </w:r>
            <w:r w:rsidR="0045717A"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— no</w:t>
            </w:r>
            <w:r w:rsidR="0045717A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.</w:t>
            </w:r>
            <w:r w:rsidR="0045717A"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 (%)</w:t>
            </w:r>
          </w:p>
        </w:tc>
        <w:tc>
          <w:tcPr>
            <w:tcW w:w="2126" w:type="dxa"/>
            <w:shd w:val="clear" w:color="auto" w:fill="FFFFFF"/>
          </w:tcPr>
          <w:p w14:paraId="26FD94FC" w14:textId="01530665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210" w:right="367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1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 xml:space="preserve">21 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(33)</w:t>
            </w:r>
          </w:p>
        </w:tc>
        <w:tc>
          <w:tcPr>
            <w:tcW w:w="1418" w:type="dxa"/>
            <w:shd w:val="clear" w:color="auto" w:fill="FFFFFF"/>
          </w:tcPr>
          <w:p w14:paraId="69493CBE" w14:textId="14F14294" w:rsidR="00EE1FB9" w:rsidRPr="002A216C" w:rsidRDefault="00994487" w:rsidP="00704EA5">
            <w:pPr>
              <w:widowControl w:val="0"/>
              <w:autoSpaceDE w:val="0"/>
              <w:autoSpaceDN w:val="0"/>
              <w:spacing w:before="44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    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146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4</w:t>
            </w:r>
            <w:r w:rsidR="000F1C87">
              <w:rPr>
                <w:rFonts w:eastAsia="Calibri"/>
                <w:sz w:val="16"/>
                <w:szCs w:val="22"/>
                <w:lang w:val="en-US" w:eastAsia="en-US"/>
              </w:rPr>
              <w:t>2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2344" w:type="dxa"/>
            <w:tcBorders>
              <w:right w:val="nil"/>
            </w:tcBorders>
            <w:shd w:val="clear" w:color="auto" w:fill="FFFFFF"/>
          </w:tcPr>
          <w:p w14:paraId="39AC43E1" w14:textId="6FCFEEB8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right="531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     0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.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75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(0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.59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to </w:t>
            </w:r>
            <w:proofErr w:type="gramStart"/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0.96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)*</w:t>
            </w:r>
            <w:proofErr w:type="gramEnd"/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*</w:t>
            </w:r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20B4D612" w14:textId="29384762" w:rsidR="00EE1FB9" w:rsidRPr="002A216C" w:rsidRDefault="00731729" w:rsidP="00704EA5">
            <w:pPr>
              <w:widowControl w:val="0"/>
              <w:autoSpaceDE w:val="0"/>
              <w:autoSpaceDN w:val="0"/>
              <w:spacing w:before="44"/>
              <w:ind w:right="531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      0.</w:t>
            </w:r>
            <w:r w:rsidR="00EA0596">
              <w:rPr>
                <w:rFonts w:eastAsia="Calibri"/>
                <w:sz w:val="16"/>
                <w:szCs w:val="22"/>
                <w:lang w:val="en-US" w:eastAsia="en-US"/>
              </w:rPr>
              <w:t>021</w:t>
            </w:r>
          </w:p>
        </w:tc>
      </w:tr>
      <w:tr w:rsidR="00731729" w:rsidRPr="002A216C" w14:paraId="6E6FF568" w14:textId="77777777" w:rsidTr="00731729">
        <w:trPr>
          <w:trHeight w:hRule="exact" w:val="297"/>
        </w:trPr>
        <w:tc>
          <w:tcPr>
            <w:tcW w:w="5433" w:type="dxa"/>
            <w:tcBorders>
              <w:left w:val="single" w:sz="6" w:space="0" w:color="636466"/>
            </w:tcBorders>
            <w:shd w:val="clear" w:color="auto" w:fill="FFFFFF"/>
          </w:tcPr>
          <w:p w14:paraId="18104216" w14:textId="71EBDF3C" w:rsidR="00EE1FB9" w:rsidRPr="002A216C" w:rsidRDefault="00EE1FB9" w:rsidP="00704EA5">
            <w:pPr>
              <w:widowControl w:val="0"/>
              <w:autoSpaceDE w:val="0"/>
              <w:autoSpaceDN w:val="0"/>
              <w:spacing w:before="52" w:line="180" w:lineRule="exact"/>
              <w:ind w:left="591" w:hanging="480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>Cardiovascular death or hospitali</w:t>
            </w:r>
            <w:r w:rsidR="00EA0596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>z</w:t>
            </w:r>
            <w:r w:rsidRPr="002A216C">
              <w:rPr>
                <w:rFonts w:eastAsia="Calibri"/>
                <w:color w:val="231F20"/>
                <w:sz w:val="16"/>
                <w:szCs w:val="22"/>
                <w:lang w:val="en-US" w:eastAsia="en-US"/>
              </w:rPr>
              <w:t xml:space="preserve">ation for heart failure </w:t>
            </w:r>
            <w:r w:rsidR="0045717A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(first event) </w:t>
            </w:r>
            <w:r w:rsidR="0045717A"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— no</w:t>
            </w:r>
            <w:r w:rsidR="0045717A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.</w:t>
            </w:r>
            <w:r w:rsidR="0045717A"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 (%)</w:t>
            </w:r>
          </w:p>
        </w:tc>
        <w:tc>
          <w:tcPr>
            <w:tcW w:w="2126" w:type="dxa"/>
            <w:shd w:val="clear" w:color="auto" w:fill="FFFFFF"/>
          </w:tcPr>
          <w:p w14:paraId="42C40468" w14:textId="626CDB81" w:rsidR="00EE1FB9" w:rsidRPr="002A216C" w:rsidRDefault="00406070" w:rsidP="00704EA5">
            <w:pPr>
              <w:widowControl w:val="0"/>
              <w:autoSpaceDE w:val="0"/>
              <w:autoSpaceDN w:val="0"/>
              <w:spacing w:before="44"/>
              <w:ind w:left="209" w:right="367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>92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(2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5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14:paraId="74E9EF62" w14:textId="68E6C907" w:rsidR="00EE1FB9" w:rsidRPr="002A216C" w:rsidRDefault="00994487" w:rsidP="00704EA5">
            <w:pPr>
              <w:widowControl w:val="0"/>
              <w:autoSpaceDE w:val="0"/>
              <w:autoSpaceDN w:val="0"/>
              <w:spacing w:before="44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    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1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18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3</w:t>
            </w:r>
            <w:r w:rsidR="000F1C87">
              <w:rPr>
                <w:rFonts w:eastAsia="Calibri"/>
                <w:sz w:val="16"/>
                <w:szCs w:val="22"/>
                <w:lang w:val="en-US" w:eastAsia="en-US"/>
              </w:rPr>
              <w:t>4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2344" w:type="dxa"/>
            <w:tcBorders>
              <w:right w:val="nil"/>
            </w:tcBorders>
            <w:shd w:val="clear" w:color="auto" w:fill="FFFFFF"/>
          </w:tcPr>
          <w:p w14:paraId="4D916821" w14:textId="5C70B04C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right="531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     0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.73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(0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.56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to </w:t>
            </w:r>
            <w:proofErr w:type="gramStart"/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0.96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)*</w:t>
            </w:r>
            <w:proofErr w:type="gramEnd"/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*</w:t>
            </w:r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E54989F" w14:textId="39549F36" w:rsidR="00EE1FB9" w:rsidRPr="002A216C" w:rsidRDefault="00731729" w:rsidP="00704EA5">
            <w:pPr>
              <w:widowControl w:val="0"/>
              <w:autoSpaceDE w:val="0"/>
              <w:autoSpaceDN w:val="0"/>
              <w:spacing w:before="44"/>
              <w:ind w:right="531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        0.0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26</w:t>
            </w:r>
          </w:p>
        </w:tc>
      </w:tr>
      <w:tr w:rsidR="00731729" w:rsidRPr="002A216C" w14:paraId="590ACC3E" w14:textId="77777777" w:rsidTr="00731729">
        <w:trPr>
          <w:trHeight w:hRule="exact" w:val="277"/>
        </w:trPr>
        <w:tc>
          <w:tcPr>
            <w:tcW w:w="5433" w:type="dxa"/>
            <w:tcBorders>
              <w:left w:val="single" w:sz="6" w:space="0" w:color="636466"/>
            </w:tcBorders>
            <w:shd w:val="clear" w:color="auto" w:fill="FFFFFF"/>
          </w:tcPr>
          <w:p w14:paraId="58269B54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111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Cardiovascular death — no</w:t>
            </w:r>
            <w:r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.</w:t>
            </w: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 (%)</w:t>
            </w:r>
          </w:p>
        </w:tc>
        <w:tc>
          <w:tcPr>
            <w:tcW w:w="2126" w:type="dxa"/>
            <w:shd w:val="clear" w:color="auto" w:fill="FFFFFF"/>
          </w:tcPr>
          <w:p w14:paraId="5C21CBCB" w14:textId="48ECFBE1" w:rsidR="00EE1FB9" w:rsidRPr="002A216C" w:rsidRDefault="00406070" w:rsidP="00704EA5">
            <w:pPr>
              <w:widowControl w:val="0"/>
              <w:autoSpaceDE w:val="0"/>
              <w:autoSpaceDN w:val="0"/>
              <w:spacing w:before="44"/>
              <w:ind w:left="209" w:right="367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>52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(1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4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14:paraId="17940244" w14:textId="39ECD1D9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285" w:right="267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   </w:t>
            </w:r>
            <w:r w:rsidR="00994487">
              <w:rPr>
                <w:rFonts w:eastAsia="Calibri"/>
                <w:sz w:val="16"/>
                <w:szCs w:val="22"/>
                <w:lang w:val="en-US" w:eastAsia="en-US"/>
              </w:rPr>
              <w:t xml:space="preserve">  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68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(1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9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2344" w:type="dxa"/>
            <w:tcBorders>
              <w:right w:val="nil"/>
            </w:tcBorders>
            <w:shd w:val="clear" w:color="auto" w:fill="FFFFFF"/>
          </w:tcPr>
          <w:p w14:paraId="2427A42D" w14:textId="19480796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right="454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  </w:t>
            </w:r>
            <w:r w:rsidR="00994487">
              <w:rPr>
                <w:rFonts w:eastAsia="Calibri"/>
                <w:sz w:val="16"/>
                <w:szCs w:val="22"/>
                <w:lang w:val="en-US" w:eastAsia="en-US"/>
              </w:rPr>
              <w:t xml:space="preserve"> 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0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.74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(0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 xml:space="preserve">.52 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to </w:t>
            </w:r>
            <w:proofErr w:type="gramStart"/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1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.06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)*</w:t>
            </w:r>
            <w:proofErr w:type="gramEnd"/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*</w:t>
            </w:r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FD2120A" w14:textId="261EAFAB" w:rsidR="00EE1FB9" w:rsidRPr="002A216C" w:rsidRDefault="00994487" w:rsidP="00704EA5">
            <w:pPr>
              <w:widowControl w:val="0"/>
              <w:autoSpaceDE w:val="0"/>
              <w:autoSpaceDN w:val="0"/>
              <w:spacing w:before="44"/>
              <w:ind w:right="454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    </w:t>
            </w:r>
            <w:r w:rsidR="00731729">
              <w:rPr>
                <w:rFonts w:eastAsia="Calibri"/>
                <w:sz w:val="16"/>
                <w:szCs w:val="22"/>
                <w:lang w:val="en-US" w:eastAsia="en-US"/>
              </w:rPr>
              <w:t>0.1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0</w:t>
            </w:r>
          </w:p>
        </w:tc>
      </w:tr>
      <w:tr w:rsidR="00731729" w:rsidRPr="002A216C" w14:paraId="4571DF2E" w14:textId="77777777" w:rsidTr="00731729">
        <w:trPr>
          <w:trHeight w:hRule="exact" w:val="457"/>
        </w:trPr>
        <w:tc>
          <w:tcPr>
            <w:tcW w:w="5433" w:type="dxa"/>
            <w:tcBorders>
              <w:left w:val="single" w:sz="6" w:space="0" w:color="636466"/>
            </w:tcBorders>
            <w:shd w:val="clear" w:color="auto" w:fill="FFFFFF"/>
          </w:tcPr>
          <w:p w14:paraId="0E4A52B9" w14:textId="1C4AA1FC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111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Cardiovascular death or hospitali</w:t>
            </w:r>
            <w:r w:rsidR="00406070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z</w:t>
            </w: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ation for stroke, myocardial infarction, or heart failure </w:t>
            </w:r>
            <w:r w:rsidR="0045717A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(first event) </w:t>
            </w:r>
            <w:r w:rsidR="0045717A"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— no</w:t>
            </w:r>
            <w:r w:rsidR="0045717A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.</w:t>
            </w:r>
            <w:r w:rsidR="0045717A"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 (%)</w:t>
            </w:r>
          </w:p>
        </w:tc>
        <w:tc>
          <w:tcPr>
            <w:tcW w:w="2126" w:type="dxa"/>
            <w:shd w:val="clear" w:color="auto" w:fill="FFFFFF"/>
          </w:tcPr>
          <w:p w14:paraId="545441C5" w14:textId="60612608" w:rsidR="00EE1FB9" w:rsidRPr="002A216C" w:rsidRDefault="00406070" w:rsidP="00704EA5">
            <w:pPr>
              <w:widowControl w:val="0"/>
              <w:autoSpaceDE w:val="0"/>
              <w:autoSpaceDN w:val="0"/>
              <w:spacing w:line="188" w:lineRule="exact"/>
              <w:ind w:left="208" w:right="367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>99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(2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7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14:paraId="3F6C161B" w14:textId="5093FA6C" w:rsidR="00EE1FB9" w:rsidRPr="002A216C" w:rsidRDefault="00EE1FB9" w:rsidP="00704EA5">
            <w:pPr>
              <w:widowControl w:val="0"/>
              <w:autoSpaceDE w:val="0"/>
              <w:autoSpaceDN w:val="0"/>
              <w:spacing w:line="188" w:lineRule="exact"/>
              <w:ind w:left="364" w:right="267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 1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29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(3</w:t>
            </w:r>
            <w:r w:rsidR="000F1C87">
              <w:rPr>
                <w:rFonts w:eastAsia="Calibri"/>
                <w:sz w:val="16"/>
                <w:szCs w:val="22"/>
                <w:lang w:val="en-US" w:eastAsia="en-US"/>
              </w:rPr>
              <w:t>7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2344" w:type="dxa"/>
            <w:tcBorders>
              <w:right w:val="nil"/>
            </w:tcBorders>
            <w:shd w:val="clear" w:color="auto" w:fill="FFFFFF"/>
          </w:tcPr>
          <w:p w14:paraId="3098E718" w14:textId="7CB8578A" w:rsidR="00EE1FB9" w:rsidRPr="002A216C" w:rsidRDefault="00994487" w:rsidP="00704EA5">
            <w:pPr>
              <w:widowControl w:val="0"/>
              <w:autoSpaceDE w:val="0"/>
              <w:autoSpaceDN w:val="0"/>
              <w:spacing w:line="188" w:lineRule="exact"/>
              <w:ind w:right="558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0</w:t>
            </w:r>
            <w:r w:rsidR="00EE1FB9">
              <w:rPr>
                <w:rFonts w:eastAsia="Calibri"/>
                <w:sz w:val="16"/>
                <w:szCs w:val="22"/>
                <w:lang w:val="en-US" w:eastAsia="en-US"/>
              </w:rPr>
              <w:t>·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7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1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(0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.55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to </w:t>
            </w:r>
            <w:proofErr w:type="gramStart"/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0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.93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)*</w:t>
            </w:r>
            <w:proofErr w:type="gramEnd"/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*</w:t>
            </w:r>
            <w:r w:rsidR="00731729">
              <w:rPr>
                <w:rFonts w:eastAsia="Calibri"/>
                <w:sz w:val="16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4E66306" w14:textId="08BEED6E" w:rsidR="00EE1FB9" w:rsidRPr="002A216C" w:rsidRDefault="00994487" w:rsidP="00704EA5">
            <w:pPr>
              <w:widowControl w:val="0"/>
              <w:autoSpaceDE w:val="0"/>
              <w:autoSpaceDN w:val="0"/>
              <w:spacing w:line="188" w:lineRule="exact"/>
              <w:ind w:right="558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         </w:t>
            </w:r>
            <w:r w:rsidR="00731729">
              <w:rPr>
                <w:rFonts w:eastAsia="Calibri"/>
                <w:sz w:val="16"/>
                <w:szCs w:val="22"/>
                <w:lang w:val="en-US" w:eastAsia="en-US"/>
              </w:rPr>
              <w:t>0.0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11</w:t>
            </w:r>
          </w:p>
        </w:tc>
      </w:tr>
      <w:tr w:rsidR="00731729" w:rsidRPr="002A216C" w14:paraId="66138D6D" w14:textId="77777777" w:rsidTr="00731729">
        <w:trPr>
          <w:trHeight w:hRule="exact" w:val="277"/>
        </w:trPr>
        <w:tc>
          <w:tcPr>
            <w:tcW w:w="5433" w:type="dxa"/>
            <w:tcBorders>
              <w:left w:val="single" w:sz="6" w:space="0" w:color="636466"/>
            </w:tcBorders>
            <w:shd w:val="clear" w:color="auto" w:fill="FFFFFF"/>
          </w:tcPr>
          <w:p w14:paraId="3C8BC73F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   All-cause mortality — no</w:t>
            </w:r>
            <w:r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.</w:t>
            </w: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 (%)</w:t>
            </w:r>
          </w:p>
        </w:tc>
        <w:tc>
          <w:tcPr>
            <w:tcW w:w="2126" w:type="dxa"/>
            <w:shd w:val="clear" w:color="auto" w:fill="FFFFFF"/>
          </w:tcPr>
          <w:p w14:paraId="59678611" w14:textId="66AE99CA" w:rsidR="00EE1FB9" w:rsidRPr="002A216C" w:rsidRDefault="00406070" w:rsidP="00704EA5">
            <w:pPr>
              <w:widowControl w:val="0"/>
              <w:autoSpaceDE w:val="0"/>
              <w:autoSpaceDN w:val="0"/>
              <w:spacing w:before="44"/>
              <w:ind w:left="208" w:right="367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79 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(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2</w:t>
            </w:r>
            <w:r w:rsidR="000F1C87">
              <w:rPr>
                <w:rFonts w:eastAsia="Calibri"/>
                <w:sz w:val="16"/>
                <w:szCs w:val="22"/>
                <w:lang w:val="en-US" w:eastAsia="en-US"/>
              </w:rPr>
              <w:t>2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14:paraId="738F0D45" w14:textId="4C93C682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  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91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(2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6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2344" w:type="dxa"/>
            <w:tcBorders>
              <w:right w:val="nil"/>
            </w:tcBorders>
            <w:shd w:val="clear" w:color="auto" w:fill="FFFFFF"/>
          </w:tcPr>
          <w:p w14:paraId="51FCFAC3" w14:textId="5F2C695C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right="532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</w:t>
            </w:r>
            <w:r w:rsidR="00994487">
              <w:rPr>
                <w:rFonts w:eastAsia="Calibri"/>
                <w:sz w:val="16"/>
                <w:szCs w:val="22"/>
                <w:lang w:val="en-US" w:eastAsia="en-US"/>
              </w:rPr>
              <w:t xml:space="preserve">   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</w:t>
            </w:r>
            <w:r w:rsidR="00994487">
              <w:rPr>
                <w:rFonts w:eastAsia="Calibri"/>
                <w:sz w:val="16"/>
                <w:szCs w:val="22"/>
                <w:lang w:val="en-US" w:eastAsia="en-US"/>
              </w:rPr>
              <w:t xml:space="preserve"> 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0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.84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(0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·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70 to 1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·</w:t>
            </w:r>
            <w:proofErr w:type="gramStart"/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19)*</w:t>
            </w:r>
            <w:proofErr w:type="gramEnd"/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*</w:t>
            </w:r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12CFDDA" w14:textId="01DAB3FE" w:rsidR="00EE1FB9" w:rsidRPr="002A216C" w:rsidRDefault="00994487" w:rsidP="00704EA5">
            <w:pPr>
              <w:widowControl w:val="0"/>
              <w:autoSpaceDE w:val="0"/>
              <w:autoSpaceDN w:val="0"/>
              <w:spacing w:before="44"/>
              <w:ind w:right="532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      </w:t>
            </w:r>
            <w:r w:rsidR="00731729">
              <w:rPr>
                <w:rFonts w:eastAsia="Calibri"/>
                <w:sz w:val="16"/>
                <w:szCs w:val="22"/>
                <w:lang w:val="en-US" w:eastAsia="en-US"/>
              </w:rPr>
              <w:t>0.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27</w:t>
            </w:r>
          </w:p>
        </w:tc>
      </w:tr>
      <w:tr w:rsidR="00731729" w:rsidRPr="002A216C" w14:paraId="47901DA8" w14:textId="77777777" w:rsidTr="00731729">
        <w:trPr>
          <w:trHeight w:hRule="exact" w:val="277"/>
        </w:trPr>
        <w:tc>
          <w:tcPr>
            <w:tcW w:w="5433" w:type="dxa"/>
            <w:tcBorders>
              <w:left w:val="single" w:sz="6" w:space="0" w:color="636466"/>
            </w:tcBorders>
            <w:shd w:val="clear" w:color="auto" w:fill="FFFFFF"/>
          </w:tcPr>
          <w:p w14:paraId="17258AE8" w14:textId="27D7AC83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   All-cause </w:t>
            </w:r>
            <w:r w:rsidR="0045717A"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hospitali</w:t>
            </w:r>
            <w:r w:rsidR="0045717A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z</w:t>
            </w:r>
            <w:r w:rsidR="0045717A"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ation</w:t>
            </w: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 </w:t>
            </w:r>
            <w:r w:rsidR="0045717A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(first event) </w:t>
            </w:r>
            <w:r w:rsidR="0045717A"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— no</w:t>
            </w:r>
            <w:r w:rsidR="0045717A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.</w:t>
            </w:r>
            <w:r w:rsidR="0045717A"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 (%)</w:t>
            </w:r>
          </w:p>
        </w:tc>
        <w:tc>
          <w:tcPr>
            <w:tcW w:w="2126" w:type="dxa"/>
            <w:shd w:val="clear" w:color="auto" w:fill="FFFFFF"/>
          </w:tcPr>
          <w:p w14:paraId="164EA6DF" w14:textId="3D5180B2" w:rsidR="00EE1FB9" w:rsidRPr="002A216C" w:rsidRDefault="00406070" w:rsidP="00704EA5">
            <w:pPr>
              <w:widowControl w:val="0"/>
              <w:autoSpaceDE w:val="0"/>
              <w:autoSpaceDN w:val="0"/>
              <w:spacing w:before="44"/>
              <w:ind w:left="208" w:right="367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>184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5</w:t>
            </w:r>
            <w:r w:rsidR="000F1C87">
              <w:rPr>
                <w:rFonts w:eastAsia="Calibri"/>
                <w:sz w:val="16"/>
                <w:szCs w:val="22"/>
                <w:lang w:val="en-US" w:eastAsia="en-US"/>
              </w:rPr>
              <w:t>1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)                  </w:t>
            </w:r>
          </w:p>
        </w:tc>
        <w:tc>
          <w:tcPr>
            <w:tcW w:w="1418" w:type="dxa"/>
            <w:shd w:val="clear" w:color="auto" w:fill="FFFFFF"/>
          </w:tcPr>
          <w:p w14:paraId="62648284" w14:textId="7B7296F2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363" w:right="267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2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05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(5</w:t>
            </w:r>
            <w:r w:rsidR="000F1C87">
              <w:rPr>
                <w:rFonts w:eastAsia="Calibri"/>
                <w:sz w:val="16"/>
                <w:szCs w:val="22"/>
                <w:lang w:val="en-US" w:eastAsia="en-US"/>
              </w:rPr>
              <w:t>9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)</w:t>
            </w:r>
          </w:p>
        </w:tc>
        <w:tc>
          <w:tcPr>
            <w:tcW w:w="2344" w:type="dxa"/>
            <w:tcBorders>
              <w:right w:val="nil"/>
            </w:tcBorders>
            <w:shd w:val="clear" w:color="auto" w:fill="FFFFFF"/>
          </w:tcPr>
          <w:p w14:paraId="44EFE30F" w14:textId="31B0575F" w:rsidR="00EE1FB9" w:rsidRPr="002A216C" w:rsidRDefault="00994487" w:rsidP="00704EA5">
            <w:pPr>
              <w:widowControl w:val="0"/>
              <w:autoSpaceDE w:val="0"/>
              <w:autoSpaceDN w:val="0"/>
              <w:spacing w:before="44"/>
              <w:ind w:right="558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0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.80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(0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.65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to </w:t>
            </w:r>
            <w:proofErr w:type="gramStart"/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0.97</w:t>
            </w:r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)*</w:t>
            </w:r>
            <w:proofErr w:type="gramEnd"/>
            <w:r w:rsidR="00EE1FB9" w:rsidRPr="002A216C">
              <w:rPr>
                <w:rFonts w:eastAsia="Calibri"/>
                <w:sz w:val="16"/>
                <w:szCs w:val="22"/>
                <w:lang w:val="en-US" w:eastAsia="en-US"/>
              </w:rPr>
              <w:t>*</w:t>
            </w:r>
          </w:p>
        </w:tc>
        <w:tc>
          <w:tcPr>
            <w:tcW w:w="162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41E69FE0" w14:textId="7C6DC6F1" w:rsidR="00EE1FB9" w:rsidRPr="002A216C" w:rsidRDefault="00994487" w:rsidP="00704EA5">
            <w:pPr>
              <w:widowControl w:val="0"/>
              <w:autoSpaceDE w:val="0"/>
              <w:autoSpaceDN w:val="0"/>
              <w:spacing w:before="44"/>
              <w:ind w:right="558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 xml:space="preserve">                 </w:t>
            </w:r>
            <w:r w:rsidR="00731729">
              <w:rPr>
                <w:rFonts w:eastAsia="Calibri"/>
                <w:sz w:val="16"/>
                <w:szCs w:val="22"/>
                <w:lang w:val="en-US" w:eastAsia="en-US"/>
              </w:rPr>
              <w:t>0</w:t>
            </w:r>
            <w:r w:rsidR="00406070">
              <w:rPr>
                <w:rFonts w:eastAsia="Calibri"/>
                <w:sz w:val="16"/>
                <w:szCs w:val="22"/>
                <w:lang w:val="en-US" w:eastAsia="en-US"/>
              </w:rPr>
              <w:t>.026</w:t>
            </w:r>
          </w:p>
        </w:tc>
      </w:tr>
      <w:tr w:rsidR="00731729" w:rsidRPr="002A216C" w14:paraId="641D597B" w14:textId="77777777" w:rsidTr="00731729">
        <w:trPr>
          <w:trHeight w:hRule="exact" w:val="68"/>
        </w:trPr>
        <w:tc>
          <w:tcPr>
            <w:tcW w:w="5433" w:type="dxa"/>
            <w:tcBorders>
              <w:left w:val="single" w:sz="6" w:space="0" w:color="636466"/>
              <w:bottom w:val="single" w:sz="4" w:space="0" w:color="auto"/>
            </w:tcBorders>
            <w:shd w:val="clear" w:color="auto" w:fill="FFFFFF"/>
          </w:tcPr>
          <w:p w14:paraId="7ECE823B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   All-cause mortality or all cause unplanned hospitali</w:t>
            </w:r>
            <w:r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s</w:t>
            </w: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ation — no</w:t>
            </w:r>
            <w:r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>.</w:t>
            </w:r>
            <w:r w:rsidRPr="002A216C">
              <w:rPr>
                <w:rFonts w:eastAsia="Calibri"/>
                <w:color w:val="231F20"/>
                <w:w w:val="105"/>
                <w:sz w:val="16"/>
                <w:szCs w:val="22"/>
                <w:lang w:val="en-US" w:eastAsia="en-US"/>
              </w:rPr>
              <w:t xml:space="preserve"> (%)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3670738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210" w:right="296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         271 (51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·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28CDDDD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jc w:val="center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  303 (56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·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5)</w:t>
            </w:r>
          </w:p>
        </w:tc>
        <w:tc>
          <w:tcPr>
            <w:tcW w:w="2344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61283E0D" w14:textId="77777777" w:rsidR="00EE1FB9" w:rsidRPr="002A216C" w:rsidRDefault="00EE1FB9" w:rsidP="00704EA5">
            <w:pPr>
              <w:widowControl w:val="0"/>
              <w:autoSpaceDE w:val="0"/>
              <w:autoSpaceDN w:val="0"/>
              <w:spacing w:before="44"/>
              <w:ind w:left="38"/>
              <w:rPr>
                <w:rFonts w:eastAsia="Calibri"/>
                <w:sz w:val="16"/>
                <w:szCs w:val="22"/>
                <w:lang w:val="en-US" w:eastAsia="en-US"/>
              </w:rPr>
            </w:pP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 xml:space="preserve">       0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·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89 (0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·</w:t>
            </w:r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75 to 1</w:t>
            </w:r>
            <w:r>
              <w:rPr>
                <w:rFonts w:eastAsia="Calibri"/>
                <w:sz w:val="16"/>
                <w:szCs w:val="22"/>
                <w:lang w:val="en-US" w:eastAsia="en-US"/>
              </w:rPr>
              <w:t>·</w:t>
            </w:r>
            <w:proofErr w:type="gramStart"/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04)*</w:t>
            </w:r>
            <w:proofErr w:type="gramEnd"/>
            <w:r w:rsidRPr="002A216C">
              <w:rPr>
                <w:rFonts w:eastAsia="Calibri"/>
                <w:sz w:val="16"/>
                <w:szCs w:val="22"/>
                <w:lang w:val="en-US" w:eastAsia="en-US"/>
              </w:rPr>
              <w:t>*</w:t>
            </w:r>
          </w:p>
        </w:tc>
        <w:tc>
          <w:tcPr>
            <w:tcW w:w="16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15F99" w14:textId="2795BD9F" w:rsidR="00EE1FB9" w:rsidRPr="002A216C" w:rsidRDefault="00731729" w:rsidP="00704EA5">
            <w:pPr>
              <w:widowControl w:val="0"/>
              <w:autoSpaceDE w:val="0"/>
              <w:autoSpaceDN w:val="0"/>
              <w:spacing w:before="44"/>
              <w:ind w:left="38"/>
              <w:rPr>
                <w:rFonts w:eastAsia="Calibri"/>
                <w:sz w:val="16"/>
                <w:szCs w:val="22"/>
                <w:lang w:val="en-US" w:eastAsia="en-US"/>
              </w:rPr>
            </w:pPr>
            <w:r>
              <w:rPr>
                <w:rFonts w:eastAsia="Calibri"/>
                <w:sz w:val="16"/>
                <w:szCs w:val="22"/>
                <w:lang w:val="en-US" w:eastAsia="en-US"/>
              </w:rPr>
              <w:t>0.15</w:t>
            </w:r>
          </w:p>
        </w:tc>
      </w:tr>
    </w:tbl>
    <w:p w14:paraId="54FEA8E9" w14:textId="77777777" w:rsidR="00EE1FB9" w:rsidRDefault="00EE1FB9" w:rsidP="00EE1FB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="Times New Roman" w:hAnsi="Times New Roman"/>
          <w:b/>
          <w:bCs/>
          <w:szCs w:val="24"/>
        </w:rPr>
      </w:pPr>
    </w:p>
    <w:p w14:paraId="48A2DBB2" w14:textId="77777777" w:rsidR="00EE1FB9" w:rsidRDefault="00EE1FB9" w:rsidP="00EE1FB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 w:rsidRPr="000E0D0D">
        <w:rPr>
          <w:rFonts w:asciiTheme="minorHAnsi" w:hAnsiTheme="minorHAnsi" w:cstheme="minorHAnsi"/>
          <w:sz w:val="16"/>
          <w:szCs w:val="16"/>
        </w:rPr>
        <w:t>Footnote: SE= standard error</w:t>
      </w:r>
      <w:r>
        <w:rPr>
          <w:rFonts w:asciiTheme="minorHAnsi" w:hAnsiTheme="minorHAnsi" w:cstheme="minorHAnsi"/>
          <w:sz w:val="16"/>
          <w:szCs w:val="16"/>
        </w:rPr>
        <w:t>, * Rate ratio, ** Hazard ratio.</w:t>
      </w:r>
    </w:p>
    <w:p w14:paraId="2AD30878" w14:textId="77777777" w:rsidR="00EE1FB9" w:rsidRDefault="00EE1FB9" w:rsidP="00EE1FB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7CF89E09" w14:textId="77777777" w:rsidR="00EE1FB9" w:rsidRDefault="00EE1FB9" w:rsidP="00EE1FB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68D3B32E" w14:textId="77777777" w:rsidR="00EE1FB9" w:rsidRDefault="00EE1FB9" w:rsidP="00EE1FB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1C8DEBEA" w14:textId="77777777" w:rsidR="00EE1FB9" w:rsidRDefault="00EE1FB9" w:rsidP="00EE1FB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0BA041AF" w14:textId="77777777" w:rsidR="00EE1FB9" w:rsidRDefault="00EE1FB9" w:rsidP="00EE1FB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1E04899A" w14:textId="77777777" w:rsidR="00EE1FB9" w:rsidRDefault="00EE1FB9" w:rsidP="00EE1FB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2F1FA72C" w14:textId="77777777" w:rsidR="00EE1FB9" w:rsidRDefault="00EE1FB9" w:rsidP="00EE1FB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6C5D0EBC" w14:textId="77777777" w:rsidR="00EE1FB9" w:rsidRDefault="00EE1FB9" w:rsidP="00EE1FB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480" w:lineRule="auto"/>
        <w:rPr>
          <w:rFonts w:asciiTheme="minorHAnsi" w:hAnsiTheme="minorHAnsi" w:cstheme="minorHAnsi"/>
          <w:sz w:val="16"/>
          <w:szCs w:val="16"/>
        </w:rPr>
      </w:pPr>
    </w:p>
    <w:sectPr w:rsidR="00EE1FB9" w:rsidSect="00CA01B6">
      <w:pgSz w:w="16840" w:h="11900" w:orient="landscape"/>
      <w:pgMar w:top="1134" w:right="1134" w:bottom="1134" w:left="1134" w:header="709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B9"/>
    <w:rsid w:val="000F1C87"/>
    <w:rsid w:val="00243831"/>
    <w:rsid w:val="00347089"/>
    <w:rsid w:val="00351DC9"/>
    <w:rsid w:val="00406070"/>
    <w:rsid w:val="0045717A"/>
    <w:rsid w:val="004E4282"/>
    <w:rsid w:val="00504A73"/>
    <w:rsid w:val="005E2CB1"/>
    <w:rsid w:val="00731729"/>
    <w:rsid w:val="007D0A48"/>
    <w:rsid w:val="00877BC4"/>
    <w:rsid w:val="00994487"/>
    <w:rsid w:val="00A62030"/>
    <w:rsid w:val="00B30E16"/>
    <w:rsid w:val="00B5337A"/>
    <w:rsid w:val="00C434D1"/>
    <w:rsid w:val="00CA01B6"/>
    <w:rsid w:val="00EA0596"/>
    <w:rsid w:val="00EE1FB9"/>
    <w:rsid w:val="00F63F34"/>
    <w:rsid w:val="00FE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D0E1"/>
  <w15:chartTrackingRefBased/>
  <w15:docId w15:val="{8D8D0235-201A-4FBA-A1D9-42C7A208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E1FB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zh-CN"/>
    </w:rPr>
  </w:style>
  <w:style w:type="character" w:styleId="CommentReference">
    <w:name w:val="annotation reference"/>
    <w:uiPriority w:val="99"/>
    <w:unhideWhenUsed/>
    <w:rsid w:val="00EE1FB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E1FB9"/>
    <w:pPr>
      <w:spacing w:line="360" w:lineRule="auto"/>
    </w:pPr>
    <w:rPr>
      <w:rFonts w:eastAsia="Calibri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FB9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FB9"/>
    <w:rPr>
      <w:rFonts w:ascii="Segoe UI" w:eastAsia="Times New Roman" w:hAnsi="Segoe UI" w:cs="Segoe UI"/>
      <w:sz w:val="18"/>
      <w:szCs w:val="18"/>
      <w:lang w:val="en-GB" w:eastAsia="zh-CN"/>
    </w:rPr>
  </w:style>
  <w:style w:type="paragraph" w:styleId="Revision">
    <w:name w:val="Revision"/>
    <w:hidden/>
    <w:uiPriority w:val="99"/>
    <w:semiHidden/>
    <w:rsid w:val="00B3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E16"/>
    <w:pPr>
      <w:spacing w:line="240" w:lineRule="auto"/>
    </w:pPr>
    <w:rPr>
      <w:rFonts w:eastAsia="Times New Roman"/>
      <w:b/>
      <w:bCs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E16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RCB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Ford</dc:creator>
  <cp:keywords/>
  <dc:description/>
  <cp:lastModifiedBy>Paul Kalra</cp:lastModifiedBy>
  <cp:revision>2</cp:revision>
  <dcterms:created xsi:type="dcterms:W3CDTF">2023-08-07T21:13:00Z</dcterms:created>
  <dcterms:modified xsi:type="dcterms:W3CDTF">2023-08-07T21:13:00Z</dcterms:modified>
</cp:coreProperties>
</file>