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7050" w14:textId="77777777" w:rsidR="008E7914" w:rsidRDefault="008E7914"/>
    <w:p w14:paraId="4D78CDBF" w14:textId="1AD8ECB8" w:rsidR="00CD3494" w:rsidRPr="00462DA5" w:rsidRDefault="00CD3494" w:rsidP="00D32DD8">
      <w:pPr>
        <w:autoSpaceDE w:val="0"/>
        <w:autoSpaceDN w:val="0"/>
        <w:adjustRightInd w:val="0"/>
        <w:spacing w:line="360" w:lineRule="auto"/>
        <w:rPr>
          <w:rFonts w:cstheme="minorHAnsi"/>
        </w:rPr>
      </w:pPr>
      <w:r w:rsidRPr="00462DA5">
        <w:rPr>
          <w:rFonts w:ascii="Calibri" w:hAnsi="Calibri" w:cs="Calibri"/>
        </w:rPr>
        <w:t>To allow a comparison between the ‘Tandem’ and traditional TLE approach</w:t>
      </w:r>
      <w:r w:rsidR="00D32DD8">
        <w:rPr>
          <w:rFonts w:ascii="Calibri" w:hAnsi="Calibri" w:cs="Calibri"/>
        </w:rPr>
        <w:t xml:space="preserve"> (control)</w:t>
      </w:r>
      <w:r w:rsidRPr="00462DA5">
        <w:rPr>
          <w:rFonts w:ascii="Calibri" w:hAnsi="Calibri" w:cs="Calibri"/>
        </w:rPr>
        <w:t xml:space="preserve">, propensity score matching was performed. </w:t>
      </w:r>
      <w:r w:rsidRPr="00462DA5">
        <w:rPr>
          <w:rFonts w:cstheme="minorHAnsi"/>
        </w:rPr>
        <w:t>A propensity score was calculated for all eligible patients undergoing lead extraction. Logistic regression with use of tandem procedure as the binary outcome and baseline variables were used as covariates for estimating the propensity score. Propensity matching was performed in a 1:</w:t>
      </w:r>
      <w:r>
        <w:rPr>
          <w:rFonts w:cstheme="minorHAnsi"/>
        </w:rPr>
        <w:t>1</w:t>
      </w:r>
      <w:r w:rsidRPr="00462DA5">
        <w:rPr>
          <w:rFonts w:cstheme="minorHAnsi"/>
        </w:rPr>
        <w:t xml:space="preserve"> fashion using the nearest </w:t>
      </w:r>
      <w:proofErr w:type="spellStart"/>
      <w:r w:rsidRPr="00462DA5">
        <w:rPr>
          <w:rFonts w:cstheme="minorHAnsi"/>
        </w:rPr>
        <w:t>neighbour</w:t>
      </w:r>
      <w:proofErr w:type="spellEnd"/>
      <w:r w:rsidRPr="00462DA5">
        <w:rPr>
          <w:rFonts w:cstheme="minorHAnsi"/>
        </w:rPr>
        <w:t xml:space="preserve"> approach with a two decimal </w:t>
      </w:r>
      <w:r w:rsidR="00D32DD8" w:rsidRPr="00462DA5">
        <w:rPr>
          <w:rFonts w:cstheme="minorHAnsi"/>
        </w:rPr>
        <w:t>caliper</w:t>
      </w:r>
      <w:r w:rsidRPr="00462DA5">
        <w:rPr>
          <w:rFonts w:cstheme="minorHAnsi"/>
        </w:rPr>
        <w:t>.</w:t>
      </w:r>
    </w:p>
    <w:p w14:paraId="22BD04EA" w14:textId="5FFEE125" w:rsidR="00BF5173" w:rsidRDefault="008E7914" w:rsidP="00D32DD8">
      <w:pPr>
        <w:spacing w:line="360" w:lineRule="auto"/>
      </w:pPr>
      <w:r>
        <w:t xml:space="preserve">The two groups were matched for age, gender, body mass index, </w:t>
      </w:r>
      <w:r w:rsidR="00D32DD8" w:rsidRPr="003A3722">
        <w:rPr>
          <w:rFonts w:cstheme="minorHAnsi"/>
        </w:rPr>
        <w:t xml:space="preserve">comorbidities (diabetes, hypertension, </w:t>
      </w:r>
      <w:proofErr w:type="spellStart"/>
      <w:r w:rsidR="00D32DD8" w:rsidRPr="003A3722">
        <w:rPr>
          <w:rFonts w:cstheme="minorHAnsi"/>
        </w:rPr>
        <w:t>ischaemic</w:t>
      </w:r>
      <w:proofErr w:type="spellEnd"/>
      <w:r w:rsidR="00D32DD8" w:rsidRPr="003A3722">
        <w:rPr>
          <w:rFonts w:cstheme="minorHAnsi"/>
        </w:rPr>
        <w:t xml:space="preserve"> heart disease, chronic kidney disease)</w:t>
      </w:r>
      <w:r>
        <w:t xml:space="preserve">, the type of device (pacemaker vs ICD), the operator (cardiologist vs cardiac surgeon), operating theatre vs </w:t>
      </w:r>
      <w:proofErr w:type="spellStart"/>
      <w:r>
        <w:t>cath</w:t>
      </w:r>
      <w:proofErr w:type="spellEnd"/>
      <w:r>
        <w:t xml:space="preserve"> lab, infection as an indication for lead extraction</w:t>
      </w:r>
      <w:r w:rsidR="00D32DD8">
        <w:t xml:space="preserve"> and </w:t>
      </w:r>
      <w:r w:rsidR="00D32DD8">
        <w:t>lead dwell time</w:t>
      </w:r>
      <w:r>
        <w:t>.</w:t>
      </w:r>
      <w:r w:rsidR="00D32DD8">
        <w:t xml:space="preserve"> </w:t>
      </w:r>
      <w:r w:rsidR="00CD3494" w:rsidRPr="00462DA5">
        <w:rPr>
          <w:rFonts w:cstheme="minorHAnsi"/>
        </w:rPr>
        <w:t>Statistical analysis was performed using SPSS statistical software, version 28 (IBM Corp., Chicago, IL, USA).</w:t>
      </w:r>
    </w:p>
    <w:p w14:paraId="4EB62CFC" w14:textId="77777777" w:rsidR="00BF5173" w:rsidRDefault="00BF5173" w:rsidP="00357E38"/>
    <w:p w14:paraId="19D149DC" w14:textId="07E829E0" w:rsidR="00D32DD8" w:rsidRDefault="00E9682B" w:rsidP="00357E38">
      <w:r>
        <w:rPr>
          <w:b/>
          <w:bCs/>
        </w:rPr>
        <w:t>Supplementary t</w:t>
      </w:r>
      <w:r w:rsidR="00D32DD8" w:rsidRPr="00CF400F">
        <w:rPr>
          <w:b/>
          <w:bCs/>
        </w:rPr>
        <w:t>able 1:</w:t>
      </w:r>
      <w:r w:rsidR="00D32DD8">
        <w:t xml:space="preserve"> </w:t>
      </w:r>
      <w:r w:rsidR="00190290">
        <w:t xml:space="preserve">Comparison of outcomes </w:t>
      </w:r>
    </w:p>
    <w:p w14:paraId="21C37D6B" w14:textId="77777777" w:rsidR="00357E38" w:rsidRDefault="00357E38" w:rsidP="00357E38"/>
    <w:tbl>
      <w:tblPr>
        <w:tblStyle w:val="TableGrid"/>
        <w:tblW w:w="9561"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9"/>
        <w:gridCol w:w="1409"/>
        <w:gridCol w:w="1552"/>
        <w:gridCol w:w="1221"/>
      </w:tblGrid>
      <w:tr w:rsidR="00027CFA" w:rsidRPr="003A3722" w14:paraId="21B5BE70" w14:textId="77777777" w:rsidTr="00D5004C">
        <w:tc>
          <w:tcPr>
            <w:tcW w:w="5379" w:type="dxa"/>
            <w:tcBorders>
              <w:top w:val="single" w:sz="4" w:space="0" w:color="auto"/>
              <w:bottom w:val="single" w:sz="4" w:space="0" w:color="auto"/>
            </w:tcBorders>
            <w:shd w:val="clear" w:color="auto" w:fill="F2F2F2" w:themeFill="background1" w:themeFillShade="F2"/>
          </w:tcPr>
          <w:p w14:paraId="4D2746B8" w14:textId="7998EB8B" w:rsidR="00027CFA" w:rsidRPr="003A3722" w:rsidRDefault="00027CFA" w:rsidP="00D5004C">
            <w:pPr>
              <w:rPr>
                <w:rFonts w:cstheme="minorHAnsi"/>
                <w:b/>
                <w:bCs/>
              </w:rPr>
            </w:pPr>
            <w:r w:rsidRPr="003A3722">
              <w:rPr>
                <w:b/>
                <w:bCs/>
              </w:rPr>
              <w:t>Procedural outcomes</w:t>
            </w:r>
            <w:r>
              <w:rPr>
                <w:b/>
                <w:bCs/>
              </w:rPr>
              <w:t xml:space="preserve"> </w:t>
            </w:r>
            <w:r w:rsidR="001925C2">
              <w:rPr>
                <w:b/>
                <w:bCs/>
              </w:rPr>
              <w:t>(</w:t>
            </w:r>
            <w:r>
              <w:rPr>
                <w:b/>
                <w:bCs/>
              </w:rPr>
              <w:t>lead dwell time matched</w:t>
            </w:r>
            <w:r w:rsidR="001925C2">
              <w:rPr>
                <w:b/>
                <w:bCs/>
              </w:rPr>
              <w:t>)</w:t>
            </w:r>
          </w:p>
        </w:tc>
        <w:tc>
          <w:tcPr>
            <w:tcW w:w="1409" w:type="dxa"/>
            <w:tcBorders>
              <w:top w:val="single" w:sz="4" w:space="0" w:color="auto"/>
              <w:bottom w:val="single" w:sz="4" w:space="0" w:color="auto"/>
            </w:tcBorders>
            <w:shd w:val="clear" w:color="auto" w:fill="F2F2F2" w:themeFill="background1" w:themeFillShade="F2"/>
          </w:tcPr>
          <w:p w14:paraId="76D0DCC7" w14:textId="2427898B" w:rsidR="00027CFA" w:rsidRPr="003A3722" w:rsidRDefault="002F33CA" w:rsidP="002F33CA">
            <w:pPr>
              <w:jc w:val="both"/>
              <w:rPr>
                <w:rFonts w:cstheme="minorHAnsi"/>
              </w:rPr>
            </w:pPr>
            <w:r>
              <w:rPr>
                <w:rFonts w:cstheme="minorHAnsi"/>
              </w:rPr>
              <w:t>Tandem</w:t>
            </w:r>
          </w:p>
        </w:tc>
        <w:tc>
          <w:tcPr>
            <w:tcW w:w="1552" w:type="dxa"/>
            <w:tcBorders>
              <w:top w:val="single" w:sz="4" w:space="0" w:color="auto"/>
              <w:bottom w:val="single" w:sz="4" w:space="0" w:color="auto"/>
            </w:tcBorders>
            <w:shd w:val="clear" w:color="auto" w:fill="F2F2F2" w:themeFill="background1" w:themeFillShade="F2"/>
          </w:tcPr>
          <w:p w14:paraId="45B2B9A0" w14:textId="6ACFFFC6" w:rsidR="00027CFA" w:rsidRPr="003A3722" w:rsidRDefault="002F33CA" w:rsidP="002F33CA">
            <w:pPr>
              <w:jc w:val="both"/>
              <w:rPr>
                <w:rFonts w:cstheme="minorHAnsi"/>
              </w:rPr>
            </w:pPr>
            <w:r>
              <w:rPr>
                <w:rFonts w:cstheme="minorHAnsi"/>
              </w:rPr>
              <w:t>Control</w:t>
            </w:r>
          </w:p>
        </w:tc>
        <w:tc>
          <w:tcPr>
            <w:tcW w:w="1221" w:type="dxa"/>
            <w:tcBorders>
              <w:top w:val="single" w:sz="4" w:space="0" w:color="auto"/>
              <w:bottom w:val="single" w:sz="4" w:space="0" w:color="auto"/>
            </w:tcBorders>
            <w:shd w:val="clear" w:color="auto" w:fill="F2F2F2" w:themeFill="background1" w:themeFillShade="F2"/>
          </w:tcPr>
          <w:p w14:paraId="7488085D" w14:textId="177142ED" w:rsidR="00027CFA" w:rsidRPr="003A3722" w:rsidRDefault="002F33CA" w:rsidP="002F33CA">
            <w:pPr>
              <w:jc w:val="center"/>
              <w:rPr>
                <w:rFonts w:cstheme="minorHAnsi"/>
              </w:rPr>
            </w:pPr>
            <w:r>
              <w:rPr>
                <w:rFonts w:cstheme="minorHAnsi"/>
              </w:rPr>
              <w:t>p-value</w:t>
            </w:r>
          </w:p>
        </w:tc>
      </w:tr>
      <w:tr w:rsidR="00027CFA" w:rsidRPr="003A3722" w14:paraId="75C81289" w14:textId="77777777" w:rsidTr="00D5004C">
        <w:trPr>
          <w:trHeight w:val="476"/>
        </w:trPr>
        <w:tc>
          <w:tcPr>
            <w:tcW w:w="5379" w:type="dxa"/>
            <w:shd w:val="clear" w:color="auto" w:fill="auto"/>
            <w:vAlign w:val="center"/>
          </w:tcPr>
          <w:p w14:paraId="26AC4119" w14:textId="1733A2E4" w:rsidR="00027CFA" w:rsidRPr="002F33CA" w:rsidRDefault="00027CFA" w:rsidP="00D5004C">
            <w:pPr>
              <w:rPr>
                <w:rFonts w:cstheme="minorHAnsi"/>
              </w:rPr>
            </w:pPr>
            <w:r w:rsidRPr="002F33CA">
              <w:rPr>
                <w:rFonts w:cstheme="minorHAnsi"/>
              </w:rPr>
              <w:t>Rotational tool reaching distal lead tip (per lead), (%)</w:t>
            </w:r>
          </w:p>
        </w:tc>
        <w:tc>
          <w:tcPr>
            <w:tcW w:w="1409" w:type="dxa"/>
            <w:shd w:val="clear" w:color="auto" w:fill="auto"/>
            <w:vAlign w:val="center"/>
          </w:tcPr>
          <w:p w14:paraId="394A21B1" w14:textId="0EFE0625" w:rsidR="00027CFA" w:rsidRPr="002F33CA" w:rsidRDefault="00027CFA" w:rsidP="002F33CA">
            <w:pPr>
              <w:jc w:val="both"/>
              <w:rPr>
                <w:rFonts w:cstheme="minorHAnsi"/>
              </w:rPr>
            </w:pPr>
            <w:r w:rsidRPr="002F33CA">
              <w:rPr>
                <w:rFonts w:cstheme="minorHAnsi"/>
              </w:rPr>
              <w:t>96%</w:t>
            </w:r>
          </w:p>
        </w:tc>
        <w:tc>
          <w:tcPr>
            <w:tcW w:w="1552" w:type="dxa"/>
            <w:shd w:val="clear" w:color="auto" w:fill="auto"/>
            <w:vAlign w:val="center"/>
          </w:tcPr>
          <w:p w14:paraId="6BFB5352" w14:textId="1E39238B" w:rsidR="00027CFA" w:rsidRPr="002F33CA" w:rsidRDefault="00027CFA" w:rsidP="002F33CA">
            <w:pPr>
              <w:jc w:val="both"/>
              <w:rPr>
                <w:rFonts w:cstheme="minorHAnsi"/>
              </w:rPr>
            </w:pPr>
            <w:r w:rsidRPr="002F33CA">
              <w:rPr>
                <w:rFonts w:cstheme="minorHAnsi"/>
              </w:rPr>
              <w:t>3</w:t>
            </w:r>
            <w:r w:rsidR="001925C2" w:rsidRPr="002F33CA">
              <w:rPr>
                <w:rFonts w:cstheme="minorHAnsi"/>
              </w:rPr>
              <w:t>6</w:t>
            </w:r>
            <w:r w:rsidRPr="002F33CA">
              <w:rPr>
                <w:rFonts w:cstheme="minorHAnsi"/>
              </w:rPr>
              <w:t>%</w:t>
            </w:r>
          </w:p>
        </w:tc>
        <w:tc>
          <w:tcPr>
            <w:tcW w:w="1221" w:type="dxa"/>
            <w:shd w:val="clear" w:color="auto" w:fill="auto"/>
            <w:vAlign w:val="center"/>
          </w:tcPr>
          <w:p w14:paraId="23B870B2" w14:textId="6F213B16" w:rsidR="00027CFA" w:rsidRPr="002F33CA" w:rsidRDefault="00027CFA" w:rsidP="002F33CA">
            <w:pPr>
              <w:jc w:val="center"/>
              <w:rPr>
                <w:rFonts w:cstheme="minorHAnsi"/>
              </w:rPr>
            </w:pPr>
            <w:r w:rsidRPr="002F33CA">
              <w:rPr>
                <w:rFonts w:cstheme="minorHAnsi"/>
                <w:b/>
                <w:bCs/>
              </w:rPr>
              <w:t>&lt;0.01</w:t>
            </w:r>
          </w:p>
        </w:tc>
      </w:tr>
      <w:tr w:rsidR="00027CFA" w:rsidRPr="003A3722" w14:paraId="034653C0" w14:textId="77777777" w:rsidTr="00D5004C">
        <w:trPr>
          <w:trHeight w:val="143"/>
        </w:trPr>
        <w:tc>
          <w:tcPr>
            <w:tcW w:w="5379" w:type="dxa"/>
            <w:shd w:val="clear" w:color="auto" w:fill="auto"/>
            <w:vAlign w:val="center"/>
          </w:tcPr>
          <w:p w14:paraId="177C029D" w14:textId="77777777" w:rsidR="00027CFA" w:rsidRPr="002F33CA" w:rsidRDefault="00027CFA" w:rsidP="00D5004C">
            <w:pPr>
              <w:rPr>
                <w:rFonts w:cstheme="minorHAnsi"/>
              </w:rPr>
            </w:pPr>
            <w:r w:rsidRPr="002F33CA">
              <w:rPr>
                <w:rFonts w:cstheme="minorHAnsi"/>
              </w:rPr>
              <w:t xml:space="preserve">Procedure duration (minutes), </w:t>
            </w:r>
            <w:r w:rsidRPr="002F33CA">
              <w:rPr>
                <w:rFonts w:ascii="Calibri" w:eastAsia="Times New Roman" w:hAnsi="Calibri" w:cs="Calibri"/>
                <w:lang w:eastAsia="en-GB"/>
              </w:rPr>
              <w:t>mean± SD</w:t>
            </w:r>
          </w:p>
        </w:tc>
        <w:tc>
          <w:tcPr>
            <w:tcW w:w="1409" w:type="dxa"/>
            <w:shd w:val="clear" w:color="auto" w:fill="auto"/>
            <w:vAlign w:val="center"/>
          </w:tcPr>
          <w:p w14:paraId="0B7D09CB" w14:textId="77777777" w:rsidR="00027CFA" w:rsidRPr="002F33CA" w:rsidRDefault="00027CFA" w:rsidP="002F33CA">
            <w:pPr>
              <w:jc w:val="both"/>
              <w:rPr>
                <w:rFonts w:cstheme="minorHAnsi"/>
              </w:rPr>
            </w:pPr>
            <w:r w:rsidRPr="002F33CA">
              <w:rPr>
                <w:rFonts w:cstheme="minorHAnsi"/>
              </w:rPr>
              <w:t>96 ± 36</w:t>
            </w:r>
          </w:p>
        </w:tc>
        <w:tc>
          <w:tcPr>
            <w:tcW w:w="1552" w:type="dxa"/>
            <w:shd w:val="clear" w:color="auto" w:fill="auto"/>
            <w:vAlign w:val="center"/>
          </w:tcPr>
          <w:p w14:paraId="56ED7288" w14:textId="39D434CF" w:rsidR="00027CFA" w:rsidRPr="002F33CA" w:rsidRDefault="00027CFA" w:rsidP="002F33CA">
            <w:pPr>
              <w:jc w:val="both"/>
              <w:rPr>
                <w:rFonts w:cstheme="minorHAnsi"/>
              </w:rPr>
            </w:pPr>
            <w:r w:rsidRPr="002F33CA">
              <w:rPr>
                <w:rFonts w:cstheme="minorHAnsi"/>
              </w:rPr>
              <w:t>12</w:t>
            </w:r>
            <w:r w:rsidR="001925C2" w:rsidRPr="002F33CA">
              <w:rPr>
                <w:rFonts w:cstheme="minorHAnsi"/>
              </w:rPr>
              <w:t>6.2</w:t>
            </w:r>
            <w:r w:rsidRPr="002F33CA">
              <w:rPr>
                <w:rFonts w:cstheme="minorHAnsi"/>
              </w:rPr>
              <w:t xml:space="preserve"> ± 67</w:t>
            </w:r>
          </w:p>
        </w:tc>
        <w:tc>
          <w:tcPr>
            <w:tcW w:w="1221" w:type="dxa"/>
            <w:shd w:val="clear" w:color="auto" w:fill="auto"/>
            <w:vAlign w:val="center"/>
          </w:tcPr>
          <w:p w14:paraId="6E4FB7AD" w14:textId="68E4B5A6" w:rsidR="00027CFA" w:rsidRPr="002F33CA" w:rsidRDefault="00027CFA" w:rsidP="002F33CA">
            <w:pPr>
              <w:jc w:val="center"/>
              <w:rPr>
                <w:rFonts w:cstheme="minorHAnsi"/>
                <w:b/>
                <w:bCs/>
              </w:rPr>
            </w:pPr>
            <w:r w:rsidRPr="002F33CA">
              <w:rPr>
                <w:rFonts w:cstheme="minorHAnsi"/>
                <w:b/>
                <w:bCs/>
              </w:rPr>
              <w:t>&lt;0.01</w:t>
            </w:r>
          </w:p>
        </w:tc>
      </w:tr>
      <w:tr w:rsidR="00027CFA" w:rsidRPr="003A3722" w14:paraId="39F9FDD4" w14:textId="77777777" w:rsidTr="00D5004C">
        <w:trPr>
          <w:trHeight w:val="102"/>
        </w:trPr>
        <w:tc>
          <w:tcPr>
            <w:tcW w:w="5379" w:type="dxa"/>
            <w:shd w:val="clear" w:color="auto" w:fill="auto"/>
            <w:vAlign w:val="center"/>
          </w:tcPr>
          <w:p w14:paraId="3C078F71" w14:textId="77777777" w:rsidR="00027CFA" w:rsidRPr="002F33CA" w:rsidRDefault="00027CFA" w:rsidP="00D5004C">
            <w:pPr>
              <w:rPr>
                <w:rFonts w:cstheme="minorHAnsi"/>
              </w:rPr>
            </w:pPr>
            <w:r w:rsidRPr="002F33CA">
              <w:rPr>
                <w:rFonts w:cstheme="minorHAnsi"/>
              </w:rPr>
              <w:t xml:space="preserve">Fluoroscopy time (minutes), </w:t>
            </w:r>
            <w:r w:rsidRPr="002F33CA">
              <w:rPr>
                <w:rFonts w:ascii="Calibri" w:eastAsia="Times New Roman" w:hAnsi="Calibri" w:cs="Calibri"/>
                <w:lang w:eastAsia="en-GB"/>
              </w:rPr>
              <w:t>mean ± SD</w:t>
            </w:r>
          </w:p>
        </w:tc>
        <w:tc>
          <w:tcPr>
            <w:tcW w:w="1409" w:type="dxa"/>
            <w:shd w:val="clear" w:color="auto" w:fill="auto"/>
            <w:vAlign w:val="center"/>
          </w:tcPr>
          <w:p w14:paraId="0916BFB8" w14:textId="77777777" w:rsidR="00027CFA" w:rsidRPr="002F33CA" w:rsidRDefault="00027CFA" w:rsidP="002F33CA">
            <w:pPr>
              <w:jc w:val="both"/>
              <w:rPr>
                <w:rFonts w:cstheme="minorHAnsi"/>
              </w:rPr>
            </w:pPr>
            <w:r w:rsidRPr="002F33CA">
              <w:rPr>
                <w:rFonts w:cstheme="minorHAnsi"/>
              </w:rPr>
              <w:t>16.4 ± 10.9</w:t>
            </w:r>
          </w:p>
        </w:tc>
        <w:tc>
          <w:tcPr>
            <w:tcW w:w="1552" w:type="dxa"/>
            <w:shd w:val="clear" w:color="auto" w:fill="auto"/>
            <w:vAlign w:val="center"/>
          </w:tcPr>
          <w:p w14:paraId="48C59BE8" w14:textId="037A0BCE" w:rsidR="00027CFA" w:rsidRPr="002F33CA" w:rsidRDefault="00027CFA" w:rsidP="002F33CA">
            <w:pPr>
              <w:jc w:val="both"/>
              <w:rPr>
                <w:rFonts w:cstheme="minorHAnsi"/>
              </w:rPr>
            </w:pPr>
            <w:r w:rsidRPr="002F33CA">
              <w:rPr>
                <w:rFonts w:cstheme="minorHAnsi"/>
              </w:rPr>
              <w:t>10.6 ± 15</w:t>
            </w:r>
          </w:p>
        </w:tc>
        <w:tc>
          <w:tcPr>
            <w:tcW w:w="1221" w:type="dxa"/>
            <w:shd w:val="clear" w:color="auto" w:fill="auto"/>
            <w:vAlign w:val="center"/>
          </w:tcPr>
          <w:p w14:paraId="5FFAF79C" w14:textId="77777777" w:rsidR="00027CFA" w:rsidRPr="002F33CA" w:rsidRDefault="00027CFA" w:rsidP="002F33CA">
            <w:pPr>
              <w:jc w:val="center"/>
              <w:rPr>
                <w:rFonts w:cstheme="minorHAnsi"/>
                <w:b/>
                <w:bCs/>
              </w:rPr>
            </w:pPr>
            <w:r w:rsidRPr="002F33CA">
              <w:rPr>
                <w:rFonts w:cstheme="minorHAnsi"/>
                <w:b/>
                <w:bCs/>
              </w:rPr>
              <w:t>&lt;0.01</w:t>
            </w:r>
          </w:p>
        </w:tc>
      </w:tr>
      <w:tr w:rsidR="00027CFA" w:rsidRPr="003A3722" w14:paraId="4D54AE67" w14:textId="77777777" w:rsidTr="00D5004C">
        <w:tc>
          <w:tcPr>
            <w:tcW w:w="5379" w:type="dxa"/>
            <w:shd w:val="clear" w:color="auto" w:fill="auto"/>
            <w:vAlign w:val="center"/>
          </w:tcPr>
          <w:p w14:paraId="2A0B2D13" w14:textId="703001AE" w:rsidR="00027CFA" w:rsidRPr="002F33CA" w:rsidRDefault="00027CFA" w:rsidP="00D5004C">
            <w:pPr>
              <w:rPr>
                <w:rFonts w:cstheme="minorHAnsi"/>
              </w:rPr>
            </w:pPr>
            <w:r w:rsidRPr="002F33CA">
              <w:rPr>
                <w:rFonts w:cstheme="minorHAnsi"/>
              </w:rPr>
              <w:t xml:space="preserve">Complete success (per lead), </w:t>
            </w:r>
            <w:r w:rsidRPr="002F33CA">
              <w:rPr>
                <w:rFonts w:ascii="Calibri" w:eastAsia="Times New Roman" w:hAnsi="Calibri" w:cs="Calibri"/>
                <w:lang w:eastAsia="en-GB"/>
              </w:rPr>
              <w:t>%</w:t>
            </w:r>
          </w:p>
        </w:tc>
        <w:tc>
          <w:tcPr>
            <w:tcW w:w="1409" w:type="dxa"/>
            <w:shd w:val="clear" w:color="auto" w:fill="auto"/>
            <w:vAlign w:val="center"/>
          </w:tcPr>
          <w:p w14:paraId="09CD08D3" w14:textId="2DA57379" w:rsidR="00027CFA" w:rsidRPr="002F33CA" w:rsidRDefault="00027CFA" w:rsidP="002F33CA">
            <w:pPr>
              <w:jc w:val="both"/>
              <w:rPr>
                <w:rFonts w:cstheme="minorHAnsi"/>
              </w:rPr>
            </w:pPr>
            <w:r w:rsidRPr="002F33CA">
              <w:rPr>
                <w:rFonts w:cstheme="minorHAnsi"/>
              </w:rPr>
              <w:t>94.8%</w:t>
            </w:r>
          </w:p>
        </w:tc>
        <w:tc>
          <w:tcPr>
            <w:tcW w:w="1552" w:type="dxa"/>
            <w:shd w:val="clear" w:color="auto" w:fill="auto"/>
            <w:vAlign w:val="center"/>
          </w:tcPr>
          <w:p w14:paraId="19D82EBE" w14:textId="3F4BC5DE" w:rsidR="00027CFA" w:rsidRPr="002F33CA" w:rsidRDefault="00027CFA" w:rsidP="002F33CA">
            <w:pPr>
              <w:jc w:val="both"/>
              <w:rPr>
                <w:rFonts w:cstheme="minorHAnsi"/>
              </w:rPr>
            </w:pPr>
            <w:r w:rsidRPr="002F33CA">
              <w:rPr>
                <w:rFonts w:cstheme="minorHAnsi"/>
              </w:rPr>
              <w:t>92%</w:t>
            </w:r>
          </w:p>
        </w:tc>
        <w:tc>
          <w:tcPr>
            <w:tcW w:w="1221" w:type="dxa"/>
            <w:shd w:val="clear" w:color="auto" w:fill="auto"/>
            <w:vAlign w:val="center"/>
          </w:tcPr>
          <w:p w14:paraId="1585E952" w14:textId="77FE2684" w:rsidR="00027CFA" w:rsidRPr="002F33CA" w:rsidRDefault="00027CFA" w:rsidP="002F33CA">
            <w:pPr>
              <w:jc w:val="center"/>
              <w:rPr>
                <w:rFonts w:cstheme="minorHAnsi"/>
              </w:rPr>
            </w:pPr>
            <w:r w:rsidRPr="002F33CA">
              <w:rPr>
                <w:rFonts w:cstheme="minorHAnsi"/>
              </w:rPr>
              <w:t>0.34</w:t>
            </w:r>
          </w:p>
        </w:tc>
      </w:tr>
      <w:tr w:rsidR="00027CFA" w:rsidRPr="003A3722" w14:paraId="7ACE74DF" w14:textId="77777777" w:rsidTr="00D5004C">
        <w:tc>
          <w:tcPr>
            <w:tcW w:w="5379" w:type="dxa"/>
            <w:shd w:val="clear" w:color="auto" w:fill="auto"/>
            <w:vAlign w:val="center"/>
          </w:tcPr>
          <w:p w14:paraId="44B3876D" w14:textId="7CBD518A" w:rsidR="00027CFA" w:rsidRPr="002F33CA" w:rsidRDefault="00027CFA" w:rsidP="00D5004C">
            <w:pPr>
              <w:rPr>
                <w:rFonts w:cstheme="minorHAnsi"/>
              </w:rPr>
            </w:pPr>
            <w:r w:rsidRPr="002F33CA">
              <w:rPr>
                <w:rFonts w:cstheme="minorHAnsi"/>
              </w:rPr>
              <w:t>Clinical success %</w:t>
            </w:r>
          </w:p>
        </w:tc>
        <w:tc>
          <w:tcPr>
            <w:tcW w:w="1409" w:type="dxa"/>
            <w:shd w:val="clear" w:color="auto" w:fill="auto"/>
            <w:vAlign w:val="center"/>
          </w:tcPr>
          <w:p w14:paraId="365F2A8E" w14:textId="58F2B87A" w:rsidR="00027CFA" w:rsidRPr="002F33CA" w:rsidRDefault="00027CFA" w:rsidP="002F33CA">
            <w:pPr>
              <w:jc w:val="both"/>
              <w:rPr>
                <w:rFonts w:cstheme="minorHAnsi"/>
              </w:rPr>
            </w:pPr>
            <w:r w:rsidRPr="002F33CA">
              <w:rPr>
                <w:rFonts w:cstheme="minorHAnsi"/>
              </w:rPr>
              <w:t>100%</w:t>
            </w:r>
          </w:p>
        </w:tc>
        <w:tc>
          <w:tcPr>
            <w:tcW w:w="1552" w:type="dxa"/>
            <w:shd w:val="clear" w:color="auto" w:fill="auto"/>
            <w:vAlign w:val="center"/>
          </w:tcPr>
          <w:p w14:paraId="7BF047C6" w14:textId="2919887C" w:rsidR="00027CFA" w:rsidRPr="002F33CA" w:rsidRDefault="00027CFA" w:rsidP="002F33CA">
            <w:pPr>
              <w:jc w:val="both"/>
              <w:rPr>
                <w:rFonts w:cstheme="minorHAnsi"/>
              </w:rPr>
            </w:pPr>
            <w:r w:rsidRPr="002F33CA">
              <w:rPr>
                <w:rFonts w:cstheme="minorHAnsi"/>
              </w:rPr>
              <w:t>95.9%</w:t>
            </w:r>
          </w:p>
        </w:tc>
        <w:tc>
          <w:tcPr>
            <w:tcW w:w="1221" w:type="dxa"/>
            <w:shd w:val="clear" w:color="auto" w:fill="auto"/>
            <w:vAlign w:val="center"/>
          </w:tcPr>
          <w:p w14:paraId="4BFE6DFE" w14:textId="54C6F19E" w:rsidR="00027CFA" w:rsidRPr="002F33CA" w:rsidRDefault="00027CFA" w:rsidP="002F33CA">
            <w:pPr>
              <w:jc w:val="center"/>
              <w:rPr>
                <w:rFonts w:cstheme="minorHAnsi"/>
              </w:rPr>
            </w:pPr>
            <w:r w:rsidRPr="002F33CA">
              <w:rPr>
                <w:rFonts w:cstheme="minorHAnsi"/>
              </w:rPr>
              <w:t>0.25</w:t>
            </w:r>
          </w:p>
        </w:tc>
      </w:tr>
      <w:tr w:rsidR="00027CFA" w:rsidRPr="003A3722" w14:paraId="75A4FAA0" w14:textId="77777777" w:rsidTr="00D5004C">
        <w:tc>
          <w:tcPr>
            <w:tcW w:w="5379" w:type="dxa"/>
            <w:shd w:val="clear" w:color="auto" w:fill="auto"/>
            <w:vAlign w:val="center"/>
          </w:tcPr>
          <w:p w14:paraId="5D6699C7" w14:textId="05EE198A" w:rsidR="00027CFA" w:rsidRPr="002F33CA" w:rsidRDefault="00027CFA" w:rsidP="00D5004C">
            <w:pPr>
              <w:rPr>
                <w:rFonts w:cstheme="minorHAnsi"/>
              </w:rPr>
            </w:pPr>
            <w:r w:rsidRPr="002F33CA">
              <w:rPr>
                <w:rFonts w:cstheme="minorHAnsi"/>
              </w:rPr>
              <w:t>Major complication (%)</w:t>
            </w:r>
          </w:p>
        </w:tc>
        <w:tc>
          <w:tcPr>
            <w:tcW w:w="1409" w:type="dxa"/>
            <w:shd w:val="clear" w:color="auto" w:fill="auto"/>
            <w:vAlign w:val="center"/>
          </w:tcPr>
          <w:p w14:paraId="4426506B" w14:textId="77777777" w:rsidR="00027CFA" w:rsidRPr="002F33CA" w:rsidRDefault="00027CFA" w:rsidP="002F33CA">
            <w:pPr>
              <w:jc w:val="both"/>
              <w:rPr>
                <w:rFonts w:cstheme="minorHAnsi"/>
              </w:rPr>
            </w:pPr>
            <w:r w:rsidRPr="002F33CA">
              <w:rPr>
                <w:rFonts w:cstheme="minorHAnsi"/>
              </w:rPr>
              <w:t>0</w:t>
            </w:r>
          </w:p>
        </w:tc>
        <w:tc>
          <w:tcPr>
            <w:tcW w:w="1552" w:type="dxa"/>
            <w:shd w:val="clear" w:color="auto" w:fill="auto"/>
            <w:vAlign w:val="center"/>
          </w:tcPr>
          <w:p w14:paraId="0CE7ECA5" w14:textId="22F1941E" w:rsidR="00027CFA" w:rsidRPr="002F33CA" w:rsidRDefault="00027CFA" w:rsidP="002F33CA">
            <w:pPr>
              <w:jc w:val="both"/>
              <w:rPr>
                <w:rFonts w:cstheme="minorHAnsi"/>
              </w:rPr>
            </w:pPr>
            <w:r w:rsidRPr="002F33CA">
              <w:rPr>
                <w:rFonts w:cstheme="minorHAnsi"/>
              </w:rPr>
              <w:t>4.1%</w:t>
            </w:r>
          </w:p>
        </w:tc>
        <w:tc>
          <w:tcPr>
            <w:tcW w:w="1221" w:type="dxa"/>
            <w:shd w:val="clear" w:color="auto" w:fill="auto"/>
            <w:vAlign w:val="center"/>
          </w:tcPr>
          <w:p w14:paraId="386E2C44" w14:textId="25E49158" w:rsidR="00027CFA" w:rsidRPr="002F33CA" w:rsidRDefault="00027CFA" w:rsidP="002F33CA">
            <w:pPr>
              <w:jc w:val="center"/>
              <w:rPr>
                <w:rFonts w:cstheme="minorHAnsi"/>
              </w:rPr>
            </w:pPr>
            <w:r w:rsidRPr="002F33CA">
              <w:rPr>
                <w:rFonts w:cstheme="minorHAnsi"/>
              </w:rPr>
              <w:t>0.25</w:t>
            </w:r>
          </w:p>
        </w:tc>
      </w:tr>
      <w:tr w:rsidR="00027CFA" w:rsidRPr="003A3722" w14:paraId="4133D9D8" w14:textId="77777777" w:rsidTr="00D5004C">
        <w:tc>
          <w:tcPr>
            <w:tcW w:w="5379" w:type="dxa"/>
            <w:shd w:val="clear" w:color="auto" w:fill="auto"/>
            <w:vAlign w:val="center"/>
          </w:tcPr>
          <w:p w14:paraId="552FC8BB" w14:textId="282FD94E" w:rsidR="00027CFA" w:rsidRPr="002F33CA" w:rsidRDefault="00027CFA" w:rsidP="00D5004C">
            <w:pPr>
              <w:rPr>
                <w:rFonts w:cstheme="minorHAnsi"/>
              </w:rPr>
            </w:pPr>
            <w:r w:rsidRPr="002F33CA">
              <w:rPr>
                <w:rFonts w:cstheme="minorHAnsi"/>
              </w:rPr>
              <w:t>Minor complication</w:t>
            </w:r>
            <w:r w:rsidR="00D32DD8">
              <w:rPr>
                <w:rFonts w:cstheme="minorHAnsi"/>
              </w:rPr>
              <w:t xml:space="preserve"> </w:t>
            </w:r>
            <w:r w:rsidRPr="002F33CA">
              <w:rPr>
                <w:rFonts w:cstheme="minorHAnsi"/>
              </w:rPr>
              <w:t>(%)</w:t>
            </w:r>
          </w:p>
        </w:tc>
        <w:tc>
          <w:tcPr>
            <w:tcW w:w="1409" w:type="dxa"/>
            <w:shd w:val="clear" w:color="auto" w:fill="auto"/>
            <w:vAlign w:val="center"/>
          </w:tcPr>
          <w:p w14:paraId="25348A79" w14:textId="6548B050" w:rsidR="00027CFA" w:rsidRPr="002F33CA" w:rsidRDefault="00027CFA" w:rsidP="002F33CA">
            <w:pPr>
              <w:jc w:val="both"/>
              <w:rPr>
                <w:rFonts w:cstheme="minorHAnsi"/>
              </w:rPr>
            </w:pPr>
            <w:r w:rsidRPr="002F33CA">
              <w:rPr>
                <w:rFonts w:cstheme="minorHAnsi"/>
              </w:rPr>
              <w:t>4%</w:t>
            </w:r>
          </w:p>
        </w:tc>
        <w:tc>
          <w:tcPr>
            <w:tcW w:w="1552" w:type="dxa"/>
            <w:shd w:val="clear" w:color="auto" w:fill="auto"/>
            <w:vAlign w:val="center"/>
          </w:tcPr>
          <w:p w14:paraId="6BB103F2" w14:textId="30A0E9BF" w:rsidR="00027CFA" w:rsidRPr="002F33CA" w:rsidRDefault="00027CFA" w:rsidP="002F33CA">
            <w:pPr>
              <w:jc w:val="both"/>
              <w:rPr>
                <w:rFonts w:cstheme="minorHAnsi"/>
              </w:rPr>
            </w:pPr>
            <w:r w:rsidRPr="002F33CA">
              <w:rPr>
                <w:rFonts w:cstheme="minorHAnsi"/>
              </w:rPr>
              <w:t>8.1%</w:t>
            </w:r>
          </w:p>
        </w:tc>
        <w:tc>
          <w:tcPr>
            <w:tcW w:w="1221" w:type="dxa"/>
            <w:shd w:val="clear" w:color="auto" w:fill="auto"/>
            <w:vAlign w:val="center"/>
          </w:tcPr>
          <w:p w14:paraId="00F13967" w14:textId="26B84466" w:rsidR="00027CFA" w:rsidRPr="002F33CA" w:rsidRDefault="00027CFA" w:rsidP="002F33CA">
            <w:pPr>
              <w:jc w:val="center"/>
              <w:rPr>
                <w:rFonts w:cstheme="minorHAnsi"/>
              </w:rPr>
            </w:pPr>
            <w:r w:rsidRPr="002F33CA">
              <w:rPr>
                <w:rFonts w:cstheme="minorHAnsi"/>
              </w:rPr>
              <w:t>0.3</w:t>
            </w:r>
          </w:p>
        </w:tc>
      </w:tr>
      <w:tr w:rsidR="00027CFA" w:rsidRPr="003A3722" w14:paraId="028BBA9A" w14:textId="77777777" w:rsidTr="00D5004C">
        <w:tc>
          <w:tcPr>
            <w:tcW w:w="5379" w:type="dxa"/>
            <w:shd w:val="clear" w:color="auto" w:fill="auto"/>
            <w:vAlign w:val="center"/>
          </w:tcPr>
          <w:p w14:paraId="7D38FA80" w14:textId="4EB05941" w:rsidR="00027CFA" w:rsidRPr="002F33CA" w:rsidRDefault="00027CFA" w:rsidP="00D5004C">
            <w:pPr>
              <w:rPr>
                <w:rFonts w:cstheme="minorHAnsi"/>
              </w:rPr>
            </w:pPr>
            <w:r w:rsidRPr="002F33CA">
              <w:rPr>
                <w:rFonts w:cstheme="minorHAnsi"/>
              </w:rPr>
              <w:t>Procedural mortality (%)</w:t>
            </w:r>
          </w:p>
        </w:tc>
        <w:tc>
          <w:tcPr>
            <w:tcW w:w="1409" w:type="dxa"/>
            <w:shd w:val="clear" w:color="auto" w:fill="auto"/>
            <w:vAlign w:val="center"/>
          </w:tcPr>
          <w:p w14:paraId="0DEEED4D" w14:textId="77777777" w:rsidR="00027CFA" w:rsidRPr="002F33CA" w:rsidRDefault="00027CFA" w:rsidP="002F33CA">
            <w:pPr>
              <w:jc w:val="both"/>
              <w:rPr>
                <w:rFonts w:cstheme="minorHAnsi"/>
              </w:rPr>
            </w:pPr>
            <w:r w:rsidRPr="002F33CA">
              <w:rPr>
                <w:rFonts w:cstheme="minorHAnsi"/>
              </w:rPr>
              <w:t>0</w:t>
            </w:r>
          </w:p>
        </w:tc>
        <w:tc>
          <w:tcPr>
            <w:tcW w:w="1552" w:type="dxa"/>
            <w:shd w:val="clear" w:color="auto" w:fill="auto"/>
            <w:vAlign w:val="center"/>
          </w:tcPr>
          <w:p w14:paraId="22124C8F" w14:textId="210BEEE8" w:rsidR="00027CFA" w:rsidRPr="002F33CA" w:rsidRDefault="00027CFA" w:rsidP="002F33CA">
            <w:pPr>
              <w:jc w:val="both"/>
              <w:rPr>
                <w:rFonts w:cstheme="minorHAnsi"/>
              </w:rPr>
            </w:pPr>
            <w:r w:rsidRPr="002F33CA">
              <w:rPr>
                <w:rFonts w:cstheme="minorHAnsi"/>
              </w:rPr>
              <w:t>4.1%</w:t>
            </w:r>
          </w:p>
        </w:tc>
        <w:tc>
          <w:tcPr>
            <w:tcW w:w="1221" w:type="dxa"/>
            <w:shd w:val="clear" w:color="auto" w:fill="auto"/>
            <w:vAlign w:val="center"/>
          </w:tcPr>
          <w:p w14:paraId="330FDC85" w14:textId="732119A5" w:rsidR="00027CFA" w:rsidRPr="002F33CA" w:rsidRDefault="00027CFA" w:rsidP="002F33CA">
            <w:pPr>
              <w:jc w:val="center"/>
              <w:rPr>
                <w:rFonts w:cstheme="minorHAnsi"/>
              </w:rPr>
            </w:pPr>
            <w:r w:rsidRPr="002F33CA">
              <w:rPr>
                <w:rFonts w:cstheme="minorHAnsi"/>
              </w:rPr>
              <w:t>0.25</w:t>
            </w:r>
          </w:p>
        </w:tc>
      </w:tr>
      <w:tr w:rsidR="00027CFA" w:rsidRPr="003A3722" w14:paraId="7CFA946C" w14:textId="77777777" w:rsidTr="00D5004C">
        <w:tc>
          <w:tcPr>
            <w:tcW w:w="5379" w:type="dxa"/>
            <w:tcBorders>
              <w:bottom w:val="single" w:sz="4" w:space="0" w:color="auto"/>
            </w:tcBorders>
            <w:shd w:val="clear" w:color="auto" w:fill="auto"/>
            <w:vAlign w:val="center"/>
          </w:tcPr>
          <w:p w14:paraId="45826915" w14:textId="5E5CFD3C" w:rsidR="00027CFA" w:rsidRPr="002F33CA" w:rsidRDefault="00027CFA" w:rsidP="00D5004C">
            <w:pPr>
              <w:rPr>
                <w:rFonts w:cstheme="minorHAnsi"/>
              </w:rPr>
            </w:pPr>
            <w:r w:rsidRPr="002F33CA">
              <w:rPr>
                <w:rFonts w:cstheme="minorHAnsi"/>
              </w:rPr>
              <w:t>Thirty-day mortality (%)</w:t>
            </w:r>
          </w:p>
        </w:tc>
        <w:tc>
          <w:tcPr>
            <w:tcW w:w="1409" w:type="dxa"/>
            <w:tcBorders>
              <w:bottom w:val="single" w:sz="4" w:space="0" w:color="auto"/>
            </w:tcBorders>
            <w:shd w:val="clear" w:color="auto" w:fill="auto"/>
            <w:vAlign w:val="center"/>
          </w:tcPr>
          <w:p w14:paraId="37061AE1" w14:textId="30A10E11" w:rsidR="00027CFA" w:rsidRPr="002F33CA" w:rsidRDefault="00027CFA" w:rsidP="002F33CA">
            <w:pPr>
              <w:jc w:val="both"/>
              <w:rPr>
                <w:rFonts w:cstheme="minorHAnsi"/>
              </w:rPr>
            </w:pPr>
            <w:r w:rsidRPr="002F33CA">
              <w:rPr>
                <w:rFonts w:cstheme="minorHAnsi"/>
              </w:rPr>
              <w:t>1.3%</w:t>
            </w:r>
          </w:p>
        </w:tc>
        <w:tc>
          <w:tcPr>
            <w:tcW w:w="1552" w:type="dxa"/>
            <w:tcBorders>
              <w:bottom w:val="single" w:sz="4" w:space="0" w:color="auto"/>
            </w:tcBorders>
            <w:shd w:val="clear" w:color="auto" w:fill="auto"/>
            <w:vAlign w:val="center"/>
          </w:tcPr>
          <w:p w14:paraId="004208D4" w14:textId="06DAC41B" w:rsidR="00027CFA" w:rsidRPr="002F33CA" w:rsidRDefault="00027CFA" w:rsidP="002F33CA">
            <w:pPr>
              <w:jc w:val="both"/>
              <w:rPr>
                <w:rFonts w:cstheme="minorHAnsi"/>
              </w:rPr>
            </w:pPr>
            <w:r w:rsidRPr="002F33CA">
              <w:rPr>
                <w:rFonts w:cstheme="minorHAnsi"/>
              </w:rPr>
              <w:t>5.4%</w:t>
            </w:r>
          </w:p>
        </w:tc>
        <w:tc>
          <w:tcPr>
            <w:tcW w:w="1221" w:type="dxa"/>
            <w:tcBorders>
              <w:bottom w:val="single" w:sz="4" w:space="0" w:color="auto"/>
            </w:tcBorders>
            <w:shd w:val="clear" w:color="auto" w:fill="auto"/>
            <w:vAlign w:val="center"/>
          </w:tcPr>
          <w:p w14:paraId="00594D64" w14:textId="1AFB54C1" w:rsidR="00027CFA" w:rsidRPr="002F33CA" w:rsidRDefault="00027CFA" w:rsidP="002F33CA">
            <w:pPr>
              <w:jc w:val="center"/>
              <w:rPr>
                <w:rFonts w:cstheme="minorHAnsi"/>
              </w:rPr>
            </w:pPr>
            <w:r w:rsidRPr="002F33CA">
              <w:rPr>
                <w:rFonts w:cstheme="minorHAnsi"/>
              </w:rPr>
              <w:t>0.37</w:t>
            </w:r>
          </w:p>
        </w:tc>
      </w:tr>
    </w:tbl>
    <w:p w14:paraId="397B6039" w14:textId="77777777" w:rsidR="00027CFA" w:rsidRDefault="00027CFA" w:rsidP="00357E38"/>
    <w:p w14:paraId="46FACE21" w14:textId="77777777" w:rsidR="00357E38" w:rsidRDefault="00357E38" w:rsidP="00357E38"/>
    <w:p w14:paraId="68FC0B2A" w14:textId="77777777" w:rsidR="00357E38" w:rsidRDefault="00357E38"/>
    <w:p w14:paraId="5BFD79FF" w14:textId="77777777" w:rsidR="00357E38" w:rsidRDefault="00357E38"/>
    <w:sectPr w:rsidR="00357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914"/>
    <w:rsid w:val="00027CFA"/>
    <w:rsid w:val="000F5A7C"/>
    <w:rsid w:val="00190290"/>
    <w:rsid w:val="001925C2"/>
    <w:rsid w:val="001F49AF"/>
    <w:rsid w:val="002F33CA"/>
    <w:rsid w:val="00357E38"/>
    <w:rsid w:val="008E7914"/>
    <w:rsid w:val="009E67EC"/>
    <w:rsid w:val="00BF5173"/>
    <w:rsid w:val="00CA7E4C"/>
    <w:rsid w:val="00CD3494"/>
    <w:rsid w:val="00CF400F"/>
    <w:rsid w:val="00D32DD8"/>
    <w:rsid w:val="00E968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117DD"/>
  <w15:chartTrackingRefBased/>
  <w15:docId w15:val="{CC7B9F14-6CD4-4E83-9D1D-089E0FA8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7CF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ibrahim mohamed osman</dc:creator>
  <cp:keywords/>
  <dc:description/>
  <cp:lastModifiedBy>Zaki</cp:lastModifiedBy>
  <cp:revision>6</cp:revision>
  <dcterms:created xsi:type="dcterms:W3CDTF">2023-10-17T19:32:00Z</dcterms:created>
  <dcterms:modified xsi:type="dcterms:W3CDTF">2023-10-17T19:41:00Z</dcterms:modified>
</cp:coreProperties>
</file>