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47C2" w14:textId="6CAA4484" w:rsidR="001746FB" w:rsidRPr="00E93657" w:rsidRDefault="00062F13" w:rsidP="001746FB">
      <w:pPr>
        <w:pStyle w:val="Title"/>
      </w:pPr>
      <w:bookmarkStart w:id="0" w:name="_GoBack"/>
      <w:bookmarkEnd w:id="0"/>
      <w:r w:rsidRPr="00E93657">
        <w:t xml:space="preserve">JAK Inhibitors in </w:t>
      </w:r>
      <w:r w:rsidR="00B0471E" w:rsidRPr="00E93657">
        <w:t>Inflammatory Bowel Disease</w:t>
      </w:r>
      <w:r w:rsidRPr="00E93657">
        <w:t xml:space="preserve">: Recent </w:t>
      </w:r>
      <w:r w:rsidR="003B740A">
        <w:t>Advances</w:t>
      </w:r>
    </w:p>
    <w:p w14:paraId="2D09A51C" w14:textId="7D4E2A84" w:rsidR="001746FB" w:rsidRPr="00E93657" w:rsidRDefault="001746FB" w:rsidP="001746FB">
      <w:r w:rsidRPr="00E93657">
        <w:t>Sailish Honap</w:t>
      </w:r>
      <w:r w:rsidRPr="00E93657">
        <w:rPr>
          <w:vertAlign w:val="superscript"/>
        </w:rPr>
        <w:t>1,2</w:t>
      </w:r>
      <w:r w:rsidRPr="00E93657">
        <w:t>, Alexandra Agorogianni</w:t>
      </w:r>
      <w:r w:rsidRPr="00E93657">
        <w:rPr>
          <w:vertAlign w:val="superscript"/>
        </w:rPr>
        <w:t>1</w:t>
      </w:r>
      <w:r w:rsidRPr="00E93657">
        <w:t xml:space="preserve">, </w:t>
      </w:r>
      <w:r w:rsidR="00F86C38" w:rsidRPr="00E93657">
        <w:t xml:space="preserve">Michael </w:t>
      </w:r>
      <w:r w:rsidR="00CF2358">
        <w:t xml:space="preserve">J </w:t>
      </w:r>
      <w:r w:rsidR="00F86C38" w:rsidRPr="00E93657">
        <w:t>Colwill</w:t>
      </w:r>
      <w:r w:rsidR="00F86C38" w:rsidRPr="00E93657">
        <w:rPr>
          <w:vertAlign w:val="superscript"/>
        </w:rPr>
        <w:t>1</w:t>
      </w:r>
      <w:r w:rsidR="00F86C38" w:rsidRPr="00E93657">
        <w:t xml:space="preserve">, </w:t>
      </w:r>
      <w:r w:rsidR="00EE5E4D" w:rsidRPr="00E93657">
        <w:t>Sonia Kalyanji</w:t>
      </w:r>
      <w:r w:rsidR="002113F7">
        <w:t xml:space="preserve"> Mehta</w:t>
      </w:r>
      <w:r w:rsidR="00EE5E4D" w:rsidRPr="00E93657">
        <w:rPr>
          <w:vertAlign w:val="superscript"/>
        </w:rPr>
        <w:t>1</w:t>
      </w:r>
      <w:r w:rsidR="00EE5E4D" w:rsidRPr="00E93657">
        <w:t xml:space="preserve">, </w:t>
      </w:r>
      <w:r w:rsidR="00764039" w:rsidRPr="00E93657">
        <w:t>Fiona Donovan</w:t>
      </w:r>
      <w:r w:rsidR="00764039" w:rsidRPr="00E93657">
        <w:rPr>
          <w:vertAlign w:val="superscript"/>
        </w:rPr>
        <w:t>1</w:t>
      </w:r>
      <w:r w:rsidR="00764039" w:rsidRPr="00E93657">
        <w:t xml:space="preserve">, </w:t>
      </w:r>
      <w:r w:rsidRPr="00E93657">
        <w:t xml:space="preserve">Richard </w:t>
      </w:r>
      <w:r w:rsidR="009C73F7">
        <w:t xml:space="preserve">CG </w:t>
      </w:r>
      <w:r w:rsidRPr="00E93657">
        <w:t>Pollock</w:t>
      </w:r>
      <w:r w:rsidRPr="00E93657">
        <w:rPr>
          <w:vertAlign w:val="superscript"/>
        </w:rPr>
        <w:t>1,3</w:t>
      </w:r>
      <w:r w:rsidRPr="00E93657">
        <w:t xml:space="preserve">, Andrew </w:t>
      </w:r>
      <w:r w:rsidR="00CF2358">
        <w:t xml:space="preserve">P </w:t>
      </w:r>
      <w:r w:rsidRPr="00E93657">
        <w:t>Poullis</w:t>
      </w:r>
      <w:r w:rsidRPr="00E93657">
        <w:rPr>
          <w:vertAlign w:val="superscript"/>
        </w:rPr>
        <w:t>1</w:t>
      </w:r>
      <w:r w:rsidRPr="00E93657">
        <w:t>, Kamal V Patel</w:t>
      </w:r>
      <w:r w:rsidRPr="00E93657">
        <w:rPr>
          <w:vertAlign w:val="superscript"/>
        </w:rPr>
        <w:t>1</w:t>
      </w:r>
    </w:p>
    <w:p w14:paraId="660FEF86" w14:textId="77777777" w:rsidR="001746FB" w:rsidRPr="00E93657" w:rsidRDefault="001746FB" w:rsidP="001746FB"/>
    <w:p w14:paraId="0C64C50B" w14:textId="3842889C" w:rsidR="001746FB" w:rsidRPr="00E93657" w:rsidRDefault="001746FB" w:rsidP="001746FB">
      <w:r w:rsidRPr="00E93657">
        <w:rPr>
          <w:vertAlign w:val="superscript"/>
        </w:rPr>
        <w:t>1</w:t>
      </w:r>
      <w:r w:rsidRPr="00E93657">
        <w:t>Department of Gastroenterology, St George's University Hospitals NHS Foundation Trust, London, UK</w:t>
      </w:r>
    </w:p>
    <w:p w14:paraId="76ABE8F9" w14:textId="0F1B4149" w:rsidR="00062F13" w:rsidRPr="00E93657" w:rsidRDefault="001746FB" w:rsidP="001746FB">
      <w:r w:rsidRPr="00E93657">
        <w:rPr>
          <w:vertAlign w:val="superscript"/>
        </w:rPr>
        <w:t>2</w:t>
      </w:r>
      <w:r w:rsidRPr="00E93657">
        <w:t>School of Immunology and Microbial Sciences, King's College London, UK</w:t>
      </w:r>
    </w:p>
    <w:p w14:paraId="23A43FF3" w14:textId="03F0F1D6" w:rsidR="001746FB" w:rsidRPr="00E93657" w:rsidRDefault="001746FB" w:rsidP="001746FB">
      <w:r w:rsidRPr="00E93657">
        <w:rPr>
          <w:vertAlign w:val="superscript"/>
        </w:rPr>
        <w:t>3</w:t>
      </w:r>
      <w:r w:rsidRPr="00E93657">
        <w:t>Institute of Infection and Immunity, St George's University, London, UK</w:t>
      </w:r>
    </w:p>
    <w:p w14:paraId="4D7A4328" w14:textId="666F3A02" w:rsidR="00D41DAE" w:rsidRPr="00E93657" w:rsidRDefault="00D41DAE" w:rsidP="001746FB"/>
    <w:p w14:paraId="37099DF0" w14:textId="655F1752" w:rsidR="00D41DAE" w:rsidRPr="00E93657" w:rsidRDefault="00D41DAE" w:rsidP="00D41DAE">
      <w:r w:rsidRPr="00E93657">
        <w:t xml:space="preserve">Corresponding author and requests for reprints: Dr Sailish Honap, </w:t>
      </w:r>
      <w:r w:rsidR="00266C9B" w:rsidRPr="00E93657">
        <w:t>Department of Gastroenterology</w:t>
      </w:r>
      <w:r w:rsidRPr="00E93657">
        <w:t xml:space="preserve">, </w:t>
      </w:r>
      <w:r w:rsidR="00266C9B" w:rsidRPr="00E93657">
        <w:t>2</w:t>
      </w:r>
      <w:r w:rsidR="00266C9B" w:rsidRPr="00E93657">
        <w:rPr>
          <w:vertAlign w:val="superscript"/>
        </w:rPr>
        <w:t>nd</w:t>
      </w:r>
      <w:r w:rsidRPr="00E93657">
        <w:t xml:space="preserve"> Floor </w:t>
      </w:r>
      <w:r w:rsidR="00266C9B" w:rsidRPr="00E93657">
        <w:t>Grosvenor Wing</w:t>
      </w:r>
      <w:r w:rsidRPr="00E93657">
        <w:t xml:space="preserve">, St. </w:t>
      </w:r>
      <w:r w:rsidR="00266C9B" w:rsidRPr="00E93657">
        <w:t>George’s</w:t>
      </w:r>
      <w:r w:rsidRPr="00E93657">
        <w:t xml:space="preserve"> Hospital, </w:t>
      </w:r>
      <w:r w:rsidR="00266C9B" w:rsidRPr="00E93657">
        <w:t>Blackshaw Road</w:t>
      </w:r>
      <w:r w:rsidRPr="00E93657">
        <w:t>, London</w:t>
      </w:r>
      <w:r w:rsidR="00266C9B" w:rsidRPr="00E93657">
        <w:t>,</w:t>
      </w:r>
      <w:r w:rsidRPr="00E93657">
        <w:t xml:space="preserve"> S</w:t>
      </w:r>
      <w:r w:rsidR="00266C9B" w:rsidRPr="00E93657">
        <w:t>W17</w:t>
      </w:r>
      <w:r w:rsidRPr="00E93657">
        <w:t xml:space="preserve"> </w:t>
      </w:r>
      <w:r w:rsidR="00266C9B" w:rsidRPr="00E93657">
        <w:t>0QT</w:t>
      </w:r>
      <w:r w:rsidRPr="00E93657">
        <w:t>, UK. Email</w:t>
      </w:r>
      <w:r w:rsidR="000817AA" w:rsidRPr="00E93657">
        <w:t xml:space="preserve"> address</w:t>
      </w:r>
      <w:r w:rsidRPr="00E93657">
        <w:t xml:space="preserve">: </w:t>
      </w:r>
      <w:hyperlink r:id="rId6" w:history="1">
        <w:r w:rsidR="00100F2C" w:rsidRPr="00E93657">
          <w:rPr>
            <w:rStyle w:val="Hyperlink"/>
          </w:rPr>
          <w:t>shonap@nhs.net</w:t>
        </w:r>
      </w:hyperlink>
      <w:r w:rsidRPr="00E93657">
        <w:t xml:space="preserve">, </w:t>
      </w:r>
      <w:r w:rsidR="000817AA" w:rsidRPr="00E93657">
        <w:t>Telephone</w:t>
      </w:r>
      <w:r w:rsidRPr="00E93657">
        <w:t>: 020</w:t>
      </w:r>
      <w:r w:rsidR="00E1172E" w:rsidRPr="00E93657">
        <w:t>8</w:t>
      </w:r>
      <w:r w:rsidR="000817AA" w:rsidRPr="00E93657">
        <w:t xml:space="preserve"> 725</w:t>
      </w:r>
      <w:r w:rsidRPr="00E93657">
        <w:t xml:space="preserve"> </w:t>
      </w:r>
      <w:r w:rsidR="00E1172E" w:rsidRPr="00E93657">
        <w:t>1690</w:t>
      </w:r>
    </w:p>
    <w:p w14:paraId="06FCDD41" w14:textId="77777777" w:rsidR="00D41DAE" w:rsidRPr="00E93657" w:rsidRDefault="00D41DAE" w:rsidP="00D41DAE">
      <w:pPr>
        <w:pStyle w:val="NoSpacing"/>
        <w:spacing w:line="480" w:lineRule="auto"/>
        <w:rPr>
          <w:rFonts w:asciiTheme="majorHAnsi" w:hAnsiTheme="majorHAnsi" w:cstheme="majorHAnsi"/>
        </w:rPr>
      </w:pPr>
    </w:p>
    <w:p w14:paraId="2DC0AAA8" w14:textId="0B6EDC5B" w:rsidR="00D41DAE" w:rsidRPr="00E93657" w:rsidRDefault="00AD6A60" w:rsidP="001C7F25">
      <w:pPr>
        <w:pStyle w:val="Heading1"/>
      </w:pPr>
      <w:r w:rsidRPr="00E93657">
        <w:t>Word Count</w:t>
      </w:r>
    </w:p>
    <w:p w14:paraId="49FE5DA4" w14:textId="00D065C4" w:rsidR="007038D9" w:rsidRPr="001C5662" w:rsidRDefault="00C83217" w:rsidP="001C5662">
      <w:pPr>
        <w:pStyle w:val="NoSpacing"/>
        <w:spacing w:line="480" w:lineRule="auto"/>
        <w:rPr>
          <w:rFonts w:asciiTheme="majorHAnsi" w:hAnsiTheme="majorHAnsi" w:cstheme="majorHAnsi"/>
        </w:rPr>
      </w:pPr>
      <w:r w:rsidRPr="00E93657">
        <w:rPr>
          <w:rFonts w:asciiTheme="majorHAnsi" w:hAnsiTheme="majorHAnsi" w:cstheme="majorHAnsi"/>
        </w:rPr>
        <w:t>3</w:t>
      </w:r>
      <w:r w:rsidR="001C5662">
        <w:rPr>
          <w:rFonts w:asciiTheme="majorHAnsi" w:hAnsiTheme="majorHAnsi" w:cstheme="majorHAnsi"/>
        </w:rPr>
        <w:t>2</w:t>
      </w:r>
      <w:r w:rsidR="00D112EA">
        <w:rPr>
          <w:rFonts w:asciiTheme="majorHAnsi" w:hAnsiTheme="majorHAnsi" w:cstheme="majorHAnsi"/>
        </w:rPr>
        <w:t>98</w:t>
      </w:r>
      <w:r w:rsidR="00D41DAE" w:rsidRPr="00E93657">
        <w:rPr>
          <w:rFonts w:asciiTheme="majorHAnsi" w:hAnsiTheme="majorHAnsi" w:cstheme="majorHAnsi"/>
        </w:rPr>
        <w:t xml:space="preserve"> words</w:t>
      </w:r>
      <w:r w:rsidR="00D41DAE" w:rsidRPr="00E93657">
        <w:br w:type="page"/>
      </w:r>
    </w:p>
    <w:p w14:paraId="37B499A1" w14:textId="157EA601" w:rsidR="00A957C4" w:rsidRPr="00E93657" w:rsidRDefault="00A957C4" w:rsidP="00A957C4">
      <w:pPr>
        <w:pStyle w:val="Heading1"/>
      </w:pPr>
      <w:r w:rsidRPr="00E93657">
        <w:lastRenderedPageBreak/>
        <w:t>ABSTRACT</w:t>
      </w:r>
      <w:r w:rsidR="00B4196D" w:rsidRPr="00E93657">
        <w:t xml:space="preserve"> (250 words)</w:t>
      </w:r>
    </w:p>
    <w:p w14:paraId="70748079" w14:textId="2CA87F55" w:rsidR="00266C9B" w:rsidRPr="00E93657" w:rsidRDefault="00CB15B0" w:rsidP="00A957C4">
      <w:r>
        <w:t>Inflammatory bowel disease</w:t>
      </w:r>
      <w:r w:rsidR="00CB3ED2">
        <w:t xml:space="preserve"> (IBD)</w:t>
      </w:r>
      <w:r>
        <w:t xml:space="preserve"> </w:t>
      </w:r>
      <w:r w:rsidR="00190D01">
        <w:t>commonly</w:t>
      </w:r>
      <w:r>
        <w:t xml:space="preserve"> requires immunosuppressi</w:t>
      </w:r>
      <w:r w:rsidR="00A87799">
        <w:t xml:space="preserve">ve </w:t>
      </w:r>
      <w:r w:rsidR="008F13CB">
        <w:t>treatments</w:t>
      </w:r>
      <w:r>
        <w:t xml:space="preserve"> to </w:t>
      </w:r>
      <w:r w:rsidR="00735FE4">
        <w:t xml:space="preserve">induce and </w:t>
      </w:r>
      <w:r>
        <w:t xml:space="preserve">maintain </w:t>
      </w:r>
      <w:r w:rsidR="00735FE4">
        <w:t xml:space="preserve">durable </w:t>
      </w:r>
      <w:r>
        <w:t xml:space="preserve">remission. </w:t>
      </w:r>
      <w:r w:rsidR="00A957C4" w:rsidRPr="00E93657">
        <w:t>Janus kinase inhibitors</w:t>
      </w:r>
      <w:r w:rsidR="00103C27" w:rsidRPr="00E93657">
        <w:t xml:space="preserve"> </w:t>
      </w:r>
      <w:r w:rsidR="00F31A41">
        <w:t>(JAK</w:t>
      </w:r>
      <w:r w:rsidR="00D544AC">
        <w:t>I</w:t>
      </w:r>
      <w:r w:rsidR="00F31A41">
        <w:t xml:space="preserve">) </w:t>
      </w:r>
      <w:r w:rsidR="00103C27" w:rsidRPr="00E93657">
        <w:t xml:space="preserve">are </w:t>
      </w:r>
      <w:r w:rsidR="00885984">
        <w:t xml:space="preserve">a novel group of </w:t>
      </w:r>
      <w:r>
        <w:t>orally administered</w:t>
      </w:r>
      <w:r w:rsidR="00B75C74">
        <w:t xml:space="preserve">, </w:t>
      </w:r>
      <w:r w:rsidR="009761D8">
        <w:t xml:space="preserve">small molecule </w:t>
      </w:r>
      <w:r>
        <w:t xml:space="preserve">drugs </w:t>
      </w:r>
      <w:r w:rsidR="00E77DD1">
        <w:t>that</w:t>
      </w:r>
      <w:r w:rsidR="00AA7857">
        <w:t xml:space="preserve"> work by </w:t>
      </w:r>
      <w:r w:rsidR="00AA7857" w:rsidRPr="00E93657">
        <w:t>attenua</w:t>
      </w:r>
      <w:r w:rsidR="00AA7857">
        <w:t>ting</w:t>
      </w:r>
      <w:r w:rsidR="00AA7857" w:rsidRPr="00E93657">
        <w:t xml:space="preserve"> multiple cytokine signalling pathways to mediate dysregulated immune responses</w:t>
      </w:r>
      <w:r w:rsidR="00693E3B">
        <w:t xml:space="preserve"> </w:t>
      </w:r>
      <w:r w:rsidR="0001241C">
        <w:t>involved in the pathogenesis</w:t>
      </w:r>
      <w:r w:rsidR="00693E3B">
        <w:t xml:space="preserve"> </w:t>
      </w:r>
      <w:r w:rsidR="0001241C">
        <w:t>of</w:t>
      </w:r>
      <w:r w:rsidR="00693E3B">
        <w:t xml:space="preserve"> IBD</w:t>
      </w:r>
      <w:r w:rsidR="00062993">
        <w:t>.</w:t>
      </w:r>
      <w:r w:rsidR="008F13CB" w:rsidRPr="008F13CB">
        <w:t xml:space="preserve"> </w:t>
      </w:r>
      <w:r w:rsidR="008F13CB">
        <w:t>T</w:t>
      </w:r>
      <w:r w:rsidR="008F13CB" w:rsidRPr="00E93657">
        <w:t>ofacitinib, filgotinib, and upadacitinib</w:t>
      </w:r>
      <w:r w:rsidR="008F13CB">
        <w:t xml:space="preserve"> have demonstrated </w:t>
      </w:r>
      <w:r w:rsidR="00264EF6">
        <w:t>efficacy</w:t>
      </w:r>
      <w:r w:rsidR="008F13CB">
        <w:t xml:space="preserve"> against placebo and are licensed for the treatment of moderate to severe ulcerative</w:t>
      </w:r>
      <w:r w:rsidR="00264EF6">
        <w:t xml:space="preserve"> colitis</w:t>
      </w:r>
      <w:r w:rsidR="00A63E7A">
        <w:t>; upadacitinib</w:t>
      </w:r>
      <w:r w:rsidR="00423801">
        <w:t xml:space="preserve"> is </w:t>
      </w:r>
      <w:r w:rsidR="00630FCD">
        <w:t xml:space="preserve">the only JAKI </w:t>
      </w:r>
      <w:r w:rsidR="00114F19">
        <w:t xml:space="preserve">also </w:t>
      </w:r>
      <w:r w:rsidR="00423801">
        <w:t xml:space="preserve">approved for the treatment of Crohn’s disease. </w:t>
      </w:r>
      <w:r w:rsidR="00723624">
        <w:t>S</w:t>
      </w:r>
      <w:r w:rsidR="0071192D" w:rsidRPr="00E93657">
        <w:t>afety</w:t>
      </w:r>
      <w:r w:rsidR="00AD79C0" w:rsidRPr="00E93657">
        <w:t xml:space="preserve"> concerns </w:t>
      </w:r>
      <w:r w:rsidR="005522ED" w:rsidRPr="00E93657">
        <w:t xml:space="preserve">stratified by age </w:t>
      </w:r>
      <w:r w:rsidR="00F97359" w:rsidRPr="00E93657">
        <w:t xml:space="preserve">have led to </w:t>
      </w:r>
      <w:r w:rsidR="00AD1C67" w:rsidRPr="00E93657">
        <w:t xml:space="preserve">class-wide </w:t>
      </w:r>
      <w:r w:rsidR="008B4364">
        <w:t xml:space="preserve">regulatory </w:t>
      </w:r>
      <w:r w:rsidR="00645E7E" w:rsidRPr="00E93657">
        <w:t xml:space="preserve">restrictions </w:t>
      </w:r>
      <w:r w:rsidR="00723624">
        <w:t>for JAKI use across</w:t>
      </w:r>
      <w:r w:rsidR="005A572B">
        <w:t xml:space="preserve"> </w:t>
      </w:r>
      <w:r w:rsidR="0006187A" w:rsidRPr="00E93657">
        <w:t>all</w:t>
      </w:r>
      <w:r w:rsidR="00645E7E" w:rsidRPr="00E93657">
        <w:t xml:space="preserve"> </w:t>
      </w:r>
      <w:r w:rsidR="006B64EE" w:rsidRPr="00E93657">
        <w:t>inflammatory diseases</w:t>
      </w:r>
      <w:r w:rsidR="00F924E1" w:rsidRPr="00E93657">
        <w:t xml:space="preserve">. </w:t>
      </w:r>
      <w:r w:rsidR="00115BCF" w:rsidRPr="00E93657">
        <w:t xml:space="preserve">It is important for gastroenterologists </w:t>
      </w:r>
      <w:r w:rsidR="00834B13">
        <w:t xml:space="preserve">managing patients with IBD </w:t>
      </w:r>
      <w:r w:rsidR="00115BCF" w:rsidRPr="00E93657">
        <w:t xml:space="preserve">to be aware </w:t>
      </w:r>
      <w:r w:rsidR="00324E78">
        <w:t xml:space="preserve">of the </w:t>
      </w:r>
      <w:r w:rsidR="001059F7">
        <w:t xml:space="preserve">key </w:t>
      </w:r>
      <w:r w:rsidR="00324E78">
        <w:t>pivotal trial</w:t>
      </w:r>
      <w:r w:rsidR="00627C5D">
        <w:t xml:space="preserve"> outcomes</w:t>
      </w:r>
      <w:r w:rsidR="009C7F54">
        <w:t xml:space="preserve">, </w:t>
      </w:r>
      <w:r w:rsidR="00D15019">
        <w:t xml:space="preserve">to identify </w:t>
      </w:r>
      <w:r w:rsidR="001E1B28">
        <w:t xml:space="preserve">appropriate patients in whom to commence a JAKI, </w:t>
      </w:r>
      <w:r w:rsidR="002E2FEE">
        <w:t xml:space="preserve">and </w:t>
      </w:r>
      <w:r w:rsidR="00E3047C">
        <w:t xml:space="preserve">to understand the </w:t>
      </w:r>
      <w:r w:rsidR="009C7F54">
        <w:t xml:space="preserve">safety </w:t>
      </w:r>
      <w:r w:rsidR="00D474D7">
        <w:t xml:space="preserve">considerations </w:t>
      </w:r>
      <w:r w:rsidR="00A62A19">
        <w:t xml:space="preserve">and </w:t>
      </w:r>
      <w:r w:rsidR="000042AA">
        <w:t xml:space="preserve">ways </w:t>
      </w:r>
      <w:r w:rsidR="00D474D7">
        <w:t xml:space="preserve">to mitigate </w:t>
      </w:r>
      <w:r w:rsidR="00572644">
        <w:t>these</w:t>
      </w:r>
      <w:r w:rsidR="002E2FEE">
        <w:t xml:space="preserve"> </w:t>
      </w:r>
      <w:r w:rsidR="00D474D7">
        <w:t>risk</w:t>
      </w:r>
      <w:r w:rsidR="00572644">
        <w:t>s</w:t>
      </w:r>
      <w:r w:rsidR="005F6622">
        <w:t xml:space="preserve"> in the patients they treat</w:t>
      </w:r>
      <w:r w:rsidR="00D474D7">
        <w:t xml:space="preserve">. </w:t>
      </w:r>
      <w:r w:rsidR="005D249E" w:rsidRPr="00E93657">
        <w:t xml:space="preserve">This </w:t>
      </w:r>
      <w:r w:rsidR="00D0702E" w:rsidRPr="00E93657">
        <w:t xml:space="preserve">review provides a contemporaneous overview of </w:t>
      </w:r>
      <w:r w:rsidR="00C14BFA">
        <w:t>this emerging therapeutic class</w:t>
      </w:r>
      <w:r w:rsidR="00C50DAA" w:rsidRPr="00E93657">
        <w:t xml:space="preserve"> and provides a</w:t>
      </w:r>
      <w:r w:rsidR="00D0702E" w:rsidRPr="00E93657">
        <w:t xml:space="preserve"> </w:t>
      </w:r>
      <w:r w:rsidR="00C50DAA" w:rsidRPr="00E93657">
        <w:t>p</w:t>
      </w:r>
      <w:r w:rsidR="00266C9B" w:rsidRPr="00E93657">
        <w:t>ractical guide</w:t>
      </w:r>
      <w:r w:rsidR="00721EF9" w:rsidRPr="00E93657">
        <w:t xml:space="preserve"> </w:t>
      </w:r>
      <w:r w:rsidR="00B277E5" w:rsidRPr="00E93657">
        <w:t xml:space="preserve">for </w:t>
      </w:r>
      <w:r w:rsidR="0005409A" w:rsidRPr="00E93657">
        <w:t>healthcare practitioners</w:t>
      </w:r>
      <w:r w:rsidR="00B277E5" w:rsidRPr="00E93657">
        <w:t xml:space="preserve"> </w:t>
      </w:r>
      <w:r w:rsidR="00F87261" w:rsidRPr="00E93657">
        <w:t xml:space="preserve">for initiating and monitoring </w:t>
      </w:r>
      <w:r w:rsidR="00C759C9">
        <w:t>JAK</w:t>
      </w:r>
      <w:r w:rsidR="00CA5AEA">
        <w:t>I</w:t>
      </w:r>
      <w:r w:rsidR="00CB4C1C" w:rsidRPr="00E93657">
        <w:t xml:space="preserve"> in IBD.</w:t>
      </w:r>
    </w:p>
    <w:p w14:paraId="5E171CB1" w14:textId="142E0EE0" w:rsidR="00A957C4" w:rsidRDefault="00A957C4">
      <w:pPr>
        <w:spacing w:line="240" w:lineRule="auto"/>
      </w:pPr>
      <w:r w:rsidRPr="00E93657">
        <w:br w:type="page"/>
      </w:r>
    </w:p>
    <w:tbl>
      <w:tblPr>
        <w:tblStyle w:val="GridTable4-Accent1"/>
        <w:tblW w:w="0" w:type="auto"/>
        <w:tblLook w:val="04A0" w:firstRow="1" w:lastRow="0" w:firstColumn="1" w:lastColumn="0" w:noHBand="0" w:noVBand="1"/>
      </w:tblPr>
      <w:tblGrid>
        <w:gridCol w:w="9016"/>
      </w:tblGrid>
      <w:tr w:rsidR="007A407A" w:rsidRPr="00E93657" w14:paraId="6C4F3A71" w14:textId="77777777" w:rsidTr="0081432F">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016" w:type="dxa"/>
          </w:tcPr>
          <w:p w14:paraId="504E70EE" w14:textId="550BC31A" w:rsidR="007A407A" w:rsidRPr="00E93657" w:rsidRDefault="007A407A" w:rsidP="0081432F">
            <w:pPr>
              <w:pStyle w:val="Heading1"/>
              <w:outlineLvl w:val="0"/>
            </w:pPr>
            <w:r w:rsidRPr="00FE3DF1">
              <w:rPr>
                <w:b/>
                <w:bCs/>
                <w:color w:val="FFFFFF" w:themeColor="background1"/>
              </w:rPr>
              <w:lastRenderedPageBreak/>
              <w:t>Key Points</w:t>
            </w:r>
          </w:p>
        </w:tc>
      </w:tr>
      <w:tr w:rsidR="007A407A" w:rsidRPr="00E93657" w14:paraId="0EB4406F" w14:textId="77777777" w:rsidTr="00814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single" w:sz="4" w:space="0" w:color="8EAADB" w:themeColor="accent1" w:themeTint="99"/>
            </w:tcBorders>
          </w:tcPr>
          <w:p w14:paraId="3681F50A" w14:textId="77777777" w:rsidR="007A407A" w:rsidRPr="00E93657" w:rsidRDefault="007A407A" w:rsidP="0081432F">
            <w:pPr>
              <w:pStyle w:val="ListParagraph"/>
              <w:spacing w:line="480" w:lineRule="auto"/>
              <w:rPr>
                <w:rFonts w:asciiTheme="majorHAnsi" w:hAnsiTheme="majorHAnsi" w:cstheme="majorHAnsi"/>
                <w:b w:val="0"/>
                <w:bCs w:val="0"/>
                <w:color w:val="000000" w:themeColor="text1"/>
                <w:sz w:val="4"/>
                <w:szCs w:val="4"/>
                <w:lang w:val="en-GB"/>
              </w:rPr>
            </w:pPr>
          </w:p>
          <w:p w14:paraId="32A2615E" w14:textId="3953DF0F" w:rsidR="007A407A" w:rsidRDefault="007A407A" w:rsidP="0081432F">
            <w:pPr>
              <w:pStyle w:val="ListParagraph"/>
              <w:numPr>
                <w:ilvl w:val="0"/>
                <w:numId w:val="2"/>
              </w:numPr>
              <w:spacing w:line="480" w:lineRule="auto"/>
              <w:rPr>
                <w:rFonts w:asciiTheme="majorHAnsi" w:hAnsiTheme="majorHAnsi" w:cstheme="majorHAnsi"/>
                <w:color w:val="000000" w:themeColor="text1"/>
                <w:lang w:val="en-GB"/>
              </w:rPr>
            </w:pPr>
            <w:r w:rsidRPr="00376F50">
              <w:rPr>
                <w:rFonts w:asciiTheme="majorHAnsi" w:hAnsiTheme="majorHAnsi" w:cstheme="majorHAnsi"/>
                <w:b w:val="0"/>
                <w:bCs w:val="0"/>
                <w:color w:val="000000" w:themeColor="text1"/>
                <w:lang w:val="en-GB"/>
              </w:rPr>
              <w:t>Numerous pro-inflammatory cytokines involved in the pathogenesis of IBD signal through JAK-STAT pathways</w:t>
            </w:r>
            <w:r>
              <w:rPr>
                <w:rFonts w:asciiTheme="majorHAnsi" w:hAnsiTheme="majorHAnsi" w:cstheme="majorHAnsi"/>
                <w:b w:val="0"/>
                <w:bCs w:val="0"/>
                <w:color w:val="000000" w:themeColor="text1"/>
                <w:lang w:val="en-GB"/>
              </w:rPr>
              <w:t xml:space="preserve"> and </w:t>
            </w:r>
            <w:r w:rsidR="00B666AE">
              <w:rPr>
                <w:rFonts w:asciiTheme="majorHAnsi" w:hAnsiTheme="majorHAnsi" w:cstheme="majorHAnsi"/>
                <w:b w:val="0"/>
                <w:bCs w:val="0"/>
                <w:color w:val="000000" w:themeColor="text1"/>
                <w:lang w:val="en-GB"/>
              </w:rPr>
              <w:t>are the therapeutic target for JAKI</w:t>
            </w:r>
            <w:r>
              <w:rPr>
                <w:rFonts w:asciiTheme="majorHAnsi" w:hAnsiTheme="majorHAnsi" w:cstheme="majorHAnsi"/>
                <w:b w:val="0"/>
                <w:bCs w:val="0"/>
                <w:color w:val="000000" w:themeColor="text1"/>
                <w:lang w:val="en-GB"/>
              </w:rPr>
              <w:t>.</w:t>
            </w:r>
          </w:p>
          <w:p w14:paraId="1249091C" w14:textId="75167EA4" w:rsidR="00C8549F" w:rsidRDefault="007A407A" w:rsidP="0081432F">
            <w:pPr>
              <w:pStyle w:val="ListParagraph"/>
              <w:numPr>
                <w:ilvl w:val="0"/>
                <w:numId w:val="2"/>
              </w:numPr>
              <w:spacing w:line="480" w:lineRule="auto"/>
              <w:rPr>
                <w:rFonts w:asciiTheme="majorHAnsi" w:hAnsiTheme="majorHAnsi" w:cstheme="majorHAnsi"/>
                <w:color w:val="000000" w:themeColor="text1"/>
                <w:lang w:val="en-GB"/>
              </w:rPr>
            </w:pPr>
            <w:r>
              <w:rPr>
                <w:rFonts w:asciiTheme="majorHAnsi" w:hAnsiTheme="majorHAnsi" w:cstheme="majorHAnsi"/>
                <w:b w:val="0"/>
                <w:bCs w:val="0"/>
                <w:color w:val="000000" w:themeColor="text1"/>
                <w:lang w:val="en-GB"/>
              </w:rPr>
              <w:t>JAKI offer a non-immunogenic</w:t>
            </w:r>
            <w:r w:rsidR="005B4911">
              <w:rPr>
                <w:rFonts w:asciiTheme="majorHAnsi" w:hAnsiTheme="majorHAnsi" w:cstheme="majorHAnsi"/>
                <w:b w:val="0"/>
                <w:bCs w:val="0"/>
                <w:color w:val="000000" w:themeColor="text1"/>
                <w:lang w:val="en-GB"/>
              </w:rPr>
              <w:t>, rapidly acting,</w:t>
            </w:r>
            <w:r>
              <w:rPr>
                <w:rFonts w:asciiTheme="majorHAnsi" w:hAnsiTheme="majorHAnsi" w:cstheme="majorHAnsi"/>
                <w:b w:val="0"/>
                <w:bCs w:val="0"/>
                <w:color w:val="000000" w:themeColor="text1"/>
                <w:lang w:val="en-GB"/>
              </w:rPr>
              <w:t xml:space="preserve"> oral option and should be considered for the treatment of moderate to severe IBD.</w:t>
            </w:r>
          </w:p>
          <w:p w14:paraId="1A7E19BC" w14:textId="27E4DEEE" w:rsidR="007A407A" w:rsidRPr="00376F50" w:rsidRDefault="007A407A" w:rsidP="0081432F">
            <w:pPr>
              <w:pStyle w:val="ListParagraph"/>
              <w:numPr>
                <w:ilvl w:val="0"/>
                <w:numId w:val="2"/>
              </w:numPr>
              <w:spacing w:line="480" w:lineRule="auto"/>
              <w:rPr>
                <w:rFonts w:asciiTheme="majorHAnsi" w:hAnsiTheme="majorHAnsi" w:cstheme="majorHAnsi"/>
                <w:color w:val="000000" w:themeColor="text1"/>
                <w:lang w:val="en-GB"/>
              </w:rPr>
            </w:pPr>
            <w:r>
              <w:rPr>
                <w:rFonts w:asciiTheme="majorHAnsi" w:hAnsiTheme="majorHAnsi" w:cstheme="majorHAnsi"/>
                <w:b w:val="0"/>
                <w:bCs w:val="0"/>
                <w:color w:val="000000" w:themeColor="text1"/>
                <w:lang w:val="en-GB"/>
              </w:rPr>
              <w:t>Three JAKI are currently approved in the UK; tofacitinib and filgotinib are licensed for UC, while upadacitinib is licensed for both UC and CD.</w:t>
            </w:r>
          </w:p>
          <w:p w14:paraId="72ADF8D1" w14:textId="4517C98F" w:rsidR="007A407A" w:rsidRPr="00842A8C" w:rsidRDefault="007A407A" w:rsidP="0081432F">
            <w:pPr>
              <w:pStyle w:val="ListParagraph"/>
              <w:numPr>
                <w:ilvl w:val="0"/>
                <w:numId w:val="2"/>
              </w:numPr>
              <w:spacing w:line="480" w:lineRule="auto"/>
              <w:rPr>
                <w:rFonts w:asciiTheme="majorHAnsi" w:hAnsiTheme="majorHAnsi" w:cstheme="majorHAnsi"/>
                <w:b w:val="0"/>
                <w:bCs w:val="0"/>
                <w:color w:val="000000" w:themeColor="text1"/>
                <w:lang w:val="en-GB"/>
              </w:rPr>
            </w:pPr>
            <w:r>
              <w:rPr>
                <w:rFonts w:asciiTheme="majorHAnsi" w:hAnsiTheme="majorHAnsi" w:cstheme="majorHAnsi"/>
                <w:b w:val="0"/>
                <w:bCs w:val="0"/>
                <w:color w:val="000000" w:themeColor="text1"/>
                <w:lang w:val="en-GB"/>
              </w:rPr>
              <w:t xml:space="preserve">For safety reasons, JAKI should be used at the lowest dose possible and avoided in the following patients </w:t>
            </w:r>
            <w:r w:rsidR="007D751B">
              <w:rPr>
                <w:rFonts w:asciiTheme="majorHAnsi" w:hAnsiTheme="majorHAnsi" w:cstheme="majorHAnsi"/>
                <w:b w:val="0"/>
                <w:bCs w:val="0"/>
                <w:color w:val="000000" w:themeColor="text1"/>
                <w:lang w:val="en-GB"/>
              </w:rPr>
              <w:t>if</w:t>
            </w:r>
            <w:r>
              <w:rPr>
                <w:rFonts w:asciiTheme="majorHAnsi" w:hAnsiTheme="majorHAnsi" w:cstheme="majorHAnsi"/>
                <w:b w:val="0"/>
                <w:bCs w:val="0"/>
                <w:color w:val="000000" w:themeColor="text1"/>
                <w:lang w:val="en-GB"/>
              </w:rPr>
              <w:t xml:space="preserve"> no suitable alternative treatments are available; </w:t>
            </w:r>
            <w:r w:rsidRPr="00D50B87">
              <w:rPr>
                <w:rFonts w:asciiTheme="majorHAnsi" w:hAnsiTheme="majorHAnsi" w:cstheme="majorHAnsi"/>
                <w:b w:val="0"/>
                <w:bCs w:val="0"/>
              </w:rPr>
              <w:t>age ≥</w:t>
            </w:r>
            <w:r>
              <w:rPr>
                <w:rFonts w:asciiTheme="majorHAnsi" w:hAnsiTheme="majorHAnsi" w:cstheme="majorHAnsi"/>
                <w:b w:val="0"/>
                <w:bCs w:val="0"/>
              </w:rPr>
              <w:t xml:space="preserve">65 years, cigarette smokers or significant smoking history, risk factors for cancer, or risk factors for </w:t>
            </w:r>
            <w:r w:rsidR="00E8220C">
              <w:rPr>
                <w:rFonts w:asciiTheme="majorHAnsi" w:hAnsiTheme="majorHAnsi" w:cstheme="majorHAnsi"/>
                <w:b w:val="0"/>
                <w:bCs w:val="0"/>
              </w:rPr>
              <w:t>major adverse cardiovascular events</w:t>
            </w:r>
            <w:r w:rsidR="00A6098D">
              <w:rPr>
                <w:rFonts w:asciiTheme="majorHAnsi" w:hAnsiTheme="majorHAnsi" w:cstheme="majorHAnsi"/>
                <w:b w:val="0"/>
                <w:bCs w:val="0"/>
              </w:rPr>
              <w:t xml:space="preserve"> (MACE)</w:t>
            </w:r>
            <w:r>
              <w:rPr>
                <w:rFonts w:asciiTheme="majorHAnsi" w:hAnsiTheme="majorHAnsi" w:cstheme="majorHAnsi"/>
                <w:b w:val="0"/>
                <w:bCs w:val="0"/>
              </w:rPr>
              <w:t>.</w:t>
            </w:r>
          </w:p>
          <w:p w14:paraId="172F5A9F" w14:textId="6BED9BCD" w:rsidR="007A407A" w:rsidRPr="00987872" w:rsidRDefault="007A407A" w:rsidP="0081432F">
            <w:pPr>
              <w:pStyle w:val="ListParagraph"/>
              <w:numPr>
                <w:ilvl w:val="0"/>
                <w:numId w:val="2"/>
              </w:numPr>
              <w:spacing w:line="480" w:lineRule="auto"/>
              <w:rPr>
                <w:rFonts w:asciiTheme="majorHAnsi" w:hAnsiTheme="majorHAnsi" w:cstheme="majorHAnsi"/>
                <w:b w:val="0"/>
                <w:bCs w:val="0"/>
                <w:color w:val="000000" w:themeColor="text1"/>
                <w:lang w:val="en-GB"/>
              </w:rPr>
            </w:pPr>
            <w:r>
              <w:rPr>
                <w:rFonts w:asciiTheme="majorHAnsi" w:hAnsiTheme="majorHAnsi" w:cstheme="majorHAnsi"/>
                <w:b w:val="0"/>
                <w:bCs w:val="0"/>
                <w:lang w:val="en-GB"/>
              </w:rPr>
              <w:t xml:space="preserve">Further research is required to evaluate the efficacy of JAKI in acute severe UC, </w:t>
            </w:r>
            <w:r w:rsidR="00B31163">
              <w:rPr>
                <w:rFonts w:asciiTheme="majorHAnsi" w:hAnsiTheme="majorHAnsi" w:cstheme="majorHAnsi"/>
                <w:b w:val="0"/>
                <w:bCs w:val="0"/>
                <w:lang w:val="en-GB"/>
              </w:rPr>
              <w:t xml:space="preserve">when used sequentially following prior JAKI failure, and when used </w:t>
            </w:r>
            <w:r>
              <w:rPr>
                <w:rFonts w:asciiTheme="majorHAnsi" w:hAnsiTheme="majorHAnsi" w:cstheme="majorHAnsi"/>
                <w:b w:val="0"/>
                <w:bCs w:val="0"/>
                <w:lang w:val="en-GB"/>
              </w:rPr>
              <w:t>in</w:t>
            </w:r>
            <w:r w:rsidRPr="00376F50">
              <w:rPr>
                <w:rFonts w:asciiTheme="majorHAnsi" w:hAnsiTheme="majorHAnsi" w:cstheme="majorHAnsi"/>
                <w:b w:val="0"/>
                <w:bCs w:val="0"/>
                <w:lang w:val="en-GB"/>
              </w:rPr>
              <w:t xml:space="preserve"> advanced combination therapy with a m</w:t>
            </w:r>
            <w:r>
              <w:rPr>
                <w:rFonts w:asciiTheme="majorHAnsi" w:hAnsiTheme="majorHAnsi" w:cstheme="majorHAnsi"/>
                <w:b w:val="0"/>
                <w:bCs w:val="0"/>
                <w:lang w:val="en-GB"/>
              </w:rPr>
              <w:t>onoclonal antibody</w:t>
            </w:r>
            <w:r w:rsidR="007B35CE">
              <w:rPr>
                <w:rFonts w:asciiTheme="majorHAnsi" w:hAnsiTheme="majorHAnsi" w:cstheme="majorHAnsi"/>
                <w:b w:val="0"/>
                <w:bCs w:val="0"/>
                <w:lang w:val="en-GB"/>
              </w:rPr>
              <w:t xml:space="preserve"> (mAb)</w:t>
            </w:r>
            <w:r w:rsidRPr="00376F50">
              <w:rPr>
                <w:rFonts w:asciiTheme="majorHAnsi" w:hAnsiTheme="majorHAnsi" w:cstheme="majorHAnsi"/>
                <w:b w:val="0"/>
                <w:bCs w:val="0"/>
                <w:lang w:val="en-GB"/>
              </w:rPr>
              <w:t xml:space="preserve"> </w:t>
            </w:r>
            <w:r>
              <w:rPr>
                <w:rFonts w:asciiTheme="majorHAnsi" w:hAnsiTheme="majorHAnsi" w:cstheme="majorHAnsi"/>
                <w:b w:val="0"/>
                <w:bCs w:val="0"/>
                <w:lang w:val="en-GB"/>
              </w:rPr>
              <w:t>to treat resistant disease/concomitant IMIDs</w:t>
            </w:r>
            <w:r w:rsidR="00B31163">
              <w:rPr>
                <w:rFonts w:asciiTheme="majorHAnsi" w:hAnsiTheme="majorHAnsi" w:cstheme="majorHAnsi"/>
                <w:b w:val="0"/>
                <w:bCs w:val="0"/>
                <w:lang w:val="en-GB"/>
              </w:rPr>
              <w:t>.</w:t>
            </w:r>
          </w:p>
        </w:tc>
      </w:tr>
    </w:tbl>
    <w:p w14:paraId="313AA523" w14:textId="31DE0C67" w:rsidR="007A407A" w:rsidRDefault="007A407A">
      <w:pPr>
        <w:spacing w:line="240" w:lineRule="auto"/>
      </w:pPr>
      <w:r>
        <w:br w:type="page"/>
      </w:r>
    </w:p>
    <w:p w14:paraId="4F4B1834" w14:textId="16FDB18D" w:rsidR="001357C6" w:rsidRPr="00E93657" w:rsidRDefault="003B2FB7" w:rsidP="00BF492B">
      <w:pPr>
        <w:pStyle w:val="Heading1"/>
      </w:pPr>
      <w:r w:rsidRPr="00E93657">
        <w:lastRenderedPageBreak/>
        <w:t xml:space="preserve">JAKI: </w:t>
      </w:r>
      <w:r w:rsidR="002158DB">
        <w:t>a</w:t>
      </w:r>
      <w:r w:rsidR="002158DB" w:rsidRPr="00E93657">
        <w:t xml:space="preserve"> </w:t>
      </w:r>
      <w:r w:rsidR="002158DB">
        <w:t>n</w:t>
      </w:r>
      <w:r w:rsidR="002158DB" w:rsidRPr="00E93657">
        <w:t xml:space="preserve">ovel </w:t>
      </w:r>
      <w:r w:rsidR="002158DB">
        <w:t>c</w:t>
      </w:r>
      <w:r w:rsidR="002158DB" w:rsidRPr="00E93657">
        <w:t xml:space="preserve">lass of </w:t>
      </w:r>
      <w:r w:rsidR="00B556D2">
        <w:t xml:space="preserve">orally administered </w:t>
      </w:r>
      <w:r w:rsidR="002158DB" w:rsidRPr="00E93657">
        <w:t xml:space="preserve">drugs for the treatment of </w:t>
      </w:r>
      <w:r w:rsidR="002158DB">
        <w:t>IBD</w:t>
      </w:r>
    </w:p>
    <w:p w14:paraId="0679E2AF" w14:textId="3E5EF789" w:rsidR="004C708D" w:rsidRDefault="00104927" w:rsidP="00A957C4">
      <w:r w:rsidRPr="00E93657">
        <w:t>Inflammatory bowel disease (IBD), comprising u</w:t>
      </w:r>
      <w:r w:rsidR="004C708D" w:rsidRPr="00E93657">
        <w:t xml:space="preserve">lcerative colitis </w:t>
      </w:r>
      <w:r w:rsidRPr="00E93657">
        <w:t xml:space="preserve">(UC) </w:t>
      </w:r>
      <w:r w:rsidR="004C708D" w:rsidRPr="00E93657">
        <w:t>and Crohn’s disease</w:t>
      </w:r>
      <w:r w:rsidRPr="00E93657">
        <w:t xml:space="preserve"> (CD),</w:t>
      </w:r>
      <w:r w:rsidR="004C708D" w:rsidRPr="00E93657">
        <w:t xml:space="preserve"> </w:t>
      </w:r>
      <w:r w:rsidR="00CD435E" w:rsidRPr="00E93657">
        <w:t xml:space="preserve">are immune-mediated </w:t>
      </w:r>
      <w:r w:rsidR="0024126C">
        <w:t xml:space="preserve">inflammatory </w:t>
      </w:r>
      <w:r w:rsidR="00CD435E" w:rsidRPr="00E93657">
        <w:t>diseases</w:t>
      </w:r>
      <w:r w:rsidR="0024126C">
        <w:t xml:space="preserve"> (IMID)</w:t>
      </w:r>
      <w:r w:rsidR="00CD435E" w:rsidRPr="00E93657">
        <w:t xml:space="preserve"> </w:t>
      </w:r>
      <w:r w:rsidRPr="00E93657">
        <w:t xml:space="preserve">that </w:t>
      </w:r>
      <w:r w:rsidR="003D686A">
        <w:t xml:space="preserve">typically </w:t>
      </w:r>
      <w:r w:rsidRPr="00E93657">
        <w:t xml:space="preserve">require long-term </w:t>
      </w:r>
      <w:r w:rsidR="00832CAC">
        <w:t>immunosuppression</w:t>
      </w:r>
      <w:r w:rsidR="00A60C43" w:rsidRPr="00E93657">
        <w:t>.</w:t>
      </w:r>
      <w:r w:rsidR="00DD406C">
        <w:t xml:space="preserve"> </w:t>
      </w:r>
      <w:r w:rsidR="000F6554">
        <w:rPr>
          <w:lang w:val="en-US"/>
        </w:rPr>
        <w:t>B</w:t>
      </w:r>
      <w:r w:rsidR="000F6554" w:rsidRPr="00F87C9A">
        <w:rPr>
          <w:lang w:val="en-US"/>
        </w:rPr>
        <w:t xml:space="preserve">roadly speaking, </w:t>
      </w:r>
      <w:r w:rsidR="00200C40">
        <w:rPr>
          <w:lang w:val="en-US"/>
        </w:rPr>
        <w:t>immunosuppressive</w:t>
      </w:r>
      <w:r w:rsidR="00056CC9">
        <w:rPr>
          <w:lang w:val="en-US"/>
        </w:rPr>
        <w:t xml:space="preserve"> therapies</w:t>
      </w:r>
      <w:r w:rsidR="000F6554">
        <w:rPr>
          <w:lang w:val="en-US"/>
        </w:rPr>
        <w:t xml:space="preserve"> </w:t>
      </w:r>
      <w:r w:rsidR="000F6554" w:rsidRPr="00F87C9A">
        <w:rPr>
          <w:lang w:val="en-US"/>
        </w:rPr>
        <w:t>work in two main ways; to attenuate the signaling of one or more pro-inflammatory cytokines, or to prevent leukocyte migration to sites of inflammation</w:t>
      </w:r>
      <w:r w:rsidR="000F6554">
        <w:rPr>
          <w:lang w:val="en-US"/>
        </w:rPr>
        <w:t>.</w:t>
      </w:r>
      <w:r w:rsidR="00DC01D7">
        <w:rPr>
          <w:lang w:val="en-US"/>
        </w:rPr>
        <w:t xml:space="preserve"> </w:t>
      </w:r>
      <w:r w:rsidR="00E32714">
        <w:rPr>
          <w:lang w:val="en-US"/>
        </w:rPr>
        <w:t>T</w:t>
      </w:r>
      <w:r w:rsidR="00F34056">
        <w:rPr>
          <w:lang w:val="en-US"/>
        </w:rPr>
        <w:t>reatment</w:t>
      </w:r>
      <w:r w:rsidR="005947FB">
        <w:t xml:space="preserve"> inefficacy and intolerance </w:t>
      </w:r>
      <w:r w:rsidR="00A3022F">
        <w:t>of</w:t>
      </w:r>
      <w:r w:rsidR="00D74B89">
        <w:t xml:space="preserve"> existing therapies</w:t>
      </w:r>
      <w:r w:rsidR="00E32714">
        <w:t>, howeve</w:t>
      </w:r>
      <w:r w:rsidR="009C728B">
        <w:t>r,</w:t>
      </w:r>
      <w:r w:rsidR="008269B4">
        <w:t xml:space="preserve"> has </w:t>
      </w:r>
      <w:r w:rsidR="005947FB">
        <w:t xml:space="preserve">driven </w:t>
      </w:r>
      <w:r w:rsidR="00190207">
        <w:t xml:space="preserve">a proliferation </w:t>
      </w:r>
      <w:r w:rsidR="00A77DB3">
        <w:t xml:space="preserve">of </w:t>
      </w:r>
      <w:r w:rsidR="00044DA7">
        <w:t>approved</w:t>
      </w:r>
      <w:r w:rsidR="00A77DB3">
        <w:t xml:space="preserve"> </w:t>
      </w:r>
      <w:r w:rsidR="00364B37">
        <w:t xml:space="preserve">and investigational </w:t>
      </w:r>
      <w:r w:rsidR="00A77DB3">
        <w:t xml:space="preserve">drugs </w:t>
      </w:r>
      <w:r w:rsidR="007F72BC">
        <w:t>over the past decade</w:t>
      </w:r>
      <w:r w:rsidR="0077518A">
        <w:t>.</w:t>
      </w:r>
      <w:r w:rsidR="00733B81">
        <w:t xml:space="preserve"> </w:t>
      </w:r>
      <w:r w:rsidR="001D55B4">
        <w:t xml:space="preserve">JAK inhibitors (JAKI) </w:t>
      </w:r>
      <w:r w:rsidR="00C128E5">
        <w:t>are a novel class of drugs</w:t>
      </w:r>
      <w:r w:rsidR="00E04B3B">
        <w:t xml:space="preserve"> </w:t>
      </w:r>
      <w:r w:rsidR="00CF661C">
        <w:t xml:space="preserve">in IBD and were </w:t>
      </w:r>
      <w:r w:rsidR="00464B9D">
        <w:t>first introduced</w:t>
      </w:r>
      <w:r w:rsidR="002F438E">
        <w:t xml:space="preserve"> </w:t>
      </w:r>
      <w:r w:rsidR="00C744DA">
        <w:t xml:space="preserve">in </w:t>
      </w:r>
      <w:r w:rsidR="00AC2C49">
        <w:t>2019</w:t>
      </w:r>
      <w:r w:rsidR="00AD12DB">
        <w:t xml:space="preserve"> with the approval of </w:t>
      </w:r>
      <w:r w:rsidR="00641464">
        <w:t>tofacitinib</w:t>
      </w:r>
      <w:r w:rsidR="001B0FB2">
        <w:t xml:space="preserve">, </w:t>
      </w:r>
      <w:r w:rsidR="00363013">
        <w:t xml:space="preserve">followed more recently </w:t>
      </w:r>
      <w:r w:rsidR="00046556">
        <w:t>by the JAK1-selectiv</w:t>
      </w:r>
      <w:r w:rsidR="00B66356">
        <w:t xml:space="preserve">e </w:t>
      </w:r>
      <w:r w:rsidR="00CA3F7A">
        <w:t>filgotinib and upadacitinib</w:t>
      </w:r>
      <w:r w:rsidR="00C67DD3">
        <w:t xml:space="preserve"> (table 1)</w:t>
      </w:r>
      <w:r w:rsidR="00CA3F7A">
        <w:t>.</w:t>
      </w:r>
      <w:r w:rsidR="00764085">
        <w:t xml:space="preserve"> The drug development rationale for selective JAK inhibition is to maximise therapeutic efficacy without compromising the homeostatic functions of other JAK isoforms.</w:t>
      </w:r>
    </w:p>
    <w:p w14:paraId="69A6993C" w14:textId="77777777" w:rsidR="00DD5110" w:rsidRDefault="00DD5110" w:rsidP="00A957C4"/>
    <w:p w14:paraId="689E7B87" w14:textId="1EB28A47" w:rsidR="00731C12" w:rsidRDefault="00B61A46" w:rsidP="00A957C4">
      <w:r>
        <w:t>Janus kinas</w:t>
      </w:r>
      <w:r w:rsidR="0018607D">
        <w:t>e</w:t>
      </w:r>
      <w:r w:rsidR="00BF2AE7">
        <w:t>s</w:t>
      </w:r>
      <w:r w:rsidR="004C6E13">
        <w:t xml:space="preserve"> (JAK)</w:t>
      </w:r>
      <w:r w:rsidR="000C0B12">
        <w:t xml:space="preserve"> are non-receptor tyrosine kinase pr</w:t>
      </w:r>
      <w:r w:rsidR="005F67D3">
        <w:t xml:space="preserve">oteins constitutively linked with the </w:t>
      </w:r>
      <w:r w:rsidR="005F67D3" w:rsidRPr="00E436E8">
        <w:rPr>
          <w:color w:val="000000" w:themeColor="text1"/>
        </w:rPr>
        <w:t>cytoplasmic domains of type I and type II</w:t>
      </w:r>
      <w:r w:rsidR="00190207" w:rsidRPr="00E436E8">
        <w:rPr>
          <w:color w:val="000000" w:themeColor="text1"/>
        </w:rPr>
        <w:t xml:space="preserve"> cytokine receptors.</w:t>
      </w:r>
      <w:r w:rsidR="00190207" w:rsidRPr="00E436E8">
        <w:rPr>
          <w:color w:val="000000" w:themeColor="text1"/>
        </w:rPr>
        <w:fldChar w:fldCharType="begin"/>
      </w:r>
      <w:r w:rsidR="00190207" w:rsidRPr="00E436E8">
        <w:rPr>
          <w:color w:val="000000" w:themeColor="text1"/>
        </w:rPr>
        <w:instrText xml:space="preserve"> ADDIN ZOTERO_ITEM CSL_CITATION {"citationID":"XQKxsoM8","properties":{"formattedCitation":"\\super 1\\nosupersub{}","plainCitation":"1","noteIndex":0},"citationItems":[{"id":4917,"uris":["http://zotero.org/users/5409423/items/2CNEMKYU"],"itemData":{"id":4917,"type":"article-journal","abstract":"Cytoplasmic Janus protein tyrosine kinases (JAKs) are crucial components of diverse signal transduction pathways that govern cellular survival, proliferation, differentiation and apoptosis. Evidence to date, indicates that JAK kinase function may integrate components of diverse signaling cascades. While it is likely that activation of STAT proteins may be an important function attributed to the JAK kinases, it is certainly not the only function performed by this key family of cytoplasmic tyrosine kinases. Emerging evidence indicates that phosphorylation of cytokine and growth factor receptors may be the primary functional attribute of JAK kinases. The JAK-triggered receptor phosphorylation can potentially be a rate-limiting event for a successful culmination of downstream signaling events. In support of this hypothesis, it has been found that JAK kinase function is required for optimal activation of the Src-kinase cascade, the Ras-MAP kinase pathway, the PI3K-AKT pathway and STAT signaling following the interaction of cytokine/interferon receptors with their ligands. Aberrations in JAK kinase activity, that may lead to derailment of one or more of the above mentioned pathways could disrupt normal cellular responses and result in disease states. Thus, over-activation of JAK kinases has been implicated in tumorigenesis. In contrast, loss of JAK kinase function has been found to result in disease states such as severe-combined immunodeficiency. In summary, optimal JAK kinase activity is a critical determinant of normal transmission of cytokine and growth factor signals.","container-title":"Oncogene","DOI":"10.1038/sj.onc.1203925","ISSN":"0950-9232","issue":"49","journalAbbreviation":"Oncogene","language":"eng","note":"PMID: 11114747","page":"5662-5679","source":"PubMed","title":"Janus kinases: components of multiple signaling pathways","title-short":"Janus kinases","volume":"19","author":[{"family":"Rane","given":"S. G."},{"family":"Reddy","given":"E. P."}],"issued":{"date-parts":[["2000",11,20]]}}}],"schema":"https://github.com/citation-style-language/schema/raw/master/csl-citation.json"} </w:instrText>
      </w:r>
      <w:r w:rsidR="00190207" w:rsidRPr="00E436E8">
        <w:rPr>
          <w:color w:val="000000" w:themeColor="text1"/>
        </w:rPr>
        <w:fldChar w:fldCharType="separate"/>
      </w:r>
      <w:r w:rsidR="00190207" w:rsidRPr="00E436E8">
        <w:rPr>
          <w:color w:val="000000" w:themeColor="text1"/>
          <w:vertAlign w:val="superscript"/>
        </w:rPr>
        <w:t>1</w:t>
      </w:r>
      <w:r w:rsidR="00190207" w:rsidRPr="00E436E8">
        <w:rPr>
          <w:color w:val="000000" w:themeColor="text1"/>
        </w:rPr>
        <w:fldChar w:fldCharType="end"/>
      </w:r>
      <w:r w:rsidR="003E6CD1" w:rsidRPr="00E436E8">
        <w:rPr>
          <w:color w:val="000000" w:themeColor="text1"/>
        </w:rPr>
        <w:t xml:space="preserve"> </w:t>
      </w:r>
      <w:r w:rsidR="0005341E" w:rsidRPr="00E436E8">
        <w:rPr>
          <w:color w:val="000000" w:themeColor="text1"/>
        </w:rPr>
        <w:t>The four JAK isoforms</w:t>
      </w:r>
      <w:r w:rsidR="003E6CD1" w:rsidRPr="00E436E8">
        <w:rPr>
          <w:color w:val="000000" w:themeColor="text1"/>
        </w:rPr>
        <w:t xml:space="preserve"> mediate </w:t>
      </w:r>
      <w:r w:rsidR="007E0F6D" w:rsidRPr="00E436E8">
        <w:rPr>
          <w:color w:val="000000" w:themeColor="text1"/>
        </w:rPr>
        <w:t xml:space="preserve">cytokine </w:t>
      </w:r>
      <w:r w:rsidR="00812734" w:rsidRPr="00E436E8">
        <w:rPr>
          <w:color w:val="000000" w:themeColor="text1"/>
        </w:rPr>
        <w:t xml:space="preserve">signalling via the </w:t>
      </w:r>
      <w:r w:rsidR="00E436E8" w:rsidRPr="00E436E8">
        <w:rPr>
          <w:color w:val="000000" w:themeColor="text1"/>
          <w:shd w:val="clear" w:color="auto" w:fill="FFFFFF"/>
        </w:rPr>
        <w:t xml:space="preserve">signal transducer and activator of transcription (STAT) </w:t>
      </w:r>
      <w:r w:rsidR="00812734" w:rsidRPr="00E436E8">
        <w:rPr>
          <w:color w:val="000000" w:themeColor="text1"/>
        </w:rPr>
        <w:t xml:space="preserve">pathway </w:t>
      </w:r>
      <w:r w:rsidR="00052D61" w:rsidRPr="00E436E8">
        <w:rPr>
          <w:color w:val="000000" w:themeColor="text1"/>
        </w:rPr>
        <w:t>for more than 50 factors</w:t>
      </w:r>
      <w:r w:rsidR="007B1587" w:rsidRPr="00E436E8">
        <w:rPr>
          <w:color w:val="000000" w:themeColor="text1"/>
        </w:rPr>
        <w:t xml:space="preserve">, including </w:t>
      </w:r>
      <w:r w:rsidR="005E7EAB" w:rsidRPr="00E436E8">
        <w:rPr>
          <w:color w:val="000000" w:themeColor="text1"/>
        </w:rPr>
        <w:t xml:space="preserve">interleukins, interferons, </w:t>
      </w:r>
      <w:r w:rsidR="007B1587" w:rsidRPr="00E436E8">
        <w:rPr>
          <w:color w:val="000000" w:themeColor="text1"/>
        </w:rPr>
        <w:t>hormones, and colony-stimulating factors</w:t>
      </w:r>
      <w:r w:rsidR="00052D61" w:rsidRPr="00E436E8">
        <w:rPr>
          <w:color w:val="000000" w:themeColor="text1"/>
        </w:rPr>
        <w:t xml:space="preserve"> that</w:t>
      </w:r>
      <w:r w:rsidR="00812734" w:rsidRPr="00E436E8">
        <w:rPr>
          <w:color w:val="000000" w:themeColor="text1"/>
        </w:rPr>
        <w:t xml:space="preserve"> </w:t>
      </w:r>
      <w:r w:rsidR="008F2CEA" w:rsidRPr="00E436E8">
        <w:rPr>
          <w:color w:val="000000" w:themeColor="text1"/>
        </w:rPr>
        <w:t>regulate a</w:t>
      </w:r>
      <w:r w:rsidR="007E5233" w:rsidRPr="00E436E8">
        <w:rPr>
          <w:color w:val="000000" w:themeColor="text1"/>
        </w:rPr>
        <w:t xml:space="preserve"> wide</w:t>
      </w:r>
      <w:r w:rsidR="008F2CEA" w:rsidRPr="00E436E8">
        <w:rPr>
          <w:color w:val="000000" w:themeColor="text1"/>
        </w:rPr>
        <w:t xml:space="preserve"> range of cellular processes.</w:t>
      </w:r>
      <w:r w:rsidR="00B91815" w:rsidRPr="00E436E8">
        <w:rPr>
          <w:color w:val="000000" w:themeColor="text1"/>
        </w:rPr>
        <w:fldChar w:fldCharType="begin"/>
      </w:r>
      <w:r w:rsidR="00B91815" w:rsidRPr="00E436E8">
        <w:rPr>
          <w:color w:val="000000" w:themeColor="text1"/>
        </w:rPr>
        <w:instrText xml:space="preserve"> ADDIN ZOTERO_ITEM CSL_CITATION {"citationID":"yA3hmnsu","properties":{"formattedCitation":"\\super 2,3\\nosupersub{}","plainCitation":"2,3","noteIndex":0},"citationItems":[{"id":4930,"uris":["http://zotero.org/users/5409423/items/AIW3SBLH"],"itemData":{"id":4930,"type":"article-journal","abstract":"Cytokines can trigger multiple signalling pathways, including Janus tyrosine kinases [JAK] and signal transducers and activators of transcription [STATS] pathways. JAKs are cytoplasmic proteins that, following the binding of cytokines to their receptors, transduce the signal by phosphorylating STAT proteins which enter the nuclei and rapidly target gene promoters to regulate gene transcription. Due to the critical involvement of JAK proteins in mediating innate and adaptive immune responses, these family of kinases have become desirable pharmacological targets in inflammatory diseases, including ulcerative colitis and Crohn’s disease. In this review we provide an overview of the main cytokines that signal through the JAK/STAT pathway and the available in vivo evidence on mutant or deleted JAK proteins, and discuss the implications of pharmacologically targeting this kinase family in the context of inflammatory diseases.","container-title":"Journal of Crohn's and Colitis","DOI":"10.1093/ecco-jcc/jjz206","ISSN":"1873-9946","issue":"Supplement_2","journalAbbreviation":"Journal of Crohn's and Colitis","page":"S713-S724","source":"Silverchair","title":"Molecular Structure and Function of Janus Kinases: Implications for the Development of Inhibitors","title-short":"Molecular Structure and Function of Janus Kinases","volume":"14","author":[{"family":"Garrido-Trigo","given":"Alba"},{"family":"Salas","given":"Azucena"}],"issued":{"date-parts":[["2020",8,1]]}},"label":"page"},{"id":4933,"uris":["http://zotero.org/users/5409423/items/KEM43ZY4"],"itemData":{"id":4933,"type":"article-journal","abstract":"The Janus kinase/signal transducer and activator of transcription (JAK/STAT) signaling pathway was discovered more than a quarter-century ago. As a fulcrum of many vital cellular processes, the JAK/STAT pathway constitutes a rapid membrane-to-nucleus signaling module and induces the expression of various critical mediators of cancer and inflammation. Growing evidence suggests that dysregulation of the JAK/STAT pathway is associated with various cancers and autoimmune diseases. In this review, we discuss the current knowledge about the composition, activation, and regulation of the JAK/STAT pathway. Moreover, we highlight the role of the JAK/STAT pathway and its inhibitors in various diseases.","container-title":"Signal Transduction and Targeted Therapy","DOI":"10.1038/s41392-021-00791-1","ISSN":"2059-3635","issue":"1","journalAbbreviation":"Sig Transduct Target Ther","language":"en","license":"2021 The Author(s)","note":"number: 1\npublisher: Nature Publishing Group","page":"1-33","source":"www.nature.com","title":"The JAK/STAT signaling pathway: from bench to clinic","title-short":"The JAK/STAT signaling pathway","volume":"6","author":[{"family":"Hu","given":"Xiaoyi"},{"family":"Li","given":"Jing"},{"family":"Fu","given":"Maorong"},{"family":"Zhao","given":"Xia"},{"family":"Wang","given":"Wei"}],"issued":{"date-parts":[["2021",11,26]]}},"label":"page"}],"schema":"https://github.com/citation-style-language/schema/raw/master/csl-citation.json"} </w:instrText>
      </w:r>
      <w:r w:rsidR="00B91815" w:rsidRPr="00E436E8">
        <w:rPr>
          <w:color w:val="000000" w:themeColor="text1"/>
        </w:rPr>
        <w:fldChar w:fldCharType="separate"/>
      </w:r>
      <w:r w:rsidR="00B91815" w:rsidRPr="00E436E8">
        <w:rPr>
          <w:rFonts w:ascii="Calibri Light" w:cs="Calibri Light"/>
          <w:color w:val="000000" w:themeColor="text1"/>
          <w:vertAlign w:val="superscript"/>
        </w:rPr>
        <w:t>2,3</w:t>
      </w:r>
      <w:r w:rsidR="00B91815" w:rsidRPr="00E436E8">
        <w:rPr>
          <w:color w:val="000000" w:themeColor="text1"/>
        </w:rPr>
        <w:fldChar w:fldCharType="end"/>
      </w:r>
      <w:r w:rsidR="006A756E" w:rsidRPr="00E436E8">
        <w:rPr>
          <w:color w:val="000000" w:themeColor="text1"/>
        </w:rPr>
        <w:t xml:space="preserve"> </w:t>
      </w:r>
      <w:r w:rsidR="002412BB">
        <w:rPr>
          <w:color w:val="000000" w:themeColor="text1"/>
        </w:rPr>
        <w:t>I</w:t>
      </w:r>
      <w:r w:rsidR="00593C3C" w:rsidRPr="00E436E8">
        <w:rPr>
          <w:color w:val="000000" w:themeColor="text1"/>
        </w:rPr>
        <w:t xml:space="preserve">nhibiting JAK </w:t>
      </w:r>
      <w:r w:rsidR="00EB30C3" w:rsidRPr="00E436E8">
        <w:rPr>
          <w:color w:val="000000" w:themeColor="text1"/>
        </w:rPr>
        <w:t xml:space="preserve">phosphorylation </w:t>
      </w:r>
      <w:r w:rsidR="00EB30C3">
        <w:t>and activation</w:t>
      </w:r>
      <w:r w:rsidR="00706C90">
        <w:t xml:space="preserve"> </w:t>
      </w:r>
      <w:r w:rsidR="004F2369">
        <w:t>lead</w:t>
      </w:r>
      <w:r w:rsidR="006D5A19">
        <w:t>s</w:t>
      </w:r>
      <w:r w:rsidR="004F2369">
        <w:t xml:space="preserve"> to a b</w:t>
      </w:r>
      <w:r w:rsidR="00077794" w:rsidRPr="00E93657">
        <w:t>road disturbance of cytokine signalling</w:t>
      </w:r>
      <w:r w:rsidR="00E737F0">
        <w:t xml:space="preserve">, including </w:t>
      </w:r>
      <w:r w:rsidR="00452050">
        <w:t>pathways</w:t>
      </w:r>
      <w:r w:rsidR="00E737F0">
        <w:t xml:space="preserve"> </w:t>
      </w:r>
      <w:r w:rsidR="00FF4489">
        <w:t xml:space="preserve">pivotal to intestinal homeostasis and inflammation </w:t>
      </w:r>
      <w:r w:rsidR="0002082A">
        <w:t>(figure 1)</w:t>
      </w:r>
      <w:r w:rsidR="00B05B13">
        <w:t>.</w:t>
      </w:r>
      <w:r w:rsidR="001C6B14">
        <w:t xml:space="preserve"> </w:t>
      </w:r>
      <w:r w:rsidR="00E2060B">
        <w:t xml:space="preserve">By corollary, this has safety </w:t>
      </w:r>
      <w:r w:rsidR="00AC6104">
        <w:t>implications</w:t>
      </w:r>
      <w:r w:rsidR="00E2060B">
        <w:t xml:space="preserve"> and </w:t>
      </w:r>
      <w:r w:rsidR="00AC6104">
        <w:t>adverse events seen with</w:t>
      </w:r>
      <w:r w:rsidR="00731C12">
        <w:t xml:space="preserve"> tofacitinib and baricitinib for the treatment of rheumatoid arthritis have led to regulatory restrictions for all JAKI across the spectrum of immune-mediated inflammatory diseases.</w:t>
      </w:r>
      <w:r w:rsidR="00F26098">
        <w:fldChar w:fldCharType="begin"/>
      </w:r>
      <w:r w:rsidR="00F26098">
        <w:instrText xml:space="preserve"> ADDIN ZOTERO_ITEM CSL_CITATION {"citationID":"YGu5jS5d","properties":{"unsorted":true,"formattedCitation":"\\super 4,5\\nosupersub{}","plainCitation":"4,5","noteIndex":0},"citationItems":[{"id":4165,"uris":["http://zotero.org/users/5409423/items/UQ6UQLDT"],"itemData":{"id":4165,"type":"webpage","abstract":"Janus kinase inhibitors (JAKi)","container-title":"European Medicines Agency","genre":"Text","language":"en","title":"Janus kinase inhibitors (JAKi)","URL":"https://www.ema.europa.eu/en/medicines/human/referrals/janus-kinase-inhibitors-jaki","author":[{"family":"EMA","given":""}],"accessed":{"date-parts":[["2023",2,6]]},"issued":{"date-parts":[["2022",2,11]]}},"label":"page"},{"id":5020,"uris":["http://zotero.org/users/5409423/items/PPJXG9W9"],"itemData":{"id":5020,"type":"article-journal","abstract":"We inform healthcare professionals of new risk minimisation measures for JAK inhibitors used to treat chronic inflammatory disorders, consistent with the measures introduced for tofacitinib (Xeljanz) in 2020 and 2021. This advice affects abrocitinib (Cibinqo</w:instrText>
      </w:r>
      <w:r w:rsidR="00F26098">
        <w:rPr>
          <w:rFonts w:ascii="Arial" w:hAnsi="Arial" w:cs="Arial"/>
        </w:rPr>
        <w:instrText>▼</w:instrText>
      </w:r>
      <w:r w:rsidR="00F26098">
        <w:instrText>), baricitinib (Olumiant), upadacitinib (Rinvoq</w:instrText>
      </w:r>
      <w:r w:rsidR="00F26098">
        <w:rPr>
          <w:rFonts w:ascii="Arial" w:hAnsi="Arial" w:cs="Arial"/>
        </w:rPr>
        <w:instrText>▼</w:instrText>
      </w:r>
      <w:r w:rsidR="00F26098">
        <w:instrText>), and filgotinib (Jyseleca</w:instrText>
      </w:r>
      <w:r w:rsidR="00F26098">
        <w:rPr>
          <w:rFonts w:ascii="Arial" w:hAnsi="Arial" w:cs="Arial"/>
        </w:rPr>
        <w:instrText>▼</w:instrText>
      </w:r>
      <w:r w:rsidR="00F26098">
        <w:instrText xml:space="preserve">) when used for chronic inflammatory disorders.","container-title":"GOV.UK","issue":"9","journalAbbreviation":"Drug Safety Update","language":"en","page":"2","title":"Janus kinase (JAK) inhibitors: new measures to reduce risks of major cardiovascular events, malignancy, venous thromboembolism, serious infections and increased mortality","title-short":"Janus kinase (JAK) inhibitors","volume":"16","issued":{"date-parts":[["2023"]]}}}],"schema":"https://github.com/citation-style-language/schema/raw/master/csl-citation.json"} </w:instrText>
      </w:r>
      <w:r w:rsidR="00F26098">
        <w:fldChar w:fldCharType="separate"/>
      </w:r>
      <w:r w:rsidR="00F26098" w:rsidRPr="00F26098">
        <w:rPr>
          <w:rFonts w:ascii="Calibri Light" w:cs="Calibri Light"/>
          <w:vertAlign w:val="superscript"/>
        </w:rPr>
        <w:t>4,5</w:t>
      </w:r>
      <w:r w:rsidR="00F26098">
        <w:fldChar w:fldCharType="end"/>
      </w:r>
    </w:p>
    <w:p w14:paraId="4E452EC6" w14:textId="77777777" w:rsidR="00731C12" w:rsidRDefault="00731C12" w:rsidP="00A957C4"/>
    <w:p w14:paraId="5CAB0A47" w14:textId="1CE312ED" w:rsidR="0047607E" w:rsidRDefault="00846368" w:rsidP="00A957C4">
      <w:r w:rsidRPr="00E93657">
        <w:lastRenderedPageBreak/>
        <w:t xml:space="preserve">JAKI provide another </w:t>
      </w:r>
      <w:r w:rsidR="007E000E">
        <w:t xml:space="preserve">treatment </w:t>
      </w:r>
      <w:r w:rsidRPr="00E93657">
        <w:t xml:space="preserve">option for patients with </w:t>
      </w:r>
      <w:r w:rsidR="001F0801">
        <w:t>moderate to severe IBD</w:t>
      </w:r>
      <w:r w:rsidR="00A4225E">
        <w:t>, particularly when failure and intolerance of existing therapies remains unacceptably high.</w:t>
      </w:r>
      <w:r w:rsidR="0037536B">
        <w:t xml:space="preserve"> JAKI are targeted, low molecular weight, synthetic drugs</w:t>
      </w:r>
      <w:r w:rsidRPr="00E93657">
        <w:t xml:space="preserve"> </w:t>
      </w:r>
      <w:r w:rsidR="002C73F4">
        <w:t>that</w:t>
      </w:r>
      <w:r w:rsidRPr="00E93657">
        <w:t xml:space="preserve"> </w:t>
      </w:r>
      <w:r w:rsidR="001C3396">
        <w:t>hold</w:t>
      </w:r>
      <w:r w:rsidRPr="00E93657">
        <w:t xml:space="preserve"> a number of advantages over </w:t>
      </w:r>
      <w:proofErr w:type="spellStart"/>
      <w:r w:rsidR="00276FEB">
        <w:t>mAbs</w:t>
      </w:r>
      <w:proofErr w:type="spellEnd"/>
      <w:r w:rsidR="00FB5AFD">
        <w:t xml:space="preserve"> </w:t>
      </w:r>
      <w:r w:rsidR="000B0186">
        <w:t>including, oral administration, quick absorption</w:t>
      </w:r>
      <w:r w:rsidR="00A81A29">
        <w:t xml:space="preserve"> and a</w:t>
      </w:r>
      <w:r w:rsidR="000B0186">
        <w:t xml:space="preserve"> rapid onset of action, short half-life, and a lack of immunogenicity.</w:t>
      </w:r>
      <w:r w:rsidR="00934580">
        <w:t xml:space="preserve"> </w:t>
      </w:r>
      <w:r w:rsidR="00AC0459">
        <w:t xml:space="preserve">This review provides </w:t>
      </w:r>
      <w:r w:rsidR="00F86FC5">
        <w:t>a contemporary</w:t>
      </w:r>
      <w:r w:rsidR="0007294E">
        <w:t xml:space="preserve"> summary </w:t>
      </w:r>
      <w:r w:rsidR="00AC0459">
        <w:t xml:space="preserve">of the </w:t>
      </w:r>
      <w:r w:rsidR="001E1B82">
        <w:t xml:space="preserve">efficacy </w:t>
      </w:r>
      <w:r w:rsidR="0007294E">
        <w:t xml:space="preserve">and safety </w:t>
      </w:r>
      <w:r w:rsidR="0085635A">
        <w:t xml:space="preserve">data </w:t>
      </w:r>
      <w:r w:rsidR="001E1B82">
        <w:t xml:space="preserve">for the </w:t>
      </w:r>
      <w:r w:rsidR="00AC0459">
        <w:t xml:space="preserve">currently available </w:t>
      </w:r>
      <w:r w:rsidR="00DF5C9E">
        <w:t xml:space="preserve">JAKI </w:t>
      </w:r>
      <w:r w:rsidR="00CE5063">
        <w:t xml:space="preserve">to </w:t>
      </w:r>
      <w:r w:rsidR="00AE10BC">
        <w:t>allow</w:t>
      </w:r>
      <w:r w:rsidR="00CE5063">
        <w:t xml:space="preserve"> </w:t>
      </w:r>
      <w:r w:rsidR="006226BF">
        <w:t xml:space="preserve">readers </w:t>
      </w:r>
      <w:r w:rsidR="007F0316">
        <w:t>to take a balanced approach when considering this line of therapy for treating IBD patients.</w:t>
      </w:r>
    </w:p>
    <w:p w14:paraId="1BABA22E" w14:textId="77777777" w:rsidR="006C61D7" w:rsidRPr="00E93657" w:rsidRDefault="006C61D7" w:rsidP="00A957C4"/>
    <w:p w14:paraId="68CAD31D" w14:textId="6760EE28" w:rsidR="00C25C16" w:rsidRPr="00E93657" w:rsidRDefault="00BC04D3" w:rsidP="000F295B">
      <w:pPr>
        <w:pStyle w:val="Heading1"/>
      </w:pPr>
      <w:r w:rsidRPr="00E93657">
        <w:t>Tofacitinib</w:t>
      </w:r>
      <w:r w:rsidR="00833643">
        <w:t xml:space="preserve">: </w:t>
      </w:r>
      <w:r w:rsidR="001429CC">
        <w:t>the first generation,</w:t>
      </w:r>
      <w:r w:rsidR="00163B89">
        <w:t xml:space="preserve"> </w:t>
      </w:r>
      <w:r w:rsidR="009052E0">
        <w:t>non-selective</w:t>
      </w:r>
      <w:r w:rsidR="00833643">
        <w:t xml:space="preserve"> JAK</w:t>
      </w:r>
      <w:r w:rsidR="004B5C6D">
        <w:t>I</w:t>
      </w:r>
      <w:r w:rsidR="00833643">
        <w:t xml:space="preserve"> licensed for UC</w:t>
      </w:r>
    </w:p>
    <w:p w14:paraId="681D1F32" w14:textId="24E49154" w:rsidR="00C67DD3" w:rsidRDefault="002E4F3D" w:rsidP="00BC04D3">
      <w:r w:rsidRPr="001A3EF4">
        <w:t>Tofacitinib</w:t>
      </w:r>
      <w:r w:rsidR="0088578D">
        <w:t xml:space="preserve"> (Xeljanz, Pfizer Inc</w:t>
      </w:r>
      <w:r w:rsidR="00F276B0">
        <w:t>.</w:t>
      </w:r>
      <w:r w:rsidR="0088578D">
        <w:t>)</w:t>
      </w:r>
      <w:r w:rsidR="001A3EF4">
        <w:t>,</w:t>
      </w:r>
      <w:r w:rsidRPr="001A3EF4">
        <w:t xml:space="preserve"> </w:t>
      </w:r>
      <w:r w:rsidR="00B620B3" w:rsidRPr="001A3EF4">
        <w:t xml:space="preserve">is </w:t>
      </w:r>
      <w:r w:rsidRPr="001A3EF4">
        <w:t>the f</w:t>
      </w:r>
      <w:r w:rsidR="008D12FC" w:rsidRPr="001A3EF4">
        <w:t>irst</w:t>
      </w:r>
      <w:r w:rsidR="001A3EF4">
        <w:t>-</w:t>
      </w:r>
      <w:r w:rsidR="008D12FC" w:rsidRPr="001A3EF4">
        <w:t>in</w:t>
      </w:r>
      <w:r w:rsidR="001A3EF4">
        <w:t>-</w:t>
      </w:r>
      <w:r w:rsidR="008D12FC" w:rsidRPr="001A3EF4">
        <w:t>class</w:t>
      </w:r>
      <w:r w:rsidR="005D6B12">
        <w:t xml:space="preserve"> </w:t>
      </w:r>
      <w:r w:rsidR="00B835CE" w:rsidRPr="001A3EF4">
        <w:t>JAKI licensed</w:t>
      </w:r>
      <w:r w:rsidR="00B835CE">
        <w:t xml:space="preserve"> for the treatment of moderate to severe </w:t>
      </w:r>
      <w:r w:rsidR="00C34EAC">
        <w:t>UC</w:t>
      </w:r>
      <w:r w:rsidR="00EA410B">
        <w:t xml:space="preserve">. </w:t>
      </w:r>
      <w:r w:rsidR="005D6B12">
        <w:t xml:space="preserve">Originally </w:t>
      </w:r>
      <w:r w:rsidR="00C356C7">
        <w:t>developed as a JAK3 inhibitor</w:t>
      </w:r>
      <w:r w:rsidR="009B043C">
        <w:t xml:space="preserve"> </w:t>
      </w:r>
      <w:r w:rsidR="00D61A9C">
        <w:t xml:space="preserve">to prevent solid </w:t>
      </w:r>
      <w:r w:rsidR="009B043C">
        <w:t>organ transplant rejection</w:t>
      </w:r>
      <w:r w:rsidR="00634924">
        <w:t xml:space="preserve">, </w:t>
      </w:r>
      <w:r w:rsidR="00F124D8">
        <w:t xml:space="preserve">it </w:t>
      </w:r>
      <w:r w:rsidR="00FE34DF">
        <w:t>is now known</w:t>
      </w:r>
      <w:r w:rsidR="00CD102D">
        <w:t xml:space="preserve"> to be a pan-JAK</w:t>
      </w:r>
      <w:r w:rsidR="00B7427F">
        <w:t xml:space="preserve"> inhibitor </w:t>
      </w:r>
      <w:r w:rsidR="00904E98">
        <w:t>with preferential selectively for JAK1</w:t>
      </w:r>
      <w:r w:rsidR="009F0EA9">
        <w:t xml:space="preserve"> and </w:t>
      </w:r>
      <w:r w:rsidR="00904E98">
        <w:t>JAK3</w:t>
      </w:r>
      <w:r w:rsidR="00D61A9C">
        <w:t>.</w:t>
      </w:r>
      <w:r w:rsidR="008C4E03">
        <w:fldChar w:fldCharType="begin"/>
      </w:r>
      <w:r w:rsidR="00F26098">
        <w:instrText xml:space="preserve"> ADDIN ZOTERO_ITEM CSL_CITATION {"citationID":"SxxBFAYS","properties":{"formattedCitation":"\\super 6\\nosupersub{}","plainCitation":"6","noteIndex":0},"citationItems":[{"id":4937,"uris":["http://zotero.org/users/5409423/items/JFZRPX4N"],"itemData":{"id":4937,"type":"article-journal","abstract":"There is a critical need for safer and more convenient treatments for organ transplant rejection and autoimmune disorders such as rheumatoid arthritis. Janus tyrosine kinases (JAK1, JAK3) are expressed in lymphoid cells and are involved in the signaling of multiple cytokines important for various T cell functions. Blockade of the JAK1/JAK3-STAT pathway with a small molecule was anticipated to provide therapeutic immunosuppression/immunomodulation. The Pfizer compound library was screened against the catalytic domain of JAK3 resulting in the identification of a pyrrolopyrimidine-based series of inhibitors represented by CP-352,664 (2a). Synthetic analogues of 2a were screened against the JAK enzymes and evaluated in an IL-2 induced T cell blast proliferation assay. Select compounds were evaluated in rodent efficacy models of allograft rejection and destructive inflammatory arthritis. Optimization within this chemical series led to identification of CP-690,550 1, a potential first-in-class JAK inhibitor for treatment of autoimmune diseases and organ transplant rejection.","container-title":"Journal of Medicinal Chemistry","DOI":"10.1021/jm1004286","ISSN":"1520-4804","issue":"24","journalAbbreviation":"J Med Chem","language":"eng","note":"PMID: 21105711","page":"8468-8484","source":"PubMed","title":"Discovery of CP-690,550: a potent and selective Janus kinase (JAK) inhibitor for the treatment of autoimmune diseases and organ transplant rejection","title-short":"Discovery of CP-690,550","volume":"53","author":[{"family":"Flanagan","given":"Mark E."},{"family":"Blumenkopf","given":"Todd A."},{"family":"Brissette","given":"William H."},{"family":"Brown","given":"Matthew F."},{"family":"Casavant","given":"Jeffrey M."},{"family":"Shang-Poa","given":"Chang"},{"family":"Doty","given":"Jonathan L."},{"family":"Elliott","given":"Eileen A."},{"family":"Fisher","given":"Michael B."},{"family":"Hines","given":"Michael"},{"family":"Kent","given":"Craig"},{"family":"Kudlacz","given":"Elizabeth M."},{"family":"Lillie","given":"Brett M."},{"family":"Magnuson","given":"Kelly S."},{"family":"McCurdy","given":"Sandra P."},{"family":"Munchhof","given":"Michael J."},{"family":"Perry","given":"Bret D."},{"family":"Sawyer","given":"Perry S."},{"family":"Strelevitz","given":"Timothy J."},{"family":"Subramanyam","given":"Chakrapani"},{"family":"Sun","given":"Jianmin"},{"family":"Whipple","given":"David A."},{"family":"Changelian","given":"Paul S."}],"issued":{"date-parts":[["2010",12,23]]}}}],"schema":"https://github.com/citation-style-language/schema/raw/master/csl-citation.json"} </w:instrText>
      </w:r>
      <w:r w:rsidR="008C4E03">
        <w:fldChar w:fldCharType="separate"/>
      </w:r>
      <w:r w:rsidR="00F26098" w:rsidRPr="00F26098">
        <w:rPr>
          <w:rFonts w:ascii="Calibri Light" w:cs="Calibri Light"/>
          <w:vertAlign w:val="superscript"/>
        </w:rPr>
        <w:t>6</w:t>
      </w:r>
      <w:r w:rsidR="008C4E03">
        <w:fldChar w:fldCharType="end"/>
      </w:r>
      <w:r w:rsidR="00904E98">
        <w:t xml:space="preserve"> </w:t>
      </w:r>
      <w:r w:rsidR="00D5558C">
        <w:t>Tofacitinib</w:t>
      </w:r>
      <w:r w:rsidR="00EB75C0">
        <w:t xml:space="preserve"> </w:t>
      </w:r>
      <w:r w:rsidR="008D12FC" w:rsidRPr="00E93657">
        <w:t xml:space="preserve">gained </w:t>
      </w:r>
      <w:r w:rsidR="00552644">
        <w:t xml:space="preserve">regulatory </w:t>
      </w:r>
      <w:r w:rsidR="008D12FC" w:rsidRPr="00E93657">
        <w:t xml:space="preserve">approval </w:t>
      </w:r>
      <w:r w:rsidR="00495ED6">
        <w:t xml:space="preserve">for UC </w:t>
      </w:r>
      <w:r w:rsidR="008D12FC" w:rsidRPr="00E93657">
        <w:t>in 2018</w:t>
      </w:r>
      <w:r w:rsidR="009A7024">
        <w:t xml:space="preserve"> </w:t>
      </w:r>
      <w:r w:rsidR="00DF2084">
        <w:t xml:space="preserve">and is indicated for a total of five diseases including, </w:t>
      </w:r>
      <w:r w:rsidR="00D61A9C">
        <w:t xml:space="preserve">rheumatoid arthritis (RA), </w:t>
      </w:r>
      <w:r w:rsidR="00130851">
        <w:t>psoriatic arthritis</w:t>
      </w:r>
      <w:r w:rsidR="00CD021B">
        <w:t xml:space="preserve"> (PsA)</w:t>
      </w:r>
      <w:r w:rsidR="00130851">
        <w:t>, juvenile idiopathic arthr</w:t>
      </w:r>
      <w:r w:rsidR="00CD021B">
        <w:t>itis, and ankylosing spondylitis</w:t>
      </w:r>
      <w:r w:rsidR="009A7024">
        <w:t>.</w:t>
      </w:r>
      <w:r w:rsidR="00F817D6">
        <w:fldChar w:fldCharType="begin"/>
      </w:r>
      <w:r w:rsidR="00F26098">
        <w:instrText xml:space="preserve"> ADDIN ZOTERO_ITEM CSL_CITATION {"citationID":"Kf3rWgg5","properties":{"formattedCitation":"\\super 7\\nosupersub{}","plainCitation":"7","noteIndex":0},"citationItems":[{"id":4940,"uris":["http://zotero.org/users/5409423/items/HGXICAF8"],"itemData":{"id":4940,"type":"webpage","title":"XELJANZ 5 mg film-coated tablets - Summary of Product Characteristics (SmPC) - (emc)","URL":"https://www.medicines.org.uk/emc/product/2500/smpc","accessed":{"date-parts":[["2023",7,9]]}},"label":"page"}],"schema":"https://github.com/citation-style-language/schema/raw/master/csl-citation.json"} </w:instrText>
      </w:r>
      <w:r w:rsidR="00F817D6">
        <w:fldChar w:fldCharType="separate"/>
      </w:r>
      <w:r w:rsidR="00F26098" w:rsidRPr="00F26098">
        <w:rPr>
          <w:rFonts w:ascii="Calibri Light" w:cs="Calibri Light"/>
          <w:vertAlign w:val="superscript"/>
        </w:rPr>
        <w:t>7</w:t>
      </w:r>
      <w:r w:rsidR="00F817D6">
        <w:fldChar w:fldCharType="end"/>
      </w:r>
      <w:r w:rsidR="00620039">
        <w:t xml:space="preserve"> </w:t>
      </w:r>
      <w:r w:rsidR="00B8348E">
        <w:t>Tofacitinib is not approved for CD</w:t>
      </w:r>
      <w:r w:rsidR="003B5D15">
        <w:t xml:space="preserve"> </w:t>
      </w:r>
      <w:r w:rsidR="00B8348E">
        <w:t>after failing to meet the primary endpoint in the phase 2 trial.</w:t>
      </w:r>
      <w:r w:rsidR="00B8348E">
        <w:fldChar w:fldCharType="begin"/>
      </w:r>
      <w:r w:rsidR="00F26098">
        <w:instrText xml:space="preserve"> ADDIN ZOTERO_ITEM CSL_CITATION {"citationID":"Q51fsPsK","properties":{"formattedCitation":"\\super 8\\nosupersub{}","plainCitation":"8","noteIndex":0},"citationItems":[{"id":4935,"uris":["http://zotero.org/users/5409423/items/WGUPCHX9"],"itemData":{"id":4935,"type":"article-journal","abstract":"BACKGROUND &amp; AIMS: Tofacitinib, an orally administered Janus kinase inhibitor, blocks signaling through γ-chain-containing cytokines (interleukins 2, 4, 7, 9, 15, and 21). We performed a phase 2 trial to measure its efficacy in patients with moderate-to-severe active Crohn's disease.\nMETHODS: Patients (N = 139; age, ≥18 y) with moderate-to-severe active Crohn's disease were assigned randomly to groups given 1 mg (n = 36), 5 mg (n = 34), or 15 mg (n = 35) tofacitinib or placebo (n = 34), twice daily for 4 weeks, at 48 centers in 12 countries. The primary end point was the proportion of clinical responders at week 4 (decrease from baseline in the Crohn's Disease Activity Index score of ≥70 points [Response-70]). Secondary end points included clinical remission (Crohn's Disease Activity Index score of &lt;150 points) at week 4.\nRESULTS: A clinical response was observed in 36% (P = .467), 58% (P = .466), and 46% (P ≥ .999) of patients given the 1-, 5-, and 15-mg doses of tofacitinib, compared with 47% of patients given placebo. Clinical remission was observed in 31% (P = .417), 24% (P = .776), and 14% (P = .540) of patients given the 1-, 5-, and 15-mg doses of tofacitinib, compared with 21% of patients given placebo. The 15-mg dose of tofacitinib reduced levels of C-reactive protein and fecal calprotectin from baseline. Adverse and serious adverse events were similar among groups. Dose-dependent increases in low- and high-density lipoprotein cholesterol were observed in patients given the 5- or 15-mg doses of tofacitinib.\nCONCLUSIONS: There were no significant differences in the percentage of patients with moderate-to-severe active Crohn's disease who achieved clinical responses (Response-70) or clinical remission after 4 weeks' administration of tofacitinib (1, 5, or 15 mg) or placebo twice daily. However, a large percentage of patients given placebo achieved Response-70 or remission. Reductions in C-reactive protein and fecal calprotectin levels among patients given the 15-mg dose of tofacitinib indicate its biologic activity. ClinicalTrials.gov number: NCT00615199.","container-title":"Clinical Gastroenterology and Hepatology: The Official Clinical Practice Journal of the American Gastroenterological Association","DOI":"10.1016/j.cgh.2014.01.029","ISSN":"1542-7714","issue":"9","journalAbbreviation":"Clin Gastroenterol Hepatol","language":"eng","note":"PMID: 24480677","page":"1485-1493.e2","source":"PubMed","title":"A phase 2 study of tofacitinib, an oral Janus kinase inhibitor, in patients with Crohn's disease","volume":"12","author":[{"family":"Sandborn","given":"William J."},{"family":"Ghosh","given":"Subrata"},{"family":"Panes","given":"Julian"},{"family":"Vranic","given":"Ivana"},{"family":"Wang","given":"Wenjin"},{"family":"Niezychowski","given":"Wojciech"},{"literal":"Study A3921043 Investigators"}],"issued":{"date-parts":[["2014",9]]}}}],"schema":"https://github.com/citation-style-language/schema/raw/master/csl-citation.json"} </w:instrText>
      </w:r>
      <w:r w:rsidR="00B8348E">
        <w:fldChar w:fldCharType="separate"/>
      </w:r>
      <w:r w:rsidR="00F26098" w:rsidRPr="00F26098">
        <w:rPr>
          <w:rFonts w:ascii="Calibri Light" w:cs="Calibri Light"/>
          <w:vertAlign w:val="superscript"/>
        </w:rPr>
        <w:t>8</w:t>
      </w:r>
      <w:r w:rsidR="00B8348E">
        <w:fldChar w:fldCharType="end"/>
      </w:r>
      <w:r w:rsidR="00B8348E">
        <w:t xml:space="preserve"> </w:t>
      </w:r>
      <w:r w:rsidR="00115CFA">
        <w:t xml:space="preserve">The </w:t>
      </w:r>
      <w:r w:rsidR="00130851">
        <w:t>OCTAVE</w:t>
      </w:r>
      <w:r w:rsidR="00115CFA">
        <w:t xml:space="preserve"> </w:t>
      </w:r>
      <w:r w:rsidR="00B8348E">
        <w:t xml:space="preserve">UC </w:t>
      </w:r>
      <w:r w:rsidR="00474ABC">
        <w:t xml:space="preserve">phase III </w:t>
      </w:r>
      <w:r w:rsidR="00115CFA">
        <w:t xml:space="preserve">programme consisted of </w:t>
      </w:r>
      <w:r w:rsidR="000675AA">
        <w:t xml:space="preserve">two </w:t>
      </w:r>
      <w:r w:rsidR="00C42AE8">
        <w:t xml:space="preserve">identically designed </w:t>
      </w:r>
      <w:r w:rsidR="00B62AC7">
        <w:t xml:space="preserve">eight-week </w:t>
      </w:r>
      <w:r w:rsidR="003D1EA9">
        <w:t>induction studies</w:t>
      </w:r>
      <w:r w:rsidR="00115CFA">
        <w:t xml:space="preserve"> (OCTAVE 1 and OCTAVE 2) and one maintenance </w:t>
      </w:r>
      <w:r w:rsidR="00EF6D2E">
        <w:t>52</w:t>
      </w:r>
      <w:r w:rsidR="003B5D15">
        <w:t>-</w:t>
      </w:r>
      <w:r w:rsidR="00EF6D2E">
        <w:t xml:space="preserve">week </w:t>
      </w:r>
      <w:r w:rsidR="003A3656">
        <w:t>study</w:t>
      </w:r>
      <w:r w:rsidR="00115CFA">
        <w:t xml:space="preserve"> (OCTAVE SUSTAIN)</w:t>
      </w:r>
      <w:r w:rsidR="00177E6B">
        <w:t>, which</w:t>
      </w:r>
      <w:r w:rsidR="001A3EF4">
        <w:t xml:space="preserve"> </w:t>
      </w:r>
      <w:r w:rsidR="000727DB">
        <w:t>demonstrated superiority over placebo</w:t>
      </w:r>
      <w:r w:rsidR="0068144B">
        <w:t xml:space="preserve"> for clinical remission</w:t>
      </w:r>
      <w:r w:rsidR="004A5590">
        <w:t xml:space="preserve"> and </w:t>
      </w:r>
      <w:r w:rsidR="00CD5A5E">
        <w:t>several</w:t>
      </w:r>
      <w:r w:rsidR="004A5590">
        <w:t xml:space="preserve"> secondary endpoints</w:t>
      </w:r>
      <w:r w:rsidR="000727DB">
        <w:t>.</w:t>
      </w:r>
      <w:r w:rsidR="004F50FD">
        <w:fldChar w:fldCharType="begin"/>
      </w:r>
      <w:r w:rsidR="00F26098">
        <w:instrText xml:space="preserve"> ADDIN ZOTERO_ITEM CSL_CITATION {"citationID":"KXokKekJ","properties":{"formattedCitation":"\\super 9\\nosupersub{}","plainCitation":"9","noteIndex":0},"citationItems":[{"id":4919,"uris":["http://zotero.org/users/5409423/items/VMCQF9UD"],"itemData":{"id":4919,"type":"article-journal","abstract":"BACKGROUND: Tofacitinib, an oral, small-molecule Janus kinase inhibitor, was shown to have potential efficacy as induction therapy for ulcerative colitis in a phase 2 trial. We further evaluated the efficacy of tofacitinib as induction and maintenance therapy.\nMETHODS: We conducted three phase 3, randomized, double-blind, placebo-controlled trials of tofacitinib therapy in adults with ulcerative colitis. In the OCTAVE Induction 1 and 2 trials, 598 and 541 patients, respectively, who had moderately to severely active ulcerative colitis despite previous conventional therapy or therapy with a tumor necrosis factor antagonist were randomly assigned to receive induction therapy with tofacitinib (10 mg twice daily) or placebo for 8 weeks. The primary end point was remission at 8 weeks. In the OCTAVE Sustain trial, 593 patients who had a clinical response to induction therapy were randomly assigned to receive maintenance therapy with tofacitinib (either 5 mg or 10 mg twice daily) or placebo for 52 weeks. The primary end point was remission at 52 weeks.\nRESULTS: In the OCTAVE Induction 1 trial, remission at 8 weeks occurred in 18.5% of the patients in the tofacitinib group versus 8.2% in the placebo group (P=0.007); in the OCTAVE Induction 2 trial, remission occurred in 16.6% versus 3.6% (P&lt;0.001). In the OCTAVE Sustain trial, remission at 52 weeks occurred in 34.3% of the patients in the 5-mg tofacitinib group and 40.6% in the 10-mg tofacitinib group versus 11.1% in the placebo group (P&lt;0.001 for both comparisons with placebo). In the OCTAVE Induction 1 and 2 trials, the rates of overall infection and serious infection were higher with tofacitinib than with placebo. In the OCTAVE Sustain trial, the rate of serious infection was similar across the three treatment groups, and the rates of overall infection and herpes zoster infection were higher with tofacitinib than with placebo. Across all three trials, adjudicated nonmelanoma skin cancer occurred in five patients who received tofacitinib and in one who received placebo, and adjudicated cardiovascular events occurred in five who received tofacitinib and in none who received placebo; as compared with placebo, tofacitinib was associated with increased lipid levels.\nCONCLUSIONS: In patients with moderately to severely active ulcerative colitis, tofacitinib was more effective as induction and maintenance therapy than placebo. (Funded by Pfizer; OCTAVE Induction 1, OCTAVE Induction 2, and OCTAVE Sustain ClinicalTrials.gov numbers, NCT01465763 , NCT01458951 , and NCT01458574 , respectively.).","container-title":"The New England Journal of Medicine","DOI":"10.1056/NEJMoa1606910","ISSN":"1533-4406","issue":"18","journalAbbreviation":"N Engl J Med","language":"eng","note":"PMID: 28467869","page":"1723-1736","source":"PubMed","title":"Tofacitinib as Induction and Maintenance Therapy for Ulcerative Colitis","volume":"376","author":[{"family":"Sandborn","given":"William J."},{"family":"Su","given":"Chinyu"},{"family":"Sands","given":"Bruce E."},{"family":"D'Haens","given":"Geert R."},{"family":"Vermeire","given":"Séverine"},{"family":"Schreiber","given":"Stefan"},{"family":"Danese","given":"Silvio"},{"family":"Feagan","given":"Brian G."},{"family":"Reinisch","given":"Walter"},{"family":"Niezychowski","given":"Wojciech"},{"family":"Friedman","given":"Gary"},{"family":"Lawendy","given":"Nervin"},{"family":"Yu","given":"Dahong"},{"family":"Woodworth","given":"Deborah"},{"family":"Mukherjee","given":"Arnab"},{"family":"Zhang","given":"Haiying"},{"family":"Healey","given":"Paul"},{"family":"Panés","given":"Julian"},{"literal":"OCTAVE Induction 1, OCTAVE Induction 2, and OCTAVE Sustain Investigators"}],"issued":{"date-parts":[["2017",5,4]]}}}],"schema":"https://github.com/citation-style-language/schema/raw/master/csl-citation.json"} </w:instrText>
      </w:r>
      <w:r w:rsidR="004F50FD">
        <w:fldChar w:fldCharType="separate"/>
      </w:r>
      <w:r w:rsidR="00F26098" w:rsidRPr="00F26098">
        <w:rPr>
          <w:rFonts w:ascii="Calibri Light" w:cs="Calibri Light"/>
          <w:vertAlign w:val="superscript"/>
        </w:rPr>
        <w:t>9</w:t>
      </w:r>
      <w:r w:rsidR="004F50FD">
        <w:fldChar w:fldCharType="end"/>
      </w:r>
      <w:r w:rsidR="00127604">
        <w:t xml:space="preserve"> The </w:t>
      </w:r>
      <w:r w:rsidR="00C61988">
        <w:t xml:space="preserve">more stringent </w:t>
      </w:r>
      <w:r w:rsidR="00127604">
        <w:t xml:space="preserve">definition of remission </w:t>
      </w:r>
      <w:r w:rsidR="00C61988">
        <w:t xml:space="preserve">compared to earlier UC clinical trials </w:t>
      </w:r>
      <w:r w:rsidR="00127604">
        <w:t>had a</w:t>
      </w:r>
      <w:r w:rsidR="00937742">
        <w:t>n additional</w:t>
      </w:r>
      <w:r w:rsidR="00127604">
        <w:t xml:space="preserve"> </w:t>
      </w:r>
      <w:r w:rsidR="00127604" w:rsidRPr="00127604">
        <w:t xml:space="preserve">requirement of a rectal bleeding </w:t>
      </w:r>
      <w:r w:rsidR="00665D79" w:rsidRPr="00127604">
        <w:t>sub score</w:t>
      </w:r>
      <w:r w:rsidR="00127604" w:rsidRPr="00127604">
        <w:t xml:space="preserve"> of 0</w:t>
      </w:r>
      <w:r w:rsidR="00127604">
        <w:t>.</w:t>
      </w:r>
      <w:r w:rsidR="003D1EA9">
        <w:t xml:space="preserve"> </w:t>
      </w:r>
      <w:r w:rsidR="002B73F1">
        <w:t xml:space="preserve">Table 2 </w:t>
      </w:r>
      <w:r w:rsidR="00470CF0">
        <w:t>summarises the</w:t>
      </w:r>
      <w:r w:rsidR="00EC2308">
        <w:t xml:space="preserve"> </w:t>
      </w:r>
      <w:r w:rsidR="00E1358C">
        <w:t>registration</w:t>
      </w:r>
      <w:r w:rsidR="00EC2308">
        <w:t xml:space="preserve"> trial </w:t>
      </w:r>
      <w:r w:rsidR="00971D27">
        <w:t>data</w:t>
      </w:r>
      <w:r w:rsidR="00470CF0">
        <w:t xml:space="preserve"> for </w:t>
      </w:r>
      <w:r w:rsidR="00C32ADB">
        <w:t>approved JAK</w:t>
      </w:r>
      <w:r w:rsidR="00DF2084">
        <w:t>I</w:t>
      </w:r>
      <w:r w:rsidR="00C42AE8">
        <w:t xml:space="preserve"> in IBD.</w:t>
      </w:r>
    </w:p>
    <w:p w14:paraId="0E076D25" w14:textId="77777777" w:rsidR="00127604" w:rsidRDefault="00127604" w:rsidP="00BC04D3"/>
    <w:p w14:paraId="5E7CDD0F" w14:textId="511ED8B6" w:rsidR="00425456" w:rsidRDefault="00894A72" w:rsidP="00425456">
      <w:r>
        <w:lastRenderedPageBreak/>
        <w:t xml:space="preserve">Tofacitinib </w:t>
      </w:r>
      <w:r w:rsidR="009B043C">
        <w:t xml:space="preserve">has been </w:t>
      </w:r>
      <w:r w:rsidR="00D61A9C">
        <w:t>extensively studie</w:t>
      </w:r>
      <w:r w:rsidR="00EE2F5A">
        <w:t>d</w:t>
      </w:r>
      <w:r w:rsidR="00D61A9C">
        <w:t xml:space="preserve"> since first enter</w:t>
      </w:r>
      <w:r w:rsidR="00093310">
        <w:t>ing</w:t>
      </w:r>
      <w:r w:rsidR="00D61A9C">
        <w:t xml:space="preserve"> the market </w:t>
      </w:r>
      <w:r w:rsidR="00E34293">
        <w:t xml:space="preserve">for RA </w:t>
      </w:r>
      <w:r w:rsidR="00D61A9C">
        <w:t>following Food and Drug Administration (FDA) approval in 2012.</w:t>
      </w:r>
      <w:r w:rsidR="00552644">
        <w:fldChar w:fldCharType="begin"/>
      </w:r>
      <w:r w:rsidR="00F26098">
        <w:instrText xml:space="preserve"> ADDIN ZOTERO_ITEM CSL_CITATION {"citationID":"mIQLrSQe","properties":{"formattedCitation":"\\super 10\\nosupersub{}","plainCitation":"10","noteIndex":0},"citationItems":[{"id":4939,"uris":["http://zotero.org/users/5409423/items/6B4VXKN8"],"itemData":{"id":4939,"type":"article-journal","abstract":"FDA on November 6 announced the approval of tofacitinib oral tablets as a second-line treatment for moderate-to-severe rheumatoid arthritis in adults.","container-title":"American Journal of Health-System Pharmacy","DOI":"10.2146/news120088","ISSN":"1079-2082","issue":"24","journalAbbreviation":"Am J Health Syst Pharm","language":"en","note":"publisher: Oxford Academic","page":"2120-2120","source":"academic.oup.com","title":"FDA approves tofacitinib for rheumatoid arthritis","volume":"69","author":[{"family":"Traynor","given":"Kate"}],"issued":{"date-parts":[["2012",12,15]]}}}],"schema":"https://github.com/citation-style-language/schema/raw/master/csl-citation.json"} </w:instrText>
      </w:r>
      <w:r w:rsidR="00552644">
        <w:fldChar w:fldCharType="separate"/>
      </w:r>
      <w:r w:rsidR="00F26098" w:rsidRPr="00F26098">
        <w:rPr>
          <w:rFonts w:ascii="Calibri Light" w:cs="Calibri Light"/>
          <w:vertAlign w:val="superscript"/>
        </w:rPr>
        <w:t>10</w:t>
      </w:r>
      <w:r w:rsidR="00552644">
        <w:fldChar w:fldCharType="end"/>
      </w:r>
      <w:r w:rsidR="00A81660">
        <w:t xml:space="preserve"> </w:t>
      </w:r>
      <w:r w:rsidR="00B878BA">
        <w:t xml:space="preserve">Prescription and sales </w:t>
      </w:r>
      <w:r w:rsidR="0088578D">
        <w:t>data from the IQVIA database</w:t>
      </w:r>
      <w:r w:rsidR="006C4636">
        <w:t>s</w:t>
      </w:r>
      <w:r w:rsidR="0088578D">
        <w:t xml:space="preserve"> estimate that m</w:t>
      </w:r>
      <w:r w:rsidR="00A81660">
        <w:t xml:space="preserve">ore than </w:t>
      </w:r>
      <w:r w:rsidR="0088578D">
        <w:t xml:space="preserve">half a million patients have been treated </w:t>
      </w:r>
      <w:r w:rsidR="009925E7">
        <w:t>globally across all indications.</w:t>
      </w:r>
      <w:r w:rsidR="009925E7">
        <w:fldChar w:fldCharType="begin"/>
      </w:r>
      <w:r w:rsidR="00F26098">
        <w:instrText xml:space="preserve"> ADDIN ZOTERO_ITEM CSL_CITATION {"citationID":"ZI5zrP21","properties":{"formattedCitation":"\\super 11\\nosupersub{}","plainCitation":"11","noteIndex":0},"citationItems":[{"id":4942,"uris":["http://zotero.org/users/5409423/items/8VRYSTAM"],"itemData":{"id":4942,"type":"webpage","abstract":"&lt;h3&gt;Understand global and local trends&lt;/h3&gt;\n&lt;p&gt;With the breadth and depth of MIDAS&amp;reg; data and the advanced analytics and the domain expertise of IQVIA&amp;trade;, analyze your markets in a standardized and comparable way, giving the information you need to make informed business decisions at every level.&lt;/p&gt;\n&lt;ul&gt;\n    &lt;li data-gc-list-depth=\"1\" data-gc-list-style=\"bullet\"&gt;Track corporate performance globally&lt;/li&gt;\n    &lt;li data-gc-list-depth=\"1\" data-gc-list-style=\"bullet\"&gt;Understand your main competitors at a therapy and country level&lt;/li&gt;\n    &lt;li data-gc-list-depth=\"1\" data-gc-list-style=\"bullet\"&gt;Identify analogues to apply to your analysis&lt;/li&gt;\n    &lt;li data-gc-list-depth=\"1\" data-gc-list-style=\"bullet\"&gt;Learn how your competitors are performing&lt;/li&gt;\n    &lt;li data-gc-list-depth=\"1\" data-gc-list-style=\"bullet\"&gt;Identify and target new markets for licensing and development&lt;/li&gt;\n    &lt;li data-gc-list-depth=\"1\" data-gc-list-style=\"bullet\"&gt;Understand usage of your product across countries &amp;ndash; by formulation and indication&lt;/li&gt;\n    &lt;li data-gc-list-depth=\"1\" data-gc-list-style=\"bullet\"&gt;Track prescribing information across countries&lt;/li&gt;\n&lt;/ul&gt;","language":"en","title":"MIDAS® (Sales) Database","URL":"https://www.iqvia.com/solutions/commercialization/brand-strategy-and-management/market-measurement/midas","author":[{"family":"IQVIA","given":""}],"accessed":{"date-parts":[["2023",7,9]]}}}],"schema":"https://github.com/citation-style-language/schema/raw/master/csl-citation.json"} </w:instrText>
      </w:r>
      <w:r w:rsidR="009925E7">
        <w:fldChar w:fldCharType="separate"/>
      </w:r>
      <w:r w:rsidR="00F26098" w:rsidRPr="00F26098">
        <w:rPr>
          <w:rFonts w:ascii="Calibri Light" w:cs="Calibri Light"/>
          <w:vertAlign w:val="superscript"/>
        </w:rPr>
        <w:t>11</w:t>
      </w:r>
      <w:r w:rsidR="009925E7">
        <w:fldChar w:fldCharType="end"/>
      </w:r>
      <w:r w:rsidR="004A5D5E">
        <w:t xml:space="preserve"> </w:t>
      </w:r>
      <w:r w:rsidR="0058166B">
        <w:t xml:space="preserve">For UC, </w:t>
      </w:r>
      <w:r w:rsidR="0077167E">
        <w:t>long-term clinical trial and real world data</w:t>
      </w:r>
      <w:r w:rsidR="008629F9">
        <w:t xml:space="preserve"> </w:t>
      </w:r>
      <w:r w:rsidR="00B253F0">
        <w:t>demonstrate</w:t>
      </w:r>
      <w:r w:rsidR="0035221E">
        <w:t xml:space="preserve"> durable efficacy</w:t>
      </w:r>
      <w:r w:rsidR="00B253F0">
        <w:t xml:space="preserve"> and </w:t>
      </w:r>
      <w:r w:rsidR="00F2125B">
        <w:t>highlight</w:t>
      </w:r>
      <w:r w:rsidR="00B253F0">
        <w:t xml:space="preserve"> </w:t>
      </w:r>
      <w:r w:rsidR="000F01D1">
        <w:t>pertinen</w:t>
      </w:r>
      <w:r w:rsidR="00F2125B">
        <w:t xml:space="preserve">t </w:t>
      </w:r>
      <w:r w:rsidR="006E56AE">
        <w:t xml:space="preserve">practice </w:t>
      </w:r>
      <w:r w:rsidR="00F2125B">
        <w:t>points</w:t>
      </w:r>
      <w:r w:rsidR="00CE6C31">
        <w:t>, particularly with respect to dosing</w:t>
      </w:r>
      <w:r w:rsidR="00661A87">
        <w:t>,</w:t>
      </w:r>
      <w:r w:rsidR="000959A7">
        <w:t xml:space="preserve"> that are not yet available for filgotinib and upadacitinib</w:t>
      </w:r>
      <w:r w:rsidR="00EB7147">
        <w:t xml:space="preserve">; safety </w:t>
      </w:r>
      <w:r w:rsidR="00820AC5">
        <w:t>outcomes</w:t>
      </w:r>
      <w:r w:rsidR="00EB7147">
        <w:t xml:space="preserve"> are discussed later</w:t>
      </w:r>
      <w:r w:rsidR="00F2125B">
        <w:t>.</w:t>
      </w:r>
      <w:r w:rsidR="0057357A">
        <w:t xml:space="preserve"> In total, </w:t>
      </w:r>
      <w:r w:rsidR="00252157">
        <w:t xml:space="preserve">1157 patients </w:t>
      </w:r>
      <w:r w:rsidR="00DB10B7">
        <w:t>were studie</w:t>
      </w:r>
      <w:r w:rsidR="000A7E5F">
        <w:t xml:space="preserve">d through </w:t>
      </w:r>
      <w:r w:rsidR="00F03E03">
        <w:t xml:space="preserve">five randomised clinical trials, which includes OCTAVE Open, </w:t>
      </w:r>
      <w:r w:rsidR="00467119">
        <w:t xml:space="preserve">a </w:t>
      </w:r>
      <w:r w:rsidR="00F03E03">
        <w:t xml:space="preserve">long-term extension </w:t>
      </w:r>
      <w:r w:rsidR="0066405A">
        <w:t>(LTE)</w:t>
      </w:r>
      <w:r w:rsidR="00703172">
        <w:t xml:space="preserve"> </w:t>
      </w:r>
      <w:r w:rsidR="00F03E03">
        <w:t>study</w:t>
      </w:r>
      <w:r w:rsidR="00467119">
        <w:t xml:space="preserve"> </w:t>
      </w:r>
      <w:r w:rsidR="006705C4">
        <w:t xml:space="preserve">of 944 patients </w:t>
      </w:r>
      <w:r w:rsidR="00467119">
        <w:t xml:space="preserve">evaluating the </w:t>
      </w:r>
      <w:r w:rsidR="00EB7147">
        <w:t>safety and efficacy with up to seven years of treatment.</w:t>
      </w:r>
      <w:r w:rsidR="00C34240">
        <w:fldChar w:fldCharType="begin"/>
      </w:r>
      <w:r w:rsidR="00F26098">
        <w:instrText xml:space="preserve"> ADDIN ZOTERO_ITEM CSL_CITATION {"citationID":"DsaJtJzR","properties":{"formattedCitation":"\\super 12\\nosupersub{}","plainCitation":"12","noteIndex":0},"citationItems":[{"id":4946,"uris":["http://zotero.org/users/5409423/items/Y9LEABDZ"],"itemData":{"id":4946,"type":"article-journal","abstract":"BACKGROUND: Tofacitinib is an oral, small molecule Janus kinase inhibitor for the treatment of ulcerative colitis. We present final data from OCTAVE Open, an open-label, long-term extension study.\nAIMS: The primary objective of OCTAVE Open was to assess the safety and tolerability of long-term tofacitinib in patients with ulcerative colitis; evaluating efficacy was a secondary objective.\nMETHODS: Eligible patients included OCTAVE Induction 1&amp;2 non-responders and OCTAVE Sustain completers/treatment failures. Patients in remission at OCTAVE Open baseline received tofacitinib 5 mg b.d.; all others received 10 mg b.d. Incidence rates (unique patients with events/100 patient-years) for adverse events of special interest were calculated; ≤7.0 years of observation. Efficacy endpoints derived from Mayo score were reported ≤36 months (last scheduled endoscopy visit).\nRESULTS: In OCTAVE Open, 769 of 944 patients (81.5%) initially received tofacitinib 10 mg b.d. Among all patients (2440.8 patient-years of exposure), incidence rates (IRs; 95% confidence intervals) for deaths and adverse events of special interest were: deaths, 0.25 (0.09-0.54); serious infections, 1.61 (1.14-2.20); herpes zoster (non-serious and serious), 3.16 (2.47-3.97); opportunistic infections, 0.87 (0.54-1.33); major adverse cardiovascular events, 0.16 (0.04-0.42); malignancies (excluding non-melanoma skin cancer), 1.03 (0.67-1.52); non-melanoma skin cancer, 0.75 (0.45-1.19); deep vein thrombosis, 0.04 (0.00-0.23); pulmonary embolism, 0.21 (0.07-0.48). At Month 36, 66.9% and 40.3% showed clinical response, 64.6% and 37.1% had endoscopic improvement, and 58.9% and 33.7% maintained or achieved remission, with tofacitinib 5 and 10 mg b.d. respectively.\nCONCLUSION: Tofacitinib demonstrated consistent safety up to 7.0  years. Data collected up to Month 36 support long-term efficacy beyond the 52-week maintenance study.","container-title":"Alimentary Pharmacology &amp; Therapeutics","DOI":"10.1111/apt.16712","ISSN":"1365-2036","issue":"4","journalAbbreviation":"Aliment Pharmacol Ther","language":"eng","note":"PMID: 34854095\nPMCID: PMC9300081","page":"464-478","source":"PubMed","title":"Safety and efficacy of tofacitinib for treatment of ulcerative colitis: final analysis of OCTAVE Open, an open-label, long-term extension study with up to 7.0 years of treatment","title-short":"Safety and efficacy of tofacitinib for treatment of ulcerative colitis","volume":"55","author":[{"family":"Sandborn","given":"William J."},{"family":"Lawendy","given":"Nervin"},{"family":"Danese","given":"Silvio"},{"family":"Su","given":"Chinyu"},{"family":"Loftus","given":"Edward V."},{"family":"Hart","given":"Ailsa"},{"family":"Dotan","given":"Iris"},{"family":"Damião","given":"Adérson O. M. C."},{"family":"Judd","given":"Donna T."},{"family":"Guo","given":"Xiang"},{"family":"Modesto","given":"Irene"},{"family":"Wang","given":"Wenjin"},{"family":"Panés","given":"Julian"}],"issued":{"date-parts":[["2022",2]]}}}],"schema":"https://github.com/citation-style-language/schema/raw/master/csl-citation.json"} </w:instrText>
      </w:r>
      <w:r w:rsidR="00C34240">
        <w:fldChar w:fldCharType="separate"/>
      </w:r>
      <w:r w:rsidR="00F26098" w:rsidRPr="00F26098">
        <w:rPr>
          <w:rFonts w:ascii="Calibri Light" w:cs="Calibri Light"/>
          <w:vertAlign w:val="superscript"/>
        </w:rPr>
        <w:t>12</w:t>
      </w:r>
      <w:r w:rsidR="00C34240">
        <w:fldChar w:fldCharType="end"/>
      </w:r>
      <w:r w:rsidR="00DF720D">
        <w:t xml:space="preserve"> Firstly, </w:t>
      </w:r>
      <w:r w:rsidR="00FE7E3F">
        <w:t>the LTE</w:t>
      </w:r>
      <w:r w:rsidR="00AB737F">
        <w:t xml:space="preserve"> supports</w:t>
      </w:r>
      <w:r w:rsidR="00DF720D">
        <w:t xml:space="preserve"> l</w:t>
      </w:r>
      <w:r w:rsidR="00C00B53">
        <w:t xml:space="preserve">ong term efficacy beyond </w:t>
      </w:r>
      <w:r w:rsidR="00323B14">
        <w:t>one year</w:t>
      </w:r>
      <w:r w:rsidR="00E2700E">
        <w:t>.</w:t>
      </w:r>
      <w:r w:rsidR="003871BE">
        <w:t xml:space="preserve"> </w:t>
      </w:r>
      <w:r w:rsidR="003D79ED">
        <w:t>A</w:t>
      </w:r>
      <w:r w:rsidR="00814EB0">
        <w:t xml:space="preserve">t three years, </w:t>
      </w:r>
      <w:r w:rsidR="00814EB0" w:rsidRPr="00814EB0">
        <w:t>5</w:t>
      </w:r>
      <w:r w:rsidR="0012110D">
        <w:t>9</w:t>
      </w:r>
      <w:r w:rsidR="00814EB0" w:rsidRPr="00814EB0">
        <w:t>% and 3</w:t>
      </w:r>
      <w:r w:rsidR="0012110D">
        <w:t>4</w:t>
      </w:r>
      <w:r w:rsidR="00814EB0" w:rsidRPr="00814EB0">
        <w:t xml:space="preserve">% </w:t>
      </w:r>
      <w:r w:rsidR="00814EB0">
        <w:t xml:space="preserve">of patients </w:t>
      </w:r>
      <w:r w:rsidR="00814EB0" w:rsidRPr="00814EB0">
        <w:t xml:space="preserve">maintained or achieved </w:t>
      </w:r>
      <w:r w:rsidR="00814EB0">
        <w:t xml:space="preserve">clinical </w:t>
      </w:r>
      <w:r w:rsidR="00814EB0" w:rsidRPr="00814EB0">
        <w:t>remission, with tofacitinib 5</w:t>
      </w:r>
      <w:r w:rsidR="00814EB0">
        <w:t>m</w:t>
      </w:r>
      <w:r w:rsidR="00837871">
        <w:t>g bd</w:t>
      </w:r>
      <w:r w:rsidR="00814EB0" w:rsidRPr="00814EB0">
        <w:t xml:space="preserve"> and 10 mg bd</w:t>
      </w:r>
      <w:r w:rsidR="00814EB0">
        <w:t xml:space="preserve">, </w:t>
      </w:r>
      <w:r w:rsidR="00814EB0" w:rsidRPr="00814EB0">
        <w:t>respectively.</w:t>
      </w:r>
      <w:r w:rsidR="00511A74">
        <w:fldChar w:fldCharType="begin"/>
      </w:r>
      <w:r w:rsidR="00F26098">
        <w:instrText xml:space="preserve"> ADDIN ZOTERO_ITEM CSL_CITATION {"citationID":"3I5KhTll","properties":{"formattedCitation":"\\super 12\\nosupersub{}","plainCitation":"12","noteIndex":0},"citationItems":[{"id":4946,"uris":["http://zotero.org/users/5409423/items/Y9LEABDZ"],"itemData":{"id":4946,"type":"article-journal","abstract":"BACKGROUND: Tofacitinib is an oral, small molecule Janus kinase inhibitor for the treatment of ulcerative colitis. We present final data from OCTAVE Open, an open-label, long-term extension study.\nAIMS: The primary objective of OCTAVE Open was to assess the safety and tolerability of long-term tofacitinib in patients with ulcerative colitis; evaluating efficacy was a secondary objective.\nMETHODS: Eligible patients included OCTAVE Induction 1&amp;2 non-responders and OCTAVE Sustain completers/treatment failures. Patients in remission at OCTAVE Open baseline received tofacitinib 5 mg b.d.; all others received 10 mg b.d. Incidence rates (unique patients with events/100 patient-years) for adverse events of special interest were calculated; ≤7.0 years of observation. Efficacy endpoints derived from Mayo score were reported ≤36 months (last scheduled endoscopy visit).\nRESULTS: In OCTAVE Open, 769 of 944 patients (81.5%) initially received tofacitinib 10 mg b.d. Among all patients (2440.8 patient-years of exposure), incidence rates (IRs; 95% confidence intervals) for deaths and adverse events of special interest were: deaths, 0.25 (0.09-0.54); serious infections, 1.61 (1.14-2.20); herpes zoster (non-serious and serious), 3.16 (2.47-3.97); opportunistic infections, 0.87 (0.54-1.33); major adverse cardiovascular events, 0.16 (0.04-0.42); malignancies (excluding non-melanoma skin cancer), 1.03 (0.67-1.52); non-melanoma skin cancer, 0.75 (0.45-1.19); deep vein thrombosis, 0.04 (0.00-0.23); pulmonary embolism, 0.21 (0.07-0.48). At Month 36, 66.9% and 40.3% showed clinical response, 64.6% and 37.1% had endoscopic improvement, and 58.9% and 33.7% maintained or achieved remission, with tofacitinib 5 and 10 mg b.d. respectively.\nCONCLUSION: Tofacitinib demonstrated consistent safety up to 7.0  years. Data collected up to Month 36 support long-term efficacy beyond the 52-week maintenance study.","container-title":"Alimentary Pharmacology &amp; Therapeutics","DOI":"10.1111/apt.16712","ISSN":"1365-2036","issue":"4","journalAbbreviation":"Aliment Pharmacol Ther","language":"eng","note":"PMID: 34854095\nPMCID: PMC9300081","page":"464-478","source":"PubMed","title":"Safety and efficacy of tofacitinib for treatment of ulcerative colitis: final analysis of OCTAVE Open, an open-label, long-term extension study with up to 7.0 years of treatment","title-short":"Safety and efficacy of tofacitinib for treatment of ulcerative colitis","volume":"55","author":[{"family":"Sandborn","given":"William J."},{"family":"Lawendy","given":"Nervin"},{"family":"Danese","given":"Silvio"},{"family":"Su","given":"Chinyu"},{"family":"Loftus","given":"Edward V."},{"family":"Hart","given":"Ailsa"},{"family":"Dotan","given":"Iris"},{"family":"Damião","given":"Adérson O. M. C."},{"family":"Judd","given":"Donna T."},{"family":"Guo","given":"Xiang"},{"family":"Modesto","given":"Irene"},{"family":"Wang","given":"Wenjin"},{"family":"Panés","given":"Julian"}],"issued":{"date-parts":[["2022",2]]}}}],"schema":"https://github.com/citation-style-language/schema/raw/master/csl-citation.json"} </w:instrText>
      </w:r>
      <w:r w:rsidR="00511A74">
        <w:fldChar w:fldCharType="separate"/>
      </w:r>
      <w:r w:rsidR="00F26098" w:rsidRPr="00F26098">
        <w:rPr>
          <w:rFonts w:ascii="Calibri Light" w:cs="Calibri Light"/>
          <w:vertAlign w:val="superscript"/>
        </w:rPr>
        <w:t>12</w:t>
      </w:r>
      <w:r w:rsidR="00511A74">
        <w:fldChar w:fldCharType="end"/>
      </w:r>
      <w:r w:rsidR="00317897">
        <w:t xml:space="preserve"> </w:t>
      </w:r>
      <w:r w:rsidR="00CF1862">
        <w:t xml:space="preserve">This correlates with </w:t>
      </w:r>
      <w:r w:rsidR="002103D7">
        <w:t>the relatively high degree of persistence</w:t>
      </w:r>
      <w:r w:rsidR="00531C9B">
        <w:t xml:space="preserve"> </w:t>
      </w:r>
      <w:r w:rsidR="001E1D88">
        <w:t>seen with</w:t>
      </w:r>
      <w:r w:rsidR="00531C9B">
        <w:t xml:space="preserve"> </w:t>
      </w:r>
      <w:r w:rsidR="00C44FC2">
        <w:t>a m</w:t>
      </w:r>
      <w:r w:rsidR="00723B28">
        <w:t>e</w:t>
      </w:r>
      <w:r w:rsidR="00C44FC2">
        <w:t xml:space="preserve">dian of </w:t>
      </w:r>
      <w:r w:rsidR="00531C9B">
        <w:t>5.6 years for tofacitinib responders.</w:t>
      </w:r>
      <w:r w:rsidR="00723B28">
        <w:t xml:space="preserve"> </w:t>
      </w:r>
      <w:r w:rsidR="004D201A">
        <w:t xml:space="preserve">Secondly, </w:t>
      </w:r>
      <w:r w:rsidR="000203AA">
        <w:t xml:space="preserve">OCTAVE Open suggests </w:t>
      </w:r>
      <w:r w:rsidR="00F308E6">
        <w:t>healthcare practitioners</w:t>
      </w:r>
      <w:r w:rsidR="000203AA">
        <w:t xml:space="preserve"> should consider</w:t>
      </w:r>
      <w:r w:rsidR="003C303C">
        <w:t xml:space="preserve"> an</w:t>
      </w:r>
      <w:r w:rsidR="00B9299B">
        <w:t xml:space="preserve"> extended induction </w:t>
      </w:r>
      <w:r w:rsidR="00CA3F98">
        <w:t>for</w:t>
      </w:r>
      <w:r w:rsidR="00AA7A9C">
        <w:t xml:space="preserve"> cases of sub-optimal response. </w:t>
      </w:r>
      <w:r w:rsidR="007C661E">
        <w:t xml:space="preserve">Here, </w:t>
      </w:r>
      <w:r w:rsidR="007B6EFA">
        <w:t>52% o</w:t>
      </w:r>
      <w:r w:rsidR="00C530BF">
        <w:t>f</w:t>
      </w:r>
      <w:r w:rsidR="007B6EFA">
        <w:t xml:space="preserve"> initial non-responders after eight weeks achieved a clinical response after an extended induction period totalling 16 weeks. </w:t>
      </w:r>
      <w:r w:rsidR="00B46949" w:rsidRPr="00B46949">
        <w:t>At 36 months, 4</w:t>
      </w:r>
      <w:r w:rsidR="005743C4">
        <w:t>5</w:t>
      </w:r>
      <w:r w:rsidR="00B46949" w:rsidRPr="00B46949">
        <w:t xml:space="preserve">% </w:t>
      </w:r>
      <w:r w:rsidR="00AA7A9C">
        <w:t xml:space="preserve">of delayed responders </w:t>
      </w:r>
      <w:r w:rsidR="00B46949" w:rsidRPr="00B46949">
        <w:t>maintained clinical</w:t>
      </w:r>
      <w:r w:rsidR="00B46949">
        <w:t xml:space="preserve"> </w:t>
      </w:r>
      <w:r w:rsidR="00B46949" w:rsidRPr="00B46949">
        <w:t>remission.</w:t>
      </w:r>
      <w:r w:rsidR="0068023E">
        <w:t xml:space="preserve"> </w:t>
      </w:r>
      <w:r w:rsidR="00262048">
        <w:t xml:space="preserve">Finally, </w:t>
      </w:r>
      <w:r w:rsidR="00CD7898">
        <w:t>m</w:t>
      </w:r>
      <w:r w:rsidR="00CD7898" w:rsidRPr="00CD7898">
        <w:t xml:space="preserve">ost patients in stable remission on 10 mg </w:t>
      </w:r>
      <w:r w:rsidR="00673E28">
        <w:t>bd</w:t>
      </w:r>
      <w:r w:rsidR="00CD7898" w:rsidRPr="00CD7898">
        <w:t xml:space="preserve"> maintenance therapy maintained remission following dose </w:t>
      </w:r>
      <w:r w:rsidR="00831DE8">
        <w:t>reduction to 5mg bd</w:t>
      </w:r>
      <w:r w:rsidR="00CD7898" w:rsidRPr="00CD7898">
        <w:t>.</w:t>
      </w:r>
      <w:r w:rsidR="00407A4B">
        <w:fldChar w:fldCharType="begin"/>
      </w:r>
      <w:r w:rsidR="00F26098">
        <w:instrText xml:space="preserve"> ADDIN ZOTERO_ITEM CSL_CITATION {"citationID":"ZjcXzyq9","properties":{"formattedCitation":"\\super 13\\nosupersub{}","plainCitation":"13","noteIndex":0},"citationItems":[{"id":4949,"uris":["http://zotero.org/users/5409423/items/HNI4BFVY"],"itemData":{"id":4949,"type":"article-journal","abstract":"BACKGROUND AND AIMS: Tofacitinib is an oral, small molecule Janus kinase inhibitor for the treatment of ulcerative colitis. We present primary completion analysis from RIVETING, an ongoing, double-blind, randomised, parallel-group trial evaluating efficacy and safety of tofacitinib dose reduction to 5 mg twice daily [BID] versus remaining on 10 mg BID in patients in stable remission on tofacitinib 10 mg BID maintenance therapy.\nMETHODS: Patients had received tofacitinib 10 mg BID for ≥ 2 consecutive years and been in stable remission for ≥ 6 months before enrolment. The primary endpoint was modified Mayo score remission at Month 6. Safety was assessed up to February 20, 2020 [data cut-off].\nRESULTS: In all, 140 patients were randomised [1:1] to tofacitinib 5 or 10 mg BID; 77.1% and 90.0% of patients in the 5 and 10 mg BID groups, respectively, were in modified Mayo score remission at Month 6 (adjusted difference 12.9%; 95% confidence interval [CI] 0.5-25.0). Smaller differences between treatment groups were seen in patients with baseline endoscopic subscore of 0 versus 1 [9.8%; -3.0-22.6, and 21.1%; -6.1-48.2, respectively], and in patients without versus with prior tumour necrosis factor inhibitor [TNFi] failure [9.5%; -6.6-25.6, and 17.4%; -1.6-36.3, respectively]. Adverse events [AE] and serious AE rates were similar across treatment groups; no deaths were reported.\nCONCLUSIONS: Most patients in stable remission on 10 mg BID maintenance therapy maintained remission following dose de-escalation. For patients who dose de-escalated, those in deep endoscopic remission and those without prior TNFi failure were more likely to maintain remission. Efficacy data were limited to the first 6 months; a longer duration of follow-up during RIVETING will further characterise the impact of dose reduction on maintenance of remission. Safety findings were consistent with the established safety profile of tofacitinib.","container-title":"Journal of Crohn's &amp; Colitis","DOI":"10.1093/ecco-jcc/jjaa249","ISSN":"1876-4479","issue":"7","journalAbbreviation":"J Crohns Colitis","language":"eng","note":"PMID: 33290538\nPMCID: PMC8256630","page":"1130-1141","source":"PubMed","title":"Outcomes of Tofacitinib Dose Reduction in Patients with Ulcerative Colitis in Stable Remission from the Randomised RIVETING Trial","volume":"15","author":[{"family":"Vermeire","given":"Séverine"},{"family":"Su","given":"Chinyu"},{"family":"Lawendy","given":"Nervin"},{"family":"Kobayashi","given":"Taku"},{"family":"Sandborn","given":"William J."},{"family":"Rubin","given":"David T."},{"family":"Modesto","given":"Irene"},{"family":"Gardiner","given":"Sean"},{"family":"Kulisek","given":"Nicole"},{"family":"Zhang","given":"Haiying"},{"family":"Wang","given":"Wenjin"},{"family":"Panés","given":"Julian"}],"issued":{"date-parts":[["2021",7,5]]}}}],"schema":"https://github.com/citation-style-language/schema/raw/master/csl-citation.json"} </w:instrText>
      </w:r>
      <w:r w:rsidR="00407A4B">
        <w:fldChar w:fldCharType="separate"/>
      </w:r>
      <w:r w:rsidR="00F26098" w:rsidRPr="00F26098">
        <w:rPr>
          <w:rFonts w:ascii="Calibri Light" w:cs="Calibri Light"/>
          <w:vertAlign w:val="superscript"/>
        </w:rPr>
        <w:t>13</w:t>
      </w:r>
      <w:r w:rsidR="00407A4B">
        <w:fldChar w:fldCharType="end"/>
      </w:r>
      <w:r w:rsidR="00CD7898" w:rsidRPr="00CD7898">
        <w:t xml:space="preserve"> </w:t>
      </w:r>
      <w:r w:rsidR="00D41A26">
        <w:t>P</w:t>
      </w:r>
      <w:r w:rsidR="00477ADE">
        <w:t>atients</w:t>
      </w:r>
      <w:r w:rsidR="00CD7898" w:rsidRPr="00CD7898">
        <w:t xml:space="preserve"> in deep endoscopic remission and those without prior </w:t>
      </w:r>
      <w:r w:rsidR="00550DE2">
        <w:t>anti-</w:t>
      </w:r>
      <w:r w:rsidR="00CD7898" w:rsidRPr="00CD7898">
        <w:t>TNF</w:t>
      </w:r>
      <w:r w:rsidR="00550DE2">
        <w:t>-</w:t>
      </w:r>
      <w:r w:rsidR="00550DE2">
        <w:sym w:font="Symbol" w:char="F061"/>
      </w:r>
      <w:r w:rsidR="00CD7898" w:rsidRPr="00CD7898">
        <w:t xml:space="preserve"> failure were more likely to maintain remission</w:t>
      </w:r>
      <w:r w:rsidR="00D41A26">
        <w:t xml:space="preserve"> on the lower dose</w:t>
      </w:r>
      <w:r w:rsidR="00CD7898" w:rsidRPr="00CD7898">
        <w:t>.</w:t>
      </w:r>
      <w:r w:rsidR="00FA075F">
        <w:t xml:space="preserve"> </w:t>
      </w:r>
      <w:r w:rsidR="00D972E2">
        <w:t>The</w:t>
      </w:r>
      <w:r w:rsidR="00C34240">
        <w:t xml:space="preserve"> wealth of real-world data </w:t>
      </w:r>
      <w:r w:rsidR="00D972E2">
        <w:t>that have</w:t>
      </w:r>
      <w:r w:rsidR="00C34240">
        <w:t xml:space="preserve"> been published</w:t>
      </w:r>
      <w:r w:rsidR="00D972E2">
        <w:t xml:space="preserve"> are largely supportive </w:t>
      </w:r>
      <w:r w:rsidR="00E964A7">
        <w:t>of the efficacy data seen in the clinical trials</w:t>
      </w:r>
      <w:r w:rsidR="00350035">
        <w:t>. A</w:t>
      </w:r>
      <w:r w:rsidR="00C62226">
        <w:t xml:space="preserve"> recent meta-analysis of 17 studies and 1162 patients </w:t>
      </w:r>
      <w:r w:rsidR="00AB1947">
        <w:t xml:space="preserve">confirms tofacitinib </w:t>
      </w:r>
      <w:r w:rsidR="00F91E68">
        <w:t xml:space="preserve">effectiveness </w:t>
      </w:r>
      <w:r w:rsidR="00AB1947">
        <w:t xml:space="preserve">in a highly refractory </w:t>
      </w:r>
      <w:r w:rsidR="00ED11AA">
        <w:t xml:space="preserve">patient population and </w:t>
      </w:r>
      <w:r w:rsidR="00713CFF">
        <w:t xml:space="preserve">showed </w:t>
      </w:r>
      <w:r w:rsidR="004D19BA">
        <w:t>pooled corticosteroid-free remission rates of 31% at one year</w:t>
      </w:r>
      <w:r w:rsidR="00E964A7">
        <w:t>.</w:t>
      </w:r>
      <w:r w:rsidR="00713CFF">
        <w:fldChar w:fldCharType="begin"/>
      </w:r>
      <w:r w:rsidR="00F26098">
        <w:instrText xml:space="preserve"> ADDIN ZOTERO_ITEM CSL_CITATION {"citationID":"CgrKKlwL","properties":{"formattedCitation":"\\super 14\\nosupersub{}","plainCitation":"14","noteIndex":0},"citationItems":[{"id":4952,"uris":["http://zotero.org/users/5409423/items/Y8XNNPVJ"],"itemData":{"id":4952,"type":"article-journal","abstract":"BACKGROUND: Knowledge of the real-world effectiveness and safety of tofacitinib for ulcerative colitis (UC) is relevant to confirm the benefit observed in clinical trials.\nMETHODS: This systematic review and meta-analysis evaluated the real-world effectiveness of tofacitinib for moderate to severely active UC. The primary outcome was clinical remission evaluated at week 8, weeks 12 to 16, and month 6. Secondary outcomes were response, corticosteroid-free remission, mucosal healing, colectomy, and safety.\nRESULTS: Seventeen studies with a total of 1162 patients with UC were included. Remission (11 studies) was achieved in 34.7% of patients at week 8 (95% confidence interval [CI], 24.4%-45.1%), 47% at weeks 12 to 16 (95% CI, 40.3%-53.6%), and 38.3% at month 6 (95% CI, 29.2%-47.5%) at month 6 duplicated. Response was achieved in 62.1%, 64.2%, 50.8%, and 41.8% of patients at week 8, weeks 12 to 16, month 6, and month 12, respectively. Corticosteroid-free remission (5 studies) was achieved in 38.4%, 44.3%, 33.6%, and 31% of patients at week 8, weeks 12 to 16, month 6, and month 12, respectively. Mucosal healing was achieved in 48.3% and 45.3% of patients at week 8 and weeks 12 to 16, respectively. Patients who were biologic-naïve (11.6%) had a significantly higher rate of response at week 8 (1.38; 95% CI, 1.03-1.84). The incidence rates of serious adverse events and herpes zoster was 8.9 and 6.9 per 100 patient-years, respectively.\nCONCLUSIONS: This meta-analysis of real-world studies confirms the effectiveness of tofacitinib in a highly refractory population of patients with moderate to severely active UC. Tofacitinib showed an acceptable safety profile. These findings were consistent with clinical trials and further support the use of tofacitinib in UC.","container-title":"Inflammatory Bowel Diseases","DOI":"10.1093/ibd/izab011","ISSN":"1536-4844","issue":"1","journalAbbreviation":"Inflamm Bowel Dis","language":"eng","note":"PMID: 33586766","page":"32-40","source":"PubMed","title":"Real-World Effectiveness and Safety of Tofacitinib in Patients With Ulcerative Colitis: Systematic Review With Meta-Analysis","title-short":"Real-World Effectiveness and Safety of Tofacitinib in Patients With Ulcerative Colitis","volume":"28","author":[{"family":"Taxonera","given":"Carlos"},{"family":"Olivares","given":"David"},{"family":"Alba","given":"Cristina"}],"issued":{"date-parts":[["2022",1,5]]}}}],"schema":"https://github.com/citation-style-language/schema/raw/master/csl-citation.json"} </w:instrText>
      </w:r>
      <w:r w:rsidR="00713CFF">
        <w:fldChar w:fldCharType="separate"/>
      </w:r>
      <w:r w:rsidR="00F26098" w:rsidRPr="00F26098">
        <w:rPr>
          <w:rFonts w:ascii="Calibri Light" w:cs="Calibri Light"/>
          <w:vertAlign w:val="superscript"/>
        </w:rPr>
        <w:t>14</w:t>
      </w:r>
      <w:r w:rsidR="00713CFF">
        <w:fldChar w:fldCharType="end"/>
      </w:r>
      <w:r w:rsidR="00425456">
        <w:br w:type="page"/>
      </w:r>
    </w:p>
    <w:p w14:paraId="456B9066" w14:textId="656D82D2" w:rsidR="00BC04D3" w:rsidRPr="00E93657" w:rsidRDefault="00BC04D3" w:rsidP="000F295B">
      <w:pPr>
        <w:pStyle w:val="Heading1"/>
      </w:pPr>
      <w:r w:rsidRPr="00E93657">
        <w:lastRenderedPageBreak/>
        <w:t>Filgotinib</w:t>
      </w:r>
      <w:r w:rsidR="00B62E45">
        <w:t xml:space="preserve">: a JAK1-selective </w:t>
      </w:r>
      <w:r w:rsidR="008541BC">
        <w:t xml:space="preserve">drug approved for UC but </w:t>
      </w:r>
      <w:r w:rsidR="00600178">
        <w:t>not CD</w:t>
      </w:r>
    </w:p>
    <w:p w14:paraId="4B6584EE" w14:textId="05D1E74A" w:rsidR="00092270" w:rsidRDefault="003C1A07" w:rsidP="00506564">
      <w:pPr>
        <w:rPr>
          <w:rFonts w:cstheme="minorHAnsi"/>
        </w:rPr>
      </w:pPr>
      <w:proofErr w:type="spellStart"/>
      <w:r>
        <w:t>Filgotinib</w:t>
      </w:r>
      <w:proofErr w:type="spellEnd"/>
      <w:r>
        <w:t xml:space="preserve"> </w:t>
      </w:r>
      <w:r w:rsidR="00EA7712">
        <w:t>(</w:t>
      </w:r>
      <w:proofErr w:type="spellStart"/>
      <w:r w:rsidR="00EA7712">
        <w:t>Jysele</w:t>
      </w:r>
      <w:r w:rsidR="00121C56">
        <w:t>c</w:t>
      </w:r>
      <w:r w:rsidR="00EA7712">
        <w:t>a</w:t>
      </w:r>
      <w:proofErr w:type="spellEnd"/>
      <w:r w:rsidR="00EA7712">
        <w:t xml:space="preserve">, </w:t>
      </w:r>
      <w:r w:rsidR="00B544A2">
        <w:t>Galapagos NV</w:t>
      </w:r>
      <w:r w:rsidR="00EA7712">
        <w:t xml:space="preserve">) </w:t>
      </w:r>
      <w:r w:rsidR="009C584C">
        <w:t>received</w:t>
      </w:r>
      <w:r w:rsidR="001218DB">
        <w:t xml:space="preserve"> </w:t>
      </w:r>
      <w:r w:rsidR="00DE2E3B">
        <w:t xml:space="preserve">MHRA </w:t>
      </w:r>
      <w:r w:rsidR="009C584C">
        <w:t>licensing</w:t>
      </w:r>
      <w:r w:rsidR="001218DB">
        <w:t xml:space="preserve"> </w:t>
      </w:r>
      <w:r w:rsidR="00D30D45">
        <w:t>and</w:t>
      </w:r>
      <w:r w:rsidR="001218DB">
        <w:t xml:space="preserve"> NICE</w:t>
      </w:r>
      <w:r w:rsidR="00B70297">
        <w:t xml:space="preserve"> </w:t>
      </w:r>
      <w:r w:rsidR="001218DB">
        <w:t>approv</w:t>
      </w:r>
      <w:r w:rsidR="00D30D45">
        <w:t xml:space="preserve">al </w:t>
      </w:r>
      <w:r w:rsidR="005D1EEC">
        <w:t xml:space="preserve">in 2022 </w:t>
      </w:r>
      <w:r w:rsidR="00744D68">
        <w:t xml:space="preserve">for the treatment </w:t>
      </w:r>
      <w:r w:rsidR="00D9422F">
        <w:t>of</w:t>
      </w:r>
      <w:r w:rsidR="008D0D76">
        <w:t xml:space="preserve"> moderate to severe </w:t>
      </w:r>
      <w:r w:rsidR="00744D68">
        <w:t>UC</w:t>
      </w:r>
      <w:r w:rsidR="008D0D76">
        <w:t xml:space="preserve"> after failure or intolerance </w:t>
      </w:r>
      <w:r w:rsidR="007A4B52">
        <w:t xml:space="preserve">of </w:t>
      </w:r>
      <w:r w:rsidR="00700A41">
        <w:t xml:space="preserve">a </w:t>
      </w:r>
      <w:r w:rsidR="007A4B52">
        <w:t>biologic</w:t>
      </w:r>
      <w:r w:rsidR="008D0D76">
        <w:t xml:space="preserve"> </w:t>
      </w:r>
      <w:r w:rsidR="007A4B52" w:rsidRPr="00207F6B">
        <w:rPr>
          <w:i/>
          <w:iCs/>
        </w:rPr>
        <w:t>or</w:t>
      </w:r>
      <w:r w:rsidR="007A4B52">
        <w:t xml:space="preserve"> </w:t>
      </w:r>
      <w:r w:rsidR="008D0D76">
        <w:t>conventional therapy</w:t>
      </w:r>
      <w:r w:rsidR="00744D68">
        <w:t>.</w:t>
      </w:r>
      <w:r w:rsidR="00B80675">
        <w:fldChar w:fldCharType="begin"/>
      </w:r>
      <w:r w:rsidR="00F26098">
        <w:instrText xml:space="preserve"> ADDIN ZOTERO_ITEM CSL_CITATION {"citationID":"8MA8PWUw","properties":{"formattedCitation":"\\super 15,16\\nosupersub{}","plainCitation":"15,16","noteIndex":0},"citationItems":[{"id":4986,"uris":["http://zotero.org/users/5409423/items/C4D95AWV"],"itemData":{"id":4986,"type":"webpage","abstract":"Evidence-based recommendations on filgotinib (Jyseleca) for moderately to severely active ulcerative colitis in adults when conventional or biological treatment cannot be tolerated, or the disease has responded inadequately or lost response to treatment","language":"eng","note":"publisher: NICE","title":"Overview | Filgotinib for treating moderately to severely active ulcerative colitis | Guidance | NICE","URL":"https://www.nice.org.uk/guidance/ta792","accessed":{"date-parts":[["2023",7,13]]},"issued":{"date-parts":[["2022",6,1]]}}},{"id":4985,"uris":["http://zotero.org/users/5409423/items/DPVBZUEQ"],"itemData":{"id":4985,"type":"webpage","title":"Jyseleca 200 mg film-coated tablets - Summary of Product Characteristics (SmPC) - (emc)","URL":"https://www.medicines.org.uk/emc/product/11810/smpc","accessed":{"date-parts":[["2023",7,13]]}},"label":"page"}],"schema":"https://github.com/citation-style-language/schema/raw/master/csl-citation.json"} </w:instrText>
      </w:r>
      <w:r w:rsidR="00B80675">
        <w:fldChar w:fldCharType="separate"/>
      </w:r>
      <w:r w:rsidR="00F26098" w:rsidRPr="00F26098">
        <w:rPr>
          <w:rFonts w:ascii="Calibri Light" w:cs="Calibri Light"/>
          <w:vertAlign w:val="superscript"/>
        </w:rPr>
        <w:t>15,16</w:t>
      </w:r>
      <w:r w:rsidR="00B80675">
        <w:fldChar w:fldCharType="end"/>
      </w:r>
      <w:r w:rsidR="00D9422F">
        <w:t xml:space="preserve"> </w:t>
      </w:r>
      <w:r w:rsidR="0096208A">
        <w:t>While f</w:t>
      </w:r>
      <w:r w:rsidR="00792C0B">
        <w:t xml:space="preserve">ilgotinib is also approved </w:t>
      </w:r>
      <w:r w:rsidR="00F30AB3">
        <w:t>for</w:t>
      </w:r>
      <w:r w:rsidR="002D64F5">
        <w:t xml:space="preserve"> the treatment of </w:t>
      </w:r>
      <w:r w:rsidR="00F30AB3">
        <w:t>RA in</w:t>
      </w:r>
      <w:r w:rsidR="00FB250F">
        <w:t xml:space="preserve"> the UK</w:t>
      </w:r>
      <w:r w:rsidR="00FD4692">
        <w:t xml:space="preserve">, </w:t>
      </w:r>
      <w:r w:rsidR="00FB250F">
        <w:t>European</w:t>
      </w:r>
      <w:r w:rsidR="007B45FD">
        <w:t xml:space="preserve"> Union</w:t>
      </w:r>
      <w:r w:rsidR="00277ACA">
        <w:t>,</w:t>
      </w:r>
      <w:r w:rsidR="00FD4692">
        <w:t xml:space="preserve"> and Japan,</w:t>
      </w:r>
      <w:r w:rsidR="00277ACA">
        <w:t xml:space="preserve"> it </w:t>
      </w:r>
      <w:r w:rsidR="00736E9B">
        <w:t>is not available in the United States after</w:t>
      </w:r>
      <w:r w:rsidR="00C921D8">
        <w:t xml:space="preserve"> </w:t>
      </w:r>
      <w:r w:rsidR="003F1DB8">
        <w:t>a</w:t>
      </w:r>
      <w:r w:rsidR="00C921D8">
        <w:t xml:space="preserve"> market authorisation application </w:t>
      </w:r>
      <w:r w:rsidR="006456F1">
        <w:t xml:space="preserve">for RA </w:t>
      </w:r>
      <w:r w:rsidR="00C921D8">
        <w:t xml:space="preserve">was rejected </w:t>
      </w:r>
      <w:r w:rsidR="001454A5">
        <w:t xml:space="preserve">by the FDA </w:t>
      </w:r>
      <w:r w:rsidR="00A906AD">
        <w:t>due to testicular toxicity concerns</w:t>
      </w:r>
      <w:r w:rsidR="00991531">
        <w:t xml:space="preserve"> from pre-clinica</w:t>
      </w:r>
      <w:r w:rsidR="00281F94">
        <w:t>l studies</w:t>
      </w:r>
      <w:r w:rsidR="00A906AD">
        <w:t>.</w:t>
      </w:r>
      <w:r w:rsidR="00D744D8">
        <w:t xml:space="preserve"> </w:t>
      </w:r>
      <w:r w:rsidR="00B01040">
        <w:t xml:space="preserve">Gilead Sciences and Galapagos </w:t>
      </w:r>
      <w:r w:rsidR="005B7713">
        <w:t>curtailed plans to</w:t>
      </w:r>
      <w:r w:rsidR="00B01040">
        <w:t xml:space="preserve"> pursue FDA authorisation </w:t>
      </w:r>
      <w:r w:rsidR="00991531">
        <w:t>despite</w:t>
      </w:r>
      <w:r w:rsidR="005B7713">
        <w:t xml:space="preserve"> subsequent</w:t>
      </w:r>
      <w:r w:rsidR="00991531">
        <w:t xml:space="preserve"> safety stud</w:t>
      </w:r>
      <w:r w:rsidR="00D41B2E">
        <w:t>ies</w:t>
      </w:r>
      <w:r w:rsidR="00991531">
        <w:t xml:space="preserve"> </w:t>
      </w:r>
      <w:r w:rsidR="009A1296">
        <w:t xml:space="preserve">showing no effect on semen parameters </w:t>
      </w:r>
      <w:r w:rsidR="006E283C">
        <w:t>or</w:t>
      </w:r>
      <w:r w:rsidR="009A1296">
        <w:t xml:space="preserve"> sex hormones.</w:t>
      </w:r>
      <w:r w:rsidR="000B5B15">
        <w:fldChar w:fldCharType="begin"/>
      </w:r>
      <w:r w:rsidR="00F26098">
        <w:instrText xml:space="preserve"> ADDIN ZOTERO_ITEM CSL_CITATION {"citationID":"vnVFGBta","properties":{"formattedCitation":"\\super 17\\nosupersub{}","plainCitation":"17","noteIndex":0},"citationItems":[{"id":4980,"uris":["http://zotero.org/users/5409423/items/RA2MPJRB"],"itemData":{"id":4980,"type":"article-journal","abstract":"Objectives The phase 2 MANTA and MANTA-RAy studies aimed to determine if the oral Janus kinase 1 preferential inhibitor filgotinib affects semen parameters and sex hormones in men with inflammatory diseases.\nMethods MANTA (NCT03201445) and MANTA-RAy (NCT03926195) included men (21–65 years) with active inflammatory bowel disease (IBD) and rheumatic diseases (rheumatoid arthritis, spondyloarthritis or psoriatic arthritis), respectively. Eligible participants had semen parameters in the normal range per the WHO definition. In each study, participants were randomised 1:1 to receive once-daily, double-blind filgotinib 200 mg or placebo for 13 weeks for pooled analysis of the primary endpoint (proportion of participants with a ≥50% decrease from baseline in sperm concentration at week 13). Participants who met the primary endpoint were monitored over an additional 52 weeks for ‘reversibility’. Secondary endpoints included change from baseline to week 13 in: sperm concentration, total motility, normal morphology, total count and ejaculate volume. Sex hormones (luteinising hormone, follicle stimulating hormone, inhibin B and total testosterone) and reversibility were exploratory endpoints.\nResults Across both studies, 631 patients were screened, and 248 were randomised to filgotinib 200 mg or placebo. Baseline demographics and characteristics were similar within indications between treatment groups. Numerically similar proportions of filgotinib-treated versus placebo-treated patients met the primary endpoint (8/120 (6.7%) vs 10/120 (8.3%)), Δ−1.7% (95% CI −9.3% to 5.8%)). There were no clinically relevant changes from baseline to week 13 in semen parameters or sex hormones, or patterns of reversibility between treatment groups. Filgotinib was well tolerated, with no new safety events.\nConclusions Results suggest that once daily filgotinib 200 mg for 13 weeks has no measurable impact on semen parameters or sex hormones in men with active IBD or inflammatory rheumatic diseases.","container-title":"Annals of the Rheumatic Diseases","DOI":"10.1136/ard-2023-224017","ISSN":"0003-4967, 1468-2060","language":"en","license":"© Author(s) (or their employer(s)) 2023.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BMJ Publishing Group Ltd\nsection: Autoinflammatory disorders\nPMID: 37137672","source":"ard.bmj.com","title":"Effects of filgotinib on semen parameters and sex hormones in male patients with inflammatory diseases: results from the phase 2, randomised, double-blind, placebo-controlled MANTA and MANTA-RAy studies","title-short":"Effects of filgotinib on semen parameters and sex hormones in male patients with inflammatory diseases","URL":"https://ard.bmj.com/content/early/2023/05/02/ard-2023-224017","author":[{"family":"Reinisch","given":"Walter"},{"family":"Hellstrom","given":"Wayne"},{"family":"Dolhain","given":"Radboud J. E. M."},{"family":"Sikka","given":"Suresh"},{"family":"Westhovens","given":"René"},{"family":"Mehta","given":"Rajiv"},{"family":"Ritter","given":"Timothy"},{"family":"Seidler","given":"Ursula"},{"family":"Golovchenko","given":"Oleksandr"},{"family":"Simanenkov","given":"Vladimir"},{"family":"Garmish","given":"Olena"},{"family":"Jeka","given":"Sławomir"},{"family":"Moravcová","given":"Radka"},{"family":"Rajendran","given":"Vijay"},{"family":"Brun","given":"Franck-Olivier Le"},{"family":"Arterburn","given":"Sarah"},{"family":"Watkins","given":"Timothy R."},{"family":"Besuyen","given":"Robin"},{"family":"Vanderschueren","given":"Dirk"}],"accessed":{"date-parts":[["2023",7,13]]},"issued":{"date-parts":[["2023",5,3]]}}}],"schema":"https://github.com/citation-style-language/schema/raw/master/csl-citation.json"} </w:instrText>
      </w:r>
      <w:r w:rsidR="000B5B15">
        <w:fldChar w:fldCharType="separate"/>
      </w:r>
      <w:r w:rsidR="00F26098" w:rsidRPr="00F26098">
        <w:rPr>
          <w:rFonts w:ascii="Calibri Light" w:cs="Calibri Light"/>
          <w:vertAlign w:val="superscript"/>
        </w:rPr>
        <w:t>17</w:t>
      </w:r>
      <w:r w:rsidR="000B5B15">
        <w:fldChar w:fldCharType="end"/>
      </w:r>
      <w:r w:rsidR="007A3940">
        <w:t xml:space="preserve"> Filgotinib is not approved for CD. </w:t>
      </w:r>
      <w:r w:rsidR="00092270">
        <w:rPr>
          <w:rFonts w:cstheme="minorHAnsi"/>
        </w:rPr>
        <w:t xml:space="preserve">Despite the favourable results of the phase II CD </w:t>
      </w:r>
      <w:r w:rsidR="00A51251">
        <w:rPr>
          <w:rFonts w:cstheme="minorHAnsi"/>
        </w:rPr>
        <w:t>study</w:t>
      </w:r>
      <w:r w:rsidR="00514112" w:rsidRPr="00514112">
        <w:rPr>
          <w:rFonts w:cstheme="minorHAnsi"/>
        </w:rPr>
        <w:t xml:space="preserve"> </w:t>
      </w:r>
      <w:r w:rsidR="00514112">
        <w:rPr>
          <w:rFonts w:cstheme="minorHAnsi"/>
        </w:rPr>
        <w:t>(FITZROY)</w:t>
      </w:r>
      <w:r w:rsidR="00092270">
        <w:rPr>
          <w:rFonts w:cstheme="minorHAnsi"/>
        </w:rPr>
        <w:t xml:space="preserve">, the induction cohorts of a large phase III study (DIVERSITY) </w:t>
      </w:r>
      <w:r w:rsidR="00C56635">
        <w:rPr>
          <w:rFonts w:cstheme="minorHAnsi"/>
        </w:rPr>
        <w:t>of</w:t>
      </w:r>
      <w:r w:rsidR="00092270">
        <w:rPr>
          <w:rFonts w:cstheme="minorHAnsi"/>
        </w:rPr>
        <w:t xml:space="preserve"> 1374 patients with moderate-to-severely active CD failed to meet the co-primary endpoints of endoscopic response and clinical remission at week 10.</w:t>
      </w:r>
      <w:r w:rsidR="00A51251">
        <w:rPr>
          <w:rFonts w:cstheme="minorHAnsi"/>
        </w:rPr>
        <w:fldChar w:fldCharType="begin"/>
      </w:r>
      <w:r w:rsidR="00F26098">
        <w:rPr>
          <w:rFonts w:cstheme="minorHAnsi"/>
        </w:rPr>
        <w:instrText xml:space="preserve"> ADDIN ZOTERO_ITEM CSL_CITATION {"citationID":"7HOue3z7","properties":{"formattedCitation":"\\super 18,19\\nosupersub{}","plainCitation":"18,19","noteIndex":0},"citationItems":[{"id":5001,"uris":["http://zotero.org/users/5409423/items/3SE3HEQW"],"itemData":{"id":5001,"type":"article-journal","abstract":"BACKGROUND: Filgotinib (GLPG0634, GS-6034) is a once-daily, orally administered, Janus kinase 1 (JAK1)-selective inhibitor. The FITZROY study examined the efficacy and safety of filgotinib for the treatment of moderate-to-severe Crohn's disease.\nMETHODS: We did a randomised, double-blind, placebo-controlled phase 2 study, which recruited patients from 52 centres in nine European countries. We enrolled eligible patients aged 18-75 years with a documented history of ileal, colonic, or ileocolonic Crohn's disease for 3 months or more before screening, as assessed by colonoscopy and supported by histology, and a Crohn's Disease Activity Index (CDAI) score during screening between 220 and 450 inclusive. Patients were randomly assigned (3:1) to receive filgotinib 200 mg once a day or placebo for 10 weeks. Patients were stratified according to previous anti-tumour necrosis factor alpha exposure, C-reactive protein concentration at screening (≤10 mg/L or &gt;10 mg/L), and oral corticosteroid use at baseline, using an interactive web-based response system. The primary endpoint was clinical remission, defined as CDAI less than 150 at week 10. After week 10, patients were assigned based on responder status to filgotinib 100 mg once a day, filgotinib 200 mg once a day, or placebo for an observational period lasting a further 10 weeks. The filgotinib and placebo treatment groups were compared using ANCOVA models and logistic regression models containing baseline values and randomisation stratification factors as fixed effects. Analyses were done on the intention-to-treat non-responder imputation set. The trial was registered at ClinicalTrials.gov, number NCT02048618.\nFINDINGS: Between Feb 3, 2014, and July 10, 2015, we enrolled 174 patients with active Crohn's disease confirmed by centrally read endoscopy (130 in the filgotinib 200 mg group and 44 in the placebo group). In the intention-to-treat population, 60 (47%) of 128 patients treated with filgotinib 200 mg achieved clinical remission at week 10 versus ten (23%) of 44 patients treated with placebo (difference 24 percentage points [95% CI 9-39], p=0·0077). In a pooled analysis of all periods of filgotinib and placebo exposure over 20 weeks, serious treatment-emergent adverse effects were reported in 14 (9%) of 152 patients treated with filgotinib and three (4%) of 67 patients treated with placebo.\nINTERPRETATION: Filgotinib induced clinical remission in significantly more patients with active Crohn's disease compared with placebo, and had an acceptable safety profile.\nFUNDING: Galapagos.","container-title":"Lancet (London, England)","DOI":"10.1016/S0140-6736(16)32537-5","ISSN":"1474-547X","issue":"10066","journalAbbreviation":"Lancet","language":"eng","note":"PMID: 27988142","page":"266-275","source":"PubMed","title":"Clinical remission in patients with moderate-to-severe Crohn's disease treated with filgotinib (the FITZROY study): results from a phase 2, double-blind, randomised, placebo-controlled trial","title-short":"Clinical remission in patients with moderate-to-severe Crohn's disease treated with filgotinib (the FITZROY study)","volume":"389","author":[{"family":"Vermeire","given":"Séverine"},{"family":"Schreiber","given":"Stefan"},{"family":"Petryka","given":"Robert"},{"family":"Kuehbacher","given":"Tanja"},{"family":"Hebuterne","given":"Xavier"},{"family":"Roblin","given":"Xavier"},{"family":"Klopocka","given":"Maria"},{"family":"Goldis","given":"Adrian"},{"family":"Wisniewska-Jarosinska","given":"Maria"},{"family":"Baranovsky","given":"Andrey"},{"family":"Sike","given":"Robert"},{"family":"Stoyanova","given":"Kremena"},{"family":"Tasset","given":"Chantal"},{"family":"Van der Aa","given":"Annegret"},{"family":"Harrison","given":"Pille"}],"issued":{"date-parts":[["2017",1,21]]}},"label":"page"},{"id":4999,"uris":["http://zotero.org/users/5409423/items/8ADH6KIF"],"itemData":{"id":4999,"type":"webpage","title":"Galapagos announces topline results from Phase 3 DIVERSITY trial of filgotinib in Crohn’s disease","URL":"https://www.glpg.com/press-release/3766/galapagos-announces-topline-results-from-phase-3-diversity-trial-of-filgotinib-in-crohn-s-disease","accessed":{"date-parts":[["2023",7,13]]}},"label":"page"}],"schema":"https://github.com/citation-style-language/schema/raw/master/csl-citation.json"} </w:instrText>
      </w:r>
      <w:r w:rsidR="00A51251">
        <w:rPr>
          <w:rFonts w:cstheme="minorHAnsi"/>
        </w:rPr>
        <w:fldChar w:fldCharType="separate"/>
      </w:r>
      <w:r w:rsidR="00F26098" w:rsidRPr="00F26098">
        <w:rPr>
          <w:rFonts w:ascii="Calibri Light" w:cs="Calibri Light"/>
          <w:vertAlign w:val="superscript"/>
        </w:rPr>
        <w:t>18,19</w:t>
      </w:r>
      <w:r w:rsidR="00A51251">
        <w:rPr>
          <w:rFonts w:cstheme="minorHAnsi"/>
        </w:rPr>
        <w:fldChar w:fldCharType="end"/>
      </w:r>
      <w:r w:rsidR="00A51251">
        <w:rPr>
          <w:rFonts w:cstheme="minorHAnsi"/>
        </w:rPr>
        <w:t xml:space="preserve"> </w:t>
      </w:r>
      <w:r w:rsidR="003E6B10">
        <w:rPr>
          <w:rFonts w:cstheme="minorHAnsi"/>
        </w:rPr>
        <w:t>A</w:t>
      </w:r>
      <w:r w:rsidR="00A51251">
        <w:rPr>
          <w:rFonts w:cstheme="minorHAnsi"/>
        </w:rPr>
        <w:t xml:space="preserve"> </w:t>
      </w:r>
      <w:r w:rsidR="00B77994">
        <w:rPr>
          <w:rFonts w:cstheme="minorHAnsi"/>
        </w:rPr>
        <w:t xml:space="preserve">phase II </w:t>
      </w:r>
      <w:r w:rsidR="00A51251">
        <w:rPr>
          <w:rFonts w:cstheme="minorHAnsi"/>
        </w:rPr>
        <w:t xml:space="preserve">trial </w:t>
      </w:r>
      <w:r w:rsidR="003B516C">
        <w:rPr>
          <w:rFonts w:cstheme="minorHAnsi"/>
        </w:rPr>
        <w:t>(DIVERGENCE 1)</w:t>
      </w:r>
      <w:r w:rsidR="006E5C82">
        <w:rPr>
          <w:rFonts w:cstheme="minorHAnsi"/>
        </w:rPr>
        <w:t xml:space="preserve"> </w:t>
      </w:r>
      <w:r w:rsidR="00910AF2">
        <w:rPr>
          <w:rFonts w:cstheme="minorHAnsi"/>
        </w:rPr>
        <w:t xml:space="preserve">published in 2023 </w:t>
      </w:r>
      <w:r w:rsidR="006E5C82">
        <w:rPr>
          <w:rFonts w:cstheme="minorHAnsi"/>
        </w:rPr>
        <w:t xml:space="preserve">assessing </w:t>
      </w:r>
      <w:r w:rsidR="003E6B10">
        <w:rPr>
          <w:rFonts w:cstheme="minorHAnsi"/>
        </w:rPr>
        <w:t xml:space="preserve">the safety and efficacy of filgotinib in small bowel CD </w:t>
      </w:r>
      <w:r w:rsidR="00910AF2">
        <w:rPr>
          <w:rFonts w:cstheme="minorHAnsi"/>
        </w:rPr>
        <w:t xml:space="preserve">also </w:t>
      </w:r>
      <w:r w:rsidR="003E6B10">
        <w:rPr>
          <w:rFonts w:cstheme="minorHAnsi"/>
        </w:rPr>
        <w:t>did not show statistically significant differences against placebo.</w:t>
      </w:r>
      <w:r w:rsidR="00E178C0">
        <w:rPr>
          <w:rFonts w:cstheme="minorHAnsi"/>
        </w:rPr>
        <w:fldChar w:fldCharType="begin"/>
      </w:r>
      <w:r w:rsidR="00F26098">
        <w:rPr>
          <w:rFonts w:cstheme="minorHAnsi"/>
        </w:rPr>
        <w:instrText xml:space="preserve"> ADDIN ZOTERO_ITEM CSL_CITATION {"citationID":"5Cecl1NE","properties":{"formattedCitation":"\\super 20\\nosupersub{}","plainCitation":"20","noteIndex":0},"citationItems":[{"id":5003,"uris":["http://zotero.org/users/5409423/items/ZLKXCMQK"],"itemData":{"id":5003,"type":"article-journal","container-title":"Gastroenterology","DOI":"10.1053/j.gastro.2023.03.234","ISSN":"0016-5085, 1528-0012","issue":"1","journalAbbreviation":"Gastroenterology","language":"English","note":"publisher: Elsevier\nPMID: 37054757","page":"289-292.e3","source":"www.gastrojournal.org","title":"Filgotinib for the Treatment of Small Bowel Crohn’s Disease: The DIVERGENCE 1 Trial","title-short":"Filgotinib for the Treatment of Small Bowel Crohn’s Disease","volume":"165","author":[{"family":"D’Haens","given":"Geert R."},{"family":"Lee","given":"Scott"},{"family":"Taylor","given":"Stuart A."},{"family":"Serone","given":"Adrian"},{"family":"Rimola","given":"Jordi"},{"family":"Colombel","given":"Jean-Frederic"},{"family":"Besuyen","given":"Robin"},{"family":"Gecse","given":"Krisztina"},{"family":"McKevitt","given":"Matt"},{"family":"Reinisch","given":"Walter"},{"family":"Ren","given":"Xuehan"},{"family":"Schwartz","given":"David"}],"issued":{"date-parts":[["2023",7,1]]}}}],"schema":"https://github.com/citation-style-language/schema/raw/master/csl-citation.json"} </w:instrText>
      </w:r>
      <w:r w:rsidR="00E178C0">
        <w:rPr>
          <w:rFonts w:cstheme="minorHAnsi"/>
        </w:rPr>
        <w:fldChar w:fldCharType="separate"/>
      </w:r>
      <w:r w:rsidR="00F26098" w:rsidRPr="00F26098">
        <w:rPr>
          <w:rFonts w:ascii="Calibri Light" w:cs="Calibri Light"/>
          <w:vertAlign w:val="superscript"/>
        </w:rPr>
        <w:t>20</w:t>
      </w:r>
      <w:r w:rsidR="00E178C0">
        <w:rPr>
          <w:rFonts w:cstheme="minorHAnsi"/>
        </w:rPr>
        <w:fldChar w:fldCharType="end"/>
      </w:r>
    </w:p>
    <w:p w14:paraId="559390C4" w14:textId="77777777" w:rsidR="008C0F14" w:rsidRPr="0011469C" w:rsidRDefault="008C0F14" w:rsidP="0011469C"/>
    <w:p w14:paraId="63F25F2C" w14:textId="5FC3335F" w:rsidR="00B86B93" w:rsidRPr="00E93657" w:rsidRDefault="00E67088" w:rsidP="00B86B93">
      <w:r w:rsidRPr="0011469C">
        <w:t xml:space="preserve">Filgotinib </w:t>
      </w:r>
      <w:r w:rsidR="00F40640" w:rsidRPr="0011469C">
        <w:t xml:space="preserve">exhibits </w:t>
      </w:r>
      <w:r w:rsidR="00F83C81" w:rsidRPr="0011469C">
        <w:t xml:space="preserve">approximately 30-fold greater </w:t>
      </w:r>
      <w:r w:rsidR="00414804">
        <w:t xml:space="preserve">inhibition of </w:t>
      </w:r>
      <w:r w:rsidR="00F40640" w:rsidRPr="0011469C">
        <w:t xml:space="preserve">JAK1 </w:t>
      </w:r>
      <w:r w:rsidR="0011469C" w:rsidRPr="0011469C">
        <w:t>over JAK2-</w:t>
      </w:r>
      <w:r w:rsidR="00063D31">
        <w:t xml:space="preserve"> and other isoform-</w:t>
      </w:r>
      <w:r w:rsidR="0011469C" w:rsidRPr="0011469C">
        <w:t>dependent signalling</w:t>
      </w:r>
      <w:r w:rsidR="00063D31">
        <w:t xml:space="preserve">, which mechanistically is thought to </w:t>
      </w:r>
      <w:r w:rsidR="00F51CF8">
        <w:t>maximise</w:t>
      </w:r>
      <w:r w:rsidR="008F06A4">
        <w:t xml:space="preserve"> efficacy </w:t>
      </w:r>
      <w:r w:rsidR="00F51CF8">
        <w:t>and minimise side effects</w:t>
      </w:r>
      <w:r w:rsidR="0011469C" w:rsidRPr="0011469C">
        <w:t>.</w:t>
      </w:r>
      <w:r w:rsidR="005D293F">
        <w:fldChar w:fldCharType="begin"/>
      </w:r>
      <w:r w:rsidR="00F26098">
        <w:instrText xml:space="preserve"> ADDIN ZOTERO_ITEM CSL_CITATION {"citationID":"y16RVCHg","properties":{"formattedCitation":"\\super 21,22\\nosupersub{}","plainCitation":"21,22","noteIndex":0},"citationItems":[{"id":4990,"uris":["http://zotero.org/users/5409423/items/PSE3C9MQ"],"itemData":{"id":4990,"type":"article-journal","abstract":"The JAKs receive continued interest as therapeutic targets for autoimmune, inflammatory, and oncological diseases. JAKs play critical roles in the development and biology of the hematopoietic system, as evidenced by mouse and human genetics. JAK1 is critical for the signal transduction of many type I and type II inflammatory cytokine receptors. In a search for JAK small molecule inhibitors, GLPG0634 was identified as a lead compound belonging to a novel class of JAK inhibitors. It displayed a JAK1/JAK2 inhibitor profile in biochemical assays, but subsequent studies in cellular and whole blood assays revealed a selectivity of </w:instrText>
      </w:r>
      <w:r w:rsidR="00F26098">
        <w:rPr>
          <w:rFonts w:ascii="Cambria Math" w:hAnsi="Cambria Math" w:cs="Cambria Math"/>
        </w:rPr>
        <w:instrText>∼</w:instrText>
      </w:r>
      <w:r w:rsidR="00F26098">
        <w:instrText xml:space="preserve">30-fold for JAK1- over JAK2-dependent signaling. GLPG0634 dose-dependently inhibited Th1 and Th2 differentiation and to a lesser extent the differentiation of Th17 cells in vitro. GLPG0634 was well exposed in rodents upon oral dosing, and exposure levels correlated with repression of Mx2 expression in leukocytes. Oral dosing of GLPG0634 in a therapeutic set-up in a collagen-induced arthritis model in rodents resulted in a significant dose-dependent reduction of the disease progression. Paw swelling, bone and cartilage degradation, and levels of inflammatory cytokines were reduced by GLPG0634 treatment. Efficacy of GLPG0634 in the collagen-induced arthritis models was comparable to the results obtained with etanercept. In conclusion, the JAK1 selective inhibitor GLPG0634 is a promising novel therapeutic with potential for oral treatment of rheumatoid arthritis and possibly other immune-inflammatory diseases.","container-title":"Journal of Immunology (Baltimore, Md.: 1950)","DOI":"10.4049/jimmunol.1201348","ISSN":"1550-6606","issue":"7","journalAbbreviation":"J Immunol","language":"eng","note":"PMID: 24006460","page":"3568-3577","source":"PubMed","title":"Preclinical characterization of GLPG0634, a selective inhibitor of JAK1, for the treatment of inflammatory diseases","volume":"191","author":[{"family":"Van Rompaey","given":"Luc"},{"family":"Galien","given":"René"},{"family":"Aar","given":"Ellen M.","non-dropping-particle":"van der"},{"family":"Clement-Lacroix","given":"Philippe"},{"family":"Nelles","given":"Luc"},{"family":"Smets","given":"Bart"},{"family":"Lepescheux","given":"Liên"},{"family":"Christophe","given":"Thierry"},{"family":"Conrath","given":"Katja"},{"family":"Vandeghinste","given":"Nick"},{"family":"Vayssiere","given":"Béatrice"},{"family":"De Vos","given":"Steve"},{"family":"Fletcher","given":"Stephen"},{"family":"Brys","given":"Reginald"},{"family":"Klooster","given":"Gerben","non-dropping-particle":"van 't"},{"family":"Feyen","given":"Jean H. M."},{"family":"Menet","given":"Christel"}],"issued":{"date-parts":[["2013",10,1]]}},"label":"page"},{"id":4993,"uris":["http://zotero.org/users/5409423/items/7JCA3N2Y"],"itemData":{"id":4993,"type":"article-journal","abstract":"Objective\nJanus kinase inhibitors (JAKinibs) are efficacious in rheumatoid arthritis (RA) with variable reported rates of adverse events, potentially related to differential JAK family member selectivity. Filgotinib was compared with baricitinib, tofacitinib and upadacitinib to elucidate the pharmacological basis underlying its clinical efficacy and safety.\n\nMethods\nIn vitro JAKinib inhibition of signal transducer and activator of transcription phosphorylation (pSTAT) was measured by flow cytometry in peripheral blood mononuclear cells and whole blood from healthy donors and patients with RA following cytokine stimulation of distinct JAK/STAT pathways. The average daily pSTAT and time above 50% inhibition were calculated at clinical plasma drug exposures in immune cells. The translation of these measures was evaluated in ex vivo-stimulated assays in phase 1 healthy volunteers.\n\nResults\nJAKinib potencies depended on cytokine stimulus, pSTAT readout and cell type. JAK1-dependent pathways (interferon (IFN)α/pSTAT5, interleukin (IL)-6/pSTAT1) were among the most potently inhibited by all JAKinibs in healthy and RA blood, with filgotinib exhibiting the greatest selectivity for JAK1 pathways. Filgotinib (200 mg once daily) had calculated average daily target inhibition for IFNα/pSTAT5 and IL-6/pSTAT1 that was equivalent to tofacitinib (5 mg two times per day), upadacitinib (15 mg once daily) and baricitinib (4 mg once daily), with the least average daily inhibition for the JAK2-dependent and JAK3-dependent pathways including IL-2, IL-15, IL-4 (JAK1/JAK3), IFNγ (JAK1/JAK2), granulocyte colony stimulating factor, IL-12, IL-23 (JAK2/tyrosine kinase 2) and granulocyte-macrophage colony-stimulating factor (JAK2/JAK2). Ex vivo pharmacodynamic data from phase 1 healthy volunteers clinically confirmed JAK1 selectivity of filgotinib.\n\nConclusion\nFilgotinib inhibited JAK1-mediated signalling similarly to other JAKinibs, but with less inhibition of JAK2-dependent and JAK3-dependent pathways, providing a mechanistic rationale for its apparently differentiated efficacy:safety profile.","container-title":"Annals of the Rheumatic Diseases","DOI":"10.1136/annrheumdis-2020-219012","ISSN":"0003-4967","issue":"7","journalAbbreviation":"Ann Rheum Dis","note":"PMID: 33741556\nPMCID: PMC8237188","page":"865-875","source":"PubMed Central","title":"JAK selectivity and the implications for clinical inhibition of pharmacodynamic cytokine signalling by filgotinib, upadacitinib, tofacitinib and baricitinib","volume":"80","author":[{"family":"Traves","given":"Paqui G"},{"family":"Murray","given":"Bernard"},{"family":"Campigotto","given":"Federico"},{"family":"Galien","given":"René"},{"family":"Meng","given":"Amy"},{"family":"Di Paolo","given":"Julie A"}],"issued":{"date-parts":[["2021",7]]}},"label":"page"}],"schema":"https://github.com/citation-style-language/schema/raw/master/csl-citation.json"} </w:instrText>
      </w:r>
      <w:r w:rsidR="005D293F">
        <w:fldChar w:fldCharType="separate"/>
      </w:r>
      <w:r w:rsidR="00F26098" w:rsidRPr="00F26098">
        <w:rPr>
          <w:rFonts w:ascii="Calibri Light" w:cs="Calibri Light"/>
          <w:vertAlign w:val="superscript"/>
        </w:rPr>
        <w:t>21,22</w:t>
      </w:r>
      <w:r w:rsidR="005D293F">
        <w:fldChar w:fldCharType="end"/>
      </w:r>
      <w:r w:rsidR="005D293F" w:rsidRPr="0011469C">
        <w:t xml:space="preserve"> </w:t>
      </w:r>
      <w:r w:rsidR="009102E5">
        <w:t xml:space="preserve">Efficacy in UC was demonstrated in the </w:t>
      </w:r>
      <w:r w:rsidR="00FE3B28">
        <w:t>pivot</w:t>
      </w:r>
      <w:r w:rsidR="00FF7B1E">
        <w:t xml:space="preserve">al </w:t>
      </w:r>
      <w:r w:rsidR="00AC4257">
        <w:t xml:space="preserve">phase IIb/III </w:t>
      </w:r>
      <w:r w:rsidR="009A0F9D">
        <w:t xml:space="preserve">SELECTION </w:t>
      </w:r>
      <w:r w:rsidR="00D80C2F">
        <w:t xml:space="preserve">studies </w:t>
      </w:r>
      <w:r w:rsidR="00843762">
        <w:t>for</w:t>
      </w:r>
      <w:r w:rsidR="000C4EF8">
        <w:t xml:space="preserve"> UC</w:t>
      </w:r>
      <w:r w:rsidR="009102E5">
        <w:t xml:space="preserve">, which were </w:t>
      </w:r>
      <w:r w:rsidR="00D80C2F">
        <w:t xml:space="preserve">published in the </w:t>
      </w:r>
      <w:r w:rsidR="00D80C2F" w:rsidRPr="008044B8">
        <w:rPr>
          <w:i/>
          <w:iCs/>
        </w:rPr>
        <w:t>Lancet</w:t>
      </w:r>
      <w:r w:rsidR="00D80C2F">
        <w:t xml:space="preserve"> </w:t>
      </w:r>
      <w:r w:rsidR="00862A1D">
        <w:t xml:space="preserve">in </w:t>
      </w:r>
      <w:r w:rsidR="00843762">
        <w:t>2021</w:t>
      </w:r>
      <w:r w:rsidR="009102E5">
        <w:t>.</w:t>
      </w:r>
      <w:r w:rsidR="00FF51AF">
        <w:fldChar w:fldCharType="begin"/>
      </w:r>
      <w:r w:rsidR="00F26098">
        <w:instrText xml:space="preserve"> ADDIN ZOTERO_ITEM CSL_CITATION {"citationID":"LIney7ps","properties":{"formattedCitation":"\\super 23\\nosupersub{}","plainCitation":"23","noteIndex":0},"citationItems":[{"id":4924,"uris":["http://zotero.org/users/5409423/items/HPVL5QDA"],"itemData":{"id":4924,"type":"article-journal","abstract":"Background\nThe global prevalence of ulcerative colitis is increasing, and induction and maintenance of remission is a crucial therapeutic goal. We assessed the efficacy and safety of filgotinib, a once-daily, oral Janus kinase 1 preferential inhibitor, for treatment of ulcerative colitis.\nMethods\nThis phase 2b/3, double-blind, randomised, placebo-controlled trial including two induction studies and one maintenance study was done in 341 study centres in 40 countries. Eligible patients were aged 18–75 years with moderately to severely active ulcerative colitis for at least 6 months before enrolment (induction study A: inadequate clinical response, loss of response to or intolerance to corticosteroids or immunosuppressants, naive to tumour necrosis factor [TNF] antagonists and vedolizumab [biologic-naive]; induction study B: inadequate clinical response, loss of response to or intolerance to any TNF antagonist or vedolizumab, no TNF antagonist or vedolizumab use within 8 weeks before screening [biologic-experienced]). Patients were randomly assigned 2:2:1 to receive oral filgotinib 200 mg, filgotinib 100 mg, or placebo once per day for 11 weeks. Patients who had either clinical remission or a Mayo Clinic Score response at week 10 in either induction study entered the maintenance study. Patients who received induction filgotinib were rerandomised 2:1 to continue their induction filgotinib regimen or to placebo. Patients who received induction placebo continued receiving placebo. The primary endpoint was clinical remission by Mayo endoscopic, rectal bleeding, and stool frequency subscores at weeks 10 and 58. For the induction studies, efficacy was assessed in all randomised patients who received at least one dose of study drug or placebo within that study. For the maintenance study, efficacy was assessed in all patients randomised to any filgotinib treatment group in the induction studies who received at least one dose of study drug or placebo in the maintenance study. Patients who received placebo throughout the induction and maintenance study were not included in the full analysis set for the maintenance study. Safety was assessed in all patients who received at least one dose of the study drug or placebo within each study. This trial is registered with ClinicalTrials.gov, NCT02914522.\nFindings\nBetween Nov 14, 2016, and March 31, 2020, we screened 2040 patients for eligibility. 659 patients enrolled in induction study A were randomly assigned to receive filgotinib 100 mg (n=277), filgotinib 200 mg (n=245), or placebo (n=137). 689 patients enrolled into induction study B were randomly assigned to receive filgotinib 100 mg (n=285), filgotinib 200 mg (n=262), or placebo (n=142). 34 patients in induction study A and 54 patients in induction study B discontinued the study drug before week 10. After efficacy assessment at week 10, 664 patients entered the maintenance study (391 from induction study A, 273 from induction study B). 93 patients continued to receive placebo. 270 patients who had received filgotinib 100 mg in the induction study were randomly assigned to receive filgotinib 100 mg (n=179) or placebo (n=91). 301 patients who had received filgotinib 200 mg in the induction study were randomly assigned to receive filgotinib 200 mg (n=202) or placebo (n=99). 263 patients discontinued treatment in the maintenance study. At week 10, a greater proportion of patients given filgotinib 200 mg had clinical remission than those given placebo (induction study A 26·1% vs 15·3%, difference 10·8%; 95% CI 2·1–19·5, p=0·0157; induction study B 11·5% vs 4·2%, 7·2%; 1·6–12·8, p=0·0103). At week 58, 37·2% of patients given filgotinib 200 mg had clinical remission versus 11·2% in the respective placebo group (difference 26·0%, 95% CI 16·0–35·9; p&lt;0·0001). Clinical remission was not significantly different between filgotinib 100 mg and placebo at week 10, but was significant by week 58 (23·8% vs 13·5%, 10·4%; 0·0–20·7, p=0·0420). The incidence of serious adverse events and adverse events of interest was similar between treatment groups. In the induction studies, serious adverse events occurred in 28 (5·0%) of 562 patients given filgotinib 100 mg, 22 (4·3%) of 507 patients given filgotinib 200 mg, and 13 (4·7%) of 279 patients given placebo. In the maintenance study, serious adverse events were reported in eight (4·5%) of 179 patients given filgotinib 100 mg, seven (7·7%) of 91 patients in the respective placebo group, nine (4·5%) of 202 patients in the filgotinib 200 mg group, and no patients in the respective placebo group. No deaths were reported during either induction study. Two patients died during the maintenance study; neither was related to treatment.\nInterpretation\nFilgotinib 200 mg was well tolerated, and efficacious in inducing and maintaining clinical remission compared with placebo in patients with moderately to severely active ulcerative colitis.\nFunding\nGilead Sciences.","container-title":"The Lancet","DOI":"10.1016/S0140-6736(21)00666-8","ISSN":"0140-6736","issue":"10292","journalAbbreviation":"The Lancet","language":"en","page":"2372-2384","source":"ScienceDirect","title":"Filgotinib as induction and maintenance therapy for ulcerative colitis (SELECTION): a phase 2b/3 double-blind, randomised, placebo-controlled trial","title-short":"Filgotinib as induction and maintenance therapy for ulcerative colitis (SELECTION)","volume":"397","author":[{"family":"Feagan","given":"Brian G"},{"family":"Danese","given":"Silvio"},{"family":"Loftus","given":"Edward V"},{"family":"Vermeire","given":"Séverine"},{"family":"Schreiber","given":"Stefan"},{"family":"Ritter","given":"Timothy"},{"family":"Fogel","given":"Ronald"},{"family":"Mehta","given":"Rajiv"},{"family":"Nijhawan","given":"Sandeep"},{"family":"Kempiński","given":"Radosław"},{"family":"Filip","given":"Rafał"},{"family":"Hospodarskyy","given":"Ihor"},{"family":"Seidler","given":"Ursula"},{"family":"Seibold","given":"Frank"},{"family":"Beales","given":"Ian L P"},{"family":"Kim","given":"Hyo Jong"},{"family":"McNally","given":"John"},{"family":"Yun","given":"Chohee"},{"family":"Zhao","given":"Sally"},{"family":"Liu","given":"Xiaopeng"},{"family":"Hsueh","given":"Chia-Hsiang"},{"family":"Tasset","given":"Chantal"},{"family":"Besuyen","given":"Robin"},{"family":"Watanabe","given":"Mamoru"},{"family":"Sandborn","given":"William J"},{"family":"Rogler","given":"Gerhard"},{"family":"Hibi","given":"Toshifumi"},{"family":"Peyrin-Biroulet","given":"Laurent"}],"issued":{"date-parts":[["2021",6,19]]}}}],"schema":"https://github.com/citation-style-language/schema/raw/master/csl-citation.json"} </w:instrText>
      </w:r>
      <w:r w:rsidR="00FF51AF">
        <w:fldChar w:fldCharType="separate"/>
      </w:r>
      <w:r w:rsidR="00F26098" w:rsidRPr="00F26098">
        <w:rPr>
          <w:rFonts w:ascii="Calibri Light" w:cs="Calibri Light"/>
          <w:vertAlign w:val="superscript"/>
        </w:rPr>
        <w:t>23</w:t>
      </w:r>
      <w:r w:rsidR="00FF51AF">
        <w:fldChar w:fldCharType="end"/>
      </w:r>
      <w:r w:rsidR="00D75112">
        <w:t xml:space="preserve"> </w:t>
      </w:r>
      <w:r w:rsidR="008C4D5F">
        <w:t>Biolo</w:t>
      </w:r>
      <w:r w:rsidR="00990EC5">
        <w:t xml:space="preserve">gic naïve and exposed </w:t>
      </w:r>
      <w:r w:rsidR="005A320A">
        <w:t>pa</w:t>
      </w:r>
      <w:r w:rsidR="00707E85">
        <w:t xml:space="preserve">tients were randomly assigned to receive once daily filgotinib </w:t>
      </w:r>
      <w:r w:rsidR="00C80036">
        <w:t xml:space="preserve">at </w:t>
      </w:r>
      <w:r w:rsidR="00707E85">
        <w:t xml:space="preserve">100mg </w:t>
      </w:r>
      <w:r w:rsidR="00C80036">
        <w:t xml:space="preserve">or 200mg or placebo in a 2:2:1 ratio </w:t>
      </w:r>
      <w:r w:rsidR="00F60BA5">
        <w:t>across</w:t>
      </w:r>
      <w:r w:rsidR="00C80036">
        <w:t xml:space="preserve"> two </w:t>
      </w:r>
      <w:r w:rsidR="00613FCA">
        <w:t xml:space="preserve">10-week </w:t>
      </w:r>
      <w:r w:rsidR="00C80036">
        <w:t>induction studies</w:t>
      </w:r>
      <w:r w:rsidR="004F2358">
        <w:t xml:space="preserve">; </w:t>
      </w:r>
      <w:r w:rsidR="00625CD5">
        <w:t>r</w:t>
      </w:r>
      <w:r w:rsidR="001842F1">
        <w:t xml:space="preserve">esponders </w:t>
      </w:r>
      <w:r w:rsidR="004F2358">
        <w:t xml:space="preserve">at the end of induction were </w:t>
      </w:r>
      <w:r w:rsidR="004D0EE0">
        <w:t>the</w:t>
      </w:r>
      <w:r w:rsidR="00C67E17">
        <w:t xml:space="preserve">n </w:t>
      </w:r>
      <w:r w:rsidR="001842F1">
        <w:t xml:space="preserve">re-randomised into the 58-week maintenance study. </w:t>
      </w:r>
      <w:r w:rsidR="00293959">
        <w:t xml:space="preserve">The primary outcome was clinical remission </w:t>
      </w:r>
      <w:r w:rsidR="00906070">
        <w:t>as per the Mayo score</w:t>
      </w:r>
      <w:r w:rsidR="00677E19">
        <w:t xml:space="preserve"> </w:t>
      </w:r>
      <w:r w:rsidR="00004D55">
        <w:t>defined by</w:t>
      </w:r>
      <w:r w:rsidR="00C0472D">
        <w:t xml:space="preserve"> an endoscopic </w:t>
      </w:r>
      <w:r w:rsidR="0029329A">
        <w:t xml:space="preserve">and </w:t>
      </w:r>
      <w:r w:rsidR="00227056">
        <w:t xml:space="preserve">stool frequency </w:t>
      </w:r>
      <w:proofErr w:type="spellStart"/>
      <w:r w:rsidR="00C0472D">
        <w:t>subscore</w:t>
      </w:r>
      <w:proofErr w:type="spellEnd"/>
      <w:r w:rsidR="00C0472D">
        <w:t xml:space="preserve"> of 0 or 1</w:t>
      </w:r>
      <w:r w:rsidR="00227056">
        <w:t xml:space="preserve"> and</w:t>
      </w:r>
      <w:r w:rsidR="0029329A">
        <w:t xml:space="preserve"> a rectal bleeding </w:t>
      </w:r>
      <w:proofErr w:type="spellStart"/>
      <w:r w:rsidR="0029329A">
        <w:t>subscore</w:t>
      </w:r>
      <w:proofErr w:type="spellEnd"/>
      <w:r w:rsidR="0029329A">
        <w:t xml:space="preserve"> of 0</w:t>
      </w:r>
      <w:r w:rsidR="00227056">
        <w:t>.</w:t>
      </w:r>
      <w:r w:rsidR="003E6CF3">
        <w:t xml:space="preserve"> The 200mg </w:t>
      </w:r>
      <w:r w:rsidR="00644346">
        <w:t xml:space="preserve">but not the </w:t>
      </w:r>
      <w:r w:rsidR="00644346">
        <w:lastRenderedPageBreak/>
        <w:t xml:space="preserve">100mg od dose </w:t>
      </w:r>
      <w:r w:rsidR="003E6CF3">
        <w:t xml:space="preserve">was </w:t>
      </w:r>
      <w:r w:rsidR="007E5572">
        <w:t>efficacious</w:t>
      </w:r>
      <w:r w:rsidR="003E6CF3">
        <w:t xml:space="preserve"> at inducing and maintaining remission</w:t>
      </w:r>
      <w:r w:rsidR="00644346">
        <w:t xml:space="preserve"> and met </w:t>
      </w:r>
      <w:r w:rsidR="00F706B1">
        <w:t xml:space="preserve">all pre-specified </w:t>
      </w:r>
      <w:r w:rsidR="00644346">
        <w:t>primary and secondary endpoints.</w:t>
      </w:r>
      <w:r w:rsidR="007056D6">
        <w:t xml:space="preserve"> </w:t>
      </w:r>
      <w:r w:rsidR="000E07B4">
        <w:t>Cu</w:t>
      </w:r>
      <w:r w:rsidR="002102AB">
        <w:t>r</w:t>
      </w:r>
      <w:r w:rsidR="000E07B4">
        <w:t>rently, t</w:t>
      </w:r>
      <w:r w:rsidR="00B86B93">
        <w:t xml:space="preserve">here are no </w:t>
      </w:r>
      <w:r w:rsidR="001E22B9">
        <w:t xml:space="preserve">published </w:t>
      </w:r>
      <w:r w:rsidR="00B86B93">
        <w:t xml:space="preserve">real-world outcomes for </w:t>
      </w:r>
      <w:r w:rsidR="001907BA">
        <w:t xml:space="preserve">the use of </w:t>
      </w:r>
      <w:r w:rsidR="00B86B93">
        <w:t>filgotinib</w:t>
      </w:r>
      <w:r w:rsidR="001907BA">
        <w:t xml:space="preserve"> in the treatment of UC</w:t>
      </w:r>
      <w:r w:rsidR="00357CA1">
        <w:t xml:space="preserve"> but outcomes of the Galapagos-sponsored</w:t>
      </w:r>
      <w:r w:rsidR="002F416B">
        <w:t xml:space="preserve">, </w:t>
      </w:r>
      <w:r w:rsidR="00357CA1">
        <w:t>prospective, observational study (GALOCEAN), are awaited.</w:t>
      </w:r>
      <w:r w:rsidR="00403235">
        <w:fldChar w:fldCharType="begin"/>
      </w:r>
      <w:r w:rsidR="00403235">
        <w:instrText xml:space="preserve"> ADDIN ZOTERO_ITEM CSL_CITATION {"citationID":"0ktboJcv","properties":{"formattedCitation":"\\super 24\\nosupersub{}","plainCitation":"24","noteIndex":0},"citationItems":[{"id":5085,"uris":["http://zotero.org/users/5409423/items/EJ3SCTLW"],"itemData":{"id":5085,"type":"report","abstract":"To describe the effectiveness, treatment patterns, quality of life, and safety of participants with moderately or severely active UC treated with filgotinib in a real-world setting.","genre":"Clinical trial registration","note":"submitted: April 5, 2023","number":"NCT05817942","publisher":"clinicaltrials.gov","source":"clinicaltrials.gov","title":"A Prospective, Non-interventional, Multi-country Cohort Study of the Effectiveness and Safety of Filgotinib in Adult Patients With Moderately to Severely Active Ulcerative Colitis","title-short":"Prospective Observational Study of Effectiveness and Safety of Filgotinib in Participants With Ulcerative Colitis (UC)","URL":"https://clinicaltrials.gov/study/NCT05817942","author":[{"literal":"Galapagos NV"}],"accessed":{"date-parts":[["2023",7,19]]},"issued":{"date-parts":[["2023",7,17]]}}}],"schema":"https://github.com/citation-style-language/schema/raw/master/csl-citation.json"} </w:instrText>
      </w:r>
      <w:r w:rsidR="00403235">
        <w:fldChar w:fldCharType="separate"/>
      </w:r>
      <w:r w:rsidR="00403235" w:rsidRPr="00403235">
        <w:rPr>
          <w:rFonts w:ascii="Calibri Light" w:cs="Calibri Light"/>
          <w:vertAlign w:val="superscript"/>
        </w:rPr>
        <w:t>24</w:t>
      </w:r>
      <w:r w:rsidR="00403235">
        <w:fldChar w:fldCharType="end"/>
      </w:r>
    </w:p>
    <w:p w14:paraId="4F0DEAB7" w14:textId="77777777" w:rsidR="00B86B93" w:rsidRPr="00E93657" w:rsidRDefault="00B86B93" w:rsidP="00BC04D3"/>
    <w:p w14:paraId="2B63B0C5" w14:textId="63DCC0E6" w:rsidR="00BC04D3" w:rsidRPr="00E93657" w:rsidRDefault="00C115C7" w:rsidP="000F295B">
      <w:pPr>
        <w:pStyle w:val="Heading1"/>
      </w:pPr>
      <w:r w:rsidRPr="00E93657">
        <w:t>Upadaci</w:t>
      </w:r>
      <w:r w:rsidR="00220D07" w:rsidRPr="00E93657">
        <w:t>tinib</w:t>
      </w:r>
      <w:r w:rsidR="00833643">
        <w:t xml:space="preserve">: a promising JAK1-selective </w:t>
      </w:r>
      <w:r w:rsidR="001C2323">
        <w:t xml:space="preserve">drug </w:t>
      </w:r>
      <w:r w:rsidR="00115570">
        <w:t xml:space="preserve">and the first to be </w:t>
      </w:r>
      <w:r w:rsidR="001C2323">
        <w:t xml:space="preserve">approved for </w:t>
      </w:r>
      <w:r w:rsidR="00B21622">
        <w:t xml:space="preserve">both </w:t>
      </w:r>
      <w:r w:rsidR="001C2323">
        <w:t>UC and CD</w:t>
      </w:r>
    </w:p>
    <w:p w14:paraId="48EDC5BB" w14:textId="5A173AE3" w:rsidR="007C2CE7" w:rsidRDefault="005D3084" w:rsidP="00930C00">
      <w:proofErr w:type="spellStart"/>
      <w:r>
        <w:t>Upadacitinib</w:t>
      </w:r>
      <w:proofErr w:type="spellEnd"/>
      <w:r w:rsidR="00D7220B">
        <w:t xml:space="preserve"> (</w:t>
      </w:r>
      <w:proofErr w:type="spellStart"/>
      <w:r w:rsidR="00D7220B">
        <w:t>Rinvoq</w:t>
      </w:r>
      <w:proofErr w:type="spellEnd"/>
      <w:r w:rsidR="00D7220B">
        <w:t>, AbbVie)</w:t>
      </w:r>
      <w:r w:rsidR="0031107A">
        <w:t xml:space="preserve"> is a </w:t>
      </w:r>
      <w:r w:rsidR="008065CF">
        <w:t xml:space="preserve">second generation </w:t>
      </w:r>
      <w:r w:rsidR="0031107A">
        <w:t xml:space="preserve">JAK1 </w:t>
      </w:r>
      <w:r w:rsidR="008065CF">
        <w:t xml:space="preserve">selective </w:t>
      </w:r>
      <w:r w:rsidR="00D1782B">
        <w:t>inhibitor,</w:t>
      </w:r>
      <w:r w:rsidR="0031107A">
        <w:t xml:space="preserve"> </w:t>
      </w:r>
      <w:r w:rsidR="00494C07">
        <w:t xml:space="preserve">and the only </w:t>
      </w:r>
      <w:r w:rsidR="006C267E">
        <w:t xml:space="preserve">JAKI </w:t>
      </w:r>
      <w:r w:rsidR="00E92BC3">
        <w:t xml:space="preserve">licensed </w:t>
      </w:r>
      <w:r w:rsidR="006C267E">
        <w:t xml:space="preserve">for </w:t>
      </w:r>
      <w:r w:rsidR="00E80C69">
        <w:t xml:space="preserve">both </w:t>
      </w:r>
      <w:r w:rsidR="006C267E">
        <w:t>moderate to severe UC and CD</w:t>
      </w:r>
      <w:r w:rsidR="00E92BC3">
        <w:t xml:space="preserve">; </w:t>
      </w:r>
      <w:r w:rsidR="000B6852">
        <w:t>MHRA</w:t>
      </w:r>
      <w:r w:rsidR="006C267E">
        <w:t xml:space="preserve"> </w:t>
      </w:r>
      <w:r w:rsidR="00494C07">
        <w:t>licens</w:t>
      </w:r>
      <w:r w:rsidR="006C267E">
        <w:t xml:space="preserve">ing </w:t>
      </w:r>
      <w:r w:rsidR="000B6852">
        <w:t>and NICE</w:t>
      </w:r>
      <w:r w:rsidR="00E92BC3">
        <w:t xml:space="preserve"> </w:t>
      </w:r>
      <w:r w:rsidR="000B6852">
        <w:t>approv</w:t>
      </w:r>
      <w:r w:rsidR="006C267E">
        <w:t xml:space="preserve">al </w:t>
      </w:r>
      <w:r w:rsidR="00E92BC3">
        <w:t xml:space="preserve">was received in </w:t>
      </w:r>
      <w:r w:rsidR="006C267E">
        <w:t>2023.</w:t>
      </w:r>
      <w:r w:rsidR="002E74C5">
        <w:fldChar w:fldCharType="begin"/>
      </w:r>
      <w:r w:rsidR="00403235">
        <w:instrText xml:space="preserve"> ADDIN ZOTERO_ITEM CSL_CITATION {"citationID":"n8gP5pUo","properties":{"formattedCitation":"\\super 25,26\\nosupersub{}","plainCitation":"25,26","noteIndex":0},"citationItems":[{"id":4954,"uris":["http://zotero.org/users/5409423/items/V3S82SMZ"],"itemData":{"id":4954,"type":"webpage","abstract":"Evidence-based recommendations on upadacitinib (Rinvoq) for treating moderately to severely active ulcerative colitis in adults","language":"eng","note":"publisher: NICE","title":"Overview | Upadacitinib for treating moderately to severely active ulcerative colitis | Guidance | NICE","URL":"https://www.nice.org.uk/guidance/ta856","accessed":{"date-parts":[["2023",7,9]]},"issued":{"date-parts":[["2023",1,4]]}}},{"id":4955,"uris":["http://zotero.org/users/5409423/items/PD8D4H4W"],"itemData":{"id":4955,"type":"webpage","abstract":"Evidence-based recommendations on upadacitinib (Rinvoq) for previously treated moderately to severely active Crohn’s disease in adults","language":"eng","note":"publisher: NICE","title":"Overview | Upadacitinib for previously treated moderately to severely active Crohn’s disease | Guidance | NICE","URL":"https://www.nice.org.uk/guidance/ta905","accessed":{"date-parts":[["2023",7,9]]},"issued":{"date-parts":[["2023",6,21]]}},"label":"page"}],"schema":"https://github.com/citation-style-language/schema/raw/master/csl-citation.json"} </w:instrText>
      </w:r>
      <w:r w:rsidR="002E74C5">
        <w:fldChar w:fldCharType="separate"/>
      </w:r>
      <w:r w:rsidR="00403235" w:rsidRPr="00403235">
        <w:rPr>
          <w:rFonts w:ascii="Calibri Light" w:cs="Calibri Light"/>
          <w:vertAlign w:val="superscript"/>
        </w:rPr>
        <w:t>25,26</w:t>
      </w:r>
      <w:r w:rsidR="002E74C5">
        <w:fldChar w:fldCharType="end"/>
      </w:r>
      <w:r w:rsidR="002D54D6">
        <w:t xml:space="preserve"> </w:t>
      </w:r>
      <w:r w:rsidR="00240B27">
        <w:t>Upadacitinib has six indications that also include RA, PsA, atopic dermatitis, axial spondyloarthritis.</w:t>
      </w:r>
      <w:r w:rsidR="00240B27">
        <w:fldChar w:fldCharType="begin"/>
      </w:r>
      <w:r w:rsidR="00403235">
        <w:instrText xml:space="preserve"> ADDIN ZOTERO_ITEM CSL_CITATION {"citationID":"Pu2xUxnb","properties":{"formattedCitation":"\\super 27\\nosupersub{}","plainCitation":"27","noteIndex":0},"citationItems":[{"id":4964,"uris":["http://zotero.org/users/5409423/items/7RWV4N2B"],"itemData":{"id":4964,"type":"webpage","title":"RINVOQ 15 mg prolonged-release tablets - Summary of Product Characteristics (SmPC) - (emc)","URL":"https://www.medicines.org.uk/emc/product/10972/smpc","accessed":{"date-parts":[["2023",7,10]]}}}],"schema":"https://github.com/citation-style-language/schema/raw/master/csl-citation.json"} </w:instrText>
      </w:r>
      <w:r w:rsidR="00240B27">
        <w:fldChar w:fldCharType="separate"/>
      </w:r>
      <w:r w:rsidR="00403235" w:rsidRPr="00403235">
        <w:rPr>
          <w:rFonts w:ascii="Calibri Light" w:cs="Calibri Light"/>
          <w:vertAlign w:val="superscript"/>
        </w:rPr>
        <w:t>27</w:t>
      </w:r>
      <w:r w:rsidR="00240B27">
        <w:fldChar w:fldCharType="end"/>
      </w:r>
      <w:r w:rsidR="00240B27">
        <w:t xml:space="preserve"> </w:t>
      </w:r>
      <w:r w:rsidR="007C2CE7">
        <w:t xml:space="preserve">NICE recommends that upadacitinib is used for UC when conventional </w:t>
      </w:r>
      <w:r w:rsidR="007C2CE7" w:rsidRPr="00E44E56">
        <w:rPr>
          <w:i/>
          <w:iCs/>
        </w:rPr>
        <w:t>or</w:t>
      </w:r>
      <w:r w:rsidR="007C2CE7">
        <w:t xml:space="preserve"> biologic therapy has been ineffective or intolerable</w:t>
      </w:r>
      <w:r w:rsidR="00440E0A">
        <w:t>,</w:t>
      </w:r>
      <w:r w:rsidR="00403235">
        <w:t xml:space="preserve"> similar to tofacitinib and filgotinib</w:t>
      </w:r>
      <w:r w:rsidR="007C2CE7">
        <w:t>.</w:t>
      </w:r>
      <w:r w:rsidR="007C2CE7" w:rsidRPr="007C2CE7">
        <w:t xml:space="preserve"> </w:t>
      </w:r>
      <w:r w:rsidR="007C2CE7">
        <w:t xml:space="preserve">For CD, however, patients must have </w:t>
      </w:r>
      <w:r w:rsidR="00DB39F9">
        <w:t xml:space="preserve">had prior </w:t>
      </w:r>
      <w:r w:rsidR="00132751">
        <w:t xml:space="preserve">biologic </w:t>
      </w:r>
      <w:r w:rsidR="00DB39F9">
        <w:t xml:space="preserve">exposure </w:t>
      </w:r>
      <w:r w:rsidR="00132751">
        <w:t>o</w:t>
      </w:r>
      <w:r w:rsidR="00DB39F9">
        <w:t>r have a contraindication to anti-</w:t>
      </w:r>
      <w:r w:rsidR="00DB39F9" w:rsidRPr="00CD7898">
        <w:t>TNF</w:t>
      </w:r>
      <w:r w:rsidR="00DB39F9">
        <w:t>-</w:t>
      </w:r>
      <w:r w:rsidR="00DB39F9">
        <w:sym w:font="Symbol" w:char="F061"/>
      </w:r>
      <w:r w:rsidR="00DB39F9">
        <w:t xml:space="preserve"> therapy </w:t>
      </w:r>
      <w:r w:rsidR="007C2CE7">
        <w:t>prior to upadacitinib use.</w:t>
      </w:r>
      <w:r w:rsidR="00243CD8">
        <w:t xml:space="preserve"> </w:t>
      </w:r>
    </w:p>
    <w:p w14:paraId="315C6B65" w14:textId="77777777" w:rsidR="0012702F" w:rsidRDefault="0012702F" w:rsidP="00930C00"/>
    <w:p w14:paraId="645A91D3" w14:textId="54A5D1AF" w:rsidR="00F13F75" w:rsidRPr="00776BFF" w:rsidRDefault="00B636E1" w:rsidP="00F13F75">
      <w:r>
        <w:t xml:space="preserve">Progression </w:t>
      </w:r>
      <w:r w:rsidR="00CA3F69">
        <w:t xml:space="preserve">to the phase III </w:t>
      </w:r>
      <w:r w:rsidR="00E83AE2">
        <w:t xml:space="preserve">trial </w:t>
      </w:r>
      <w:r w:rsidR="00CA3F69">
        <w:t>programme</w:t>
      </w:r>
      <w:r w:rsidR="0027573B">
        <w:t>s was based upon the success of the U-ACHIEVE a</w:t>
      </w:r>
      <w:r w:rsidR="00E83AE2">
        <w:t xml:space="preserve">nd CELEST </w:t>
      </w:r>
      <w:r w:rsidR="003432CB">
        <w:t xml:space="preserve">phase II </w:t>
      </w:r>
      <w:r w:rsidR="00250E1D">
        <w:t xml:space="preserve">dose-ranging </w:t>
      </w:r>
      <w:r w:rsidR="00E83AE2">
        <w:t xml:space="preserve">studies </w:t>
      </w:r>
      <w:r w:rsidR="003432CB">
        <w:t>for UC and CD, respectively.</w:t>
      </w:r>
      <w:r w:rsidR="003432CB">
        <w:fldChar w:fldCharType="begin"/>
      </w:r>
      <w:r w:rsidR="00403235">
        <w:instrText xml:space="preserve"> ADDIN ZOTERO_ITEM CSL_CITATION {"citationID":"uFQ3utTT","properties":{"formattedCitation":"\\super 28,29\\nosupersub{}","plainCitation":"28,29","noteIndex":0},"citationItems":[{"id":4958,"uris":["http://zotero.org/users/5409423/items/TGX5PLK7"],"itemData":{"id":4958,"type":"article-journal","abstract":"BACKGROUND &amp; AIMS: We evaluated the efficacy and safety of upadacitinib, an oral selective inhibitor of Janus kinase 1, as induction therapy for ulcerative colitis (UC).\nMETHODS: We performed a multicenter, double-blind, phase 2b study of 250 adults with moderately to severely active UC and an inadequate response, loss of response, or intolerance to corticosteroids, immunosuppressive agents, and/or biologic therapies. Patients were randomly assigned to groups that received placebo or induction therapy with upadacitinib (7.5 mg, 15 mg, 30 mg, or 45 mg, extended release), once daily for 8 weeks. The primary endpoint was the proportion of participants who achieve clinical remission according to the adapted Mayo score at week 8. No multiplicity adjustments were applied.\nRESULTS: At week 8, 8.5%, 14.3%, 13.5%, and 19.6% of patients receiving 7.5 mg, 15 mg, 30 mg, or 45 mg upadacitinib, respectively, achieved clinical remission compared with none of the patients receiving placebo (P = .052, P = .013, P = .011, and P = .002 compared with placebo, respectively). Endoscopic improvement at week 8, defined as endoscopic subscore of ≤ 1, was achieved in 14.9%, 30.6%, 26.9%, and 35.7% of patients receiving upadacitinib 7.5 mg, 15 mg, 30 mg, or 45 mg, respectively, compared with 2.2% receiving placebo (P = .033, P &lt; .001, P &lt; .001, and P &lt; .001 compared with placebo, respectively). One event of herpes zoster and 1 participant with pulmonary embolism and deep venous thrombosis (diagnosed 26 days after treatment discontinuation) were reported in the group that received upadacitinib 45 mg once daily. Increases in serum lipid levels and creatine phosphokinase with upadacitinib were observed.\nCONCLUSION: In a phase 2b trial, 8 weeks of treatment with upadacitinib was more effective than placebo for inducing remission in patients with moderately to severely active UC. (ClinicalTrials.gov, Number: NCT02819635).","container-title":"Gastroenterology","DOI":"10.1053/j.gastro.2020.02.030","ISSN":"1528-0012","issue":"8","journalAbbreviation":"Gastroenterology","language":"eng","note":"PMID: 32092309","page":"2139-2149.e14","source":"PubMed","title":"Efficacy of Upadacitinib in a Randomized Trial of Patients With Active Ulcerative Colitis","volume":"158","author":[{"family":"Sandborn","given":"William J."},{"family":"Ghosh","given":"Subrata"},{"family":"Panes","given":"Julian"},{"family":"Schreiber","given":"Stefan"},{"family":"D'Haens","given":"Geert"},{"family":"Tanida","given":"Satoshi"},{"family":"Siffledeen","given":"Jesse"},{"family":"Enejosa","given":"Jeffrey"},{"family":"Zhou","given":"Wen"},{"family":"Othman","given":"Ahmed A."},{"family":"Huang","given":"Bidan"},{"family":"Higgins","given":"Peter D. R."}],"issued":{"date-parts":[["2020",6]]}},"label":"page"},{"id":4960,"uris":["http://zotero.org/users/5409423/items/3RFSLS3X"],"itemData":{"id":4960,"type":"article-journal","abstract":"BACKGROUND &amp; AIMS: We evaluated the efficacy and safety of upadacitinib, an oral selective Janus kinase 1 inhibitor, in a randomized trial of patients with Crohn's disease (CD).\nMETHODS: We performed a double-blind, phase 2 trial in adults with moderate to severe CD and inadequate response or intolerance to immunosuppressants or tumor necrosis factor antagonists. Patients were randomly assigned (1:1:1:1:1:1) to groups given placebo; or 3 mg, 6 mg, 12 mg, or 24 mg upadacitinib twice daily; or 24 mg upadacitinib once daily and were evaluated by ileocolonoscopy at weeks 12 or 16 of the induction period. Patients who completed week 16 were re-randomized to a 36-week period of maintenance therapy with upadacitinib. The primary endpoints were clinical remission at week 16 and endoscopic remission at week 12 or 16 using the multiple comparison procedure and modeling and the Cochran-Mantel-Haenszel test, with a 2-sided level of 10%.\nRESULTS: Among the 220 patients in the study, clinical remission was achieved by 13% of patients receiving 3 mg upadacitinib, 27% of patients receiving 6 mg upadacitinib (P &lt; .1 vs placebo), 11% of patients receiving 12 mg upadacitinib, and 22% of patients receiving 24 mg upadacitinib twice daily, and by 14% of patients receiving 24 mg upadacitinib once daily, vs 11% of patients receiving placebo. Endoscopic remission was achieved by 10% (P &lt; .1 vs placebo), 8%, 8% (P &lt; .1 vs placebo), 22% (P &lt; .01 vs placebo), and 14% (P &lt; .05 vs placebo) of patients receiving upadacitinib, respectively, vs none of the patients receiving placebo. Endoscopic but not clinical remission increased with dose during the induction period. Efficacy was maintained for most endpoints through week 52. During the induction period, patients in the upadacitinib groups had higher incidences of infections and serious infections vs placebo. Patients in the twice-daily 12 mg and 24 mg upadacitinib groups had significant increases in total, high-density lipoprotein, and low-density lipoprotein cholesterol levels compared with patients in the placebo group.\nCONCLUSIONS: In a phase 2 trial of patients with CD, upadacitinib induced endoscopic remission in a significant proportion of patients compared with placebo. Upadacitinib's benefit/risk profile supports further development for treatment of CD. (Clinicaltrials.gov, Number: NCT02365649).","container-title":"Gastroenterology","DOI":"10.1053/j.gastro.2020.01.047","ISSN":"1528-0012","issue":"8","journalAbbreviation":"Gastroenterology","language":"eng","note":"PMID: 32044319","page":"2123-2138.e8","source":"PubMed","title":"Efficacy and Safety of Upadacitinib in a Randomized Trial of Patients With Crohn's Disease","volume":"158","author":[{"family":"Sandborn","given":"William J."},{"family":"Feagan","given":"Brian G."},{"family":"Loftus","given":"Edward V."},{"family":"Peyrin-Biroulet","given":"Laurent"},{"family":"Van Assche","given":"Gert"},{"family":"D'Haens","given":"Geert"},{"family":"Schreiber","given":"Stefan"},{"family":"Colombel","given":"Jean-Frederic"},{"family":"Lewis","given":"James D."},{"family":"Ghosh","given":"Subrata"},{"family":"Armuzzi","given":"Alessandro"},{"family":"Scherl","given":"Ellen"},{"family":"Herfarth","given":"Hans"},{"family":"Vitale","given":"Lauren"},{"family":"Mohamed","given":"Mohamed-Eslam F."},{"family":"Othman","given":"Ahmed A."},{"family":"Zhou","given":"Qian"},{"family":"Huang","given":"Bidan"},{"family":"Thakkar","given":"Roopal B."},{"family":"Pangan","given":"Aileen L."},{"family":"Lacerda","given":"Ana P."},{"family":"Panes","given":"Julian"}],"issued":{"date-parts":[["2020",6]]}},"label":"page"}],"schema":"https://github.com/citation-style-language/schema/raw/master/csl-citation.json"} </w:instrText>
      </w:r>
      <w:r w:rsidR="003432CB">
        <w:fldChar w:fldCharType="separate"/>
      </w:r>
      <w:r w:rsidR="00403235" w:rsidRPr="00403235">
        <w:rPr>
          <w:rFonts w:ascii="Calibri Light" w:cs="Calibri Light"/>
          <w:vertAlign w:val="superscript"/>
        </w:rPr>
        <w:t>28,29</w:t>
      </w:r>
      <w:r w:rsidR="003432CB">
        <w:fldChar w:fldCharType="end"/>
      </w:r>
      <w:r w:rsidR="00FC07E5">
        <w:t xml:space="preserve"> </w:t>
      </w:r>
      <w:r w:rsidR="00644B92">
        <w:t xml:space="preserve">The phase III UC programme consisted of two replicate eight-week </w:t>
      </w:r>
      <w:r w:rsidR="00644B92" w:rsidRPr="00644B92">
        <w:t>induction</w:t>
      </w:r>
      <w:r w:rsidR="00644B92">
        <w:t xml:space="preserve"> </w:t>
      </w:r>
      <w:r w:rsidR="00644B92" w:rsidRPr="00644B92">
        <w:t>studies</w:t>
      </w:r>
      <w:r w:rsidR="00644B92">
        <w:t xml:space="preserve"> and a single </w:t>
      </w:r>
      <w:r w:rsidR="00644B92" w:rsidRPr="00644B92">
        <w:t>52</w:t>
      </w:r>
      <w:r w:rsidR="00644B92">
        <w:t>-</w:t>
      </w:r>
      <w:r w:rsidR="00644B92" w:rsidRPr="00644B92">
        <w:t>week</w:t>
      </w:r>
      <w:r w:rsidR="00644B92">
        <w:t xml:space="preserve"> </w:t>
      </w:r>
      <w:r w:rsidR="00644B92" w:rsidRPr="00644B92">
        <w:t>maintenance study</w:t>
      </w:r>
      <w:r w:rsidR="009B2ACA">
        <w:t xml:space="preserve"> enroll</w:t>
      </w:r>
      <w:r w:rsidR="00127E19">
        <w:t>ing</w:t>
      </w:r>
      <w:r w:rsidR="009B2ACA">
        <w:t xml:space="preserve"> </w:t>
      </w:r>
      <w:r w:rsidR="005A1677">
        <w:t>induction</w:t>
      </w:r>
      <w:r w:rsidR="009B2ACA">
        <w:t xml:space="preserve"> responders </w:t>
      </w:r>
      <w:r w:rsidR="00186EEA">
        <w:t>(table 2)</w:t>
      </w:r>
      <w:r w:rsidR="009B2ACA">
        <w:t xml:space="preserve">. </w:t>
      </w:r>
      <w:r w:rsidR="00B64992">
        <w:t>The</w:t>
      </w:r>
      <w:r w:rsidR="0015221F">
        <w:t xml:space="preserve"> primary endpoint </w:t>
      </w:r>
      <w:r w:rsidR="00B64992">
        <w:t>of</w:t>
      </w:r>
      <w:r w:rsidR="0015221F">
        <w:t xml:space="preserve"> clinical remission</w:t>
      </w:r>
      <w:r w:rsidR="00C2767D">
        <w:t xml:space="preserve"> at both timepoints, based on an Adapted Mayo score that excluded Physician Global Assessment (PGA), </w:t>
      </w:r>
      <w:r w:rsidR="00B64992">
        <w:t xml:space="preserve">was </w:t>
      </w:r>
      <w:r w:rsidR="00C2767D">
        <w:t>achieved</w:t>
      </w:r>
      <w:r w:rsidR="00DF7B3F">
        <w:t xml:space="preserve"> with </w:t>
      </w:r>
      <w:r w:rsidR="00DE3451">
        <w:t xml:space="preserve">impressive superiority above placebo. Further, </w:t>
      </w:r>
      <w:r w:rsidR="00F13F75" w:rsidRPr="00776BFF">
        <w:t>all secondary endpoints</w:t>
      </w:r>
      <w:r w:rsidR="000342D3">
        <w:t xml:space="preserve"> were met</w:t>
      </w:r>
      <w:r w:rsidR="00F13F75" w:rsidRPr="00776BFF">
        <w:t>,</w:t>
      </w:r>
      <w:r w:rsidR="00E60CE4">
        <w:t xml:space="preserve"> which</w:t>
      </w:r>
      <w:r w:rsidR="00F13F75" w:rsidRPr="00776BFF">
        <w:t xml:space="preserve"> includ</w:t>
      </w:r>
      <w:r w:rsidR="00E60CE4">
        <w:t xml:space="preserve">ed </w:t>
      </w:r>
      <w:r w:rsidR="00F13F75" w:rsidRPr="00776BFF">
        <w:t>clinical, endoscopic, histological, and</w:t>
      </w:r>
      <w:r w:rsidR="00F13F75">
        <w:t xml:space="preserve"> </w:t>
      </w:r>
      <w:r w:rsidR="00F13F75">
        <w:lastRenderedPageBreak/>
        <w:t xml:space="preserve">quality of life </w:t>
      </w:r>
      <w:r w:rsidR="000A6978">
        <w:t xml:space="preserve">(QoL) </w:t>
      </w:r>
      <w:r w:rsidR="00F13F75" w:rsidRPr="00776BFF">
        <w:t>outcomes.</w:t>
      </w:r>
      <w:r w:rsidR="00EA7F22">
        <w:t xml:space="preserve"> </w:t>
      </w:r>
      <w:r w:rsidR="001171A4">
        <w:t>Upadacitinib also improved f</w:t>
      </w:r>
      <w:r w:rsidR="00E5522F">
        <w:t>aecal urgency a</w:t>
      </w:r>
      <w:r w:rsidR="00950F46">
        <w:t xml:space="preserve">nd </w:t>
      </w:r>
      <w:r w:rsidR="005F66E1">
        <w:t>abdominal pain</w:t>
      </w:r>
      <w:r w:rsidR="000A6978">
        <w:t xml:space="preserve">, </w:t>
      </w:r>
      <w:r w:rsidR="004D60CE">
        <w:t>symptoms that</w:t>
      </w:r>
      <w:r w:rsidR="000A6978">
        <w:t xml:space="preserve"> impact patient QoL but are </w:t>
      </w:r>
      <w:r w:rsidR="00AA391B">
        <w:t>rarely assessed</w:t>
      </w:r>
      <w:r w:rsidR="0056618F">
        <w:t xml:space="preserve"> in UC</w:t>
      </w:r>
      <w:r w:rsidR="00AA391B">
        <w:t xml:space="preserve"> trials</w:t>
      </w:r>
      <w:r w:rsidR="001171A4">
        <w:t>.</w:t>
      </w:r>
    </w:p>
    <w:p w14:paraId="4E7CF4BC" w14:textId="13F1D83F" w:rsidR="00551203" w:rsidRPr="00C85B8D" w:rsidRDefault="00452C91" w:rsidP="00C85B8D">
      <w:r>
        <w:t xml:space="preserve">Marketing authorisation for </w:t>
      </w:r>
      <w:r w:rsidR="00845030">
        <w:t xml:space="preserve">upadacitinib in </w:t>
      </w:r>
      <w:r>
        <w:t xml:space="preserve">CD </w:t>
      </w:r>
      <w:r w:rsidR="006C0B7A">
        <w:t>was support</w:t>
      </w:r>
      <w:r w:rsidR="00E9595C">
        <w:t xml:space="preserve">ed by the </w:t>
      </w:r>
      <w:r w:rsidR="000D4A88">
        <w:t xml:space="preserve">results of the </w:t>
      </w:r>
      <w:r w:rsidR="00E9595C">
        <w:t>12-week induction studies (U-EXCEL and U-EXCEED)</w:t>
      </w:r>
      <w:r w:rsidR="00061FF4">
        <w:t xml:space="preserve"> including </w:t>
      </w:r>
      <w:r w:rsidR="001D076B">
        <w:t>1,021 patients</w:t>
      </w:r>
      <w:r w:rsidR="00E9595C">
        <w:t xml:space="preserve">, and </w:t>
      </w:r>
      <w:r w:rsidR="00A54D1C">
        <w:t>a</w:t>
      </w:r>
      <w:r w:rsidR="00E9595C">
        <w:t xml:space="preserve"> 52-week maintenance study (U-ENDURE)</w:t>
      </w:r>
      <w:r w:rsidR="00755BF0">
        <w:t xml:space="preserve"> of 502 patients</w:t>
      </w:r>
      <w:r w:rsidR="00E9595C">
        <w:t>.</w:t>
      </w:r>
      <w:r w:rsidR="009B6E73">
        <w:fldChar w:fldCharType="begin"/>
      </w:r>
      <w:r w:rsidR="00403235">
        <w:instrText xml:space="preserve"> ADDIN ZOTERO_ITEM CSL_CITATION {"citationID":"ue7x04ao","properties":{"formattedCitation":"\\super 30\\nosupersub{}","plainCitation":"30","noteIndex":0},"citationItems":[{"id":4926,"uris":["http://zotero.org/users/5409423/items/2SI64HK4"],"itemData":{"id":4926,"type":"article-journal","container-title":"New England Journal of Medicine","DOI":"10.1056/NEJMoa2212728","ISSN":"0028-4793","issue":"21","note":"publisher: Massachusetts Medical Society\n_eprint: https://doi.org/10.1056/NEJMoa2212728\nPMID: 37224198","page":"1966-1980","source":"Taylor and Francis+NEJM","title":"Upadacitinib Induction and Maintenance Therapy for Crohn’s Disease","volume":"388","author":[{"family":"Loftus","given":"Edward V."},{"family":"Panés","given":"Julian"},{"family":"Lacerda","given":"Ana P."},{"family":"Peyrin-Biroulet","given":"Laurent"},{"family":"D’Haens","given":"Geert"},{"family":"Panaccione","given":"Remo"},{"family":"Reinisch","given":"Walter"},{"family":"Louis","given":"Edouard"},{"family":"Chen","given":"Minhu"},{"family":"Nakase","given":"Hiroshi"},{"family":"Begun","given":"Jakob"},{"family":"Boland","given":"Brigid S."},{"family":"Phillips","given":"Charles"},{"family":"Mohamed","given":"Mohamed-Eslam F."},{"family":"Liu","given":"Jianzhong"},{"family":"Geng","given":"Ziqian"},{"family":"Feng","given":"Tian"},{"family":"Dubcenco","given":"Elena"},{"family":"Colombel","given":"Jean-Frederic"}],"issued":{"date-parts":[["2023",5,25]]}}}],"schema":"https://github.com/citation-style-language/schema/raw/master/csl-citation.json"} </w:instrText>
      </w:r>
      <w:r w:rsidR="009B6E73">
        <w:fldChar w:fldCharType="separate"/>
      </w:r>
      <w:r w:rsidR="00403235" w:rsidRPr="00403235">
        <w:rPr>
          <w:rFonts w:ascii="Calibri Light" w:cs="Calibri Light"/>
          <w:vertAlign w:val="superscript"/>
        </w:rPr>
        <w:t>30</w:t>
      </w:r>
      <w:r w:rsidR="009B6E73">
        <w:fldChar w:fldCharType="end"/>
      </w:r>
      <w:r w:rsidR="0050210C">
        <w:t xml:space="preserve"> </w:t>
      </w:r>
      <w:r w:rsidR="00877D76">
        <w:t>Despite prior biologic exposure for t</w:t>
      </w:r>
      <w:r w:rsidR="00E74840">
        <w:t>hree quarters of patients</w:t>
      </w:r>
      <w:r w:rsidR="0006536D">
        <w:t xml:space="preserve">, </w:t>
      </w:r>
      <w:r w:rsidR="00AE77A3">
        <w:t xml:space="preserve">drug efficacy </w:t>
      </w:r>
      <w:r w:rsidR="00A277E3">
        <w:t>assessed</w:t>
      </w:r>
      <w:r w:rsidR="00AE77A3">
        <w:t xml:space="preserve"> by the co-primary endpoints of </w:t>
      </w:r>
      <w:r w:rsidR="00774612">
        <w:t xml:space="preserve">clinical remission and endoscopic response </w:t>
      </w:r>
      <w:r w:rsidR="006F4DAF">
        <w:t xml:space="preserve">at weeks 12 </w:t>
      </w:r>
      <w:r w:rsidR="00045E0D">
        <w:t>and 52</w:t>
      </w:r>
      <w:r w:rsidR="00851A76">
        <w:t xml:space="preserve"> </w:t>
      </w:r>
      <w:r w:rsidR="00A40ABE">
        <w:t>were striking.</w:t>
      </w:r>
      <w:r w:rsidR="00C85B8D">
        <w:t xml:space="preserve"> For induction</w:t>
      </w:r>
      <w:r w:rsidR="00C85B8D" w:rsidRPr="00C85B8D">
        <w:t xml:space="preserve">, the </w:t>
      </w:r>
      <w:r w:rsidR="00C85B8D">
        <w:t>proportion</w:t>
      </w:r>
      <w:r w:rsidR="00C85B8D" w:rsidRPr="00C85B8D">
        <w:t xml:space="preserve"> of patients </w:t>
      </w:r>
      <w:r w:rsidR="002E55D3">
        <w:t>in</w:t>
      </w:r>
      <w:r w:rsidR="00C85B8D" w:rsidRPr="00C85B8D">
        <w:t xml:space="preserve"> remission was nearly twice as high with upadacitinib </w:t>
      </w:r>
      <w:r w:rsidR="002E55D3">
        <w:t>compared to</w:t>
      </w:r>
      <w:r w:rsidR="00C85B8D" w:rsidRPr="00C85B8D">
        <w:t xml:space="preserve"> placebo </w:t>
      </w:r>
      <w:r w:rsidR="00F35D1A">
        <w:t>and at least three times as high for</w:t>
      </w:r>
      <w:r w:rsidR="00C85B8D" w:rsidRPr="00C85B8D">
        <w:t xml:space="preserve"> endoscopic response</w:t>
      </w:r>
      <w:r w:rsidR="00F35D1A">
        <w:t xml:space="preserve">. </w:t>
      </w:r>
      <w:r w:rsidR="00523B52">
        <w:t xml:space="preserve">For maintenance, </w:t>
      </w:r>
      <w:r w:rsidR="003B24F9">
        <w:t xml:space="preserve">the delta above placebo was </w:t>
      </w:r>
      <w:r w:rsidR="00C27CAA">
        <w:t xml:space="preserve">two to </w:t>
      </w:r>
      <w:r w:rsidR="008D2C82">
        <w:t>three-fold</w:t>
      </w:r>
      <w:r w:rsidR="00C27CAA">
        <w:t xml:space="preserve"> higher for remission </w:t>
      </w:r>
      <w:r w:rsidR="00FB3D66">
        <w:t xml:space="preserve">versus placebo </w:t>
      </w:r>
      <w:r w:rsidR="00C27CAA">
        <w:t xml:space="preserve">and almost six times higher </w:t>
      </w:r>
      <w:r w:rsidR="00FB3D66">
        <w:t>for endoscopic response.</w:t>
      </w:r>
      <w:r w:rsidR="00513128">
        <w:t xml:space="preserve"> </w:t>
      </w:r>
      <w:r w:rsidR="00AB3C48">
        <w:t xml:space="preserve">Differences of </w:t>
      </w:r>
      <w:r w:rsidR="001317BA">
        <w:t xml:space="preserve">this magnitude have not been seen in </w:t>
      </w:r>
      <w:r w:rsidR="00200179">
        <w:t>prior registration CD trials.</w:t>
      </w:r>
    </w:p>
    <w:p w14:paraId="48FA209E" w14:textId="2A77BFCB" w:rsidR="00694F7C" w:rsidRDefault="00694F7C" w:rsidP="00694F7C">
      <w:r>
        <w:t xml:space="preserve">Results from the upadacitinib trials have generated optimism in the IBD community for several reasons. Firstly, and while between-trial efficacy comparisons are unwise, the marked difference seen above placebo across the phase III IBD programme compared with previous trials cannot be discounted, particularly given the stricter, endoscopy-incorporating endpoints. Secondly, in the absence of head-to-head studies, network meta-analyses have repeatedly ranked upadacitinib highest for the induction of remission in UC, and the highest for maintenance of </w:t>
      </w:r>
      <w:r w:rsidRPr="00492246">
        <w:t>remission</w:t>
      </w:r>
      <w:r>
        <w:t xml:space="preserve"> in CD</w:t>
      </w:r>
      <w:r w:rsidRPr="00492246">
        <w:t>.</w:t>
      </w:r>
      <w:r>
        <w:fldChar w:fldCharType="begin"/>
      </w:r>
      <w:r w:rsidR="00403235">
        <w:instrText xml:space="preserve"> ADDIN ZOTERO_ITEM CSL_CITATION {"citationID":"npRndCiS","properties":{"formattedCitation":"\\super 31\\uc0\\u8211{}33\\nosupersub{}","plainCitation":"31–33","noteIndex":0},"citationItems":[{"id":4970,"uris":["http://zotero.org/users/5409423/items/4NQZASJP"],"itemData":{"id":4970,"type":"article-journal","container-title":"The Lancet Gastroenterology &amp; Hepatology","DOI":"10.1016/S2468-1253(21)00377-0","ISSN":"2468-1253, 2468-1156","issue":"2","journalAbbreviation":"The Lancet Gastroenterology &amp; Hepatology","language":"English","note":"publisher: Elsevier\nPMID: 34856198","page":"161-170","source":"www.thelancet.com","title":"Efficacy and safety of biologics and small molecule drugs for patients with moderate-to-severe ulcerative colitis: a systematic review and network meta-analysis","title-short":"Efficacy and safety of biologics and small molecule drugs for patients with moderate-to-severe ulcerative colitis","volume":"7","author":[{"family":"Lasa","given":"Juan S."},{"family":"Olivera","given":"Pablo A."},{"family":"Danese","given":"Silvio"},{"family":"Peyrin-Biroulet","given":"Laurent"}],"issued":{"date-parts":[["2022",2,1]]}},"label":"page"},{"id":4968,"uris":["http://zotero.org/users/5409423/items/S39XQ6QP"],"itemData":{"id":4968,"type":"article-journal","abstract":"Objective Biological therapies and small molecules continue to be evaluated in moderate to severely active ulcerative colitis, but are often studied in placebo-controlled trials, meaning their relative efficacy and safety is unknown. We examined this in a network meta-analysis.\nDesign We searched the literature to October 2021 to identify eligible trials. We judged efficacy using clinical remission, endoscopic improvement, or clinical response, and according to previous exposure or non-exposure to antitumour necrosis factor (TNF)-α therapy. We also assessed safety. We used a random effects model and reported data as pooled relative risks (RRs) with 95% CIs. Interventions were ranked according to their P-score.\nResults We identified 28 trials (12 504 patients). Based on failure to achieve clinical remission, upadacitinib 45 mg once daily ranked first versus placebo (RR 0.73; 95% CI 0.68 to 0.80, P-score 0.98), with infliximab 5 mg/kg and 10 mg/kg second and third, respectively. Upadacitinib ranked first for clinical remission in both patients naïve to anti-TNF-α drugs (RR 0.69; 95% CI 0.61 to 0.78, P-score 0.99) and previously exposed (RR 0.78; 95% CI 0.72 to 0.85, P-score 0.99). Upadacitinib was superior to almost all other drugs in these analyses. Based on failure to achieve endoscopic improvement infliximab 10 mg/kg ranked first (RR 0.61; 95% CI 0.51 to 0.72, P-score 0.97), with upadacitinib 45 mg once daily, second, and infliximab 5 mg/kg third. Upadacitinib was more likely to lead to adverse events, but serious adverse events were no more frequent, and withdrawals due to adverse events were significantly lower than with placebo. Infections were significantly more likely with tofacitinib than placebo (RR 1.41; 95% CI 1.03 to 1.91).\nConclusion In a network meta-analysis, upadacitinib 45 mg once daily ranked first for clinical remission in all patients, patients naïve to anti-TNF-α drugs and patients previously exposed. Infliximab 10 mg/kg ranked first for endoscopic improvement. Most drugs were safe and well tolerated.","container-title":"Gut","DOI":"10.1136/gutjnl-2021-326390","ISSN":"0017-5749, 1468-3288","issue":"10","language":"en","license":"© Author(s) (or their employer(s)) 2022. No commercial re-use. See rights and permissions. Published by BMJ.","note":"publisher: BMJ Publishing Group\nsection: Inflammatory bowel disease\nPMID: 34937767","page":"1976-1987","source":"gut.bmj.com","title":"Efficacy of biological therapies and small molecules in moderate to severe ulcerative colitis: systematic review and network meta-analysis","title-short":"Efficacy of biological therapies and small molecules in moderate to severe ulcerative colitis","volume":"71","author":[{"family":"Burr","given":"Nicholas E."},{"family":"Gracie","given":"David J."},{"family":"Black","given":"Christopher J."},{"family":"Ford","given":"Alexander C."}],"issued":{"date-parts":[["2022",10,1]]}},"label":"page"},{"id":4973,"uris":["http://zotero.org/users/5409423/items/J28C9H2I"],"itemData":{"id":4973,"type":"article-journal","abstract":"Objective There are numerous biological therapies and small molecules licensed for luminal Crohn’s disease (CD), but these are often studied in placebo-controlled trials, meaning relative efficacy is uncertain. We examined this in a network meta-analysis.\nDesign We searched the literature to 1 July 2022, judging efficacy according to induction of clinical remission, clinical response and maintenance of clinical remission, and according to previous exposure or non-exposure to biologics. We used a random effects model and reported data as pooled relative risks (RRs) with 95% CIs, ranking drugs according to p-score.\nResults We identified 25 induction of remission trials (8720 patients). Based on failure to achieve clinical remission, infliximab 5 mg/kg ranked first versus placebo (RR=0.67, 95% CI 0.56 to 0.79, p-score 0.95), with risankizumab 600 mg second and upadacitinib 45 mg once daily third. However, risankizumab 600 mg ranked first for clinical remission in biologic-naïve (RR=0.66, 95% CI 0.52 to 0.85, p-score 0.78) and in biologic-exposed patients (RR=0.74, 95% CI 0.67 to 0.82, p-score 0.92). In 15 maintenance of remission trials (4016 patients), based on relapse of disease activity, upadacitinib 30 mg once daily ranked first (RR=0.61, 95% CI 0.52 to 0.72, p-score 0.93) with adalimumab 40 mg weekly second, and infliximab 10 mg/kg 8-weekly third. Adalimumab 40 mg weekly ranked first in biologic-naïve patients (RR=0.59, 95% CI 0.48 to 0.73, p-score 0.86), and vedolizumab 108 mg 2-weekly first in biologic-exposed (RR=0.70, 95% CI 0.57 to 0.86, p-score 0.82).\nConclusion In a network meta-analysis, infliximab 5 mg/kg ranked first for induction of clinical remission in all patients with luminal CD, but risankizumab 600 mg was first in biologic-naïve and biologic-exposed patients. Upadacitinib 30 mg once daily ranked first for maintenance of remission.","container-title":"Gut","DOI":"10.1136/gutjnl-2022-328052","ISSN":"0017-5749, 1468-3288","issue":"2","language":"en","license":"© Author(s) (or their employer(s)) 2023. No commercial re-use. See rights and permissions. Published by BMJ.","note":"publisher: BMJ Publishing Group\nsection: Inflammatory bowel disease\nPMID: 35907636","page":"264-274","source":"gut.bmj.com","title":"Efficacy of biological therapies and small molecules in induction and maintenance of remission in luminal Crohn’s disease: systematic review and network meta-analysis","title-short":"Efficacy of biological therapies and small molecules in induction and maintenance of remission in luminal Crohn’s disease","volume":"72","author":[{"family":"Barberio","given":"Brigida"},{"family":"Gracie","given":"David J."},{"family":"Black","given":"Christopher J."},{"family":"Ford","given":"Alexander C."}],"issued":{"date-parts":[["2023",2,1]]}},"label":"page"}],"schema":"https://github.com/citation-style-language/schema/raw/master/csl-citation.json"} </w:instrText>
      </w:r>
      <w:r>
        <w:fldChar w:fldCharType="separate"/>
      </w:r>
      <w:r w:rsidR="00403235" w:rsidRPr="00403235">
        <w:rPr>
          <w:rFonts w:ascii="Calibri Light" w:cs="Calibri Light"/>
          <w:vertAlign w:val="superscript"/>
        </w:rPr>
        <w:t>31–33</w:t>
      </w:r>
      <w:r>
        <w:fldChar w:fldCharType="end"/>
      </w:r>
      <w:r>
        <w:t xml:space="preserve"> Thirdly, the rapidity of onset, as significant improvement in symptoms were seen as early as 24 hours for UC and 14 days for CD.</w:t>
      </w:r>
      <w:r>
        <w:fldChar w:fldCharType="begin"/>
      </w:r>
      <w:r w:rsidR="00403235">
        <w:instrText xml:space="preserve"> ADDIN ZOTERO_ITEM CSL_CITATION {"citationID":"ItUwbrSO","properties":{"formattedCitation":"\\super 30,34\\nosupersub{}","plainCitation":"30,34","noteIndex":0},"citationItems":[{"id":4926,"uris":["http://zotero.org/users/5409423/items/2SI64HK4"],"itemData":{"id":4926,"type":"article-journal","container-title":"New England Journal of Medicine","DOI":"10.1056/NEJMoa2212728","ISSN":"0028-4793","issue":"21","note":"publisher: Massachusetts Medical Society\n_eprint: https://doi.org/10.1056/NEJMoa2212728\nPMID: 37224198","page":"1966-1980","source":"Taylor and Francis+NEJM","title":"Upadacitinib Induction and Maintenance Therapy for Crohn’s Disease","volume":"388","author":[{"family":"Loftus","given":"Edward V."},{"family":"Panés","given":"Julian"},{"family":"Lacerda","given":"Ana P."},{"family":"Peyrin-Biroulet","given":"Laurent"},{"family":"D’Haens","given":"Geert"},{"family":"Panaccione","given":"Remo"},{"family":"Reinisch","given":"Walter"},{"family":"Louis","given":"Edouard"},{"family":"Chen","given":"Minhu"},{"family":"Nakase","given":"Hiroshi"},{"family":"Begun","given":"Jakob"},{"family":"Boland","given":"Brigid S."},{"family":"Phillips","given":"Charles"},{"family":"Mohamed","given":"Mohamed-Eslam F."},{"family":"Liu","given":"Jianzhong"},{"family":"Geng","given":"Ziqian"},{"family":"Feng","given":"Tian"},{"family":"Dubcenco","given":"Elena"},{"family":"Colombel","given":"Jean-Frederic"}],"issued":{"date-parts":[["2023",5,25]]}},"label":"page"},{"id":4966,"uris":["http://zotero.org/users/5409423/items/3HB9GJ65"],"itemData":{"id":4966,"type":"article-journal","abstract":"BACKGROUND &amp; AIMS: We evaluated the efficacy of once-daily (QD) upadacitinib 45 mg, an oral, reversible Janus kinase inhibitor, on early symptomatic improvement for ulcerative colitis (UC). Post hoc analyses were performed on pooled data from 2 replicate, phase 3, multicenter induction trials, U-ACHIEVE Induction and U-ACCOMPLISH, to determine the earliest time point of efficacy onset.\nMETHODS: Diary entry data through 14 days from the first dose of placebo or upadacitinib 45 mg QD were analyzed for daily improvement in UC symptoms (stool frequency, rectal bleeding, abdominal pain, and bowel urgency). Changes in inflammatory markers, high-sensitivity C-reactive protein (hs-CRP), and fecal calprotectin (FCP) were assessed at week 2 and quality of life (QoL) at weeks 2 and 8. Regression analysis determined the association between changes in UC symptoms and the likelihood of achieving clinical remission/response per Adapted Mayo score at week 8.\nRESULTS: Overall, 988 patients (n = 328 placebo, n = 660 upadacitinib) were analyzed. Patients treated with upadacitinib demonstrated significant improvements vs placebo in all UC symptoms between days 1 and 3 and maintained through day 14. A &gt;50% reduction from baseline in hs-CRP and FCP levels was achieved by 75.7% and 48.2% of patients, respectively (P &lt; .001 vs placebo). Increased rates of clinical remission/response per Partial Mayo score from week 2 (26.9%/59.4% upadacitinib 45 mg QD vs 4.3%/22.3% placebo, P &lt; .001) and significant improvements in QoL at weeks 2 and 8 were observed. Early improvement in stool frequency and bowel urgency by day 3 and reductions in hs-CRP and FCP by week 2 were significantly associated with clinical remission/response at week 8.\nCONCLUSIONS: Upadacitinib 45 mg QD provided rapid relief of UC symptoms from day 1.\nCLINICALTRIALS: gov: U-ACHIEVE Induction (NCT02819635) and U-ACCOMPLISH (NCT03653026).","container-title":"Clinical Gastroenterology and Hepatology: The Official Clinical Practice Journal of the American Gastroenterological Association","DOI":"10.1016/j.cgh.2022.11.029","ISSN":"1542-7714","journalAbbreviation":"Clin Gastroenterol Hepatol","language":"eng","note":"PMID: 36464141","page":"S1542-3565(22)01109-0","source":"PubMed","title":"Upadacitinib Therapy Reduces Ulcerative Colitis Symptoms as Early as Day 1 of Induction Treatment","author":[{"family":"Loftus","given":"Edward V."},{"family":"Colombel","given":"Jean-Frederic"},{"family":"Takeuchi","given":"Ken"},{"family":"Gao","given":"Xiang"},{"family":"Panaccione","given":"Remo"},{"family":"Danese","given":"Silvio"},{"family":"Dubinsky","given":"Marla"},{"family":"Schreiber","given":"Stefan"},{"family":"Ilo","given":"Dapo"},{"family":"Finney-Hayward","given":"Tricia"},{"family":"Zhou","given":"Wen"},{"family":"Phillips","given":"Charles"},{"family":"Gonzalez","given":"Yuri Sanchez"},{"family":"Shu","given":"Lei"},{"family":"Yao","given":"Xuan"},{"family":"Zhou","given":"Qing"},{"family":"Vermeire","given":"Séverine"}],"issued":{"date-parts":[["2022",12,1]]}},"label":"page"}],"schema":"https://github.com/citation-style-language/schema/raw/master/csl-citation.json"} </w:instrText>
      </w:r>
      <w:r>
        <w:fldChar w:fldCharType="separate"/>
      </w:r>
      <w:r w:rsidR="00403235" w:rsidRPr="00403235">
        <w:rPr>
          <w:rFonts w:ascii="Calibri Light" w:cs="Calibri Light"/>
          <w:vertAlign w:val="superscript"/>
        </w:rPr>
        <w:t>30,34</w:t>
      </w:r>
      <w:r>
        <w:fldChar w:fldCharType="end"/>
      </w:r>
      <w:r>
        <w:t xml:space="preserve"> Finally, its efficacy in treating extraintestinal manifestations (EIM) and co-existing IMIDs. In U-ENDURE, upadacitinib was more likely than placebo to resolve EIMs at the 30mg dose and among all JAKI, upadacitinib has the highest number of therapeutic indications for IMIDs. The </w:t>
      </w:r>
      <w:r>
        <w:lastRenderedPageBreak/>
        <w:t xml:space="preserve">U-ENDURE LTE and the prospective real-world studies PROFUNDUS (UC) and </w:t>
      </w:r>
      <w:proofErr w:type="spellStart"/>
      <w:r>
        <w:t>UPlift</w:t>
      </w:r>
      <w:proofErr w:type="spellEnd"/>
      <w:r>
        <w:t xml:space="preserve"> (CD) will determine </w:t>
      </w:r>
      <w:r w:rsidR="00291CDA">
        <w:t>the</w:t>
      </w:r>
      <w:r>
        <w:t xml:space="preserve"> durability of efficacy and safety and </w:t>
      </w:r>
      <w:r w:rsidR="00B705D3">
        <w:t xml:space="preserve">its </w:t>
      </w:r>
      <w:r>
        <w:t>generalisation to everyday practice.</w:t>
      </w:r>
      <w:r>
        <w:fldChar w:fldCharType="begin"/>
      </w:r>
      <w:r w:rsidR="00403235">
        <w:instrText xml:space="preserve"> ADDIN ZOTERO_ITEM CSL_CITATION {"citationID":"a2IcCap9","properties":{"formattedCitation":"\\super 35,36\\nosupersub{}","plainCitation":"35,36","noteIndex":0},"citationItems":[{"id":4976,"uris":["http://zotero.org/users/5409423/items/F4UI4XEP"],"itemData":{"id":4976,"type":"webpage","abstract":"An Observational Study to Assess Change in Disease Activity and Adverse Events of Upadacitinib in Adult Participants With Moderate to Severe Ulcerative Colitis (UC) in Real-World Practice - Full Text View.","language":"en","title":"An Observational Study to Assess Change in Disease Activity and Adverse Events of Upadacitinib in Adult Participants With Moderate to Severe Ulcerative Colitis (UC) in Real-World Practice - Full Text View - ClinicalTrials.gov","URL":"https://clinicaltrials.gov/ct2/show/NCT05494606","accessed":{"date-parts":[["2023",7,12]]}},"label":"page"},{"id":4978,"uris":["http://zotero.org/users/5409423/items/EXMU2ZMM"],"itemData":{"id":4978,"type":"webpage","abstract":"Study to Assess Speed of Onset and Durability of Effectiveness of Upadacitinib in Adult Participants With Moderate to Severe Crohn's Disease (CD) in Real World Clinical Practice. - Full Text View.","language":"en","title":"Study to Assess Speed of Onset and Durability of Effectiveness of Upadacitinib in Adult Participants With Moderate to Severe Crohn's Disease (CD) in Real World Clinical Practice. - Full Text View - ClinicalTrials.gov","URL":"https://clinicaltrials.gov/ct2/show/NCT05930275","accessed":{"date-parts":[["2023",7,12]]}},"label":"page"}],"schema":"https://github.com/citation-style-language/schema/raw/master/csl-citation.json"} </w:instrText>
      </w:r>
      <w:r>
        <w:fldChar w:fldCharType="separate"/>
      </w:r>
      <w:r w:rsidR="00403235" w:rsidRPr="00403235">
        <w:rPr>
          <w:rFonts w:ascii="Calibri Light" w:cs="Calibri Light"/>
          <w:vertAlign w:val="superscript"/>
        </w:rPr>
        <w:t>35,36</w:t>
      </w:r>
      <w:r>
        <w:fldChar w:fldCharType="end"/>
      </w:r>
      <w:r w:rsidR="00551203">
        <w:t xml:space="preserve"> </w:t>
      </w:r>
    </w:p>
    <w:p w14:paraId="4D3AF702" w14:textId="77777777" w:rsidR="005A3E18" w:rsidRPr="00E93657" w:rsidRDefault="005A3E18">
      <w:pPr>
        <w:spacing w:line="240" w:lineRule="auto"/>
        <w:sectPr w:rsidR="005A3E18" w:rsidRPr="00E93657" w:rsidSect="00E8721C">
          <w:pgSz w:w="11906" w:h="16838"/>
          <w:pgMar w:top="1440" w:right="1440" w:bottom="1440" w:left="1440" w:header="708" w:footer="708" w:gutter="0"/>
          <w:cols w:space="708"/>
          <w:docGrid w:linePitch="360"/>
        </w:sectPr>
      </w:pPr>
      <w:r w:rsidRPr="00E93657">
        <w:br w:type="page"/>
      </w:r>
    </w:p>
    <w:p w14:paraId="0FAEBA7E" w14:textId="0A8F2E98" w:rsidR="00930C00" w:rsidRPr="00E93657" w:rsidRDefault="00930C00" w:rsidP="006E7A35">
      <w:pPr>
        <w:pStyle w:val="Heading1"/>
      </w:pPr>
      <w:r w:rsidRPr="00E93657">
        <w:lastRenderedPageBreak/>
        <w:t xml:space="preserve">Table </w:t>
      </w:r>
      <w:r w:rsidR="00452451" w:rsidRPr="00E93657">
        <w:t>1</w:t>
      </w:r>
      <w:r w:rsidRPr="00E93657">
        <w:t xml:space="preserve">: </w:t>
      </w:r>
      <w:r w:rsidR="00FF1DBE" w:rsidRPr="00E93657">
        <w:t xml:space="preserve">Currently licensed </w:t>
      </w:r>
      <w:r w:rsidRPr="00E93657">
        <w:t>JAK inhibitors</w:t>
      </w:r>
      <w:r w:rsidR="008B5B23" w:rsidRPr="00E93657">
        <w:t xml:space="preserve"> for </w:t>
      </w:r>
      <w:r w:rsidR="00FF1DBE" w:rsidRPr="00E93657">
        <w:t>inflammatory bowel disease</w:t>
      </w:r>
    </w:p>
    <w:tbl>
      <w:tblPr>
        <w:tblStyle w:val="GridTable4-Accent1"/>
        <w:tblW w:w="14014" w:type="dxa"/>
        <w:tblLook w:val="0420" w:firstRow="1" w:lastRow="0" w:firstColumn="0" w:lastColumn="0" w:noHBand="0" w:noVBand="1"/>
      </w:tblPr>
      <w:tblGrid>
        <w:gridCol w:w="2405"/>
        <w:gridCol w:w="142"/>
        <w:gridCol w:w="3407"/>
        <w:gridCol w:w="4106"/>
        <w:gridCol w:w="3954"/>
      </w:tblGrid>
      <w:tr w:rsidR="006F158B" w:rsidRPr="00B6564F" w14:paraId="22AF0F94" w14:textId="77777777" w:rsidTr="00EC2F02">
        <w:trPr>
          <w:cnfStyle w:val="100000000000" w:firstRow="1" w:lastRow="0" w:firstColumn="0" w:lastColumn="0" w:oddVBand="0" w:evenVBand="0" w:oddHBand="0" w:evenHBand="0" w:firstRowFirstColumn="0" w:firstRowLastColumn="0" w:lastRowFirstColumn="0" w:lastRowLastColumn="0"/>
          <w:trHeight w:val="457"/>
        </w:trPr>
        <w:tc>
          <w:tcPr>
            <w:tcW w:w="2405" w:type="dxa"/>
            <w:vAlign w:val="center"/>
            <w:hideMark/>
          </w:tcPr>
          <w:p w14:paraId="77D12179" w14:textId="77777777" w:rsidR="005A3E18" w:rsidRPr="00B6564F" w:rsidRDefault="005A3E18" w:rsidP="000F4D3D">
            <w:pPr>
              <w:spacing w:line="240" w:lineRule="auto"/>
              <w:jc w:val="center"/>
              <w:rPr>
                <w:sz w:val="20"/>
                <w:szCs w:val="20"/>
              </w:rPr>
            </w:pPr>
          </w:p>
        </w:tc>
        <w:tc>
          <w:tcPr>
            <w:tcW w:w="3549" w:type="dxa"/>
            <w:gridSpan w:val="2"/>
            <w:vAlign w:val="center"/>
            <w:hideMark/>
          </w:tcPr>
          <w:p w14:paraId="2A23EF0F" w14:textId="76325572" w:rsidR="005A3E18" w:rsidRPr="00B6564F" w:rsidRDefault="005A3E18" w:rsidP="000F4D3D">
            <w:pPr>
              <w:spacing w:line="240" w:lineRule="auto"/>
              <w:jc w:val="center"/>
              <w:rPr>
                <w:sz w:val="20"/>
                <w:szCs w:val="20"/>
              </w:rPr>
            </w:pPr>
            <w:r w:rsidRPr="00B6564F">
              <w:rPr>
                <w:sz w:val="20"/>
                <w:szCs w:val="20"/>
              </w:rPr>
              <w:t>Tofacitinib</w:t>
            </w:r>
            <w:r w:rsidR="00DF08D7" w:rsidRPr="00B6564F">
              <w:rPr>
                <w:b w:val="0"/>
                <w:bCs w:val="0"/>
                <w:sz w:val="20"/>
                <w:szCs w:val="20"/>
              </w:rPr>
              <w:t xml:space="preserve"> </w:t>
            </w:r>
            <w:r w:rsidRPr="00B6564F">
              <w:rPr>
                <w:sz w:val="20"/>
                <w:szCs w:val="20"/>
              </w:rPr>
              <w:t>(Xeljanz)</w:t>
            </w:r>
          </w:p>
        </w:tc>
        <w:tc>
          <w:tcPr>
            <w:tcW w:w="4106" w:type="dxa"/>
            <w:vAlign w:val="center"/>
            <w:hideMark/>
          </w:tcPr>
          <w:p w14:paraId="16A401BB" w14:textId="4CD4E463" w:rsidR="005A3E18" w:rsidRPr="00B6564F" w:rsidRDefault="005A3E18" w:rsidP="000F4D3D">
            <w:pPr>
              <w:spacing w:line="240" w:lineRule="auto"/>
              <w:jc w:val="center"/>
              <w:rPr>
                <w:sz w:val="20"/>
                <w:szCs w:val="20"/>
              </w:rPr>
            </w:pPr>
            <w:proofErr w:type="spellStart"/>
            <w:r w:rsidRPr="00B6564F">
              <w:rPr>
                <w:sz w:val="20"/>
                <w:szCs w:val="20"/>
              </w:rPr>
              <w:t>Filgotinib</w:t>
            </w:r>
            <w:proofErr w:type="spellEnd"/>
            <w:r w:rsidR="00DF08D7" w:rsidRPr="00B6564F">
              <w:rPr>
                <w:b w:val="0"/>
                <w:bCs w:val="0"/>
                <w:sz w:val="20"/>
                <w:szCs w:val="20"/>
              </w:rPr>
              <w:t xml:space="preserve"> </w:t>
            </w:r>
            <w:r w:rsidRPr="00B6564F">
              <w:rPr>
                <w:sz w:val="20"/>
                <w:szCs w:val="20"/>
              </w:rPr>
              <w:t>(</w:t>
            </w:r>
            <w:proofErr w:type="spellStart"/>
            <w:r w:rsidRPr="00B6564F">
              <w:rPr>
                <w:sz w:val="20"/>
                <w:szCs w:val="20"/>
              </w:rPr>
              <w:t>Jyseleca</w:t>
            </w:r>
            <w:proofErr w:type="spellEnd"/>
            <w:r w:rsidRPr="00B6564F">
              <w:rPr>
                <w:sz w:val="20"/>
                <w:szCs w:val="20"/>
              </w:rPr>
              <w:t>)</w:t>
            </w:r>
          </w:p>
        </w:tc>
        <w:tc>
          <w:tcPr>
            <w:tcW w:w="3954" w:type="dxa"/>
            <w:vAlign w:val="center"/>
            <w:hideMark/>
          </w:tcPr>
          <w:p w14:paraId="1DB77924" w14:textId="2CC05B39" w:rsidR="005A3E18" w:rsidRPr="00B6564F" w:rsidRDefault="005A3E18" w:rsidP="000F4D3D">
            <w:pPr>
              <w:spacing w:line="240" w:lineRule="auto"/>
              <w:jc w:val="center"/>
              <w:rPr>
                <w:sz w:val="20"/>
                <w:szCs w:val="20"/>
              </w:rPr>
            </w:pPr>
            <w:proofErr w:type="spellStart"/>
            <w:r w:rsidRPr="00B6564F">
              <w:rPr>
                <w:sz w:val="20"/>
                <w:szCs w:val="20"/>
              </w:rPr>
              <w:t>Upadacitinib</w:t>
            </w:r>
            <w:proofErr w:type="spellEnd"/>
            <w:r w:rsidR="00DF08D7" w:rsidRPr="00B6564F">
              <w:rPr>
                <w:b w:val="0"/>
                <w:bCs w:val="0"/>
                <w:sz w:val="20"/>
                <w:szCs w:val="20"/>
              </w:rPr>
              <w:t xml:space="preserve"> </w:t>
            </w:r>
            <w:r w:rsidRPr="00B6564F">
              <w:rPr>
                <w:sz w:val="20"/>
                <w:szCs w:val="20"/>
              </w:rPr>
              <w:t>(</w:t>
            </w:r>
            <w:proofErr w:type="spellStart"/>
            <w:r w:rsidRPr="00B6564F">
              <w:rPr>
                <w:sz w:val="20"/>
                <w:szCs w:val="20"/>
              </w:rPr>
              <w:t>Rinvoq</w:t>
            </w:r>
            <w:proofErr w:type="spellEnd"/>
            <w:r w:rsidRPr="00B6564F">
              <w:rPr>
                <w:sz w:val="20"/>
                <w:szCs w:val="20"/>
              </w:rPr>
              <w:t>)</w:t>
            </w:r>
          </w:p>
        </w:tc>
      </w:tr>
      <w:tr w:rsidR="006F158B" w:rsidRPr="00B6564F" w14:paraId="6EACD816" w14:textId="77777777" w:rsidTr="00DC15F6">
        <w:trPr>
          <w:cnfStyle w:val="000000100000" w:firstRow="0" w:lastRow="0" w:firstColumn="0" w:lastColumn="0" w:oddVBand="0" w:evenVBand="0" w:oddHBand="1" w:evenHBand="0" w:firstRowFirstColumn="0" w:firstRowLastColumn="0" w:lastRowFirstColumn="0" w:lastRowLastColumn="0"/>
          <w:trHeight w:val="488"/>
        </w:trPr>
        <w:tc>
          <w:tcPr>
            <w:tcW w:w="2547" w:type="dxa"/>
            <w:gridSpan w:val="2"/>
            <w:vAlign w:val="center"/>
            <w:hideMark/>
          </w:tcPr>
          <w:p w14:paraId="30F56EC4" w14:textId="604E7C23" w:rsidR="005A3E18" w:rsidRPr="00DC15F6" w:rsidRDefault="005A3E18" w:rsidP="000F4D3D">
            <w:pPr>
              <w:spacing w:line="240" w:lineRule="auto"/>
              <w:rPr>
                <w:sz w:val="21"/>
                <w:szCs w:val="21"/>
              </w:rPr>
            </w:pPr>
            <w:r w:rsidRPr="00DC15F6">
              <w:rPr>
                <w:sz w:val="21"/>
                <w:szCs w:val="21"/>
              </w:rPr>
              <w:t>Manufacturer</w:t>
            </w:r>
          </w:p>
        </w:tc>
        <w:tc>
          <w:tcPr>
            <w:tcW w:w="3407" w:type="dxa"/>
            <w:vAlign w:val="center"/>
            <w:hideMark/>
          </w:tcPr>
          <w:p w14:paraId="52A7326A" w14:textId="77777777" w:rsidR="005A3E18" w:rsidRPr="00DC15F6" w:rsidRDefault="005A3E18" w:rsidP="000F4D3D">
            <w:pPr>
              <w:spacing w:line="240" w:lineRule="auto"/>
              <w:jc w:val="center"/>
              <w:rPr>
                <w:sz w:val="21"/>
                <w:szCs w:val="21"/>
              </w:rPr>
            </w:pPr>
            <w:r w:rsidRPr="00DC15F6">
              <w:rPr>
                <w:sz w:val="21"/>
                <w:szCs w:val="21"/>
              </w:rPr>
              <w:t>Pfizer</w:t>
            </w:r>
          </w:p>
        </w:tc>
        <w:tc>
          <w:tcPr>
            <w:tcW w:w="4106" w:type="dxa"/>
            <w:vAlign w:val="center"/>
            <w:hideMark/>
          </w:tcPr>
          <w:p w14:paraId="7345E4D8" w14:textId="77777777" w:rsidR="005A3E18" w:rsidRPr="00DC15F6" w:rsidRDefault="005A3E18" w:rsidP="000F4D3D">
            <w:pPr>
              <w:spacing w:line="240" w:lineRule="auto"/>
              <w:jc w:val="center"/>
              <w:rPr>
                <w:sz w:val="21"/>
                <w:szCs w:val="21"/>
              </w:rPr>
            </w:pPr>
            <w:proofErr w:type="spellStart"/>
            <w:r w:rsidRPr="00DC15F6">
              <w:rPr>
                <w:sz w:val="21"/>
                <w:szCs w:val="21"/>
              </w:rPr>
              <w:t>Gálapagos</w:t>
            </w:r>
            <w:proofErr w:type="spellEnd"/>
          </w:p>
        </w:tc>
        <w:tc>
          <w:tcPr>
            <w:tcW w:w="3954" w:type="dxa"/>
            <w:vAlign w:val="center"/>
            <w:hideMark/>
          </w:tcPr>
          <w:p w14:paraId="5B693897" w14:textId="7F35F3B6" w:rsidR="005A3E18" w:rsidRPr="00DC15F6" w:rsidRDefault="005A3E18" w:rsidP="000F4D3D">
            <w:pPr>
              <w:spacing w:line="240" w:lineRule="auto"/>
              <w:jc w:val="center"/>
              <w:rPr>
                <w:sz w:val="21"/>
                <w:szCs w:val="21"/>
              </w:rPr>
            </w:pPr>
            <w:r w:rsidRPr="00DC15F6">
              <w:rPr>
                <w:sz w:val="21"/>
                <w:szCs w:val="21"/>
              </w:rPr>
              <w:t>Abb</w:t>
            </w:r>
            <w:r w:rsidR="001A2C3A" w:rsidRPr="00DC15F6">
              <w:rPr>
                <w:sz w:val="21"/>
                <w:szCs w:val="21"/>
              </w:rPr>
              <w:t>V</w:t>
            </w:r>
            <w:r w:rsidRPr="00DC15F6">
              <w:rPr>
                <w:sz w:val="21"/>
                <w:szCs w:val="21"/>
              </w:rPr>
              <w:t>ie</w:t>
            </w:r>
          </w:p>
        </w:tc>
      </w:tr>
      <w:tr w:rsidR="006F158B" w:rsidRPr="00B6564F" w14:paraId="76B39780" w14:textId="77777777" w:rsidTr="00DC15F6">
        <w:trPr>
          <w:trHeight w:val="477"/>
        </w:trPr>
        <w:tc>
          <w:tcPr>
            <w:tcW w:w="2547" w:type="dxa"/>
            <w:gridSpan w:val="2"/>
            <w:vAlign w:val="center"/>
            <w:hideMark/>
          </w:tcPr>
          <w:p w14:paraId="77EABF05" w14:textId="0A36B591" w:rsidR="005A3E18" w:rsidRPr="00DC15F6" w:rsidRDefault="00784D64" w:rsidP="000F4D3D">
            <w:pPr>
              <w:spacing w:line="240" w:lineRule="auto"/>
              <w:rPr>
                <w:sz w:val="21"/>
                <w:szCs w:val="21"/>
              </w:rPr>
            </w:pPr>
            <w:r w:rsidRPr="00DC15F6">
              <w:rPr>
                <w:sz w:val="21"/>
                <w:szCs w:val="21"/>
              </w:rPr>
              <w:t>Selectivity</w:t>
            </w:r>
          </w:p>
        </w:tc>
        <w:tc>
          <w:tcPr>
            <w:tcW w:w="3407" w:type="dxa"/>
            <w:vAlign w:val="center"/>
            <w:hideMark/>
          </w:tcPr>
          <w:p w14:paraId="03AF2CEA" w14:textId="215A14A7" w:rsidR="005A3E18" w:rsidRPr="00DC15F6" w:rsidRDefault="00784D64" w:rsidP="000F4D3D">
            <w:pPr>
              <w:spacing w:line="240" w:lineRule="auto"/>
              <w:jc w:val="center"/>
              <w:rPr>
                <w:sz w:val="21"/>
                <w:szCs w:val="21"/>
              </w:rPr>
            </w:pPr>
            <w:r w:rsidRPr="00DC15F6">
              <w:rPr>
                <w:sz w:val="21"/>
                <w:szCs w:val="21"/>
              </w:rPr>
              <w:t>JAK3 &gt;JAK2 &gt;JAK1</w:t>
            </w:r>
          </w:p>
        </w:tc>
        <w:tc>
          <w:tcPr>
            <w:tcW w:w="4106" w:type="dxa"/>
            <w:vAlign w:val="center"/>
            <w:hideMark/>
          </w:tcPr>
          <w:p w14:paraId="725AB77D" w14:textId="4479B258" w:rsidR="005A3E18" w:rsidRPr="00DC15F6" w:rsidRDefault="00784D64" w:rsidP="000F4D3D">
            <w:pPr>
              <w:spacing w:line="240" w:lineRule="auto"/>
              <w:jc w:val="center"/>
              <w:rPr>
                <w:sz w:val="21"/>
                <w:szCs w:val="21"/>
              </w:rPr>
            </w:pPr>
            <w:r w:rsidRPr="00DC15F6">
              <w:rPr>
                <w:sz w:val="21"/>
                <w:szCs w:val="21"/>
              </w:rPr>
              <w:t>JAK1 &gt;JAK2 &gt;JAK3 and TYK2</w:t>
            </w:r>
          </w:p>
        </w:tc>
        <w:tc>
          <w:tcPr>
            <w:tcW w:w="3954" w:type="dxa"/>
            <w:vAlign w:val="center"/>
            <w:hideMark/>
          </w:tcPr>
          <w:p w14:paraId="1D3E363E" w14:textId="74B6D92C" w:rsidR="005A3E18" w:rsidRPr="00DC15F6" w:rsidRDefault="00784D64" w:rsidP="000F4D3D">
            <w:pPr>
              <w:spacing w:line="240" w:lineRule="auto"/>
              <w:jc w:val="center"/>
              <w:rPr>
                <w:sz w:val="21"/>
                <w:szCs w:val="21"/>
              </w:rPr>
            </w:pPr>
            <w:r w:rsidRPr="00DC15F6">
              <w:rPr>
                <w:sz w:val="21"/>
                <w:szCs w:val="21"/>
              </w:rPr>
              <w:t>JAK1 &gt;JAK2 and JAK3</w:t>
            </w:r>
          </w:p>
        </w:tc>
      </w:tr>
      <w:tr w:rsidR="006F158B" w:rsidRPr="00B6564F" w14:paraId="1D038504" w14:textId="77777777" w:rsidTr="00DC15F6">
        <w:trPr>
          <w:cnfStyle w:val="000000100000" w:firstRow="0" w:lastRow="0" w:firstColumn="0" w:lastColumn="0" w:oddVBand="0" w:evenVBand="0" w:oddHBand="1" w:evenHBand="0" w:firstRowFirstColumn="0" w:firstRowLastColumn="0" w:lastRowFirstColumn="0" w:lastRowLastColumn="0"/>
          <w:trHeight w:val="526"/>
        </w:trPr>
        <w:tc>
          <w:tcPr>
            <w:tcW w:w="2547" w:type="dxa"/>
            <w:gridSpan w:val="2"/>
            <w:vAlign w:val="center"/>
            <w:hideMark/>
          </w:tcPr>
          <w:p w14:paraId="62C8056E" w14:textId="77777777" w:rsidR="005A3E18" w:rsidRPr="00DC15F6" w:rsidRDefault="005A3E18" w:rsidP="000F4D3D">
            <w:pPr>
              <w:spacing w:line="240" w:lineRule="auto"/>
              <w:rPr>
                <w:sz w:val="21"/>
                <w:szCs w:val="21"/>
              </w:rPr>
            </w:pPr>
            <w:r w:rsidRPr="00DC15F6">
              <w:rPr>
                <w:sz w:val="21"/>
                <w:szCs w:val="21"/>
              </w:rPr>
              <w:t>Ulcerative colitis</w:t>
            </w:r>
          </w:p>
        </w:tc>
        <w:tc>
          <w:tcPr>
            <w:tcW w:w="3407" w:type="dxa"/>
            <w:vAlign w:val="center"/>
            <w:hideMark/>
          </w:tcPr>
          <w:p w14:paraId="2E853796" w14:textId="2169CF20" w:rsidR="005A3E18" w:rsidRPr="00DC15F6" w:rsidRDefault="005A3E18" w:rsidP="000F4D3D">
            <w:pPr>
              <w:spacing w:line="240" w:lineRule="auto"/>
              <w:jc w:val="center"/>
              <w:rPr>
                <w:sz w:val="21"/>
                <w:szCs w:val="21"/>
              </w:rPr>
            </w:pPr>
            <w:r w:rsidRPr="00DC15F6">
              <w:rPr>
                <w:sz w:val="21"/>
                <w:szCs w:val="21"/>
              </w:rPr>
              <w:t>MHRA</w:t>
            </w:r>
            <w:r w:rsidR="000B5765">
              <w:rPr>
                <w:sz w:val="21"/>
                <w:szCs w:val="21"/>
              </w:rPr>
              <w:t>/FDA/EMA</w:t>
            </w:r>
            <w:r w:rsidRPr="00DC15F6">
              <w:rPr>
                <w:sz w:val="21"/>
                <w:szCs w:val="21"/>
              </w:rPr>
              <w:t xml:space="preserve"> licensed</w:t>
            </w:r>
          </w:p>
          <w:p w14:paraId="47B23B2D" w14:textId="77777777" w:rsidR="005A3E18" w:rsidRPr="00DC15F6" w:rsidRDefault="005A3E18" w:rsidP="000F4D3D">
            <w:pPr>
              <w:spacing w:line="240" w:lineRule="auto"/>
              <w:jc w:val="center"/>
              <w:rPr>
                <w:sz w:val="21"/>
                <w:szCs w:val="21"/>
              </w:rPr>
            </w:pPr>
            <w:r w:rsidRPr="00DC15F6">
              <w:rPr>
                <w:sz w:val="21"/>
                <w:szCs w:val="21"/>
              </w:rPr>
              <w:t>NICE approved</w:t>
            </w:r>
          </w:p>
        </w:tc>
        <w:tc>
          <w:tcPr>
            <w:tcW w:w="4106" w:type="dxa"/>
            <w:vAlign w:val="center"/>
            <w:hideMark/>
          </w:tcPr>
          <w:p w14:paraId="1B950458" w14:textId="2FB94C90" w:rsidR="005A3E18" w:rsidRPr="00DC15F6" w:rsidRDefault="000B5765" w:rsidP="000F4D3D">
            <w:pPr>
              <w:spacing w:line="240" w:lineRule="auto"/>
              <w:jc w:val="center"/>
              <w:rPr>
                <w:sz w:val="21"/>
                <w:szCs w:val="21"/>
              </w:rPr>
            </w:pPr>
            <w:r w:rsidRPr="00DC15F6">
              <w:rPr>
                <w:sz w:val="21"/>
                <w:szCs w:val="21"/>
              </w:rPr>
              <w:t>MHRA</w:t>
            </w:r>
            <w:r>
              <w:rPr>
                <w:sz w:val="21"/>
                <w:szCs w:val="21"/>
              </w:rPr>
              <w:t>/EMA</w:t>
            </w:r>
            <w:r w:rsidRPr="00DC15F6">
              <w:rPr>
                <w:sz w:val="21"/>
                <w:szCs w:val="21"/>
              </w:rPr>
              <w:t xml:space="preserve"> </w:t>
            </w:r>
            <w:r w:rsidR="005A3E18" w:rsidRPr="00DC15F6">
              <w:rPr>
                <w:sz w:val="21"/>
                <w:szCs w:val="21"/>
              </w:rPr>
              <w:t>licensed</w:t>
            </w:r>
          </w:p>
          <w:p w14:paraId="3ED45306" w14:textId="77777777" w:rsidR="005A3E18" w:rsidRPr="00DC15F6" w:rsidRDefault="005A3E18" w:rsidP="000F4D3D">
            <w:pPr>
              <w:spacing w:line="240" w:lineRule="auto"/>
              <w:jc w:val="center"/>
              <w:rPr>
                <w:sz w:val="21"/>
                <w:szCs w:val="21"/>
              </w:rPr>
            </w:pPr>
            <w:r w:rsidRPr="00DC15F6">
              <w:rPr>
                <w:sz w:val="21"/>
                <w:szCs w:val="21"/>
              </w:rPr>
              <w:t>NICE approved</w:t>
            </w:r>
          </w:p>
        </w:tc>
        <w:tc>
          <w:tcPr>
            <w:tcW w:w="3954" w:type="dxa"/>
            <w:vAlign w:val="center"/>
            <w:hideMark/>
          </w:tcPr>
          <w:p w14:paraId="7281E9B7" w14:textId="30A477FF" w:rsidR="005A3E18" w:rsidRPr="00DC15F6" w:rsidRDefault="000B5765" w:rsidP="000F4D3D">
            <w:pPr>
              <w:spacing w:line="240" w:lineRule="auto"/>
              <w:jc w:val="center"/>
              <w:rPr>
                <w:sz w:val="21"/>
                <w:szCs w:val="21"/>
              </w:rPr>
            </w:pPr>
            <w:r w:rsidRPr="00DC15F6">
              <w:rPr>
                <w:sz w:val="21"/>
                <w:szCs w:val="21"/>
              </w:rPr>
              <w:t>MHRA</w:t>
            </w:r>
            <w:r>
              <w:rPr>
                <w:sz w:val="21"/>
                <w:szCs w:val="21"/>
              </w:rPr>
              <w:t>/FDA/EMA</w:t>
            </w:r>
            <w:r w:rsidRPr="00DC15F6">
              <w:rPr>
                <w:sz w:val="21"/>
                <w:szCs w:val="21"/>
              </w:rPr>
              <w:t xml:space="preserve"> </w:t>
            </w:r>
            <w:r w:rsidR="005A3E18" w:rsidRPr="00DC15F6">
              <w:rPr>
                <w:sz w:val="21"/>
                <w:szCs w:val="21"/>
              </w:rPr>
              <w:t>licensed</w:t>
            </w:r>
          </w:p>
          <w:p w14:paraId="7CEFF7D4" w14:textId="221DEB11" w:rsidR="005A3E18" w:rsidRPr="00DC15F6" w:rsidRDefault="005A3E18" w:rsidP="000F4D3D">
            <w:pPr>
              <w:spacing w:line="240" w:lineRule="auto"/>
              <w:jc w:val="center"/>
              <w:rPr>
                <w:sz w:val="21"/>
                <w:szCs w:val="21"/>
              </w:rPr>
            </w:pPr>
            <w:r w:rsidRPr="00DC15F6">
              <w:rPr>
                <w:sz w:val="21"/>
                <w:szCs w:val="21"/>
              </w:rPr>
              <w:t xml:space="preserve">NICE </w:t>
            </w:r>
            <w:r w:rsidR="006F158B" w:rsidRPr="00DC15F6">
              <w:rPr>
                <w:sz w:val="21"/>
                <w:szCs w:val="21"/>
              </w:rPr>
              <w:t>approved</w:t>
            </w:r>
          </w:p>
        </w:tc>
      </w:tr>
      <w:tr w:rsidR="006F158B" w:rsidRPr="00B6564F" w14:paraId="4A045A3B" w14:textId="77777777" w:rsidTr="00DC15F6">
        <w:trPr>
          <w:trHeight w:val="482"/>
        </w:trPr>
        <w:tc>
          <w:tcPr>
            <w:tcW w:w="2547" w:type="dxa"/>
            <w:gridSpan w:val="2"/>
            <w:vAlign w:val="center"/>
            <w:hideMark/>
          </w:tcPr>
          <w:p w14:paraId="2B12ADD1" w14:textId="3DFD28FA" w:rsidR="005A3E18" w:rsidRPr="00DC15F6" w:rsidRDefault="005A3E18" w:rsidP="000F4D3D">
            <w:pPr>
              <w:spacing w:line="240" w:lineRule="auto"/>
              <w:rPr>
                <w:sz w:val="21"/>
                <w:szCs w:val="21"/>
              </w:rPr>
            </w:pPr>
            <w:r w:rsidRPr="00DC15F6">
              <w:rPr>
                <w:sz w:val="21"/>
                <w:szCs w:val="21"/>
              </w:rPr>
              <w:t>Crohn’s disease</w:t>
            </w:r>
          </w:p>
        </w:tc>
        <w:tc>
          <w:tcPr>
            <w:tcW w:w="3407" w:type="dxa"/>
            <w:vAlign w:val="center"/>
            <w:hideMark/>
          </w:tcPr>
          <w:p w14:paraId="06A2E9B8" w14:textId="7D7BBCB0" w:rsidR="005A3E18" w:rsidRPr="00DC15F6" w:rsidRDefault="00CC6F78" w:rsidP="000F4D3D">
            <w:pPr>
              <w:spacing w:line="240" w:lineRule="auto"/>
              <w:jc w:val="center"/>
              <w:rPr>
                <w:sz w:val="21"/>
                <w:szCs w:val="21"/>
              </w:rPr>
            </w:pPr>
            <w:r w:rsidRPr="00DC15F6">
              <w:rPr>
                <w:sz w:val="21"/>
                <w:szCs w:val="21"/>
              </w:rPr>
              <w:t>Unlicensed</w:t>
            </w:r>
          </w:p>
        </w:tc>
        <w:tc>
          <w:tcPr>
            <w:tcW w:w="4106" w:type="dxa"/>
            <w:vAlign w:val="center"/>
            <w:hideMark/>
          </w:tcPr>
          <w:p w14:paraId="32ECF390" w14:textId="72D7229B" w:rsidR="005A3E18" w:rsidRPr="00DC15F6" w:rsidRDefault="00CC6F78" w:rsidP="000F4D3D">
            <w:pPr>
              <w:spacing w:line="240" w:lineRule="auto"/>
              <w:jc w:val="center"/>
              <w:rPr>
                <w:sz w:val="21"/>
                <w:szCs w:val="21"/>
              </w:rPr>
            </w:pPr>
            <w:r w:rsidRPr="00DC15F6">
              <w:rPr>
                <w:sz w:val="21"/>
                <w:szCs w:val="21"/>
              </w:rPr>
              <w:t>Unlicensed</w:t>
            </w:r>
          </w:p>
        </w:tc>
        <w:tc>
          <w:tcPr>
            <w:tcW w:w="3954" w:type="dxa"/>
            <w:vAlign w:val="center"/>
            <w:hideMark/>
          </w:tcPr>
          <w:p w14:paraId="5F0322FF" w14:textId="77777777" w:rsidR="008F5B29" w:rsidRPr="00DC15F6" w:rsidRDefault="008F5B29" w:rsidP="008F5B29">
            <w:pPr>
              <w:spacing w:line="240" w:lineRule="auto"/>
              <w:jc w:val="center"/>
              <w:rPr>
                <w:sz w:val="21"/>
                <w:szCs w:val="21"/>
              </w:rPr>
            </w:pPr>
            <w:r w:rsidRPr="00DC15F6">
              <w:rPr>
                <w:sz w:val="21"/>
                <w:szCs w:val="21"/>
              </w:rPr>
              <w:t>MHRA licensed</w:t>
            </w:r>
          </w:p>
          <w:p w14:paraId="4748AC3C" w14:textId="16628B99" w:rsidR="005A3E18" w:rsidRPr="00DC15F6" w:rsidRDefault="008F5B29" w:rsidP="008F5B29">
            <w:pPr>
              <w:spacing w:line="240" w:lineRule="auto"/>
              <w:jc w:val="center"/>
              <w:rPr>
                <w:sz w:val="21"/>
                <w:szCs w:val="21"/>
              </w:rPr>
            </w:pPr>
            <w:r w:rsidRPr="00DC15F6">
              <w:rPr>
                <w:sz w:val="21"/>
                <w:szCs w:val="21"/>
              </w:rPr>
              <w:t>NICE approved</w:t>
            </w:r>
          </w:p>
        </w:tc>
      </w:tr>
      <w:tr w:rsidR="006F158B" w:rsidRPr="00B6564F" w14:paraId="2FBA16AD" w14:textId="77777777" w:rsidTr="00DC15F6">
        <w:trPr>
          <w:cnfStyle w:val="000000100000" w:firstRow="0" w:lastRow="0" w:firstColumn="0" w:lastColumn="0" w:oddVBand="0" w:evenVBand="0" w:oddHBand="1" w:evenHBand="0" w:firstRowFirstColumn="0" w:firstRowLastColumn="0" w:lastRowFirstColumn="0" w:lastRowLastColumn="0"/>
          <w:trHeight w:val="430"/>
        </w:trPr>
        <w:tc>
          <w:tcPr>
            <w:tcW w:w="2547" w:type="dxa"/>
            <w:gridSpan w:val="2"/>
            <w:vAlign w:val="center"/>
            <w:hideMark/>
          </w:tcPr>
          <w:p w14:paraId="24065A82" w14:textId="77777777" w:rsidR="005A3E18" w:rsidRPr="00DC15F6" w:rsidRDefault="005A3E18" w:rsidP="000F4D3D">
            <w:pPr>
              <w:spacing w:line="240" w:lineRule="auto"/>
              <w:rPr>
                <w:sz w:val="21"/>
                <w:szCs w:val="21"/>
              </w:rPr>
            </w:pPr>
            <w:r w:rsidRPr="00DC15F6">
              <w:rPr>
                <w:sz w:val="21"/>
                <w:szCs w:val="21"/>
              </w:rPr>
              <w:t>Induction dose</w:t>
            </w:r>
          </w:p>
        </w:tc>
        <w:tc>
          <w:tcPr>
            <w:tcW w:w="3407" w:type="dxa"/>
            <w:vAlign w:val="center"/>
            <w:hideMark/>
          </w:tcPr>
          <w:p w14:paraId="22CAF53C" w14:textId="77777777" w:rsidR="005A3E18" w:rsidRPr="00DC15F6" w:rsidRDefault="005A3E18" w:rsidP="000F4D3D">
            <w:pPr>
              <w:spacing w:line="240" w:lineRule="auto"/>
              <w:jc w:val="center"/>
              <w:rPr>
                <w:sz w:val="21"/>
                <w:szCs w:val="21"/>
              </w:rPr>
            </w:pPr>
            <w:r w:rsidRPr="00DC15F6">
              <w:rPr>
                <w:sz w:val="21"/>
                <w:szCs w:val="21"/>
              </w:rPr>
              <w:t>10mg bd for 8-16 weeks</w:t>
            </w:r>
          </w:p>
        </w:tc>
        <w:tc>
          <w:tcPr>
            <w:tcW w:w="4106" w:type="dxa"/>
            <w:vAlign w:val="center"/>
            <w:hideMark/>
          </w:tcPr>
          <w:p w14:paraId="5F2EC7A0" w14:textId="77777777" w:rsidR="005A3E18" w:rsidRPr="00DC15F6" w:rsidRDefault="005A3E18" w:rsidP="000F4D3D">
            <w:pPr>
              <w:spacing w:line="240" w:lineRule="auto"/>
              <w:jc w:val="center"/>
              <w:rPr>
                <w:sz w:val="21"/>
                <w:szCs w:val="21"/>
              </w:rPr>
            </w:pPr>
            <w:r w:rsidRPr="00DC15F6">
              <w:rPr>
                <w:sz w:val="21"/>
                <w:szCs w:val="21"/>
              </w:rPr>
              <w:t>200mg od for 10-22 weeks</w:t>
            </w:r>
          </w:p>
        </w:tc>
        <w:tc>
          <w:tcPr>
            <w:tcW w:w="3954" w:type="dxa"/>
            <w:vAlign w:val="center"/>
            <w:hideMark/>
          </w:tcPr>
          <w:p w14:paraId="7774FE43" w14:textId="111DF478" w:rsidR="005A3E18" w:rsidRDefault="005A3E18" w:rsidP="000F4D3D">
            <w:pPr>
              <w:spacing w:line="240" w:lineRule="auto"/>
              <w:jc w:val="center"/>
              <w:rPr>
                <w:sz w:val="21"/>
                <w:szCs w:val="21"/>
              </w:rPr>
            </w:pPr>
            <w:r w:rsidRPr="00DC15F6">
              <w:rPr>
                <w:sz w:val="21"/>
                <w:szCs w:val="21"/>
              </w:rPr>
              <w:t xml:space="preserve">45mg </w:t>
            </w:r>
            <w:r w:rsidR="00BF393D">
              <w:rPr>
                <w:sz w:val="21"/>
                <w:szCs w:val="21"/>
              </w:rPr>
              <w:t xml:space="preserve">od </w:t>
            </w:r>
            <w:r w:rsidRPr="00DC15F6">
              <w:rPr>
                <w:sz w:val="21"/>
                <w:szCs w:val="21"/>
              </w:rPr>
              <w:t>for 8-16 weeks</w:t>
            </w:r>
            <w:r w:rsidR="00BF393D">
              <w:rPr>
                <w:sz w:val="21"/>
                <w:szCs w:val="21"/>
              </w:rPr>
              <w:t xml:space="preserve"> for UC</w:t>
            </w:r>
          </w:p>
          <w:p w14:paraId="20AD343F" w14:textId="781146B7" w:rsidR="00BF393D" w:rsidRPr="00DC15F6" w:rsidRDefault="00BF393D" w:rsidP="000F4D3D">
            <w:pPr>
              <w:spacing w:line="240" w:lineRule="auto"/>
              <w:jc w:val="center"/>
              <w:rPr>
                <w:sz w:val="21"/>
                <w:szCs w:val="21"/>
              </w:rPr>
            </w:pPr>
            <w:r>
              <w:rPr>
                <w:sz w:val="21"/>
                <w:szCs w:val="21"/>
              </w:rPr>
              <w:t>45mg od for 12 weeks for CD</w:t>
            </w:r>
          </w:p>
        </w:tc>
      </w:tr>
      <w:tr w:rsidR="006F158B" w:rsidRPr="00B6564F" w14:paraId="7B3ECA1A" w14:textId="77777777" w:rsidTr="00DC15F6">
        <w:trPr>
          <w:trHeight w:val="424"/>
        </w:trPr>
        <w:tc>
          <w:tcPr>
            <w:tcW w:w="2547" w:type="dxa"/>
            <w:gridSpan w:val="2"/>
            <w:vAlign w:val="center"/>
            <w:hideMark/>
          </w:tcPr>
          <w:p w14:paraId="1104B0C2" w14:textId="77777777" w:rsidR="005A3E18" w:rsidRPr="00DC15F6" w:rsidRDefault="005A3E18" w:rsidP="000F4D3D">
            <w:pPr>
              <w:spacing w:line="240" w:lineRule="auto"/>
              <w:rPr>
                <w:sz w:val="21"/>
                <w:szCs w:val="21"/>
              </w:rPr>
            </w:pPr>
            <w:r w:rsidRPr="00DC15F6">
              <w:rPr>
                <w:sz w:val="21"/>
                <w:szCs w:val="21"/>
              </w:rPr>
              <w:t>Maintenance dose</w:t>
            </w:r>
          </w:p>
        </w:tc>
        <w:tc>
          <w:tcPr>
            <w:tcW w:w="3407" w:type="dxa"/>
            <w:vAlign w:val="center"/>
            <w:hideMark/>
          </w:tcPr>
          <w:p w14:paraId="7BFDC802" w14:textId="77777777" w:rsidR="005A3E18" w:rsidRPr="00DC15F6" w:rsidRDefault="005A3E18" w:rsidP="000F4D3D">
            <w:pPr>
              <w:spacing w:line="240" w:lineRule="auto"/>
              <w:jc w:val="center"/>
              <w:rPr>
                <w:sz w:val="21"/>
                <w:szCs w:val="21"/>
              </w:rPr>
            </w:pPr>
            <w:r w:rsidRPr="00DC15F6">
              <w:rPr>
                <w:sz w:val="21"/>
                <w:szCs w:val="21"/>
              </w:rPr>
              <w:t>5mg bd</w:t>
            </w:r>
          </w:p>
        </w:tc>
        <w:tc>
          <w:tcPr>
            <w:tcW w:w="4106" w:type="dxa"/>
            <w:vAlign w:val="center"/>
            <w:hideMark/>
          </w:tcPr>
          <w:p w14:paraId="51EEE425" w14:textId="77777777" w:rsidR="005A3E18" w:rsidRPr="00DC15F6" w:rsidRDefault="005A3E18" w:rsidP="000F4D3D">
            <w:pPr>
              <w:spacing w:line="240" w:lineRule="auto"/>
              <w:jc w:val="center"/>
              <w:rPr>
                <w:sz w:val="21"/>
                <w:szCs w:val="21"/>
              </w:rPr>
            </w:pPr>
            <w:r w:rsidRPr="00DC15F6">
              <w:rPr>
                <w:sz w:val="21"/>
                <w:szCs w:val="21"/>
              </w:rPr>
              <w:t>200mg od</w:t>
            </w:r>
          </w:p>
        </w:tc>
        <w:tc>
          <w:tcPr>
            <w:tcW w:w="3954" w:type="dxa"/>
            <w:vAlign w:val="center"/>
            <w:hideMark/>
          </w:tcPr>
          <w:p w14:paraId="54B33D2D" w14:textId="44A95EB7" w:rsidR="005A3E18" w:rsidRPr="00DC15F6" w:rsidRDefault="005A3E18" w:rsidP="000F4D3D">
            <w:pPr>
              <w:spacing w:line="240" w:lineRule="auto"/>
              <w:jc w:val="center"/>
              <w:rPr>
                <w:sz w:val="21"/>
                <w:szCs w:val="21"/>
              </w:rPr>
            </w:pPr>
            <w:r w:rsidRPr="00DC15F6">
              <w:rPr>
                <w:sz w:val="21"/>
                <w:szCs w:val="21"/>
              </w:rPr>
              <w:t>15-30 mg od</w:t>
            </w:r>
          </w:p>
        </w:tc>
      </w:tr>
      <w:tr w:rsidR="006F158B" w:rsidRPr="00B6564F" w14:paraId="35C97883" w14:textId="77777777" w:rsidTr="00DC15F6">
        <w:trPr>
          <w:cnfStyle w:val="000000100000" w:firstRow="0" w:lastRow="0" w:firstColumn="0" w:lastColumn="0" w:oddVBand="0" w:evenVBand="0" w:oddHBand="1" w:evenHBand="0" w:firstRowFirstColumn="0" w:firstRowLastColumn="0" w:lastRowFirstColumn="0" w:lastRowLastColumn="0"/>
          <w:trHeight w:val="418"/>
        </w:trPr>
        <w:tc>
          <w:tcPr>
            <w:tcW w:w="2547" w:type="dxa"/>
            <w:gridSpan w:val="2"/>
            <w:vAlign w:val="center"/>
            <w:hideMark/>
          </w:tcPr>
          <w:p w14:paraId="32DC30B8" w14:textId="77777777" w:rsidR="005A3E18" w:rsidRPr="00DC15F6" w:rsidRDefault="005A3E18" w:rsidP="000F4D3D">
            <w:pPr>
              <w:spacing w:line="240" w:lineRule="auto"/>
              <w:rPr>
                <w:sz w:val="21"/>
                <w:szCs w:val="21"/>
              </w:rPr>
            </w:pPr>
            <w:r w:rsidRPr="00DC15F6">
              <w:rPr>
                <w:sz w:val="21"/>
                <w:szCs w:val="21"/>
              </w:rPr>
              <w:t>Drug half life</w:t>
            </w:r>
          </w:p>
        </w:tc>
        <w:tc>
          <w:tcPr>
            <w:tcW w:w="3407" w:type="dxa"/>
            <w:vAlign w:val="center"/>
            <w:hideMark/>
          </w:tcPr>
          <w:p w14:paraId="4445E4A0" w14:textId="77777777" w:rsidR="005A3E18" w:rsidRPr="00DC15F6" w:rsidRDefault="005A3E18" w:rsidP="000F4D3D">
            <w:pPr>
              <w:spacing w:line="240" w:lineRule="auto"/>
              <w:jc w:val="center"/>
              <w:rPr>
                <w:sz w:val="21"/>
                <w:szCs w:val="21"/>
              </w:rPr>
            </w:pPr>
            <w:r w:rsidRPr="00DC15F6">
              <w:rPr>
                <w:sz w:val="21"/>
                <w:szCs w:val="21"/>
              </w:rPr>
              <w:t>3 hours</w:t>
            </w:r>
          </w:p>
        </w:tc>
        <w:tc>
          <w:tcPr>
            <w:tcW w:w="4106" w:type="dxa"/>
            <w:vAlign w:val="center"/>
            <w:hideMark/>
          </w:tcPr>
          <w:p w14:paraId="4860A98A" w14:textId="77777777" w:rsidR="005A3E18" w:rsidRPr="00DC15F6" w:rsidRDefault="005A3E18" w:rsidP="000F4D3D">
            <w:pPr>
              <w:spacing w:line="240" w:lineRule="auto"/>
              <w:jc w:val="center"/>
              <w:rPr>
                <w:sz w:val="21"/>
                <w:szCs w:val="21"/>
              </w:rPr>
            </w:pPr>
            <w:r w:rsidRPr="00DC15F6">
              <w:rPr>
                <w:sz w:val="21"/>
                <w:szCs w:val="21"/>
              </w:rPr>
              <w:t>7 hours</w:t>
            </w:r>
          </w:p>
        </w:tc>
        <w:tc>
          <w:tcPr>
            <w:tcW w:w="3954" w:type="dxa"/>
            <w:vAlign w:val="center"/>
            <w:hideMark/>
          </w:tcPr>
          <w:p w14:paraId="3F54DDB0" w14:textId="77777777" w:rsidR="005A3E18" w:rsidRPr="00DC15F6" w:rsidRDefault="005A3E18" w:rsidP="000F4D3D">
            <w:pPr>
              <w:spacing w:line="240" w:lineRule="auto"/>
              <w:jc w:val="center"/>
              <w:rPr>
                <w:sz w:val="21"/>
                <w:szCs w:val="21"/>
              </w:rPr>
            </w:pPr>
            <w:r w:rsidRPr="00DC15F6">
              <w:rPr>
                <w:sz w:val="21"/>
                <w:szCs w:val="21"/>
              </w:rPr>
              <w:t>9-14 hours</w:t>
            </w:r>
          </w:p>
        </w:tc>
      </w:tr>
      <w:tr w:rsidR="006F158B" w:rsidRPr="00B6564F" w14:paraId="507C5D0D" w14:textId="77777777" w:rsidTr="00DC15F6">
        <w:trPr>
          <w:trHeight w:val="567"/>
        </w:trPr>
        <w:tc>
          <w:tcPr>
            <w:tcW w:w="2547" w:type="dxa"/>
            <w:gridSpan w:val="2"/>
            <w:vAlign w:val="center"/>
            <w:hideMark/>
          </w:tcPr>
          <w:p w14:paraId="0D210FB0" w14:textId="77777777" w:rsidR="005A3E18" w:rsidRPr="00DC15F6" w:rsidRDefault="005A3E18" w:rsidP="000F4D3D">
            <w:pPr>
              <w:spacing w:line="240" w:lineRule="auto"/>
              <w:rPr>
                <w:sz w:val="21"/>
                <w:szCs w:val="21"/>
              </w:rPr>
            </w:pPr>
            <w:r w:rsidRPr="00DC15F6">
              <w:rPr>
                <w:sz w:val="21"/>
                <w:szCs w:val="21"/>
              </w:rPr>
              <w:t>Metabolism</w:t>
            </w:r>
          </w:p>
        </w:tc>
        <w:tc>
          <w:tcPr>
            <w:tcW w:w="3407" w:type="dxa"/>
            <w:vAlign w:val="center"/>
            <w:hideMark/>
          </w:tcPr>
          <w:p w14:paraId="48637B19" w14:textId="77777777" w:rsidR="005A3E18" w:rsidRPr="00DC15F6" w:rsidRDefault="005A3E18" w:rsidP="000F4D3D">
            <w:pPr>
              <w:spacing w:line="240" w:lineRule="auto"/>
              <w:jc w:val="center"/>
              <w:rPr>
                <w:sz w:val="21"/>
                <w:szCs w:val="21"/>
              </w:rPr>
            </w:pPr>
            <w:r w:rsidRPr="00DC15F6">
              <w:rPr>
                <w:sz w:val="21"/>
                <w:szCs w:val="21"/>
              </w:rPr>
              <w:t>65% Hepatic [CYP3A4 and CYP2C19]</w:t>
            </w:r>
          </w:p>
        </w:tc>
        <w:tc>
          <w:tcPr>
            <w:tcW w:w="4106" w:type="dxa"/>
            <w:vAlign w:val="center"/>
            <w:hideMark/>
          </w:tcPr>
          <w:p w14:paraId="2B7655B6" w14:textId="58FA4872" w:rsidR="005A3E18" w:rsidRPr="00DC15F6" w:rsidRDefault="005A3E18" w:rsidP="00DD24A4">
            <w:pPr>
              <w:spacing w:line="240" w:lineRule="auto"/>
              <w:jc w:val="center"/>
              <w:rPr>
                <w:sz w:val="21"/>
                <w:szCs w:val="21"/>
              </w:rPr>
            </w:pPr>
            <w:r w:rsidRPr="00DC15F6">
              <w:rPr>
                <w:sz w:val="21"/>
                <w:szCs w:val="21"/>
              </w:rPr>
              <w:t>Intestinal [CES2 [primarily]]</w:t>
            </w:r>
            <w:r w:rsidR="00DD24A4" w:rsidRPr="00DC15F6">
              <w:rPr>
                <w:sz w:val="21"/>
                <w:szCs w:val="21"/>
              </w:rPr>
              <w:t xml:space="preserve"> and </w:t>
            </w:r>
            <w:r w:rsidRPr="00DC15F6">
              <w:rPr>
                <w:sz w:val="21"/>
                <w:szCs w:val="21"/>
              </w:rPr>
              <w:t>Hepatic [CES1]</w:t>
            </w:r>
          </w:p>
        </w:tc>
        <w:tc>
          <w:tcPr>
            <w:tcW w:w="3954" w:type="dxa"/>
            <w:vAlign w:val="center"/>
            <w:hideMark/>
          </w:tcPr>
          <w:p w14:paraId="75C2E29B" w14:textId="06C1CB83" w:rsidR="005A3E18" w:rsidRPr="00DC15F6" w:rsidRDefault="005A3E18" w:rsidP="000F4D3D">
            <w:pPr>
              <w:spacing w:line="240" w:lineRule="auto"/>
              <w:jc w:val="center"/>
              <w:rPr>
                <w:sz w:val="21"/>
                <w:szCs w:val="21"/>
              </w:rPr>
            </w:pPr>
            <w:r w:rsidRPr="00DC15F6">
              <w:rPr>
                <w:sz w:val="21"/>
                <w:szCs w:val="21"/>
              </w:rPr>
              <w:t>34% Hepatic [CYP3A4 and CYP2D6]</w:t>
            </w:r>
          </w:p>
        </w:tc>
      </w:tr>
      <w:tr w:rsidR="006F158B" w:rsidRPr="00B6564F" w14:paraId="26BB08FD" w14:textId="77777777" w:rsidTr="00DC15F6">
        <w:trPr>
          <w:cnfStyle w:val="000000100000" w:firstRow="0" w:lastRow="0" w:firstColumn="0" w:lastColumn="0" w:oddVBand="0" w:evenVBand="0" w:oddHBand="1" w:evenHBand="0" w:firstRowFirstColumn="0" w:firstRowLastColumn="0" w:lastRowFirstColumn="0" w:lastRowLastColumn="0"/>
          <w:trHeight w:val="408"/>
        </w:trPr>
        <w:tc>
          <w:tcPr>
            <w:tcW w:w="2547" w:type="dxa"/>
            <w:gridSpan w:val="2"/>
            <w:vAlign w:val="center"/>
            <w:hideMark/>
          </w:tcPr>
          <w:p w14:paraId="4E0AA898" w14:textId="77777777" w:rsidR="005A3E18" w:rsidRPr="00DC15F6" w:rsidRDefault="005A3E18" w:rsidP="000F4D3D">
            <w:pPr>
              <w:spacing w:line="240" w:lineRule="auto"/>
              <w:rPr>
                <w:sz w:val="21"/>
                <w:szCs w:val="21"/>
              </w:rPr>
            </w:pPr>
            <w:r w:rsidRPr="00DC15F6">
              <w:rPr>
                <w:sz w:val="21"/>
                <w:szCs w:val="21"/>
              </w:rPr>
              <w:t>Liver disease</w:t>
            </w:r>
          </w:p>
        </w:tc>
        <w:tc>
          <w:tcPr>
            <w:tcW w:w="3407" w:type="dxa"/>
            <w:vAlign w:val="center"/>
            <w:hideMark/>
          </w:tcPr>
          <w:p w14:paraId="09F2A624" w14:textId="77777777" w:rsidR="005A3E18" w:rsidRPr="00DC15F6" w:rsidRDefault="005A3E18" w:rsidP="000F4D3D">
            <w:pPr>
              <w:spacing w:line="240" w:lineRule="auto"/>
              <w:jc w:val="center"/>
              <w:rPr>
                <w:sz w:val="21"/>
                <w:szCs w:val="21"/>
              </w:rPr>
            </w:pPr>
            <w:r w:rsidRPr="00DC15F6">
              <w:rPr>
                <w:sz w:val="21"/>
                <w:szCs w:val="21"/>
              </w:rPr>
              <w:t>Avoid Child-Pugh C</w:t>
            </w:r>
          </w:p>
        </w:tc>
        <w:tc>
          <w:tcPr>
            <w:tcW w:w="4106" w:type="dxa"/>
            <w:vAlign w:val="center"/>
            <w:hideMark/>
          </w:tcPr>
          <w:p w14:paraId="3CDC5B2A" w14:textId="77777777" w:rsidR="005A3E18" w:rsidRPr="00DC15F6" w:rsidRDefault="005A3E18" w:rsidP="000F4D3D">
            <w:pPr>
              <w:spacing w:line="240" w:lineRule="auto"/>
              <w:jc w:val="center"/>
              <w:rPr>
                <w:sz w:val="21"/>
                <w:szCs w:val="21"/>
              </w:rPr>
            </w:pPr>
            <w:r w:rsidRPr="00DC15F6">
              <w:rPr>
                <w:sz w:val="21"/>
                <w:szCs w:val="21"/>
              </w:rPr>
              <w:t>Avoid Child-Pugh C</w:t>
            </w:r>
          </w:p>
        </w:tc>
        <w:tc>
          <w:tcPr>
            <w:tcW w:w="3954" w:type="dxa"/>
            <w:vAlign w:val="center"/>
            <w:hideMark/>
          </w:tcPr>
          <w:p w14:paraId="6CA23AEA" w14:textId="77777777" w:rsidR="005A3E18" w:rsidRPr="00DC15F6" w:rsidRDefault="005A3E18" w:rsidP="000F4D3D">
            <w:pPr>
              <w:spacing w:line="240" w:lineRule="auto"/>
              <w:jc w:val="center"/>
              <w:rPr>
                <w:sz w:val="21"/>
                <w:szCs w:val="21"/>
              </w:rPr>
            </w:pPr>
            <w:r w:rsidRPr="00DC15F6">
              <w:rPr>
                <w:sz w:val="21"/>
                <w:szCs w:val="21"/>
              </w:rPr>
              <w:t>Avoid Child-Pugh C</w:t>
            </w:r>
          </w:p>
        </w:tc>
      </w:tr>
      <w:tr w:rsidR="006F158B" w:rsidRPr="00B6564F" w14:paraId="55FF73FB" w14:textId="77777777" w:rsidTr="00DC15F6">
        <w:trPr>
          <w:trHeight w:val="415"/>
        </w:trPr>
        <w:tc>
          <w:tcPr>
            <w:tcW w:w="2547" w:type="dxa"/>
            <w:gridSpan w:val="2"/>
            <w:vAlign w:val="center"/>
            <w:hideMark/>
          </w:tcPr>
          <w:p w14:paraId="70548DA0" w14:textId="77777777" w:rsidR="005A3E18" w:rsidRPr="00DC15F6" w:rsidRDefault="005A3E18" w:rsidP="000F4D3D">
            <w:pPr>
              <w:spacing w:line="240" w:lineRule="auto"/>
              <w:rPr>
                <w:sz w:val="21"/>
                <w:szCs w:val="21"/>
              </w:rPr>
            </w:pPr>
            <w:r w:rsidRPr="00DC15F6">
              <w:rPr>
                <w:sz w:val="21"/>
                <w:szCs w:val="21"/>
              </w:rPr>
              <w:t>Renal disease</w:t>
            </w:r>
          </w:p>
        </w:tc>
        <w:tc>
          <w:tcPr>
            <w:tcW w:w="3407" w:type="dxa"/>
            <w:vAlign w:val="center"/>
            <w:hideMark/>
          </w:tcPr>
          <w:p w14:paraId="76CA2A68" w14:textId="77777777" w:rsidR="005A3E18" w:rsidRPr="00DC15F6" w:rsidRDefault="005A3E18" w:rsidP="000F4D3D">
            <w:pPr>
              <w:spacing w:line="240" w:lineRule="auto"/>
              <w:jc w:val="center"/>
              <w:rPr>
                <w:sz w:val="21"/>
                <w:szCs w:val="21"/>
              </w:rPr>
            </w:pPr>
            <w:r w:rsidRPr="00DC15F6">
              <w:rPr>
                <w:sz w:val="21"/>
                <w:szCs w:val="21"/>
              </w:rPr>
              <w:t>↓ dose if CC &lt;30mL/min</w:t>
            </w:r>
          </w:p>
        </w:tc>
        <w:tc>
          <w:tcPr>
            <w:tcW w:w="4106" w:type="dxa"/>
            <w:vAlign w:val="center"/>
            <w:hideMark/>
          </w:tcPr>
          <w:p w14:paraId="44C9DE94" w14:textId="77777777" w:rsidR="005A3E18" w:rsidRPr="00DC15F6" w:rsidRDefault="005A3E18" w:rsidP="000F4D3D">
            <w:pPr>
              <w:spacing w:line="240" w:lineRule="auto"/>
              <w:jc w:val="center"/>
              <w:rPr>
                <w:sz w:val="21"/>
                <w:szCs w:val="21"/>
              </w:rPr>
            </w:pPr>
            <w:r w:rsidRPr="00DC15F6">
              <w:rPr>
                <w:sz w:val="21"/>
                <w:szCs w:val="21"/>
              </w:rPr>
              <w:t>↓ dose if CC &lt;60mL/min</w:t>
            </w:r>
          </w:p>
        </w:tc>
        <w:tc>
          <w:tcPr>
            <w:tcW w:w="3954" w:type="dxa"/>
            <w:vAlign w:val="center"/>
            <w:hideMark/>
          </w:tcPr>
          <w:p w14:paraId="0F6CA4EB" w14:textId="77777777" w:rsidR="005A3E18" w:rsidRPr="00DC15F6" w:rsidRDefault="005A3E18" w:rsidP="000F4D3D">
            <w:pPr>
              <w:spacing w:line="240" w:lineRule="auto"/>
              <w:jc w:val="center"/>
              <w:rPr>
                <w:sz w:val="21"/>
                <w:szCs w:val="21"/>
              </w:rPr>
            </w:pPr>
            <w:r w:rsidRPr="00DC15F6">
              <w:rPr>
                <w:sz w:val="21"/>
                <w:szCs w:val="21"/>
              </w:rPr>
              <w:t>↓ dose if CC &lt;30mL/min</w:t>
            </w:r>
          </w:p>
        </w:tc>
      </w:tr>
      <w:tr w:rsidR="006F158B" w:rsidRPr="00B6564F" w14:paraId="6A9DDA9D" w14:textId="77777777" w:rsidTr="00DC15F6">
        <w:trPr>
          <w:cnfStyle w:val="000000100000" w:firstRow="0" w:lastRow="0" w:firstColumn="0" w:lastColumn="0" w:oddVBand="0" w:evenVBand="0" w:oddHBand="1" w:evenHBand="0" w:firstRowFirstColumn="0" w:firstRowLastColumn="0" w:lastRowFirstColumn="0" w:lastRowLastColumn="0"/>
          <w:trHeight w:val="424"/>
        </w:trPr>
        <w:tc>
          <w:tcPr>
            <w:tcW w:w="2547" w:type="dxa"/>
            <w:gridSpan w:val="2"/>
            <w:vAlign w:val="center"/>
            <w:hideMark/>
          </w:tcPr>
          <w:p w14:paraId="44114F42" w14:textId="1639DD17" w:rsidR="00403381" w:rsidRPr="00DC15F6" w:rsidRDefault="005A3E18" w:rsidP="00FD434F">
            <w:pPr>
              <w:spacing w:line="240" w:lineRule="auto"/>
              <w:rPr>
                <w:sz w:val="21"/>
                <w:szCs w:val="21"/>
              </w:rPr>
            </w:pPr>
            <w:r w:rsidRPr="00DC15F6">
              <w:rPr>
                <w:sz w:val="21"/>
                <w:szCs w:val="21"/>
              </w:rPr>
              <w:t>Concomitant IMM</w:t>
            </w:r>
            <w:r w:rsidR="00702342" w:rsidRPr="00DC15F6">
              <w:rPr>
                <w:sz w:val="21"/>
                <w:szCs w:val="21"/>
              </w:rPr>
              <w:t xml:space="preserve"> </w:t>
            </w:r>
            <w:r w:rsidR="007304AF" w:rsidRPr="00DC15F6">
              <w:rPr>
                <w:sz w:val="21"/>
                <w:szCs w:val="21"/>
              </w:rPr>
              <w:t>studied</w:t>
            </w:r>
          </w:p>
        </w:tc>
        <w:tc>
          <w:tcPr>
            <w:tcW w:w="3407" w:type="dxa"/>
            <w:vAlign w:val="center"/>
            <w:hideMark/>
          </w:tcPr>
          <w:p w14:paraId="671A601B" w14:textId="54522E69" w:rsidR="005A3E18" w:rsidRPr="00DC15F6" w:rsidRDefault="005A3E18" w:rsidP="000F4D3D">
            <w:pPr>
              <w:spacing w:line="240" w:lineRule="auto"/>
              <w:jc w:val="center"/>
              <w:rPr>
                <w:sz w:val="21"/>
                <w:szCs w:val="21"/>
              </w:rPr>
            </w:pPr>
            <w:r w:rsidRPr="00DC15F6">
              <w:rPr>
                <w:sz w:val="21"/>
                <w:szCs w:val="21"/>
              </w:rPr>
              <w:t xml:space="preserve">Not studied </w:t>
            </w:r>
            <w:r w:rsidR="0021421D" w:rsidRPr="00DC15F6">
              <w:rPr>
                <w:sz w:val="21"/>
                <w:szCs w:val="21"/>
              </w:rPr>
              <w:t xml:space="preserve">for </w:t>
            </w:r>
            <w:r w:rsidRPr="00DC15F6">
              <w:rPr>
                <w:sz w:val="21"/>
                <w:szCs w:val="21"/>
              </w:rPr>
              <w:t>IBD</w:t>
            </w:r>
          </w:p>
        </w:tc>
        <w:tc>
          <w:tcPr>
            <w:tcW w:w="4106" w:type="dxa"/>
            <w:vAlign w:val="center"/>
            <w:hideMark/>
          </w:tcPr>
          <w:p w14:paraId="79E5D06F" w14:textId="2CAAE303" w:rsidR="005A3E18" w:rsidRPr="00DC15F6" w:rsidRDefault="00B7130E" w:rsidP="000F4D3D">
            <w:pPr>
              <w:spacing w:line="240" w:lineRule="auto"/>
              <w:jc w:val="center"/>
              <w:rPr>
                <w:sz w:val="21"/>
                <w:szCs w:val="21"/>
              </w:rPr>
            </w:pPr>
            <w:r w:rsidRPr="00DC15F6">
              <w:rPr>
                <w:sz w:val="21"/>
                <w:szCs w:val="21"/>
              </w:rPr>
              <w:t xml:space="preserve">Thiopurine and </w:t>
            </w:r>
            <w:r w:rsidR="00AF672F" w:rsidRPr="00DC15F6">
              <w:rPr>
                <w:sz w:val="21"/>
                <w:szCs w:val="21"/>
              </w:rPr>
              <w:t>m</w:t>
            </w:r>
            <w:r w:rsidRPr="00DC15F6">
              <w:rPr>
                <w:sz w:val="21"/>
                <w:szCs w:val="21"/>
              </w:rPr>
              <w:t>ethotrexate</w:t>
            </w:r>
          </w:p>
        </w:tc>
        <w:tc>
          <w:tcPr>
            <w:tcW w:w="3954" w:type="dxa"/>
            <w:vAlign w:val="center"/>
            <w:hideMark/>
          </w:tcPr>
          <w:p w14:paraId="007A305C" w14:textId="77777777" w:rsidR="005A3E18" w:rsidRPr="00DC15F6" w:rsidRDefault="005A3E18" w:rsidP="000F4D3D">
            <w:pPr>
              <w:spacing w:line="240" w:lineRule="auto"/>
              <w:jc w:val="center"/>
              <w:rPr>
                <w:sz w:val="21"/>
                <w:szCs w:val="21"/>
              </w:rPr>
            </w:pPr>
            <w:r w:rsidRPr="00DC15F6">
              <w:rPr>
                <w:sz w:val="21"/>
                <w:szCs w:val="21"/>
              </w:rPr>
              <w:t>Methotrexate</w:t>
            </w:r>
          </w:p>
        </w:tc>
      </w:tr>
      <w:tr w:rsidR="006F158B" w:rsidRPr="00B6564F" w14:paraId="6D0157C9" w14:textId="77777777" w:rsidTr="00DC15F6">
        <w:trPr>
          <w:trHeight w:val="418"/>
        </w:trPr>
        <w:tc>
          <w:tcPr>
            <w:tcW w:w="2547" w:type="dxa"/>
            <w:gridSpan w:val="2"/>
            <w:vAlign w:val="center"/>
            <w:hideMark/>
          </w:tcPr>
          <w:p w14:paraId="44D8A4C9" w14:textId="4E7FF25A" w:rsidR="005A3E18" w:rsidRPr="00DC15F6" w:rsidRDefault="008D12FC" w:rsidP="000F4D3D">
            <w:pPr>
              <w:spacing w:line="240" w:lineRule="auto"/>
              <w:rPr>
                <w:sz w:val="21"/>
                <w:szCs w:val="21"/>
              </w:rPr>
            </w:pPr>
            <w:r w:rsidRPr="00DC15F6">
              <w:rPr>
                <w:sz w:val="21"/>
                <w:szCs w:val="21"/>
              </w:rPr>
              <w:t>Additional</w:t>
            </w:r>
            <w:r w:rsidR="005A3E18" w:rsidRPr="00DC15F6">
              <w:rPr>
                <w:sz w:val="21"/>
                <w:szCs w:val="21"/>
              </w:rPr>
              <w:t xml:space="preserve"> Indications</w:t>
            </w:r>
          </w:p>
        </w:tc>
        <w:tc>
          <w:tcPr>
            <w:tcW w:w="3407" w:type="dxa"/>
            <w:vAlign w:val="center"/>
            <w:hideMark/>
          </w:tcPr>
          <w:p w14:paraId="4636799A" w14:textId="77777777" w:rsidR="005A3E18" w:rsidRPr="00DC15F6" w:rsidRDefault="005A3E18" w:rsidP="000F4D3D">
            <w:pPr>
              <w:spacing w:line="240" w:lineRule="auto"/>
              <w:jc w:val="center"/>
              <w:rPr>
                <w:sz w:val="21"/>
                <w:szCs w:val="21"/>
              </w:rPr>
            </w:pPr>
            <w:r w:rsidRPr="00DC15F6">
              <w:rPr>
                <w:sz w:val="21"/>
                <w:szCs w:val="21"/>
              </w:rPr>
              <w:t>RA, PsA, AS, JIA</w:t>
            </w:r>
          </w:p>
        </w:tc>
        <w:tc>
          <w:tcPr>
            <w:tcW w:w="4106" w:type="dxa"/>
            <w:vAlign w:val="center"/>
            <w:hideMark/>
          </w:tcPr>
          <w:p w14:paraId="32E3E6D5" w14:textId="77777777" w:rsidR="005A3E18" w:rsidRPr="00DC15F6" w:rsidRDefault="005A3E18" w:rsidP="000F4D3D">
            <w:pPr>
              <w:spacing w:line="240" w:lineRule="auto"/>
              <w:jc w:val="center"/>
              <w:rPr>
                <w:sz w:val="21"/>
                <w:szCs w:val="21"/>
              </w:rPr>
            </w:pPr>
            <w:r w:rsidRPr="00DC15F6">
              <w:rPr>
                <w:sz w:val="21"/>
                <w:szCs w:val="21"/>
              </w:rPr>
              <w:t>RA</w:t>
            </w:r>
          </w:p>
        </w:tc>
        <w:tc>
          <w:tcPr>
            <w:tcW w:w="3954" w:type="dxa"/>
            <w:vAlign w:val="center"/>
            <w:hideMark/>
          </w:tcPr>
          <w:p w14:paraId="6C1B43B5" w14:textId="77777777" w:rsidR="005A3E18" w:rsidRPr="00DC15F6" w:rsidRDefault="005A3E18" w:rsidP="000F4D3D">
            <w:pPr>
              <w:spacing w:line="240" w:lineRule="auto"/>
              <w:jc w:val="center"/>
              <w:rPr>
                <w:sz w:val="21"/>
                <w:szCs w:val="21"/>
              </w:rPr>
            </w:pPr>
            <w:r w:rsidRPr="00DC15F6">
              <w:rPr>
                <w:sz w:val="21"/>
                <w:szCs w:val="21"/>
              </w:rPr>
              <w:t>RA, PsA, AS, AD</w:t>
            </w:r>
          </w:p>
        </w:tc>
      </w:tr>
    </w:tbl>
    <w:p w14:paraId="7C1ACE27" w14:textId="764BB666" w:rsidR="00BC04D3" w:rsidRPr="00E93657" w:rsidRDefault="00BC04D3" w:rsidP="001C1D65">
      <w:pPr>
        <w:spacing w:line="240" w:lineRule="auto"/>
      </w:pPr>
    </w:p>
    <w:p w14:paraId="3AB72800" w14:textId="2BB6FBD3" w:rsidR="00884DA9" w:rsidRPr="00E93657" w:rsidRDefault="001C1D65" w:rsidP="00884DA9">
      <w:pPr>
        <w:spacing w:line="240" w:lineRule="auto"/>
      </w:pPr>
      <w:r w:rsidRPr="00E93657">
        <w:t xml:space="preserve">Abbreviations: JAK, Janus kinase; MHRA, </w:t>
      </w:r>
      <w:r w:rsidR="00884DA9" w:rsidRPr="00E93657">
        <w:t xml:space="preserve">Medicines and Healthcare products Regulatory Agency; </w:t>
      </w:r>
      <w:r w:rsidR="007860F5">
        <w:t xml:space="preserve">FDA, Food and Drug Administration; EMA, European Medicines Agency; </w:t>
      </w:r>
      <w:r w:rsidR="00884DA9" w:rsidRPr="00E93657">
        <w:t>NICE, National Institute for Health and Care Excellence; bd, twice daily; od, once daily; CYP, cytochrome P450; CES, Carboxylesterase; CC, creatinine clearance; IMM, immunomodulator; RA, rheumatoid arthritis; PsA, psoriatic arthritis; AS, ankylosing spondylitis; JIA, juvenile idiopathic arthritis; AD, atopic dermatitis</w:t>
      </w:r>
    </w:p>
    <w:p w14:paraId="4478EBB3" w14:textId="77777777" w:rsidR="00884DA9" w:rsidRPr="00E93657" w:rsidRDefault="00884DA9" w:rsidP="00884DA9">
      <w:pPr>
        <w:spacing w:line="240" w:lineRule="auto"/>
      </w:pPr>
    </w:p>
    <w:p w14:paraId="6A22D760" w14:textId="24DAB72D" w:rsidR="006F158B" w:rsidRPr="00E93657" w:rsidRDefault="006F158B" w:rsidP="006F158B">
      <w:pPr>
        <w:sectPr w:rsidR="006F158B" w:rsidRPr="00E93657" w:rsidSect="00E8721C">
          <w:pgSz w:w="16838" w:h="11906" w:orient="landscape"/>
          <w:pgMar w:top="838" w:right="1440" w:bottom="586" w:left="1440" w:header="708" w:footer="708" w:gutter="0"/>
          <w:cols w:space="708"/>
          <w:docGrid w:linePitch="360"/>
        </w:sectPr>
      </w:pPr>
    </w:p>
    <w:p w14:paraId="78A4EB1F" w14:textId="37656722" w:rsidR="00C26FC1" w:rsidRPr="00E93657" w:rsidRDefault="00C26FC1" w:rsidP="006E7A35">
      <w:pPr>
        <w:pStyle w:val="Heading1"/>
      </w:pPr>
      <w:r w:rsidRPr="00E93657">
        <w:lastRenderedPageBreak/>
        <w:t xml:space="preserve">Table </w:t>
      </w:r>
      <w:r w:rsidR="00452451" w:rsidRPr="00E93657">
        <w:t>2</w:t>
      </w:r>
      <w:r w:rsidRPr="00E93657">
        <w:t xml:space="preserve">: Summary of </w:t>
      </w:r>
      <w:r w:rsidR="00110D81">
        <w:t>pivotal</w:t>
      </w:r>
      <w:r w:rsidRPr="00E93657">
        <w:t xml:space="preserve"> trials for </w:t>
      </w:r>
      <w:r w:rsidR="00110D81">
        <w:t>licensed JAK inhibitors</w:t>
      </w:r>
      <w:r w:rsidRPr="00E93657">
        <w:t xml:space="preserve"> in inflammatory bowel disease</w:t>
      </w:r>
    </w:p>
    <w:tbl>
      <w:tblPr>
        <w:tblStyle w:val="GridTable4-Accent1"/>
        <w:tblW w:w="14737" w:type="dxa"/>
        <w:tblLook w:val="0420" w:firstRow="1" w:lastRow="0" w:firstColumn="0" w:lastColumn="0" w:noHBand="0" w:noVBand="1"/>
      </w:tblPr>
      <w:tblGrid>
        <w:gridCol w:w="485"/>
        <w:gridCol w:w="1425"/>
        <w:gridCol w:w="1850"/>
        <w:gridCol w:w="1331"/>
        <w:gridCol w:w="667"/>
        <w:gridCol w:w="959"/>
        <w:gridCol w:w="2259"/>
        <w:gridCol w:w="5761"/>
      </w:tblGrid>
      <w:tr w:rsidR="005A4C5A" w:rsidRPr="00665C45" w14:paraId="09580A56" w14:textId="77777777" w:rsidTr="005A4C5A">
        <w:trPr>
          <w:cnfStyle w:val="100000000000" w:firstRow="1" w:lastRow="0" w:firstColumn="0" w:lastColumn="0" w:oddVBand="0" w:evenVBand="0" w:oddHBand="0" w:evenHBand="0" w:firstRowFirstColumn="0" w:firstRowLastColumn="0" w:lastRowFirstColumn="0" w:lastRowLastColumn="0"/>
          <w:trHeight w:val="396"/>
        </w:trPr>
        <w:tc>
          <w:tcPr>
            <w:tcW w:w="485" w:type="dxa"/>
            <w:textDirection w:val="btLr"/>
          </w:tcPr>
          <w:p w14:paraId="10F73ED6" w14:textId="79C4545E" w:rsidR="009F0D65" w:rsidRPr="00665C45" w:rsidRDefault="009F0D65" w:rsidP="003025D1">
            <w:pPr>
              <w:spacing w:line="240" w:lineRule="auto"/>
              <w:rPr>
                <w:sz w:val="21"/>
                <w:szCs w:val="21"/>
              </w:rPr>
            </w:pPr>
          </w:p>
        </w:tc>
        <w:tc>
          <w:tcPr>
            <w:tcW w:w="1425" w:type="dxa"/>
            <w:hideMark/>
          </w:tcPr>
          <w:p w14:paraId="69DCEC1C" w14:textId="21493808" w:rsidR="009F0D65" w:rsidRPr="00665C45" w:rsidRDefault="009F0D65" w:rsidP="003025D1">
            <w:pPr>
              <w:spacing w:line="240" w:lineRule="auto"/>
              <w:jc w:val="center"/>
              <w:rPr>
                <w:sz w:val="21"/>
                <w:szCs w:val="21"/>
              </w:rPr>
            </w:pPr>
          </w:p>
        </w:tc>
        <w:tc>
          <w:tcPr>
            <w:tcW w:w="1850" w:type="dxa"/>
            <w:hideMark/>
          </w:tcPr>
          <w:p w14:paraId="5B5AE515" w14:textId="2AE020D1" w:rsidR="009F0D65" w:rsidRPr="00665C45" w:rsidRDefault="009F0D65" w:rsidP="003025D1">
            <w:pPr>
              <w:spacing w:line="240" w:lineRule="auto"/>
              <w:jc w:val="center"/>
              <w:rPr>
                <w:sz w:val="21"/>
                <w:szCs w:val="21"/>
              </w:rPr>
            </w:pPr>
            <w:r w:rsidRPr="00665C45">
              <w:rPr>
                <w:sz w:val="21"/>
                <w:szCs w:val="21"/>
              </w:rPr>
              <w:t>Trials</w:t>
            </w:r>
          </w:p>
        </w:tc>
        <w:tc>
          <w:tcPr>
            <w:tcW w:w="1331" w:type="dxa"/>
          </w:tcPr>
          <w:p w14:paraId="18A4915D" w14:textId="6EE80C2F" w:rsidR="009F0D65" w:rsidRPr="00665C45" w:rsidRDefault="009F0D65" w:rsidP="00C61065">
            <w:pPr>
              <w:spacing w:line="240" w:lineRule="auto"/>
              <w:jc w:val="center"/>
              <w:rPr>
                <w:sz w:val="21"/>
                <w:szCs w:val="21"/>
              </w:rPr>
            </w:pPr>
            <w:r w:rsidRPr="00665C45">
              <w:rPr>
                <w:sz w:val="21"/>
                <w:szCs w:val="21"/>
              </w:rPr>
              <w:t>Treatment Phase</w:t>
            </w:r>
          </w:p>
        </w:tc>
        <w:tc>
          <w:tcPr>
            <w:tcW w:w="667" w:type="dxa"/>
          </w:tcPr>
          <w:p w14:paraId="0D81DBC9" w14:textId="4B94704A" w:rsidR="009F0D65" w:rsidRPr="00665C45" w:rsidRDefault="009F0D65" w:rsidP="00C61065">
            <w:pPr>
              <w:spacing w:line="240" w:lineRule="auto"/>
              <w:jc w:val="center"/>
              <w:rPr>
                <w:sz w:val="21"/>
                <w:szCs w:val="21"/>
              </w:rPr>
            </w:pPr>
            <w:r w:rsidRPr="00665C45">
              <w:rPr>
                <w:sz w:val="21"/>
                <w:szCs w:val="21"/>
              </w:rPr>
              <w:t>n</w:t>
            </w:r>
          </w:p>
        </w:tc>
        <w:tc>
          <w:tcPr>
            <w:tcW w:w="959" w:type="dxa"/>
            <w:hideMark/>
          </w:tcPr>
          <w:p w14:paraId="49133A95" w14:textId="3BDD16AE" w:rsidR="009F0D65" w:rsidRPr="00665C45" w:rsidRDefault="009F0D65" w:rsidP="00C61065">
            <w:pPr>
              <w:spacing w:line="240" w:lineRule="auto"/>
              <w:jc w:val="center"/>
              <w:rPr>
                <w:sz w:val="21"/>
                <w:szCs w:val="21"/>
              </w:rPr>
            </w:pPr>
            <w:r w:rsidRPr="00665C45">
              <w:rPr>
                <w:sz w:val="21"/>
                <w:szCs w:val="21"/>
              </w:rPr>
              <w:t>Duration (</w:t>
            </w:r>
            <w:r w:rsidR="009638D4" w:rsidRPr="00665C45">
              <w:rPr>
                <w:sz w:val="21"/>
                <w:szCs w:val="21"/>
              </w:rPr>
              <w:t>w</w:t>
            </w:r>
            <w:r w:rsidRPr="00665C45">
              <w:rPr>
                <w:sz w:val="21"/>
                <w:szCs w:val="21"/>
              </w:rPr>
              <w:t>)</w:t>
            </w:r>
          </w:p>
        </w:tc>
        <w:tc>
          <w:tcPr>
            <w:tcW w:w="2259" w:type="dxa"/>
          </w:tcPr>
          <w:p w14:paraId="5A295FFE" w14:textId="648B1A3A" w:rsidR="009F0D65" w:rsidRPr="00665C45" w:rsidRDefault="009F0D65" w:rsidP="00C61065">
            <w:pPr>
              <w:spacing w:line="240" w:lineRule="auto"/>
              <w:jc w:val="center"/>
              <w:rPr>
                <w:sz w:val="21"/>
                <w:szCs w:val="21"/>
              </w:rPr>
            </w:pPr>
            <w:r w:rsidRPr="00665C45">
              <w:rPr>
                <w:sz w:val="21"/>
                <w:szCs w:val="21"/>
              </w:rPr>
              <w:t>Primary Objective</w:t>
            </w:r>
          </w:p>
        </w:tc>
        <w:tc>
          <w:tcPr>
            <w:tcW w:w="5761" w:type="dxa"/>
            <w:hideMark/>
          </w:tcPr>
          <w:p w14:paraId="01BB4BD0" w14:textId="40A9100B" w:rsidR="009F0D65" w:rsidRPr="00665C45" w:rsidRDefault="009F0D65" w:rsidP="008062AC">
            <w:pPr>
              <w:spacing w:line="240" w:lineRule="auto"/>
              <w:jc w:val="center"/>
              <w:rPr>
                <w:sz w:val="21"/>
                <w:szCs w:val="21"/>
              </w:rPr>
            </w:pPr>
            <w:r w:rsidRPr="00665C45">
              <w:rPr>
                <w:sz w:val="21"/>
                <w:szCs w:val="21"/>
              </w:rPr>
              <w:t>Key Findings</w:t>
            </w:r>
          </w:p>
        </w:tc>
      </w:tr>
      <w:tr w:rsidR="00E178C0" w:rsidRPr="00665C45" w14:paraId="7F9FD14A" w14:textId="77777777" w:rsidTr="005A4C5A">
        <w:trPr>
          <w:cnfStyle w:val="000000100000" w:firstRow="0" w:lastRow="0" w:firstColumn="0" w:lastColumn="0" w:oddVBand="0" w:evenVBand="0" w:oddHBand="1" w:evenHBand="0" w:firstRowFirstColumn="0" w:firstRowLastColumn="0" w:lastRowFirstColumn="0" w:lastRowLastColumn="0"/>
          <w:trHeight w:val="278"/>
        </w:trPr>
        <w:tc>
          <w:tcPr>
            <w:tcW w:w="485" w:type="dxa"/>
            <w:vMerge w:val="restart"/>
            <w:tcBorders>
              <w:top w:val="single" w:sz="4" w:space="0" w:color="4472C4" w:themeColor="accent1"/>
            </w:tcBorders>
            <w:shd w:val="clear" w:color="auto" w:fill="FFFFFF" w:themeFill="background1"/>
            <w:textDirection w:val="btLr"/>
          </w:tcPr>
          <w:p w14:paraId="3BC75D2A" w14:textId="77777777" w:rsidR="009F0D65" w:rsidRPr="00665C45" w:rsidRDefault="009F0D65" w:rsidP="003025D1">
            <w:pPr>
              <w:spacing w:line="240" w:lineRule="auto"/>
              <w:ind w:right="113"/>
              <w:jc w:val="center"/>
              <w:rPr>
                <w:b/>
                <w:bCs/>
                <w:sz w:val="21"/>
                <w:szCs w:val="21"/>
              </w:rPr>
            </w:pPr>
            <w:r w:rsidRPr="00665C45">
              <w:rPr>
                <w:b/>
                <w:bCs/>
                <w:sz w:val="21"/>
                <w:szCs w:val="21"/>
              </w:rPr>
              <w:t>UC</w:t>
            </w:r>
          </w:p>
        </w:tc>
        <w:tc>
          <w:tcPr>
            <w:tcW w:w="1425" w:type="dxa"/>
            <w:vMerge w:val="restart"/>
            <w:tcBorders>
              <w:top w:val="single" w:sz="4" w:space="0" w:color="4472C4" w:themeColor="accent1"/>
            </w:tcBorders>
            <w:shd w:val="clear" w:color="auto" w:fill="FFFFFF" w:themeFill="background1"/>
            <w:vAlign w:val="center"/>
            <w:hideMark/>
          </w:tcPr>
          <w:p w14:paraId="11913953" w14:textId="57A7B386" w:rsidR="009F0D65" w:rsidRPr="00665C45" w:rsidRDefault="009F0D65" w:rsidP="00E8721C">
            <w:pPr>
              <w:spacing w:line="240" w:lineRule="auto"/>
              <w:jc w:val="center"/>
              <w:rPr>
                <w:sz w:val="21"/>
                <w:szCs w:val="21"/>
              </w:rPr>
            </w:pPr>
            <w:r w:rsidRPr="00665C45">
              <w:rPr>
                <w:b/>
                <w:bCs/>
                <w:sz w:val="21"/>
                <w:szCs w:val="21"/>
              </w:rPr>
              <w:t>Tofacitinib</w:t>
            </w:r>
            <w:r w:rsidRPr="00665C45">
              <w:rPr>
                <w:b/>
                <w:bCs/>
                <w:sz w:val="21"/>
                <w:szCs w:val="21"/>
              </w:rPr>
              <w:fldChar w:fldCharType="begin"/>
            </w:r>
            <w:r w:rsidR="00F26098">
              <w:rPr>
                <w:b/>
                <w:bCs/>
                <w:sz w:val="21"/>
                <w:szCs w:val="21"/>
              </w:rPr>
              <w:instrText xml:space="preserve"> ADDIN ZOTERO_ITEM CSL_CITATION {"citationID":"V1YRKeYJ","properties":{"unsorted":true,"formattedCitation":"\\super 9\\nosupersub{}","plainCitation":"9","noteIndex":0},"citationItems":[{"id":4919,"uris":["http://zotero.org/users/5409423/items/VMCQF9UD"],"itemData":{"id":4919,"type":"article-journal","abstract":"BACKGROUND: Tofacitinib, an oral, small-molecule Janus kinase inhibitor, was shown to have potential efficacy as induction therapy for ulcerative colitis in a phase 2 trial. We further evaluated the efficacy of tofacitinib as induction and maintenance therapy.\nMETHODS: We conducted three phase 3, randomized, double-blind, placebo-controlled trials of tofacitinib therapy in adults with ulcerative colitis. In the OCTAVE Induction 1 and 2 trials, 598 and 541 patients, respectively, who had moderately to severely active ulcerative colitis despite previous conventional therapy or therapy with a tumor necrosis factor antagonist were randomly assigned to receive induction therapy with tofacitinib (10 mg twice daily) or placebo for 8 weeks. The primary end point was remission at 8 weeks. In the OCTAVE Sustain trial, 593 patients who had a clinical response to induction therapy were randomly assigned to receive maintenance therapy with tofacitinib (either 5 mg or 10 mg twice daily) or placebo for 52 weeks. The primary end point was remission at 52 weeks.\nRESULTS: In the OCTAVE Induction 1 trial, remission at 8 weeks occurred in 18.5% of the patients in the tofacitinib group versus 8.2% in the placebo group (P=0.007); in the OCTAVE Induction 2 trial, remission occurred in 16.6% versus 3.6% (P&lt;0.001). In the OCTAVE Sustain trial, remission at 52 weeks occurred in 34.3% of the patients in the 5-mg tofacitinib group and 40.6% in the 10-mg tofacitinib group versus 11.1% in the placebo group (P&lt;0.001 for both comparisons with placebo). In the OCTAVE Induction 1 and 2 trials, the rates of overall infection and serious infection were higher with tofacitinib than with placebo. In the OCTAVE Sustain trial, the rate of serious infection was similar across the three treatment groups, and the rates of overall infection and herpes zoster infection were higher with tofacitinib than with placebo. Across all three trials, adjudicated nonmelanoma skin cancer occurred in five patients who received tofacitinib and in one who received placebo, and adjudicated cardiovascular events occurred in five who received tofacitinib and in none who received placebo; as compared with placebo, tofacitinib was associated with increased lipid levels.\nCONCLUSIONS: In patients with moderately to severely active ulcerative colitis, tofacitinib was more effective as induction and maintenance therapy than placebo. (Funded by Pfizer; OCTAVE Induction 1, OCTAVE Induction 2, and OCTAVE Sustain ClinicalTrials.gov numbers, NCT01465763 , NCT01458951 , and NCT01458574 , respectively.).","container-title":"The New England Journal of Medicine","DOI":"10.1056/NEJMoa1606910","ISSN":"1533-4406","issue":"18","journalAbbreviation":"N Engl J Med","language":"eng","note":"PMID: 28467869","page":"1723-1736","source":"PubMed","title":"Tofacitinib as Induction and Maintenance Therapy for Ulcerative Colitis","volume":"376","author":[{"family":"Sandborn","given":"William J."},{"family":"Su","given":"Chinyu"},{"family":"Sands","given":"Bruce E."},{"family":"D'Haens","given":"Geert R."},{"family":"Vermeire","given":"Séverine"},{"family":"Schreiber","given":"Stefan"},{"family":"Danese","given":"Silvio"},{"family":"Feagan","given":"Brian G."},{"family":"Reinisch","given":"Walter"},{"family":"Niezychowski","given":"Wojciech"},{"family":"Friedman","given":"Gary"},{"family":"Lawendy","given":"Nervin"},{"family":"Yu","given":"Dahong"},{"family":"Woodworth","given":"Deborah"},{"family":"Mukherjee","given":"Arnab"},{"family":"Zhang","given":"Haiying"},{"family":"Healey","given":"Paul"},{"family":"Panés","given":"Julian"},{"literal":"OCTAVE Induction 1, OCTAVE Induction 2, and OCTAVE Sustain Investigators"}],"issued":{"date-parts":[["2017",5,4]]}}}],"schema":"https://github.com/citation-style-language/schema/raw/master/csl-citation.json"} </w:instrText>
            </w:r>
            <w:r w:rsidRPr="00665C45">
              <w:rPr>
                <w:b/>
                <w:bCs/>
                <w:sz w:val="21"/>
                <w:szCs w:val="21"/>
              </w:rPr>
              <w:fldChar w:fldCharType="separate"/>
            </w:r>
            <w:r w:rsidR="00F26098" w:rsidRPr="00F26098">
              <w:rPr>
                <w:rFonts w:ascii="Calibri Light" w:cs="Calibri Light"/>
                <w:sz w:val="21"/>
                <w:vertAlign w:val="superscript"/>
              </w:rPr>
              <w:t>9</w:t>
            </w:r>
            <w:r w:rsidRPr="00665C45">
              <w:rPr>
                <w:b/>
                <w:bCs/>
                <w:sz w:val="21"/>
                <w:szCs w:val="21"/>
              </w:rPr>
              <w:fldChar w:fldCharType="end"/>
            </w:r>
          </w:p>
        </w:tc>
        <w:tc>
          <w:tcPr>
            <w:tcW w:w="1850" w:type="dxa"/>
            <w:vAlign w:val="center"/>
          </w:tcPr>
          <w:p w14:paraId="0B50D27A" w14:textId="1BE62473" w:rsidR="009F0D65" w:rsidRPr="00665C45" w:rsidRDefault="009F0D65" w:rsidP="0001362D">
            <w:pPr>
              <w:spacing w:line="240" w:lineRule="auto"/>
              <w:jc w:val="center"/>
              <w:rPr>
                <w:sz w:val="21"/>
                <w:szCs w:val="21"/>
              </w:rPr>
            </w:pPr>
            <w:r w:rsidRPr="00665C45">
              <w:rPr>
                <w:sz w:val="21"/>
                <w:szCs w:val="21"/>
              </w:rPr>
              <w:t>OCTAVE 1</w:t>
            </w:r>
          </w:p>
        </w:tc>
        <w:tc>
          <w:tcPr>
            <w:tcW w:w="1331" w:type="dxa"/>
            <w:vAlign w:val="center"/>
          </w:tcPr>
          <w:p w14:paraId="7263878A" w14:textId="30147179" w:rsidR="009F0D65" w:rsidRPr="00665C45" w:rsidRDefault="009F0D65" w:rsidP="0001362D">
            <w:pPr>
              <w:spacing w:line="240" w:lineRule="auto"/>
              <w:jc w:val="center"/>
              <w:rPr>
                <w:sz w:val="21"/>
                <w:szCs w:val="21"/>
              </w:rPr>
            </w:pPr>
            <w:r w:rsidRPr="00665C45">
              <w:rPr>
                <w:sz w:val="21"/>
                <w:szCs w:val="21"/>
              </w:rPr>
              <w:t>Induction</w:t>
            </w:r>
          </w:p>
        </w:tc>
        <w:tc>
          <w:tcPr>
            <w:tcW w:w="667" w:type="dxa"/>
            <w:vAlign w:val="center"/>
          </w:tcPr>
          <w:p w14:paraId="3552A1BB" w14:textId="7C696563" w:rsidR="009F0D65" w:rsidRPr="00665C45" w:rsidRDefault="009F0D65" w:rsidP="0001362D">
            <w:pPr>
              <w:spacing w:line="240" w:lineRule="auto"/>
              <w:jc w:val="center"/>
              <w:rPr>
                <w:sz w:val="21"/>
                <w:szCs w:val="21"/>
              </w:rPr>
            </w:pPr>
            <w:r w:rsidRPr="00665C45">
              <w:rPr>
                <w:sz w:val="21"/>
                <w:szCs w:val="21"/>
              </w:rPr>
              <w:t>598</w:t>
            </w:r>
          </w:p>
        </w:tc>
        <w:tc>
          <w:tcPr>
            <w:tcW w:w="959" w:type="dxa"/>
            <w:vAlign w:val="center"/>
          </w:tcPr>
          <w:p w14:paraId="36A758CB" w14:textId="5B4D6886" w:rsidR="009F0D65" w:rsidRPr="00665C45" w:rsidRDefault="009F0D65" w:rsidP="0001362D">
            <w:pPr>
              <w:spacing w:line="240" w:lineRule="auto"/>
              <w:jc w:val="center"/>
              <w:rPr>
                <w:sz w:val="21"/>
                <w:szCs w:val="21"/>
              </w:rPr>
            </w:pPr>
            <w:r w:rsidRPr="00665C45">
              <w:rPr>
                <w:sz w:val="21"/>
                <w:szCs w:val="21"/>
              </w:rPr>
              <w:t>8</w:t>
            </w:r>
          </w:p>
        </w:tc>
        <w:tc>
          <w:tcPr>
            <w:tcW w:w="2259" w:type="dxa"/>
            <w:vAlign w:val="center"/>
          </w:tcPr>
          <w:p w14:paraId="438E7053" w14:textId="5E80702D" w:rsidR="009F0D65" w:rsidRPr="00665C45" w:rsidRDefault="009F0D65" w:rsidP="0001362D">
            <w:pPr>
              <w:spacing w:line="240" w:lineRule="auto"/>
              <w:jc w:val="center"/>
              <w:rPr>
                <w:sz w:val="21"/>
                <w:szCs w:val="21"/>
              </w:rPr>
            </w:pPr>
            <w:r w:rsidRPr="00665C45">
              <w:rPr>
                <w:sz w:val="21"/>
                <w:szCs w:val="21"/>
              </w:rPr>
              <w:t>Clinical remission</w:t>
            </w:r>
            <w:r w:rsidR="00771E09">
              <w:rPr>
                <w:sz w:val="21"/>
                <w:szCs w:val="21"/>
              </w:rPr>
              <w:t>*</w:t>
            </w:r>
            <w:r w:rsidRPr="00665C45">
              <w:rPr>
                <w:sz w:val="21"/>
                <w:szCs w:val="21"/>
              </w:rPr>
              <w:t xml:space="preserve"> at </w:t>
            </w:r>
            <w:r w:rsidR="002C6EA3" w:rsidRPr="00665C45">
              <w:rPr>
                <w:sz w:val="21"/>
                <w:szCs w:val="21"/>
              </w:rPr>
              <w:t xml:space="preserve">week </w:t>
            </w:r>
            <w:r w:rsidRPr="00665C45">
              <w:rPr>
                <w:sz w:val="21"/>
                <w:szCs w:val="21"/>
              </w:rPr>
              <w:t>8</w:t>
            </w:r>
          </w:p>
        </w:tc>
        <w:tc>
          <w:tcPr>
            <w:tcW w:w="5761" w:type="dxa"/>
          </w:tcPr>
          <w:p w14:paraId="4D0623FF" w14:textId="3E881585" w:rsidR="009F0D65" w:rsidRPr="00665C45" w:rsidRDefault="009F0D65" w:rsidP="00C61065">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in 18.5% (tofacitinib 10mg </w:t>
            </w:r>
            <w:r w:rsidR="00CA4A87">
              <w:rPr>
                <w:rFonts w:asciiTheme="majorHAnsi" w:hAnsiTheme="majorHAnsi" w:cstheme="majorHAnsi"/>
                <w:sz w:val="21"/>
                <w:szCs w:val="21"/>
              </w:rPr>
              <w:t>bd</w:t>
            </w:r>
            <w:r w:rsidRPr="00665C45">
              <w:rPr>
                <w:rFonts w:asciiTheme="majorHAnsi" w:hAnsiTheme="majorHAnsi" w:cstheme="majorHAnsi"/>
                <w:sz w:val="21"/>
                <w:szCs w:val="21"/>
              </w:rPr>
              <w:t>) vs. 8.2% (placebo), p=0.007.</w:t>
            </w:r>
          </w:p>
        </w:tc>
      </w:tr>
      <w:tr w:rsidR="005A4C5A" w:rsidRPr="00665C45" w14:paraId="632FA280" w14:textId="77777777" w:rsidTr="005A4C5A">
        <w:trPr>
          <w:trHeight w:val="193"/>
        </w:trPr>
        <w:tc>
          <w:tcPr>
            <w:tcW w:w="485" w:type="dxa"/>
            <w:vMerge/>
            <w:shd w:val="clear" w:color="auto" w:fill="FFFFFF" w:themeFill="background1"/>
            <w:textDirection w:val="btLr"/>
          </w:tcPr>
          <w:p w14:paraId="6CB062B7" w14:textId="77777777" w:rsidR="009F0D65" w:rsidRPr="00665C45" w:rsidRDefault="009F0D65" w:rsidP="003025D1">
            <w:pPr>
              <w:spacing w:line="240" w:lineRule="auto"/>
              <w:ind w:right="113"/>
              <w:jc w:val="center"/>
              <w:rPr>
                <w:b/>
                <w:bCs/>
                <w:sz w:val="21"/>
                <w:szCs w:val="21"/>
              </w:rPr>
            </w:pPr>
          </w:p>
        </w:tc>
        <w:tc>
          <w:tcPr>
            <w:tcW w:w="1425" w:type="dxa"/>
            <w:vMerge/>
            <w:shd w:val="clear" w:color="auto" w:fill="FFFFFF" w:themeFill="background1"/>
            <w:vAlign w:val="center"/>
          </w:tcPr>
          <w:p w14:paraId="45C80556" w14:textId="77777777" w:rsidR="009F0D65" w:rsidRPr="00665C45" w:rsidRDefault="009F0D65" w:rsidP="00E8721C">
            <w:pPr>
              <w:spacing w:line="240" w:lineRule="auto"/>
              <w:jc w:val="center"/>
              <w:rPr>
                <w:b/>
                <w:bCs/>
                <w:sz w:val="21"/>
                <w:szCs w:val="21"/>
              </w:rPr>
            </w:pPr>
          </w:p>
        </w:tc>
        <w:tc>
          <w:tcPr>
            <w:tcW w:w="1850" w:type="dxa"/>
            <w:vAlign w:val="center"/>
          </w:tcPr>
          <w:p w14:paraId="25817BA7" w14:textId="6EF26C38" w:rsidR="009F0D65" w:rsidRPr="00665C45" w:rsidRDefault="009F0D65" w:rsidP="0001362D">
            <w:pPr>
              <w:spacing w:line="240" w:lineRule="auto"/>
              <w:jc w:val="center"/>
              <w:rPr>
                <w:sz w:val="21"/>
                <w:szCs w:val="21"/>
              </w:rPr>
            </w:pPr>
            <w:r w:rsidRPr="00665C45">
              <w:rPr>
                <w:sz w:val="21"/>
                <w:szCs w:val="21"/>
              </w:rPr>
              <w:t>OCTAVE 2</w:t>
            </w:r>
          </w:p>
        </w:tc>
        <w:tc>
          <w:tcPr>
            <w:tcW w:w="1331" w:type="dxa"/>
            <w:vAlign w:val="center"/>
          </w:tcPr>
          <w:p w14:paraId="78397E29" w14:textId="0BA778A7" w:rsidR="009F0D65" w:rsidRPr="00665C45" w:rsidRDefault="009F0D65" w:rsidP="0001362D">
            <w:pPr>
              <w:spacing w:line="240" w:lineRule="auto"/>
              <w:jc w:val="center"/>
              <w:rPr>
                <w:sz w:val="21"/>
                <w:szCs w:val="21"/>
              </w:rPr>
            </w:pPr>
            <w:r w:rsidRPr="00665C45">
              <w:rPr>
                <w:sz w:val="21"/>
                <w:szCs w:val="21"/>
              </w:rPr>
              <w:t>Induction</w:t>
            </w:r>
          </w:p>
        </w:tc>
        <w:tc>
          <w:tcPr>
            <w:tcW w:w="667" w:type="dxa"/>
            <w:vAlign w:val="center"/>
          </w:tcPr>
          <w:p w14:paraId="73716D1D" w14:textId="6F53ADA5" w:rsidR="009F0D65" w:rsidRPr="00665C45" w:rsidRDefault="009F0D65" w:rsidP="0001362D">
            <w:pPr>
              <w:spacing w:line="240" w:lineRule="auto"/>
              <w:jc w:val="center"/>
              <w:rPr>
                <w:sz w:val="21"/>
                <w:szCs w:val="21"/>
              </w:rPr>
            </w:pPr>
            <w:r w:rsidRPr="00665C45">
              <w:rPr>
                <w:sz w:val="21"/>
                <w:szCs w:val="21"/>
              </w:rPr>
              <w:t>541</w:t>
            </w:r>
          </w:p>
        </w:tc>
        <w:tc>
          <w:tcPr>
            <w:tcW w:w="959" w:type="dxa"/>
            <w:vAlign w:val="center"/>
          </w:tcPr>
          <w:p w14:paraId="6173DB42" w14:textId="43AFB58B" w:rsidR="009F0D65" w:rsidRPr="00665C45" w:rsidRDefault="009F0D65" w:rsidP="0001362D">
            <w:pPr>
              <w:spacing w:line="240" w:lineRule="auto"/>
              <w:jc w:val="center"/>
              <w:rPr>
                <w:sz w:val="21"/>
                <w:szCs w:val="21"/>
              </w:rPr>
            </w:pPr>
            <w:r w:rsidRPr="00665C45">
              <w:rPr>
                <w:sz w:val="21"/>
                <w:szCs w:val="21"/>
              </w:rPr>
              <w:t>8</w:t>
            </w:r>
          </w:p>
        </w:tc>
        <w:tc>
          <w:tcPr>
            <w:tcW w:w="2259" w:type="dxa"/>
            <w:vAlign w:val="center"/>
          </w:tcPr>
          <w:p w14:paraId="45D7ABF1" w14:textId="2131DA09" w:rsidR="009F0D65" w:rsidRPr="00665C45" w:rsidRDefault="009F0D65" w:rsidP="0001362D">
            <w:pPr>
              <w:spacing w:line="240" w:lineRule="auto"/>
              <w:jc w:val="center"/>
              <w:rPr>
                <w:sz w:val="21"/>
                <w:szCs w:val="21"/>
              </w:rPr>
            </w:pPr>
            <w:r w:rsidRPr="00665C45">
              <w:rPr>
                <w:sz w:val="21"/>
                <w:szCs w:val="21"/>
              </w:rPr>
              <w:t xml:space="preserve">Clinical remission at </w:t>
            </w:r>
            <w:r w:rsidR="002C6EA3" w:rsidRPr="00665C45">
              <w:rPr>
                <w:sz w:val="21"/>
                <w:szCs w:val="21"/>
              </w:rPr>
              <w:t xml:space="preserve">week </w:t>
            </w:r>
            <w:r w:rsidRPr="00665C45">
              <w:rPr>
                <w:sz w:val="21"/>
                <w:szCs w:val="21"/>
              </w:rPr>
              <w:t>8</w:t>
            </w:r>
          </w:p>
        </w:tc>
        <w:tc>
          <w:tcPr>
            <w:tcW w:w="5761" w:type="dxa"/>
          </w:tcPr>
          <w:p w14:paraId="7DEC0959" w14:textId="5ED3054F" w:rsidR="009F0D65" w:rsidRPr="00665C45" w:rsidRDefault="009F0D65" w:rsidP="00C61065">
            <w:pPr>
              <w:spacing w:line="240" w:lineRule="auto"/>
              <w:jc w:val="center"/>
              <w:rPr>
                <w:sz w:val="21"/>
                <w:szCs w:val="21"/>
              </w:rPr>
            </w:pPr>
            <w:r w:rsidRPr="00665C45">
              <w:rPr>
                <w:sz w:val="21"/>
                <w:szCs w:val="21"/>
              </w:rPr>
              <w:t xml:space="preserve">Clinical remission in 16.6% (tofacitinib 10mg </w:t>
            </w:r>
            <w:r w:rsidR="00CA4A87">
              <w:rPr>
                <w:sz w:val="21"/>
                <w:szCs w:val="21"/>
              </w:rPr>
              <w:t>bd</w:t>
            </w:r>
            <w:r w:rsidRPr="00665C45">
              <w:rPr>
                <w:sz w:val="21"/>
                <w:szCs w:val="21"/>
              </w:rPr>
              <w:t>) vs. 3.6% (placebo), p&lt;0.001.</w:t>
            </w:r>
          </w:p>
        </w:tc>
      </w:tr>
      <w:tr w:rsidR="00E178C0" w:rsidRPr="00665C45" w14:paraId="37E8F991" w14:textId="77777777" w:rsidTr="005A4C5A">
        <w:trPr>
          <w:cnfStyle w:val="000000100000" w:firstRow="0" w:lastRow="0" w:firstColumn="0" w:lastColumn="0" w:oddVBand="0" w:evenVBand="0" w:oddHBand="1" w:evenHBand="0" w:firstRowFirstColumn="0" w:firstRowLastColumn="0" w:lastRowFirstColumn="0" w:lastRowLastColumn="0"/>
          <w:trHeight w:val="193"/>
        </w:trPr>
        <w:tc>
          <w:tcPr>
            <w:tcW w:w="485" w:type="dxa"/>
            <w:vMerge/>
            <w:shd w:val="clear" w:color="auto" w:fill="FFFFFF" w:themeFill="background1"/>
            <w:textDirection w:val="btLr"/>
          </w:tcPr>
          <w:p w14:paraId="6005AB26" w14:textId="77777777" w:rsidR="009F0D65" w:rsidRPr="00665C45" w:rsidRDefault="009F0D65" w:rsidP="003025D1">
            <w:pPr>
              <w:spacing w:line="240" w:lineRule="auto"/>
              <w:ind w:right="113"/>
              <w:jc w:val="center"/>
              <w:rPr>
                <w:b/>
                <w:bCs/>
                <w:sz w:val="21"/>
                <w:szCs w:val="21"/>
              </w:rPr>
            </w:pPr>
          </w:p>
        </w:tc>
        <w:tc>
          <w:tcPr>
            <w:tcW w:w="1425" w:type="dxa"/>
            <w:vMerge/>
            <w:shd w:val="clear" w:color="auto" w:fill="FFFFFF" w:themeFill="background1"/>
            <w:vAlign w:val="center"/>
          </w:tcPr>
          <w:p w14:paraId="5483AB9E" w14:textId="77777777" w:rsidR="009F0D65" w:rsidRPr="00665C45" w:rsidRDefault="009F0D65" w:rsidP="00E8721C">
            <w:pPr>
              <w:spacing w:line="240" w:lineRule="auto"/>
              <w:jc w:val="center"/>
              <w:rPr>
                <w:b/>
                <w:bCs/>
                <w:sz w:val="21"/>
                <w:szCs w:val="21"/>
              </w:rPr>
            </w:pPr>
          </w:p>
        </w:tc>
        <w:tc>
          <w:tcPr>
            <w:tcW w:w="1850" w:type="dxa"/>
            <w:vAlign w:val="center"/>
          </w:tcPr>
          <w:p w14:paraId="5A5BABEE" w14:textId="4D92C037" w:rsidR="009F0D65" w:rsidRPr="00665C45" w:rsidRDefault="009F0D65" w:rsidP="0001362D">
            <w:pPr>
              <w:spacing w:line="240" w:lineRule="auto"/>
              <w:jc w:val="center"/>
              <w:rPr>
                <w:sz w:val="21"/>
                <w:szCs w:val="21"/>
              </w:rPr>
            </w:pPr>
            <w:r w:rsidRPr="00665C45">
              <w:rPr>
                <w:sz w:val="21"/>
                <w:szCs w:val="21"/>
              </w:rPr>
              <w:t>OCTAVE SUSTAIN</w:t>
            </w:r>
          </w:p>
        </w:tc>
        <w:tc>
          <w:tcPr>
            <w:tcW w:w="1331" w:type="dxa"/>
            <w:vAlign w:val="center"/>
          </w:tcPr>
          <w:p w14:paraId="2145747D" w14:textId="2565F34B" w:rsidR="009F0D65" w:rsidRPr="00665C45" w:rsidRDefault="009F0D65" w:rsidP="0001362D">
            <w:pPr>
              <w:spacing w:line="240" w:lineRule="auto"/>
              <w:jc w:val="center"/>
              <w:rPr>
                <w:sz w:val="21"/>
                <w:szCs w:val="21"/>
              </w:rPr>
            </w:pPr>
            <w:r w:rsidRPr="00665C45">
              <w:rPr>
                <w:sz w:val="21"/>
                <w:szCs w:val="21"/>
              </w:rPr>
              <w:t>Maintenance</w:t>
            </w:r>
          </w:p>
        </w:tc>
        <w:tc>
          <w:tcPr>
            <w:tcW w:w="667" w:type="dxa"/>
            <w:vAlign w:val="center"/>
          </w:tcPr>
          <w:p w14:paraId="09DFBA02" w14:textId="50A9E866" w:rsidR="009F0D65" w:rsidRPr="00665C45" w:rsidRDefault="009F0D65" w:rsidP="0001362D">
            <w:pPr>
              <w:spacing w:line="240" w:lineRule="auto"/>
              <w:jc w:val="center"/>
              <w:rPr>
                <w:sz w:val="21"/>
                <w:szCs w:val="21"/>
              </w:rPr>
            </w:pPr>
            <w:r w:rsidRPr="00665C45">
              <w:rPr>
                <w:sz w:val="21"/>
                <w:szCs w:val="21"/>
              </w:rPr>
              <w:t>593</w:t>
            </w:r>
          </w:p>
        </w:tc>
        <w:tc>
          <w:tcPr>
            <w:tcW w:w="959" w:type="dxa"/>
            <w:vAlign w:val="center"/>
          </w:tcPr>
          <w:p w14:paraId="66EF8B75" w14:textId="1C5DD406" w:rsidR="009F0D65" w:rsidRPr="00665C45" w:rsidRDefault="009F0D65" w:rsidP="0001362D">
            <w:pPr>
              <w:spacing w:line="240" w:lineRule="auto"/>
              <w:jc w:val="center"/>
              <w:rPr>
                <w:sz w:val="21"/>
                <w:szCs w:val="21"/>
              </w:rPr>
            </w:pPr>
            <w:r w:rsidRPr="00665C45">
              <w:rPr>
                <w:sz w:val="21"/>
                <w:szCs w:val="21"/>
              </w:rPr>
              <w:t>52</w:t>
            </w:r>
          </w:p>
        </w:tc>
        <w:tc>
          <w:tcPr>
            <w:tcW w:w="2259" w:type="dxa"/>
            <w:vAlign w:val="center"/>
          </w:tcPr>
          <w:p w14:paraId="5AE9818A" w14:textId="0D436C8C" w:rsidR="009F0D65" w:rsidRPr="00665C45" w:rsidRDefault="009F0D65" w:rsidP="0001362D">
            <w:pPr>
              <w:spacing w:line="240" w:lineRule="auto"/>
              <w:jc w:val="center"/>
              <w:rPr>
                <w:sz w:val="21"/>
                <w:szCs w:val="21"/>
              </w:rPr>
            </w:pPr>
            <w:r w:rsidRPr="00665C45">
              <w:rPr>
                <w:sz w:val="21"/>
                <w:szCs w:val="21"/>
              </w:rPr>
              <w:t xml:space="preserve">Clinical remission at </w:t>
            </w:r>
            <w:r w:rsidR="002C6EA3" w:rsidRPr="00665C45">
              <w:rPr>
                <w:sz w:val="21"/>
                <w:szCs w:val="21"/>
              </w:rPr>
              <w:t xml:space="preserve">week </w:t>
            </w:r>
            <w:r w:rsidRPr="00665C45">
              <w:rPr>
                <w:sz w:val="21"/>
                <w:szCs w:val="21"/>
              </w:rPr>
              <w:t>52</w:t>
            </w:r>
          </w:p>
        </w:tc>
        <w:tc>
          <w:tcPr>
            <w:tcW w:w="5761" w:type="dxa"/>
          </w:tcPr>
          <w:p w14:paraId="79B1DFF0" w14:textId="4DA3C59E" w:rsidR="009F0D65" w:rsidRPr="00665C45" w:rsidRDefault="009F0D65" w:rsidP="00C61065">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in 34.3% (tofacitinib 5mg </w:t>
            </w:r>
            <w:r w:rsidR="00CA4A87">
              <w:rPr>
                <w:rFonts w:asciiTheme="majorHAnsi" w:hAnsiTheme="majorHAnsi" w:cstheme="majorHAnsi"/>
                <w:sz w:val="21"/>
                <w:szCs w:val="21"/>
              </w:rPr>
              <w:t>bd</w:t>
            </w:r>
            <w:r w:rsidRPr="00665C45">
              <w:rPr>
                <w:rFonts w:asciiTheme="majorHAnsi" w:hAnsiTheme="majorHAnsi" w:cstheme="majorHAnsi"/>
                <w:sz w:val="21"/>
                <w:szCs w:val="21"/>
              </w:rPr>
              <w:t xml:space="preserve">) vs. 40.6% (tofacitinib 10mg </w:t>
            </w:r>
            <w:r w:rsidR="00CA4A87">
              <w:rPr>
                <w:rFonts w:asciiTheme="majorHAnsi" w:hAnsiTheme="majorHAnsi" w:cstheme="majorHAnsi"/>
                <w:sz w:val="21"/>
                <w:szCs w:val="21"/>
              </w:rPr>
              <w:t>bd</w:t>
            </w:r>
            <w:r w:rsidRPr="00665C45">
              <w:rPr>
                <w:rFonts w:asciiTheme="majorHAnsi" w:hAnsiTheme="majorHAnsi" w:cstheme="majorHAnsi"/>
                <w:sz w:val="21"/>
                <w:szCs w:val="21"/>
              </w:rPr>
              <w:t>), vs. 11.1% (placebo), p&lt;0.001 for both comparisons with placebo.</w:t>
            </w:r>
          </w:p>
        </w:tc>
      </w:tr>
      <w:tr w:rsidR="00F26098" w:rsidRPr="00665C45" w14:paraId="7951C5F8" w14:textId="77777777" w:rsidTr="005A4C5A">
        <w:trPr>
          <w:trHeight w:val="455"/>
        </w:trPr>
        <w:tc>
          <w:tcPr>
            <w:tcW w:w="485" w:type="dxa"/>
            <w:vMerge/>
            <w:shd w:val="clear" w:color="auto" w:fill="FFFFFF" w:themeFill="background1"/>
          </w:tcPr>
          <w:p w14:paraId="494F96CA" w14:textId="77777777" w:rsidR="009F0D65" w:rsidRPr="00665C45" w:rsidRDefault="009F0D65" w:rsidP="003025D1">
            <w:pPr>
              <w:spacing w:line="240" w:lineRule="auto"/>
              <w:rPr>
                <w:b/>
                <w:bCs/>
                <w:sz w:val="21"/>
                <w:szCs w:val="21"/>
              </w:rPr>
            </w:pPr>
          </w:p>
        </w:tc>
        <w:tc>
          <w:tcPr>
            <w:tcW w:w="1425" w:type="dxa"/>
            <w:vMerge w:val="restart"/>
            <w:shd w:val="clear" w:color="auto" w:fill="FFFFFF" w:themeFill="background1"/>
            <w:vAlign w:val="center"/>
            <w:hideMark/>
          </w:tcPr>
          <w:p w14:paraId="312CF40D" w14:textId="0C028C9E" w:rsidR="009F0D65" w:rsidRPr="00665C45" w:rsidRDefault="009F0D65" w:rsidP="00E8721C">
            <w:pPr>
              <w:spacing w:line="240" w:lineRule="auto"/>
              <w:jc w:val="center"/>
              <w:rPr>
                <w:sz w:val="21"/>
                <w:szCs w:val="21"/>
              </w:rPr>
            </w:pPr>
            <w:r w:rsidRPr="00665C45">
              <w:rPr>
                <w:b/>
                <w:bCs/>
                <w:sz w:val="21"/>
                <w:szCs w:val="21"/>
              </w:rPr>
              <w:t>Filgotinib</w:t>
            </w:r>
            <w:r w:rsidRPr="00665C45">
              <w:rPr>
                <w:b/>
                <w:bCs/>
                <w:sz w:val="21"/>
                <w:szCs w:val="21"/>
              </w:rPr>
              <w:fldChar w:fldCharType="begin"/>
            </w:r>
            <w:r w:rsidR="00F26098">
              <w:rPr>
                <w:b/>
                <w:bCs/>
                <w:sz w:val="21"/>
                <w:szCs w:val="21"/>
              </w:rPr>
              <w:instrText xml:space="preserve"> ADDIN ZOTERO_ITEM CSL_CITATION {"citationID":"5DPHuIEg","properties":{"formattedCitation":"\\super 23\\nosupersub{}","plainCitation":"23","noteIndex":0},"citationItems":[{"id":4924,"uris":["http://zotero.org/users/5409423/items/HPVL5QDA"],"itemData":{"id":4924,"type":"article-journal","abstract":"Background\nThe global prevalence of ulcerative colitis is increasing, and induction and maintenance of remission is a crucial therapeutic goal. We assessed the efficacy and safety of filgotinib, a once-daily, oral Janus kinase 1 preferential inhibitor, for treatment of ulcerative colitis.\nMethods\nThis phase 2b/3, double-blind, randomised, placebo-controlled trial including two induction studies and one maintenance study was done in 341 study centres in 40 countries. Eligible patients were aged 18–75 years with moderately to severely active ulcerative colitis for at least 6 months before enrolment (induction study A: inadequate clinical response, loss of response to or intolerance to corticosteroids or immunosuppressants, naive to tumour necrosis factor [TNF] antagonists and vedolizumab [biologic-naive]; induction study B: inadequate clinical response, loss of response to or intolerance to any TNF antagonist or vedolizumab, no TNF antagonist or vedolizumab use within 8 weeks before screening [biologic-experienced]). Patients were randomly assigned 2:2:1 to receive oral filgotinib 200 mg, filgotinib 100 mg, or placebo once per day for 11 weeks. Patients who had either clinical remission or a Mayo Clinic Score response at week 10 in either induction study entered the maintenance study. Patients who received induction filgotinib were rerandomised 2:1 to continue their induction filgotinib regimen or to placebo. Patients who received induction placebo continued receiving placebo. The primary endpoint was clinical remission by Mayo endoscopic, rectal bleeding, and stool frequency subscores at weeks 10 and 58. For the induction studies, efficacy was assessed in all randomised patients who received at least one dose of study drug or placebo within that study. For the maintenance study, efficacy was assessed in all patients randomised to any filgotinib treatment group in the induction studies who received at least one dose of study drug or placebo in the maintenance study. Patients who received placebo throughout the induction and maintenance study were not included in the full analysis set for the maintenance study. Safety was assessed in all patients who received at least one dose of the study drug or placebo within each study. This trial is registered with ClinicalTrials.gov, NCT02914522.\nFindings\nBetween Nov 14, 2016, and March 31, 2020, we screened 2040 patients for eligibility. 659 patients enrolled in induction study A were randomly assigned to receive filgotinib 100 mg (n=277), filgotinib 200 mg (n=245), or placebo (n=137). 689 patients enrolled into induction study B were randomly assigned to receive filgotinib 100 mg (n=285), filgotinib 200 mg (n=262), or placebo (n=142). 34 patients in induction study A and 54 patients in induction study B discontinued the study drug before week 10. After efficacy assessment at week 10, 664 patients entered the maintenance study (391 from induction study A, 273 from induction study B). 93 patients continued to receive placebo. 270 patients who had received filgotinib 100 mg in the induction study were randomly assigned to receive filgotinib 100 mg (n=179) or placebo (n=91). 301 patients who had received filgotinib 200 mg in the induction study were randomly assigned to receive filgotinib 200 mg (n=202) or placebo (n=99). 263 patients discontinued treatment in the maintenance study. At week 10, a greater proportion of patients given filgotinib 200 mg had clinical remission than those given placebo (induction study A 26·1% vs 15·3%, difference 10·8%; 95% CI 2·1–19·5, p=0·0157; induction study B 11·5% vs 4·2%, 7·2%; 1·6–12·8, p=0·0103). At week 58, 37·2% of patients given filgotinib 200 mg had clinical remission versus 11·2% in the respective placebo group (difference 26·0%, 95% CI 16·0–35·9; p&lt;0·0001). Clinical remission was not significantly different between filgotinib 100 mg and placebo at week 10, but was significant by week 58 (23·8% vs 13·5%, 10·4%; 0·0–20·7, p=0·0420). The incidence of serious adverse events and adverse events of interest was similar between treatment groups. In the induction studies, serious adverse events occurred in 28 (5·0%) of 562 patients given filgotinib 100 mg, 22 (4·3%) of 507 patients given filgotinib 200 mg, and 13 (4·7%) of 279 patients given placebo. In the maintenance study, serious adverse events were reported in eight (4·5%) of 179 patients given filgotinib 100 mg, seven (7·7%) of 91 patients in the respective placebo group, nine (4·5%) of 202 patients in the filgotinib 200 mg group, and no patients in the respective placebo group. No deaths were reported during either induction study. Two patients died during the maintenance study; neither was related to treatment.\nInterpretation\nFilgotinib 200 mg was well tolerated, and efficacious in inducing and maintaining clinical remission compared with placebo in patients with moderately to severely active ulcerative colitis.\nFunding\nGilead Sciences.","container-title":"The Lancet","DOI":"10.1016/S0140-6736(21)00666-8","ISSN":"0140-6736","issue":"10292","journalAbbreviation":"The Lancet","language":"en","page":"2372-2384","source":"ScienceDirect","title":"Filgotinib as induction and maintenance therapy for ulcerative colitis (SELECTION): a phase 2b/3 double-blind, randomised, placebo-controlled trial","title-short":"Filgotinib as induction and maintenance therapy for ulcerative colitis (SELECTION)","volume":"397","author":[{"family":"Feagan","given":"Brian G"},{"family":"Danese","given":"Silvio"},{"family":"Loftus","given":"Edward V"},{"family":"Vermeire","given":"Séverine"},{"family":"Schreiber","given":"Stefan"},{"family":"Ritter","given":"Timothy"},{"family":"Fogel","given":"Ronald"},{"family":"Mehta","given":"Rajiv"},{"family":"Nijhawan","given":"Sandeep"},{"family":"Kempiński","given":"Radosław"},{"family":"Filip","given":"Rafał"},{"family":"Hospodarskyy","given":"Ihor"},{"family":"Seidler","given":"Ursula"},{"family":"Seibold","given":"Frank"},{"family":"Beales","given":"Ian L P"},{"family":"Kim","given":"Hyo Jong"},{"family":"McNally","given":"John"},{"family":"Yun","given":"Chohee"},{"family":"Zhao","given":"Sally"},{"family":"Liu","given":"Xiaopeng"},{"family":"Hsueh","given":"Chia-Hsiang"},{"family":"Tasset","given":"Chantal"},{"family":"Besuyen","given":"Robin"},{"family":"Watanabe","given":"Mamoru"},{"family":"Sandborn","given":"William J"},{"family":"Rogler","given":"Gerhard"},{"family":"Hibi","given":"Toshifumi"},{"family":"Peyrin-Biroulet","given":"Laurent"}],"issued":{"date-parts":[["2021",6,19]]}}}],"schema":"https://github.com/citation-style-language/schema/raw/master/csl-citation.json"} </w:instrText>
            </w:r>
            <w:r w:rsidRPr="00665C45">
              <w:rPr>
                <w:b/>
                <w:bCs/>
                <w:sz w:val="21"/>
                <w:szCs w:val="21"/>
              </w:rPr>
              <w:fldChar w:fldCharType="separate"/>
            </w:r>
            <w:r w:rsidR="00F26098" w:rsidRPr="00F26098">
              <w:rPr>
                <w:rFonts w:ascii="Calibri Light" w:cs="Calibri Light"/>
                <w:sz w:val="21"/>
                <w:vertAlign w:val="superscript"/>
              </w:rPr>
              <w:t>23</w:t>
            </w:r>
            <w:r w:rsidRPr="00665C45">
              <w:rPr>
                <w:b/>
                <w:bCs/>
                <w:sz w:val="21"/>
                <w:szCs w:val="21"/>
              </w:rPr>
              <w:fldChar w:fldCharType="end"/>
            </w:r>
          </w:p>
        </w:tc>
        <w:tc>
          <w:tcPr>
            <w:tcW w:w="1850" w:type="dxa"/>
            <w:vAlign w:val="center"/>
          </w:tcPr>
          <w:p w14:paraId="5176F7D5" w14:textId="1D8EA12F" w:rsidR="009F0D65" w:rsidRPr="00665C45" w:rsidRDefault="009F0D65" w:rsidP="0001362D">
            <w:pPr>
              <w:spacing w:line="240" w:lineRule="auto"/>
              <w:jc w:val="center"/>
              <w:rPr>
                <w:sz w:val="21"/>
                <w:szCs w:val="21"/>
              </w:rPr>
            </w:pPr>
            <w:r w:rsidRPr="00665C45">
              <w:rPr>
                <w:sz w:val="21"/>
                <w:szCs w:val="21"/>
              </w:rPr>
              <w:t>SELECTION</w:t>
            </w:r>
          </w:p>
          <w:p w14:paraId="249B6D6B" w14:textId="11E4EA7B" w:rsidR="009F0D65" w:rsidRPr="00665C45" w:rsidRDefault="009F0D65" w:rsidP="0001362D">
            <w:pPr>
              <w:spacing w:line="240" w:lineRule="auto"/>
              <w:jc w:val="center"/>
              <w:rPr>
                <w:sz w:val="21"/>
                <w:szCs w:val="21"/>
              </w:rPr>
            </w:pPr>
            <w:r w:rsidRPr="00665C45">
              <w:rPr>
                <w:sz w:val="21"/>
                <w:szCs w:val="21"/>
              </w:rPr>
              <w:t>STUDY A</w:t>
            </w:r>
          </w:p>
        </w:tc>
        <w:tc>
          <w:tcPr>
            <w:tcW w:w="1331" w:type="dxa"/>
            <w:vAlign w:val="center"/>
          </w:tcPr>
          <w:p w14:paraId="12507DAF" w14:textId="32CC56F1" w:rsidR="009F0D65" w:rsidRPr="00665C45" w:rsidRDefault="009F0D65" w:rsidP="0001362D">
            <w:pPr>
              <w:spacing w:line="240" w:lineRule="auto"/>
              <w:jc w:val="center"/>
              <w:rPr>
                <w:sz w:val="21"/>
                <w:szCs w:val="21"/>
              </w:rPr>
            </w:pPr>
            <w:r w:rsidRPr="00665C45">
              <w:rPr>
                <w:sz w:val="21"/>
                <w:szCs w:val="21"/>
              </w:rPr>
              <w:t>Induction</w:t>
            </w:r>
          </w:p>
        </w:tc>
        <w:tc>
          <w:tcPr>
            <w:tcW w:w="667" w:type="dxa"/>
            <w:vAlign w:val="center"/>
          </w:tcPr>
          <w:p w14:paraId="04DB6C23" w14:textId="00929450" w:rsidR="009F0D65" w:rsidRPr="00665C45" w:rsidRDefault="009F0D65" w:rsidP="0001362D">
            <w:pPr>
              <w:spacing w:line="240" w:lineRule="auto"/>
              <w:jc w:val="center"/>
              <w:rPr>
                <w:sz w:val="21"/>
                <w:szCs w:val="21"/>
              </w:rPr>
            </w:pPr>
            <w:r w:rsidRPr="00665C45">
              <w:rPr>
                <w:sz w:val="21"/>
                <w:szCs w:val="21"/>
              </w:rPr>
              <w:t>659</w:t>
            </w:r>
          </w:p>
        </w:tc>
        <w:tc>
          <w:tcPr>
            <w:tcW w:w="959" w:type="dxa"/>
            <w:vAlign w:val="center"/>
          </w:tcPr>
          <w:p w14:paraId="79C15B6A" w14:textId="77F8265B" w:rsidR="009F0D65" w:rsidRPr="00665C45" w:rsidRDefault="009F0D65" w:rsidP="0001362D">
            <w:pPr>
              <w:spacing w:line="240" w:lineRule="auto"/>
              <w:jc w:val="center"/>
              <w:rPr>
                <w:sz w:val="21"/>
                <w:szCs w:val="21"/>
              </w:rPr>
            </w:pPr>
            <w:r w:rsidRPr="00665C45">
              <w:rPr>
                <w:sz w:val="21"/>
                <w:szCs w:val="21"/>
              </w:rPr>
              <w:t>10</w:t>
            </w:r>
          </w:p>
        </w:tc>
        <w:tc>
          <w:tcPr>
            <w:tcW w:w="2259" w:type="dxa"/>
            <w:vAlign w:val="center"/>
          </w:tcPr>
          <w:p w14:paraId="797ED127" w14:textId="02CA3D86" w:rsidR="009F0D65" w:rsidRPr="00665C45" w:rsidRDefault="00732EB0" w:rsidP="0001362D">
            <w:pPr>
              <w:spacing w:line="240" w:lineRule="auto"/>
              <w:jc w:val="center"/>
              <w:rPr>
                <w:sz w:val="21"/>
                <w:szCs w:val="21"/>
              </w:rPr>
            </w:pPr>
            <w:r w:rsidRPr="00665C45">
              <w:rPr>
                <w:sz w:val="21"/>
                <w:szCs w:val="21"/>
              </w:rPr>
              <w:t>Clinical remission at week 10</w:t>
            </w:r>
          </w:p>
        </w:tc>
        <w:tc>
          <w:tcPr>
            <w:tcW w:w="5761" w:type="dxa"/>
          </w:tcPr>
          <w:p w14:paraId="09DCDE88" w14:textId="0DD442EA" w:rsidR="009F0D65" w:rsidRPr="00665C45" w:rsidRDefault="009F0D65" w:rsidP="00C61065">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in 26.1% (filgotinib 200mg </w:t>
            </w:r>
            <w:r w:rsidR="00CA4A87">
              <w:rPr>
                <w:rFonts w:asciiTheme="majorHAnsi" w:hAnsiTheme="majorHAnsi" w:cstheme="majorHAnsi"/>
                <w:sz w:val="21"/>
                <w:szCs w:val="21"/>
              </w:rPr>
              <w:t>od</w:t>
            </w:r>
            <w:r w:rsidRPr="00665C45">
              <w:rPr>
                <w:rFonts w:asciiTheme="majorHAnsi" w:hAnsiTheme="majorHAnsi" w:cstheme="majorHAnsi"/>
                <w:sz w:val="21"/>
                <w:szCs w:val="21"/>
              </w:rPr>
              <w:t>) vs. 15.3% (placebo), p=0·0157</w:t>
            </w:r>
            <w:r w:rsidR="002C1314">
              <w:rPr>
                <w:rFonts w:asciiTheme="majorHAnsi" w:hAnsiTheme="majorHAnsi" w:cstheme="majorHAnsi"/>
                <w:sz w:val="21"/>
                <w:szCs w:val="21"/>
              </w:rPr>
              <w:t>.</w:t>
            </w:r>
          </w:p>
        </w:tc>
      </w:tr>
      <w:tr w:rsidR="005A4C5A" w:rsidRPr="00665C45" w14:paraId="4BA16E3D" w14:textId="77777777" w:rsidTr="005A4C5A">
        <w:trPr>
          <w:cnfStyle w:val="000000100000" w:firstRow="0" w:lastRow="0" w:firstColumn="0" w:lastColumn="0" w:oddVBand="0" w:evenVBand="0" w:oddHBand="1" w:evenHBand="0" w:firstRowFirstColumn="0" w:firstRowLastColumn="0" w:lastRowFirstColumn="0" w:lastRowLastColumn="0"/>
          <w:trHeight w:val="377"/>
        </w:trPr>
        <w:tc>
          <w:tcPr>
            <w:tcW w:w="485" w:type="dxa"/>
            <w:vMerge/>
            <w:shd w:val="clear" w:color="auto" w:fill="FFFFFF" w:themeFill="background1"/>
          </w:tcPr>
          <w:p w14:paraId="4388A69E" w14:textId="77777777" w:rsidR="009F0D65" w:rsidRPr="00665C45" w:rsidRDefault="009F0D65" w:rsidP="003025D1">
            <w:pPr>
              <w:spacing w:line="240" w:lineRule="auto"/>
              <w:rPr>
                <w:b/>
                <w:bCs/>
                <w:sz w:val="21"/>
                <w:szCs w:val="21"/>
              </w:rPr>
            </w:pPr>
          </w:p>
        </w:tc>
        <w:tc>
          <w:tcPr>
            <w:tcW w:w="1425" w:type="dxa"/>
            <w:vMerge/>
            <w:shd w:val="clear" w:color="auto" w:fill="FFFFFF" w:themeFill="background1"/>
            <w:vAlign w:val="center"/>
          </w:tcPr>
          <w:p w14:paraId="6C6CD54F" w14:textId="77777777" w:rsidR="009F0D65" w:rsidRPr="00665C45" w:rsidRDefault="009F0D65" w:rsidP="00E8721C">
            <w:pPr>
              <w:spacing w:line="240" w:lineRule="auto"/>
              <w:jc w:val="center"/>
              <w:rPr>
                <w:b/>
                <w:bCs/>
                <w:sz w:val="21"/>
                <w:szCs w:val="21"/>
              </w:rPr>
            </w:pPr>
          </w:p>
        </w:tc>
        <w:tc>
          <w:tcPr>
            <w:tcW w:w="1850" w:type="dxa"/>
            <w:vAlign w:val="center"/>
          </w:tcPr>
          <w:p w14:paraId="74CC8FB2" w14:textId="03CA56FA" w:rsidR="009F0D65" w:rsidRPr="00665C45" w:rsidRDefault="009F0D65" w:rsidP="0001362D">
            <w:pPr>
              <w:spacing w:line="240" w:lineRule="auto"/>
              <w:jc w:val="center"/>
              <w:rPr>
                <w:sz w:val="21"/>
                <w:szCs w:val="21"/>
              </w:rPr>
            </w:pPr>
            <w:r w:rsidRPr="00665C45">
              <w:rPr>
                <w:sz w:val="21"/>
                <w:szCs w:val="21"/>
              </w:rPr>
              <w:t>SELECTION</w:t>
            </w:r>
          </w:p>
          <w:p w14:paraId="264036B4" w14:textId="160424C3" w:rsidR="009F0D65" w:rsidRPr="00665C45" w:rsidRDefault="009F0D65" w:rsidP="0001362D">
            <w:pPr>
              <w:spacing w:line="240" w:lineRule="auto"/>
              <w:jc w:val="center"/>
              <w:rPr>
                <w:sz w:val="21"/>
                <w:szCs w:val="21"/>
              </w:rPr>
            </w:pPr>
            <w:r w:rsidRPr="00665C45">
              <w:rPr>
                <w:sz w:val="21"/>
                <w:szCs w:val="21"/>
              </w:rPr>
              <w:t>STUDY B</w:t>
            </w:r>
          </w:p>
        </w:tc>
        <w:tc>
          <w:tcPr>
            <w:tcW w:w="1331" w:type="dxa"/>
            <w:vAlign w:val="center"/>
          </w:tcPr>
          <w:p w14:paraId="4F8E7163" w14:textId="64301ED6" w:rsidR="009F0D65" w:rsidRPr="00665C45" w:rsidRDefault="009F0D65" w:rsidP="0001362D">
            <w:pPr>
              <w:spacing w:line="240" w:lineRule="auto"/>
              <w:jc w:val="center"/>
              <w:rPr>
                <w:sz w:val="21"/>
                <w:szCs w:val="21"/>
              </w:rPr>
            </w:pPr>
            <w:r w:rsidRPr="00665C45">
              <w:rPr>
                <w:sz w:val="21"/>
                <w:szCs w:val="21"/>
              </w:rPr>
              <w:t>Induction</w:t>
            </w:r>
          </w:p>
        </w:tc>
        <w:tc>
          <w:tcPr>
            <w:tcW w:w="667" w:type="dxa"/>
            <w:vAlign w:val="center"/>
          </w:tcPr>
          <w:p w14:paraId="087F6CBD" w14:textId="34F25407" w:rsidR="009F0D65" w:rsidRPr="00665C45" w:rsidRDefault="009F0D65" w:rsidP="0001362D">
            <w:pPr>
              <w:spacing w:line="240" w:lineRule="auto"/>
              <w:jc w:val="center"/>
              <w:rPr>
                <w:sz w:val="21"/>
                <w:szCs w:val="21"/>
              </w:rPr>
            </w:pPr>
            <w:r w:rsidRPr="00665C45">
              <w:rPr>
                <w:sz w:val="21"/>
                <w:szCs w:val="21"/>
              </w:rPr>
              <w:t>689</w:t>
            </w:r>
          </w:p>
        </w:tc>
        <w:tc>
          <w:tcPr>
            <w:tcW w:w="959" w:type="dxa"/>
            <w:vAlign w:val="center"/>
          </w:tcPr>
          <w:p w14:paraId="1B7B3DDE" w14:textId="243692FD" w:rsidR="009F0D65" w:rsidRPr="00665C45" w:rsidRDefault="009F0D65" w:rsidP="0001362D">
            <w:pPr>
              <w:spacing w:line="240" w:lineRule="auto"/>
              <w:jc w:val="center"/>
              <w:rPr>
                <w:sz w:val="21"/>
                <w:szCs w:val="21"/>
              </w:rPr>
            </w:pPr>
            <w:r w:rsidRPr="00665C45">
              <w:rPr>
                <w:sz w:val="21"/>
                <w:szCs w:val="21"/>
              </w:rPr>
              <w:t>10</w:t>
            </w:r>
          </w:p>
        </w:tc>
        <w:tc>
          <w:tcPr>
            <w:tcW w:w="2259" w:type="dxa"/>
            <w:vAlign w:val="center"/>
          </w:tcPr>
          <w:p w14:paraId="62DEBD96" w14:textId="6689044F" w:rsidR="009F0D65" w:rsidRPr="00665C45" w:rsidRDefault="00732EB0" w:rsidP="0001362D">
            <w:pPr>
              <w:spacing w:line="240" w:lineRule="auto"/>
              <w:jc w:val="center"/>
              <w:rPr>
                <w:sz w:val="21"/>
                <w:szCs w:val="21"/>
              </w:rPr>
            </w:pPr>
            <w:r w:rsidRPr="00665C45">
              <w:rPr>
                <w:sz w:val="21"/>
                <w:szCs w:val="21"/>
              </w:rPr>
              <w:t>Clinical remission at week 10</w:t>
            </w:r>
          </w:p>
        </w:tc>
        <w:tc>
          <w:tcPr>
            <w:tcW w:w="5761" w:type="dxa"/>
          </w:tcPr>
          <w:p w14:paraId="161C02BB" w14:textId="631B53E3" w:rsidR="009F0D65" w:rsidRPr="00665C45" w:rsidRDefault="009F0D65" w:rsidP="00C61065">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in 11.5% (filgotinib 200mg </w:t>
            </w:r>
            <w:r w:rsidR="00CA4A87">
              <w:rPr>
                <w:rFonts w:asciiTheme="majorHAnsi" w:hAnsiTheme="majorHAnsi" w:cstheme="majorHAnsi"/>
                <w:sz w:val="21"/>
                <w:szCs w:val="21"/>
              </w:rPr>
              <w:t>od</w:t>
            </w:r>
            <w:r w:rsidRPr="00665C45">
              <w:rPr>
                <w:rFonts w:asciiTheme="majorHAnsi" w:hAnsiTheme="majorHAnsi" w:cstheme="majorHAnsi"/>
                <w:sz w:val="21"/>
                <w:szCs w:val="21"/>
              </w:rPr>
              <w:t>) vs. 4.2% (placebo), p=0·0103.</w:t>
            </w:r>
          </w:p>
        </w:tc>
      </w:tr>
      <w:tr w:rsidR="00F26098" w:rsidRPr="00665C45" w14:paraId="64F5F93B" w14:textId="77777777" w:rsidTr="005A4C5A">
        <w:trPr>
          <w:trHeight w:val="377"/>
        </w:trPr>
        <w:tc>
          <w:tcPr>
            <w:tcW w:w="485" w:type="dxa"/>
            <w:vMerge/>
            <w:shd w:val="clear" w:color="auto" w:fill="FFFFFF" w:themeFill="background1"/>
          </w:tcPr>
          <w:p w14:paraId="697D9DA7" w14:textId="77777777" w:rsidR="009F0D65" w:rsidRPr="00665C45" w:rsidRDefault="009F0D65" w:rsidP="003025D1">
            <w:pPr>
              <w:spacing w:line="240" w:lineRule="auto"/>
              <w:rPr>
                <w:b/>
                <w:bCs/>
                <w:sz w:val="21"/>
                <w:szCs w:val="21"/>
              </w:rPr>
            </w:pPr>
          </w:p>
        </w:tc>
        <w:tc>
          <w:tcPr>
            <w:tcW w:w="1425" w:type="dxa"/>
            <w:vMerge/>
            <w:shd w:val="clear" w:color="auto" w:fill="FFFFFF" w:themeFill="background1"/>
            <w:vAlign w:val="center"/>
          </w:tcPr>
          <w:p w14:paraId="131604A2" w14:textId="77777777" w:rsidR="009F0D65" w:rsidRPr="00665C45" w:rsidRDefault="009F0D65" w:rsidP="00E8721C">
            <w:pPr>
              <w:spacing w:line="240" w:lineRule="auto"/>
              <w:jc w:val="center"/>
              <w:rPr>
                <w:b/>
                <w:bCs/>
                <w:sz w:val="21"/>
                <w:szCs w:val="21"/>
              </w:rPr>
            </w:pPr>
          </w:p>
        </w:tc>
        <w:tc>
          <w:tcPr>
            <w:tcW w:w="1850" w:type="dxa"/>
            <w:vAlign w:val="center"/>
          </w:tcPr>
          <w:p w14:paraId="4EBC8315" w14:textId="04777291" w:rsidR="009F0D65" w:rsidRPr="00665C45" w:rsidRDefault="009F0D65" w:rsidP="0001362D">
            <w:pPr>
              <w:spacing w:line="240" w:lineRule="auto"/>
              <w:jc w:val="center"/>
              <w:rPr>
                <w:sz w:val="21"/>
                <w:szCs w:val="21"/>
              </w:rPr>
            </w:pPr>
            <w:r w:rsidRPr="00665C45">
              <w:rPr>
                <w:sz w:val="21"/>
                <w:szCs w:val="21"/>
              </w:rPr>
              <w:t>SELECTION</w:t>
            </w:r>
          </w:p>
        </w:tc>
        <w:tc>
          <w:tcPr>
            <w:tcW w:w="1331" w:type="dxa"/>
            <w:vAlign w:val="center"/>
          </w:tcPr>
          <w:p w14:paraId="01061A90" w14:textId="55CE2B58" w:rsidR="009F0D65" w:rsidRPr="00665C45" w:rsidRDefault="009F0D65" w:rsidP="0001362D">
            <w:pPr>
              <w:spacing w:line="240" w:lineRule="auto"/>
              <w:jc w:val="center"/>
              <w:rPr>
                <w:sz w:val="21"/>
                <w:szCs w:val="21"/>
              </w:rPr>
            </w:pPr>
            <w:r w:rsidRPr="00665C45">
              <w:rPr>
                <w:sz w:val="21"/>
                <w:szCs w:val="21"/>
              </w:rPr>
              <w:t>Maintenance</w:t>
            </w:r>
          </w:p>
        </w:tc>
        <w:tc>
          <w:tcPr>
            <w:tcW w:w="667" w:type="dxa"/>
            <w:vAlign w:val="center"/>
          </w:tcPr>
          <w:p w14:paraId="30FD9A5E" w14:textId="26A0C72F" w:rsidR="009F0D65" w:rsidRPr="00665C45" w:rsidRDefault="009F0D65" w:rsidP="0001362D">
            <w:pPr>
              <w:spacing w:line="240" w:lineRule="auto"/>
              <w:jc w:val="center"/>
              <w:rPr>
                <w:sz w:val="21"/>
                <w:szCs w:val="21"/>
              </w:rPr>
            </w:pPr>
            <w:r w:rsidRPr="00665C45">
              <w:rPr>
                <w:sz w:val="21"/>
                <w:szCs w:val="21"/>
              </w:rPr>
              <w:t>664</w:t>
            </w:r>
          </w:p>
        </w:tc>
        <w:tc>
          <w:tcPr>
            <w:tcW w:w="959" w:type="dxa"/>
            <w:vAlign w:val="center"/>
          </w:tcPr>
          <w:p w14:paraId="0C17C48B" w14:textId="55FB3E04" w:rsidR="009F0D65" w:rsidRPr="00665C45" w:rsidRDefault="009F0D65" w:rsidP="0001362D">
            <w:pPr>
              <w:spacing w:line="240" w:lineRule="auto"/>
              <w:jc w:val="center"/>
              <w:rPr>
                <w:sz w:val="21"/>
                <w:szCs w:val="21"/>
              </w:rPr>
            </w:pPr>
            <w:r w:rsidRPr="00665C45">
              <w:rPr>
                <w:sz w:val="21"/>
                <w:szCs w:val="21"/>
              </w:rPr>
              <w:t>58</w:t>
            </w:r>
          </w:p>
        </w:tc>
        <w:tc>
          <w:tcPr>
            <w:tcW w:w="2259" w:type="dxa"/>
            <w:vAlign w:val="center"/>
          </w:tcPr>
          <w:p w14:paraId="3917367D" w14:textId="5163EBFF" w:rsidR="009F0D65" w:rsidRPr="00665C45" w:rsidRDefault="00732EB0" w:rsidP="0001362D">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Clinical remission at week 58</w:t>
            </w:r>
          </w:p>
        </w:tc>
        <w:tc>
          <w:tcPr>
            <w:tcW w:w="5761" w:type="dxa"/>
          </w:tcPr>
          <w:p w14:paraId="4A922DDB" w14:textId="0B348BD7" w:rsidR="009F0D65" w:rsidRPr="00665C45" w:rsidRDefault="009F0D65" w:rsidP="00C61065">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in 37.2% (filgotinib 200mg </w:t>
            </w:r>
            <w:r w:rsidR="00CA4A87">
              <w:rPr>
                <w:rFonts w:asciiTheme="majorHAnsi" w:hAnsiTheme="majorHAnsi" w:cstheme="majorHAnsi"/>
                <w:sz w:val="21"/>
                <w:szCs w:val="21"/>
              </w:rPr>
              <w:t>od</w:t>
            </w:r>
            <w:r w:rsidRPr="00665C45">
              <w:rPr>
                <w:rFonts w:asciiTheme="majorHAnsi" w:hAnsiTheme="majorHAnsi" w:cstheme="majorHAnsi"/>
                <w:sz w:val="21"/>
                <w:szCs w:val="21"/>
              </w:rPr>
              <w:t xml:space="preserve">) vs. 11.2% (placebo), p&lt;0·0001. Clinical remission was not significantly different between filgotinib 100mg </w:t>
            </w:r>
            <w:r w:rsidR="00CA4A87">
              <w:rPr>
                <w:rFonts w:asciiTheme="majorHAnsi" w:hAnsiTheme="majorHAnsi" w:cstheme="majorHAnsi"/>
                <w:sz w:val="21"/>
                <w:szCs w:val="21"/>
              </w:rPr>
              <w:t>od</w:t>
            </w:r>
            <w:r w:rsidRPr="00665C45">
              <w:rPr>
                <w:rFonts w:asciiTheme="majorHAnsi" w:hAnsiTheme="majorHAnsi" w:cstheme="majorHAnsi"/>
                <w:sz w:val="21"/>
                <w:szCs w:val="21"/>
              </w:rPr>
              <w:t xml:space="preserve"> and placebo at week 10 but was significant by week 58 (23·8% vs.13·5%, p=0·0420).</w:t>
            </w:r>
          </w:p>
        </w:tc>
      </w:tr>
      <w:tr w:rsidR="005A4C5A" w:rsidRPr="00665C45" w14:paraId="129336D2" w14:textId="77777777" w:rsidTr="005A4C5A">
        <w:trPr>
          <w:cnfStyle w:val="000000100000" w:firstRow="0" w:lastRow="0" w:firstColumn="0" w:lastColumn="0" w:oddVBand="0" w:evenVBand="0" w:oddHBand="1" w:evenHBand="0" w:firstRowFirstColumn="0" w:firstRowLastColumn="0" w:lastRowFirstColumn="0" w:lastRowLastColumn="0"/>
          <w:trHeight w:val="295"/>
        </w:trPr>
        <w:tc>
          <w:tcPr>
            <w:tcW w:w="485" w:type="dxa"/>
            <w:vMerge/>
            <w:shd w:val="clear" w:color="auto" w:fill="FFFFFF" w:themeFill="background1"/>
          </w:tcPr>
          <w:p w14:paraId="1D5A90F3" w14:textId="77777777" w:rsidR="009F0D65" w:rsidRPr="00665C45" w:rsidRDefault="009F0D65" w:rsidP="008973CF">
            <w:pPr>
              <w:spacing w:line="240" w:lineRule="auto"/>
              <w:rPr>
                <w:b/>
                <w:bCs/>
                <w:sz w:val="21"/>
                <w:szCs w:val="21"/>
              </w:rPr>
            </w:pPr>
          </w:p>
        </w:tc>
        <w:tc>
          <w:tcPr>
            <w:tcW w:w="1425" w:type="dxa"/>
            <w:vMerge w:val="restart"/>
            <w:shd w:val="clear" w:color="auto" w:fill="FFFFFF" w:themeFill="background1"/>
            <w:vAlign w:val="center"/>
            <w:hideMark/>
          </w:tcPr>
          <w:p w14:paraId="5124AEA2" w14:textId="621D2379" w:rsidR="009F0D65" w:rsidRPr="00665C45" w:rsidRDefault="009F0D65" w:rsidP="00E8721C">
            <w:pPr>
              <w:spacing w:line="240" w:lineRule="auto"/>
              <w:jc w:val="center"/>
              <w:rPr>
                <w:sz w:val="21"/>
                <w:szCs w:val="21"/>
              </w:rPr>
            </w:pPr>
            <w:r w:rsidRPr="00665C45">
              <w:rPr>
                <w:b/>
                <w:bCs/>
                <w:sz w:val="21"/>
                <w:szCs w:val="21"/>
              </w:rPr>
              <w:t>Upadacitinib</w:t>
            </w:r>
            <w:r w:rsidRPr="00665C45">
              <w:rPr>
                <w:b/>
                <w:bCs/>
                <w:sz w:val="21"/>
                <w:szCs w:val="21"/>
              </w:rPr>
              <w:fldChar w:fldCharType="begin"/>
            </w:r>
            <w:r w:rsidR="00403235">
              <w:rPr>
                <w:b/>
                <w:bCs/>
                <w:sz w:val="21"/>
                <w:szCs w:val="21"/>
              </w:rPr>
              <w:instrText xml:space="preserve"> ADDIN ZOTERO_ITEM CSL_CITATION {"citationID":"m17mV90o","properties":{"formattedCitation":"\\super 37\\nosupersub{}","plainCitation":"37","noteIndex":0},"citationItems":[{"id":4922,"uris":["http://zotero.org/users/5409423/items/QW9Z9IF4"],"itemData":{"id":4922,"type":"article-journal","abstract":"Background\nThere is a great unmet need for advanced therapies that provide rapid, robust, and sustained disease control for patients with ulcerative colitis. We assessed the efficacy and safety of upadacitinib, an oral selective Janus kinase 1 inhibitor, as induction and maintenance therapy in patients with moderately to severely active ulcerative colitis.\nMethods\nThis phase 3, multicentre, randomised, double-blind, placebo-controlled clinical programme consisted of two replicate induction studies (U-ACHIEVE induction [UC1] and U-ACCOMPLISH [UC2]) and a single maintenance study (U-ACHIEVE maintenance [UC3]). The studies were conducted across Europe, North and South America, Australasia, Africa, and the Asia-Pacific region at 199 clinical centres in 39 countries (UC1), 204 clinical centres in 40 countries (UC2), and 195 clinical centres in 35 countries (UC3). Patients aged 16–75 years with moderately to severely active ulcerative colitis (Adapted Mayo score 5–9; endoscopic subscore 2 or 3) for at least 90 days were randomly assigned (2:1) to oral upadacitinib 45 mg once daily or placebo for 8 weeks (induction studies). Patients who achieved clinical response following 8-week upadacitinib induction were re-randomly assigned (1:1:1) to upadacitinib 15 mg, upadacitinib 30 mg, or placebo for 52 weeks (maintenance study). All patients were randomly assigned using web-based interactive response technology. The primary endpoints were clinical remission per Adapted Mayo score at week 8 (induction) and week 52 (maintenance). The efficacy analyses in the two induction studies were based on the intent-to-treat population, which included all randomised patients who received at least one dose of treatment. In the maintenance study, the primary efficacy analyses reported in this manuscript were based on the first 450 (planned) clinical responders to 8-week induction therapy with upadacitinib 45 mg once daily. The safety analysis population in the induction studies consisted of all randomised patients who received at least one dose of treatment; in the maintenance study, this population included all patients who received at least one dose of treatment as part of the primary analysis population. These studies are registered at ClinicalTrials.gov, NCT02819635 (U-ACHIEVE) and NCT03653026 (U-ACCOMPLISH).\nFindings\nBetween Oct 23, 2018, and Sept 7, 2020, 474 patients were randomly assigned to upadacitinib 45 mg once daily (n=319) or placebo (n=155) in UC1. Between Dec 6, 2018, and Jan 14, 2021, 522 patients were randomly assigned to upadacitinib 45 mg once daily (n=345) or placebo (n=177) in UC2. In UC3, a total of 451 patients (21 from the phase 2b study, 278 from UC1, and 152 from UC2) who achieved a clinical response after 8 weeks of upadacitinib induction treatment were randomly assigned again to upadacitinib 15 mg (n=148), upadacitinib 30 mg (n=154), and placebo (n=149) in the primary analysis population. Statistically significantly more patients achieved clinical remission with upadacitinib 45 mg (83 [26%] of 319 patients in UC1 and 114 [34%] of 341 patients in UC2) than in the placebo group (seven [5%] of 154 patients in UC1 and seven [4%] of 174 patients; p&lt;0·0001; adjusted treatment difference 21·6% [95% CI 15·8–27·4] for UC1 and 29·0% [23·2–34·7] for UC2). In the maintenance study, clinical remission was achieved by statistically significantly more patients receiving upadacitinib (15 mg 63 [42%] of 148; 30 mg 80 [52%] of 154) than those receiving placebo (18 [12%] of 149; p&lt;0·0001; adjusted treatment difference 30·7% [21·7–39·8] for upadacitinib 15 mg vs placebo and 39·0% [29·7–48·2] for upadacitinib 30 mg vs placebo). The most commonly reported adverse events in UC1 were nasopharyngitis (15 [5%] of 319 in the upadacitinib 45 mg group vs six [4%] of 155 in the placebo group), creatine phosphokinase elevation (15 [4%] vs three [2%]), and acne (15 [5%] vs one [1%]). In UC2, the most frequently reported adverse event was acne (24 [7%] of 344 in the upadacitinib 45 mg group vs three [2%] of 177 in the placebo group). In both induction studies, serious adverse events and adverse events leading to discontinuation of treatment were less frequent in the upadacitinib 45 mg group than in the placebo group (serious adverse events eight [3%] vs nine (6%) in UC1 and 11 [3%] vs eight [5%] in UC2; adverse events leading to discontinuation six [2%] vs 14 [9%] in UC1 and six [2%] vs nine [5%] in UC2). In UC3, the most frequently reported adverse events (≥5%) were worsening of ulcerative colitis (19 [13%] of 148 in the upadacitinib 15 mg group vs 11 [7%] of 154 in the upadacitinib 30 mg group vs 45 [30%] of 149 in the placebo group), nasopharyngitis (18 [12%] vs 22 [14%] vs 15 [10%]), creatine phosphokinase elevation (nine [6%] vs 13 [8%] vs three [2%]), arthralgia (nine [6%] vs five [3%] vs 15 [10%]), and upper respiratory tract infection (seven [5%] vs nine [6%] vs six [4%]). The proportion of serious adverse events (ten [7%] vs nine [6%] vs 19 [13%]) and adverse events leading to discontinuation (six [4%] vs ten [6%] vs 17 [11%]) was lower in both upadacitinib groups than in the placebo group. Events of cancer, adjudicated major adverse cardiac events, or venous thromboembolism were reported infrequently. There were no treatment-related deaths.\nInterpretation\nUpadacitinib demonstrated a positive efficacy and safety profile and could be an effective treatment option for patients with moderately to severely active ulcerative colitis.\nFunding\nAbbVie.","container-title":"The Lancet","DOI":"10.1016/S0140-6736(22)00581-5","ISSN":"0140-6736","issue":"10341","journalAbbreviation":"The Lancet","language":"en","page":"2113-2128","source":"ScienceDirect","title":"Upadacitinib as induction and maintenance therapy for moderately to severely active ulcerative colitis: results from three phase 3, multicentre, double-blind, randomised trials","title-short":"Upadacitinib as induction and maintenance therapy for moderately to severely active ulcerative colitis","volume":"399","author":[{"family":"Danese","given":"Silvio"},{"family":"Vermeire","given":"Séverine"},{"family":"Zhou","given":"Wen"},{"family":"Pangan","given":"Aileen L"},{"family":"Siffledeen","given":"Jesse"},{"family":"Greenbloom","given":"Susan"},{"family":"Hébuterne","given":"Xavier"},{"family":"D'Haens","given":"Geert"},{"family":"Nakase","given":"Hiroshi"},{"family":"Panés","given":"Julian"},{"family":"Higgins","given":"Peter D R"},{"family":"Juillerat","given":"Pascal"},{"family":"Lindsay","given":"James O"},{"family":"Loftus","given":"Edward V"},{"family":"Sandborn","given":"William J"},{"family":"Reinisch","given":"Walter"},{"family":"Chen","given":"Min-Hu"},{"family":"Sanchez Gonzalez","given":"Yuri"},{"family":"Huang","given":"Bidan"},{"family":"Xie","given":"Wangang"},{"family":"Liu","given":"John"},{"family":"Weinreich","given":"Michael A"},{"family":"Panaccione","given":"Remo"}],"issued":{"date-parts":[["2022",6,4]]}}}],"schema":"https://github.com/citation-style-language/schema/raw/master/csl-citation.json"} </w:instrText>
            </w:r>
            <w:r w:rsidRPr="00665C45">
              <w:rPr>
                <w:b/>
                <w:bCs/>
                <w:sz w:val="21"/>
                <w:szCs w:val="21"/>
              </w:rPr>
              <w:fldChar w:fldCharType="separate"/>
            </w:r>
            <w:r w:rsidR="00403235" w:rsidRPr="00403235">
              <w:rPr>
                <w:rFonts w:ascii="Calibri Light" w:cs="Calibri Light"/>
                <w:sz w:val="21"/>
                <w:vertAlign w:val="superscript"/>
              </w:rPr>
              <w:t>37</w:t>
            </w:r>
            <w:r w:rsidRPr="00665C45">
              <w:rPr>
                <w:b/>
                <w:bCs/>
                <w:sz w:val="21"/>
                <w:szCs w:val="21"/>
              </w:rPr>
              <w:fldChar w:fldCharType="end"/>
            </w:r>
          </w:p>
        </w:tc>
        <w:tc>
          <w:tcPr>
            <w:tcW w:w="1850" w:type="dxa"/>
            <w:vAlign w:val="center"/>
          </w:tcPr>
          <w:p w14:paraId="17308FC5" w14:textId="7D8EE1A2" w:rsidR="009F0D65" w:rsidRPr="00665C45" w:rsidRDefault="009F0D65" w:rsidP="0001362D">
            <w:pPr>
              <w:spacing w:line="240" w:lineRule="auto"/>
              <w:jc w:val="center"/>
              <w:rPr>
                <w:sz w:val="21"/>
                <w:szCs w:val="21"/>
              </w:rPr>
            </w:pPr>
            <w:r w:rsidRPr="00665C45">
              <w:rPr>
                <w:sz w:val="21"/>
                <w:szCs w:val="21"/>
              </w:rPr>
              <w:t>U-ACHIEVE</w:t>
            </w:r>
          </w:p>
        </w:tc>
        <w:tc>
          <w:tcPr>
            <w:tcW w:w="1331" w:type="dxa"/>
            <w:vAlign w:val="center"/>
          </w:tcPr>
          <w:p w14:paraId="42420AC3" w14:textId="251BD5EE" w:rsidR="009F0D65" w:rsidRPr="00665C45" w:rsidRDefault="009F0D65" w:rsidP="0001362D">
            <w:pPr>
              <w:spacing w:line="240" w:lineRule="auto"/>
              <w:jc w:val="center"/>
              <w:rPr>
                <w:sz w:val="21"/>
                <w:szCs w:val="21"/>
              </w:rPr>
            </w:pPr>
            <w:r w:rsidRPr="00665C45">
              <w:rPr>
                <w:sz w:val="21"/>
                <w:szCs w:val="21"/>
              </w:rPr>
              <w:t>Induction</w:t>
            </w:r>
          </w:p>
        </w:tc>
        <w:tc>
          <w:tcPr>
            <w:tcW w:w="667" w:type="dxa"/>
            <w:vAlign w:val="center"/>
          </w:tcPr>
          <w:p w14:paraId="7BA31553" w14:textId="6235BA89" w:rsidR="009F0D65" w:rsidRPr="00665C45" w:rsidRDefault="009F0D65" w:rsidP="0001362D">
            <w:pPr>
              <w:spacing w:line="240" w:lineRule="auto"/>
              <w:jc w:val="center"/>
              <w:rPr>
                <w:sz w:val="21"/>
                <w:szCs w:val="21"/>
              </w:rPr>
            </w:pPr>
            <w:r w:rsidRPr="00665C45">
              <w:rPr>
                <w:sz w:val="21"/>
                <w:szCs w:val="21"/>
              </w:rPr>
              <w:t>474</w:t>
            </w:r>
          </w:p>
        </w:tc>
        <w:tc>
          <w:tcPr>
            <w:tcW w:w="959" w:type="dxa"/>
            <w:vAlign w:val="center"/>
          </w:tcPr>
          <w:p w14:paraId="7C973EC9" w14:textId="49C255DC" w:rsidR="009F0D65" w:rsidRPr="00665C45" w:rsidRDefault="009F0D65" w:rsidP="0001362D">
            <w:pPr>
              <w:spacing w:line="240" w:lineRule="auto"/>
              <w:jc w:val="center"/>
              <w:rPr>
                <w:sz w:val="21"/>
                <w:szCs w:val="21"/>
              </w:rPr>
            </w:pPr>
            <w:r w:rsidRPr="00665C45">
              <w:rPr>
                <w:sz w:val="21"/>
                <w:szCs w:val="21"/>
              </w:rPr>
              <w:t>8</w:t>
            </w:r>
          </w:p>
        </w:tc>
        <w:tc>
          <w:tcPr>
            <w:tcW w:w="2259" w:type="dxa"/>
            <w:vAlign w:val="center"/>
          </w:tcPr>
          <w:p w14:paraId="317DD847" w14:textId="39EB5D6A" w:rsidR="009F0D65" w:rsidRPr="00665C45" w:rsidRDefault="009F0D65" w:rsidP="0001362D">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at </w:t>
            </w:r>
            <w:r w:rsidR="002C6EA3" w:rsidRPr="00665C45">
              <w:rPr>
                <w:rFonts w:asciiTheme="majorHAnsi" w:hAnsiTheme="majorHAnsi" w:cstheme="majorHAnsi"/>
                <w:sz w:val="21"/>
                <w:szCs w:val="21"/>
              </w:rPr>
              <w:t xml:space="preserve">week </w:t>
            </w:r>
            <w:r w:rsidRPr="00665C45">
              <w:rPr>
                <w:rFonts w:asciiTheme="majorHAnsi" w:hAnsiTheme="majorHAnsi" w:cstheme="majorHAnsi"/>
                <w:sz w:val="21"/>
                <w:szCs w:val="21"/>
              </w:rPr>
              <w:t>8</w:t>
            </w:r>
          </w:p>
        </w:tc>
        <w:tc>
          <w:tcPr>
            <w:tcW w:w="5761" w:type="dxa"/>
          </w:tcPr>
          <w:p w14:paraId="1F2CBE74" w14:textId="7472828D" w:rsidR="009F0D65" w:rsidRPr="00665C45" w:rsidRDefault="009F0D65" w:rsidP="00C61065">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in 26% (upadacitinib 45mg </w:t>
            </w:r>
            <w:r w:rsidR="00CA4A87">
              <w:rPr>
                <w:rFonts w:asciiTheme="majorHAnsi" w:hAnsiTheme="majorHAnsi" w:cstheme="majorHAnsi"/>
                <w:sz w:val="21"/>
                <w:szCs w:val="21"/>
              </w:rPr>
              <w:t>od</w:t>
            </w:r>
            <w:r w:rsidRPr="00665C45">
              <w:rPr>
                <w:rFonts w:asciiTheme="majorHAnsi" w:hAnsiTheme="majorHAnsi" w:cstheme="majorHAnsi"/>
                <w:sz w:val="21"/>
                <w:szCs w:val="21"/>
              </w:rPr>
              <w:t>) vs 5% (placebo), p&lt;0.0001.</w:t>
            </w:r>
          </w:p>
        </w:tc>
      </w:tr>
      <w:tr w:rsidR="005A4C5A" w:rsidRPr="00665C45" w14:paraId="022B3C6A" w14:textId="77777777" w:rsidTr="005A4C5A">
        <w:trPr>
          <w:trHeight w:val="195"/>
        </w:trPr>
        <w:tc>
          <w:tcPr>
            <w:tcW w:w="485" w:type="dxa"/>
            <w:vMerge/>
            <w:shd w:val="clear" w:color="auto" w:fill="FFFFFF" w:themeFill="background1"/>
          </w:tcPr>
          <w:p w14:paraId="16C31FE3" w14:textId="77777777" w:rsidR="009F0D65" w:rsidRPr="00665C45" w:rsidRDefault="009F0D65" w:rsidP="008973CF">
            <w:pPr>
              <w:spacing w:line="240" w:lineRule="auto"/>
              <w:rPr>
                <w:b/>
                <w:bCs/>
                <w:sz w:val="21"/>
                <w:szCs w:val="21"/>
              </w:rPr>
            </w:pPr>
          </w:p>
        </w:tc>
        <w:tc>
          <w:tcPr>
            <w:tcW w:w="1425" w:type="dxa"/>
            <w:vMerge/>
            <w:shd w:val="clear" w:color="auto" w:fill="FFFFFF" w:themeFill="background1"/>
            <w:vAlign w:val="center"/>
          </w:tcPr>
          <w:p w14:paraId="56AAFC83" w14:textId="77777777" w:rsidR="009F0D65" w:rsidRPr="00665C45" w:rsidRDefault="009F0D65" w:rsidP="00E8721C">
            <w:pPr>
              <w:spacing w:line="240" w:lineRule="auto"/>
              <w:jc w:val="center"/>
              <w:rPr>
                <w:b/>
                <w:bCs/>
                <w:sz w:val="21"/>
                <w:szCs w:val="21"/>
              </w:rPr>
            </w:pPr>
          </w:p>
        </w:tc>
        <w:tc>
          <w:tcPr>
            <w:tcW w:w="1850" w:type="dxa"/>
            <w:vAlign w:val="center"/>
          </w:tcPr>
          <w:p w14:paraId="78A61E81" w14:textId="3D6D352B" w:rsidR="009F0D65" w:rsidRPr="00665C45" w:rsidRDefault="009F0D65" w:rsidP="0001362D">
            <w:pPr>
              <w:spacing w:line="240" w:lineRule="auto"/>
              <w:jc w:val="center"/>
              <w:rPr>
                <w:sz w:val="21"/>
                <w:szCs w:val="21"/>
              </w:rPr>
            </w:pPr>
            <w:r w:rsidRPr="00665C45">
              <w:rPr>
                <w:sz w:val="21"/>
                <w:szCs w:val="21"/>
              </w:rPr>
              <w:t>U-ACCOMPLISH</w:t>
            </w:r>
          </w:p>
        </w:tc>
        <w:tc>
          <w:tcPr>
            <w:tcW w:w="1331" w:type="dxa"/>
            <w:vAlign w:val="center"/>
          </w:tcPr>
          <w:p w14:paraId="76909AC9" w14:textId="37EACB4D" w:rsidR="009F0D65" w:rsidRPr="00665C45" w:rsidRDefault="009F0D65" w:rsidP="0001362D">
            <w:pPr>
              <w:spacing w:line="240" w:lineRule="auto"/>
              <w:jc w:val="center"/>
              <w:rPr>
                <w:sz w:val="21"/>
                <w:szCs w:val="21"/>
              </w:rPr>
            </w:pPr>
            <w:r w:rsidRPr="00665C45">
              <w:rPr>
                <w:sz w:val="21"/>
                <w:szCs w:val="21"/>
              </w:rPr>
              <w:t>Induction</w:t>
            </w:r>
          </w:p>
        </w:tc>
        <w:tc>
          <w:tcPr>
            <w:tcW w:w="667" w:type="dxa"/>
            <w:vAlign w:val="center"/>
          </w:tcPr>
          <w:p w14:paraId="17ED30CE" w14:textId="7AA3BCD8" w:rsidR="009F0D65" w:rsidRPr="00665C45" w:rsidRDefault="009F0D65" w:rsidP="0001362D">
            <w:pPr>
              <w:spacing w:line="240" w:lineRule="auto"/>
              <w:jc w:val="center"/>
              <w:rPr>
                <w:sz w:val="21"/>
                <w:szCs w:val="21"/>
              </w:rPr>
            </w:pPr>
            <w:r w:rsidRPr="00665C45">
              <w:rPr>
                <w:sz w:val="21"/>
                <w:szCs w:val="21"/>
              </w:rPr>
              <w:t>522</w:t>
            </w:r>
          </w:p>
        </w:tc>
        <w:tc>
          <w:tcPr>
            <w:tcW w:w="959" w:type="dxa"/>
            <w:vAlign w:val="center"/>
          </w:tcPr>
          <w:p w14:paraId="0175FEB8" w14:textId="3F64AB58" w:rsidR="009F0D65" w:rsidRPr="00665C45" w:rsidRDefault="009F0D65" w:rsidP="0001362D">
            <w:pPr>
              <w:spacing w:line="240" w:lineRule="auto"/>
              <w:jc w:val="center"/>
              <w:rPr>
                <w:sz w:val="21"/>
                <w:szCs w:val="21"/>
              </w:rPr>
            </w:pPr>
            <w:r w:rsidRPr="00665C45">
              <w:rPr>
                <w:sz w:val="21"/>
                <w:szCs w:val="21"/>
              </w:rPr>
              <w:t>8</w:t>
            </w:r>
          </w:p>
        </w:tc>
        <w:tc>
          <w:tcPr>
            <w:tcW w:w="2259" w:type="dxa"/>
            <w:vAlign w:val="center"/>
          </w:tcPr>
          <w:p w14:paraId="37AD92F0" w14:textId="34F05BC5" w:rsidR="009F0D65" w:rsidRPr="00665C45" w:rsidRDefault="009F0D65" w:rsidP="0001362D">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at </w:t>
            </w:r>
            <w:r w:rsidR="002C6EA3" w:rsidRPr="00665C45">
              <w:rPr>
                <w:rFonts w:asciiTheme="majorHAnsi" w:hAnsiTheme="majorHAnsi" w:cstheme="majorHAnsi"/>
                <w:sz w:val="21"/>
                <w:szCs w:val="21"/>
              </w:rPr>
              <w:t xml:space="preserve">week </w:t>
            </w:r>
            <w:r w:rsidRPr="00665C45">
              <w:rPr>
                <w:rFonts w:asciiTheme="majorHAnsi" w:hAnsiTheme="majorHAnsi" w:cstheme="majorHAnsi"/>
                <w:sz w:val="21"/>
                <w:szCs w:val="21"/>
              </w:rPr>
              <w:t>8</w:t>
            </w:r>
          </w:p>
        </w:tc>
        <w:tc>
          <w:tcPr>
            <w:tcW w:w="5761" w:type="dxa"/>
          </w:tcPr>
          <w:p w14:paraId="18EAC8EF" w14:textId="7D9BB2B8" w:rsidR="009F0D65" w:rsidRPr="00665C45" w:rsidRDefault="009F0D65" w:rsidP="00C61065">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in 34% (upadacitinib 45mg </w:t>
            </w:r>
            <w:r w:rsidR="00CA4A87">
              <w:rPr>
                <w:rFonts w:asciiTheme="majorHAnsi" w:hAnsiTheme="majorHAnsi" w:cstheme="majorHAnsi"/>
                <w:sz w:val="21"/>
                <w:szCs w:val="21"/>
              </w:rPr>
              <w:t>od</w:t>
            </w:r>
            <w:r w:rsidRPr="00665C45">
              <w:rPr>
                <w:rFonts w:asciiTheme="majorHAnsi" w:hAnsiTheme="majorHAnsi" w:cstheme="majorHAnsi"/>
                <w:sz w:val="21"/>
                <w:szCs w:val="21"/>
              </w:rPr>
              <w:t>) vs 4% (placebo), p&lt;0.0001.</w:t>
            </w:r>
          </w:p>
        </w:tc>
      </w:tr>
      <w:tr w:rsidR="005A4C5A" w:rsidRPr="00665C45" w14:paraId="1E12D786" w14:textId="77777777" w:rsidTr="005A4C5A">
        <w:trPr>
          <w:cnfStyle w:val="000000100000" w:firstRow="0" w:lastRow="0" w:firstColumn="0" w:lastColumn="0" w:oddVBand="0" w:evenVBand="0" w:oddHBand="1" w:evenHBand="0" w:firstRowFirstColumn="0" w:firstRowLastColumn="0" w:lastRowFirstColumn="0" w:lastRowLastColumn="0"/>
          <w:trHeight w:val="195"/>
        </w:trPr>
        <w:tc>
          <w:tcPr>
            <w:tcW w:w="485" w:type="dxa"/>
            <w:vMerge/>
            <w:shd w:val="clear" w:color="auto" w:fill="FFFFFF" w:themeFill="background1"/>
          </w:tcPr>
          <w:p w14:paraId="31651D18" w14:textId="77777777" w:rsidR="009F0D65" w:rsidRPr="00665C45" w:rsidRDefault="009F0D65" w:rsidP="008973CF">
            <w:pPr>
              <w:spacing w:line="240" w:lineRule="auto"/>
              <w:rPr>
                <w:b/>
                <w:bCs/>
                <w:sz w:val="21"/>
                <w:szCs w:val="21"/>
              </w:rPr>
            </w:pPr>
          </w:p>
        </w:tc>
        <w:tc>
          <w:tcPr>
            <w:tcW w:w="1425" w:type="dxa"/>
            <w:vMerge/>
            <w:shd w:val="clear" w:color="auto" w:fill="FFFFFF" w:themeFill="background1"/>
            <w:vAlign w:val="center"/>
          </w:tcPr>
          <w:p w14:paraId="0F19F8B7" w14:textId="77777777" w:rsidR="009F0D65" w:rsidRPr="00665C45" w:rsidRDefault="009F0D65" w:rsidP="00E8721C">
            <w:pPr>
              <w:spacing w:line="240" w:lineRule="auto"/>
              <w:jc w:val="center"/>
              <w:rPr>
                <w:b/>
                <w:bCs/>
                <w:sz w:val="21"/>
                <w:szCs w:val="21"/>
              </w:rPr>
            </w:pPr>
          </w:p>
        </w:tc>
        <w:tc>
          <w:tcPr>
            <w:tcW w:w="1850" w:type="dxa"/>
            <w:vAlign w:val="center"/>
          </w:tcPr>
          <w:p w14:paraId="72673388" w14:textId="2209EF51" w:rsidR="009F0D65" w:rsidRPr="00665C45" w:rsidRDefault="009F0D65" w:rsidP="0001362D">
            <w:pPr>
              <w:spacing w:line="240" w:lineRule="auto"/>
              <w:jc w:val="center"/>
              <w:rPr>
                <w:sz w:val="21"/>
                <w:szCs w:val="21"/>
              </w:rPr>
            </w:pPr>
            <w:r w:rsidRPr="00665C45">
              <w:rPr>
                <w:sz w:val="21"/>
                <w:szCs w:val="21"/>
              </w:rPr>
              <w:t>U-ACHIEV</w:t>
            </w:r>
            <w:r w:rsidR="00CC4C8A" w:rsidRPr="00665C45">
              <w:rPr>
                <w:sz w:val="21"/>
                <w:szCs w:val="21"/>
              </w:rPr>
              <w:t>E</w:t>
            </w:r>
          </w:p>
        </w:tc>
        <w:tc>
          <w:tcPr>
            <w:tcW w:w="1331" w:type="dxa"/>
            <w:vAlign w:val="center"/>
          </w:tcPr>
          <w:p w14:paraId="1B72B90C" w14:textId="6161B5FE" w:rsidR="009F0D65" w:rsidRPr="00665C45" w:rsidRDefault="009F0D65" w:rsidP="0001362D">
            <w:pPr>
              <w:spacing w:line="240" w:lineRule="auto"/>
              <w:jc w:val="center"/>
              <w:rPr>
                <w:sz w:val="21"/>
                <w:szCs w:val="21"/>
              </w:rPr>
            </w:pPr>
            <w:r w:rsidRPr="00665C45">
              <w:rPr>
                <w:sz w:val="21"/>
                <w:szCs w:val="21"/>
              </w:rPr>
              <w:t>Maintenance</w:t>
            </w:r>
          </w:p>
        </w:tc>
        <w:tc>
          <w:tcPr>
            <w:tcW w:w="667" w:type="dxa"/>
            <w:vAlign w:val="center"/>
          </w:tcPr>
          <w:p w14:paraId="7C30EB4D" w14:textId="248EF5A6" w:rsidR="009F0D65" w:rsidRPr="00665C45" w:rsidRDefault="009F0D65" w:rsidP="0001362D">
            <w:pPr>
              <w:spacing w:line="240" w:lineRule="auto"/>
              <w:jc w:val="center"/>
              <w:rPr>
                <w:sz w:val="21"/>
                <w:szCs w:val="21"/>
              </w:rPr>
            </w:pPr>
            <w:r w:rsidRPr="00665C45">
              <w:rPr>
                <w:sz w:val="21"/>
                <w:szCs w:val="21"/>
              </w:rPr>
              <w:t>451</w:t>
            </w:r>
          </w:p>
        </w:tc>
        <w:tc>
          <w:tcPr>
            <w:tcW w:w="959" w:type="dxa"/>
            <w:vAlign w:val="center"/>
          </w:tcPr>
          <w:p w14:paraId="7BBFF5C2" w14:textId="7D20EBCD" w:rsidR="009F0D65" w:rsidRPr="00665C45" w:rsidRDefault="009F0D65" w:rsidP="0001362D">
            <w:pPr>
              <w:spacing w:line="240" w:lineRule="auto"/>
              <w:jc w:val="center"/>
              <w:rPr>
                <w:sz w:val="21"/>
                <w:szCs w:val="21"/>
              </w:rPr>
            </w:pPr>
            <w:r w:rsidRPr="00665C45">
              <w:rPr>
                <w:sz w:val="21"/>
                <w:szCs w:val="21"/>
              </w:rPr>
              <w:t>52</w:t>
            </w:r>
          </w:p>
        </w:tc>
        <w:tc>
          <w:tcPr>
            <w:tcW w:w="2259" w:type="dxa"/>
            <w:vAlign w:val="center"/>
          </w:tcPr>
          <w:p w14:paraId="667437C8" w14:textId="794EB4DD" w:rsidR="009F0D65" w:rsidRPr="00665C45" w:rsidRDefault="009F0D65" w:rsidP="0001362D">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at </w:t>
            </w:r>
            <w:r w:rsidR="002C6EA3" w:rsidRPr="00665C45">
              <w:rPr>
                <w:rFonts w:asciiTheme="majorHAnsi" w:hAnsiTheme="majorHAnsi" w:cstheme="majorHAnsi"/>
                <w:sz w:val="21"/>
                <w:szCs w:val="21"/>
              </w:rPr>
              <w:t xml:space="preserve">week </w:t>
            </w:r>
            <w:r w:rsidRPr="00665C45">
              <w:rPr>
                <w:rFonts w:asciiTheme="majorHAnsi" w:hAnsiTheme="majorHAnsi" w:cstheme="majorHAnsi"/>
                <w:sz w:val="21"/>
                <w:szCs w:val="21"/>
              </w:rPr>
              <w:t>52</w:t>
            </w:r>
          </w:p>
        </w:tc>
        <w:tc>
          <w:tcPr>
            <w:tcW w:w="5761" w:type="dxa"/>
          </w:tcPr>
          <w:p w14:paraId="138CDD4F" w14:textId="32C2A172" w:rsidR="009F0D65" w:rsidRPr="00665C45" w:rsidRDefault="009F0D65" w:rsidP="00C61065">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in 52% (upadacitinib 30mg </w:t>
            </w:r>
            <w:r w:rsidR="00CA4A87">
              <w:rPr>
                <w:rFonts w:asciiTheme="majorHAnsi" w:hAnsiTheme="majorHAnsi" w:cstheme="majorHAnsi"/>
                <w:sz w:val="21"/>
                <w:szCs w:val="21"/>
              </w:rPr>
              <w:t>od</w:t>
            </w:r>
            <w:r w:rsidRPr="00665C45">
              <w:rPr>
                <w:rFonts w:asciiTheme="majorHAnsi" w:hAnsiTheme="majorHAnsi" w:cstheme="majorHAnsi"/>
                <w:sz w:val="21"/>
                <w:szCs w:val="21"/>
              </w:rPr>
              <w:t xml:space="preserve">), 42% (upadacitinib 15mg </w:t>
            </w:r>
            <w:r w:rsidR="00CA4A87">
              <w:rPr>
                <w:rFonts w:asciiTheme="majorHAnsi" w:hAnsiTheme="majorHAnsi" w:cstheme="majorHAnsi"/>
                <w:sz w:val="21"/>
                <w:szCs w:val="21"/>
              </w:rPr>
              <w:t>od</w:t>
            </w:r>
            <w:r w:rsidRPr="00665C45">
              <w:rPr>
                <w:rFonts w:asciiTheme="majorHAnsi" w:hAnsiTheme="majorHAnsi" w:cstheme="majorHAnsi"/>
                <w:sz w:val="21"/>
                <w:szCs w:val="21"/>
              </w:rPr>
              <w:t>), 12% (placebo), p&lt;0.0001.</w:t>
            </w:r>
          </w:p>
        </w:tc>
      </w:tr>
      <w:tr w:rsidR="00F26098" w:rsidRPr="00665C45" w14:paraId="19D171EA" w14:textId="77777777" w:rsidTr="005A4C5A">
        <w:trPr>
          <w:trHeight w:val="479"/>
        </w:trPr>
        <w:tc>
          <w:tcPr>
            <w:tcW w:w="485" w:type="dxa"/>
            <w:vMerge w:val="restart"/>
            <w:shd w:val="clear" w:color="auto" w:fill="FFFFFF" w:themeFill="background1"/>
            <w:textDirection w:val="btLr"/>
          </w:tcPr>
          <w:p w14:paraId="5BE663EE" w14:textId="6C4A8AE7" w:rsidR="009F0D65" w:rsidRPr="00665C45" w:rsidRDefault="009F0D65" w:rsidP="008973CF">
            <w:pPr>
              <w:spacing w:line="240" w:lineRule="auto"/>
              <w:ind w:left="113" w:right="113"/>
              <w:jc w:val="center"/>
              <w:rPr>
                <w:sz w:val="21"/>
                <w:szCs w:val="21"/>
              </w:rPr>
            </w:pPr>
            <w:r w:rsidRPr="00665C45">
              <w:rPr>
                <w:b/>
                <w:bCs/>
                <w:sz w:val="21"/>
                <w:szCs w:val="21"/>
              </w:rPr>
              <w:t>CD</w:t>
            </w:r>
          </w:p>
        </w:tc>
        <w:tc>
          <w:tcPr>
            <w:tcW w:w="1425" w:type="dxa"/>
            <w:vMerge w:val="restart"/>
            <w:shd w:val="clear" w:color="auto" w:fill="FFFFFF" w:themeFill="background1"/>
            <w:vAlign w:val="center"/>
            <w:hideMark/>
          </w:tcPr>
          <w:p w14:paraId="7CA97C91" w14:textId="4238C843" w:rsidR="009F0D65" w:rsidRPr="00665C45" w:rsidRDefault="009F0D65" w:rsidP="00E8721C">
            <w:pPr>
              <w:spacing w:line="240" w:lineRule="auto"/>
              <w:jc w:val="center"/>
              <w:rPr>
                <w:sz w:val="21"/>
                <w:szCs w:val="21"/>
              </w:rPr>
            </w:pPr>
            <w:r w:rsidRPr="00665C45">
              <w:rPr>
                <w:b/>
                <w:bCs/>
                <w:sz w:val="21"/>
                <w:szCs w:val="21"/>
              </w:rPr>
              <w:t>Upadacitinib</w:t>
            </w:r>
            <w:r w:rsidRPr="00665C45">
              <w:rPr>
                <w:b/>
                <w:bCs/>
                <w:sz w:val="21"/>
                <w:szCs w:val="21"/>
              </w:rPr>
              <w:fldChar w:fldCharType="begin"/>
            </w:r>
            <w:r w:rsidR="00403235">
              <w:rPr>
                <w:b/>
                <w:bCs/>
                <w:sz w:val="21"/>
                <w:szCs w:val="21"/>
              </w:rPr>
              <w:instrText xml:space="preserve"> ADDIN ZOTERO_ITEM CSL_CITATION {"citationID":"4bf4gQ5M","properties":{"formattedCitation":"\\super 30\\nosupersub{}","plainCitation":"30","noteIndex":0},"citationItems":[{"id":4926,"uris":["http://zotero.org/users/5409423/items/2SI64HK4"],"itemData":{"id":4926,"type":"article-journal","container-title":"New England Journal of Medicine","DOI":"10.1056/NEJMoa2212728","ISSN":"0028-4793","issue":"21","note":"publisher: Massachusetts Medical Society\n_eprint: https://doi.org/10.1056/NEJMoa2212728\nPMID: 37224198","page":"1966-1980","source":"Taylor and Francis+NEJM","title":"Upadacitinib Induction and Maintenance Therapy for Crohn’s Disease","volume":"388","author":[{"family":"Loftus","given":"Edward V."},{"family":"Panés","given":"Julian"},{"family":"Lacerda","given":"Ana P."},{"family":"Peyrin-Biroulet","given":"Laurent"},{"family":"D’Haens","given":"Geert"},{"family":"Panaccione","given":"Remo"},{"family":"Reinisch","given":"Walter"},{"family":"Louis","given":"Edouard"},{"family":"Chen","given":"Minhu"},{"family":"Nakase","given":"Hiroshi"},{"family":"Begun","given":"Jakob"},{"family":"Boland","given":"Brigid S."},{"family":"Phillips","given":"Charles"},{"family":"Mohamed","given":"Mohamed-Eslam F."},{"family":"Liu","given":"Jianzhong"},{"family":"Geng","given":"Ziqian"},{"family":"Feng","given":"Tian"},{"family":"Dubcenco","given":"Elena"},{"family":"Colombel","given":"Jean-Frederic"}],"issued":{"date-parts":[["2023",5,25]]}}}],"schema":"https://github.com/citation-style-language/schema/raw/master/csl-citation.json"} </w:instrText>
            </w:r>
            <w:r w:rsidRPr="00665C45">
              <w:rPr>
                <w:b/>
                <w:bCs/>
                <w:sz w:val="21"/>
                <w:szCs w:val="21"/>
              </w:rPr>
              <w:fldChar w:fldCharType="separate"/>
            </w:r>
            <w:r w:rsidR="00403235" w:rsidRPr="00403235">
              <w:rPr>
                <w:rFonts w:ascii="Calibri Light" w:cs="Calibri Light"/>
                <w:sz w:val="21"/>
                <w:vertAlign w:val="superscript"/>
              </w:rPr>
              <w:t>30</w:t>
            </w:r>
            <w:r w:rsidRPr="00665C45">
              <w:rPr>
                <w:b/>
                <w:bCs/>
                <w:sz w:val="21"/>
                <w:szCs w:val="21"/>
              </w:rPr>
              <w:fldChar w:fldCharType="end"/>
            </w:r>
          </w:p>
        </w:tc>
        <w:tc>
          <w:tcPr>
            <w:tcW w:w="1850" w:type="dxa"/>
            <w:vAlign w:val="center"/>
          </w:tcPr>
          <w:p w14:paraId="0D1CC7A1" w14:textId="3C8E412B" w:rsidR="009F0D65" w:rsidRPr="00665C45" w:rsidRDefault="009F0D65" w:rsidP="0001362D">
            <w:pPr>
              <w:spacing w:line="240" w:lineRule="auto"/>
              <w:jc w:val="center"/>
              <w:rPr>
                <w:sz w:val="21"/>
                <w:szCs w:val="21"/>
              </w:rPr>
            </w:pPr>
            <w:r w:rsidRPr="00665C45">
              <w:rPr>
                <w:sz w:val="21"/>
                <w:szCs w:val="21"/>
              </w:rPr>
              <w:t>U-EXCEL</w:t>
            </w:r>
          </w:p>
        </w:tc>
        <w:tc>
          <w:tcPr>
            <w:tcW w:w="1331" w:type="dxa"/>
            <w:vAlign w:val="center"/>
          </w:tcPr>
          <w:p w14:paraId="60FB38FC" w14:textId="45861985" w:rsidR="009F0D65" w:rsidRPr="00665C45" w:rsidRDefault="009F0D65" w:rsidP="0001362D">
            <w:pPr>
              <w:spacing w:line="240" w:lineRule="auto"/>
              <w:jc w:val="center"/>
              <w:rPr>
                <w:sz w:val="21"/>
                <w:szCs w:val="21"/>
              </w:rPr>
            </w:pPr>
            <w:r w:rsidRPr="00665C45">
              <w:rPr>
                <w:sz w:val="21"/>
                <w:szCs w:val="21"/>
              </w:rPr>
              <w:t>Induction</w:t>
            </w:r>
          </w:p>
        </w:tc>
        <w:tc>
          <w:tcPr>
            <w:tcW w:w="667" w:type="dxa"/>
            <w:vAlign w:val="center"/>
          </w:tcPr>
          <w:p w14:paraId="0C731434" w14:textId="1B31CFBD" w:rsidR="009F0D65" w:rsidRPr="00665C45" w:rsidRDefault="009F0D65" w:rsidP="0001362D">
            <w:pPr>
              <w:spacing w:line="240" w:lineRule="auto"/>
              <w:jc w:val="center"/>
              <w:rPr>
                <w:sz w:val="21"/>
                <w:szCs w:val="21"/>
              </w:rPr>
            </w:pPr>
            <w:r w:rsidRPr="00665C45">
              <w:rPr>
                <w:sz w:val="21"/>
                <w:szCs w:val="21"/>
              </w:rPr>
              <w:t>526</w:t>
            </w:r>
          </w:p>
        </w:tc>
        <w:tc>
          <w:tcPr>
            <w:tcW w:w="959" w:type="dxa"/>
            <w:vAlign w:val="center"/>
          </w:tcPr>
          <w:p w14:paraId="24233632" w14:textId="5E878507" w:rsidR="009F0D65" w:rsidRPr="00665C45" w:rsidRDefault="009F0D65" w:rsidP="0001362D">
            <w:pPr>
              <w:spacing w:line="240" w:lineRule="auto"/>
              <w:jc w:val="center"/>
              <w:rPr>
                <w:sz w:val="21"/>
                <w:szCs w:val="21"/>
              </w:rPr>
            </w:pPr>
            <w:r w:rsidRPr="00665C45">
              <w:rPr>
                <w:sz w:val="21"/>
                <w:szCs w:val="21"/>
              </w:rPr>
              <w:t>12</w:t>
            </w:r>
          </w:p>
        </w:tc>
        <w:tc>
          <w:tcPr>
            <w:tcW w:w="2259" w:type="dxa"/>
            <w:vAlign w:val="center"/>
          </w:tcPr>
          <w:p w14:paraId="2C3DE934" w14:textId="6E192C99" w:rsidR="009F0D65" w:rsidRPr="00665C45" w:rsidRDefault="009F0D65" w:rsidP="0001362D">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and endoscopic response at </w:t>
            </w:r>
            <w:r w:rsidR="002C6EA3" w:rsidRPr="00665C45">
              <w:rPr>
                <w:rFonts w:asciiTheme="majorHAnsi" w:hAnsiTheme="majorHAnsi" w:cstheme="majorHAnsi"/>
                <w:sz w:val="21"/>
                <w:szCs w:val="21"/>
              </w:rPr>
              <w:t xml:space="preserve">week </w:t>
            </w:r>
            <w:r w:rsidR="00DC4862" w:rsidRPr="00665C45">
              <w:rPr>
                <w:rFonts w:asciiTheme="majorHAnsi" w:hAnsiTheme="majorHAnsi" w:cstheme="majorHAnsi"/>
                <w:sz w:val="21"/>
                <w:szCs w:val="21"/>
              </w:rPr>
              <w:t>12</w:t>
            </w:r>
            <w:r w:rsidR="003A34A1">
              <w:rPr>
                <w:rFonts w:asciiTheme="majorHAnsi" w:hAnsiTheme="majorHAnsi" w:cstheme="majorHAnsi"/>
                <w:sz w:val="21"/>
                <w:szCs w:val="21"/>
              </w:rPr>
              <w:t>**</w:t>
            </w:r>
          </w:p>
        </w:tc>
        <w:tc>
          <w:tcPr>
            <w:tcW w:w="5761" w:type="dxa"/>
          </w:tcPr>
          <w:p w14:paraId="75E2D34F" w14:textId="17015431" w:rsidR="009F0D65" w:rsidRPr="00665C45" w:rsidRDefault="009F0D65" w:rsidP="00C61065">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in 49.5% (upadacitinib 45mg </w:t>
            </w:r>
            <w:r w:rsidR="00CA4A87">
              <w:rPr>
                <w:rFonts w:asciiTheme="majorHAnsi" w:hAnsiTheme="majorHAnsi" w:cstheme="majorHAnsi"/>
                <w:sz w:val="21"/>
                <w:szCs w:val="21"/>
              </w:rPr>
              <w:t>od</w:t>
            </w:r>
            <w:r w:rsidRPr="00665C45">
              <w:rPr>
                <w:rFonts w:asciiTheme="majorHAnsi" w:hAnsiTheme="majorHAnsi" w:cstheme="majorHAnsi"/>
                <w:sz w:val="21"/>
                <w:szCs w:val="21"/>
              </w:rPr>
              <w:t xml:space="preserve">) vs. 29.1% (placebo) and endoscopic response </w:t>
            </w:r>
            <w:r w:rsidR="00FA48EA" w:rsidRPr="00665C45">
              <w:rPr>
                <w:rFonts w:asciiTheme="majorHAnsi" w:hAnsiTheme="majorHAnsi" w:cstheme="majorHAnsi"/>
                <w:sz w:val="21"/>
                <w:szCs w:val="21"/>
              </w:rPr>
              <w:t xml:space="preserve">in </w:t>
            </w:r>
            <w:r w:rsidRPr="00665C45">
              <w:rPr>
                <w:rFonts w:asciiTheme="majorHAnsi" w:hAnsiTheme="majorHAnsi" w:cstheme="majorHAnsi"/>
                <w:sz w:val="21"/>
                <w:szCs w:val="21"/>
              </w:rPr>
              <w:t xml:space="preserve">45.5% (upadacitinib 45mg </w:t>
            </w:r>
            <w:r w:rsidR="00CA4A87">
              <w:rPr>
                <w:rFonts w:asciiTheme="majorHAnsi" w:hAnsiTheme="majorHAnsi" w:cstheme="majorHAnsi"/>
                <w:sz w:val="21"/>
                <w:szCs w:val="21"/>
              </w:rPr>
              <w:t>od</w:t>
            </w:r>
            <w:r w:rsidRPr="00665C45">
              <w:rPr>
                <w:rFonts w:asciiTheme="majorHAnsi" w:hAnsiTheme="majorHAnsi" w:cstheme="majorHAnsi"/>
                <w:sz w:val="21"/>
                <w:szCs w:val="21"/>
              </w:rPr>
              <w:t>) vs. 13.1% (placebo). P&lt;0.001 for both comparisons.</w:t>
            </w:r>
          </w:p>
        </w:tc>
      </w:tr>
      <w:tr w:rsidR="005A4C5A" w:rsidRPr="00665C45" w14:paraId="028A5CFC" w14:textId="77777777" w:rsidTr="005A4C5A">
        <w:trPr>
          <w:cnfStyle w:val="000000100000" w:firstRow="0" w:lastRow="0" w:firstColumn="0" w:lastColumn="0" w:oddVBand="0" w:evenVBand="0" w:oddHBand="1" w:evenHBand="0" w:firstRowFirstColumn="0" w:firstRowLastColumn="0" w:lastRowFirstColumn="0" w:lastRowLastColumn="0"/>
          <w:trHeight w:val="580"/>
        </w:trPr>
        <w:tc>
          <w:tcPr>
            <w:tcW w:w="485" w:type="dxa"/>
            <w:vMerge/>
            <w:shd w:val="clear" w:color="auto" w:fill="FFFFFF" w:themeFill="background1"/>
          </w:tcPr>
          <w:p w14:paraId="5646FED6" w14:textId="77777777" w:rsidR="009F0D65" w:rsidRPr="00665C45" w:rsidRDefault="009F0D65" w:rsidP="008973CF">
            <w:pPr>
              <w:spacing w:line="240" w:lineRule="auto"/>
              <w:rPr>
                <w:sz w:val="21"/>
                <w:szCs w:val="21"/>
              </w:rPr>
            </w:pPr>
          </w:p>
        </w:tc>
        <w:tc>
          <w:tcPr>
            <w:tcW w:w="1425" w:type="dxa"/>
            <w:vMerge/>
            <w:shd w:val="clear" w:color="auto" w:fill="FFFFFF" w:themeFill="background1"/>
          </w:tcPr>
          <w:p w14:paraId="7CAB33FA" w14:textId="77777777" w:rsidR="009F0D65" w:rsidRPr="00665C45" w:rsidRDefault="009F0D65" w:rsidP="008973CF">
            <w:pPr>
              <w:spacing w:line="240" w:lineRule="auto"/>
              <w:rPr>
                <w:b/>
                <w:bCs/>
                <w:sz w:val="21"/>
                <w:szCs w:val="21"/>
              </w:rPr>
            </w:pPr>
          </w:p>
        </w:tc>
        <w:tc>
          <w:tcPr>
            <w:tcW w:w="1850" w:type="dxa"/>
            <w:vAlign w:val="center"/>
          </w:tcPr>
          <w:p w14:paraId="4EF5EEA9" w14:textId="2E7F1172" w:rsidR="009F0D65" w:rsidRPr="00665C45" w:rsidRDefault="009F0D65" w:rsidP="0001362D">
            <w:pPr>
              <w:spacing w:line="240" w:lineRule="auto"/>
              <w:jc w:val="center"/>
              <w:rPr>
                <w:sz w:val="21"/>
                <w:szCs w:val="21"/>
              </w:rPr>
            </w:pPr>
            <w:r w:rsidRPr="00665C45">
              <w:rPr>
                <w:sz w:val="21"/>
                <w:szCs w:val="21"/>
              </w:rPr>
              <w:t>U-EXCEED</w:t>
            </w:r>
          </w:p>
        </w:tc>
        <w:tc>
          <w:tcPr>
            <w:tcW w:w="1331" w:type="dxa"/>
            <w:vAlign w:val="center"/>
          </w:tcPr>
          <w:p w14:paraId="67D36C92" w14:textId="448DE745" w:rsidR="009F0D65" w:rsidRPr="00665C45" w:rsidRDefault="009F0D65" w:rsidP="0001362D">
            <w:pPr>
              <w:spacing w:line="240" w:lineRule="auto"/>
              <w:jc w:val="center"/>
              <w:rPr>
                <w:sz w:val="21"/>
                <w:szCs w:val="21"/>
              </w:rPr>
            </w:pPr>
            <w:r w:rsidRPr="00665C45">
              <w:rPr>
                <w:sz w:val="21"/>
                <w:szCs w:val="21"/>
              </w:rPr>
              <w:t>Induction</w:t>
            </w:r>
          </w:p>
        </w:tc>
        <w:tc>
          <w:tcPr>
            <w:tcW w:w="667" w:type="dxa"/>
            <w:vAlign w:val="center"/>
          </w:tcPr>
          <w:p w14:paraId="4BD1B883" w14:textId="20C605A6" w:rsidR="009F0D65" w:rsidRPr="00665C45" w:rsidRDefault="009F0D65" w:rsidP="0001362D">
            <w:pPr>
              <w:spacing w:line="240" w:lineRule="auto"/>
              <w:jc w:val="center"/>
              <w:rPr>
                <w:sz w:val="21"/>
                <w:szCs w:val="21"/>
              </w:rPr>
            </w:pPr>
            <w:r w:rsidRPr="00665C45">
              <w:rPr>
                <w:sz w:val="21"/>
                <w:szCs w:val="21"/>
              </w:rPr>
              <w:t>495</w:t>
            </w:r>
          </w:p>
        </w:tc>
        <w:tc>
          <w:tcPr>
            <w:tcW w:w="959" w:type="dxa"/>
            <w:vAlign w:val="center"/>
          </w:tcPr>
          <w:p w14:paraId="47A061BD" w14:textId="041D4BA7" w:rsidR="009F0D65" w:rsidRPr="00665C45" w:rsidRDefault="009F0D65" w:rsidP="0001362D">
            <w:pPr>
              <w:spacing w:line="240" w:lineRule="auto"/>
              <w:jc w:val="center"/>
              <w:rPr>
                <w:sz w:val="21"/>
                <w:szCs w:val="21"/>
              </w:rPr>
            </w:pPr>
            <w:r w:rsidRPr="00665C45">
              <w:rPr>
                <w:sz w:val="21"/>
                <w:szCs w:val="21"/>
              </w:rPr>
              <w:t>12</w:t>
            </w:r>
          </w:p>
        </w:tc>
        <w:tc>
          <w:tcPr>
            <w:tcW w:w="2259" w:type="dxa"/>
            <w:vAlign w:val="center"/>
          </w:tcPr>
          <w:p w14:paraId="1BE9455C" w14:textId="7E0488F4" w:rsidR="009F0D65" w:rsidRPr="00665C45" w:rsidRDefault="009F0D65" w:rsidP="0001362D">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and endoscopic response at </w:t>
            </w:r>
            <w:r w:rsidR="002C6EA3" w:rsidRPr="00665C45">
              <w:rPr>
                <w:rFonts w:asciiTheme="majorHAnsi" w:hAnsiTheme="majorHAnsi" w:cstheme="majorHAnsi"/>
                <w:sz w:val="21"/>
                <w:szCs w:val="21"/>
              </w:rPr>
              <w:t xml:space="preserve">week </w:t>
            </w:r>
            <w:r w:rsidR="00DC4862" w:rsidRPr="00665C45">
              <w:rPr>
                <w:rFonts w:asciiTheme="majorHAnsi" w:hAnsiTheme="majorHAnsi" w:cstheme="majorHAnsi"/>
                <w:sz w:val="21"/>
                <w:szCs w:val="21"/>
              </w:rPr>
              <w:t>12</w:t>
            </w:r>
          </w:p>
        </w:tc>
        <w:tc>
          <w:tcPr>
            <w:tcW w:w="5761" w:type="dxa"/>
          </w:tcPr>
          <w:p w14:paraId="5F16A37A" w14:textId="3B69DC56" w:rsidR="009F0D65" w:rsidRPr="00665C45" w:rsidRDefault="009F0D65" w:rsidP="00C61065">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w:t>
            </w:r>
            <w:r w:rsidR="00FA48EA" w:rsidRPr="00665C45">
              <w:rPr>
                <w:rFonts w:asciiTheme="majorHAnsi" w:hAnsiTheme="majorHAnsi" w:cstheme="majorHAnsi"/>
                <w:sz w:val="21"/>
                <w:szCs w:val="21"/>
              </w:rPr>
              <w:t xml:space="preserve">in </w:t>
            </w:r>
            <w:r w:rsidRPr="00665C45">
              <w:rPr>
                <w:rFonts w:asciiTheme="majorHAnsi" w:hAnsiTheme="majorHAnsi" w:cstheme="majorHAnsi"/>
                <w:sz w:val="21"/>
                <w:szCs w:val="21"/>
              </w:rPr>
              <w:t xml:space="preserve">38.9% (upadacitinib 45mg </w:t>
            </w:r>
            <w:r w:rsidR="00CA4A87">
              <w:rPr>
                <w:rFonts w:asciiTheme="majorHAnsi" w:hAnsiTheme="majorHAnsi" w:cstheme="majorHAnsi"/>
                <w:sz w:val="21"/>
                <w:szCs w:val="21"/>
              </w:rPr>
              <w:t>od</w:t>
            </w:r>
            <w:r w:rsidRPr="00665C45">
              <w:rPr>
                <w:rFonts w:asciiTheme="majorHAnsi" w:hAnsiTheme="majorHAnsi" w:cstheme="majorHAnsi"/>
                <w:sz w:val="21"/>
                <w:szCs w:val="21"/>
              </w:rPr>
              <w:t xml:space="preserve">) vs. 21.1% (placebo) and endoscopic response </w:t>
            </w:r>
            <w:r w:rsidR="00FA48EA" w:rsidRPr="00665C45">
              <w:rPr>
                <w:rFonts w:asciiTheme="majorHAnsi" w:hAnsiTheme="majorHAnsi" w:cstheme="majorHAnsi"/>
                <w:sz w:val="21"/>
                <w:szCs w:val="21"/>
              </w:rPr>
              <w:t xml:space="preserve">in </w:t>
            </w:r>
            <w:r w:rsidRPr="00665C45">
              <w:rPr>
                <w:rFonts w:asciiTheme="majorHAnsi" w:hAnsiTheme="majorHAnsi" w:cstheme="majorHAnsi"/>
                <w:sz w:val="21"/>
                <w:szCs w:val="21"/>
              </w:rPr>
              <w:t xml:space="preserve">34.6% (upadacitinib 45mg </w:t>
            </w:r>
            <w:r w:rsidR="00CA4A87">
              <w:rPr>
                <w:rFonts w:asciiTheme="majorHAnsi" w:hAnsiTheme="majorHAnsi" w:cstheme="majorHAnsi"/>
                <w:sz w:val="21"/>
                <w:szCs w:val="21"/>
              </w:rPr>
              <w:t>od</w:t>
            </w:r>
            <w:r w:rsidRPr="00665C45">
              <w:rPr>
                <w:rFonts w:asciiTheme="majorHAnsi" w:hAnsiTheme="majorHAnsi" w:cstheme="majorHAnsi"/>
                <w:sz w:val="21"/>
                <w:szCs w:val="21"/>
              </w:rPr>
              <w:t>) vs. 3.5% (placebo). P&lt;0.001 for both comparisons.</w:t>
            </w:r>
          </w:p>
        </w:tc>
      </w:tr>
      <w:tr w:rsidR="00F26098" w:rsidRPr="00665C45" w14:paraId="38E439E7" w14:textId="77777777" w:rsidTr="005A4C5A">
        <w:trPr>
          <w:trHeight w:val="182"/>
        </w:trPr>
        <w:tc>
          <w:tcPr>
            <w:tcW w:w="485" w:type="dxa"/>
            <w:vMerge/>
            <w:shd w:val="clear" w:color="auto" w:fill="FFFFFF" w:themeFill="background1"/>
          </w:tcPr>
          <w:p w14:paraId="24550499" w14:textId="77777777" w:rsidR="009F0D65" w:rsidRPr="00665C45" w:rsidRDefault="009F0D65" w:rsidP="008973CF">
            <w:pPr>
              <w:spacing w:line="240" w:lineRule="auto"/>
              <w:rPr>
                <w:sz w:val="21"/>
                <w:szCs w:val="21"/>
              </w:rPr>
            </w:pPr>
          </w:p>
        </w:tc>
        <w:tc>
          <w:tcPr>
            <w:tcW w:w="1425" w:type="dxa"/>
            <w:vMerge/>
            <w:shd w:val="clear" w:color="auto" w:fill="FFFFFF" w:themeFill="background1"/>
          </w:tcPr>
          <w:p w14:paraId="6C9E1A14" w14:textId="77777777" w:rsidR="009F0D65" w:rsidRPr="00665C45" w:rsidRDefault="009F0D65" w:rsidP="008973CF">
            <w:pPr>
              <w:spacing w:line="240" w:lineRule="auto"/>
              <w:rPr>
                <w:b/>
                <w:bCs/>
                <w:sz w:val="21"/>
                <w:szCs w:val="21"/>
              </w:rPr>
            </w:pPr>
          </w:p>
        </w:tc>
        <w:tc>
          <w:tcPr>
            <w:tcW w:w="1850" w:type="dxa"/>
            <w:vAlign w:val="center"/>
          </w:tcPr>
          <w:p w14:paraId="085B6077" w14:textId="69C4CCC6" w:rsidR="009F0D65" w:rsidRPr="00665C45" w:rsidRDefault="009F0D65" w:rsidP="0001362D">
            <w:pPr>
              <w:spacing w:line="240" w:lineRule="auto"/>
              <w:jc w:val="center"/>
              <w:rPr>
                <w:sz w:val="21"/>
                <w:szCs w:val="21"/>
              </w:rPr>
            </w:pPr>
            <w:r w:rsidRPr="00665C45">
              <w:rPr>
                <w:sz w:val="21"/>
                <w:szCs w:val="21"/>
              </w:rPr>
              <w:t>U-ENDURE</w:t>
            </w:r>
          </w:p>
        </w:tc>
        <w:tc>
          <w:tcPr>
            <w:tcW w:w="1331" w:type="dxa"/>
            <w:vAlign w:val="center"/>
          </w:tcPr>
          <w:p w14:paraId="52095A89" w14:textId="7C8FC81B" w:rsidR="009F0D65" w:rsidRPr="00665C45" w:rsidRDefault="009F0D65" w:rsidP="0001362D">
            <w:pPr>
              <w:spacing w:line="240" w:lineRule="auto"/>
              <w:jc w:val="center"/>
              <w:rPr>
                <w:sz w:val="21"/>
                <w:szCs w:val="21"/>
              </w:rPr>
            </w:pPr>
            <w:r w:rsidRPr="00665C45">
              <w:rPr>
                <w:sz w:val="21"/>
                <w:szCs w:val="21"/>
              </w:rPr>
              <w:t>Maintenance</w:t>
            </w:r>
          </w:p>
        </w:tc>
        <w:tc>
          <w:tcPr>
            <w:tcW w:w="667" w:type="dxa"/>
            <w:vAlign w:val="center"/>
          </w:tcPr>
          <w:p w14:paraId="349057A0" w14:textId="34F910E1" w:rsidR="009F0D65" w:rsidRPr="00665C45" w:rsidRDefault="009F0D65" w:rsidP="0001362D">
            <w:pPr>
              <w:spacing w:line="240" w:lineRule="auto"/>
              <w:jc w:val="center"/>
              <w:rPr>
                <w:sz w:val="21"/>
                <w:szCs w:val="21"/>
              </w:rPr>
            </w:pPr>
            <w:r w:rsidRPr="00665C45">
              <w:rPr>
                <w:sz w:val="21"/>
                <w:szCs w:val="21"/>
              </w:rPr>
              <w:t>502</w:t>
            </w:r>
          </w:p>
        </w:tc>
        <w:tc>
          <w:tcPr>
            <w:tcW w:w="959" w:type="dxa"/>
            <w:vAlign w:val="center"/>
          </w:tcPr>
          <w:p w14:paraId="207E56EA" w14:textId="5F71ACC1" w:rsidR="009F0D65" w:rsidRPr="00665C45" w:rsidRDefault="009F0D65" w:rsidP="0001362D">
            <w:pPr>
              <w:spacing w:line="240" w:lineRule="auto"/>
              <w:jc w:val="center"/>
              <w:rPr>
                <w:sz w:val="21"/>
                <w:szCs w:val="21"/>
              </w:rPr>
            </w:pPr>
            <w:r w:rsidRPr="00665C45">
              <w:rPr>
                <w:sz w:val="21"/>
                <w:szCs w:val="21"/>
              </w:rPr>
              <w:t>52</w:t>
            </w:r>
          </w:p>
        </w:tc>
        <w:tc>
          <w:tcPr>
            <w:tcW w:w="2259" w:type="dxa"/>
            <w:vAlign w:val="center"/>
          </w:tcPr>
          <w:p w14:paraId="080440E9" w14:textId="37DE3110" w:rsidR="009F0D65" w:rsidRPr="00665C45" w:rsidRDefault="009F0D65" w:rsidP="0001362D">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and endoscopic response at </w:t>
            </w:r>
            <w:r w:rsidR="002C6EA3" w:rsidRPr="00665C45">
              <w:rPr>
                <w:rFonts w:asciiTheme="majorHAnsi" w:hAnsiTheme="majorHAnsi" w:cstheme="majorHAnsi"/>
                <w:sz w:val="21"/>
                <w:szCs w:val="21"/>
              </w:rPr>
              <w:t xml:space="preserve">week </w:t>
            </w:r>
            <w:r w:rsidRPr="00665C45">
              <w:rPr>
                <w:rFonts w:asciiTheme="majorHAnsi" w:hAnsiTheme="majorHAnsi" w:cstheme="majorHAnsi"/>
                <w:sz w:val="21"/>
                <w:szCs w:val="21"/>
              </w:rPr>
              <w:t>52</w:t>
            </w:r>
          </w:p>
        </w:tc>
        <w:tc>
          <w:tcPr>
            <w:tcW w:w="5761" w:type="dxa"/>
          </w:tcPr>
          <w:p w14:paraId="263ACD57" w14:textId="660A25E6" w:rsidR="009F0D65" w:rsidRPr="00665C45" w:rsidRDefault="00C61065" w:rsidP="00C61065">
            <w:pPr>
              <w:pStyle w:val="NoSpacing"/>
              <w:jc w:val="center"/>
              <w:rPr>
                <w:rFonts w:asciiTheme="majorHAnsi" w:hAnsiTheme="majorHAnsi" w:cstheme="majorHAnsi"/>
                <w:sz w:val="21"/>
                <w:szCs w:val="21"/>
              </w:rPr>
            </w:pPr>
            <w:r w:rsidRPr="00665C45">
              <w:rPr>
                <w:rFonts w:asciiTheme="majorHAnsi" w:hAnsiTheme="majorHAnsi" w:cstheme="majorHAnsi"/>
                <w:sz w:val="21"/>
                <w:szCs w:val="21"/>
              </w:rPr>
              <w:t xml:space="preserve">Clinical remission in </w:t>
            </w:r>
            <w:r w:rsidR="00732EB0" w:rsidRPr="00665C45">
              <w:rPr>
                <w:rFonts w:asciiTheme="majorHAnsi" w:hAnsiTheme="majorHAnsi" w:cstheme="majorHAnsi"/>
                <w:sz w:val="21"/>
                <w:szCs w:val="21"/>
              </w:rPr>
              <w:t>47.6</w:t>
            </w:r>
            <w:r w:rsidRPr="00665C45">
              <w:rPr>
                <w:rFonts w:asciiTheme="majorHAnsi" w:hAnsiTheme="majorHAnsi" w:cstheme="majorHAnsi"/>
                <w:sz w:val="21"/>
                <w:szCs w:val="21"/>
              </w:rPr>
              <w:t xml:space="preserve">% (upadacitinib </w:t>
            </w:r>
            <w:r w:rsidR="00732EB0" w:rsidRPr="00665C45">
              <w:rPr>
                <w:rFonts w:asciiTheme="majorHAnsi" w:hAnsiTheme="majorHAnsi" w:cstheme="majorHAnsi"/>
                <w:sz w:val="21"/>
                <w:szCs w:val="21"/>
              </w:rPr>
              <w:t>30</w:t>
            </w:r>
            <w:r w:rsidRPr="00665C45">
              <w:rPr>
                <w:rFonts w:asciiTheme="majorHAnsi" w:hAnsiTheme="majorHAnsi" w:cstheme="majorHAnsi"/>
                <w:sz w:val="21"/>
                <w:szCs w:val="21"/>
              </w:rPr>
              <w:t xml:space="preserve">mg </w:t>
            </w:r>
            <w:r w:rsidR="00CA4A87">
              <w:rPr>
                <w:rFonts w:asciiTheme="majorHAnsi" w:hAnsiTheme="majorHAnsi" w:cstheme="majorHAnsi"/>
                <w:sz w:val="21"/>
                <w:szCs w:val="21"/>
              </w:rPr>
              <w:t>od</w:t>
            </w:r>
            <w:r w:rsidRPr="00665C45">
              <w:rPr>
                <w:rFonts w:asciiTheme="majorHAnsi" w:hAnsiTheme="majorHAnsi" w:cstheme="majorHAnsi"/>
                <w:sz w:val="21"/>
                <w:szCs w:val="21"/>
              </w:rPr>
              <w:t xml:space="preserve">) vs. </w:t>
            </w:r>
            <w:r w:rsidR="00732EB0" w:rsidRPr="00665C45">
              <w:rPr>
                <w:rFonts w:asciiTheme="majorHAnsi" w:hAnsiTheme="majorHAnsi" w:cstheme="majorHAnsi"/>
                <w:sz w:val="21"/>
                <w:szCs w:val="21"/>
              </w:rPr>
              <w:t>37.3</w:t>
            </w:r>
            <w:r w:rsidRPr="00665C45">
              <w:rPr>
                <w:rFonts w:asciiTheme="majorHAnsi" w:hAnsiTheme="majorHAnsi" w:cstheme="majorHAnsi"/>
                <w:sz w:val="21"/>
                <w:szCs w:val="21"/>
              </w:rPr>
              <w:t>% (</w:t>
            </w:r>
            <w:r w:rsidR="00732EB0" w:rsidRPr="00665C45">
              <w:rPr>
                <w:rFonts w:asciiTheme="majorHAnsi" w:hAnsiTheme="majorHAnsi" w:cstheme="majorHAnsi"/>
                <w:sz w:val="21"/>
                <w:szCs w:val="21"/>
              </w:rPr>
              <w:t xml:space="preserve">upadacitinib 15mg </w:t>
            </w:r>
            <w:r w:rsidR="00CA4A87">
              <w:rPr>
                <w:rFonts w:asciiTheme="majorHAnsi" w:hAnsiTheme="majorHAnsi" w:cstheme="majorHAnsi"/>
                <w:sz w:val="21"/>
                <w:szCs w:val="21"/>
              </w:rPr>
              <w:t>od</w:t>
            </w:r>
            <w:r w:rsidRPr="00665C45">
              <w:rPr>
                <w:rFonts w:asciiTheme="majorHAnsi" w:hAnsiTheme="majorHAnsi" w:cstheme="majorHAnsi"/>
                <w:sz w:val="21"/>
                <w:szCs w:val="21"/>
              </w:rPr>
              <w:t xml:space="preserve">) </w:t>
            </w:r>
            <w:r w:rsidR="00732EB0" w:rsidRPr="00665C45">
              <w:rPr>
                <w:rFonts w:asciiTheme="majorHAnsi" w:hAnsiTheme="majorHAnsi" w:cstheme="majorHAnsi"/>
                <w:sz w:val="21"/>
                <w:szCs w:val="21"/>
              </w:rPr>
              <w:t xml:space="preserve">vs 15.1% (placebo) and </w:t>
            </w:r>
            <w:r w:rsidRPr="00665C45">
              <w:rPr>
                <w:rFonts w:asciiTheme="majorHAnsi" w:hAnsiTheme="majorHAnsi" w:cstheme="majorHAnsi"/>
                <w:sz w:val="21"/>
                <w:szCs w:val="21"/>
              </w:rPr>
              <w:t xml:space="preserve">endoscopic response in </w:t>
            </w:r>
            <w:r w:rsidR="00D15485" w:rsidRPr="00665C45">
              <w:rPr>
                <w:rFonts w:asciiTheme="majorHAnsi" w:hAnsiTheme="majorHAnsi" w:cstheme="majorHAnsi"/>
                <w:sz w:val="21"/>
                <w:szCs w:val="21"/>
              </w:rPr>
              <w:t>40.1</w:t>
            </w:r>
            <w:r w:rsidRPr="00665C45">
              <w:rPr>
                <w:rFonts w:asciiTheme="majorHAnsi" w:hAnsiTheme="majorHAnsi" w:cstheme="majorHAnsi"/>
                <w:sz w:val="21"/>
                <w:szCs w:val="21"/>
              </w:rPr>
              <w:t xml:space="preserve">% (upadacitinib </w:t>
            </w:r>
            <w:r w:rsidR="00732EB0" w:rsidRPr="00665C45">
              <w:rPr>
                <w:rFonts w:asciiTheme="majorHAnsi" w:hAnsiTheme="majorHAnsi" w:cstheme="majorHAnsi"/>
                <w:sz w:val="21"/>
                <w:szCs w:val="21"/>
              </w:rPr>
              <w:t>30</w:t>
            </w:r>
            <w:r w:rsidRPr="00665C45">
              <w:rPr>
                <w:rFonts w:asciiTheme="majorHAnsi" w:hAnsiTheme="majorHAnsi" w:cstheme="majorHAnsi"/>
                <w:sz w:val="21"/>
                <w:szCs w:val="21"/>
              </w:rPr>
              <w:t xml:space="preserve">mg </w:t>
            </w:r>
            <w:r w:rsidR="00CA4A87">
              <w:rPr>
                <w:rFonts w:asciiTheme="majorHAnsi" w:hAnsiTheme="majorHAnsi" w:cstheme="majorHAnsi"/>
                <w:sz w:val="21"/>
                <w:szCs w:val="21"/>
              </w:rPr>
              <w:t>od</w:t>
            </w:r>
            <w:r w:rsidRPr="00665C45">
              <w:rPr>
                <w:rFonts w:asciiTheme="majorHAnsi" w:hAnsiTheme="majorHAnsi" w:cstheme="majorHAnsi"/>
                <w:sz w:val="21"/>
                <w:szCs w:val="21"/>
              </w:rPr>
              <w:t>) vs.</w:t>
            </w:r>
            <w:r w:rsidR="00732EB0" w:rsidRPr="00665C45">
              <w:rPr>
                <w:rFonts w:asciiTheme="majorHAnsi" w:hAnsiTheme="majorHAnsi" w:cstheme="majorHAnsi"/>
                <w:sz w:val="21"/>
                <w:szCs w:val="21"/>
              </w:rPr>
              <w:t xml:space="preserve"> </w:t>
            </w:r>
            <w:r w:rsidR="00D15485" w:rsidRPr="00665C45">
              <w:rPr>
                <w:rFonts w:asciiTheme="majorHAnsi" w:hAnsiTheme="majorHAnsi" w:cstheme="majorHAnsi"/>
                <w:sz w:val="21"/>
                <w:szCs w:val="21"/>
              </w:rPr>
              <w:t>27.6</w:t>
            </w:r>
            <w:r w:rsidR="00732EB0" w:rsidRPr="00665C45">
              <w:rPr>
                <w:rFonts w:asciiTheme="majorHAnsi" w:hAnsiTheme="majorHAnsi" w:cstheme="majorHAnsi"/>
                <w:sz w:val="21"/>
                <w:szCs w:val="21"/>
              </w:rPr>
              <w:t xml:space="preserve">% (upadacitinib 15mg </w:t>
            </w:r>
            <w:r w:rsidR="00CA4A87">
              <w:rPr>
                <w:rFonts w:asciiTheme="majorHAnsi" w:hAnsiTheme="majorHAnsi" w:cstheme="majorHAnsi"/>
                <w:sz w:val="21"/>
                <w:szCs w:val="21"/>
              </w:rPr>
              <w:t>od</w:t>
            </w:r>
            <w:r w:rsidR="00732EB0" w:rsidRPr="00665C45">
              <w:rPr>
                <w:rFonts w:asciiTheme="majorHAnsi" w:hAnsiTheme="majorHAnsi" w:cstheme="majorHAnsi"/>
                <w:sz w:val="21"/>
                <w:szCs w:val="21"/>
              </w:rPr>
              <w:t xml:space="preserve">) vs. </w:t>
            </w:r>
            <w:r w:rsidR="00D15485" w:rsidRPr="00665C45">
              <w:rPr>
                <w:rFonts w:asciiTheme="majorHAnsi" w:hAnsiTheme="majorHAnsi" w:cstheme="majorHAnsi"/>
                <w:sz w:val="21"/>
                <w:szCs w:val="21"/>
              </w:rPr>
              <w:t>7.3</w:t>
            </w:r>
            <w:r w:rsidRPr="00665C45">
              <w:rPr>
                <w:rFonts w:asciiTheme="majorHAnsi" w:hAnsiTheme="majorHAnsi" w:cstheme="majorHAnsi"/>
                <w:sz w:val="21"/>
                <w:szCs w:val="21"/>
              </w:rPr>
              <w:t xml:space="preserve">% (placebo). P&lt;0.001 for </w:t>
            </w:r>
            <w:r w:rsidR="002C6EA3" w:rsidRPr="00665C45">
              <w:rPr>
                <w:rFonts w:asciiTheme="majorHAnsi" w:hAnsiTheme="majorHAnsi" w:cstheme="majorHAnsi"/>
                <w:sz w:val="21"/>
                <w:szCs w:val="21"/>
              </w:rPr>
              <w:t>all</w:t>
            </w:r>
            <w:r w:rsidRPr="00665C45">
              <w:rPr>
                <w:rFonts w:asciiTheme="majorHAnsi" w:hAnsiTheme="majorHAnsi" w:cstheme="majorHAnsi"/>
                <w:sz w:val="21"/>
                <w:szCs w:val="21"/>
              </w:rPr>
              <w:t xml:space="preserve"> comparisons.</w:t>
            </w:r>
          </w:p>
        </w:tc>
      </w:tr>
    </w:tbl>
    <w:p w14:paraId="1DD42B78" w14:textId="77777777" w:rsidR="00A26495" w:rsidRPr="00234816" w:rsidRDefault="00A26495" w:rsidP="00234816">
      <w:pPr>
        <w:pStyle w:val="NoSpacing"/>
        <w:rPr>
          <w:sz w:val="11"/>
          <w:szCs w:val="11"/>
        </w:rPr>
      </w:pPr>
    </w:p>
    <w:p w14:paraId="7F67680E" w14:textId="43D19E51" w:rsidR="005A4C5A" w:rsidRDefault="00C26FC1" w:rsidP="00771E09">
      <w:pPr>
        <w:spacing w:line="240" w:lineRule="auto"/>
        <w:rPr>
          <w:sz w:val="20"/>
          <w:szCs w:val="20"/>
        </w:rPr>
      </w:pPr>
      <w:r w:rsidRPr="000708FE">
        <w:rPr>
          <w:color w:val="000000" w:themeColor="text1"/>
          <w:sz w:val="20"/>
          <w:szCs w:val="20"/>
        </w:rPr>
        <w:t xml:space="preserve">Abbreviations: </w:t>
      </w:r>
      <w:r w:rsidR="00FD434F" w:rsidRPr="000708FE">
        <w:rPr>
          <w:color w:val="000000" w:themeColor="text1"/>
          <w:sz w:val="20"/>
          <w:szCs w:val="20"/>
        </w:rPr>
        <w:t>CD, Crohn’s disease; n, number</w:t>
      </w:r>
      <w:r w:rsidR="00463D0B" w:rsidRPr="000708FE">
        <w:rPr>
          <w:color w:val="000000" w:themeColor="text1"/>
          <w:sz w:val="20"/>
          <w:szCs w:val="20"/>
        </w:rPr>
        <w:t xml:space="preserve"> of patients</w:t>
      </w:r>
      <w:r w:rsidR="00FD434F" w:rsidRPr="000708FE">
        <w:rPr>
          <w:color w:val="000000" w:themeColor="text1"/>
          <w:sz w:val="20"/>
          <w:szCs w:val="20"/>
        </w:rPr>
        <w:t>; UC, ulcerative colitis; w, weeks</w:t>
      </w:r>
      <w:r w:rsidR="00771E09" w:rsidRPr="000708FE">
        <w:rPr>
          <w:color w:val="000000" w:themeColor="text1"/>
          <w:sz w:val="20"/>
          <w:szCs w:val="20"/>
        </w:rPr>
        <w:t>.</w:t>
      </w:r>
      <w:r w:rsidR="008762B5" w:rsidRPr="000708FE">
        <w:rPr>
          <w:color w:val="000000" w:themeColor="text1"/>
          <w:sz w:val="20"/>
          <w:szCs w:val="20"/>
        </w:rPr>
        <w:t xml:space="preserve"> *Definition </w:t>
      </w:r>
      <w:r w:rsidR="00A26495" w:rsidRPr="000708FE">
        <w:rPr>
          <w:color w:val="000000" w:themeColor="text1"/>
          <w:sz w:val="20"/>
          <w:szCs w:val="20"/>
        </w:rPr>
        <w:t xml:space="preserve">of clinical remission was </w:t>
      </w:r>
      <w:r w:rsidR="000708FE" w:rsidRPr="000708FE">
        <w:rPr>
          <w:color w:val="000000" w:themeColor="text1"/>
          <w:sz w:val="20"/>
          <w:szCs w:val="20"/>
        </w:rPr>
        <w:t xml:space="preserve">similar across the UC trials and </w:t>
      </w:r>
      <w:r w:rsidR="000708FE">
        <w:rPr>
          <w:color w:val="000000" w:themeColor="text1"/>
          <w:sz w:val="20"/>
          <w:szCs w:val="20"/>
        </w:rPr>
        <w:t xml:space="preserve">was defined as </w:t>
      </w:r>
      <w:r w:rsidR="000708FE" w:rsidRPr="000708FE">
        <w:rPr>
          <w:color w:val="000000" w:themeColor="text1"/>
          <w:sz w:val="20"/>
          <w:szCs w:val="20"/>
          <w:shd w:val="clear" w:color="auto" w:fill="FFFFFF"/>
        </w:rPr>
        <w:t xml:space="preserve">a total Mayo score of ≤2, with no </w:t>
      </w:r>
      <w:proofErr w:type="spellStart"/>
      <w:r w:rsidR="000708FE" w:rsidRPr="000708FE">
        <w:rPr>
          <w:color w:val="000000" w:themeColor="text1"/>
          <w:sz w:val="20"/>
          <w:szCs w:val="20"/>
          <w:shd w:val="clear" w:color="auto" w:fill="FFFFFF"/>
        </w:rPr>
        <w:t>subscore</w:t>
      </w:r>
      <w:proofErr w:type="spellEnd"/>
      <w:r w:rsidR="000708FE" w:rsidRPr="000708FE">
        <w:rPr>
          <w:color w:val="000000" w:themeColor="text1"/>
          <w:sz w:val="20"/>
          <w:szCs w:val="20"/>
          <w:shd w:val="clear" w:color="auto" w:fill="FFFFFF"/>
        </w:rPr>
        <w:t xml:space="preserve"> &gt;1 and a rectal bleeding </w:t>
      </w:r>
      <w:proofErr w:type="spellStart"/>
      <w:r w:rsidR="000708FE" w:rsidRPr="000708FE">
        <w:rPr>
          <w:color w:val="000000" w:themeColor="text1"/>
          <w:sz w:val="20"/>
          <w:szCs w:val="20"/>
          <w:shd w:val="clear" w:color="auto" w:fill="FFFFFF"/>
        </w:rPr>
        <w:t>subscore</w:t>
      </w:r>
      <w:proofErr w:type="spellEnd"/>
      <w:r w:rsidR="000708FE" w:rsidRPr="000708FE">
        <w:rPr>
          <w:color w:val="000000" w:themeColor="text1"/>
          <w:sz w:val="20"/>
          <w:szCs w:val="20"/>
          <w:shd w:val="clear" w:color="auto" w:fill="FFFFFF"/>
        </w:rPr>
        <w:t xml:space="preserve"> of 0</w:t>
      </w:r>
      <w:r w:rsidR="000708FE">
        <w:rPr>
          <w:color w:val="000000" w:themeColor="text1"/>
          <w:sz w:val="20"/>
          <w:szCs w:val="20"/>
          <w:shd w:val="clear" w:color="auto" w:fill="FFFFFF"/>
        </w:rPr>
        <w:t xml:space="preserve">. </w:t>
      </w:r>
      <w:r w:rsidR="003A2F87">
        <w:rPr>
          <w:color w:val="000000" w:themeColor="text1"/>
          <w:sz w:val="20"/>
          <w:szCs w:val="20"/>
          <w:shd w:val="clear" w:color="auto" w:fill="FFFFFF"/>
        </w:rPr>
        <w:t xml:space="preserve">For </w:t>
      </w:r>
      <w:r w:rsidR="00B7604B">
        <w:rPr>
          <w:color w:val="000000" w:themeColor="text1"/>
          <w:sz w:val="20"/>
          <w:szCs w:val="20"/>
          <w:shd w:val="clear" w:color="auto" w:fill="FFFFFF"/>
        </w:rPr>
        <w:t xml:space="preserve">the </w:t>
      </w:r>
      <w:r w:rsidR="003A2F87">
        <w:rPr>
          <w:color w:val="000000" w:themeColor="text1"/>
          <w:sz w:val="20"/>
          <w:szCs w:val="20"/>
          <w:shd w:val="clear" w:color="auto" w:fill="FFFFFF"/>
        </w:rPr>
        <w:t>filgotinib</w:t>
      </w:r>
      <w:r w:rsidR="006218D7">
        <w:rPr>
          <w:color w:val="000000" w:themeColor="text1"/>
          <w:sz w:val="20"/>
          <w:szCs w:val="20"/>
          <w:shd w:val="clear" w:color="auto" w:fill="FFFFFF"/>
        </w:rPr>
        <w:t xml:space="preserve"> studies</w:t>
      </w:r>
      <w:r w:rsidR="006218D7" w:rsidRPr="006218D7">
        <w:rPr>
          <w:sz w:val="20"/>
          <w:szCs w:val="20"/>
        </w:rPr>
        <w:t xml:space="preserve">, </w:t>
      </w:r>
      <w:r w:rsidR="006218D7">
        <w:rPr>
          <w:sz w:val="20"/>
          <w:szCs w:val="20"/>
        </w:rPr>
        <w:t xml:space="preserve">a </w:t>
      </w:r>
      <w:r w:rsidR="005D468B" w:rsidRPr="006218D7">
        <w:rPr>
          <w:sz w:val="20"/>
          <w:szCs w:val="20"/>
        </w:rPr>
        <w:t>1-point</w:t>
      </w:r>
      <w:r w:rsidR="006218D7" w:rsidRPr="006218D7">
        <w:rPr>
          <w:sz w:val="20"/>
          <w:szCs w:val="20"/>
        </w:rPr>
        <w:t xml:space="preserve"> decrease in stool frequency from induction baseline for a </w:t>
      </w:r>
      <w:proofErr w:type="spellStart"/>
      <w:r w:rsidR="006218D7" w:rsidRPr="006218D7">
        <w:rPr>
          <w:sz w:val="20"/>
          <w:szCs w:val="20"/>
        </w:rPr>
        <w:t>subscore</w:t>
      </w:r>
      <w:proofErr w:type="spellEnd"/>
      <w:r w:rsidR="006218D7" w:rsidRPr="006218D7">
        <w:rPr>
          <w:sz w:val="20"/>
          <w:szCs w:val="20"/>
        </w:rPr>
        <w:t xml:space="preserve"> of 0 or 1</w:t>
      </w:r>
      <w:r w:rsidR="006218D7">
        <w:rPr>
          <w:sz w:val="20"/>
          <w:szCs w:val="20"/>
        </w:rPr>
        <w:t xml:space="preserve"> was required and for </w:t>
      </w:r>
      <w:r w:rsidR="00C95506">
        <w:rPr>
          <w:sz w:val="20"/>
          <w:szCs w:val="20"/>
        </w:rPr>
        <w:t>the upadacitinib studies</w:t>
      </w:r>
      <w:r w:rsidR="00AE3576">
        <w:rPr>
          <w:sz w:val="20"/>
          <w:szCs w:val="20"/>
        </w:rPr>
        <w:t xml:space="preserve">, the Physician Global Assessment </w:t>
      </w:r>
      <w:r w:rsidR="002C48C0">
        <w:rPr>
          <w:sz w:val="20"/>
          <w:szCs w:val="20"/>
        </w:rPr>
        <w:t xml:space="preserve">was removed </w:t>
      </w:r>
      <w:r w:rsidR="0045125E">
        <w:rPr>
          <w:sz w:val="20"/>
          <w:szCs w:val="20"/>
        </w:rPr>
        <w:t>due to subjectivity.</w:t>
      </w:r>
      <w:r w:rsidR="005A4C5A">
        <w:rPr>
          <w:sz w:val="20"/>
          <w:szCs w:val="20"/>
        </w:rPr>
        <w:t xml:space="preserve"> **Remission defined as CD activity index &lt;150, and endoscopic response defined as </w:t>
      </w:r>
      <w:r w:rsidR="003F78DF">
        <w:rPr>
          <w:sz w:val="20"/>
          <w:szCs w:val="20"/>
        </w:rPr>
        <w:t xml:space="preserve">a fall in </w:t>
      </w:r>
      <w:r w:rsidR="005A4C5A">
        <w:rPr>
          <w:sz w:val="20"/>
          <w:szCs w:val="20"/>
        </w:rPr>
        <w:t>S</w:t>
      </w:r>
      <w:r w:rsidR="000D57FE">
        <w:rPr>
          <w:sz w:val="20"/>
          <w:szCs w:val="20"/>
        </w:rPr>
        <w:t xml:space="preserve">imple Endoscopic Score for </w:t>
      </w:r>
      <w:r w:rsidR="005A4C5A">
        <w:rPr>
          <w:sz w:val="20"/>
          <w:szCs w:val="20"/>
        </w:rPr>
        <w:t>CD score &gt;50% from baseline</w:t>
      </w:r>
      <w:r w:rsidR="001735CB">
        <w:rPr>
          <w:sz w:val="20"/>
          <w:szCs w:val="20"/>
        </w:rPr>
        <w:t>.</w:t>
      </w:r>
    </w:p>
    <w:p w14:paraId="2E1BE35C" w14:textId="79EABDBB" w:rsidR="00C26FC1" w:rsidRPr="00E93657" w:rsidRDefault="00C26FC1" w:rsidP="00C26FC1">
      <w:pPr>
        <w:spacing w:line="240" w:lineRule="auto"/>
        <w:sectPr w:rsidR="00C26FC1" w:rsidRPr="00E93657" w:rsidSect="005A4C5A">
          <w:pgSz w:w="16838" w:h="11906" w:orient="landscape"/>
          <w:pgMar w:top="404" w:right="1507" w:bottom="307" w:left="1014" w:header="708" w:footer="708" w:gutter="0"/>
          <w:cols w:space="708"/>
          <w:docGrid w:linePitch="360"/>
        </w:sectPr>
      </w:pPr>
      <w:r w:rsidRPr="00E93657">
        <w:br w:type="page"/>
      </w:r>
    </w:p>
    <w:p w14:paraId="1D4F82C1" w14:textId="1BC3714E" w:rsidR="007A57E6" w:rsidRDefault="001248CA" w:rsidP="007A57E6">
      <w:pPr>
        <w:pStyle w:val="Heading1"/>
      </w:pPr>
      <w:r w:rsidRPr="00E93657">
        <w:lastRenderedPageBreak/>
        <w:t>SAFETY</w:t>
      </w:r>
      <w:r w:rsidR="009516B8">
        <w:t xml:space="preserve"> OF JAK INHIBITORS</w:t>
      </w:r>
    </w:p>
    <w:p w14:paraId="50BA762A" w14:textId="3A537588" w:rsidR="007A57E6" w:rsidRDefault="007A57E6" w:rsidP="004E3204">
      <w:pPr>
        <w:pStyle w:val="Heading2"/>
        <w:spacing w:line="480" w:lineRule="auto"/>
        <w:rPr>
          <w:lang w:val="en-GB"/>
        </w:rPr>
      </w:pPr>
      <w:r>
        <w:rPr>
          <w:lang w:val="en-GB"/>
        </w:rPr>
        <w:t xml:space="preserve">General </w:t>
      </w:r>
      <w:r w:rsidR="00C943FE">
        <w:rPr>
          <w:lang w:val="en-GB"/>
        </w:rPr>
        <w:t xml:space="preserve">safety </w:t>
      </w:r>
      <w:r>
        <w:rPr>
          <w:lang w:val="en-GB"/>
        </w:rPr>
        <w:t>considerations</w:t>
      </w:r>
    </w:p>
    <w:p w14:paraId="6A09DFC0" w14:textId="76868F6C" w:rsidR="00CD0956" w:rsidRDefault="005A07D9" w:rsidP="00CD0956">
      <w:r w:rsidRPr="001906D2">
        <w:t>A</w:t>
      </w:r>
      <w:r>
        <w:t xml:space="preserve">n important barrier to initiating any immunosuppressive therapy is the concern of adverse events from patients and clinicians. </w:t>
      </w:r>
      <w:r w:rsidR="001B0DD7">
        <w:t xml:space="preserve">Most adverse events related to JAKI are mild to </w:t>
      </w:r>
      <w:r w:rsidR="001B0DD7" w:rsidRPr="003A5EDA">
        <w:t>moderate, predictable, and easy to manage.</w:t>
      </w:r>
      <w:r w:rsidR="006063A4" w:rsidRPr="003A5EDA">
        <w:t xml:space="preserve"> </w:t>
      </w:r>
      <w:r w:rsidR="006312BB" w:rsidRPr="003A5EDA">
        <w:t>However, JAKI are also associated with more serious side effect</w:t>
      </w:r>
      <w:r w:rsidR="00650EB8" w:rsidRPr="003A5EDA">
        <w:t>s</w:t>
      </w:r>
      <w:r w:rsidR="006312BB" w:rsidRPr="003A5EDA">
        <w:t xml:space="preserve">. </w:t>
      </w:r>
      <w:r w:rsidR="00163AA4" w:rsidRPr="003A5EDA">
        <w:t>The</w:t>
      </w:r>
      <w:r w:rsidR="006312BB" w:rsidRPr="003A5EDA">
        <w:t xml:space="preserve"> </w:t>
      </w:r>
      <w:r w:rsidR="003A5EDA" w:rsidRPr="003A5EDA">
        <w:t>randomi</w:t>
      </w:r>
      <w:r w:rsidR="003A5EDA">
        <w:t>s</w:t>
      </w:r>
      <w:r w:rsidR="003A5EDA" w:rsidRPr="003A5EDA">
        <w:t xml:space="preserve">ed, open-label, noninferiority, safety </w:t>
      </w:r>
      <w:r w:rsidR="006312BB" w:rsidRPr="003A5EDA">
        <w:t>study of tofacitinib (ORAL SURVEILLANCE) in a cardiovascular risk-enriched population</w:t>
      </w:r>
      <w:r w:rsidR="006312BB">
        <w:t xml:space="preserve"> showed increased incident rates </w:t>
      </w:r>
      <w:r w:rsidR="00056252">
        <w:t xml:space="preserve">(IR) </w:t>
      </w:r>
      <w:r w:rsidR="006312BB">
        <w:t>of cancer and MACE</w:t>
      </w:r>
      <w:r w:rsidR="00A11A60">
        <w:t xml:space="preserve"> when compared to anti-</w:t>
      </w:r>
      <w:r w:rsidR="00A11A60" w:rsidRPr="00CD7898">
        <w:t>TNF</w:t>
      </w:r>
      <w:r w:rsidR="00A11A60">
        <w:t>-</w:t>
      </w:r>
      <w:r w:rsidR="00A11A60">
        <w:sym w:font="Symbol" w:char="F061"/>
      </w:r>
      <w:r w:rsidR="00A11A60">
        <w:t xml:space="preserve"> therap</w:t>
      </w:r>
      <w:r w:rsidR="00E36930">
        <w:t>y</w:t>
      </w:r>
      <w:r w:rsidR="006312BB">
        <w:t>; similar FDA-mandated studies of baricitinib in RA are ongoing and are estimated to complete enrolment by 2025.</w:t>
      </w:r>
      <w:r w:rsidR="006312BB">
        <w:fldChar w:fldCharType="begin"/>
      </w:r>
      <w:r w:rsidR="00403235">
        <w:instrText xml:space="preserve"> ADDIN ZOTERO_ITEM CSL_CITATION {"citationID":"pkO7hN6g","properties":{"formattedCitation":"\\super 38\\uc0\\u8211{}40\\nosupersub{}","plainCitation":"38–40","noteIndex":0},"citationItems":[{"id":5018,"uris":["http://zotero.org/users/5409423/items/KAWL3CIK"],"itemData":{"id":5018,"type":"article-journal","abstract":"BACKGROUND: Increases in lipid levels and cancers with tofacitinib prompted a trial of major adverse cardiovascular events (MACE) and cancers in patients with rheumatoid arthritis receiving tofacitinib as compared with a tumor necrosis factor (TNF) inhibitor.\nMETHODS: We conducted a randomized, open-label, noninferiority, postauthorization, safety end-point trial involving patients with active rheumatoid arthritis despite methotrexate treatment who were 50 years of age or older and had at least one additional cardiovascular risk factor. Patients were randomly assigned in a 1:1:1 ratio to receive tofacitinib at a dose of 5 mg or 10 mg twice daily or a TNF inhibitor. The coprimary end points were adjudicated MACE and cancers, excluding nonmelanoma skin cancer. The noninferiority of tofacitinib would be shown if the upper boundary of the two-sided 95% confidence interval for the hazard ratio was less than 1.8 for the combined tofacitinib doses as compared with a TNF inhibitor.\nRESULTS: A total of 1455 patients received tofacitinib at a dose of 5 mg twice daily, 1456 received tofacitinib at a dose of 10 mg twice daily, and 1451 received a TNF inhibitor. During a median follow-up of 4.0 years, the incidences of MACE and cancer were higher with the combined tofacitinib doses (3.4% [98 patients] and 4.2% [122 patients], respectively) than with a TNF inhibitor (2.5% [37 patients] and 2.9% [42 patients]). The hazard ratios were 1.33 (95% confidence interval [CI], 0.91 to 1.94) for MACE and 1.48 (95% CI, 1.04 to 2.09) for cancers; the noninferiority of tofacitinib was not shown. The incidences of adjudicated opportunistic infections (including herpes zoster and tuberculosis), all herpes zoster (nonserious and serious), and adjudicated nonmelanoma skin cancer were higher with tofacitinib than with a TNF inhibitor. Efficacy was similar in all three groups, with improvements from month 2 that were sustained through trial completion.\nCONCLUSIONS: In this trial comparing the combined tofacitinib doses with a TNF inhibitor in a cardiovascular risk-enriched population, risks of MACE and cancers were higher with tofacitinib and did not meet noninferiority criteria. Several adverse events were more common with tofacitinib. (Funded by Pfizer; ORAL Surveillance ClinicalTrials.gov number, NCT02092467.).","container-title":"The New England Journal of Medicine","DOI":"10.1056/NEJMoa2109927","ISSN":"1533-4406","issue":"4","journalAbbreviation":"N Engl J Med","language":"eng","note":"PMID: 35081280","page":"316-326","source":"PubMed","title":"Cardiovascular and Cancer Risk with Tofacitinib in Rheumatoid Arthritis","volume":"386","author":[{"family":"Ytterberg","given":"Steven R."},{"family":"Bhatt","given":"Deepak L."},{"family":"Mikuls","given":"Ted R."},{"family":"Koch","given":"Gary G."},{"family":"Fleischmann","given":"Roy"},{"family":"Rivas","given":"Jose L."},{"family":"Germino","given":"Rebecca"},{"family":"Menon","given":"Sujatha"},{"family":"Sun","given":"Yanhui"},{"family":"Wang","given":"Cunshan"},{"family":"Shapiro","given":"Andrea B."},{"family":"Kanik","given":"Keith S."},{"family":"Connell","given":"Carol A."},{"literal":"ORAL Surveillance Investigators"}],"issued":{"date-parts":[["2022",1,27]]}},"label":"page"},{"id":5016,"uris":["http://zotero.org/users/5409423/items/V966ZCZ5"],"itemData":{"id":5016,"type":"report","abstract":"This post-marketing study is designed to compare the safety of baricitinib versus tumor necrosis factor (TNF) inhibitors with respect to venous thromboembolic events (VTEs) when given to participants with rheumatoid arthritis.","genre":"Clinical trial registration","note":"submitted: April 12, 2019","number":"NCT03915964","publisher":"clinicaltrials.gov","source":"clinicaltrials.gov","title":"A Randomized, Active-Controlled, Parallel-Group, Phase 3b/4 Study of Baricitinib in Patients With Rheumatoid Arthritis","title-short":"A Study of Baricitinib (LY3009104) in Participants With Rheumatoid Arthritis","URL":"https://clinicaltrials.gov/study/NCT03915964","author":[{"literal":"Eli Lilly and Company"}],"contributor":[{"literal":"Incyte Corporation"}],"accessed":{"date-parts":[["2023",7,17]]},"issued":{"date-parts":[["2023",4,12]]}}},{"id":5017,"uris":["http://zotero.org/users/5409423/items/9B2KCVVX"],"itemData":{"id":5017,"type":"report","abstract":"This post-marketing study is designed to compare the safety of baricitinib versus tumor necrosis factor (TNF) inhibitors with respect to venous thromboembolic events (VTEs) when given to participants with rheumatoid arthritis (RA).","genre":"Clinical trial registration","note":"submitted: September 10, 2019","number":"NCT04086745","publisher":"clinicaltrials.gov","source":"clinicaltrials.gov","title":"A Randomized, Controlled Pragmatic Phase 3b/4 Study of Baricitinib in Patients With Rheumatoid Arthritis","title-short":"A Study of Baricitinib in Participants With Rheumatoid Arthritis","URL":"https://clinicaltrials.gov/study/NCT04086745","author":[{"literal":"Eli Lilly and Company"}],"contributor":[{"literal":"Incyte Corporation"}],"accessed":{"date-parts":[["2023",7,17]]},"issued":{"date-parts":[["2023",7,11]]}},"label":"page"}],"schema":"https://github.com/citation-style-language/schema/raw/master/csl-citation.json"} </w:instrText>
      </w:r>
      <w:r w:rsidR="006312BB">
        <w:fldChar w:fldCharType="separate"/>
      </w:r>
      <w:r w:rsidR="00403235" w:rsidRPr="00403235">
        <w:rPr>
          <w:rFonts w:ascii="Calibri Light" w:cs="Calibri Light"/>
          <w:vertAlign w:val="superscript"/>
        </w:rPr>
        <w:t>38–40</w:t>
      </w:r>
      <w:r w:rsidR="006312BB">
        <w:fldChar w:fldCharType="end"/>
      </w:r>
      <w:r w:rsidR="00CD0956">
        <w:t xml:space="preserve"> It is difficult to ascertain with </w:t>
      </w:r>
      <w:r w:rsidR="00711C37">
        <w:t>any</w:t>
      </w:r>
      <w:r w:rsidR="00CD0956">
        <w:t xml:space="preserve"> certitude whether certain adverse events are class-specific, drug-specific, or patient/population-specific. Figure 2 outlines how to mitigate and manage some of the potential adverse events from JAKI and figure 3 highlights important pre- and post-initiation considerations of JAKI treatment and describes situations where JAKI are best avoided.</w:t>
      </w:r>
      <w:r w:rsidR="00BE006C">
        <w:fldChar w:fldCharType="begin"/>
      </w:r>
      <w:r w:rsidR="00403235">
        <w:instrText xml:space="preserve"> ADDIN ZOTERO_ITEM CSL_CITATION {"citationID":"jXYLnqWR","properties":{"formattedCitation":"\\super 41\\nosupersub{}","plainCitation":"41","noteIndex":0},"citationItems":[{"id":5030,"uris":["http://zotero.org/users/5409423/items/BHJ6WFWS"],"itemData":{"id":5030,"type":"article-journal","abstract":"Filgotinib (GS-6034, formerly GLPG0634; Jyseleca®) is an oral, preferential Janus kinase (JAK)-1 inhibitor. Preferential inhibition of JAK1 modulates a subset of proinflammatory cytokines within the JAK-signal transducer and activator of transcription pathway, which differ from those inhibited by JAK2 or JAK3. Filgotinib is absorbed extensively and rapidly after oral dosing and is metabolized by carboxylesterase isoform 2 to form its primary active metabolite, GS-829845. The primary metabolite has a similar JAK1 selectivity profile but reduced activity (by 10-fold) and increased systemic exposure (approximately 16- to 20-fold) compared with the parent compound. Both the parent and the metabolite demonstrate low binding to plasma proteins in humans (&lt; 60%). Systemic exposures of filgotinib and its primary metabolite increase dose proportionally over a 50- to 200-mg once-daily dose range. Food does not affect the pharmacokinetics of filgotinib. Consistent with their terminal elimination half-lives (4.9-10.7 h for filgotinib and 19.6-27.3 h for the primary metabolite), steady state in plasma is reached by day 2 for filgotinib and day 4 for its metabolite. Filgotinib is mainly eliminated in the urine as the metabolite (&gt; 80%). Intrinsic factors such as age, sex, race, mild renal impairment, and mild-to-moderate hepatic impairment have either no or minimal impact on the pharmacokinetics of filgotinib and its primary metabolite. Filgotinib has a low drug-drug interaction potential, without clinically significant interactions with commonly coadministered medications in patients with inflammatory diseases. Both filgotinib and its primary metabolite are substrates of P-glycoprotein (P-gp); however, coadministration with P-gp inhibitors and inducers does not affect filgotinib pharmacokinetics sufficiently to warrant dose adjustment. Neither filgotinib nor its primary metabolite affect the corrected QT interval (calculated using Fridericia's correction formula). Filgotinib is approved for the treatment of rheumatoid arthritis and ulcerative colitis in Europe, the UK, and Japan.","container-title":"Clinical Pharmacokinetics","DOI":"10.1007/s40262-022-01129-y","ISSN":"1179-1926","issue":"6","journalAbbreviation":"Clin Pharmacokinet","language":"eng","note":"PMID: 35637376\nPMCID: PMC9249714","page":"819-832","source":"PubMed","title":"Filgotinib: A Clinical Pharmacology Review","title-short":"Filgotinib","volume":"61","author":[{"family":"Namour","given":"Florence"},{"family":"Anderson","given":"Kacey"},{"family":"Nelson","given":"Cara"},{"family":"Tasset","given":"Chantal"}],"issued":{"date-parts":[["2022",6]]}}}],"schema":"https://github.com/citation-style-language/schema/raw/master/csl-citation.json"} </w:instrText>
      </w:r>
      <w:r w:rsidR="00BE006C">
        <w:fldChar w:fldCharType="separate"/>
      </w:r>
      <w:r w:rsidR="00403235" w:rsidRPr="00403235">
        <w:rPr>
          <w:rFonts w:ascii="Calibri Light" w:cs="Calibri Light"/>
          <w:vertAlign w:val="superscript"/>
        </w:rPr>
        <w:t>41</w:t>
      </w:r>
      <w:r w:rsidR="00BE006C">
        <w:fldChar w:fldCharType="end"/>
      </w:r>
    </w:p>
    <w:p w14:paraId="0AD0284F" w14:textId="77777777" w:rsidR="0059493E" w:rsidRDefault="0059493E" w:rsidP="004E3204"/>
    <w:p w14:paraId="17063CB5" w14:textId="612EFA50" w:rsidR="00F24685" w:rsidRDefault="00167359" w:rsidP="00B711C0">
      <w:r>
        <w:t>At baseline, a</w:t>
      </w:r>
      <w:r w:rsidR="00894664">
        <w:t>ll patients should have</w:t>
      </w:r>
      <w:r w:rsidR="00040E49">
        <w:t xml:space="preserve"> </w:t>
      </w:r>
      <w:r w:rsidR="00AF0517">
        <w:t xml:space="preserve">a pre-immunosuppression screen </w:t>
      </w:r>
      <w:r w:rsidR="00561D16">
        <w:t xml:space="preserve">for infection </w:t>
      </w:r>
      <w:r w:rsidR="00096FD4">
        <w:t xml:space="preserve">and be </w:t>
      </w:r>
      <w:r w:rsidR="00CF4D24">
        <w:t>up to date with recommended vaccination</w:t>
      </w:r>
      <w:r w:rsidR="00232157">
        <w:t>s</w:t>
      </w:r>
      <w:r w:rsidR="00CF4D24">
        <w:t xml:space="preserve"> in accordance with BSG and ECCO guidelines.</w:t>
      </w:r>
      <w:r w:rsidR="001F7307">
        <w:fldChar w:fldCharType="begin"/>
      </w:r>
      <w:r w:rsidR="00403235">
        <w:instrText xml:space="preserve"> ADDIN ZOTERO_ITEM CSL_CITATION {"citationID":"K3u96C0r","properties":{"formattedCitation":"\\super 42,43\\nosupersub{}","plainCitation":"42,43","noteIndex":0},"citationItems":[{"id":5024,"uris":["http://zotero.org/users/5409423/items/WW2N32EB"],"itemData":{"id":5024,"type":"article-journal","abstract":"Ulcerative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friends.","container-title":"Gut","DOI":"10.1136/gutjnl-2019-318484","ISSN":"0017-5749, 1468-3288","issue":"Suppl 3","language":"en","license":"© Author(s) (or their employer(s)) 2019. Re-use permitted under CC BY-NC. No commercial re-use. See rights and permissions. Published by BMJ.. 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BMJ Publishing Group\nsection: Guidelines\nPMID: 31562236","page":"s1-s106","source":"gut.bmj.com","title":"British Society of Gastroenterology consensus guidelines on the management of inflammatory bowel disease in adults","volume":"68","author":[{"family":"Lamb","given":"Christopher Andrew"},{"family":"Kennedy","given":"Nicholas A."},{"family":"Raine","given":"Tim"},{"family":"Hendy","given":"Philip Anthony"},{"family":"Smith","given":"Philip J."},{"family":"Limdi","given":"Jimmy K."},{"family":"Hayee","given":"Bu’Hussain"},{"family":"Lomer","given":"Miranda C. E."},{"family":"Parkes","given":"Gareth C."},{"family":"Selinger","given":"Christian"},{"family":"Barrett","given":"Kevin J."},{"family":"Davies","given":"R. Justin"},{"family":"Bennett","given":"Cathy"},{"family":"Gittens","given":"Stuart"},{"family":"Dunlop","given":"Malcolm G."},{"family":"Faiz","given":"Omar"},{"family":"Fraser","given":"Aileen"},{"family":"Garrick","given":"Vikki"},{"family":"Johnston","given":"Paul D."},{"family":"Parkes","given":"Miles"},{"family":"Sanderson","given":"Jeremy"},{"family":"Terry","given":"Helen"},{"family":"Group","given":"IBD","dropping-particle":"guidelines eDelphi consensus"},{"family":"Gaya","given":"Daniel R."},{"family":"Iqbal","given":"Tariq H."},{"family":"Taylor","given":"Stuart A."},{"family":"Smith","given":"Melissa"},{"family":"Brookes","given":"Matthew"},{"family":"Hansen","given":"Richard"},{"family":"Hawthorne","given":"A. Barney"}],"issued":{"date-parts":[["2019",12,1]]}},"label":"page"},{"id":5027,"uris":["http://zotero.org/users/5409423/items/47CDG4TE"],"itemData":{"id":5027,"type":"article-journal","container-title":"Journal of Crohn's and Colitis","DOI":"10.1093/ecco-jcc/jjab052","ISSN":"1873-9946","issue":"6","journalAbbreviation":"Journal of Crohn's and Colitis","page":"879-913","source":"Silverchair","title":"ECCO Guidelines on the Prevention, Diagnosis, and Management of Infections in Inflammatory Bowel Disease","volume":"15","author":[{"family":"Kucharzik","given":"T"},{"family":"Ellul","given":"P"},{"family":"Greuter","given":"T"},{"family":"Rahier","given":"J F"},{"family":"Verstockt","given":"B"},{"family":"Abreu","given":"C"},{"family":"Albuquerque","given":"A"},{"family":"Allocca","given":"M"},{"family":"Esteve","given":"M"},{"family":"Farraye","given":"F A"},{"family":"Gordon","given":"H"},{"family":"Karmiris","given":"K"},{"family":"Kopylov","given":"U"},{"family":"Kirchgesner","given":"J"},{"family":"MacMahon","given":"E"},{"family":"Magro","given":"F"},{"family":"Maaser","given":"C"},{"family":"Ridder","given":"L","non-dropping-particle":"de"},{"family":"Taxonera","given":"C"},{"family":"Toruner","given":"M"},{"family":"Tremblay","given":"L"},{"family":"Scharl","given":"M"},{"family":"Viget","given":"N"},{"family":"Zabana","given":"Y"},{"family":"Vavricka","given":"S"},{"literal":"on behalf of the European Crohn’s and Colitis Organisation [ECCO]"}],"issued":{"date-parts":[["2021",6,1]]}},"label":"page"}],"schema":"https://github.com/citation-style-language/schema/raw/master/csl-citation.json"} </w:instrText>
      </w:r>
      <w:r w:rsidR="001F7307">
        <w:fldChar w:fldCharType="separate"/>
      </w:r>
      <w:r w:rsidR="00403235" w:rsidRPr="00403235">
        <w:rPr>
          <w:rFonts w:ascii="Calibri Light" w:cs="Calibri Light"/>
          <w:vertAlign w:val="superscript"/>
        </w:rPr>
        <w:t>42,43</w:t>
      </w:r>
      <w:r w:rsidR="001F7307">
        <w:fldChar w:fldCharType="end"/>
      </w:r>
      <w:r w:rsidR="001B3A56">
        <w:t xml:space="preserve"> </w:t>
      </w:r>
      <w:r w:rsidR="005D01D7">
        <w:t>JAK</w:t>
      </w:r>
      <w:r w:rsidR="000350D4">
        <w:t>I</w:t>
      </w:r>
      <w:r w:rsidR="005D01D7">
        <w:t xml:space="preserve"> </w:t>
      </w:r>
      <w:r w:rsidR="008A59F0">
        <w:t>approved for</w:t>
      </w:r>
      <w:r w:rsidR="00803260">
        <w:t xml:space="preserve"> IBD </w:t>
      </w:r>
      <w:r w:rsidR="005D01D7">
        <w:t>should be avoided in patients with advanced liver disease (Child-Pugh C)</w:t>
      </w:r>
      <w:r w:rsidR="00CD2129">
        <w:t xml:space="preserve">, particularly </w:t>
      </w:r>
      <w:r w:rsidR="00C0524E">
        <w:t>tofacitinib and upadacitinib</w:t>
      </w:r>
      <w:r w:rsidR="0059493E">
        <w:t xml:space="preserve"> that are predominantly meta</w:t>
      </w:r>
      <w:r w:rsidR="007F2BB1">
        <w:t>bolised by hepatic CYP3A4. Filgotinib</w:t>
      </w:r>
      <w:r w:rsidR="00462263">
        <w:t xml:space="preserve"> </w:t>
      </w:r>
      <w:r w:rsidR="000A7B82">
        <w:t>is</w:t>
      </w:r>
      <w:r w:rsidR="00016C55">
        <w:t xml:space="preserve"> metabolised by </w:t>
      </w:r>
      <w:r w:rsidR="001F3291">
        <w:t>c</w:t>
      </w:r>
      <w:r w:rsidR="005405ED">
        <w:t>arboxylsterase-2</w:t>
      </w:r>
      <w:r w:rsidR="005B7E02">
        <w:t xml:space="preserve"> (CES2)</w:t>
      </w:r>
      <w:r w:rsidR="00866062">
        <w:t>,</w:t>
      </w:r>
      <w:r w:rsidR="000E7AC5">
        <w:t xml:space="preserve"> is renally excreted</w:t>
      </w:r>
      <w:r w:rsidR="00045CA3">
        <w:t>,</w:t>
      </w:r>
      <w:r w:rsidR="002851FC">
        <w:t xml:space="preserve"> and the creatinine clearance threshold for dose reduction is lower</w:t>
      </w:r>
      <w:r w:rsidR="00BE006C">
        <w:t xml:space="preserve"> </w:t>
      </w:r>
      <w:r w:rsidR="00094B91">
        <w:t xml:space="preserve">than other JAKI </w:t>
      </w:r>
      <w:r w:rsidR="00BE006C">
        <w:t>(table 1)</w:t>
      </w:r>
      <w:r w:rsidR="002851FC">
        <w:t>.</w:t>
      </w:r>
      <w:r w:rsidR="00E3346F">
        <w:t xml:space="preserve"> </w:t>
      </w:r>
      <w:r w:rsidR="00150F5C">
        <w:t xml:space="preserve">Laboratory parameters should be monitored </w:t>
      </w:r>
      <w:r w:rsidR="00F711DF">
        <w:t xml:space="preserve">after induction and </w:t>
      </w:r>
      <w:r w:rsidR="00150F5C">
        <w:t xml:space="preserve">throughout </w:t>
      </w:r>
      <w:r w:rsidR="00F711DF">
        <w:t xml:space="preserve">maintenance </w:t>
      </w:r>
      <w:r w:rsidR="00150F5C">
        <w:t>therapy</w:t>
      </w:r>
      <w:r w:rsidR="000E7A84">
        <w:t xml:space="preserve"> as these have been shown to be affected by JAKI</w:t>
      </w:r>
      <w:r w:rsidR="00F711DF">
        <w:t xml:space="preserve">. </w:t>
      </w:r>
      <w:r w:rsidR="009D6CB8">
        <w:t>Abnormalities in blood counts</w:t>
      </w:r>
      <w:r w:rsidR="003E187D">
        <w:t xml:space="preserve"> and</w:t>
      </w:r>
      <w:r w:rsidR="009D6CB8">
        <w:t xml:space="preserve"> </w:t>
      </w:r>
      <w:r w:rsidR="001B3075">
        <w:lastRenderedPageBreak/>
        <w:t>liver transaminases</w:t>
      </w:r>
      <w:r w:rsidR="00944463">
        <w:t xml:space="preserve"> in the short and long-term </w:t>
      </w:r>
      <w:r w:rsidR="003E187D">
        <w:t>were mild to moderate</w:t>
      </w:r>
      <w:r w:rsidR="0072600E">
        <w:t xml:space="preserve"> and included anaemia, </w:t>
      </w:r>
      <w:r w:rsidR="00D260FF">
        <w:t>leukopenia</w:t>
      </w:r>
      <w:r w:rsidR="00B75CCC">
        <w:t>,</w:t>
      </w:r>
      <w:r w:rsidR="00D260FF">
        <w:t xml:space="preserve"> and</w:t>
      </w:r>
      <w:r w:rsidR="0072600E">
        <w:t xml:space="preserve"> elevations in aminotransferases. M</w:t>
      </w:r>
      <w:r w:rsidR="00B75CCC">
        <w:t xml:space="preserve">ost patients experiencing </w:t>
      </w:r>
      <w:r w:rsidR="004573C8">
        <w:t>these</w:t>
      </w:r>
      <w:r w:rsidR="00B75CCC">
        <w:t xml:space="preserve"> </w:t>
      </w:r>
      <w:r w:rsidR="002E4E4F">
        <w:t>abnormalities</w:t>
      </w:r>
      <w:r w:rsidR="00246F2B">
        <w:t xml:space="preserve"> </w:t>
      </w:r>
      <w:r w:rsidR="00375A78">
        <w:t xml:space="preserve">were </w:t>
      </w:r>
      <w:r w:rsidR="00B75CCC">
        <w:t>able to remain on the study drug</w:t>
      </w:r>
      <w:r w:rsidR="00E06E71">
        <w:t xml:space="preserve"> and</w:t>
      </w:r>
      <w:r w:rsidR="00B75CCC">
        <w:t xml:space="preserve"> </w:t>
      </w:r>
      <w:r w:rsidR="00894823">
        <w:t>for</w:t>
      </w:r>
      <w:r w:rsidR="00B75CCC">
        <w:t xml:space="preserve"> </w:t>
      </w:r>
      <w:r w:rsidR="00894823">
        <w:t xml:space="preserve">patients where </w:t>
      </w:r>
      <w:r w:rsidR="00B75CCC">
        <w:t xml:space="preserve">JAKI </w:t>
      </w:r>
      <w:r w:rsidR="008C6491">
        <w:t>discontinuation was necessary</w:t>
      </w:r>
      <w:r w:rsidR="00B75CCC">
        <w:t>, these changes resolved.</w:t>
      </w:r>
      <w:r w:rsidR="00C943FE">
        <w:fldChar w:fldCharType="begin"/>
      </w:r>
      <w:r w:rsidR="00403235">
        <w:instrText xml:space="preserve"> ADDIN ZOTERO_ITEM CSL_CITATION {"citationID":"WPNryYk0","properties":{"formattedCitation":"\\super 12,44,45\\nosupersub{}","plainCitation":"12,44,45","noteIndex":0},"citationItems":[{"id":4946,"uris":["http://zotero.org/users/5409423/items/Y9LEABDZ"],"itemData":{"id":4946,"type":"article-journal","abstract":"BACKGROUND: Tofacitinib is an oral, small molecule Janus kinase inhibitor for the treatment of ulcerative colitis. We present final data from OCTAVE Open, an open-label, long-term extension study.\nAIMS: The primary objective of OCTAVE Open was to assess the safety and tolerability of long-term tofacitinib in patients with ulcerative colitis; evaluating efficacy was a secondary objective.\nMETHODS: Eligible patients included OCTAVE Induction 1&amp;2 non-responders and OCTAVE Sustain completers/treatment failures. Patients in remission at OCTAVE Open baseline received tofacitinib 5 mg b.d.; all others received 10 mg b.d. Incidence rates (unique patients with events/100 patient-years) for adverse events of special interest were calculated; ≤7.0 years of observation. Efficacy endpoints derived from Mayo score were reported ≤36 months (last scheduled endoscopy visit).\nRESULTS: In OCTAVE Open, 769 of 944 patients (81.5%) initially received tofacitinib 10 mg b.d. Among all patients (2440.8 patient-years of exposure), incidence rates (IRs; 95% confidence intervals) for deaths and adverse events of special interest were: deaths, 0.25 (0.09-0.54); serious infections, 1.61 (1.14-2.20); herpes zoster (non-serious and serious), 3.16 (2.47-3.97); opportunistic infections, 0.87 (0.54-1.33); major adverse cardiovascular events, 0.16 (0.04-0.42); malignancies (excluding non-melanoma skin cancer), 1.03 (0.67-1.52); non-melanoma skin cancer, 0.75 (0.45-1.19); deep vein thrombosis, 0.04 (0.00-0.23); pulmonary embolism, 0.21 (0.07-0.48). At Month 36, 66.9% and 40.3% showed clinical response, 64.6% and 37.1% had endoscopic improvement, and 58.9% and 33.7% maintained or achieved remission, with tofacitinib 5 and 10 mg b.d. respectively.\nCONCLUSION: Tofacitinib demonstrated consistent safety up to 7.0  years. Data collected up to Month 36 support long-term efficacy beyond the 52-week maintenance study.","container-title":"Alimentary Pharmacology &amp; Therapeutics","DOI":"10.1111/apt.16712","ISSN":"1365-2036","issue":"4","journalAbbreviation":"Aliment Pharmacol Ther","language":"eng","note":"PMID: 34854095\nPMCID: PMC9300081","page":"464-478","source":"PubMed","title":"Safety and efficacy of tofacitinib for treatment of ulcerative colitis: final analysis of OCTAVE Open, an open-label, long-term extension study with up to 7.0 years of treatment","title-short":"Safety and efficacy of tofacitinib for treatment of ulcerative colitis","volume":"55","author":[{"family":"Sandborn","given":"William J."},{"family":"Lawendy","given":"Nervin"},{"family":"Danese","given":"Silvio"},{"family":"Su","given":"Chinyu"},{"family":"Loftus","given":"Edward V."},{"family":"Hart","given":"Ailsa"},{"family":"Dotan","given":"Iris"},{"family":"Damião","given":"Adérson O. M. C."},{"family":"Judd","given":"Donna T."},{"family":"Guo","given":"Xiang"},{"family":"Modesto","given":"Irene"},{"family":"Wang","given":"Wenjin"},{"family":"Panés","given":"Julian"}],"issued":{"date-parts":[["2022",2]]}},"label":"page"},{"id":5033,"uris":["http://zotero.org/users/5409423/items/DC883D27"],"itemData":{"id":5033,"type":"article-journal","abstract":"Objective The long-term safety and efficacy of filgotinib (from phase II studies), with or without methotrexate (MTX), for the treatment of patients with rheumatoid arthritis was assessed in DARWIN 3, a long-term, open-label extension study (ClinicalTrials.gov: NCT02065700).\nMethods Eligible patients completing the 24-week DARWIN 1 (filgotinib + MTX) and DARWIN 2 (filgotinib monotherapy) studies entered DARWIN 3, where they received filgotinib 200 mg/day, except for 15 men who received filgotinib 100 mg/day. Safety analyses were performed using the safety analysis set and the exposure-adjusted incidence rate (EAIR) of treatment-emergent adverse events (TEAEs) was calculated. Efficacy was assessed from baseline in the parent studies.\nResults Of 790 patients completing the phase II parent studies, 739 enrolled in the study. Through April 2019, 59.5% of patients had received ≥ 4 years of the study drug. Mean (SD) exposure to filgotinib was 3.55 (1.57) years in the filgotinib + MTX group and 3.38 (1.59) years in the filgotinib monotherapy group. EAIR per 100 patient-years of exposure for TEAEs was 24.6 in the filgotinib + MTX group and 25.8 in the filgotinib monotherapy group, and for serious TEAEs, the EAIR was 3.1 and 4.3, respectively. American College of Rheumatology 20/50/70 responses among patients remaining in the study could be maintained through 4 years, with 89.3%/69.6%/49.1% of the filgotinib + MTX group and 91.8%/69.4%/44.4% of the monotherapy group maintaining ACR20/50/70 responses, respectively, based on observed data.\nConclusion Filgotinib was well tolerated with a 4-year safety profile comparable to that of the parent trials, both in patients receiving combination therapy with MTX or as monotherapy.","container-title":"The Journal of Rheumatology","DOI":"10.3899/jrheum.201183","ISSN":"0315-162X, 1499-2752","issue":"8","language":"en","license":"© 2021 The Journal of Rheumatology. This is an Open Access article, which permits use, distribution, and reproduction, without modification, provided the original article is correctly cited and is not used for commercial purposes.","note":"publisher: The Journal of Rheumatology\nsection: Rheumatoid Arthritis\nPMID: 33526618","page":"1230-1238","source":"www.jrheum.org","title":"Safety and Efficacy of Filgotinib: Up to 4-year Results From an Open-label Extension Study of Phase II Rheumatoid Arthritis Programs","title-short":"Safety and Efficacy of Filgotinib","volume":"48","author":[{"family":"Kavanaugh","given":"Arthur"},{"family":"Westhovens","given":"Rene R."},{"family":"Winthrop","given":"Kevin L."},{"family":"Lee","given":"Susan J."},{"family":"Tan","given":"YingMeei"},{"family":"An","given":"Di"},{"family":"Ye","given":"Lei"},{"family":"Sundy","given":"John S."},{"family":"Besuyen","given":"Robin"},{"family":"Meuleners","given":"Luc"},{"family":"Stanislavchuk","given":"Mykola"},{"family":"Spindler","given":"Alberto J."},{"family":"Greenwald","given":"Maria"},{"family":"Alten","given":"Rieke"},{"family":"Genovese","given":"Mark C."}],"issued":{"date-parts":[["2021",8,1]]}},"label":"page"},{"id":5039,"uris":["http://zotero.org/users/5409423/items/TDJPUSAT"],"itemData":{"id":5039,"type":"article-journal","abstract":"Objective\nTo evaluate the long-term safety profile for upadacitinib across rheumatoid arthritis (RA), psoriatic arthritis (PsA), ankylosing spondylitis (AS) and atopic dermatitis (AD).\n\nMethods\nSafety data from clinical trials of upadacitinib 15 mg and upadacitinib 30 mg (AD only) for treating RA, PsA, AS and AD as of 30 June 2021 were analysed; some RA and PsA studies included adalimumab and methotrexate as active comparators. Treatment-emergent adverse events (TEAEs) were presented by disease as exposure-adjusted event rates per 100 patient years (E/100 PY).\n\nResults\nThe analysis included 6991 patients (RA, n=3209; PsA, n=907; AS, n=182; AD, n=2693) who received at least one dose of upadacitinib, representing 15 425 PY of exposure (maximum duration 2.75–5.45 years) across diseases. Rates (E/100 PY) of any TEAE (205.5–278.1) and TEAE leading to discontinuation (4.5–5.4) were similar across diseases; serious TEAEs were numerically higher in patients with RA and PsA. Rates of herpes zoster (1.6–3.6), non-melanoma skin cancer (0–0.8) and elevations in creatine phosphokinase levels (4.4–7.9) were higher with upadacitinib than with active comparators in the RA and PsA populations. Deaths (0–0.8), serious infections (0–3.9), major adverse cardiovascular events (0–0.4), venous thromboembolism (&lt;0.1–0.4) and malignancies (0.3–1.4) were observed, with rates generally lowest in AS and AD. Increased rates of acne were observed in patients with AD only.\n\nConclusions\nFindings from this analysis demonstrate that upadacitinib is generally well tolerated with observed differences in safety profiles likely reflective of varying patient characteristics across RA, PsA, AS and AD populations.\n\nTrial registration numbers\nNCT02675426, NCT02706951, NCT02706847, NCT02629159, NCT02706873, NCT03086343, NCT03104374, NCT03104400, NCT03178487, NCT03569293, NCT03568318 and NCT03607422.","container-title":"RMD Open","DOI":"10.1136/rmdopen-2022-002735","ISSN":"2056-5933","issue":"1","journalAbbreviation":"RMD Open","note":"PMID: 36754548\nPMCID: PMC9923346","page":"e002735","source":"PubMed Central","title":"Safety profile of upadacitinib over 15 000 patient-years across rheumatoid arthritis, psoriatic arthritis, ankylosing spondylitis and atopic dermatitis","volume":"9","author":[{"family":"Burmester","given":"Gerd R"},{"family":"Cohen","given":"Stanley B"},{"family":"Winthrop","given":"Kevin L"},{"family":"Nash","given":"Peter"},{"family":"Irvine","given":"Alan D"},{"family":"Deodhar","given":"Atul"},{"family":"Mysler","given":"Eduardo"},{"family":"Tanaka","given":"Yoshiya"},{"family":"Liu","given":"John"},{"family":"Lacerda","given":"Ana P"},{"family":"Palac","given":"Hannah"},{"family":"Shaw","given":"Tim"},{"family":"Mease","given":"Philip J"},{"family":"Guttman</w:instrText>
      </w:r>
      <w:r w:rsidR="00403235">
        <w:rPr>
          <w:rFonts w:ascii="Cambria Math" w:hAnsi="Cambria Math" w:cs="Cambria Math"/>
        </w:rPr>
        <w:instrText>‑</w:instrText>
      </w:r>
      <w:r w:rsidR="00403235">
        <w:instrText xml:space="preserve">Yassky","given":"Emma"}],"issued":{"date-parts":[["2023",2,8]]}},"label":"page"}],"schema":"https://github.com/citation-style-language/schema/raw/master/csl-citation.json"} </w:instrText>
      </w:r>
      <w:r w:rsidR="00C943FE">
        <w:fldChar w:fldCharType="separate"/>
      </w:r>
      <w:r w:rsidR="00403235" w:rsidRPr="00403235">
        <w:rPr>
          <w:rFonts w:ascii="Calibri Light" w:cs="Calibri Light"/>
          <w:vertAlign w:val="superscript"/>
        </w:rPr>
        <w:t>12,44,45</w:t>
      </w:r>
      <w:r w:rsidR="00C943FE">
        <w:fldChar w:fldCharType="end"/>
      </w:r>
    </w:p>
    <w:p w14:paraId="0215625B" w14:textId="77777777" w:rsidR="000444EE" w:rsidRPr="00F24685" w:rsidRDefault="000444EE" w:rsidP="00B711C0"/>
    <w:p w14:paraId="3F3EC3A1" w14:textId="118DA8B6" w:rsidR="00C83217" w:rsidRPr="00E93657" w:rsidRDefault="007D6E7C" w:rsidP="00B711C0">
      <w:pPr>
        <w:pStyle w:val="Heading2"/>
        <w:spacing w:line="480" w:lineRule="auto"/>
        <w:rPr>
          <w:lang w:val="en-GB"/>
        </w:rPr>
      </w:pPr>
      <w:r w:rsidRPr="00E93657">
        <w:rPr>
          <w:lang w:val="en-GB"/>
        </w:rPr>
        <w:t>Major adverse cardiovascular events</w:t>
      </w:r>
    </w:p>
    <w:p w14:paraId="36636B3C" w14:textId="446DA299" w:rsidR="000A3361" w:rsidRDefault="00AA1FD9" w:rsidP="00B711C0">
      <w:r>
        <w:t>Chronic systemic inflammation is known to promote a</w:t>
      </w:r>
      <w:r w:rsidR="00550E04">
        <w:t xml:space="preserve">ccelerated atherosclerosis </w:t>
      </w:r>
      <w:r w:rsidR="008D530E">
        <w:t>and</w:t>
      </w:r>
      <w:r w:rsidR="00550E04">
        <w:t xml:space="preserve"> </w:t>
      </w:r>
      <w:r w:rsidR="00834886">
        <w:t>is a risk factor for MACE,</w:t>
      </w:r>
      <w:r w:rsidR="004523DD">
        <w:t xml:space="preserve"> </w:t>
      </w:r>
      <w:r w:rsidR="00834886">
        <w:t xml:space="preserve">defined by </w:t>
      </w:r>
      <w:r w:rsidR="005F6E30">
        <w:t>a fatal or non-fatal</w:t>
      </w:r>
      <w:r w:rsidR="00D8460A">
        <w:t xml:space="preserve"> myocardial infarction</w:t>
      </w:r>
      <w:r w:rsidR="005F6E30">
        <w:t xml:space="preserve"> or</w:t>
      </w:r>
      <w:r w:rsidR="00D8460A">
        <w:t xml:space="preserve"> ischaemic stroke</w:t>
      </w:r>
      <w:r w:rsidR="000516E8">
        <w:t>.</w:t>
      </w:r>
      <w:r w:rsidR="0005656F">
        <w:t xml:space="preserve"> </w:t>
      </w:r>
      <w:r w:rsidR="0074054B">
        <w:t>In IBD patients, this risk is modestly increased</w:t>
      </w:r>
      <w:r w:rsidR="00892383">
        <w:t>, particularl</w:t>
      </w:r>
      <w:r w:rsidR="004815CD">
        <w:t xml:space="preserve">y </w:t>
      </w:r>
      <w:r w:rsidR="00D65685">
        <w:t xml:space="preserve">during </w:t>
      </w:r>
      <w:r w:rsidR="004E5879">
        <w:t>active disease</w:t>
      </w:r>
      <w:r w:rsidR="00276019">
        <w:t>.</w:t>
      </w:r>
      <w:r w:rsidR="00F34901">
        <w:fldChar w:fldCharType="begin"/>
      </w:r>
      <w:r w:rsidR="00403235">
        <w:instrText xml:space="preserve"> ADDIN ZOTERO_ITEM CSL_CITATION {"citationID":"w84s1j4t","properties":{"formattedCitation":"\\super 46\\uc0\\u8211{}48\\nosupersub{}","plainCitation":"46–48","noteIndex":0},"citationItems":[{"id":4406,"uris":["http://zotero.org/users/5409423/items/RSBWA5P7"],"itemData":{"id":4406,"type":"article-journal","abstract":"BACKGROUND &amp; AIMS: Inflammatory bowel disease (IBD) is associated with an increased risk of venous thromboembolic disease. However, it is unclear whether IBD modifies the risk of arterial thromboembolic events, including cerebrovascular accidents (CVA) and ischemic heart disease (IHD).\nMETHODS: We performed a systematic review and meta-analysis of cohort and case-control studies that reported incident cases of CVA and/or IHD in patients with IBD and a non-IBD control population (or compared with a standardized population). We calculated pooled odds ratios (ORs) with 95% confidence intervals (CIs).\nRESULTS: We analyzed data from 9 studies (2424 CVA events in 5 studies, 6478 IHD events in 6 studies). IBD was associated with a modest increase in the risk of CVA (5 studies; OR, 1.18; 95% CI, 1.09-1.27), especially among women (4 studies; OR, 1.28; 95% CI, 1.17-1.41) compared with men (OR, 1.11; 95% CI, 0.98-1.25), and in young patients (&lt;40-50 y old). The increase in risk was observed for patients with Crohn's disease and in those with ulcerative colitis. IBD also was associated with a 19% increase in the risk of IHD (6 studies; OR, 1.19; 95% CI, 1.08-1.31), both in patients with Crohn's disease and ulcerative colitis. This risk increase was seen primarily in women (4 studies; OR, 1.26; 95% CI, 1.18-1.35) compared with men (OR, 1.05; 95% CI, 0.92-1.21), in young and old patients. IBD was not associated with an increased risk of peripheral arterial thromboembolic events. Considerable heterogeneity was observed in the overall analysis.\nCONCLUSIONS: IBD is associated with a modest increase in the risk of cardiovascular morbidity (from CVA and IHD)-particularly in women. These patients should be counseled routinely on aggressive risk factor modification.","container-title":"Clinical Gastroenterology and Hepatology: The Official Clinical Practice Journal of the American Gastroenterological Association","DOI":"10.1016/j.cgh.2013.08.023","ISSN":"1542-7714","issue":"3","journalAbbreviation":"Clin Gastroenterol Hepatol","language":"eng","note":"PMID: 23978350","page":"382-393.e1: quiz e22","source":"PubMed","title":"Risk of cerebrovascular accidents and ischemic heart disease in patients with inflammatory bowel disease: a systematic review and meta-analysis","title-short":"Risk of cerebrovascular accidents and ischemic heart disease in patients with inflammatory bowel disease","volume":"12","author":[{"family":"Singh","given":"Siddharth"},{"family":"Singh","given":"Harkirat"},{"family":"Loftus","given":"Edward V."},{"family":"Pardi","given":"Darrell S."}],"issued":{"date-parts":[["2014",3]]}},"label":"page"},{"id":4408,"uris":["http://zotero.org/users/5409423/items/QJTPXFMB"],"itemData":{"id":4408,"type":"article-journal","abstract":"OBJECTIVE: Magnitude and independent drivers of the risk of acute arterial events in IBD are still unclear. We addressed this question in patients with IBD compared with the general population at a nationwide level.\nDESIGN: Using the French National Hospital Discharge Database from 2008 to 2013, all patients aged 15 years or older and diagnosed with IBD were identified and followed up until 31 December 2013. The rates of incident acute arterial events were calculated and the impact of time with active disease (period around hospitalisation for IBD flare or IBD-related surgery) on the risk was assessed by Cox regression adjusted for traditional cardiovascular risk factors.\nRESULTS: Among 210 162 individuals with IBD (Crohn's disease (CD), n=97 708; UC, n=112 454), 5554 incident acute arterial events were identified. Both patients with CD and UC had a statistically significant overall increased risk of acute arterial events (standardised incidence ratio (SIR) 1.35; 95% CI 1.30 to 1.41 and SIR 1.10; 95 CI 1.06 to 1.13, respectively). The highest risk was observed in patients under the age of 55 years, both in CD and UC. The 3-month periods before and after IBD-related hospitalisation were associated with an increased risk of acute arterial events in both CD and UC (HR 1.74; 95 CI 1.44 to 2.09 and 1.87; 95% CI 1.58 to 2.22, respectively).\nCONCLUSION: Patients with IBD are at increased risk of acute arterial events, with the highest risk in young patients. Disease activity may also have an independent impact on the risk.","container-title":"Gut","DOI":"10.1136/gutjnl-2017-314015","ISSN":"1468-3288","issue":"7","journalAbbreviation":"Gut","language":"eng","note":"PMID: 28647686","page":"1261-1268","source":"PubMed","title":"Increased risk of acute arterial events in young patients and severely active IBD: a nationwide French cohort study","title-short":"Increased risk of acute arterial events in young patients and severely active IBD","volume":"67","author":[{"family":"Kirchgesner","given":"Julien"},{"family":"Beaugerie","given":"Laurent"},{"family":"Carrat","given":"Fabrice"},{"family":"Andersen","given":"Nynne Nyboe"},{"family":"Jess","given":"Tine"},{"family":"Schwarzinger","given":"Michaël"},{"literal":"BERENICE study group"}],"issued":{"date-parts":[["2018",7]]}},"label":"page"},{"id":4411,"uris":["http://zotero.org/users/5409423/items/BBMM763U"],"itemData":{"id":4411,"type":"article-journal","abstract":"BACKGROUND AND AIMS: There is evidence that several inflammatory diseases are associated with increased cardiovascular risk. Whether this is true for inflammatory bowel diseases remains controversial. We aimed to assess this risk, corrected for the effects of conventional vascular risk factors and IBD disease activity.\nMETHODS: We conducted a cohort study in British general practice and hospital records from the Clinical Practice Research Datalink. We extracted the records of subjects with IBD and matched controls from 1997 to 2017. We conducted Cox proportional hazards and self-controlled case series analyses to examine the associations of IBD, disease activity, and hospitalization with the risk of myocardial infarction, stroke, and cardiovascular death in a manner attempting to remove the effect of likely confounders.\nRESULTS: We identified 31,175 IBD patients (16,779 UC, 10,721 Crohn's disease, and 3675 unclassifiable cases) and 154,412 matched controls. Five hundred thirty-two myocardial infarctions, 555 strokes, and 469 cardiovascular deaths were observed in IBD cases. Our Cox regression models, adjusted for potential confounders, showed no significant excess of vascular events for IBD patients overall. There was, however, an increased hazard of myocardial infarction in ambulatory patients for acute disease (hazard ratio, 1.83 [1.28-2.62]) and chronic activity (hazard ratio, 1.69 [1.24-2.30]). This effect of disease activity was confirmed in our case series analysis.\nCONCLUSIONS: Though we have found no evidence of an overall excess of vascular events in IBD patients, our findings of increased risk with more active disease suggest the potential for anti-inflammatory therapies to reduce cardiovascular risk in this patient group.","container-title":"Inflammatory Bowel Diseases","DOI":"10.1093/ibd/izaa156","ISSN":"1536-4844","issue":"5","journalAbbreviation":"Inflamm Bowel Dis","language":"eng","note":"PMID: 32618340","page":"629-638","source":"PubMed","title":"Disease Activity in Inflammatory Bowel Disease Is Associated With Arterial Vascular Disease","volume":"27","author":[{"family":"Card","given":"Timothy R."},{"family":"Zittan","given":"Eran"},{"family":"Nguyen","given":"Geoffrey C."},{"family":"Grainge","given":"Matthew J."}],"issued":{"date-parts":[["2021",4,15]]}},"label":"page"}],"schema":"https://github.com/citation-style-language/schema/raw/master/csl-citation.json"} </w:instrText>
      </w:r>
      <w:r w:rsidR="00F34901">
        <w:fldChar w:fldCharType="separate"/>
      </w:r>
      <w:r w:rsidR="00403235" w:rsidRPr="00403235">
        <w:rPr>
          <w:rFonts w:ascii="Calibri Light" w:cs="Calibri Light"/>
          <w:vertAlign w:val="superscript"/>
        </w:rPr>
        <w:t>46–48</w:t>
      </w:r>
      <w:r w:rsidR="00F34901">
        <w:fldChar w:fldCharType="end"/>
      </w:r>
      <w:r w:rsidR="007F27CE">
        <w:t xml:space="preserve"> The JAKI </w:t>
      </w:r>
      <w:r w:rsidR="00BC1B2A">
        <w:t xml:space="preserve">class </w:t>
      </w:r>
      <w:r w:rsidR="007F27CE">
        <w:t xml:space="preserve">are also associated with dose-dependent </w:t>
      </w:r>
      <w:r w:rsidR="00900088">
        <w:t>increases</w:t>
      </w:r>
      <w:r w:rsidR="007F27CE">
        <w:t xml:space="preserve"> of HDL and LDL cholesterol without affecting the HDL:LDL ratio, changes </w:t>
      </w:r>
      <w:r w:rsidR="00D66970">
        <w:t xml:space="preserve">that </w:t>
      </w:r>
      <w:r w:rsidR="007F27CE">
        <w:t>are reversible on treatment cessation</w:t>
      </w:r>
      <w:r w:rsidR="008E7560">
        <w:t>.</w:t>
      </w:r>
      <w:r w:rsidR="00DE4E5D">
        <w:fldChar w:fldCharType="begin"/>
      </w:r>
      <w:r w:rsidR="00403235">
        <w:instrText xml:space="preserve"> ADDIN ZOTERO_ITEM CSL_CITATION {"citationID":"ElENZwme","properties":{"formattedCitation":"\\super 49\\nosupersub{}","plainCitation":"49","noteIndex":0},"citationItems":[{"id":5044,"uris":["http://zotero.org/users/5409423/items/924NAQUX"],"itemData":{"id":5044,"type":"article-journal","abstract":"OBJECTIVES: Janus kinase (JAK) inhibitors are a new class of medication for treatment of rheumatoid arthritis (RA), and such inhibitors alter levels of high-density lipoprotein (HDL) and low-density lipoprotein (LDL) in RA patients. However, the extent of such changes has not been systematically reviewed.\nMETHOD: A systematic review and network meta-analysis was performed on randomized trials in RA patients in response to JAKi identified from Pubmed, Medline, Embase, and Cochrane Controlled Trials Register. The primary outcome was mean change of HDL-C and LDL-C from baseline. Mean treatment differences and the rank of the effect of various JAKi on HDL-C and LDL-C were estimated.\nRESULTS: Based on data from 18 unique studies involving five approved JAK inhibitors and 6697 RA patients (JAKi = 3341, placebo = 3356), such inhibitors led to a mean increase of 8.11 mg/dl (95% CI 6.65-9.58, I2 = 82%) in HDL levels from baseline, and a mean increase of 11.37 mg/dl (95% CI 7.84-14.91, I2 = 88%) in LDL levels from baseline. Cardiovascular disease risk did not differ significantly between patients who received JAK inhibitors or those who received placebo or active agents.\nCONCLUSIONS: Our analysis suggests that, at their recommended doses, all five JAK inhibitors lead to an increase in HDL and LDL levels in RA patients. Further long-term research is required to extend these results and understand whether changes in lipid levels in RA patients can affect cardiovascular risk. Key Points • This is the first systematic review and NMA examining the effect of all five clinically approved JAK inhibitors on lipid levels in RA patients. • Recommended doses of JAK inhibitors used for the treatment of RA patients can induce a significant increase in HDL and LDL levels. • Indirect pairwise comparisons suggest that only upadacitinib and peficitinib have significantly different ability to induce LDL change in RA patients.","container-title":"Clinical Rheumatology","DOI":"10.1007/s10067-021-06003-z","ISSN":"1434-9949","issue":"3","journalAbbreviation":"Clin Rheumatol","language":"eng","note":"PMID: 34993729","page":"677-688","source":"PubMed","title":"Effect of JAK inhibitors on high- and low-density lipoprotein in patients with rheumatoid arthritis: a systematic review and network meta-analysis","title-short":"Effect of JAK inhibitors on high- and low-density lipoprotein in patients with rheumatoid arthritis","volume":"41","author":[{"family":"Li","given":"Na"},{"family":"Gou","given":"Zhong-Ping"},{"family":"Du","given":"Shuang-Qing"},{"family":"Zhu","given":"Xiao-Hong"},{"family":"Lin","given":"Hui"},{"family":"Liang","given":"Xiu-Fang"},{"family":"Wang","given":"Yong-Sheng"},{"family":"Feng","given":"Ping"}],"issued":{"date-parts":[["2022",3]]}}}],"schema":"https://github.com/citation-style-language/schema/raw/master/csl-citation.json"} </w:instrText>
      </w:r>
      <w:r w:rsidR="00DE4E5D">
        <w:fldChar w:fldCharType="separate"/>
      </w:r>
      <w:r w:rsidR="00403235" w:rsidRPr="00403235">
        <w:rPr>
          <w:rFonts w:ascii="Calibri Light" w:cs="Calibri Light"/>
          <w:vertAlign w:val="superscript"/>
        </w:rPr>
        <w:t>49</w:t>
      </w:r>
      <w:r w:rsidR="00DE4E5D">
        <w:fldChar w:fldCharType="end"/>
      </w:r>
      <w:r w:rsidR="00FE3088" w:rsidRPr="00FE3088">
        <w:t xml:space="preserve"> </w:t>
      </w:r>
      <w:r w:rsidR="007A0B28">
        <w:t>When compared to anti-</w:t>
      </w:r>
      <w:r w:rsidR="007A0B28" w:rsidRPr="00CD7898">
        <w:t>TNF</w:t>
      </w:r>
      <w:r w:rsidR="007A0B28">
        <w:t>-</w:t>
      </w:r>
      <w:r w:rsidR="007A0B28">
        <w:sym w:font="Symbol" w:char="F061"/>
      </w:r>
      <w:r w:rsidR="007A0B28">
        <w:t xml:space="preserve"> agents, t</w:t>
      </w:r>
      <w:r w:rsidR="00E9380E">
        <w:t xml:space="preserve">ofacitinib </w:t>
      </w:r>
      <w:r w:rsidR="007A0B28">
        <w:t xml:space="preserve">has been shown to </w:t>
      </w:r>
      <w:r w:rsidR="00B47C8B">
        <w:t xml:space="preserve">increase the incidence of MACE </w:t>
      </w:r>
      <w:r w:rsidR="00120C04">
        <w:t xml:space="preserve">in RA patients aged </w:t>
      </w:r>
      <w:r w:rsidR="00120C04" w:rsidRPr="0097428E">
        <w:t>≥</w:t>
      </w:r>
      <w:r w:rsidR="00120C04">
        <w:t xml:space="preserve">50 years with </w:t>
      </w:r>
      <w:r w:rsidR="00007B02">
        <w:t>at least one cardiovascular risk factor</w:t>
      </w:r>
      <w:r w:rsidR="00A54760">
        <w:t xml:space="preserve">, </w:t>
      </w:r>
      <w:r w:rsidR="00BB5016" w:rsidRPr="00BB5016">
        <w:t>hazard ratio</w:t>
      </w:r>
      <w:r w:rsidR="0048100C">
        <w:t xml:space="preserve"> (HR)</w:t>
      </w:r>
      <w:r w:rsidR="00BB5016">
        <w:t xml:space="preserve"> </w:t>
      </w:r>
      <w:r w:rsidR="00BB5016" w:rsidRPr="00BB5016">
        <w:t xml:space="preserve">1.33 (95% confidence interval </w:t>
      </w:r>
      <w:r w:rsidR="00BB5016">
        <w:t>(</w:t>
      </w:r>
      <w:r w:rsidR="00BB5016" w:rsidRPr="00BB5016">
        <w:t>CI</w:t>
      </w:r>
      <w:r w:rsidR="00BB5016">
        <w:t>)</w:t>
      </w:r>
      <w:r w:rsidR="00BB5016" w:rsidRPr="00BB5016">
        <w:t>, 0.91 to 1.94)</w:t>
      </w:r>
      <w:r w:rsidR="00BB5016">
        <w:t>.</w:t>
      </w:r>
      <w:r w:rsidR="003A145D">
        <w:fldChar w:fldCharType="begin"/>
      </w:r>
      <w:r w:rsidR="00403235">
        <w:instrText xml:space="preserve"> ADDIN ZOTERO_ITEM CSL_CITATION {"citationID":"Ga2DcGhm","properties":{"formattedCitation":"\\super 38\\nosupersub{}","plainCitation":"38","noteIndex":0},"citationItems":[{"id":5018,"uris":["http://zotero.org/users/5409423/items/KAWL3CIK"],"itemData":{"id":5018,"type":"article-journal","abstract":"BACKGROUND: Increases in lipid levels and cancers with tofacitinib prompted a trial of major adverse cardiovascular events (MACE) and cancers in patients with rheumatoid arthritis receiving tofacitinib as compared with a tumor necrosis factor (TNF) inhibitor.\nMETHODS: We conducted a randomized, open-label, noninferiority, postauthorization, safety end-point trial involving patients with active rheumatoid arthritis despite methotrexate treatment who were 50 years of age or older and had at least one additional cardiovascular risk factor. Patients were randomly assigned in a 1:1:1 ratio to receive tofacitinib at a dose of 5 mg or 10 mg twice daily or a TNF inhibitor. The coprimary end points were adjudicated MACE and cancers, excluding nonmelanoma skin cancer. The noninferiority of tofacitinib would be shown if the upper boundary of the two-sided 95% confidence interval for the hazard ratio was less than 1.8 for the combined tofacitinib doses as compared with a TNF inhibitor.\nRESULTS: A total of 1455 patients received tofacitinib at a dose of 5 mg twice daily, 1456 received tofacitinib at a dose of 10 mg twice daily, and 1451 received a TNF inhibitor. During a median follow-up of 4.0 years, the incidences of MACE and cancer were higher with the combined tofacitinib doses (3.4% [98 patients] and 4.2% [122 patients], respectively) than with a TNF inhibitor (2.5% [37 patients] and 2.9% [42 patients]). The hazard ratios were 1.33 (95% confidence interval [CI], 0.91 to 1.94) for MACE and 1.48 (95% CI, 1.04 to 2.09) for cancers; the noninferiority of tofacitinib was not shown. The incidences of adjudicated opportunistic infections (including herpes zoster and tuberculosis), all herpes zoster (nonserious and serious), and adjudicated nonmelanoma skin cancer were higher with tofacitinib than with a TNF inhibitor. Efficacy was similar in all three groups, with improvements from month 2 that were sustained through trial completion.\nCONCLUSIONS: In this trial comparing the combined tofacitinib doses with a TNF inhibitor in a cardiovascular risk-enriched population, risks of MACE and cancers were higher with tofacitinib and did not meet noninferiority criteria. Several adverse events were more common with tofacitinib. (Funded by Pfizer; ORAL Surveillance ClinicalTrials.gov number, NCT02092467.).","container-title":"The New England Journal of Medicine","DOI":"10.1056/NEJMoa2109927","ISSN":"1533-4406","issue":"4","journalAbbreviation":"N Engl J Med","language":"eng","note":"PMID: 35081280","page":"316-326","source":"PubMed","title":"Cardiovascular and Cancer Risk with Tofacitinib in Rheumatoid Arthritis","volume":"386","author":[{"family":"Ytterberg","given":"Steven R."},{"family":"Bhatt","given":"Deepak L."},{"family":"Mikuls","given":"Ted R."},{"family":"Koch","given":"Gary G."},{"family":"Fleischmann","given":"Roy"},{"family":"Rivas","given":"Jose L."},{"family":"Germino","given":"Rebecca"},{"family":"Menon","given":"Sujatha"},{"family":"Sun","given":"Yanhui"},{"family":"Wang","given":"Cunshan"},{"family":"Shapiro","given":"Andrea B."},{"family":"Kanik","given":"Keith S."},{"family":"Connell","given":"Carol A."},{"literal":"ORAL Surveillance Investigators"}],"issued":{"date-parts":[["2022",1,27]]}}}],"schema":"https://github.com/citation-style-language/schema/raw/master/csl-citation.json"} </w:instrText>
      </w:r>
      <w:r w:rsidR="003A145D">
        <w:fldChar w:fldCharType="separate"/>
      </w:r>
      <w:r w:rsidR="00403235" w:rsidRPr="00403235">
        <w:rPr>
          <w:rFonts w:ascii="Calibri Light" w:cs="Calibri Light"/>
          <w:vertAlign w:val="superscript"/>
        </w:rPr>
        <w:t>38</w:t>
      </w:r>
      <w:r w:rsidR="003A145D">
        <w:fldChar w:fldCharType="end"/>
      </w:r>
      <w:r w:rsidR="0048100C">
        <w:t xml:space="preserve"> It is important to note that the increased risk of MACE with JAKI has not been demonstrated in patients with IBD and the overall incidence is low.</w:t>
      </w:r>
      <w:r w:rsidR="0048100C">
        <w:fldChar w:fldCharType="begin"/>
      </w:r>
      <w:r w:rsidR="00403235">
        <w:instrText xml:space="preserve"> ADDIN ZOTERO_ITEM CSL_CITATION {"citationID":"z8rE3QzL","properties":{"formattedCitation":"\\super 50\\nosupersub{}","plainCitation":"50","noteIndex":0},"citationItems":[{"id":4400,"uris":["http://zotero.org/users/5409423/items/R9SCR8H4"],"itemData":{"id":4400,"type":"article-journal","abstract":"BACKGROUND: In the context of an ageing inflammatory bowel disease (IBD) population, cardiovascular comorbidities become particularly relevant. Novel small molecule drugs (SMDs) for the treatment of moderate-to-severe IBD have been recently approved, including Janus kinase (JAK) inhibitors and sphingosine-1-phosphate receptor (S1P) modulators. Data from rheumatoid arthritis population have raised concerns about the risk of cardiovascular events with the use of tofacitinib, which was extrapolated to other immune-mediated diseases and other JAK inhibitors. S1P receptor modulation has been associated with potential cardiovascular events, especially bradycardia and cardiac conduction abnormalities.\nAIM: To review the incidence of cardiovascular events with the use of SMDs in patients with IBD and to provide practical recommendations on mitigation strategies.\nMETHODS: Published literature was reviewed; recommendations were synthesised by experts in both cardiovascular diseases and IBD.\nRESULTS: Evidence from the IBD population does not indicate a higher risk of cardiovascular events with tofacitinib and other JAK inhibitors. The risk is higher in patients with intermediate to high cardiovascular risk. S1P modulators may be associated with a dose-dependent, first-dose effect, transient risk of conduction abnormalities (bradycardia and AV block). Screening and monitoring of cardiovascular risk factors should be done in all patients with IBD. Risk stratification for cardiovascular disease should be performed before starting treatment with SMDs.\nCONCLUSIONS: Available evidence of both JAK inhibitors and S1P modulators indicates a reassuring safety profile of SMDs from the cardiovascular perspective in the overall IBD population. Efforts should be made to identify patients with IBD at a higher risk of cardiovascular events.","container-title":"Alimentary Pharmacology &amp; Therapeutics","DOI":"10.1111/apt.17509","ISSN":"1365-2036","journalAbbreviation":"Aliment Pharmacol Ther","language":"eng","note":"PMID: 37038269","source":"PubMed","title":"Review article: Risk of cardiovascular events in patients with inflammatory bowel disease receiving small molecule drugs","title-short":"Review article","author":[{"family":"Olivera","given":"Pablo A."},{"family":"Lasa","given":"Juan S."},{"family":"Peretto","given":"Giovanni"},{"family":"Zuily","given":"Stephane"},{"family":"Danese","given":"Silvio"},{"family":"Peyrin-Biroulet","given":"Laurent"}],"issued":{"date-parts":[["2023",4,10]]}}}],"schema":"https://github.com/citation-style-language/schema/raw/master/csl-citation.json"} </w:instrText>
      </w:r>
      <w:r w:rsidR="0048100C">
        <w:fldChar w:fldCharType="separate"/>
      </w:r>
      <w:r w:rsidR="00403235" w:rsidRPr="00403235">
        <w:rPr>
          <w:rFonts w:ascii="Calibri Light" w:cs="Calibri Light"/>
          <w:vertAlign w:val="superscript"/>
        </w:rPr>
        <w:t>50</w:t>
      </w:r>
      <w:r w:rsidR="0048100C">
        <w:fldChar w:fldCharType="end"/>
      </w:r>
      <w:r w:rsidR="00CC59C4">
        <w:t xml:space="preserve"> Nevertheless, </w:t>
      </w:r>
      <w:r w:rsidR="00C62841">
        <w:t xml:space="preserve">steps should be taken to </w:t>
      </w:r>
      <w:r w:rsidR="00885657">
        <w:t>modify</w:t>
      </w:r>
      <w:r w:rsidR="006A0931">
        <w:t xml:space="preserve"> cardiovascular risk factors</w:t>
      </w:r>
      <w:r w:rsidR="00885657">
        <w:t xml:space="preserve"> such as lipid-lowering and smoking cessation, </w:t>
      </w:r>
      <w:r w:rsidR="00AA59B7">
        <w:t xml:space="preserve">and </w:t>
      </w:r>
      <w:r w:rsidR="007D751B">
        <w:t>if</w:t>
      </w:r>
      <w:r w:rsidR="002105AC">
        <w:t xml:space="preserve"> no other treatment</w:t>
      </w:r>
      <w:r w:rsidR="007D751B">
        <w:t>s</w:t>
      </w:r>
      <w:r w:rsidR="002105AC">
        <w:t xml:space="preserve"> exist, </w:t>
      </w:r>
      <w:r w:rsidR="007A4A0E">
        <w:t>JAKI should be</w:t>
      </w:r>
      <w:r w:rsidR="00BA77CB">
        <w:t xml:space="preserve"> avoided</w:t>
      </w:r>
      <w:r w:rsidR="002105AC">
        <w:t xml:space="preserve"> in </w:t>
      </w:r>
      <w:r w:rsidR="007C259B">
        <w:t xml:space="preserve">high-risk </w:t>
      </w:r>
      <w:r w:rsidR="002105AC">
        <w:t>populations.</w:t>
      </w:r>
    </w:p>
    <w:p w14:paraId="612DDB10" w14:textId="77777777" w:rsidR="00247025" w:rsidRPr="005637F9" w:rsidRDefault="00247025" w:rsidP="005637F9"/>
    <w:p w14:paraId="7AEB066A" w14:textId="5EB50280" w:rsidR="00247025" w:rsidRPr="00E93657" w:rsidRDefault="00247025" w:rsidP="00247025">
      <w:pPr>
        <w:pStyle w:val="Heading2"/>
        <w:spacing w:line="480" w:lineRule="auto"/>
        <w:rPr>
          <w:lang w:val="en-GB"/>
        </w:rPr>
      </w:pPr>
      <w:r w:rsidRPr="00E93657">
        <w:rPr>
          <w:lang w:val="en-GB"/>
        </w:rPr>
        <w:t>Venous Thromboembolism</w:t>
      </w:r>
    </w:p>
    <w:p w14:paraId="100C6DBA" w14:textId="27703B89" w:rsidR="00BA7B12" w:rsidRPr="00BA7B12" w:rsidRDefault="005B01F3" w:rsidP="00BA7B12">
      <w:r>
        <w:t xml:space="preserve">IBD patients with active disease have a twofold increased risk of </w:t>
      </w:r>
      <w:r w:rsidR="00CF115B">
        <w:t>venous thromboembolism (VTE)</w:t>
      </w:r>
      <w:r>
        <w:t>.</w:t>
      </w:r>
      <w:r w:rsidR="001D0F1B">
        <w:fldChar w:fldCharType="begin"/>
      </w:r>
      <w:r w:rsidR="00403235">
        <w:instrText xml:space="preserve"> ADDIN ZOTERO_ITEM CSL_CITATION {"citationID":"1cAsHUNE","properties":{"formattedCitation":"\\super 51\\nosupersub{}","plainCitation":"51","noteIndex":0},"citationItems":[{"id":4465,"uris":["http://zotero.org/users/5409423/items/YIVZHG8T"],"itemData":{"id":4465,"type":"article-journal","abstract":"BACKGROUND: Inflammatory bowel disease (IBD), which includes Crohn's disease (CD) and ulcerative colitis (UC), is a systemic disorder that predominantly affects the bowels but is also associated with venous thromboembolism (VTE).\nAIM: To provide a quantitative assessment of the association of IBD with venous thromboembolism risk and to explore the possible sources of heterogeneity in the current literature, a meta-analysis of case-control and cohort studies was conducted.\nMETHODS: Studies were identified by a literature search of the PubMed and Scopus databases (from inception inclusive 31 December 2012) for English language studies. Summary relative risks (RRs) with 95% confidence intervals (CIs) were calculated with fixed- and random-effects models. Several subgroup analyses were performed to explore potential study heterogeneity and bias.\nRESULTS: Eleven studies met our inclusion criteria. The summary RR for deep venous thromboembolism (DVT) and pulmonary embolism (PE) comparing subjects both with and without IBD was 2.20 (95% CI 1.83-2.65). After adjusting for obesity and smoking, summary relative risks near 2.0 were seen for venous thromboembolism in both UC and CD patients.\nCONCLUSION: This meta-analysis showed that inflammatory bowel disease is associated with an approximately two-fold increase in the risk of venous thromboembolism.","container-title":"Alimentary Pharmacology &amp; Therapeutics","DOI":"10.1111/apt.12294","ISSN":"1365-2036","issue":"10","journalAbbreviation":"Aliment Pharmacol Ther","language":"eng","note":"PMID: 23550660","page":"953-962","source":"PubMed","title":"Meta-analysis: the risk of venous thromboembolism in patients with inflammatory bowel disease","title-short":"Meta-analysis","volume":"37","author":[{"family":"Yuhara","given":"H."},{"family":"Steinmaus","given":"C."},{"family":"Corley","given":"D."},{"family":"Koike","given":"J."},{"family":"Igarashi","given":"M."},{"family":"Suzuki","given":"T."},{"family":"Mine","given":"T."}],"issued":{"date-parts":[["2013",5]]}}}],"schema":"https://github.com/citation-style-language/schema/raw/master/csl-citation.json"} </w:instrText>
      </w:r>
      <w:r w:rsidR="001D0F1B">
        <w:fldChar w:fldCharType="separate"/>
      </w:r>
      <w:r w:rsidR="00403235" w:rsidRPr="00403235">
        <w:rPr>
          <w:rFonts w:ascii="Calibri Light" w:cs="Calibri Light"/>
          <w:vertAlign w:val="superscript"/>
        </w:rPr>
        <w:t>51</w:t>
      </w:r>
      <w:r w:rsidR="001D0F1B">
        <w:fldChar w:fldCharType="end"/>
      </w:r>
      <w:r w:rsidR="00221AC6">
        <w:t xml:space="preserve"> </w:t>
      </w:r>
      <w:r w:rsidR="00B21582">
        <w:t>C</w:t>
      </w:r>
      <w:r w:rsidR="00CB6EE1">
        <w:t xml:space="preserve">ases of </w:t>
      </w:r>
      <w:r w:rsidR="00BD39FD">
        <w:t xml:space="preserve">VTE </w:t>
      </w:r>
      <w:r w:rsidR="00D2383F">
        <w:t>have</w:t>
      </w:r>
      <w:r w:rsidR="00BD39FD">
        <w:t xml:space="preserve"> b</w:t>
      </w:r>
      <w:r w:rsidR="00247025">
        <w:t xml:space="preserve">een </w:t>
      </w:r>
      <w:r w:rsidR="00CB6EE1">
        <w:t>observed</w:t>
      </w:r>
      <w:r w:rsidR="00247025">
        <w:t xml:space="preserve"> </w:t>
      </w:r>
      <w:r w:rsidR="00E575A6">
        <w:t xml:space="preserve">with tofacitinib, filgotinib, and upadacitinib </w:t>
      </w:r>
      <w:r w:rsidR="00BA7B12">
        <w:t>in the</w:t>
      </w:r>
      <w:r w:rsidR="00247025">
        <w:t xml:space="preserve"> </w:t>
      </w:r>
      <w:r w:rsidR="00156E39">
        <w:t>trial programmes and a</w:t>
      </w:r>
      <w:r w:rsidR="00247025" w:rsidRPr="00504113">
        <w:t xml:space="preserve">lthough not powered to assess VTE, </w:t>
      </w:r>
      <w:r w:rsidR="00475FF8">
        <w:t xml:space="preserve">there was an </w:t>
      </w:r>
      <w:r w:rsidR="00475FF8" w:rsidRPr="00504113">
        <w:t xml:space="preserve">increased number </w:t>
      </w:r>
      <w:r w:rsidR="00475FF8" w:rsidRPr="00504113">
        <w:lastRenderedPageBreak/>
        <w:t>of VTE events</w:t>
      </w:r>
      <w:r w:rsidR="00475FF8">
        <w:t xml:space="preserve"> in </w:t>
      </w:r>
      <w:r w:rsidR="00247025">
        <w:t>ORAL SURVEILLANCE</w:t>
      </w:r>
      <w:r w:rsidR="00247025" w:rsidRPr="00504113">
        <w:t xml:space="preserve">, </w:t>
      </w:r>
      <w:r w:rsidR="00247025">
        <w:t>particularly</w:t>
      </w:r>
      <w:r w:rsidR="00247025" w:rsidRPr="00504113">
        <w:t xml:space="preserve"> with the 10 mg</w:t>
      </w:r>
      <w:r w:rsidR="00FE5411">
        <w:t xml:space="preserve"> bd</w:t>
      </w:r>
      <w:r w:rsidR="00247025" w:rsidRPr="00504113">
        <w:t xml:space="preserve"> tofacitinib dose.</w:t>
      </w:r>
      <w:r w:rsidR="002E14CF">
        <w:t xml:space="preserve"> However, </w:t>
      </w:r>
      <w:r w:rsidR="00AA5FF4">
        <w:t xml:space="preserve">two large </w:t>
      </w:r>
      <w:r w:rsidR="008247DC">
        <w:t xml:space="preserve">meta-analyses of </w:t>
      </w:r>
      <w:r w:rsidR="005B01A4" w:rsidRPr="0049458F">
        <w:t xml:space="preserve">5,143 </w:t>
      </w:r>
      <w:r w:rsidR="005B01A4">
        <w:t xml:space="preserve">and 6,542 JAKi-exposed </w:t>
      </w:r>
      <w:r w:rsidR="005B01A4" w:rsidRPr="0049458F">
        <w:t>patients</w:t>
      </w:r>
      <w:r w:rsidR="00872B24">
        <w:t xml:space="preserve"> across all IMIDs</w:t>
      </w:r>
      <w:r w:rsidR="006B09E1">
        <w:t xml:space="preserve">, did not find </w:t>
      </w:r>
      <w:r w:rsidR="00872B24">
        <w:t>an increased risk.</w:t>
      </w:r>
      <w:r w:rsidR="00872B24">
        <w:fldChar w:fldCharType="begin"/>
      </w:r>
      <w:r w:rsidR="00403235">
        <w:instrText xml:space="preserve"> ADDIN ZOTERO_ITEM CSL_CITATION {"citationID":"UMwhyZMU","properties":{"formattedCitation":"\\super 52,53\\nosupersub{}","plainCitation":"52,53","noteIndex":0},"citationItems":[{"id":5069,"uris":["http://zotero.org/users/5409423/items/F7WJDWRN"],"itemData":{"id":5069,"type":"article-journal","abstract":"OBJECTIVE: JAK inhibitor therapies are effective treatment options for immune-mediated inflammatory diseases (IMIDs), but their use has been limited by venous thromboembolism (VTE) risk warnings from licensing authorities. We undertook this study to evaluate the VTE risk of JAK inhibitors in patients with IMIDs.\nMETHODS: Systematic searches of Medline and Embase databases from inception to September 30, 2020 were conducted. Phase II and phase III double-blind, randomized controlled trials (RCTs) of JAK inhibitors at licensed doses were included in our analyses. RCTs with no placebo arm, long-term extension studies, post hoc analyses, and pooled analyses were excluded. Three researchers independently extracted data on exposure to JAK inhibitors or placebo and VTE events (e.g., pulmonary embolism [PE] and deep vein thrombosis [DVT]) and assessed study quality.\nRESULTS: A total of 42 studies were included, from an initial search that yielded 619. There were 6,542 JAK inhibitor patient exposure years (PEYs) compared to 1,578 placebo PEYs. There were 15 VTE events in the JAK inhibitor group and 4 in the placebo group. The pooled incidence rate ratios (IRRs) of VTE, PE, and DVT in patients receiving JAK inhibitors were 0.68 (95% confidence interval [95% CI] 0.36-1.29), 0.44 (95% CI 0.28-0.70), and 0.59 (95% CI 0.31-1.15), respectively.\nCONCLUSION: This meta-analysis of RCT data defines the VTE risk with JAK inhibitors as a class in IMID patients. The pooled IRRs do not provide evidence that support the current warnings of VTE risk for JAK inhibitors. These findings will aid continued development of clinical guidelines for the use of JAK inhibitors in IMIDs.","container-title":"Arthritis &amp; Rheumatology (Hoboken, N.J.)","DOI":"10.1002/art.41580","ISSN":"2326-5205","issue":"5","journalAbbreviation":"Arthritis Rheumatol","language":"eng","note":"PMID: 33174384","page":"779-788","source":"PubMed","title":"Venous Thromboembolism Risk With JAK Inhibitors: A Meta-Analysis","title-short":"Venous Thromboembolism Risk With JAK Inhibitors","volume":"73","author":[{"family":"Yates","given":"Mark"},{"family":"Mootoo","given":"Amanda"},{"family":"Adas","given":"Maryam"},{"family":"Bechman","given":"Katie"},{"family":"Rampes","given":"Sanketh"},{"family":"Patel","given":"Vishit"},{"family":"Qureshi","given":"Sumera"},{"family":"Cope","given":"Andrew P."},{"family":"Norton","given":"Sam"},{"family":"Galloway","given":"James B."}],"issued":{"date-parts":[["2021",5]]}},"label":"page"},{"id":4445,"uris":["http://zotero.org/users/5409423/items/VVUC29DC"],"itemData":{"id":4445,"type":"article-journal","container-title":"Gastroenterology","DOI":"10.1053/j.gastro.2020.01.001","ISSN":"0016-5085, 1528-0012","issue":"6","journalAbbreviation":"Gastroenterology","language":"English","note":"publisher: Elsevier\nPMID: 31926171","page":"1554-1573.e12","source":"www.gastrojournal.org","title":"Safety of Janus Kinase Inhibitors in Patients With Inflammatory Bowel Diseases or Other Immune-mediated Diseases: A Systematic Review and Meta-Analysis","title-short":"Safety of Janus Kinase Inhibitors in Patients With Inflammatory Bowel Diseases or Other Immune-mediated Diseases","volume":"158","author":[{"family":"Olivera","given":"Pablo A."},{"family":"Lasa","given":"Juan S."},{"family":"Bonovas","given":"Stefanos"},{"family":"Danese","given":"Silvio"},{"family":"Peyrin-Biroulet","given":"Laurent"}],"issued":{"date-parts":[["2020",5,1]]}},"label":"page"}],"schema":"https://github.com/citation-style-language/schema/raw/master/csl-citation.json"} </w:instrText>
      </w:r>
      <w:r w:rsidR="00872B24">
        <w:fldChar w:fldCharType="separate"/>
      </w:r>
      <w:r w:rsidR="00403235" w:rsidRPr="00403235">
        <w:rPr>
          <w:rFonts w:ascii="Calibri Light" w:cs="Calibri Light"/>
          <w:vertAlign w:val="superscript"/>
        </w:rPr>
        <w:t>52,53</w:t>
      </w:r>
      <w:r w:rsidR="00872B24">
        <w:fldChar w:fldCharType="end"/>
      </w:r>
      <w:r w:rsidR="00FF2AA2">
        <w:t xml:space="preserve"> </w:t>
      </w:r>
      <w:r w:rsidR="00BA7B12" w:rsidRPr="00BA7B12">
        <w:t xml:space="preserve">It remains </w:t>
      </w:r>
      <w:r w:rsidR="00BA7B12">
        <w:t>unclear</w:t>
      </w:r>
      <w:r w:rsidR="00BA7B12" w:rsidRPr="00BA7B12">
        <w:t xml:space="preserve"> whether JAK</w:t>
      </w:r>
      <w:r w:rsidR="00374A56">
        <w:t>I have</w:t>
      </w:r>
      <w:r w:rsidR="00BA7B12" w:rsidRPr="00BA7B12">
        <w:t xml:space="preserve"> a direct causal role in the development of VTEs or whether these VTEs occur in the context of a higher baseline risk</w:t>
      </w:r>
      <w:r w:rsidR="007604FC">
        <w:t xml:space="preserve"> in IMIDs.</w:t>
      </w:r>
      <w:r w:rsidR="00332304">
        <w:t xml:space="preserve"> For now, the regulatory </w:t>
      </w:r>
      <w:r w:rsidR="00083DCB">
        <w:t>guidan</w:t>
      </w:r>
      <w:r w:rsidR="00B729DC">
        <w:t>ce</w:t>
      </w:r>
      <w:r w:rsidR="00332304">
        <w:t xml:space="preserve"> is to use </w:t>
      </w:r>
      <w:r w:rsidR="00064925">
        <w:t>JAKI with caution in patients with VTE risk factors.</w:t>
      </w:r>
      <w:r w:rsidR="00F26098">
        <w:fldChar w:fldCharType="begin"/>
      </w:r>
      <w:r w:rsidR="00F26098">
        <w:instrText xml:space="preserve"> ADDIN ZOTERO_ITEM CSL_CITATION {"citationID":"qn3zPRBO","properties":{"unsorted":true,"formattedCitation":"\\super 4,5\\nosupersub{}","plainCitation":"4,5","noteIndex":0},"citationItems":[{"id":4165,"uris":["http://zotero.org/users/5409423/items/UQ6UQLDT"],"itemData":{"id":4165,"type":"webpage","abstract":"Janus kinase inhibitors (JAKi)","container-title":"European Medicines Agency","genre":"Text","language":"en","title":"Janus kinase inhibitors (JAKi)","URL":"https://www.ema.europa.eu/en/medicines/human/referrals/janus-kinase-inhibitors-jaki","author":[{"family":"EMA","given":""}],"accessed":{"date-parts":[["2023",2,6]]},"issued":{"date-parts":[["2022",2,11]]}},"label":"page"},{"id":5020,"uris":["http://zotero.org/users/5409423/items/PPJXG9W9"],"itemData":{"id":5020,"type":"article-journal","abstract":"We inform healthcare professionals of new risk minimisation measures for JAK inhibitors used to treat chronic inflammatory disorders, consistent with the measures introduced for tofacitinib (Xeljanz) in 2020 and 2021. This advice affects abrocitinib (Cibinqo</w:instrText>
      </w:r>
      <w:r w:rsidR="00F26098">
        <w:rPr>
          <w:rFonts w:ascii="Arial" w:hAnsi="Arial" w:cs="Arial"/>
        </w:rPr>
        <w:instrText>▼</w:instrText>
      </w:r>
      <w:r w:rsidR="00F26098">
        <w:instrText>), baricitinib (Olumiant), upadacitinib (Rinvoq</w:instrText>
      </w:r>
      <w:r w:rsidR="00F26098">
        <w:rPr>
          <w:rFonts w:ascii="Arial" w:hAnsi="Arial" w:cs="Arial"/>
        </w:rPr>
        <w:instrText>▼</w:instrText>
      </w:r>
      <w:r w:rsidR="00F26098">
        <w:instrText>), and filgotinib (Jyseleca</w:instrText>
      </w:r>
      <w:r w:rsidR="00F26098">
        <w:rPr>
          <w:rFonts w:ascii="Arial" w:hAnsi="Arial" w:cs="Arial"/>
        </w:rPr>
        <w:instrText>▼</w:instrText>
      </w:r>
      <w:r w:rsidR="00F26098">
        <w:instrText xml:space="preserve">) when used for chronic inflammatory disorders.","container-title":"GOV.UK","issue":"9","journalAbbreviation":"Drug Safety Update","language":"en","page":"2","title":"Janus kinase (JAK) inhibitors: new measures to reduce risks of major cardiovascular events, malignancy, venous thromboembolism, serious infections and increased mortality","title-short":"Janus kinase (JAK) inhibitors","volume":"16","issued":{"date-parts":[["2023"]]}}}],"schema":"https://github.com/citation-style-language/schema/raw/master/csl-citation.json"} </w:instrText>
      </w:r>
      <w:r w:rsidR="00F26098">
        <w:fldChar w:fldCharType="separate"/>
      </w:r>
      <w:r w:rsidR="00F26098" w:rsidRPr="00F26098">
        <w:rPr>
          <w:rFonts w:ascii="Calibri Light" w:cs="Calibri Light"/>
          <w:vertAlign w:val="superscript"/>
        </w:rPr>
        <w:t>4,5</w:t>
      </w:r>
      <w:r w:rsidR="00F26098">
        <w:fldChar w:fldCharType="end"/>
      </w:r>
    </w:p>
    <w:p w14:paraId="3C535362" w14:textId="77777777" w:rsidR="00630014" w:rsidRDefault="00630014" w:rsidP="00B711C0"/>
    <w:p w14:paraId="61872143" w14:textId="4D3E3A6C" w:rsidR="004A4F66" w:rsidRPr="00E93657" w:rsidRDefault="004A4F66" w:rsidP="004A4F66">
      <w:pPr>
        <w:pStyle w:val="Heading2"/>
        <w:spacing w:line="480" w:lineRule="auto"/>
        <w:rPr>
          <w:lang w:val="en-GB"/>
        </w:rPr>
      </w:pPr>
      <w:r w:rsidRPr="00E93657">
        <w:rPr>
          <w:lang w:val="en-GB"/>
        </w:rPr>
        <w:t>Cancer including non-melanoma skin cancer</w:t>
      </w:r>
      <w:r w:rsidR="00820A1F">
        <w:rPr>
          <w:lang w:val="en-GB"/>
        </w:rPr>
        <w:t xml:space="preserve"> (NMSC)</w:t>
      </w:r>
    </w:p>
    <w:p w14:paraId="1D4A8304" w14:textId="6C1A49B3" w:rsidR="00A11A60" w:rsidRDefault="004A4F66" w:rsidP="00633858">
      <w:r>
        <w:t xml:space="preserve">Uncontrolled inflammation is a </w:t>
      </w:r>
      <w:r w:rsidR="00D6209F">
        <w:t>critical</w:t>
      </w:r>
      <w:r w:rsidR="00396FA7">
        <w:t xml:space="preserve"> </w:t>
      </w:r>
      <w:r w:rsidR="00A53701">
        <w:t xml:space="preserve">component </w:t>
      </w:r>
      <w:r w:rsidR="00EF3FB0">
        <w:t xml:space="preserve">of </w:t>
      </w:r>
      <w:r w:rsidR="003F3A21">
        <w:t xml:space="preserve">the </w:t>
      </w:r>
      <w:r w:rsidR="00633858" w:rsidRPr="00633858">
        <w:t xml:space="preserve">neoplastic process, </w:t>
      </w:r>
      <w:r w:rsidR="00511CEE">
        <w:t>driving</w:t>
      </w:r>
      <w:r w:rsidR="00633858" w:rsidRPr="00633858">
        <w:t xml:space="preserve"> </w:t>
      </w:r>
      <w:r w:rsidR="00511CEE">
        <w:t xml:space="preserve">cell </w:t>
      </w:r>
      <w:r w:rsidR="00633858" w:rsidRPr="00633858">
        <w:t>proliferation, survival</w:t>
      </w:r>
      <w:r w:rsidR="00604035">
        <w:t>,</w:t>
      </w:r>
      <w:r w:rsidR="00633858" w:rsidRPr="00633858">
        <w:t xml:space="preserve"> and migration</w:t>
      </w:r>
      <w:r w:rsidR="00B076D2">
        <w:t>.</w:t>
      </w:r>
      <w:r w:rsidR="00B076D2">
        <w:fldChar w:fldCharType="begin"/>
      </w:r>
      <w:r w:rsidR="00403235">
        <w:instrText xml:space="preserve"> ADDIN ZOTERO_ITEM CSL_CITATION {"citationID":"nhGrJBxh","properties":{"formattedCitation":"\\super 54\\nosupersub{}","plainCitation":"54","noteIndex":0},"citationItems":[{"id":5063,"uris":["http://zotero.org/users/5409423/items/V7J83E4D"],"itemData":{"id":5063,"type":"article-journal","abstract":"Recent data have expanded the concept that inflammation is a critical component of tumour progression. Many cancers arise from sites of infection, chronic irritation and inflammation. It is now becoming clear that the tumour microenvironment, which is ...","container-title":"Nature","DOI":"10.1038/nature01322","issue":"6917","language":"en","note":"publisher: NIH Public Access\nPMID: 12490959","page":"860","source":"www.ncbi.nlm.nih.gov","title":"Inflammation and cancer","volume":"420","author":[{"family":"Coussens","given":"Lisa M."},{"family":"Werb","given":"Zena"}],"issued":{"date-parts":[["2002",12,12]]}}}],"schema":"https://github.com/citation-style-language/schema/raw/master/csl-citation.json"} </w:instrText>
      </w:r>
      <w:r w:rsidR="00B076D2">
        <w:fldChar w:fldCharType="separate"/>
      </w:r>
      <w:r w:rsidR="00403235" w:rsidRPr="00403235">
        <w:rPr>
          <w:rFonts w:ascii="Calibri Light" w:cs="Calibri Light"/>
          <w:vertAlign w:val="superscript"/>
        </w:rPr>
        <w:t>54</w:t>
      </w:r>
      <w:r w:rsidR="00B076D2">
        <w:fldChar w:fldCharType="end"/>
      </w:r>
      <w:r w:rsidR="00ED2C7B">
        <w:t xml:space="preserve"> </w:t>
      </w:r>
      <w:r w:rsidR="00D3722E">
        <w:t xml:space="preserve">Compared to the general population, IBD </w:t>
      </w:r>
      <w:r w:rsidR="000B0164">
        <w:t>may be</w:t>
      </w:r>
      <w:r w:rsidR="00D3722E">
        <w:t xml:space="preserve"> associated</w:t>
      </w:r>
      <w:r w:rsidR="00AD5B3F">
        <w:t xml:space="preserve"> with an </w:t>
      </w:r>
      <w:r w:rsidR="0083650A">
        <w:t>increased</w:t>
      </w:r>
      <w:r w:rsidR="00887630">
        <w:t xml:space="preserve"> risk of overall </w:t>
      </w:r>
      <w:r w:rsidR="00DE4601">
        <w:t>cancer</w:t>
      </w:r>
      <w:r w:rsidR="00E42B73">
        <w:t xml:space="preserve"> and cancer-specific mortality.</w:t>
      </w:r>
      <w:r w:rsidR="00E13775">
        <w:fldChar w:fldCharType="begin"/>
      </w:r>
      <w:r w:rsidR="00403235">
        <w:instrText xml:space="preserve"> ADDIN ZOTERO_ITEM CSL_CITATION {"citationID":"sAwCevFu","properties":{"formattedCitation":"\\super 55\\nosupersub{}","plainCitation":"55","noteIndex":0},"citationItems":[{"id":5075,"uris":["http://zotero.org/users/5409423/items/J28Y3M4I"],"itemData":{"id":5075,"type":"article-journal","abstract":"BACKGROUND: This study aims to examine the prospective association of inflammatory bowel disease (IBD) with long-term risk of overall, site-specific cancer and cancer-specific mortality in middle-aged and older people.\nMETHODS: The study included participants free of any cancer at baseline from the UK Biobank, with IBD patients as an exposure group and non-IBD patients as a reference group. Primary outcome was the incidence of overall cancer and cancer-specific mortality. Secondary outcomes included site-specific cancers and types of digestive cancers. Cox proportional hazard model was used to investigate the associated risk of incident malignancies and related mortality.\nRESULTS: Among 455 927 participants, 5142 were diagnosed with IBD (3258 ulcerative colitis [UC]; 1449 Crohn's disease [CD]; others unspecified). During a median of 12.2-year follow-up, 890 cases of incident cancer were identified in IBD patients (15.74 per 1000 person years) compared with 63 675 cases in reference individuals (12.46 per 1000 person years). Of these cases, 220 and 12 838 cancer-specific deaths occurred in IBD and non-IBD groups. Compared with non-IBD participants, the adjusted hazard ratio (AHR) for overall cancer and cancer-specific mortality was 1.17 (95% CI, 1.09-1.25) and 1.26 (95% CI, 1.18-1.35) among IBD patients, with an AHR of 1.15 (95% CI, 1.02-1.31) and 1.38 (95% CI, 1.08-1.75) in UC and 1.15 (95% CI, 1.06-1.25) and 1.25 (95% CI, 1.06-1.49) in CD, respectively. Specifically, increased risk of digestive (1.33; 95% CI, 1.12-1.57), nonmelanoma (1.25; 95% CI, 1.11-1.41), and male genital (1.29; 95% CI, 1.09-1.52) cancers was observed in IBD patients.\nCONCLUSIONS: Compared with non-IBD, IBD may be associated with an increased risk of overall cancer and cancer-specific mortality, particularly digestive cancers, nonmelanoma and male genital cancers.","container-title":"Inflammatory Bowel Diseases","DOI":"10.1093/ibd/izac096","ISSN":"1536-4844","issue":"3","journalAbbreviation":"Inflamm Bowel Dis","language":"eng","note":"PMID: 35639937","page":"384-395","source":"PubMed","title":"Inflammatory Bowel Disease and Long-term Risk of Cancer: A Prospective Cohort Study Among Half a Million Adults in UK Biobank","title-short":"Inflammatory Bowel Disease and Long-term Risk of Cancer","volume":"29","author":[{"family":"Wu","given":"Shanshan"},{"family":"Xie","given":"Sian"},{"family":"Yuan","given":"Changzheng"},{"family":"Yang","given":"Zhirong"},{"family":"Liu","given":"Si"},{"family":"Zhang","given":"Qian"},{"family":"Sun","given":"Feng"},{"family":"Wu","given":"Jing"},{"family":"Zhan","given":"Siyan"},{"family":"Zhu","given":"Shengtao"},{"family":"Zhang","given":"Shutian"}],"issued":{"date-parts":[["2023",3,1]]}}}],"schema":"https://github.com/citation-style-language/schema/raw/master/csl-citation.json"} </w:instrText>
      </w:r>
      <w:r w:rsidR="00E13775">
        <w:fldChar w:fldCharType="separate"/>
      </w:r>
      <w:r w:rsidR="00403235" w:rsidRPr="00403235">
        <w:rPr>
          <w:rFonts w:ascii="Calibri Light" w:cs="Calibri Light"/>
          <w:vertAlign w:val="superscript"/>
        </w:rPr>
        <w:t>55</w:t>
      </w:r>
      <w:r w:rsidR="00E13775">
        <w:fldChar w:fldCharType="end"/>
      </w:r>
    </w:p>
    <w:p w14:paraId="606845FF" w14:textId="121F9341" w:rsidR="00E9582D" w:rsidRDefault="006D1D30" w:rsidP="00E9582D">
      <w:r>
        <w:t xml:space="preserve">ORAL SURVEILLANCE did not meet its </w:t>
      </w:r>
      <w:r w:rsidR="00657C87">
        <w:t xml:space="preserve">pre-specified non-inferiority criteria and </w:t>
      </w:r>
      <w:r w:rsidR="00AD5B3F">
        <w:t>tofacitin</w:t>
      </w:r>
      <w:r w:rsidR="005A18D9">
        <w:t xml:space="preserve">ib </w:t>
      </w:r>
      <w:r w:rsidR="00657C87">
        <w:t>was associated with</w:t>
      </w:r>
      <w:r w:rsidR="00411F11">
        <w:t xml:space="preserve"> an</w:t>
      </w:r>
      <w:r w:rsidR="00E9582D">
        <w:t xml:space="preserve"> increased cancer incidence</w:t>
      </w:r>
      <w:r w:rsidR="009B45BA">
        <w:t xml:space="preserve"> (excluding NMSC)</w:t>
      </w:r>
      <w:r w:rsidR="00E9582D" w:rsidRPr="00E9582D">
        <w:t xml:space="preserve"> </w:t>
      </w:r>
      <w:r w:rsidR="004E77F3">
        <w:t>compared to anti-</w:t>
      </w:r>
      <w:r w:rsidR="004E77F3" w:rsidRPr="00CD7898">
        <w:t>TNF</w:t>
      </w:r>
      <w:r w:rsidR="004E77F3">
        <w:t>-</w:t>
      </w:r>
      <w:r w:rsidR="004E77F3">
        <w:sym w:font="Symbol" w:char="F061"/>
      </w:r>
      <w:r w:rsidR="004E77F3">
        <w:t xml:space="preserve"> agents</w:t>
      </w:r>
      <w:r w:rsidR="009B09F6">
        <w:t>,</w:t>
      </w:r>
      <w:r w:rsidR="004E77F3">
        <w:t xml:space="preserve"> </w:t>
      </w:r>
      <w:r w:rsidR="00E9582D">
        <w:t xml:space="preserve">HR </w:t>
      </w:r>
      <w:r w:rsidR="00E9582D" w:rsidRPr="000C44A7">
        <w:t>1.48 (95% CI, 1.04 to 2.09</w:t>
      </w:r>
      <w:r w:rsidR="00B853B2">
        <w:t>)</w:t>
      </w:r>
      <w:r w:rsidR="00B12119">
        <w:t>.</w:t>
      </w:r>
      <w:r>
        <w:fldChar w:fldCharType="begin"/>
      </w:r>
      <w:r w:rsidR="00403235">
        <w:instrText xml:space="preserve"> ADDIN ZOTERO_ITEM CSL_CITATION {"citationID":"VN4eBkFw","properties":{"formattedCitation":"\\super 38\\nosupersub{}","plainCitation":"38","noteIndex":0},"citationItems":[{"id":5018,"uris":["http://zotero.org/users/5409423/items/KAWL3CIK"],"itemData":{"id":5018,"type":"article-journal","abstract":"BACKGROUND: Increases in lipid levels and cancers with tofacitinib prompted a trial of major adverse cardiovascular events (MACE) and cancers in patients with rheumatoid arthritis receiving tofacitinib as compared with a tumor necrosis factor (TNF) inhibitor.\nMETHODS: We conducted a randomized, open-label, noninferiority, postauthorization, safety end-point trial involving patients with active rheumatoid arthritis despite methotrexate treatment who were 50 years of age or older and had at least one additional cardiovascular risk factor. Patients were randomly assigned in a 1:1:1 ratio to receive tofacitinib at a dose of 5 mg or 10 mg twice daily or a TNF inhibitor. The coprimary end points were adjudicated MACE and cancers, excluding nonmelanoma skin cancer. The noninferiority of tofacitinib would be shown if the upper boundary of the two-sided 95% confidence interval for the hazard ratio was less than 1.8 for the combined tofacitinib doses as compared with a TNF inhibitor.\nRESULTS: A total of 1455 patients received tofacitinib at a dose of 5 mg twice daily, 1456 received tofacitinib at a dose of 10 mg twice daily, and 1451 received a TNF inhibitor. During a median follow-up of 4.0 years, the incidences of MACE and cancer were higher with the combined tofacitinib doses (3.4% [98 patients] and 4.2% [122 patients], respectively) than with a TNF inhibitor (2.5% [37 patients] and 2.9% [42 patients]). The hazard ratios were 1.33 (95% confidence interval [CI], 0.91 to 1.94) for MACE and 1.48 (95% CI, 1.04 to 2.09) for cancers; the noninferiority of tofacitinib was not shown. The incidences of adjudicated opportunistic infections (including herpes zoster and tuberculosis), all herpes zoster (nonserious and serious), and adjudicated nonmelanoma skin cancer were higher with tofacitinib than with a TNF inhibitor. Efficacy was similar in all three groups, with improvements from month 2 that were sustained through trial completion.\nCONCLUSIONS: In this trial comparing the combined tofacitinib doses with a TNF inhibitor in a cardiovascular risk-enriched population, risks of MACE and cancers were higher with tofacitinib and did not meet noninferiority criteria. Several adverse events were more common with tofacitinib. (Funded by Pfizer; ORAL Surveillance ClinicalTrials.gov number, NCT02092467.).","container-title":"The New England Journal of Medicine","DOI":"10.1056/NEJMoa2109927","ISSN":"1533-4406","issue":"4","journalAbbreviation":"N Engl J Med","language":"eng","note":"PMID: 35081280","page":"316-326","source":"PubMed","title":"Cardiovascular and Cancer Risk with Tofacitinib in Rheumatoid Arthritis","volume":"386","author":[{"family":"Ytterberg","given":"Steven R."},{"family":"Bhatt","given":"Deepak L."},{"family":"Mikuls","given":"Ted R."},{"family":"Koch","given":"Gary G."},{"family":"Fleischmann","given":"Roy"},{"family":"Rivas","given":"Jose L."},{"family":"Germino","given":"Rebecca"},{"family":"Menon","given":"Sujatha"},{"family":"Sun","given":"Yanhui"},{"family":"Wang","given":"Cunshan"},{"family":"Shapiro","given":"Andrea B."},{"family":"Kanik","given":"Keith S."},{"family":"Connell","given":"Carol A."},{"literal":"ORAL Surveillance Investigators"}],"issued":{"date-parts":[["2022",1,27]]}}}],"schema":"https://github.com/citation-style-language/schema/raw/master/csl-citation.json"} </w:instrText>
      </w:r>
      <w:r>
        <w:fldChar w:fldCharType="separate"/>
      </w:r>
      <w:r w:rsidR="00403235" w:rsidRPr="00403235">
        <w:rPr>
          <w:rFonts w:ascii="Calibri Light" w:cs="Calibri Light"/>
          <w:vertAlign w:val="superscript"/>
        </w:rPr>
        <w:t>38</w:t>
      </w:r>
      <w:r>
        <w:fldChar w:fldCharType="end"/>
      </w:r>
      <w:r w:rsidR="00E13775">
        <w:t xml:space="preserve"> </w:t>
      </w:r>
      <w:r w:rsidR="00DB2559">
        <w:t>In a recent meta-analysis</w:t>
      </w:r>
      <w:r w:rsidR="00502A18">
        <w:t xml:space="preserve"> of </w:t>
      </w:r>
      <w:r w:rsidR="00782F0F">
        <w:t xml:space="preserve">incorporating </w:t>
      </w:r>
      <w:r w:rsidR="00782F0F" w:rsidRPr="00782F0F">
        <w:t>62 RCTs</w:t>
      </w:r>
      <w:r w:rsidR="00782F0F">
        <w:t xml:space="preserve">, </w:t>
      </w:r>
      <w:r w:rsidR="00782F0F" w:rsidRPr="00782F0F">
        <w:t xml:space="preserve">16 LTE studies, </w:t>
      </w:r>
      <w:r w:rsidR="00782F0F" w:rsidRPr="00D42CEC">
        <w:t xml:space="preserve">and 82,366 person-years of JAKI exposure, </w:t>
      </w:r>
      <w:r w:rsidR="00D42CEC" w:rsidRPr="00D42CEC">
        <w:t>risk of malignancy did not differ significantly between JA</w:t>
      </w:r>
      <w:r w:rsidR="00175B4A">
        <w:t>KI</w:t>
      </w:r>
      <w:r w:rsidR="00D42CEC" w:rsidRPr="00D42CEC">
        <w:t xml:space="preserve"> and placebo</w:t>
      </w:r>
      <w:r w:rsidR="00B42B83">
        <w:t xml:space="preserve"> </w:t>
      </w:r>
      <w:r w:rsidR="00B42B83" w:rsidRPr="00B42B83">
        <w:t>but was associated with a higher incidence of malignancy when compared to anti-TNF-</w:t>
      </w:r>
      <w:r w:rsidR="00B42B83" w:rsidRPr="00B42B83">
        <w:sym w:font="Symbol" w:char="F061"/>
      </w:r>
      <w:r w:rsidR="00B42B83" w:rsidRPr="00B42B83">
        <w:t xml:space="preserve"> agents</w:t>
      </w:r>
      <w:r w:rsidR="00A82A9F">
        <w:t>, largely influenced by ORAL SURVEILLANCE.</w:t>
      </w:r>
      <w:r w:rsidR="00A82A9F">
        <w:fldChar w:fldCharType="begin"/>
      </w:r>
      <w:r w:rsidR="00403235">
        <w:instrText xml:space="preserve"> ADDIN ZOTERO_ITEM CSL_CITATION {"citationID":"1gl0VBa7","properties":{"formattedCitation":"\\super 56\\nosupersub{}","plainCitation":"56","noteIndex":0},"citationItems":[{"id":5072,"uris":["http://zotero.org/users/5409423/items/CT6GXU5S"],"itemData":{"id":5072,"type":"article-journal","abstract":"Objectives To estimate the association of Janus kinase inhibitors (JAKi) with the incidence of malignancy, compared with placebo, tumour necrosis factor (TNF)-α inhibitors (TNFi) and methotrexate.\nMethods Systematic searches of databases were performed, to December 2022, to identify phase II/III/IV randomised clinical trials (RCTs) and long-term extension (LTE) studies of JAKi (tofacitinib, baricitinib, upadacitinib, filgotinib, peficitinib) compared with placebo, TNFi or methotrexate, in adults with rheumatoid arthritis, psoriatic arthritis, psoriasis, axial spondyloarthritis, inflammatory bowel disease or atopic dermatitis. Network and pairwise meta-analyses were performed to estimate incidence rate ratios (IRRs) for malignancy between JAKi and comparators. Bias was assessed using the Cochrane Risk of Bias-2 tool.\nResults In 62 eligible RCTs and 16 LTE studies, there were 82 366 person-years of exposure to JAKi, 2924 to placebo, 7909 to TNFi and 1074 to methotrexate. The overall malignancy incidence rate was 1.15 per 100 person-years in RCTs, and 1.26 per 100 person-years across combined RCT and LTE data. In network meta-analyses, the incidence of all malignancies including non-melanomatous skin cancers (NMSCs) was not significantly different between JAKi and placebo (IRR 0.71; 95% CI 0.44 to 1.15) or between JAKi and methotrexate (IRR 0.77; 95% CI 0.35 to 1.68). Compared with TNFi, however, JAKi were associated with an increased incidence of malignancy (IRR 1.50; 95% CI 1.16 to 1.94). Findings were consistent when analysing NMSC only and when analysing combined RCT/LTE data.\nConclusions JAKi were associated with a higher incidence of malignancy compared with TNFi but not placebo or methotrexate. Cancers were rare events in all comparisons.\nPROSPERO registration number CRD42022362630.","container-title":"Annals of the Rheumatic Diseases","DOI":"10.1136/ard-2023-224049","ISSN":"0003-4967, 1468-2060","issue":"8","language":"en","license":"© Author(s) (or their employer(s)) 2023. Re-use permitted under CC BY. Published by BMJ.. https://creativecommons.org/licenses/by/4.0/This is an open access article distributed in accordance with the Creative Commons Attribution 4.0 Unported (CC BY 4.0) license, which permits others to copy, redistribute, remix, transform and build upon this work for any purpose, provided the original work is properly cited, a link to the licence is given, and indication of whether changes were made. See: https://creativecommons.org/licenses/by/4.0/.","note":"publisher: BMJ Publishing Group Ltd\nsection: Treatment\nPMID: 37247942","page":"1059-1067","source":"ard.bmj.com","title":"JAK inhibitors and the risk of malignancy: a meta-analysis across disease indications","title-short":"JAK inhibitors and the risk of malignancy","volume":"82","author":[{"family":"Russell","given":"Mark D."},{"family":"Stovin","given":"Christopher"},{"family":"Alveyn","given":"Edward"},{"family":"Adeyemi","given":"Olukemi"},{"family":"Chan","given":"Chun Kit David"},{"family":"Patel","given":"Vishit"},{"family":"Adas","given":"Maryam A."},{"family":"Atzeni","given":"Fabiola"},{"family":"Ng","given":"Kenrick K. H."},{"family":"Rutherford","given":"Andrew I."},{"family":"Norton","given":"Sam"},{"family":"Cope","given":"Andrew P."},{"family":"Galloway","given":"James B."}],"issued":{"date-parts":[["2023",8,1]]}}}],"schema":"https://github.com/citation-style-language/schema/raw/master/csl-citation.json"} </w:instrText>
      </w:r>
      <w:r w:rsidR="00A82A9F">
        <w:fldChar w:fldCharType="separate"/>
      </w:r>
      <w:r w:rsidR="00403235" w:rsidRPr="00403235">
        <w:rPr>
          <w:rFonts w:ascii="Calibri Light" w:cs="Calibri Light"/>
          <w:vertAlign w:val="superscript"/>
        </w:rPr>
        <w:t>56</w:t>
      </w:r>
      <w:r w:rsidR="00A82A9F">
        <w:fldChar w:fldCharType="end"/>
      </w:r>
      <w:r w:rsidR="001E4B86">
        <w:t xml:space="preserve"> </w:t>
      </w:r>
      <w:r w:rsidR="00606B1E">
        <w:t>JAKI-induced cancers remain a rare occurrence but u</w:t>
      </w:r>
      <w:r w:rsidR="00B02C7D">
        <w:t>ntil th</w:t>
      </w:r>
      <w:r w:rsidR="002A16AA">
        <w:t xml:space="preserve">is </w:t>
      </w:r>
      <w:r w:rsidR="00B02C7D">
        <w:t xml:space="preserve">risk </w:t>
      </w:r>
      <w:r w:rsidR="00311E06">
        <w:t xml:space="preserve">is precisely </w:t>
      </w:r>
      <w:r w:rsidR="004F431E">
        <w:t>elucidated</w:t>
      </w:r>
      <w:r w:rsidR="00B02C7D">
        <w:t>, JAKI should be avoided in patients with an increased</w:t>
      </w:r>
      <w:r w:rsidR="00694A95">
        <w:t xml:space="preserve"> cancer</w:t>
      </w:r>
      <w:r w:rsidR="00B02C7D">
        <w:t xml:space="preserve"> </w:t>
      </w:r>
      <w:r w:rsidR="003142EC">
        <w:t>risk</w:t>
      </w:r>
      <w:r w:rsidR="00B02C7D">
        <w:t xml:space="preserve">, such as </w:t>
      </w:r>
      <w:r w:rsidR="003142EC">
        <w:t xml:space="preserve">those </w:t>
      </w:r>
      <w:r w:rsidR="00D134D8">
        <w:t xml:space="preserve">with an </w:t>
      </w:r>
      <w:r w:rsidR="00B02C7D">
        <w:t>active or past cancer.</w:t>
      </w:r>
    </w:p>
    <w:p w14:paraId="2C7B90FA" w14:textId="77777777" w:rsidR="00A11A60" w:rsidRDefault="00A11A60" w:rsidP="00633858"/>
    <w:p w14:paraId="7ED55093" w14:textId="3BB2E824" w:rsidR="000B34C3" w:rsidRPr="00DF6DBD" w:rsidRDefault="000B34C3" w:rsidP="000B34C3">
      <w:r>
        <w:t>Aggressive squamous cell carcinomas have been reported with JAKI</w:t>
      </w:r>
      <w:r w:rsidR="00325923">
        <w:t xml:space="preserve">; </w:t>
      </w:r>
      <w:r>
        <w:t xml:space="preserve">with </w:t>
      </w:r>
      <w:r w:rsidR="00325923">
        <w:t xml:space="preserve">previous NMSC, prior anti-TNF failure, and </w:t>
      </w:r>
      <w:r>
        <w:t xml:space="preserve">older age, associated with increased </w:t>
      </w:r>
      <w:r w:rsidR="0006295E">
        <w:t>NMSC</w:t>
      </w:r>
      <w:r>
        <w:t xml:space="preserve"> risk.</w:t>
      </w:r>
      <w:r>
        <w:fldChar w:fldCharType="begin"/>
      </w:r>
      <w:r w:rsidR="00403235">
        <w:instrText xml:space="preserve"> ADDIN ZOTERO_ITEM CSL_CITATION {"citationID":"NT4S6jRN","properties":{"formattedCitation":"\\super 57,58\\nosupersub{}","plainCitation":"57,58","noteIndex":0},"citationItems":[{"id":4440,"uris":["http://zotero.org/users/5409423/items/IIZWLYRN"],"itemData":{"id":4440,"type":"article-journal","abstract":"JAK (janus kinase) inhibitors are becoming increasingly prescribed for various conditions from dermatologic diseases to graft versus host disease in bone marrow transplant recipients. This class of drugs has been found to be truly life-changing for many, though they are not without potential adverse effects. While JAK inhibitors have not been shown to significantly increase the risk of non-melanoma skin cancer (NMSC) in large scale clinical trials, NMSC is one of the most concerning possible adverse events, and there have been several reported cases of aggressive squamous cell carcinomas, especially in our already immunosuppressed patient populations. In these patients, it is incredibly important that patients are on the lowest possible dosage of the JAK inhibitor. In addition, these patients must be routinely screened by a dermatologist with a comprehensive skin exam to ensure early detection if skin cancer was to develop. For those patients diagnosed with skin cancer, early intervention is key to optimize outcomes, and at times, multi-disciplinary care coordination is needed. In the future, large-scale studies with longer follow-up of patients would help determine whether JAK inhibitors significantly increase the risk of NMSC.","container-title":"Current Treatment Options in Oncology","DOI":"10.1007/s11864-020-00815-y","ISSN":"1534-6277","issue":"2","journalAbbreviation":"Curr Treat Options Oncol","language":"eng","note":"PMID: 33423161","page":"11","source":"PubMed","title":"Janus Kinase Inhibitors and Non-Melanoma Skin Cancer","volume":"22","author":[{"family":"Greif","given":"Charlotte S."},{"family":"Srivastava","given":"Divya"},{"family":"Nijhawan","given":"Rajiv I."}],"issued":{"date-parts":[["2021",1,9]]}}},{"id":4442,"uris":["http://zotero.org/users/5409423/items/XPD69XMA"],"itemData":{"id":4442,"type":"article-journal","abstract":"BACKGROUND: Tofacitinib is an oral, small molecule Janus kinase inhibitor for the treatment of ulcerative colitis (UC). We present integrated analyses of nonmelanoma skin cancer (NMSC) incidence in the tofacitinib UC clinical program.\nMETHODS: Nonmelanoma skin cancer events were evaluated from 3 randomized, placebo-controlled studies: 2 identical, 8-week induction studies (NCT01465763, NCT01458951), a 52-week maintenance study (NCT01458574), and an open-label, long-term extension study (NCT01470612). Cohorts analyzed were: Induction, Maintenance, and Overall (patients receiving ≥1 dose of tofacitinib 5 mg or 10 mg twice daily [BID]). An independent adjudication committee reviewed potential NMSC. Proportions and incidence rates (IRs; unique patients with events per 100 patient-years of exposure) for NMSC were evaluated. A Cox proportional hazards model was used for risk factor analysis.\nRESULTS: Nonmelanoma skin cancer was evaluated for 1124 patients (2576.4 patient-years of tofacitinib exposure; ≤6.8 years' treatment). In the Induction Cohort, NMSC IR was 0.00 for placebo and 1.26 for 10 mg BID. Nonmelanoma skin cancer IR was 0.97 for placebo, 0.00 for 5 mg BID and 1.91 for 10 mg BID in the Maintenance Cohort, and 0.73 (n = 19) in the Overall Cohort. No NMSC was metastatic or led to discontinuation. In the Overall Cohort, Cox regression identified prior NMSC (hazard ratio [HR], 9.09; P = 0.0001), tumor necrosis factor inhibitor (TNFi) failure (3.32; P = 0.0363), and age (HR per 10-year increase, 2.03; P = 0.0004) as significant independent NMSC risk factors.\nCONCLUSIONS: For patients receiving tofacitinib, NMSC occurred infrequently. Older age, prior NMSC, and TNFi failure, which are previously reported NMSC risk factors in patients with UC, were associated with increased NMSC risk.","container-title":"Inflammatory Bowel Diseases","DOI":"10.1093/ibd/izab056","ISSN":"1536-4844","issue":"2","journalAbbreviation":"Inflamm Bowel Dis","language":"eng","note":"PMID: 33742652\nPMCID: PMC8804509","page":"234-245","source":"PubMed","title":"Tofacitinib for the Treatment of Ulcerative Colitis: Analysis of Nonmelanoma Skin Cancer Rates From the Ulcerative Colitis Clinical Program","title-short":"Tofacitinib for the Treatment of Ulcerative Colitis","volume":"28","author":[{"family":"Sands","given":"Bruce E."},{"family":"Long","given":"Millie D."},{"family":"Reinisch","given":"Walter"},{"family":"Panés","given":"Julian"},{"family":"Loftus","given":"Edward V."},{"family":"Nduaka","given":"Chudy I."},{"family":"Soonasra","given":"Arif"},{"family":"Mundayat","given":"Rajiv"},{"family":"Lawendy","given":"Nervin"},{"family":"Chan","given":"Gary"},{"family":"Friedman","given":"Gary S."},{"family":"Su","given":"Chinyu"}],"issued":{"date-parts":[["2022",2,1]]}},"label":"page"}],"schema":"https://github.com/citation-style-language/schema/raw/master/csl-citation.json"} </w:instrText>
      </w:r>
      <w:r>
        <w:fldChar w:fldCharType="separate"/>
      </w:r>
      <w:r w:rsidR="00403235" w:rsidRPr="00403235">
        <w:rPr>
          <w:rFonts w:ascii="Calibri Light" w:cs="Calibri Light"/>
          <w:vertAlign w:val="superscript"/>
        </w:rPr>
        <w:t>57,58</w:t>
      </w:r>
      <w:r>
        <w:fldChar w:fldCharType="end"/>
      </w:r>
      <w:r>
        <w:t xml:space="preserve"> </w:t>
      </w:r>
      <w:r w:rsidR="00041449">
        <w:t>Manufacturer guidance</w:t>
      </w:r>
      <w:r w:rsidR="009A4F5E">
        <w:t xml:space="preserve"> </w:t>
      </w:r>
      <w:r>
        <w:t xml:space="preserve">for JAKI </w:t>
      </w:r>
      <w:r w:rsidR="00EE51B8">
        <w:t>suggest</w:t>
      </w:r>
      <w:r>
        <w:t xml:space="preserve"> periodic skin examination, particularly those at higher risk of skin </w:t>
      </w:r>
      <w:r>
        <w:lastRenderedPageBreak/>
        <w:t xml:space="preserve">cancer. </w:t>
      </w:r>
      <w:r w:rsidR="007B7B5C">
        <w:t>Reassuringly, h</w:t>
      </w:r>
      <w:r>
        <w:t xml:space="preserve">owever, the </w:t>
      </w:r>
      <w:r w:rsidR="00056252">
        <w:t>IR</w:t>
      </w:r>
      <w:r w:rsidR="00FB1504">
        <w:t xml:space="preserve"> </w:t>
      </w:r>
      <w:r>
        <w:t xml:space="preserve">of NMSC across the clinical trial programmes for JAKi were low at </w:t>
      </w:r>
      <w:r w:rsidRPr="00DF6DBD">
        <w:t>0.51</w:t>
      </w:r>
      <w:r>
        <w:t>/</w:t>
      </w:r>
      <w:r w:rsidRPr="00DF6DBD">
        <w:t>100 patient-years</w:t>
      </w:r>
      <w:r>
        <w:t>; IR</w:t>
      </w:r>
      <w:r w:rsidRPr="00DF6DBD">
        <w:t xml:space="preserve"> among patients exposed to comparator</w:t>
      </w:r>
      <w:r>
        <w:t xml:space="preserve"> (mainly placebo) was</w:t>
      </w:r>
      <w:r w:rsidRPr="00DF6DBD">
        <w:t xml:space="preserve"> 0.27</w:t>
      </w:r>
      <w:r>
        <w:t>/</w:t>
      </w:r>
      <w:r w:rsidRPr="00DF6DBD">
        <w:t>100 patient-years</w:t>
      </w:r>
      <w:r>
        <w:t>.</w:t>
      </w:r>
    </w:p>
    <w:p w14:paraId="229E2ADE" w14:textId="77777777" w:rsidR="00AF682F" w:rsidRPr="00504113" w:rsidRDefault="00AF682F" w:rsidP="00B711C0"/>
    <w:p w14:paraId="788FC4EC" w14:textId="0F7ECF55" w:rsidR="007D6E7C" w:rsidRPr="00E93657" w:rsidRDefault="007D6E7C" w:rsidP="00B711C0">
      <w:pPr>
        <w:pStyle w:val="Heading2"/>
        <w:spacing w:line="480" w:lineRule="auto"/>
        <w:rPr>
          <w:lang w:val="en-GB"/>
        </w:rPr>
      </w:pPr>
      <w:r w:rsidRPr="00E93657">
        <w:rPr>
          <w:lang w:val="en-GB"/>
        </w:rPr>
        <w:t>Infection</w:t>
      </w:r>
    </w:p>
    <w:p w14:paraId="0A1BFFBF" w14:textId="2875F880" w:rsidR="00B43448" w:rsidRPr="00B43448" w:rsidRDefault="00D80930" w:rsidP="00B711C0">
      <w:r>
        <w:t>The</w:t>
      </w:r>
      <w:r w:rsidR="0099597E">
        <w:t xml:space="preserve"> common</w:t>
      </w:r>
      <w:r w:rsidR="001D6DBA">
        <w:t>est</w:t>
      </w:r>
      <w:r w:rsidR="0099597E">
        <w:t xml:space="preserve"> </w:t>
      </w:r>
      <w:r w:rsidR="00D93881">
        <w:t xml:space="preserve">infections </w:t>
      </w:r>
      <w:r w:rsidR="00310831">
        <w:t xml:space="preserve">affecting the IBD-approved JAKI </w:t>
      </w:r>
      <w:r>
        <w:t xml:space="preserve">in the trials </w:t>
      </w:r>
      <w:r w:rsidR="005979BD">
        <w:t xml:space="preserve">were </w:t>
      </w:r>
      <w:r w:rsidR="001D6DBA">
        <w:t>nasopharyngitis</w:t>
      </w:r>
      <w:r w:rsidR="00EF3D67">
        <w:t xml:space="preserve">, </w:t>
      </w:r>
      <w:r w:rsidR="001D6DBA">
        <w:t>upper respiratory tract infections</w:t>
      </w:r>
      <w:r w:rsidR="00EF3D67">
        <w:t>, and influenza.</w:t>
      </w:r>
      <w:r w:rsidR="00193B43">
        <w:fldChar w:fldCharType="begin"/>
      </w:r>
      <w:r w:rsidR="00403235">
        <w:instrText xml:space="preserve"> ADDIN ZOTERO_ITEM CSL_CITATION {"citationID":"Pn9SlQCj","properties":{"unsorted":true,"formattedCitation":"\\super 9,23,37,30\\nosupersub{}","plainCitation":"9,23,37,30","noteIndex":0},"citationItems":[{"id":4919,"uris":["http://zotero.org/users/5409423/items/VMCQF9UD"],"itemData":{"id":4919,"type":"article-journal","abstract":"BACKGROUND: Tofacitinib, an oral, small-molecule Janus kinase inhibitor, was shown to have potential efficacy as induction therapy for ulcerative colitis in a phase 2 trial. We further evaluated the efficacy of tofacitinib as induction and maintenance therapy.\nMETHODS: We conducted three phase 3, randomized, double-blind, placebo-controlled trials of tofacitinib therapy in adults with ulcerative colitis. In the OCTAVE Induction 1 and 2 trials, 598 and 541 patients, respectively, who had moderately to severely active ulcerative colitis despite previous conventional therapy or therapy with a tumor necrosis factor antagonist were randomly assigned to receive induction therapy with tofacitinib (10 mg twice daily) or placebo for 8 weeks. The primary end point was remission at 8 weeks. In the OCTAVE Sustain trial, 593 patients who had a clinical response to induction therapy were randomly assigned to receive maintenance therapy with tofacitinib (either 5 mg or 10 mg twice daily) or placebo for 52 weeks. The primary end point was remission at 52 weeks.\nRESULTS: In the OCTAVE Induction 1 trial, remission at 8 weeks occurred in 18.5% of the patients in the tofacitinib group versus 8.2% in the placebo group (P=0.007); in the OCTAVE Induction 2 trial, remission occurred in 16.6% versus 3.6% (P&lt;0.001). In the OCTAVE Sustain trial, remission at 52 weeks occurred in 34.3% of the patients in the 5-mg tofacitinib group and 40.6% in the 10-mg tofacitinib group versus 11.1% in the placebo group (P&lt;0.001 for both comparisons with placebo). In the OCTAVE Induction 1 and 2 trials, the rates of overall infection and serious infection were higher with tofacitinib than with placebo. In the OCTAVE Sustain trial, the rate of serious infection was similar across the three treatment groups, and the rates of overall infection and herpes zoster infection were higher with tofacitinib than with placebo. Across all three trials, adjudicated nonmelanoma skin cancer occurred in five patients who received tofacitinib and in one who received placebo, and adjudicated cardiovascular events occurred in five who received tofacitinib and in none who received placebo; as compared with placebo, tofacitinib was associated with increased lipid levels.\nCONCLUSIONS: In patients with moderately to severely active ulcerative colitis, tofacitinib was more effective as induction and maintenance therapy than placebo. (Funded by Pfizer; OCTAVE Induction 1, OCTAVE Induction 2, and OCTAVE Sustain ClinicalTrials.gov numbers, NCT01465763 , NCT01458951 , and NCT01458574 , respectively.).","container-title":"The New England Journal of Medicine","DOI":"10.1056/NEJMoa1606910","ISSN":"1533-4406","issue":"18","journalAbbreviation":"N Engl J Med","language":"eng","note":"PMID: 28467869","page":"1723-1736","source":"PubMed","title":"Tofacitinib as Induction and Maintenance Therapy for Ulcerative Colitis","volume":"376","author":[{"family":"Sandborn","given":"William J."},{"family":"Su","given":"Chinyu"},{"family":"Sands","given":"Bruce E."},{"family":"D'Haens","given":"Geert R."},{"family":"Vermeire","given":"Séverine"},{"family":"Schreiber","given":"Stefan"},{"family":"Danese","given":"Silvio"},{"family":"Feagan","given":"Brian G."},{"family":"Reinisch","given":"Walter"},{"family":"Niezychowski","given":"Wojciech"},{"family":"Friedman","given":"Gary"},{"family":"Lawendy","given":"Nervin"},{"family":"Yu","given":"Dahong"},{"family":"Woodworth","given":"Deborah"},{"family":"Mukherjee","given":"Arnab"},{"family":"Zhang","given":"Haiying"},{"family":"Healey","given":"Paul"},{"family":"Panés","given":"Julian"},{"literal":"OCTAVE Induction 1, OCTAVE Induction 2, and OCTAVE Sustain Investigators"}],"issued":{"date-parts":[["2017",5,4]]}},"label":"page"},{"id":4924,"uris":["http://zotero.org/users/5409423/items/HPVL5QDA"],"itemData":{"id":4924,"type":"article-journal","abstract":"Background\nThe global prevalence of ulcerative colitis is increasing, and induction and maintenance of remission is a crucial therapeutic goal. We assessed the efficacy and safety of filgotinib, a once-daily, oral Janus kinase 1 preferential inhibitor, for treatment of ulcerative colitis.\nMethods\nThis phase 2b/3, double-blind, randomised, placebo-controlled trial including two induction studies and one maintenance study was done in 341 study centres in 40 countries. Eligible patients were aged 18–75 years with moderately to severely active ulcerative colitis for at least 6 months before enrolment (induction study A: inadequate clinical response, loss of response to or intolerance to corticosteroids or immunosuppressants, naive to tumour necrosis factor [TNF] antagonists and vedolizumab [biologic-naive]; induction study B: inadequate clinical response, loss of response to or intolerance to any TNF antagonist or vedolizumab, no TNF antagonist or vedolizumab use within 8 weeks before screening [biologic-experienced]). Patients were randomly assigned 2:2:1 to receive oral filgotinib 200 mg, filgotinib 100 mg, or placebo once per day for 11 weeks. Patients who had either clinical remission or a Mayo Clinic Score response at week 10 in either induction study entered the maintenance study. Patients who received induction filgotinib were rerandomised 2:1 to continue their induction filgotinib regimen or to placebo. Patients who received induction placebo continued receiving placebo. The primary endpoint was clinical remission by Mayo endoscopic, rectal bleeding, and stool frequency subscores at weeks 10 and 58. For the induction studies, efficacy was assessed in all randomised patients who received at least one dose of study drug or placebo within that study. For the maintenance study, efficacy was assessed in all patients randomised to any filgotinib treatment group in the induction studies who received at least one dose of study drug or placebo in the maintenance study. Patients who received placebo throughout the induction and maintenance study were not included in the full analysis set for the maintenance study. Safety was assessed in all patients who received at least one dose of the study drug or placebo within each study. This trial is registered with ClinicalTrials.gov, NCT02914522.\nFindings\nBetween Nov 14, 2016, and March 31, 2020, we screened 2040 patients for eligibility. 659 patients enrolled in induction study A were randomly assigned to receive filgotinib 100 mg (n=277), filgotinib 200 mg (n=245), or placebo (n=137). 689 patients enrolled into induction study B were randomly assigned to receive filgotinib 100 mg (n=285), filgotinib 200 mg (n=262), or placebo (n=142). 34 patients in induction study A and 54 patients in induction study B discontinued the study drug before week 10. After efficacy assessment at week 10, 664 patients entered the maintenance study (391 from induction study A, 273 from induction study B). 93 patients continued to receive placebo. 270 patients who had received filgotinib 100 mg in the induction study were randomly assigned to receive filgotinib 100 mg (n=179) or placebo (n=91). 301 patients who had received filgotinib 200 mg in the induction study were randomly assigned to receive filgotinib 200 mg (n=202) or placebo (n=99). 263 patients discontinued treatment in the maintenance study. At week 10, a greater proportion of patients given filgotinib 200 mg had clinical remission than those given placebo (induction study A 26·1% vs 15·3%, difference 10·8%; 95% CI 2·1–19·5, p=0·0157; induction study B 11·5% vs 4·2%, 7·2%; 1·6–12·8, p=0·0103). At week 58, 37·2% of patients given filgotinib 200 mg had clinical remission versus 11·2% in the respective placebo group (difference 26·0%, 95% CI 16·0–35·9; p&lt;0·0001). Clinical remission was not significantly different between filgotinib 100 mg and placebo at week 10, but was significant by week 58 (23·8% vs 13·5%, 10·4%; 0·0–20·7, p=0·0420). The incidence of serious adverse events and adverse events of interest was similar between treatment groups. In the induction studies, serious adverse events occurred in 28 (5·0%) of 562 patients given filgotinib 100 mg, 22 (4·3%) of 507 patients given filgotinib 200 mg, and 13 (4·7%) of 279 patients given placebo. In the maintenance study, serious adverse events were reported in eight (4·5%) of 179 patients given filgotinib 100 mg, seven (7·7%) of 91 patients in the respective placebo group, nine (4·5%) of 202 patients in the filgotinib 200 mg group, and no patients in the respective placebo group. No deaths were reported during either induction study. Two patients died during the maintenance study; neither was related to treatment.\nInterpretation\nFilgotinib 200 mg was well tolerated, and efficacious in inducing and maintaining clinical remission compared with placebo in patients with moderately to severely active ulcerative colitis.\nFunding\nGilead Sciences.","container-title":"The Lancet","DOI":"10.1016/S0140-6736(21)00666-8","ISSN":"0140-6736","issue":"10292","journalAbbreviation":"The Lancet","language":"en","page":"2372-2384","source":"ScienceDirect","title":"Filgotinib as induction and maintenance therapy for ulcerative colitis (SELECTION): a phase 2b/3 double-blind, randomised, placebo-controlled trial","title-short":"Filgotinib as induction and maintenance therapy for ulcerative colitis (SELECTION)","volume":"397","author":[{"family":"Feagan","given":"Brian G"},{"family":"Danese","given":"Silvio"},{"family":"Loftus","given":"Edward V"},{"family":"Vermeire","given":"Séverine"},{"family":"Schreiber","given":"Stefan"},{"family":"Ritter","given":"Timothy"},{"family":"Fogel","given":"Ronald"},{"family":"Mehta","given":"Rajiv"},{"family":"Nijhawan","given":"Sandeep"},{"family":"Kempiński","given":"Radosław"},{"family":"Filip","given":"Rafał"},{"family":"Hospodarskyy","given":"Ihor"},{"family":"Seidler","given":"Ursula"},{"family":"Seibold","given":"Frank"},{"family":"Beales","given":"Ian L P"},{"family":"Kim","given":"Hyo Jong"},{"family":"McNally","given":"John"},{"family":"Yun","given":"Chohee"},{"family":"Zhao","given":"Sally"},{"family":"Liu","given":"Xiaopeng"},{"family":"Hsueh","given":"Chia-Hsiang"},{"family":"Tasset","given":"Chantal"},{"family":"Besuyen","given":"Robin"},{"family":"Watanabe","given":"Mamoru"},{"family":"Sandborn","given":"William J"},{"family":"Rogler","given":"Gerhard"},{"family":"Hibi","given":"Toshifumi"},{"family":"Peyrin-Biroulet","given":"Laurent"}],"issued":{"date-parts":[["2021",6,19]]}},"label":"page"},{"id":4922,"uris":["http://zotero.org/users/5409423/items/QW9Z9IF4"],"itemData":{"id":4922,"type":"article-journal","abstract":"Background\nThere is a great unmet need for advanced therapies that provide rapid, robust, and sustained disease control for patients with ulcerative colitis. We assessed the efficacy and safety of upadacitinib, an oral selective Janus kinase 1 inhibitor, as induction and maintenance therapy in patients with moderately to severely active ulcerative colitis.\nMethods\nThis phase 3, multicentre, randomised, double-blind, placebo-controlled clinical programme consisted of two replicate induction studies (U-ACHIEVE induction [UC1] and U-ACCOMPLISH [UC2]) and a single maintenance study (U-ACHIEVE maintenance [UC3]). The studies were conducted across Europe, North and South America, Australasia, Africa, and the Asia-Pacific region at 199 clinical centres in 39 countries (UC1), 204 clinical centres in 40 countries (UC2), and 195 clinical centres in 35 countries (UC3). Patients aged 16–75 years with moderately to severely active ulcerative colitis (Adapted Mayo score 5–9; endoscopic subscore 2 or 3) for at least 90 days were randomly assigned (2:1) to oral upadacitinib 45 mg once daily or placebo for 8 weeks (induction studies). Patients who achieved clinical response following 8-week upadacitinib induction were re-randomly assigned (1:1:1) to upadacitinib 15 mg, upadacitinib 30 mg, or placebo for 52 weeks (maintenance study). All patients were randomly assigned using web-based interactive response technology. The primary endpoints were clinical remission per Adapted Mayo score at week 8 (induction) and week 52 (maintenance). The efficacy analyses in the two induction studies were based on the intent-to-treat population, which included all randomised patients who received at least one dose of treatment. In the maintenance study, the primary efficacy analyses reported in this manuscript were based on the first 450 (planned) clinical responders to 8-week induction therapy with upadacitinib 45 mg once daily. The safety analysis population in the induction studies consisted of all randomised patients who received at least one dose of treatment; in the maintenance study, this population included all patients who received at least one dose of treatment as part of the primary analysis population. These studies are registered at ClinicalTrials.gov, NCT02819635 (U-ACHIEVE) and NCT03653026 (U-ACCOMPLISH).\nFindings\nBetween Oct 23, 2018, and Sept 7, 2020, 474 patients were randomly assigned to upadacitinib 45 mg once daily (n=319) or placebo (n=155) in UC1. Between Dec 6, 2018, and Jan 14, 2021, 522 patients were randomly assigned to upadacitinib 45 mg once daily (n=345) or placebo (n=177) in UC2. In UC3, a total of 451 patients (21 from the phase 2b study, 278 from UC1, and 152 from UC2) who achieved a clinical response after 8 weeks of upadacitinib induction treatment were randomly assigned again to upadacitinib 15 mg (n=148), upadacitinib 30 mg (n=154), and placebo (n=149) in the primary analysis population. Statistically significantly more patients achieved clinical remission with upadacitinib 45 mg (83 [26%] of 319 patients in UC1 and 114 [34%] of 341 patients in UC2) than in the placebo group (seven [5%] of 154 patients in UC1 and seven [4%] of 174 patients; p&lt;0·0001; adjusted treatment difference 21·6% [95% CI 15·8–27·4] for UC1 and 29·0% [23·2–34·7] for UC2). In the maintenance study, clinical remission was achieved by statistically significantly more patients receiving upadacitinib (15 mg 63 [42%] of 148; 30 mg 80 [52%] of 154) than those receiving placebo (18 [12%] of 149; p&lt;0·0001; adjusted treatment difference 30·7% [21·7–39·8] for upadacitinib 15 mg vs placebo and 39·0% [29·7–48·2] for upadacitinib 30 mg vs placebo). The most commonly reported adverse events in UC1 were nasopharyngitis (15 [5%] of 319 in the upadacitinib 45 mg group vs six [4%] of 155 in the placebo group), creatine phosphokinase elevation (15 [4%] vs three [2%]), and acne (15 [5%] vs one [1%]). In UC2, the most frequently reported adverse event was acne (24 [7%] of 344 in the upadacitinib 45 mg group vs three [2%] of 177 in the placebo group). In both induction studies, serious adverse events and adverse events leading to discontinuation of treatment were less frequent in the upadacitinib 45 mg group than in the placebo group (serious adverse events eight [3%] vs nine (6%) in UC1 and 11 [3%] vs eight [5%] in UC2; adverse events leading to discontinuation six [2%] vs 14 [9%] in UC1 and six [2%] vs nine [5%] in UC2). In UC3, the most frequently reported adverse events (≥5%) were worsening of ulcerative colitis (19 [13%] of 148 in the upadacitinib 15 mg group vs 11 [7%] of 154 in the upadacitinib 30 mg group vs 45 [30%] of 149 in the placebo group), nasopharyngitis (18 [12%] vs 22 [14%] vs 15 [10%]), creatine phosphokinase elevation (nine [6%] vs 13 [8%] vs three [2%]), arthralgia (nine [6%] vs five [3%] vs 15 [10%]), and upper respiratory tract infection (seven [5%] vs nine [6%] vs six [4%]). The proportion of serious adverse events (ten [7%] vs nine [6%] vs 19 [13%]) and adverse events leading to discontinuation (six [4%] vs ten [6%] vs 17 [11%]) was lower in both upadacitinib groups than in the placebo group. Events of cancer, adjudicated major adverse cardiac events, or venous thromboembolism were reported infrequently. There were no treatment-related deaths.\nInterpretation\nUpadacitinib demonstrated a positive efficacy and safety profile and could be an effective treatment option for patients with moderately to severely active ulcerative colitis.\nFunding\nAbbVie.","container-title":"The Lancet","DOI":"10.1016/S0140-6736(22)00581-5","ISSN":"0140-6736","issue":"10341","journalAbbreviation":"The Lancet","language":"en","page":"2113-2128","source":"ScienceDirect","title":"Upadacitinib as induction and maintenance therapy for moderately to severely active ulcerative colitis: results from three phase 3, multicentre, double-blind, randomised trials","title-short":"Upadacitinib as induction and maintenance therapy for moderately to severely active ulcerative colitis","volume":"399","author":[{"family":"Danese","given":"Silvio"},{"family":"Vermeire","given":"Séverine"},{"family":"Zhou","given":"Wen"},{"family":"Pangan","given":"Aileen L"},{"family":"Siffledeen","given":"Jesse"},{"family":"Greenbloom","given":"Susan"},{"family":"Hébuterne","given":"Xavier"},{"family":"D'Haens","given":"Geert"},{"family":"Nakase","given":"Hiroshi"},{"family":"Panés","given":"Julian"},{"family":"Higgins","given":"Peter D R"},{"family":"Juillerat","given":"Pascal"},{"family":"Lindsay","given":"James O"},{"family":"Loftus","given":"Edward V"},{"family":"Sandborn","given":"William J"},{"family":"Reinisch","given":"Walter"},{"family":"Chen","given":"Min-Hu"},{"family":"Sanchez Gonzalez","given":"Yuri"},{"family":"Huang","given":"Bidan"},{"family":"Xie","given":"Wangang"},{"family":"Liu","given":"John"},{"family":"Weinreich","given":"Michael A"},{"family":"Panaccione","given":"Remo"}],"issued":{"date-parts":[["2022",6,4]]}},"label":"page"},{"id":4926,"uris":["http://zotero.org/users/5409423/items/2SI64HK4"],"itemData":{"id":4926,"type":"article-journal","container-title":"New England Journal of Medicine","DOI":"10.1056/NEJMoa2212728","ISSN":"0028-4793","issue":"21","note":"publisher: Massachusetts Medical Society\n_eprint: https://doi.org/10.1056/NEJMoa2212728\nPMID: 37224198","page":"1966-1980","source":"Taylor and Francis+NEJM","title":"Upadacitinib Induction and Maintenance Therapy for Crohn’s Disease","volume":"388","author":[{"family":"Loftus","given":"Edward V."},{"family":"Panés","given":"Julian"},{"family":"Lacerda","given":"Ana P."},{"family":"Peyrin-Biroulet","given":"Laurent"},{"family":"D’Haens","given":"Geert"},{"family":"Panaccione","given":"Remo"},{"family":"Reinisch","given":"Walter"},{"family":"Louis","given":"Edouard"},{"family":"Chen","given":"Minhu"},{"family":"Nakase","given":"Hiroshi"},{"family":"Begun","given":"Jakob"},{"family":"Boland","given":"Brigid S."},{"family":"Phillips","given":"Charles"},{"family":"Mohamed","given":"Mohamed-Eslam F."},{"family":"Liu","given":"Jianzhong"},{"family":"Geng","given":"Ziqian"},{"family":"Feng","given":"Tian"},{"family":"Dubcenco","given":"Elena"},{"family":"Colombel","given":"Jean-Frederic"}],"issued":{"date-parts":[["2023",5,25]]}},"label":"page"}],"schema":"https://github.com/citation-style-language/schema/raw/master/csl-citation.json"} </w:instrText>
      </w:r>
      <w:r w:rsidR="00193B43">
        <w:fldChar w:fldCharType="separate"/>
      </w:r>
      <w:r w:rsidR="00403235" w:rsidRPr="00403235">
        <w:rPr>
          <w:rFonts w:ascii="Calibri Light" w:cs="Calibri Light"/>
          <w:vertAlign w:val="superscript"/>
        </w:rPr>
        <w:t>9,23,37,30</w:t>
      </w:r>
      <w:r w:rsidR="00193B43">
        <w:fldChar w:fldCharType="end"/>
      </w:r>
      <w:r w:rsidR="00056252">
        <w:t xml:space="preserve"> The IR of serious infection</w:t>
      </w:r>
      <w:r w:rsidR="00C929CF">
        <w:t xml:space="preserve">s </w:t>
      </w:r>
      <w:r w:rsidR="00D10B0C">
        <w:t xml:space="preserve">across all JAKI </w:t>
      </w:r>
      <w:r w:rsidR="00C929CF">
        <w:t>was</w:t>
      </w:r>
      <w:r w:rsidR="00056252">
        <w:t xml:space="preserve"> </w:t>
      </w:r>
      <w:r w:rsidR="00056252" w:rsidRPr="00056252">
        <w:t>2.81</w:t>
      </w:r>
      <w:r w:rsidR="00E44B60">
        <w:t>/</w:t>
      </w:r>
      <w:r w:rsidR="00056252" w:rsidRPr="00056252">
        <w:t>100 person-years</w:t>
      </w:r>
      <w:r w:rsidR="00C929CF">
        <w:t xml:space="preserve"> and were mainly bacterial, including pneumonia</w:t>
      </w:r>
      <w:r w:rsidR="008E7E3A">
        <w:t>s</w:t>
      </w:r>
      <w:r w:rsidR="00C929CF">
        <w:t>, urinary tract and skin infections.</w:t>
      </w:r>
      <w:r w:rsidR="009704B7">
        <w:fldChar w:fldCharType="begin"/>
      </w:r>
      <w:r w:rsidR="00403235">
        <w:instrText xml:space="preserve"> ADDIN ZOTERO_ITEM CSL_CITATION {"citationID":"ZLWZvcXY","properties":{"formattedCitation":"\\super 53\\nosupersub{}","plainCitation":"53","noteIndex":0},"citationItems":[{"id":4445,"uris":["http://zotero.org/users/5409423/items/VVUC29DC"],"itemData":{"id":4445,"type":"article-journal","container-title":"Gastroenterology","DOI":"10.1053/j.gastro.2020.01.001","ISSN":"0016-5085, 1528-0012","issue":"6","journalAbbreviation":"Gastroenterology","language":"English","note":"publisher: Elsevier\nPMID: 31926171","page":"1554-1573.e12","source":"www.gastrojournal.org","title":"Safety of Janus Kinase Inhibitors in Patients With Inflammatory Bowel Diseases or Other Immune-mediated Diseases: A Systematic Review and Meta-Analysis","title-short":"Safety of Janus Kinase Inhibitors in Patients With Inflammatory Bowel Diseases or Other Immune-mediated Diseases","volume":"158","author":[{"family":"Olivera","given":"Pablo A."},{"family":"Lasa","given":"Juan S."},{"family":"Bonovas","given":"Stefanos"},{"family":"Danese","given":"Silvio"},{"family":"Peyrin-Biroulet","given":"Laurent"}],"issued":{"date-parts":[["2020",5,1]]}}}],"schema":"https://github.com/citation-style-language/schema/raw/master/csl-citation.json"} </w:instrText>
      </w:r>
      <w:r w:rsidR="009704B7">
        <w:fldChar w:fldCharType="separate"/>
      </w:r>
      <w:r w:rsidR="00403235" w:rsidRPr="00403235">
        <w:rPr>
          <w:rFonts w:ascii="Calibri Light" w:cs="Calibri Light"/>
          <w:vertAlign w:val="superscript"/>
        </w:rPr>
        <w:t>53</w:t>
      </w:r>
      <w:r w:rsidR="009704B7">
        <w:fldChar w:fldCharType="end"/>
      </w:r>
      <w:r w:rsidR="009704B7">
        <w:t xml:space="preserve"> </w:t>
      </w:r>
      <w:r w:rsidR="00F32225">
        <w:t xml:space="preserve">Rates of tuberculosis </w:t>
      </w:r>
      <w:r w:rsidR="004D4136">
        <w:t>were</w:t>
      </w:r>
      <w:r w:rsidR="00F32225">
        <w:t xml:space="preserve"> low in regions of low to medium incidence but should be screened for pre-initiation.</w:t>
      </w:r>
      <w:r w:rsidR="00F32225">
        <w:fldChar w:fldCharType="begin"/>
      </w:r>
      <w:r w:rsidR="00403235">
        <w:instrText xml:space="preserve"> ADDIN ZOTERO_ITEM CSL_CITATION {"citationID":"GdcNIXZ2","properties":{"formattedCitation":"\\super 59\\nosupersub{}","plainCitation":"59","noteIndex":0},"citationItems":[{"id":5077,"uris":["http://zotero.org/users/5409423/items/P9BK2K8Z"],"itemData":{"id":5077,"type":"article-journal","abstract":"Objectives To evaluate the risk of opportunistic infections (OIs) in patients with rheumatoid arthritis (RA) treated with tofacitinib.\nMethods Phase II, III and long-term extension clinical trial data (April 2013 data-cut) from the tofacitinib RA programme were reviewed. OIs defined a priori included mycobacterial and fungal infections, multidermatomal herpes zoster and other viral infections associated with immunosuppression. For OIs, we calculated crude incidence rates (IRs; per 100 patient-years (95% CI)); for tuberculosis (TB) specifically, we calculated rates stratified by patient enrolment region according to background TB IR (per 100 patient-years): low (≤0.01), medium (&gt;0.01 to ≤0.05) and high (&gt;0.05).\nResults We identified 60 OIs among 5671 subjects; all occurred among tofacitinib-treated patients. TB (crude IR 0.21, 95% CI of (0.14 to 0.30)) was the most common OI (n=26); median time between drug start and diagnosis was 64 weeks (range 15–161 weeks). Twenty-one cases (81%) occurred in countries with high background TB IR, and the rate varied with regional background TB IR: low 0.02 (0.003 to 0.15), medium 0.08 (0.03 to 0.21) and high 0.75 (0.49 to 1.15). In Phase III studies, 263 patients diagnosed with latent TB infection were treated with isoniazid and tofacitinib concurrently; none developed TB. For OIs other than TB, 34 events were reported (crude IR 0.25 (95% CI 0.18 to 0.36)).\nConclusions Within the global tofacitinib RA development programme, TB was the most common OI reported but was rare in regions of low and medium TB incidence. Patients who screen positive for latent TB can be treated with isoniazid during tofacitinib therapy.","container-title":"Annals of the Rheumatic Diseases","DOI":"10.1136/annrheumdis-2015-207319","ISSN":"0003-4967, 1468-2060","issue":"6","language":"en","license":"Published by the BMJ Publishing Group Limited. For permission to use (where not already granted under a licence) please go to http://www.bmj.com/company/products-services/rights-and-licensing/. This is an Open Access article distributed in accordance with the terms of the Creative Commons Attribution (CC BY 4.0) license, which permits others to distribute, remix, adapt and build upon this work, for commercial use, provided the original work is properly cited. See: http://creativecommons.org/licenses/by/4.0/","note":"publisher: BMJ Publishing Group Ltd\nsection: Clinical and epidemiological research\nPMID: 26318385","page":"1133-1138","source":"ard.bmj.com","title":"Tuberculosis and other opportunistic infections in tofacitinib-treated patients with rheumatoid arthritis","volume":"75","author":[{"family":"Winthrop","given":"K. L."},{"family":"Park","given":"S.-H."},{"family":"Gul","given":"A."},{"family":"Cardiel","given":"M. H."},{"family":"Gomez-Reino","given":"J. J."},{"family":"Tanaka","given":"Y."},{"family":"Kwok","given":"K."},{"family":"Lukic","given":"T."},{"family":"Mortensen","given":"E."},{"family":"Leon","given":"D. Ponce","dropping-particle":"de"},{"family":"Riese","given":"R."},{"family":"Valdez","given":"H."}],"issued":{"date-parts":[["2016",6,1]]}}}],"schema":"https://github.com/citation-style-language/schema/raw/master/csl-citation.json"} </w:instrText>
      </w:r>
      <w:r w:rsidR="00F32225">
        <w:fldChar w:fldCharType="separate"/>
      </w:r>
      <w:r w:rsidR="00403235" w:rsidRPr="00403235">
        <w:rPr>
          <w:rFonts w:ascii="Calibri Light" w:cs="Calibri Light"/>
          <w:vertAlign w:val="superscript"/>
        </w:rPr>
        <w:t>59</w:t>
      </w:r>
      <w:r w:rsidR="00F32225">
        <w:fldChar w:fldCharType="end"/>
      </w:r>
      <w:r w:rsidR="00F32225">
        <w:t xml:space="preserve"> </w:t>
      </w:r>
      <w:r w:rsidR="00BE501B">
        <w:t>The most notable</w:t>
      </w:r>
      <w:r w:rsidR="0092598F">
        <w:t xml:space="preserve"> viral</w:t>
      </w:r>
      <w:r w:rsidR="00BE501B">
        <w:t xml:space="preserve"> infection</w:t>
      </w:r>
      <w:r w:rsidR="00074C04">
        <w:t xml:space="preserve"> </w:t>
      </w:r>
      <w:r w:rsidR="006C53CD">
        <w:t>was</w:t>
      </w:r>
      <w:r w:rsidR="00074C04">
        <w:t xml:space="preserve"> a</w:t>
      </w:r>
      <w:r w:rsidR="00A1541F">
        <w:t xml:space="preserve"> dose-dependent i</w:t>
      </w:r>
      <w:r w:rsidR="008F3E1D">
        <w:t xml:space="preserve">ncreased risk of </w:t>
      </w:r>
      <w:r w:rsidR="000E3468">
        <w:t>h</w:t>
      </w:r>
      <w:r w:rsidR="00390A61">
        <w:t>erpes zoster infection</w:t>
      </w:r>
      <w:r w:rsidR="00F84666">
        <w:t xml:space="preserve">, which has </w:t>
      </w:r>
      <w:r w:rsidR="000E3468">
        <w:t xml:space="preserve">been associated across the </w:t>
      </w:r>
      <w:r w:rsidR="00E31E7A">
        <w:t xml:space="preserve">JAKI </w:t>
      </w:r>
      <w:r w:rsidR="000E3468">
        <w:t>class</w:t>
      </w:r>
      <w:r w:rsidR="00390A61">
        <w:t>.</w:t>
      </w:r>
      <w:r w:rsidR="00EC3C07">
        <w:t xml:space="preserve"> </w:t>
      </w:r>
      <w:r w:rsidR="00511C9C">
        <w:t>This</w:t>
      </w:r>
      <w:r w:rsidR="00645D17">
        <w:t xml:space="preserve"> may be explained by the </w:t>
      </w:r>
      <w:r w:rsidR="004B0B39">
        <w:t xml:space="preserve">JAK1-mediated </w:t>
      </w:r>
      <w:r w:rsidR="002E0F05">
        <w:t xml:space="preserve">suppression of </w:t>
      </w:r>
      <w:r w:rsidR="00D72D54">
        <w:t>interferon</w:t>
      </w:r>
      <w:r w:rsidR="00CA16AB">
        <w:t>, which has an antiviral role.</w:t>
      </w:r>
      <w:r w:rsidR="004F5BE4">
        <w:fldChar w:fldCharType="begin"/>
      </w:r>
      <w:r w:rsidR="00403235">
        <w:instrText xml:space="preserve"> ADDIN ZOTERO_ITEM CSL_CITATION {"citationID":"lZWNE12U","properties":{"formattedCitation":"\\super 60\\nosupersub{}","plainCitation":"60","noteIndex":0},"citationItems":[{"id":5046,"uris":["http://zotero.org/users/5409423/items/LQ4UKA7V"],"itemData":{"id":5046,"type":"article-journal","abstract":"Increased risk of herpes zoster (HZ) has been observed in patients with immune-mediated diseases, including rheumatoid arthritis (RA), psoriasis (PsO), and inflammatory bowel disease; this risk can be further increased by the use of immunosuppressive therapy. One advancing modality of therapy for these diseases is Janus kinase (JAK) inhibition. Tofacitinib is an oral JAK inhibitor for the treatment of RA and psoriatic arthritis, which is currently under investigation for the treatment of ulcerative colitis (UC) and was previously investigated for psoriasis. JAK inhibitors have been associated with HZ events in patients across a number of indications. The pathogenesis underlying this risk of HZ is currently unknown. An increased risk of HZ has been noted in patients receiving immunosuppressive therapies for UC, including tofacitinib. In clinical trials, there was a dose-dependent risk of HZ (higher dose linked with increased risk). However, the majority of HZ cases are nonserious and noncomplicated, mild to moderate in severity, and manageable without permanent discontinuation of treatment. This review will discuss HZ risk in patients receiving JAK inhibitors, focusing on tofacitinib with respect to the potential mechanisms and epidemiology of HZ. Current guidelines for the prevention of HZ will be highlighted, and proposed management reviewed.","container-title":"Inflammatory Bowel Diseases","DOI":"10.1093/ibd/izy150","ISSN":"1078-0998","issue":"10","journalAbbreviation":"Inflammatory Bowel Diseases","page":"2173-2182","source":"Silverchair","title":"Herpes Zoster in Patients Receiving JAK Inhibitors For Ulcerative Colitis: Mechanism, Epidemiology, Management, and Prevention","title-short":"Herpes Zoster in Patients Receiving JAK Inhibitors For Ulcerative Colitis","volume":"24","author":[{"family":"Colombel","given":"Jean-Frédéric"}],"issued":{"date-parts":[["2018",9,15]]}}}],"schema":"https://github.com/citation-style-language/schema/raw/master/csl-citation.json"} </w:instrText>
      </w:r>
      <w:r w:rsidR="004F5BE4">
        <w:fldChar w:fldCharType="separate"/>
      </w:r>
      <w:r w:rsidR="00403235" w:rsidRPr="00403235">
        <w:rPr>
          <w:rFonts w:ascii="Calibri Light" w:cs="Calibri Light"/>
          <w:vertAlign w:val="superscript"/>
        </w:rPr>
        <w:t>60</w:t>
      </w:r>
      <w:r w:rsidR="004F5BE4">
        <w:fldChar w:fldCharType="end"/>
      </w:r>
      <w:r w:rsidR="00FD46B9">
        <w:t xml:space="preserve"> Most cases </w:t>
      </w:r>
      <w:r w:rsidR="006277FA">
        <w:t>a</w:t>
      </w:r>
      <w:r w:rsidR="00835D6B">
        <w:t xml:space="preserve">re non-serious </w:t>
      </w:r>
      <w:r w:rsidR="002716AF">
        <w:t>affecting a single dermatome</w:t>
      </w:r>
      <w:r w:rsidR="00DC5F7F">
        <w:t xml:space="preserve"> and </w:t>
      </w:r>
      <w:r w:rsidR="00942D09">
        <w:t>did</w:t>
      </w:r>
      <w:r w:rsidR="00DC5F7F">
        <w:t xml:space="preserve"> not lead to treatment withdrawal.</w:t>
      </w:r>
      <w:r w:rsidR="00AF682F">
        <w:t xml:space="preserve"> Using the lowest JAKI dose possible and vaccination against varicella zoster reactivation </w:t>
      </w:r>
      <w:r w:rsidR="001C0DF3">
        <w:t xml:space="preserve">are the </w:t>
      </w:r>
      <w:r w:rsidR="009D2F53">
        <w:t xml:space="preserve">best ways of mitigating this risk. </w:t>
      </w:r>
      <w:r w:rsidR="003C45F1">
        <w:t xml:space="preserve">Live vaccines are contraindicated during JAKI therapy but </w:t>
      </w:r>
      <w:r w:rsidR="00B43448">
        <w:t xml:space="preserve">the inactivated shingles vaccine (Shingrix) is to be made available </w:t>
      </w:r>
      <w:r w:rsidR="003C45F1">
        <w:t xml:space="preserve">in the UK </w:t>
      </w:r>
      <w:r w:rsidR="0082759D">
        <w:t xml:space="preserve">later in 2023 </w:t>
      </w:r>
      <w:r w:rsidR="00B43448">
        <w:t xml:space="preserve">for immunocompromised patients aged </w:t>
      </w:r>
      <w:r w:rsidR="00B43448" w:rsidRPr="00B43448">
        <w:t>≥</w:t>
      </w:r>
      <w:r w:rsidR="00B43448">
        <w:t xml:space="preserve">50 where </w:t>
      </w:r>
      <w:r w:rsidR="00A8228E">
        <w:t>previously it was</w:t>
      </w:r>
      <w:r w:rsidR="00B43448">
        <w:t xml:space="preserve"> reserved for those </w:t>
      </w:r>
      <w:r w:rsidR="00A8228E">
        <w:t xml:space="preserve">aged </w:t>
      </w:r>
      <w:r w:rsidR="00B43448" w:rsidRPr="00B43448">
        <w:t>≥</w:t>
      </w:r>
      <w:r w:rsidR="00B43448">
        <w:t>70</w:t>
      </w:r>
      <w:r w:rsidR="00A8228E">
        <w:t xml:space="preserve"> years</w:t>
      </w:r>
      <w:r w:rsidR="00B43448">
        <w:t>.</w:t>
      </w:r>
      <w:r w:rsidR="004E1203">
        <w:fldChar w:fldCharType="begin"/>
      </w:r>
      <w:r w:rsidR="00403235">
        <w:instrText xml:space="preserve"> ADDIN ZOTERO_ITEM CSL_CITATION {"citationID":"5CzvaJvn","properties":{"formattedCitation":"\\super 61\\nosupersub{}","plainCitation":"61","noteIndex":0},"citationItems":[{"id":5014,"uris":["http://zotero.org/users/5409423/items/VA6NHAXE"],"itemData":{"id":5014,"type":"webpage","container-title":"GOV.UK","language":"en","title":"Introduction of Shingrix® vaccine for the whole programme and expansion of eligible cohorts letter","URL":"https://www.gov.uk/government/publications/shingles-vaccination-programme-changes-from-september-2023-letter/introduction-of-shingrix-vaccine-for-the-whole-programme-and-expansion-of-eligible-cohorts-letter","accessed":{"date-parts":[["2023",7,18]]}}}],"schema":"https://github.com/citation-style-language/schema/raw/master/csl-citation.json"} </w:instrText>
      </w:r>
      <w:r w:rsidR="004E1203">
        <w:fldChar w:fldCharType="separate"/>
      </w:r>
      <w:r w:rsidR="00403235" w:rsidRPr="00403235">
        <w:rPr>
          <w:rFonts w:ascii="Calibri Light" w:cs="Calibri Light"/>
          <w:vertAlign w:val="superscript"/>
        </w:rPr>
        <w:t>61</w:t>
      </w:r>
      <w:r w:rsidR="004E1203">
        <w:fldChar w:fldCharType="end"/>
      </w:r>
    </w:p>
    <w:p w14:paraId="789AC572" w14:textId="77777777" w:rsidR="00B43448" w:rsidRPr="00E93657" w:rsidRDefault="00B43448" w:rsidP="00B711C0"/>
    <w:p w14:paraId="3DB49028" w14:textId="35B9CD95" w:rsidR="00EA507A" w:rsidRPr="00E93657" w:rsidRDefault="00EA507A" w:rsidP="00B711C0">
      <w:pPr>
        <w:pStyle w:val="Heading2"/>
        <w:spacing w:line="480" w:lineRule="auto"/>
        <w:rPr>
          <w:lang w:val="en-GB"/>
        </w:rPr>
      </w:pPr>
      <w:r w:rsidRPr="00E93657">
        <w:rPr>
          <w:lang w:val="en-GB"/>
        </w:rPr>
        <w:t>Pregnancy</w:t>
      </w:r>
      <w:r w:rsidR="00722FAA">
        <w:rPr>
          <w:lang w:val="en-GB"/>
        </w:rPr>
        <w:t xml:space="preserve"> and</w:t>
      </w:r>
      <w:r w:rsidR="00E74F75">
        <w:rPr>
          <w:lang w:val="en-GB"/>
        </w:rPr>
        <w:t xml:space="preserve"> </w:t>
      </w:r>
      <w:r w:rsidRPr="00E93657">
        <w:rPr>
          <w:lang w:val="en-GB"/>
        </w:rPr>
        <w:t>breastfeeding</w:t>
      </w:r>
    </w:p>
    <w:p w14:paraId="303EF64E" w14:textId="7D708873" w:rsidR="00DE248C" w:rsidRDefault="00F76B4D" w:rsidP="00B711C0">
      <w:r>
        <w:t xml:space="preserve">JAKI are small molecule drugs </w:t>
      </w:r>
      <w:r w:rsidR="003977DC">
        <w:t>that</w:t>
      </w:r>
      <w:r>
        <w:t xml:space="preserve"> cross the placenta throughout pregnancy and </w:t>
      </w:r>
      <w:r w:rsidR="00DC44E4">
        <w:t>have recently been shown to be e</w:t>
      </w:r>
      <w:r>
        <w:t xml:space="preserve">xcreted into </w:t>
      </w:r>
      <w:r w:rsidR="00DC44E4">
        <w:t xml:space="preserve">human </w:t>
      </w:r>
      <w:r>
        <w:t>breast milk.</w:t>
      </w:r>
      <w:r w:rsidR="00631267">
        <w:fldChar w:fldCharType="begin"/>
      </w:r>
      <w:r w:rsidR="00403235">
        <w:instrText xml:space="preserve"> ADDIN ZOTERO_ITEM CSL_CITATION {"citationID":"3MtWlyYe","properties":{"formattedCitation":"\\super 62\\nosupersub{}","plainCitation":"62","noteIndex":0},"citationItems":[{"id":4944,"uris":["http://zotero.org/users/5409423/items/5P85GAU5"],"itemData":{"id":4944,"type":"article-journal","container-title":"The Lancet. Gastroenterology &amp; Hepatology","DOI":"10.1016/S2468-1253(23)00158-9","ISSN":"2468-1253","journalAbbreviation":"Lancet Gastroenterol Hepatol","language":"eng","note":"PMID: 37269871","page":"S2468-1253(23)00158-9","source":"PubMed","title":"Tofacitinib concentrations in plasma and breastmilk of a lactating woman with ulcerative colitis","author":[{"family":"Julsgaard","given":"Mette"},{"family":"Mahadevan","given":"Uma"},{"family":"Vestergaard","given":"Thea"},{"family":"Mols","given":"Raf"},{"family":"Ferrante","given":"Marc"},{"family":"Augustijns","given":"Patrick"}],"issued":{"date-parts":[["2023",5,31]]}}}],"schema":"https://github.com/citation-style-language/schema/raw/master/csl-citation.json"} </w:instrText>
      </w:r>
      <w:r w:rsidR="00631267">
        <w:fldChar w:fldCharType="separate"/>
      </w:r>
      <w:r w:rsidR="00403235" w:rsidRPr="00403235">
        <w:rPr>
          <w:rFonts w:ascii="Calibri Light" w:cs="Calibri Light"/>
          <w:vertAlign w:val="superscript"/>
        </w:rPr>
        <w:t>62</w:t>
      </w:r>
      <w:r w:rsidR="00631267">
        <w:fldChar w:fldCharType="end"/>
      </w:r>
      <w:r w:rsidR="00720D89">
        <w:t xml:space="preserve"> </w:t>
      </w:r>
      <w:r w:rsidR="00DE248C">
        <w:t xml:space="preserve">Pre-clinical studies have shown that JAKI </w:t>
      </w:r>
      <w:r w:rsidR="00AB58C1">
        <w:t xml:space="preserve">at doses much higher than those </w:t>
      </w:r>
      <w:r w:rsidR="00B81CF6">
        <w:t>approved for humans were</w:t>
      </w:r>
      <w:r w:rsidR="00DE248C">
        <w:t xml:space="preserve"> </w:t>
      </w:r>
      <w:r w:rsidR="008D4E0D">
        <w:t>teratogenic</w:t>
      </w:r>
      <w:r w:rsidR="00720D89">
        <w:t xml:space="preserve"> and feticid</w:t>
      </w:r>
      <w:r w:rsidR="00D4537A">
        <w:t>al</w:t>
      </w:r>
      <w:r w:rsidR="007751A9">
        <w:t>.</w:t>
      </w:r>
      <w:r w:rsidR="007751A9">
        <w:fldChar w:fldCharType="begin"/>
      </w:r>
      <w:r w:rsidR="00403235">
        <w:instrText xml:space="preserve"> ADDIN ZOTERO_ITEM CSL_CITATION {"citationID":"QEvC2krL","properties":{"formattedCitation":"\\super 7,16,63\\nosupersub{}","plainCitation":"7,16,63","noteIndex":0},"citationItems":[{"id":4940,"uris":["http://zotero.org/users/5409423/items/HGXICAF8"],"itemData":{"id":4940,"type":"webpage","title":"XELJANZ 5 mg film-coated tablets - Summary of Product Characteristics (SmPC) - (emc)","URL":"https://www.medicines.org.uk/emc/product/2500/smpc","accessed":{"date-parts":[["2023",7,9]]}},"label":"page"},{"id":4985,"uris":["http://zotero.org/users/5409423/items/DPVBZUEQ"],"itemData":{"id":4985,"type":"webpage","title":"Jyseleca 200 mg film-coated tablets - Summary of Product Characteristics (SmPC) - (emc)","URL":"https://www.medicines.org.uk/emc/product/11810/smpc","accessed":{"date-parts":[["2023",7,13]]}},"label":"page"},{"id":4163,"uris":["http://zotero.org/users/5409423/items/SAD49FYA"],"itemData":{"id":4163,"type":"webpage","title":"Upadacitinib (RINVOQ®) Achieved Clinical Remission and Endoscopic Response at One Year in Phase 3 Maintenance Study in Patients with Crohn's Disease | AbbVie News Center","URL":"https://news.abbvie.com/news/press-releases/upadacitinib-rinvoq-achieved-clinical-remission-and-endoscopic-response-at-one-year-in-phase-3-maintenance-study-in-patients-with-crohns-disease.htm","accessed":{"date-parts":[["2023",2,6]]}},"label":"page"}],"schema":"https://github.com/citation-style-language/schema/raw/master/csl-citation.json"} </w:instrText>
      </w:r>
      <w:r w:rsidR="007751A9">
        <w:fldChar w:fldCharType="separate"/>
      </w:r>
      <w:r w:rsidR="00403235" w:rsidRPr="00403235">
        <w:rPr>
          <w:rFonts w:ascii="Calibri Light" w:cs="Calibri Light"/>
          <w:vertAlign w:val="superscript"/>
        </w:rPr>
        <w:t>7,16,63</w:t>
      </w:r>
      <w:r w:rsidR="007751A9">
        <w:fldChar w:fldCharType="end"/>
      </w:r>
      <w:r w:rsidR="007751A9">
        <w:t xml:space="preserve"> C</w:t>
      </w:r>
      <w:r w:rsidR="00510ADE">
        <w:t xml:space="preserve">ontraception is advised for </w:t>
      </w:r>
      <w:r w:rsidR="00AA78EA">
        <w:t xml:space="preserve">all </w:t>
      </w:r>
      <w:r w:rsidR="000935EB">
        <w:t xml:space="preserve">female </w:t>
      </w:r>
      <w:r w:rsidR="003B7AF1">
        <w:t>patients</w:t>
      </w:r>
      <w:r w:rsidR="000677AA">
        <w:t xml:space="preserve"> during treatment </w:t>
      </w:r>
      <w:r w:rsidR="00C41599">
        <w:t>JAKI</w:t>
      </w:r>
      <w:r w:rsidR="009217B3">
        <w:t xml:space="preserve"> and for </w:t>
      </w:r>
      <w:r w:rsidR="009217B3">
        <w:lastRenderedPageBreak/>
        <w:t>one week after the last dose of filgotinib and four weeks for tofacitinib and upadacitinib, as per manufacturer instructions</w:t>
      </w:r>
      <w:r w:rsidR="0045065A">
        <w:t>.</w:t>
      </w:r>
      <w:r w:rsidR="00C41599">
        <w:t xml:space="preserve"> </w:t>
      </w:r>
      <w:r w:rsidR="0045065A">
        <w:t>B</w:t>
      </w:r>
      <w:r w:rsidR="00C41599">
        <w:t xml:space="preserve">reastfeeding is not recommended. </w:t>
      </w:r>
      <w:r w:rsidR="00275435">
        <w:t>Outcomes from m</w:t>
      </w:r>
      <w:r w:rsidR="00AB58C1">
        <w:t>aterna</w:t>
      </w:r>
      <w:r w:rsidR="00275435">
        <w:t>l</w:t>
      </w:r>
      <w:r w:rsidR="00AB58C1">
        <w:t xml:space="preserve"> </w:t>
      </w:r>
      <w:r w:rsidR="00275435">
        <w:t xml:space="preserve">tofacitinib </w:t>
      </w:r>
      <w:r w:rsidR="00AB58C1">
        <w:t xml:space="preserve">exposure </w:t>
      </w:r>
      <w:r w:rsidR="00E750E8">
        <w:t xml:space="preserve">of 62 patients </w:t>
      </w:r>
      <w:r w:rsidR="00AE6AAB">
        <w:t xml:space="preserve">across the UC, RA, and </w:t>
      </w:r>
      <w:r w:rsidR="00177421">
        <w:t>psoriasis</w:t>
      </w:r>
      <w:r w:rsidR="00AE6AAB">
        <w:t xml:space="preserve"> trials</w:t>
      </w:r>
      <w:r w:rsidR="00275435">
        <w:t xml:space="preserve"> were not dissimilar to the general population, although </w:t>
      </w:r>
      <w:r w:rsidR="0044299B">
        <w:t xml:space="preserve">this </w:t>
      </w:r>
      <w:r w:rsidR="00631267">
        <w:t xml:space="preserve">is </w:t>
      </w:r>
      <w:r w:rsidR="00275435">
        <w:t>hindered by a small sample size.</w:t>
      </w:r>
      <w:r w:rsidR="00AE6AAB">
        <w:fldChar w:fldCharType="begin"/>
      </w:r>
      <w:r w:rsidR="00403235">
        <w:instrText xml:space="preserve"> ADDIN ZOTERO_ITEM CSL_CITATION {"citationID":"5RGudvMU","properties":{"formattedCitation":"\\super 64,65\\nosupersub{}","plainCitation":"64,65","noteIndex":0},"citationItems":[{"id":5052,"uris":["http://zotero.org/users/5409423/items/JGN7J43F"],"itemData":{"id":5052,"type":"article-journal","abstract":"An abstract is unavailable.","container-title":"Official journal of the American College of Gastroenterology | ACG","DOI":"10.14309/01.ajg.0000705436.64452.7d","ISSN":"0002-9270","language":"en-US","page":"S437","source":"journals.lww.com","title":"S0847 Pregnancy Outcomes in the Tofacitinib Ulcerative Colitis OCTAVE Studies: An Update as of February 2020","title-short":"S0847 Pregnancy Outcomes in the Tofacitinib Ulcerative Colitis OCTAVE Studies","volume":"115","author":[{"family":"Mahadevan","given":"Uma"},{"family":"Baumgart","given":"Daniel C."},{"family":"Dubinsky","given":"Marla C."},{"family":"Yamamoto-Furusho","given":"Jesús K."},{"family":"Lawendy","given":"Nervin"},{"family":"Konijeti","given":"Gauree G."},{"family":"Gröchenig","given":"Hans P."},{"family":"Jones","given":"Thomas V."},{"family":"Kulisek","given":"Nicole"},{"family":"Kwok","given":"Kenneth"},{"family":"Su","given":"Chinyu"}],"issued":{"date-parts":[["2020",10]]}},"label":"page"},{"id":5053,"uris":["http://zotero.org/users/5409423/items/P5N9G77H"],"itemData":{"id":5053,"type":"article-journal","abstract":"Introduction\nTofacitinib is an oral Janus kinase inhibitor for the treatment of rheumatoid arthritis (RA), and is being investigated for the treatment of psoriasis. Both conditions can present in women of child-bearing potential, but pregnancy was an exclusion and discontinuation criterion in tofacitinib randomized controlled trials (RCTs) because of the unknown effects of tofacitinib on mother and child. Tofacitinib is a small molecule that has the potential to cross the placenta.\n\nObjective\nThe objective was to report outcomes of pregnancy cases identified through April 2014 from tofacitinib RA/psoriasis RCTs, RA post-approval non-interventional studies, and spontaneous adverse-event reporting.\n\nMethods\nPregnancy outcomes were categorized as follows: healthy newborn, medical termination, fetal death, congenital malformation, spontaneous abortion, or pending/lost to follow-up.\n\nResults\nOut of 9815 patients, 1821 female patients of child-bearing age were enrolled in the RA/psoriasis RCTs; 47 women became pregnant, including 33 who received tofacitinib monotherapy, 13 who received combination therapy with methotrexate (RA patients only), and one patient whose therapy was still blinded. No fetal deaths were reported. One congenital pulmonary valve stenosis (monotherapy, n = 1), seven spontaneous abortions (monotherapy, n = 4; combination therapy, n = 3), and eight medical terminations (monotherapy, n = 4; combination therapy, n = 3; blinded therapy, n = 1) were identified. Remaining cases reported healthy newborns (n = 25) or were pending/lost to follow-up (n = 6). Forty-four cases of paternal exposure to tofacitinib were reported (monotherapy, n = 43; combination therapy, n = 1), including five spontaneous abortions (monotherapy, n = 4; combination therapy, n = 1), 23 healthy newborns, and 16 pending/lost to follow-up.\n\nConclusions\nThe pregnancy outcomes reported in this small number of RA/psoriasis patients appear similar to those observed in the general population and in patients treated with biologic therapies for inflammatory diseases. However, definitive conclusions cannot be drawn, and pregnancy outcomes in patients receiving tofacitinib will continue to be monitored.\n\nElectronic supplementary material\nThe online version of this article (doi:10.1007/s40264-016-0431-z) contains supplementary material, which is available to authorized users.","container-title":"Drug Safety","DOI":"10.1007/s40264-016-0431-z","ISSN":"0114-5916","journalAbbreviation":"Drug Saf","note":"PMID: 27282428\nPMCID: PMC4933738","page":"755-762","source":"PubMed Central","title":"Pregnancy Outcomes in the Tofacitinib Safety Databases for Rheumatoid Arthritis and Psoriasis","volume":"39","author":[{"family":"Clowse","given":"Megan E. B."},{"family":"Feldman","given":"Steven R."},{"family":"Isaacs","given":"John D."},{"family":"Kimball","given":"Alexandra B."},{"family":"Strand","given":"Vibeke"},{"family":"Warren","given":"Richard B."},{"family":"Xibillé","given":"Daniel"},{"family":"Chen","given":"Yan"},{"family":"Frazier","given":"Donald"},{"family":"Geier","given":"Jamie"},{"family":"Proulx","given":"James"},{"family":"Marren","given":"Amy"}],"issued":{"date-parts":[["2016"]]}},"label":"page"}],"schema":"https://github.com/citation-style-language/schema/raw/master/csl-citation.json"} </w:instrText>
      </w:r>
      <w:r w:rsidR="00AE6AAB">
        <w:fldChar w:fldCharType="separate"/>
      </w:r>
      <w:r w:rsidR="00403235" w:rsidRPr="00403235">
        <w:rPr>
          <w:rFonts w:ascii="Calibri Light" w:cs="Calibri Light"/>
          <w:vertAlign w:val="superscript"/>
        </w:rPr>
        <w:t>64,65</w:t>
      </w:r>
      <w:r w:rsidR="00AE6AAB">
        <w:fldChar w:fldCharType="end"/>
      </w:r>
      <w:r w:rsidR="00797CA1">
        <w:t xml:space="preserve"> Pregnancy outcomes for filgotinib and upadacitinib are scar</w:t>
      </w:r>
      <w:r w:rsidR="00690B39">
        <w:t>c</w:t>
      </w:r>
      <w:r w:rsidR="00797CA1">
        <w:t>e.</w:t>
      </w:r>
    </w:p>
    <w:p w14:paraId="29FBB501" w14:textId="77777777" w:rsidR="00147315" w:rsidRPr="00E93657" w:rsidRDefault="00147315" w:rsidP="002D6A4E"/>
    <w:p w14:paraId="3896DCBB" w14:textId="29099276" w:rsidR="002D6A4E" w:rsidRPr="00E93657" w:rsidRDefault="00DA1765" w:rsidP="00E24155">
      <w:pPr>
        <w:pStyle w:val="Heading2"/>
        <w:spacing w:line="480" w:lineRule="auto"/>
        <w:rPr>
          <w:lang w:val="en-GB"/>
        </w:rPr>
      </w:pPr>
      <w:r>
        <w:rPr>
          <w:lang w:val="en-GB"/>
        </w:rPr>
        <w:t>Restrictions to JAKI use: u</w:t>
      </w:r>
      <w:r w:rsidR="002D6A4E" w:rsidRPr="00E93657">
        <w:rPr>
          <w:lang w:val="en-GB"/>
        </w:rPr>
        <w:t xml:space="preserve">pdate from </w:t>
      </w:r>
      <w:r w:rsidR="0087339F">
        <w:rPr>
          <w:lang w:val="en-GB"/>
        </w:rPr>
        <w:t>the EMA and MHRA</w:t>
      </w:r>
    </w:p>
    <w:p w14:paraId="54F03E82" w14:textId="1F9ADE11" w:rsidR="009B7F3A" w:rsidRDefault="00147DE5" w:rsidP="009B7F3A">
      <w:r>
        <w:t>Following the publication of ORAL SURVEILLANCE</w:t>
      </w:r>
      <w:r w:rsidR="003114CB">
        <w:t xml:space="preserve"> in early 2022</w:t>
      </w:r>
      <w:r>
        <w:t xml:space="preserve">, </w:t>
      </w:r>
      <w:r w:rsidR="00DB332A">
        <w:t>t</w:t>
      </w:r>
      <w:r w:rsidR="002051AD" w:rsidRPr="00E93657">
        <w:t xml:space="preserve">he JAKI class of drugs </w:t>
      </w:r>
      <w:r w:rsidR="00766CC3">
        <w:t>were</w:t>
      </w:r>
      <w:r w:rsidR="002051AD" w:rsidRPr="00E93657">
        <w:t xml:space="preserve"> </w:t>
      </w:r>
      <w:r w:rsidR="00A176FD">
        <w:t>placed</w:t>
      </w:r>
      <w:r w:rsidR="002051AD" w:rsidRPr="00E93657">
        <w:t xml:space="preserve"> </w:t>
      </w:r>
      <w:r w:rsidR="00815BDE">
        <w:t xml:space="preserve">under </w:t>
      </w:r>
      <w:r w:rsidR="007D00CE">
        <w:t xml:space="preserve">safety </w:t>
      </w:r>
      <w:r w:rsidR="002051AD" w:rsidRPr="00E93657">
        <w:t xml:space="preserve">review by </w:t>
      </w:r>
      <w:r w:rsidR="00031D3F">
        <w:t xml:space="preserve">the </w:t>
      </w:r>
      <w:r w:rsidR="0010035D" w:rsidRPr="00E93657">
        <w:t>Pharmacovigilance Risk Assessment Committee</w:t>
      </w:r>
      <w:r w:rsidR="00251F0C">
        <w:t xml:space="preserve"> (PRAC)</w:t>
      </w:r>
      <w:r w:rsidR="0010035D" w:rsidRPr="00E93657">
        <w:t xml:space="preserve">, a branch of </w:t>
      </w:r>
      <w:r w:rsidR="002051AD" w:rsidRPr="00E93657">
        <w:t xml:space="preserve">the </w:t>
      </w:r>
      <w:r w:rsidR="009E323F">
        <w:t>EMA</w:t>
      </w:r>
      <w:r w:rsidR="00095E80" w:rsidRPr="00E93657">
        <w:t>.</w:t>
      </w:r>
      <w:r w:rsidR="009718C9" w:rsidRPr="00E93657">
        <w:fldChar w:fldCharType="begin"/>
      </w:r>
      <w:r w:rsidR="00F26098">
        <w:instrText xml:space="preserve"> ADDIN ZOTERO_ITEM CSL_CITATION {"citationID":"OGM3BDe0","properties":{"formattedCitation":"\\super 4\\nosupersub{}","plainCitation":"4","noteIndex":0},"citationItems":[{"id":4165,"uris":["http://zotero.org/users/5409423/items/UQ6UQLDT"],"itemData":{"id":4165,"type":"webpage","abstract":"Janus kinase inhibitors (JAKi)","container-title":"European Medicines Agency","genre":"Text","language":"en","title":"Janus kinase inhibitors (JAKi)","URL":"https://www.ema.europa.eu/en/medicines/human/referrals/janus-kinase-inhibitors-jaki","author":[{"family":"EMA","given":""}],"accessed":{"date-parts":[["2023",2,6]]},"issued":{"date-parts":[["2022",2,11]]}}}],"schema":"https://github.com/citation-style-language/schema/raw/master/csl-citation.json"} </w:instrText>
      </w:r>
      <w:r w:rsidR="009718C9" w:rsidRPr="00E93657">
        <w:fldChar w:fldCharType="separate"/>
      </w:r>
      <w:r w:rsidR="00F26098" w:rsidRPr="00F26098">
        <w:rPr>
          <w:rFonts w:ascii="Calibri Light" w:cs="Calibri Light"/>
          <w:vertAlign w:val="superscript"/>
        </w:rPr>
        <w:t>4</w:t>
      </w:r>
      <w:r w:rsidR="009718C9" w:rsidRPr="00E93657">
        <w:fldChar w:fldCharType="end"/>
      </w:r>
      <w:r w:rsidR="00095E80" w:rsidRPr="00E93657">
        <w:t xml:space="preserve"> </w:t>
      </w:r>
      <w:r w:rsidR="001D68A5">
        <w:t xml:space="preserve">PRAC </w:t>
      </w:r>
      <w:r w:rsidR="00E23294">
        <w:t>recommendation</w:t>
      </w:r>
      <w:r w:rsidR="00B234F8">
        <w:t xml:space="preserve">s were </w:t>
      </w:r>
      <w:r w:rsidR="00095E80" w:rsidRPr="00E93657">
        <w:t xml:space="preserve">issued in </w:t>
      </w:r>
      <w:r w:rsidR="00C66B31" w:rsidRPr="00E93657">
        <w:t>October</w:t>
      </w:r>
      <w:r w:rsidR="00095E80" w:rsidRPr="00E93657">
        <w:t xml:space="preserve"> 2022</w:t>
      </w:r>
      <w:r w:rsidR="001241B5">
        <w:t xml:space="preserve"> and</w:t>
      </w:r>
      <w:r w:rsidR="00452C57">
        <w:t xml:space="preserve"> </w:t>
      </w:r>
      <w:r w:rsidR="000F30B4">
        <w:t>were endorsed and approved by the</w:t>
      </w:r>
      <w:r w:rsidR="008923F7">
        <w:t xml:space="preserve"> EMA’s European Commission in March 2023</w:t>
      </w:r>
      <w:r w:rsidR="00EB2194" w:rsidRPr="00E93657">
        <w:t>.</w:t>
      </w:r>
      <w:r w:rsidR="0028261B" w:rsidRPr="00E93657">
        <w:fldChar w:fldCharType="begin"/>
      </w:r>
      <w:r w:rsidR="00F26098">
        <w:instrText xml:space="preserve"> ADDIN ZOTERO_ITEM CSL_CITATION {"citationID":"dByne9an","properties":{"formattedCitation":"\\super 4\\nosupersub{}","plainCitation":"4","noteIndex":0},"citationItems":[{"id":4165,"uris":["http://zotero.org/users/5409423/items/UQ6UQLDT"],"itemData":{"id":4165,"type":"webpage","abstract":"Janus kinase inhibitors (JAKi)","container-title":"European Medicines Agency","genre":"Text","language":"en","title":"Janus kinase inhibitors (JAKi)","URL":"https://www.ema.europa.eu/en/medicines/human/referrals/janus-kinase-inhibitors-jaki","author":[{"family":"EMA","given":""}],"accessed":{"date-parts":[["2023",2,6]]},"issued":{"date-parts":[["2022",2,11]]}}}],"schema":"https://github.com/citation-style-language/schema/raw/master/csl-citation.json"} </w:instrText>
      </w:r>
      <w:r w:rsidR="0028261B" w:rsidRPr="00E93657">
        <w:fldChar w:fldCharType="separate"/>
      </w:r>
      <w:r w:rsidR="00F26098" w:rsidRPr="00F26098">
        <w:rPr>
          <w:rFonts w:ascii="Calibri Light" w:cs="Calibri Light"/>
          <w:vertAlign w:val="superscript"/>
        </w:rPr>
        <w:t>4</w:t>
      </w:r>
      <w:r w:rsidR="0028261B" w:rsidRPr="00E93657">
        <w:fldChar w:fldCharType="end"/>
      </w:r>
      <w:r w:rsidR="00EB2194" w:rsidRPr="00E93657">
        <w:t xml:space="preserve"> </w:t>
      </w:r>
      <w:r w:rsidR="00E64AFE">
        <w:t xml:space="preserve">The MHRA followed </w:t>
      </w:r>
      <w:r w:rsidR="008D4AA8">
        <w:t>suit and issued a statement in Apri</w:t>
      </w:r>
      <w:r w:rsidR="007760C2">
        <w:t xml:space="preserve">l </w:t>
      </w:r>
      <w:r w:rsidR="008D4AA8">
        <w:t>2023.</w:t>
      </w:r>
      <w:r w:rsidR="00333D1D">
        <w:fldChar w:fldCharType="begin"/>
      </w:r>
      <w:r w:rsidR="00F26098">
        <w:instrText xml:space="preserve"> ADDIN ZOTERO_ITEM CSL_CITATION {"citationID":"eF1NWnQN","properties":{"formattedCitation":"\\super 5\\nosupersub{}","plainCitation":"5","noteIndex":0},"citationItems":[{"id":5020,"uris":["http://zotero.org/users/5409423/items/PPJXG9W9"],"itemData":{"id":5020,"type":"article-journal","abstract":"We inform healthcare professionals of new risk minimisation measures for JAK inhibitors used to treat chronic inflammatory disorders, consistent with the measures introduced for tofacitinib (Xeljanz) in 2020 and 2021. This advice affects abrocitinib (Cibinqo</w:instrText>
      </w:r>
      <w:r w:rsidR="00F26098">
        <w:rPr>
          <w:rFonts w:ascii="Arial" w:hAnsi="Arial" w:cs="Arial"/>
        </w:rPr>
        <w:instrText>▼</w:instrText>
      </w:r>
      <w:r w:rsidR="00F26098">
        <w:instrText>), baricitinib (Olumiant), upadacitinib (Rinvoq</w:instrText>
      </w:r>
      <w:r w:rsidR="00F26098">
        <w:rPr>
          <w:rFonts w:ascii="Arial" w:hAnsi="Arial" w:cs="Arial"/>
        </w:rPr>
        <w:instrText>▼</w:instrText>
      </w:r>
      <w:r w:rsidR="00F26098">
        <w:instrText>), and filgotinib (Jyseleca</w:instrText>
      </w:r>
      <w:r w:rsidR="00F26098">
        <w:rPr>
          <w:rFonts w:ascii="Arial" w:hAnsi="Arial" w:cs="Arial"/>
        </w:rPr>
        <w:instrText>▼</w:instrText>
      </w:r>
      <w:r w:rsidR="00F26098">
        <w:instrText xml:space="preserve">) when used for chronic inflammatory disorders.","container-title":"GOV.UK","issue":"9","journalAbbreviation":"Drug Safety Update","language":"en","page":"2","title":"Janus kinase (JAK) inhibitors: new measures to reduce risks of major cardiovascular events, malignancy, venous thromboembolism, serious infections and increased mortality","title-short":"Janus kinase (JAK) inhibitors","volume":"16","issued":{"date-parts":[["2023"]]}}}],"schema":"https://github.com/citation-style-language/schema/raw/master/csl-citation.json"} </w:instrText>
      </w:r>
      <w:r w:rsidR="00333D1D">
        <w:fldChar w:fldCharType="separate"/>
      </w:r>
      <w:r w:rsidR="00F26098" w:rsidRPr="00F26098">
        <w:rPr>
          <w:rFonts w:ascii="Calibri Light" w:cs="Calibri Light"/>
          <w:vertAlign w:val="superscript"/>
        </w:rPr>
        <w:t>5</w:t>
      </w:r>
      <w:r w:rsidR="00333D1D">
        <w:fldChar w:fldCharType="end"/>
      </w:r>
      <w:r w:rsidR="008D4AA8">
        <w:t xml:space="preserve"> </w:t>
      </w:r>
      <w:r w:rsidR="009D70CF">
        <w:t>Box 1 outlines</w:t>
      </w:r>
      <w:r w:rsidR="000825E4">
        <w:t xml:space="preserve"> these recommendatio</w:t>
      </w:r>
      <w:r w:rsidR="00D94730">
        <w:t xml:space="preserve">ns, which apply to all JAKI </w:t>
      </w:r>
      <w:r w:rsidR="00AF003A">
        <w:t>indicated for</w:t>
      </w:r>
      <w:r w:rsidR="00D94730">
        <w:t xml:space="preserve"> chronic inflammatory diseases</w:t>
      </w:r>
      <w:r w:rsidR="00316446">
        <w:t xml:space="preserve">; </w:t>
      </w:r>
      <w:proofErr w:type="spellStart"/>
      <w:r w:rsidR="00316446">
        <w:t>fedracitinib</w:t>
      </w:r>
      <w:proofErr w:type="spellEnd"/>
      <w:r w:rsidR="00316446">
        <w:t xml:space="preserve"> (</w:t>
      </w:r>
      <w:proofErr w:type="spellStart"/>
      <w:r w:rsidR="00316446">
        <w:t>Inrebic</w:t>
      </w:r>
      <w:proofErr w:type="spellEnd"/>
      <w:r w:rsidR="00316446">
        <w:t xml:space="preserve">) </w:t>
      </w:r>
      <w:r w:rsidR="00A64703">
        <w:t xml:space="preserve">and </w:t>
      </w:r>
      <w:proofErr w:type="spellStart"/>
      <w:r w:rsidR="00316446">
        <w:t>ruxolitinib</w:t>
      </w:r>
      <w:proofErr w:type="spellEnd"/>
      <w:r w:rsidR="00316446">
        <w:t xml:space="preserve"> (</w:t>
      </w:r>
      <w:proofErr w:type="spellStart"/>
      <w:r w:rsidR="00316446">
        <w:t>Jakavi</w:t>
      </w:r>
      <w:proofErr w:type="spellEnd"/>
      <w:r w:rsidR="00316446">
        <w:t>)</w:t>
      </w:r>
      <w:r w:rsidR="00AD5B19">
        <w:t xml:space="preserve"> </w:t>
      </w:r>
      <w:r w:rsidR="000E7674">
        <w:t xml:space="preserve">for </w:t>
      </w:r>
      <w:r w:rsidR="00FB41CA">
        <w:t>myeloproliferative diseases</w:t>
      </w:r>
      <w:r w:rsidR="00714D1A">
        <w:t>, and bari</w:t>
      </w:r>
      <w:r w:rsidR="00AD5B19">
        <w:t>ci</w:t>
      </w:r>
      <w:r w:rsidR="00714D1A">
        <w:t>tinib</w:t>
      </w:r>
      <w:r w:rsidR="00AD5B19">
        <w:t xml:space="preserve">, </w:t>
      </w:r>
      <w:r w:rsidR="00714D1A">
        <w:t>when used short-term</w:t>
      </w:r>
      <w:r w:rsidR="001B71F8">
        <w:t xml:space="preserve"> for the treatment of </w:t>
      </w:r>
      <w:r w:rsidR="00AD5B19">
        <w:t>COVID-19, are exempt.</w:t>
      </w:r>
      <w:r w:rsidR="0029637C">
        <w:t xml:space="preserve"> There is a degree of clinical </w:t>
      </w:r>
      <w:r w:rsidR="001D079A">
        <w:t xml:space="preserve">judgement with the wording of the </w:t>
      </w:r>
      <w:r w:rsidR="00D06A4D">
        <w:t>recommendations</w:t>
      </w:r>
      <w:r w:rsidR="008F1EC3">
        <w:t>,</w:t>
      </w:r>
      <w:r w:rsidR="00394BD1">
        <w:t xml:space="preserve"> for example,</w:t>
      </w:r>
      <w:r w:rsidR="000271E1">
        <w:t xml:space="preserve"> </w:t>
      </w:r>
      <w:r w:rsidR="00966E32">
        <w:t xml:space="preserve">the degree of </w:t>
      </w:r>
      <w:r w:rsidR="001C0F9C">
        <w:t>previous smoking exposure</w:t>
      </w:r>
      <w:r w:rsidR="004B1347">
        <w:t xml:space="preserve"> and </w:t>
      </w:r>
      <w:r w:rsidR="008F1EC3">
        <w:t>risk factors for cancer are open to interpretation.</w:t>
      </w:r>
      <w:r w:rsidR="003F69D1">
        <w:t xml:space="preserve"> </w:t>
      </w:r>
      <w:r w:rsidR="008C519E">
        <w:t>This is unlikely to be the end of the</w:t>
      </w:r>
      <w:r w:rsidR="003F69D1">
        <w:t xml:space="preserve"> turbulent </w:t>
      </w:r>
      <w:r w:rsidR="008C519E">
        <w:t>JAKI story</w:t>
      </w:r>
      <w:r w:rsidR="00ED26F3">
        <w:t>;</w:t>
      </w:r>
      <w:r w:rsidR="00F67264">
        <w:t xml:space="preserve"> while</w:t>
      </w:r>
      <w:r w:rsidR="00B51D0B">
        <w:t xml:space="preserve"> filgotinib </w:t>
      </w:r>
      <w:r w:rsidR="00E84B14">
        <w:t xml:space="preserve">and upadacitinib </w:t>
      </w:r>
      <w:r w:rsidR="004E5B08">
        <w:t xml:space="preserve">are exempt from </w:t>
      </w:r>
      <w:r w:rsidR="00ED26F3">
        <w:t>post-</w:t>
      </w:r>
      <w:r w:rsidR="006D2281">
        <w:t xml:space="preserve">market </w:t>
      </w:r>
      <w:r w:rsidR="00B34ADE">
        <w:t>FDA-</w:t>
      </w:r>
      <w:r w:rsidR="006D2281">
        <w:t>required</w:t>
      </w:r>
      <w:r w:rsidR="00ED26F3">
        <w:t xml:space="preserve"> </w:t>
      </w:r>
      <w:r w:rsidR="004F37AA">
        <w:t xml:space="preserve">studies, </w:t>
      </w:r>
      <w:r w:rsidR="001E0C1F">
        <w:t xml:space="preserve">results from </w:t>
      </w:r>
      <w:r w:rsidR="004F37AA">
        <w:t xml:space="preserve">the ongoing </w:t>
      </w:r>
      <w:r w:rsidR="00045084">
        <w:t xml:space="preserve">baricitinib </w:t>
      </w:r>
      <w:r w:rsidR="00E23B10">
        <w:t xml:space="preserve">studies </w:t>
      </w:r>
      <w:r w:rsidR="0046642D">
        <w:t xml:space="preserve">may well </w:t>
      </w:r>
      <w:r w:rsidR="00BD1806">
        <w:t xml:space="preserve">lead to yet another </w:t>
      </w:r>
      <w:r w:rsidR="00E857AB">
        <w:t>change in the recommendations and guidance</w:t>
      </w:r>
      <w:r w:rsidR="0028083C">
        <w:t>.</w:t>
      </w:r>
      <w:r w:rsidR="009B7F3A">
        <w:br w:type="page"/>
      </w:r>
    </w:p>
    <w:tbl>
      <w:tblPr>
        <w:tblStyle w:val="GridTable4-Accent1"/>
        <w:tblW w:w="0" w:type="auto"/>
        <w:tblLook w:val="04A0" w:firstRow="1" w:lastRow="0" w:firstColumn="1" w:lastColumn="0" w:noHBand="0" w:noVBand="1"/>
      </w:tblPr>
      <w:tblGrid>
        <w:gridCol w:w="9016"/>
      </w:tblGrid>
      <w:tr w:rsidR="00553A45" w:rsidRPr="00E93657" w14:paraId="37DC750E" w14:textId="77777777" w:rsidTr="007831CD">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9016" w:type="dxa"/>
          </w:tcPr>
          <w:p w14:paraId="5D5F9B7A" w14:textId="228D7B9F" w:rsidR="00553A45" w:rsidRPr="00E93657" w:rsidRDefault="00EA1029" w:rsidP="007831CD">
            <w:pPr>
              <w:pStyle w:val="Heading1"/>
              <w:outlineLvl w:val="0"/>
              <w:rPr>
                <w:b/>
                <w:bCs/>
              </w:rPr>
            </w:pPr>
            <w:r w:rsidRPr="00E93657">
              <w:rPr>
                <w:b/>
                <w:bCs/>
                <w:color w:val="FFFFFF" w:themeColor="background1"/>
              </w:rPr>
              <w:lastRenderedPageBreak/>
              <w:t>Box 1</w:t>
            </w:r>
            <w:r w:rsidR="0034470B" w:rsidRPr="00E93657">
              <w:rPr>
                <w:b/>
                <w:bCs/>
                <w:color w:val="FFFFFF" w:themeColor="background1"/>
              </w:rPr>
              <w:t xml:space="preserve">: </w:t>
            </w:r>
            <w:r w:rsidR="000558CF">
              <w:rPr>
                <w:b/>
                <w:bCs/>
                <w:color w:val="FFFFFF" w:themeColor="background1"/>
              </w:rPr>
              <w:t>EMA and MHRA</w:t>
            </w:r>
            <w:r w:rsidR="00553A45" w:rsidRPr="00E93657">
              <w:rPr>
                <w:b/>
                <w:bCs/>
                <w:color w:val="FFFFFF" w:themeColor="background1"/>
              </w:rPr>
              <w:t xml:space="preserve"> Recommendations</w:t>
            </w:r>
            <w:r w:rsidR="007206D8" w:rsidRPr="00E93657">
              <w:rPr>
                <w:b/>
                <w:bCs/>
                <w:color w:val="FFFFFF" w:themeColor="background1"/>
              </w:rPr>
              <w:t xml:space="preserve"> on JAK Inhibitors</w:t>
            </w:r>
            <w:r w:rsidR="00A83998">
              <w:rPr>
                <w:b/>
                <w:bCs/>
                <w:color w:val="FFFFFF" w:themeColor="background1"/>
              </w:rPr>
              <w:t xml:space="preserve"> Use</w:t>
            </w:r>
          </w:p>
        </w:tc>
      </w:tr>
      <w:tr w:rsidR="00553A45" w:rsidRPr="00E93657" w14:paraId="7F2E6B18" w14:textId="77777777" w:rsidTr="00783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single" w:sz="4" w:space="0" w:color="8EAADB" w:themeColor="accent1" w:themeTint="99"/>
            </w:tcBorders>
          </w:tcPr>
          <w:p w14:paraId="1F837CD8" w14:textId="77777777" w:rsidR="00553A45" w:rsidRPr="00E93657" w:rsidRDefault="00553A45" w:rsidP="007831CD">
            <w:pPr>
              <w:pStyle w:val="ListParagraph"/>
              <w:spacing w:line="480" w:lineRule="auto"/>
              <w:rPr>
                <w:rFonts w:asciiTheme="majorHAnsi" w:hAnsiTheme="majorHAnsi" w:cstheme="majorHAnsi"/>
                <w:b w:val="0"/>
                <w:bCs w:val="0"/>
                <w:color w:val="000000" w:themeColor="text1"/>
                <w:sz w:val="4"/>
                <w:szCs w:val="4"/>
                <w:lang w:val="en-GB"/>
              </w:rPr>
            </w:pPr>
          </w:p>
          <w:p w14:paraId="5223BF2A" w14:textId="10DFF648" w:rsidR="000656CC" w:rsidRPr="00E93657" w:rsidRDefault="000656CC" w:rsidP="000656CC">
            <w:pPr>
              <w:rPr>
                <w:color w:val="000000" w:themeColor="text1"/>
              </w:rPr>
            </w:pPr>
            <w:r w:rsidRPr="00E93657">
              <w:rPr>
                <w:b w:val="0"/>
                <w:bCs w:val="0"/>
                <w:color w:val="000000" w:themeColor="text1"/>
              </w:rPr>
              <w:t xml:space="preserve">JAKI </w:t>
            </w:r>
            <w:r w:rsidR="006945EF" w:rsidRPr="00E93657">
              <w:rPr>
                <w:b w:val="0"/>
                <w:bCs w:val="0"/>
                <w:color w:val="000000" w:themeColor="text1"/>
              </w:rPr>
              <w:t xml:space="preserve">only </w:t>
            </w:r>
            <w:r w:rsidRPr="00E93657">
              <w:rPr>
                <w:b w:val="0"/>
                <w:bCs w:val="0"/>
                <w:color w:val="000000" w:themeColor="text1"/>
              </w:rPr>
              <w:t>to be used in the following groups</w:t>
            </w:r>
            <w:r w:rsidR="00AB549C" w:rsidRPr="00E93657">
              <w:rPr>
                <w:b w:val="0"/>
                <w:bCs w:val="0"/>
                <w:color w:val="000000" w:themeColor="text1"/>
              </w:rPr>
              <w:t xml:space="preserve"> at the lowest effective dose</w:t>
            </w:r>
            <w:r w:rsidR="00BA3A31">
              <w:rPr>
                <w:b w:val="0"/>
                <w:bCs w:val="0"/>
                <w:color w:val="000000" w:themeColor="text1"/>
              </w:rPr>
              <w:t xml:space="preserve"> if </w:t>
            </w:r>
            <w:r w:rsidRPr="00E93657">
              <w:rPr>
                <w:b w:val="0"/>
                <w:bCs w:val="0"/>
                <w:color w:val="000000" w:themeColor="text1"/>
              </w:rPr>
              <w:t>no suitable agent available:</w:t>
            </w:r>
          </w:p>
          <w:p w14:paraId="2228F4B3" w14:textId="77777777" w:rsidR="00D5715D" w:rsidRPr="00E93657" w:rsidRDefault="00D5715D" w:rsidP="00D5715D">
            <w:pPr>
              <w:pStyle w:val="ListParagraph"/>
              <w:numPr>
                <w:ilvl w:val="0"/>
                <w:numId w:val="8"/>
              </w:numPr>
              <w:rPr>
                <w:rFonts w:asciiTheme="majorHAnsi" w:hAnsiTheme="majorHAnsi" w:cstheme="majorHAnsi"/>
                <w:b w:val="0"/>
                <w:bCs w:val="0"/>
                <w:lang w:val="en-GB"/>
              </w:rPr>
            </w:pPr>
            <w:r w:rsidRPr="00E93657">
              <w:rPr>
                <w:rFonts w:asciiTheme="majorHAnsi" w:hAnsiTheme="majorHAnsi" w:cstheme="majorHAnsi"/>
                <w:b w:val="0"/>
                <w:bCs w:val="0"/>
                <w:lang w:val="en-GB"/>
              </w:rPr>
              <w:t>aged ≥65 years</w:t>
            </w:r>
          </w:p>
          <w:p w14:paraId="11BF3064" w14:textId="77777777" w:rsidR="00D5715D" w:rsidRPr="00E93657" w:rsidRDefault="00D5715D" w:rsidP="00D5715D">
            <w:pPr>
              <w:pStyle w:val="ListParagraph"/>
              <w:numPr>
                <w:ilvl w:val="0"/>
                <w:numId w:val="8"/>
              </w:numPr>
              <w:rPr>
                <w:rFonts w:asciiTheme="majorHAnsi" w:hAnsiTheme="majorHAnsi" w:cstheme="majorHAnsi"/>
                <w:b w:val="0"/>
                <w:bCs w:val="0"/>
                <w:lang w:val="en-GB"/>
              </w:rPr>
            </w:pPr>
            <w:r w:rsidRPr="00E93657">
              <w:rPr>
                <w:rFonts w:asciiTheme="majorHAnsi" w:hAnsiTheme="majorHAnsi" w:cstheme="majorHAnsi"/>
                <w:b w:val="0"/>
                <w:bCs w:val="0"/>
                <w:lang w:val="en-GB"/>
              </w:rPr>
              <w:t>at increased risk of major cardiovascular problems (such as heart attack or stroke)</w:t>
            </w:r>
          </w:p>
          <w:p w14:paraId="5CEF4456" w14:textId="65D29777" w:rsidR="00D5715D" w:rsidRPr="00E93657" w:rsidRDefault="00D5715D" w:rsidP="00D5715D">
            <w:pPr>
              <w:pStyle w:val="ListParagraph"/>
              <w:numPr>
                <w:ilvl w:val="0"/>
                <w:numId w:val="8"/>
              </w:numPr>
              <w:rPr>
                <w:rFonts w:asciiTheme="majorHAnsi" w:hAnsiTheme="majorHAnsi" w:cstheme="majorHAnsi"/>
                <w:b w:val="0"/>
                <w:bCs w:val="0"/>
                <w:lang w:val="en-GB"/>
              </w:rPr>
            </w:pPr>
            <w:r w:rsidRPr="00E93657">
              <w:rPr>
                <w:rFonts w:asciiTheme="majorHAnsi" w:hAnsiTheme="majorHAnsi" w:cstheme="majorHAnsi"/>
                <w:b w:val="0"/>
                <w:bCs w:val="0"/>
                <w:lang w:val="en-GB"/>
              </w:rPr>
              <w:t>smoker</w:t>
            </w:r>
            <w:r w:rsidR="001571D0" w:rsidRPr="00E93657">
              <w:rPr>
                <w:rFonts w:asciiTheme="majorHAnsi" w:hAnsiTheme="majorHAnsi" w:cstheme="majorHAnsi"/>
                <w:b w:val="0"/>
                <w:bCs w:val="0"/>
                <w:lang w:val="en-GB"/>
              </w:rPr>
              <w:t>s</w:t>
            </w:r>
            <w:r w:rsidRPr="00E93657">
              <w:rPr>
                <w:rFonts w:asciiTheme="majorHAnsi" w:hAnsiTheme="majorHAnsi" w:cstheme="majorHAnsi"/>
                <w:b w:val="0"/>
                <w:bCs w:val="0"/>
                <w:lang w:val="en-GB"/>
              </w:rPr>
              <w:t xml:space="preserve"> or have smoked for a long time in the past</w:t>
            </w:r>
          </w:p>
          <w:p w14:paraId="1A21607F" w14:textId="3EFE0D35" w:rsidR="0077427B" w:rsidRPr="00E93657" w:rsidRDefault="00D5715D" w:rsidP="0077427B">
            <w:pPr>
              <w:pStyle w:val="ListParagraph"/>
              <w:numPr>
                <w:ilvl w:val="0"/>
                <w:numId w:val="8"/>
              </w:numPr>
              <w:rPr>
                <w:rFonts w:asciiTheme="majorHAnsi" w:hAnsiTheme="majorHAnsi" w:cstheme="majorHAnsi"/>
                <w:b w:val="0"/>
                <w:bCs w:val="0"/>
                <w:lang w:val="en-GB"/>
              </w:rPr>
            </w:pPr>
            <w:r w:rsidRPr="00E93657">
              <w:rPr>
                <w:rFonts w:asciiTheme="majorHAnsi" w:hAnsiTheme="majorHAnsi" w:cstheme="majorHAnsi"/>
                <w:b w:val="0"/>
                <w:bCs w:val="0"/>
                <w:lang w:val="en-GB"/>
              </w:rPr>
              <w:t>increased risk of cancer</w:t>
            </w:r>
          </w:p>
          <w:p w14:paraId="334D8EE2" w14:textId="77777777" w:rsidR="00D47F3E" w:rsidRPr="00E93657" w:rsidRDefault="00D47F3E" w:rsidP="00D47F3E">
            <w:pPr>
              <w:rPr>
                <w:sz w:val="4"/>
                <w:szCs w:val="4"/>
              </w:rPr>
            </w:pPr>
          </w:p>
          <w:p w14:paraId="571FEF5B" w14:textId="239799F1" w:rsidR="0077427B" w:rsidRPr="00E93657" w:rsidRDefault="0077427B" w:rsidP="0077427B">
            <w:pPr>
              <w:rPr>
                <w:b w:val="0"/>
                <w:bCs w:val="0"/>
              </w:rPr>
            </w:pPr>
            <w:r w:rsidRPr="00E93657">
              <w:rPr>
                <w:b w:val="0"/>
                <w:bCs w:val="0"/>
              </w:rPr>
              <w:t>JAKI</w:t>
            </w:r>
            <w:r w:rsidR="00EA1029" w:rsidRPr="00E93657">
              <w:rPr>
                <w:b w:val="0"/>
                <w:bCs w:val="0"/>
              </w:rPr>
              <w:t xml:space="preserve">s to be used </w:t>
            </w:r>
            <w:r w:rsidR="00BF37AF" w:rsidRPr="00E93657">
              <w:rPr>
                <w:b w:val="0"/>
                <w:bCs w:val="0"/>
              </w:rPr>
              <w:t>with caution in those with VTE risk factors and at the lowest effective dose</w:t>
            </w:r>
          </w:p>
        </w:tc>
      </w:tr>
    </w:tbl>
    <w:p w14:paraId="0804A111" w14:textId="77777777" w:rsidR="00742E16" w:rsidRPr="00E93657" w:rsidRDefault="00742E16">
      <w:pPr>
        <w:spacing w:line="240" w:lineRule="auto"/>
        <w:rPr>
          <w:rFonts w:eastAsiaTheme="majorEastAsia" w:cstheme="majorBidi"/>
          <w:b/>
          <w:bCs/>
          <w:color w:val="2F5496" w:themeColor="accent1" w:themeShade="BF"/>
          <w:sz w:val="30"/>
          <w:szCs w:val="30"/>
        </w:rPr>
      </w:pPr>
      <w:r w:rsidRPr="00E93657">
        <w:br w:type="page"/>
      </w:r>
    </w:p>
    <w:p w14:paraId="2003557A" w14:textId="28A65FAC" w:rsidR="005A4459" w:rsidRDefault="00580EC7" w:rsidP="002C5DF5">
      <w:pPr>
        <w:pStyle w:val="Heading1"/>
      </w:pPr>
      <w:r w:rsidRPr="00E93657">
        <w:lastRenderedPageBreak/>
        <w:t>FUTURE PERSPECTIVES</w:t>
      </w:r>
      <w:r w:rsidR="005A4459" w:rsidRPr="005A4459">
        <w:t xml:space="preserve"> </w:t>
      </w:r>
      <w:r w:rsidR="005A4459">
        <w:t>AND CONCLUSIONS</w:t>
      </w:r>
    </w:p>
    <w:p w14:paraId="0A1A5860" w14:textId="7639FD0A" w:rsidR="004C07E1" w:rsidRDefault="007F7958" w:rsidP="0018632D">
      <w:r w:rsidRPr="00E93657">
        <w:t xml:space="preserve">There are several pan-JAK </w:t>
      </w:r>
      <w:r>
        <w:t xml:space="preserve">and JAK-selective </w:t>
      </w:r>
      <w:r w:rsidRPr="00E93657">
        <w:t>inhibitors</w:t>
      </w:r>
      <w:r w:rsidR="00C2586F">
        <w:t>, including TYK2 inhibitors,</w:t>
      </w:r>
      <w:r w:rsidRPr="00E93657">
        <w:t xml:space="preserve"> </w:t>
      </w:r>
      <w:r w:rsidR="00C81BC4">
        <w:t>in</w:t>
      </w:r>
      <w:r w:rsidRPr="00E93657">
        <w:t xml:space="preserve"> </w:t>
      </w:r>
      <w:r w:rsidR="002C5DF5">
        <w:t xml:space="preserve">various stages of </w:t>
      </w:r>
      <w:r w:rsidRPr="00E93657">
        <w:t>development for IBD</w:t>
      </w:r>
      <w:r>
        <w:t>.</w:t>
      </w:r>
      <w:r w:rsidR="00AE1125">
        <w:fldChar w:fldCharType="begin"/>
      </w:r>
      <w:r w:rsidR="00AE1125">
        <w:instrText xml:space="preserve"> ADDIN ZOTERO_ITEM CSL_CITATION {"citationID":"fWSgZjLG","properties":{"formattedCitation":"\\super 66\\uc0\\u8211{}68\\nosupersub{}","plainCitation":"66–68","noteIndex":0},"citationItems":[{"id":5080,"uris":["http://zotero.org/users/5409423/items/5QTH6CNW"],"itemData":{"id":5080,"type":"article-journal","abstract":"Inflammatory bowel disease (IBD) is a chronic immune-mediated condition of the gastrointestinal tract that requires chronic treatment and strict surveillance. Development of new monoclonal antibodies targeting one or a few single cytokines, including anti-tumor necrosis factor agents, anti-IL 12/23 inhibitors, and anti-α4β7 integrin inhibitors, have dominated the pharmacological armamentarium in IBD in the last 20 years. Still, many patients experience incomplete or loss of response or develop serious adverse events and drug discontinuation. Janus kinase (JAK) is key to modulating the signal transduction pathway of several proinflammatory cytokines directly involved in gastrointestinal inflammation and, thus, probably IBD pathogenesis. Targeting the JAK-STAT pathway offers excellent potential for the treatment of IBD. The European Medical Agency has approved three JAK inhibitors for treating adults with moderate to severe Ulcerative Colitis when other treatments, including biological agents, have failed or no longer work or if the patient cannot take them. Although there are currently no approved JAK inhibitors for Crohn’s disease, upadacitinib and filgotinib have shown increased remission rates in these patients. Other JAK inhibitors, including gut-selective molecules, are currently being studied IBD. This review will discuss the JAK-STAT pathway, its implication in the pathogenesis of IBD, and the most recent evidence from clinical trials regarding the use of JAK inhibitors and their safety in IBD patients.","container-title":"Frontiers in Medicine","ISSN":"2296-858X","source":"Frontiers","title":"JAK inhibitors: A new dawn for oral therapies in inflammatory bowel diseases","title-short":"JAK inhibitors","URL":"https://www.frontiersin.org/articles/10.3389/fmed.2023.1089099","volume":"10","author":[{"family":"Herrera-deGuise","given":"Claudia"},{"family":"Serra-Ruiz","given":"Xavier"},{"family":"Lastiri","given":"Ernesto"},{"family":"Borruel","given":"Natalia"}],"accessed":{"date-parts":[["2023",7,19]]},"issued":{"date-parts":[["2023"]]}},"label":"page"},{"id":5086,"uris":["http://zotero.org/users/5409423/items/KJYII7SV"],"itemData":{"id":5086,"type":"article-journal","abstract":"Conventional systemic and biologic agents are the mainstay of inflammatory bowel disease (IBD) management; however, many of these agents are associated with loss of clinical response, highlighting the need for effective, novel targeted therapies. Janus kinase (JAK) 1-3 and tyrosine kinase 2 (TYK2) mediate signal transduction events downstream of multiple cytokine receptors that regulate targeted gene transcription, including the interleukin-12, interleukin-23, and type I interferon receptors for TYK2. This review summarizes the role of TYK2 signaling in IBD pathogenesis, the differential selectivity of TYK2 inhibitors, and the potential clinical implications of TYK2 inhibition in IBD. A PubMed literature review was conducted to identify studies of JAK1-3 and TYK2 inhibitors in IBD and other immune-mediated inflammatory diseases. Key efficacy and safety information was extracted and summarized. Pan-JAK inhibitors provide inconsistent efficacy in patients with IBD and are associated with toxicities resulting from a lack of selectivity at therapeutic dosages. Selective inhibition of TYK2 signaling via an allosteric mechanism, with an agent that binds to the regulatory (pseudokinase) domain, may reduce potential toxicities typically associated with JAK1-3 inhibitors. Deucravacitinib, a novel, oral, selective TYK2 inhibitor, and brepocitinib and PF-06826647, TYK2 inhibitors that bind to the active site in the catalytic domain, are in development for IBD and other immune-mediated inflammatory diseases. Allosteric TYK2 inhibition is more selective than JAK1-3 inhibition and has the potential to limit toxicities typically associated with JAK1-3 inhibitors. Future studies will be important in establishing the role of selective, allosteric TYK2 inhibition in the management of IBD.","container-title":"Inflammatory Bowel Diseases","DOI":"10.1093/ibd/izab135","ISSN":"1536-4844","issue":"12","journalAbbreviation":"Inflamm Bowel Dis","language":"eng","note":"PMID: 34089259\nPMCID: PMC8599029","page":"2023-2030","source":"PubMed","title":"Selective Tyrosine Kinase 2 Inhibition for Treatment of Inflammatory Bowel Disease: New Hope on the Rise","title-short":"Selective Tyrosine Kinase 2 Inhibition for Treatment of Inflammatory Bowel Disease","volume":"27","author":[{"family":"Danese","given":"Silvio"},{"family":"Peyrin-Biroulet","given":"Laurent"}],"issued":{"date-parts":[["2021",11,15]]}},"label":"page"},{"id":5088,"uris":["http://zotero.org/users/5409423/items/YXYEXAVS"],"itemData":{"id":5088,"type":"article-journal","abstract":"Recent significant advances have been made in the treatment of chronic inflammatory diseases with initiation of the era of biologics. However, an unmet medical need still exists for novel targeted therapies. Compared with biologics, Janus kinase inhibitors (JAKis) are a new drug class of orally administered small molecules that have been shown to efficiently modulate complex cytokine-driven inflammation in preclinical models and human studies. Unfortunately, serious adverse effects have been reported with the first introduced pan-JAKi, tofacitinib. Here, we review tyrosine kinase 2 (TYK2) signaling in the pathophysiology of inflammatory bowel disease (IBD), examine mechanisms of action of selective TYK2 inhibitors (TYK2is), and discuss the potential for these inhibitors in efforts to balance benefits and harms.","container-title":"Trends in Pharmacological Sciences","DOI":"10.1016/j.tips.2022.02.008","ISSN":"0165-6147","issue":"5","journalAbbreviation":"Trends in Pharmacological Sciences","language":"en","page":"424-436","source":"ScienceDirect","title":"Selective tyrosine kinase 2 inhibitors in inflammatory bowel disease","volume":"43","author":[{"family":"Nielsen","given":"Ole Haagen"},{"family":"Boye","given":"Theresa Louise"},{"family":"Chakravarti","given":"Deepavali"},{"family":"Gubatan","given":"John"}],"issued":{"date-parts":[["2022",5,1]]}},"label":"page"}],"schema":"https://github.com/citation-style-language/schema/raw/master/csl-citation.json"} </w:instrText>
      </w:r>
      <w:r w:rsidR="00AE1125">
        <w:fldChar w:fldCharType="separate"/>
      </w:r>
      <w:r w:rsidR="00AE1125" w:rsidRPr="00AE1125">
        <w:rPr>
          <w:rFonts w:ascii="Calibri Light" w:cs="Calibri Light"/>
          <w:vertAlign w:val="superscript"/>
        </w:rPr>
        <w:t>66–68</w:t>
      </w:r>
      <w:r w:rsidR="00AE1125">
        <w:fldChar w:fldCharType="end"/>
      </w:r>
      <w:r>
        <w:t xml:space="preserve"> Even with the three</w:t>
      </w:r>
      <w:r w:rsidR="00DA2EAF">
        <w:t xml:space="preserve"> available </w:t>
      </w:r>
      <w:r w:rsidR="009E6FF3">
        <w:t xml:space="preserve">options, </w:t>
      </w:r>
      <w:r w:rsidR="00F72C43">
        <w:t>how do we select between therapies</w:t>
      </w:r>
      <w:r w:rsidR="00F416EC">
        <w:t xml:space="preserve"> in this </w:t>
      </w:r>
      <w:r w:rsidR="006C5431">
        <w:t>increasingly</w:t>
      </w:r>
      <w:r w:rsidR="00152649">
        <w:t xml:space="preserve"> </w:t>
      </w:r>
      <w:r w:rsidR="00F416EC">
        <w:t>crowded space</w:t>
      </w:r>
      <w:r w:rsidR="00F72C43">
        <w:t>?</w:t>
      </w:r>
      <w:r w:rsidR="00B248B9">
        <w:t xml:space="preserve"> </w:t>
      </w:r>
      <w:r w:rsidR="006C2B18">
        <w:t xml:space="preserve">While </w:t>
      </w:r>
      <w:r w:rsidR="00B64039">
        <w:t>many unanswered questions</w:t>
      </w:r>
      <w:r w:rsidR="00B20BBA">
        <w:t xml:space="preserve"> remain</w:t>
      </w:r>
      <w:r w:rsidR="002F7A9F">
        <w:t xml:space="preserve">, factors that </w:t>
      </w:r>
      <w:r w:rsidR="00B20BBA">
        <w:t xml:space="preserve">will </w:t>
      </w:r>
      <w:r w:rsidR="002F7A9F">
        <w:t>guide decision m</w:t>
      </w:r>
      <w:r w:rsidR="00B20BBA">
        <w:t xml:space="preserve">aking will likely centre on reimbursement cost, </w:t>
      </w:r>
      <w:r w:rsidR="00A43080">
        <w:t xml:space="preserve">available </w:t>
      </w:r>
      <w:r w:rsidR="008F5226">
        <w:t>direct and indirect</w:t>
      </w:r>
      <w:r w:rsidR="00A43080">
        <w:t xml:space="preserve"> </w:t>
      </w:r>
      <w:r w:rsidR="008F5226">
        <w:t>safety and efficacy</w:t>
      </w:r>
      <w:r w:rsidR="00FE1072">
        <w:t xml:space="preserve"> data</w:t>
      </w:r>
      <w:r w:rsidR="008F5226">
        <w:t xml:space="preserve">, </w:t>
      </w:r>
      <w:r w:rsidR="00361D82">
        <w:t xml:space="preserve">number of licensed indications to treat EIMs/co-existing IMIDs, </w:t>
      </w:r>
      <w:r w:rsidR="00A33749">
        <w:t xml:space="preserve">clinician familiarity, </w:t>
      </w:r>
      <w:r w:rsidR="00361D82">
        <w:t xml:space="preserve">and dosing regimens; </w:t>
      </w:r>
      <w:r w:rsidR="001451B2">
        <w:t>filgotinib and upadacitinib are dosed once daily as the prolonged</w:t>
      </w:r>
      <w:r w:rsidR="008C2239">
        <w:t xml:space="preserve"> </w:t>
      </w:r>
      <w:r w:rsidR="001451B2">
        <w:t>release tofacitinib tablets are unavailable in the UK.</w:t>
      </w:r>
      <w:r w:rsidR="00282D07" w:rsidRPr="00282D07">
        <w:t xml:space="preserve"> </w:t>
      </w:r>
      <w:r w:rsidR="00864FE0">
        <w:t xml:space="preserve">The limelight </w:t>
      </w:r>
      <w:r w:rsidR="00985080">
        <w:t>on</w:t>
      </w:r>
      <w:r w:rsidR="00864FE0">
        <w:t xml:space="preserve"> tofacitinib’s safety profile has led to the perception that JAK-1 selective inhibitors are safer</w:t>
      </w:r>
      <w:r w:rsidR="00F439B9">
        <w:t>.</w:t>
      </w:r>
      <w:r w:rsidR="000719B1">
        <w:t xml:space="preserve"> </w:t>
      </w:r>
      <w:r w:rsidR="00282D07" w:rsidRPr="006C58F8">
        <w:t>Whether selective inhibition of a JAK isoform confers a better safety and efficacy profile remains to be seen</w:t>
      </w:r>
      <w:r w:rsidR="00574A95">
        <w:t xml:space="preserve">; filgotinib and upadacitinib will not </w:t>
      </w:r>
      <w:r w:rsidR="002D5949">
        <w:t>be subject</w:t>
      </w:r>
      <w:r w:rsidR="004F79D6">
        <w:t>ed</w:t>
      </w:r>
      <w:r w:rsidR="002D5949">
        <w:t xml:space="preserve"> to the same</w:t>
      </w:r>
      <w:r w:rsidR="00574A95">
        <w:t xml:space="preserve"> FDA-mandated testing </w:t>
      </w:r>
      <w:r w:rsidR="002D5949">
        <w:t>as</w:t>
      </w:r>
      <w:r w:rsidR="00574A95">
        <w:t xml:space="preserve"> tofacitinib and baricitinib </w:t>
      </w:r>
      <w:r w:rsidR="00676D6C">
        <w:t>we</w:t>
      </w:r>
      <w:r w:rsidR="001241DF">
        <w:t>re</w:t>
      </w:r>
      <w:r w:rsidR="00221660">
        <w:t xml:space="preserve"> so longer term studies are essential</w:t>
      </w:r>
      <w:r w:rsidR="00282D07" w:rsidRPr="006C58F8">
        <w:t>.</w:t>
      </w:r>
      <w:r w:rsidR="00864FE0">
        <w:fldChar w:fldCharType="begin"/>
      </w:r>
      <w:r w:rsidR="00AE1125">
        <w:instrText xml:space="preserve"> ADDIN ZOTERO_ITEM CSL_CITATION {"citationID":"7TbCP8Lk","properties":{"formattedCitation":"\\super 69\\nosupersub{}","plainCitation":"69","noteIndex":0},"citationItems":[{"id":5082,"uris":["http://zotero.org/users/5409423/items/ICSM4SEE"],"itemData":{"id":5082,"type":"article-journal","abstract":"The two major forms of inflammatory bowel disease (IBD), encompassing Crohn’s disease (CD) and ulcerative colitis (UC), are chronic immune-mediated conditions characterised by an increased production of pro-inflammatory cytokines that act as critical drivers of intestinal inflammation. Anti-cytokine therapy has been shown to improve clinical outcomes in IBD. Janus kinases (JAKs) are tyrosine kinases that bind different intracellular cytokine receptors, leading to phosphorylation of signal transducer and activation of transcription molecules implicated on targeted gene transcription. Four isoforms of JAKs have been described: JAK1, JAK2, JAK3 and TYK2. Oral JAK inhibitors (JAKi) have been developed as synergic anti-cytokine therapy in IBD, showing different selectivity towards JAK isoforms. Tofacitinib, a pan-JAK inhibitor, has been recently approved for the treatment of moderate-to-severe UC. With the aim of improving the benefit: risk ratio of this drug class, several second-generation subtype-selective JAKi are under development. However, whether selective inhibition of JAK isoforms is associated with an increased clinical efficacy and/or a better safety profile remains debatable. The aim of this review is to critically review the preclinical and clinical data for the differential selectivity of JAK inhibitors and to summarise the potential clinical implications of the selective JAK inhibitors under development for UC and CD.","container-title":"Gut","DOI":"10.1136/gutjnl-2019-318448","ISSN":"0017-5749, 1468-3288","issue":"10","language":"en","license":"© Author(s) (or their employer(s)) 2019. No commercial re-use. See rights and permissions. Published by BMJ.","note":"publisher: BMJ Publishing Group\nsection: Recent advances in basic science\nPMID: 31227590","page":"1893-1899","source":"gut.bmj.com","title":"JAK selectivity for inflammatory bowel disease treatment: does it clinically matter?","title-short":"JAK selectivity for inflammatory bowel disease treatment","volume":"68","author":[{"family":"Danese","given":"Silvio"},{"family":"Argollo","given":"Marjorie"},{"family":"Berre","given":"Catherine Le"},{"family":"Peyrin-Biroulet","given":"Laurent"}],"issued":{"date-parts":[["2019",10,1]]}}}],"schema":"https://github.com/citation-style-language/schema/raw/master/csl-citation.json"} </w:instrText>
      </w:r>
      <w:r w:rsidR="00864FE0">
        <w:fldChar w:fldCharType="separate"/>
      </w:r>
      <w:r w:rsidR="00AE1125" w:rsidRPr="00AE1125">
        <w:rPr>
          <w:rFonts w:ascii="Calibri Light" w:cs="Calibri Light"/>
          <w:vertAlign w:val="superscript"/>
        </w:rPr>
        <w:t>69</w:t>
      </w:r>
      <w:r w:rsidR="00864FE0">
        <w:fldChar w:fldCharType="end"/>
      </w:r>
      <w:r w:rsidR="00282D07" w:rsidRPr="006C58F8">
        <w:t xml:space="preserve"> Theoretically, selectivity of JAK isoform inhibition could limit </w:t>
      </w:r>
      <w:r w:rsidR="00282D07">
        <w:t>side effects</w:t>
      </w:r>
      <w:r w:rsidR="00282D07" w:rsidRPr="006C58F8">
        <w:t xml:space="preserve">, although this selectivity is dose and tissue dependent, and </w:t>
      </w:r>
      <w:r w:rsidR="00282D07">
        <w:t xml:space="preserve">may </w:t>
      </w:r>
      <w:r w:rsidR="00282D07" w:rsidRPr="006C58F8">
        <w:t>be lost with increasing doses.</w:t>
      </w:r>
      <w:r w:rsidR="00282D07">
        <w:fldChar w:fldCharType="begin"/>
      </w:r>
      <w:r w:rsidR="00AE1125">
        <w:instrText xml:space="preserve"> ADDIN ZOTERO_ITEM CSL_CITATION {"citationID":"XLweie9M","properties":{"formattedCitation":"\\super 70\\nosupersub{}","plainCitation":"70","noteIndex":0},"citationItems":[{"id":5056,"uris":["http://zotero.org/users/5409423/items/ZQ2WQGYA"],"itemData":{"id":5056,"type":"article-journal","abstract":"Cytokines are key drivers of inflammation in RA, and anti-cytokine therapy has improved the outcome of RA. Janus Kinases (JAK) are intracellular tyrosine kinases linked to intracellular domains of many cytokine receptors. There are four JAK isoforms: JAK1, JAK2, JAK3 and TYK2. Different cytokine receptor families utilize specific JAK isoforms for signal transduction. Phosphorylation of JAK when cytokine binds to its cognate receptor leads to phosphorylation of other intracellular molecules that eventually leads to gene transcription. Oral JAK inhibitors (JAKi) have been developed as anti-cytokine therapy in RA. Two JAKi, tofacitinib and baricitinib, have been approved recently for the treatment of RA, and many JAKi are currently in development. JAKi inhibit JAK isoforms with different selectivity. This review discusses the efficacy and safety of JAKi in RA, in particular the potential clinical significance of JAKi selectivity.","container-title":"Rheumatology (Oxford, England)","DOI":"10.1093/rheumatology/key339","ISSN":"1462-0332","issue":"6","journalAbbreviation":"Rheumatology (Oxford)","language":"eng","note":"PMID: 30508136\nPMCID: PMC6532440","page":"953-962","source":"PubMed","title":"Clinical significance of Janus Kinase inhibitor selectivity","volume":"58","author":[{"family":"Choy","given":"Ernest H."}],"issued":{"date-parts":[["2019",6,1]]}}}],"schema":"https://github.com/citation-style-language/schema/raw/master/csl-citation.json"} </w:instrText>
      </w:r>
      <w:r w:rsidR="00282D07">
        <w:fldChar w:fldCharType="separate"/>
      </w:r>
      <w:r w:rsidR="00AE1125" w:rsidRPr="00AE1125">
        <w:rPr>
          <w:rFonts w:ascii="Calibri Light" w:cs="Calibri Light"/>
          <w:vertAlign w:val="superscript"/>
        </w:rPr>
        <w:t>70</w:t>
      </w:r>
      <w:r w:rsidR="00282D07">
        <w:fldChar w:fldCharType="end"/>
      </w:r>
      <w:r w:rsidR="00C55F62">
        <w:t xml:space="preserve"> Key areas of </w:t>
      </w:r>
      <w:r w:rsidR="007B35CE">
        <w:t>further</w:t>
      </w:r>
      <w:r w:rsidR="008A5327">
        <w:t xml:space="preserve"> </w:t>
      </w:r>
      <w:r w:rsidR="00C55F62">
        <w:t xml:space="preserve">research </w:t>
      </w:r>
      <w:r w:rsidR="007E34AF">
        <w:t>with</w:t>
      </w:r>
      <w:r w:rsidR="000F6DC5">
        <w:t xml:space="preserve"> </w:t>
      </w:r>
      <w:r w:rsidR="002857B5">
        <w:t>direct</w:t>
      </w:r>
      <w:r w:rsidR="000F6DC5">
        <w:t xml:space="preserve"> clinical relevance </w:t>
      </w:r>
      <w:r w:rsidR="00AF7EA9">
        <w:t>include</w:t>
      </w:r>
      <w:r w:rsidR="001D41DF">
        <w:t xml:space="preserve">, </w:t>
      </w:r>
      <w:r w:rsidR="007B35CE">
        <w:t xml:space="preserve">JAKI use in advanced </w:t>
      </w:r>
      <w:r w:rsidR="00BF1B53" w:rsidRPr="00E93657">
        <w:t>c</w:t>
      </w:r>
      <w:r w:rsidR="00061050" w:rsidRPr="00E93657">
        <w:t>ombination therapy</w:t>
      </w:r>
      <w:r w:rsidR="00811C28" w:rsidRPr="00E93657">
        <w:t xml:space="preserve"> together with a mAb</w:t>
      </w:r>
      <w:r w:rsidR="00276FEB">
        <w:t>, JAKI positioning</w:t>
      </w:r>
      <w:r w:rsidR="00721937">
        <w:t xml:space="preserve"> and sequencing after prior JAKI failure</w:t>
      </w:r>
      <w:r w:rsidR="00A77EBC">
        <w:t>/intolerance</w:t>
      </w:r>
      <w:r w:rsidR="007E34AF">
        <w:t xml:space="preserve">, mechanisms of resistance </w:t>
      </w:r>
      <w:r w:rsidR="005322DC" w:rsidRPr="00E93657">
        <w:t>and loss of response</w:t>
      </w:r>
      <w:r w:rsidR="00193BA8">
        <w:t>, and its role</w:t>
      </w:r>
      <w:r w:rsidR="004C07E1" w:rsidRPr="00E93657">
        <w:t xml:space="preserve"> in </w:t>
      </w:r>
      <w:r w:rsidR="00B414C6">
        <w:t xml:space="preserve">the treatment of </w:t>
      </w:r>
      <w:r w:rsidR="004C07E1" w:rsidRPr="00E93657">
        <w:t xml:space="preserve">acute severe </w:t>
      </w:r>
      <w:r w:rsidR="00193BA8">
        <w:t xml:space="preserve">UC. </w:t>
      </w:r>
    </w:p>
    <w:p w14:paraId="36495FDE" w14:textId="1DB1AC2B" w:rsidR="00EE487E" w:rsidRPr="00E93657" w:rsidRDefault="00EE487E" w:rsidP="00EE487E"/>
    <w:p w14:paraId="077810A1" w14:textId="771123DE" w:rsidR="00742E16" w:rsidRPr="004D1D0C" w:rsidRDefault="00F712ED" w:rsidP="002D16B1">
      <w:r>
        <w:t xml:space="preserve">JAKI </w:t>
      </w:r>
      <w:r w:rsidR="00B56FF7">
        <w:t>are a</w:t>
      </w:r>
      <w:r w:rsidR="00DF3BFD">
        <w:t xml:space="preserve">n emerging group of </w:t>
      </w:r>
      <w:r w:rsidR="00B56FF7">
        <w:t>highly efficacious d</w:t>
      </w:r>
      <w:r w:rsidR="002C0C05">
        <w:t xml:space="preserve">rugs </w:t>
      </w:r>
      <w:r w:rsidR="00FF5E6E">
        <w:t>used to treat inflammator</w:t>
      </w:r>
      <w:r w:rsidR="00DF3BFD">
        <w:t xml:space="preserve">y, autoimmune, and myeloproliferative </w:t>
      </w:r>
      <w:r w:rsidR="00054957">
        <w:t>diseases</w:t>
      </w:r>
      <w:r w:rsidR="0073737F">
        <w:t>.</w:t>
      </w:r>
      <w:r w:rsidR="00493AD6">
        <w:t xml:space="preserve"> For IBD, </w:t>
      </w:r>
      <w:r w:rsidR="00BC0DFB">
        <w:t xml:space="preserve">they represent </w:t>
      </w:r>
      <w:r w:rsidR="009E1A30">
        <w:t>a</w:t>
      </w:r>
      <w:r w:rsidR="00563CEF">
        <w:t xml:space="preserve">nother key line of therapy </w:t>
      </w:r>
      <w:r w:rsidR="00073BA6">
        <w:t xml:space="preserve">for patients </w:t>
      </w:r>
      <w:r w:rsidR="00284A3C">
        <w:t>with active disease</w:t>
      </w:r>
      <w:r w:rsidR="00BC1936">
        <w:t xml:space="preserve"> and their advantages over </w:t>
      </w:r>
      <w:proofErr w:type="spellStart"/>
      <w:r w:rsidR="00276FEB">
        <w:t>mAbs</w:t>
      </w:r>
      <w:proofErr w:type="spellEnd"/>
      <w:r w:rsidR="009C7B48">
        <w:t xml:space="preserve">, </w:t>
      </w:r>
      <w:r w:rsidR="00D557AD">
        <w:t xml:space="preserve">the </w:t>
      </w:r>
      <w:r w:rsidR="008A0A24">
        <w:t>crux of</w:t>
      </w:r>
      <w:r w:rsidR="00FE0CDB">
        <w:t xml:space="preserve"> IBD</w:t>
      </w:r>
      <w:r w:rsidR="00D557AD">
        <w:t xml:space="preserve"> pharmacological therapy</w:t>
      </w:r>
      <w:r w:rsidR="00E232F6">
        <w:t xml:space="preserve"> over the past two decades, has attracted widespread attention</w:t>
      </w:r>
      <w:r w:rsidR="00284A3C">
        <w:t>.</w:t>
      </w:r>
      <w:r w:rsidR="00FB3E8C">
        <w:t xml:space="preserve"> </w:t>
      </w:r>
      <w:r w:rsidR="00F71BF4">
        <w:t xml:space="preserve">The safety </w:t>
      </w:r>
      <w:r w:rsidR="00CF7FEE">
        <w:t xml:space="preserve">profile of this drug class </w:t>
      </w:r>
      <w:r w:rsidR="00463928">
        <w:t>and the regulatory restriction</w:t>
      </w:r>
      <w:r w:rsidR="00AE76C4">
        <w:t xml:space="preserve">s </w:t>
      </w:r>
      <w:r w:rsidR="00823E0E">
        <w:t xml:space="preserve">in place for all JAKI </w:t>
      </w:r>
      <w:r w:rsidR="00A625F5">
        <w:t xml:space="preserve">for </w:t>
      </w:r>
      <w:r w:rsidR="00A625F5">
        <w:lastRenderedPageBreak/>
        <w:t xml:space="preserve">inflammatory diseases </w:t>
      </w:r>
      <w:r w:rsidR="00AE76C4">
        <w:t xml:space="preserve">require </w:t>
      </w:r>
      <w:r w:rsidR="0078683C">
        <w:t xml:space="preserve">careful benefit-risk </w:t>
      </w:r>
      <w:r w:rsidR="00823E0E">
        <w:t>consideration when initiating and monitoring therapy</w:t>
      </w:r>
      <w:r w:rsidR="00A625F5">
        <w:t xml:space="preserve">. Although these risks </w:t>
      </w:r>
      <w:r w:rsidR="0063682A">
        <w:t xml:space="preserve">in absolute terms </w:t>
      </w:r>
      <w:r w:rsidR="00A625F5">
        <w:t>are likely to be</w:t>
      </w:r>
      <w:r w:rsidR="0063682A">
        <w:t xml:space="preserve"> small for the</w:t>
      </w:r>
      <w:r w:rsidR="00A625F5">
        <w:t xml:space="preserve"> </w:t>
      </w:r>
      <w:r w:rsidR="0063682A">
        <w:t>typical IBD patient population, they are not inconsequential.</w:t>
      </w:r>
      <w:r w:rsidR="004D1D0C">
        <w:t xml:space="preserve"> Personalised stratification to appropriate JAKi use is an attractive future goal.</w:t>
      </w:r>
      <w:r w:rsidR="00742E16" w:rsidRPr="00E93657">
        <w:br w:type="page"/>
      </w:r>
    </w:p>
    <w:p w14:paraId="4662537A" w14:textId="34A3B589" w:rsidR="00C83217" w:rsidRPr="00E93657" w:rsidRDefault="00C83217" w:rsidP="001C7F25">
      <w:pPr>
        <w:pStyle w:val="Heading1"/>
      </w:pPr>
      <w:r w:rsidRPr="00E93657">
        <w:lastRenderedPageBreak/>
        <w:t>ACKNOWLEDGEMENTS</w:t>
      </w:r>
    </w:p>
    <w:p w14:paraId="45293993" w14:textId="77777777" w:rsidR="00C83217" w:rsidRPr="00E93657" w:rsidRDefault="00C83217" w:rsidP="00C83217">
      <w:r w:rsidRPr="00E93657">
        <w:t>Nil</w:t>
      </w:r>
    </w:p>
    <w:p w14:paraId="59929677" w14:textId="77777777" w:rsidR="00C83217" w:rsidRPr="00E93657" w:rsidRDefault="00C83217" w:rsidP="00C83217"/>
    <w:p w14:paraId="67A339CE" w14:textId="77777777" w:rsidR="00C83217" w:rsidRPr="00E93657" w:rsidRDefault="00C83217" w:rsidP="001C7F25">
      <w:pPr>
        <w:pStyle w:val="Heading1"/>
        <w:rPr>
          <w:rFonts w:ascii="Times New Roman" w:hAnsi="Times New Roman"/>
        </w:rPr>
      </w:pPr>
      <w:r w:rsidRPr="00E93657">
        <w:rPr>
          <w:shd w:val="clear" w:color="auto" w:fill="FFFFFF"/>
        </w:rPr>
        <w:t>COMPETING INTERESTS</w:t>
      </w:r>
    </w:p>
    <w:p w14:paraId="0E507BB9" w14:textId="35F76233" w:rsidR="00726F3F" w:rsidRPr="00E93657" w:rsidRDefault="00C83217" w:rsidP="00C83217">
      <w:r w:rsidRPr="00E93657">
        <w:t xml:space="preserve">Sailish Honap has served as a speaker, a consultant, </w:t>
      </w:r>
      <w:r w:rsidR="00301F01" w:rsidRPr="00E93657">
        <w:t>an</w:t>
      </w:r>
      <w:r w:rsidR="001C7F25" w:rsidRPr="00E93657">
        <w:t>d/or</w:t>
      </w:r>
      <w:r w:rsidR="00301F01" w:rsidRPr="00E93657">
        <w:t xml:space="preserve"> </w:t>
      </w:r>
      <w:r w:rsidRPr="00E93657">
        <w:t xml:space="preserve">advisory board for Pfizer, Janssen, Abbvie, and Takeda, </w:t>
      </w:r>
      <w:r w:rsidR="00E0264F" w:rsidRPr="00E93657">
        <w:t xml:space="preserve">has received educational grants from Falk Pharma, Pharmacosmos, and </w:t>
      </w:r>
      <w:r w:rsidR="006C6358" w:rsidRPr="00E93657">
        <w:t xml:space="preserve">Ferring, and has had </w:t>
      </w:r>
      <w:r w:rsidRPr="00E93657">
        <w:t xml:space="preserve">research supported by Pfizer. </w:t>
      </w:r>
    </w:p>
    <w:p w14:paraId="68D1D83B" w14:textId="0FB4E359" w:rsidR="00726F3F" w:rsidRPr="00E93657" w:rsidRDefault="00726F3F" w:rsidP="00C83217">
      <w:r w:rsidRPr="00E93657">
        <w:t>AA</w:t>
      </w:r>
    </w:p>
    <w:p w14:paraId="1165D66A" w14:textId="77777777" w:rsidR="00726F3F" w:rsidRPr="00E93657" w:rsidRDefault="00F40CFE" w:rsidP="00C83217">
      <w:r w:rsidRPr="00E93657">
        <w:t>MC</w:t>
      </w:r>
    </w:p>
    <w:p w14:paraId="39BAD229" w14:textId="77777777" w:rsidR="00726F3F" w:rsidRPr="00E93657" w:rsidRDefault="00726F3F" w:rsidP="00C83217">
      <w:r w:rsidRPr="00E93657">
        <w:t>SK</w:t>
      </w:r>
    </w:p>
    <w:p w14:paraId="5644ED48" w14:textId="77777777" w:rsidR="00726F3F" w:rsidRPr="00E93657" w:rsidRDefault="00726F3F" w:rsidP="00C83217">
      <w:r w:rsidRPr="00E93657">
        <w:t>FD</w:t>
      </w:r>
    </w:p>
    <w:p w14:paraId="37C74D80" w14:textId="77777777" w:rsidR="00726F3F" w:rsidRPr="00E93657" w:rsidRDefault="00726F3F" w:rsidP="00726F3F">
      <w:r w:rsidRPr="00E93657">
        <w:t>RCGP</w:t>
      </w:r>
    </w:p>
    <w:p w14:paraId="3A67687B" w14:textId="77777777" w:rsidR="00726F3F" w:rsidRPr="00E93657" w:rsidRDefault="00F40CFE" w:rsidP="00C83217">
      <w:r w:rsidRPr="00E93657">
        <w:t>AP</w:t>
      </w:r>
    </w:p>
    <w:p w14:paraId="324E8922" w14:textId="3C8CD523" w:rsidR="00726F3F" w:rsidRPr="00E93657" w:rsidRDefault="003B222A" w:rsidP="00C83217">
      <w:r w:rsidRPr="00E93657">
        <w:t xml:space="preserve">Kamal Patel has received honoraria for educational meetings and speaker fees from </w:t>
      </w:r>
      <w:proofErr w:type="spellStart"/>
      <w:r w:rsidRPr="00E93657">
        <w:t>Abbvie</w:t>
      </w:r>
      <w:proofErr w:type="spellEnd"/>
      <w:r w:rsidRPr="00E93657">
        <w:t xml:space="preserve">, Janssen, Takeda, </w:t>
      </w:r>
      <w:proofErr w:type="spellStart"/>
      <w:r w:rsidRPr="00E93657">
        <w:t>DrFalk</w:t>
      </w:r>
      <w:proofErr w:type="spellEnd"/>
      <w:r w:rsidRPr="00E93657">
        <w:t xml:space="preserve">, </w:t>
      </w:r>
      <w:proofErr w:type="spellStart"/>
      <w:r w:rsidRPr="00E93657">
        <w:t>PredictImmune</w:t>
      </w:r>
      <w:proofErr w:type="spellEnd"/>
      <w:r w:rsidRPr="00E93657">
        <w:t xml:space="preserve"> and Ferring and has received advisory board fees from Abbvie, Galapagos, and Janssen.</w:t>
      </w:r>
    </w:p>
    <w:p w14:paraId="62698B6B" w14:textId="77777777" w:rsidR="00C83217" w:rsidRPr="00E93657" w:rsidRDefault="00C83217" w:rsidP="00C83217"/>
    <w:p w14:paraId="06166F80" w14:textId="77777777" w:rsidR="00C83217" w:rsidRPr="00E93657" w:rsidRDefault="00C83217" w:rsidP="001C7F25">
      <w:pPr>
        <w:pStyle w:val="Heading1"/>
        <w:rPr>
          <w:rFonts w:ascii="Times New Roman" w:hAnsi="Times New Roman"/>
        </w:rPr>
      </w:pPr>
      <w:r w:rsidRPr="00E93657">
        <w:rPr>
          <w:shd w:val="clear" w:color="auto" w:fill="FFFFFF"/>
        </w:rPr>
        <w:t>FUNDING</w:t>
      </w:r>
    </w:p>
    <w:p w14:paraId="25C03CFF" w14:textId="77777777" w:rsidR="00C83217" w:rsidRPr="00E93657" w:rsidRDefault="00C83217" w:rsidP="00C83217">
      <w:r w:rsidRPr="00E93657">
        <w:t>This research received no specific grant from any funding agency in the public, commercial, or not-for-profit sectors.</w:t>
      </w:r>
    </w:p>
    <w:p w14:paraId="5AF0BEA7" w14:textId="77777777" w:rsidR="00C83217" w:rsidRPr="00E93657" w:rsidRDefault="00C83217" w:rsidP="00C83217"/>
    <w:p w14:paraId="60CEF976" w14:textId="77777777" w:rsidR="00C83217" w:rsidRPr="00E93657" w:rsidRDefault="00C83217" w:rsidP="001C7F25">
      <w:pPr>
        <w:pStyle w:val="Heading1"/>
      </w:pPr>
      <w:r w:rsidRPr="00E93657">
        <w:lastRenderedPageBreak/>
        <w:t>AUTHOR CONTRIBUTIONS</w:t>
      </w:r>
    </w:p>
    <w:p w14:paraId="7F451A2D" w14:textId="33F79283" w:rsidR="00C83217" w:rsidRPr="00E93657" w:rsidRDefault="00C83217" w:rsidP="00C83217">
      <w:r w:rsidRPr="00E93657">
        <w:t>All authors critically reviewed the manuscript before submission.</w:t>
      </w:r>
    </w:p>
    <w:p w14:paraId="190A2949" w14:textId="77777777" w:rsidR="00C83217" w:rsidRPr="00E93657" w:rsidRDefault="00C83217" w:rsidP="00C83217"/>
    <w:p w14:paraId="35DE8F97" w14:textId="77777777" w:rsidR="00C83217" w:rsidRPr="00E93657" w:rsidRDefault="00C83217" w:rsidP="001C7F25">
      <w:pPr>
        <w:pStyle w:val="Heading1"/>
      </w:pPr>
      <w:r w:rsidRPr="00E93657">
        <w:t>DATA AVAILABILITY STATEMENT</w:t>
      </w:r>
    </w:p>
    <w:p w14:paraId="2C69BC36" w14:textId="77777777" w:rsidR="001C7F25" w:rsidRPr="00E93657" w:rsidRDefault="0080055E" w:rsidP="0080055E">
      <w:pPr>
        <w:rPr>
          <w:shd w:val="clear" w:color="auto" w:fill="FFFFFF"/>
        </w:rPr>
      </w:pPr>
      <w:r w:rsidRPr="00E93657">
        <w:rPr>
          <w:shd w:val="clear" w:color="auto" w:fill="FFFFFF"/>
        </w:rPr>
        <w:t>Data sharing is not applicable to this article as no new data were created or analysed in this study.</w:t>
      </w:r>
    </w:p>
    <w:p w14:paraId="3B76BB0C" w14:textId="77777777" w:rsidR="001C7F25" w:rsidRPr="00E93657" w:rsidRDefault="001C7F25" w:rsidP="0080055E">
      <w:pPr>
        <w:rPr>
          <w:shd w:val="clear" w:color="auto" w:fill="FFFFFF"/>
        </w:rPr>
      </w:pPr>
    </w:p>
    <w:p w14:paraId="75DD3F07" w14:textId="12986965" w:rsidR="001C7F25" w:rsidRPr="00E93657" w:rsidRDefault="001C7F25" w:rsidP="001C7F25">
      <w:pPr>
        <w:pStyle w:val="Heading1"/>
      </w:pPr>
      <w:r w:rsidRPr="00E93657">
        <w:rPr>
          <w:rStyle w:val="fn-label"/>
        </w:rPr>
        <w:t>PROVENANCE AND PEER REVIEW</w:t>
      </w:r>
    </w:p>
    <w:p w14:paraId="7C0FF76B" w14:textId="0FC52B2E" w:rsidR="001C7F25" w:rsidRPr="00E93657" w:rsidRDefault="001C7F25" w:rsidP="001C7F25">
      <w:pPr>
        <w:rPr>
          <w:lang w:eastAsia="en-GB"/>
        </w:rPr>
      </w:pPr>
      <w:r w:rsidRPr="00E93657">
        <w:rPr>
          <w:lang w:eastAsia="en-GB"/>
        </w:rPr>
        <w:t>Commissioned, externally peer reviewed.</w:t>
      </w:r>
    </w:p>
    <w:p w14:paraId="363764EE" w14:textId="54F27E1F" w:rsidR="00C83217" w:rsidRPr="00E93657" w:rsidRDefault="00C83217" w:rsidP="0080055E">
      <w:r w:rsidRPr="00E93657">
        <w:br w:type="page"/>
      </w:r>
    </w:p>
    <w:p w14:paraId="0627C679" w14:textId="77777777" w:rsidR="00C83217" w:rsidRPr="00E93657" w:rsidRDefault="00C83217" w:rsidP="001C7F25">
      <w:pPr>
        <w:pStyle w:val="Heading1"/>
      </w:pPr>
      <w:r w:rsidRPr="00E93657">
        <w:lastRenderedPageBreak/>
        <w:t>REFERENCES</w:t>
      </w:r>
    </w:p>
    <w:p w14:paraId="29C673CA" w14:textId="77777777" w:rsidR="00AE1125" w:rsidRPr="00AE1125" w:rsidRDefault="004916F7" w:rsidP="00AE1125">
      <w:pPr>
        <w:pStyle w:val="Bibliography"/>
      </w:pPr>
      <w:r w:rsidRPr="00E93657">
        <w:fldChar w:fldCharType="begin"/>
      </w:r>
      <w:r w:rsidR="001C5662">
        <w:instrText xml:space="preserve"> ADDIN ZOTERO_BIBL {"uncited":[],"omitted":[],"custom":[]} CSL_BIBLIOGRAPHY </w:instrText>
      </w:r>
      <w:r w:rsidRPr="00E93657">
        <w:fldChar w:fldCharType="separate"/>
      </w:r>
      <w:r w:rsidR="00AE1125" w:rsidRPr="00AE1125">
        <w:t xml:space="preserve">1. </w:t>
      </w:r>
      <w:r w:rsidR="00AE1125" w:rsidRPr="00AE1125">
        <w:tab/>
        <w:t xml:space="preserve">Rane SG, Reddy EP. Janus kinases: components of multiple signaling pathways. Oncogene. 2000 Nov 20;19(49):5662–79. </w:t>
      </w:r>
    </w:p>
    <w:p w14:paraId="3D54CBB3" w14:textId="77777777" w:rsidR="00AE1125" w:rsidRPr="00AE1125" w:rsidRDefault="00AE1125" w:rsidP="00AE1125">
      <w:pPr>
        <w:pStyle w:val="Bibliography"/>
      </w:pPr>
      <w:r w:rsidRPr="00AE1125">
        <w:t xml:space="preserve">2. </w:t>
      </w:r>
      <w:r w:rsidRPr="00AE1125">
        <w:tab/>
        <w:t xml:space="preserve">Garrido-Trigo A, Salas A. Molecular Structure and Function of Janus Kinases: Implications for the Development of Inhibitors. Journal of Crohn’s and Colitis. 2020 Aug 1;14(Supplement_2):S713–24. </w:t>
      </w:r>
    </w:p>
    <w:p w14:paraId="79175828" w14:textId="77777777" w:rsidR="00AE1125" w:rsidRPr="00AE1125" w:rsidRDefault="00AE1125" w:rsidP="00AE1125">
      <w:pPr>
        <w:pStyle w:val="Bibliography"/>
      </w:pPr>
      <w:r w:rsidRPr="00AE1125">
        <w:t xml:space="preserve">3. </w:t>
      </w:r>
      <w:r w:rsidRPr="00AE1125">
        <w:tab/>
        <w:t xml:space="preserve">Hu X, Li J, Fu M, Zhao X, Wang W. The JAK/STAT signaling pathway: from bench to clinic. Sig Transduct Target Ther. 2021 Nov 26;6(1):1–33. </w:t>
      </w:r>
    </w:p>
    <w:p w14:paraId="0F9DF756" w14:textId="77777777" w:rsidR="00AE1125" w:rsidRPr="00AE1125" w:rsidRDefault="00AE1125" w:rsidP="00AE1125">
      <w:pPr>
        <w:pStyle w:val="Bibliography"/>
      </w:pPr>
      <w:r w:rsidRPr="00AE1125">
        <w:t xml:space="preserve">4. </w:t>
      </w:r>
      <w:r w:rsidRPr="00AE1125">
        <w:tab/>
        <w:t>EMA. Janus kinase inhibitors (JAKi) [Internet]. European Medicines Agency. 2022 [cited 2023 Feb 6]. Available from: https://www.ema.europa.eu/en/medicines/human/referrals/janus-kinase-inhibitors-jaki</w:t>
      </w:r>
    </w:p>
    <w:p w14:paraId="3A265B02" w14:textId="77777777" w:rsidR="00AE1125" w:rsidRPr="00AE1125" w:rsidRDefault="00AE1125" w:rsidP="00AE1125">
      <w:pPr>
        <w:pStyle w:val="Bibliography"/>
      </w:pPr>
      <w:r w:rsidRPr="00AE1125">
        <w:t xml:space="preserve">5. </w:t>
      </w:r>
      <w:r w:rsidRPr="00AE1125">
        <w:tab/>
        <w:t xml:space="preserve">Janus kinase (JAK) inhibitors: new measures to reduce risks of major cardiovascular events, malignancy, venous thromboembolism, serious infections and increased mortality. Drug Safety Update. 2023;16(9):2. </w:t>
      </w:r>
    </w:p>
    <w:p w14:paraId="6C7E417A" w14:textId="77777777" w:rsidR="00AE1125" w:rsidRPr="00AE1125" w:rsidRDefault="00AE1125" w:rsidP="00AE1125">
      <w:pPr>
        <w:pStyle w:val="Bibliography"/>
      </w:pPr>
      <w:r w:rsidRPr="00AE1125">
        <w:t xml:space="preserve">6. </w:t>
      </w:r>
      <w:r w:rsidRPr="00AE1125">
        <w:tab/>
        <w:t xml:space="preserve">Flanagan ME, Blumenkopf TA, Brissette WH, et al. Discovery of CP-690,550: a potent and selective Janus kinase (JAK) inhibitor for the treatment of autoimmune diseases and organ transplant rejection. J Med Chem. 2010 Dec 23;53(24):8468–84. </w:t>
      </w:r>
    </w:p>
    <w:p w14:paraId="42A2D8C9" w14:textId="77777777" w:rsidR="00AE1125" w:rsidRPr="00AE1125" w:rsidRDefault="00AE1125" w:rsidP="00AE1125">
      <w:pPr>
        <w:pStyle w:val="Bibliography"/>
      </w:pPr>
      <w:r w:rsidRPr="00AE1125">
        <w:t xml:space="preserve">7. </w:t>
      </w:r>
      <w:r w:rsidRPr="00AE1125">
        <w:tab/>
        <w:t>XELJANZ 5 mg film-coated tablets - Summary of Product Characteristics (SmPC) - (emc) [Internet]. [cited 2023 Jul 9]. Available from: https://www.medicines.org.uk/emc/product/2500/smpc</w:t>
      </w:r>
    </w:p>
    <w:p w14:paraId="7C636D69" w14:textId="77777777" w:rsidR="00AE1125" w:rsidRPr="00AE1125" w:rsidRDefault="00AE1125" w:rsidP="00AE1125">
      <w:pPr>
        <w:pStyle w:val="Bibliography"/>
      </w:pPr>
      <w:r w:rsidRPr="00AE1125">
        <w:t xml:space="preserve">8. </w:t>
      </w:r>
      <w:r w:rsidRPr="00AE1125">
        <w:tab/>
        <w:t xml:space="preserve">Sandborn WJ, Ghosh S, Panes J, et al. A phase 2 study of tofacitinib, an oral Janus kinase inhibitor, in patients with Crohn’s disease. Clin Gastroenterol Hepatol. 2014 Sep;12(9):1485-1493.e2. </w:t>
      </w:r>
    </w:p>
    <w:p w14:paraId="0D693F8C" w14:textId="77777777" w:rsidR="00AE1125" w:rsidRPr="00AE1125" w:rsidRDefault="00AE1125" w:rsidP="00AE1125">
      <w:pPr>
        <w:pStyle w:val="Bibliography"/>
      </w:pPr>
      <w:r w:rsidRPr="00AE1125">
        <w:t xml:space="preserve">9. </w:t>
      </w:r>
      <w:r w:rsidRPr="00AE1125">
        <w:tab/>
        <w:t xml:space="preserve">Sandborn WJ, Su C, Sands BE, et al. Tofacitinib as Induction and Maintenance Therapy for Ulcerative Colitis. N Engl J Med. 2017 May 4;376(18):1723–36. </w:t>
      </w:r>
    </w:p>
    <w:p w14:paraId="19B78EA4" w14:textId="77777777" w:rsidR="00AE1125" w:rsidRPr="00AE1125" w:rsidRDefault="00AE1125" w:rsidP="00AE1125">
      <w:pPr>
        <w:pStyle w:val="Bibliography"/>
      </w:pPr>
      <w:r w:rsidRPr="00AE1125">
        <w:t xml:space="preserve">10. </w:t>
      </w:r>
      <w:r w:rsidRPr="00AE1125">
        <w:tab/>
        <w:t xml:space="preserve">Traynor K. FDA approves tofacitinib for rheumatoid arthritis. Am J Health Syst Pharm. 2012 Dec 15;69(24):2120–2120. </w:t>
      </w:r>
    </w:p>
    <w:p w14:paraId="31E7E692" w14:textId="77777777" w:rsidR="00AE1125" w:rsidRPr="00AE1125" w:rsidRDefault="00AE1125" w:rsidP="00AE1125">
      <w:pPr>
        <w:pStyle w:val="Bibliography"/>
      </w:pPr>
      <w:r w:rsidRPr="00AE1125">
        <w:t xml:space="preserve">11. </w:t>
      </w:r>
      <w:r w:rsidRPr="00AE1125">
        <w:tab/>
        <w:t>IQVIA. MIDAS® (Sales) Database [Internet]. [cited 2023 Jul 9]. Available from: https://www.iqvia.com/solutions/commercialization/brand-strategy-and-management/market-measurement/midas</w:t>
      </w:r>
    </w:p>
    <w:p w14:paraId="28854356" w14:textId="77777777" w:rsidR="00AE1125" w:rsidRPr="00AE1125" w:rsidRDefault="00AE1125" w:rsidP="00AE1125">
      <w:pPr>
        <w:pStyle w:val="Bibliography"/>
      </w:pPr>
      <w:r w:rsidRPr="00AE1125">
        <w:t xml:space="preserve">12. </w:t>
      </w:r>
      <w:r w:rsidRPr="00AE1125">
        <w:tab/>
        <w:t xml:space="preserve">Sandborn WJ, Lawendy N, Danese S, et al. Safety and efficacy of tofacitinib for treatment of ulcerative colitis: final analysis of OCTAVE Open, an open-label, long-term extension study with up to 7.0 years of treatment. Aliment Pharmacol Ther. 2022 Feb;55(4):464–78. </w:t>
      </w:r>
    </w:p>
    <w:p w14:paraId="1B74FAFC" w14:textId="77777777" w:rsidR="00AE1125" w:rsidRPr="00AE1125" w:rsidRDefault="00AE1125" w:rsidP="00AE1125">
      <w:pPr>
        <w:pStyle w:val="Bibliography"/>
      </w:pPr>
      <w:r w:rsidRPr="00AE1125">
        <w:lastRenderedPageBreak/>
        <w:t xml:space="preserve">13. </w:t>
      </w:r>
      <w:r w:rsidRPr="00AE1125">
        <w:tab/>
        <w:t xml:space="preserve">Vermeire S, Su C, Lawendy N, et al. Outcomes of Tofacitinib Dose Reduction in Patients with Ulcerative Colitis in Stable Remission from the Randomised RIVETING Trial. J Crohns Colitis. 2021 Jul 5;15(7):1130–41. </w:t>
      </w:r>
    </w:p>
    <w:p w14:paraId="71CD469F" w14:textId="77777777" w:rsidR="00AE1125" w:rsidRPr="00AE1125" w:rsidRDefault="00AE1125" w:rsidP="00AE1125">
      <w:pPr>
        <w:pStyle w:val="Bibliography"/>
      </w:pPr>
      <w:r w:rsidRPr="00AE1125">
        <w:t xml:space="preserve">14. </w:t>
      </w:r>
      <w:r w:rsidRPr="00AE1125">
        <w:tab/>
        <w:t xml:space="preserve">Taxonera C, Olivares D, Alba C. Real-World Effectiveness and Safety of Tofacitinib in Patients With Ulcerative Colitis: Systematic Review With Meta-Analysis. Inflamm Bowel Dis. 2022 Jan 5;28(1):32–40. </w:t>
      </w:r>
    </w:p>
    <w:p w14:paraId="6B1B40FD" w14:textId="77777777" w:rsidR="00AE1125" w:rsidRPr="00AE1125" w:rsidRDefault="00AE1125" w:rsidP="00AE1125">
      <w:pPr>
        <w:pStyle w:val="Bibliography"/>
      </w:pPr>
      <w:r w:rsidRPr="00AE1125">
        <w:t xml:space="preserve">15. </w:t>
      </w:r>
      <w:r w:rsidRPr="00AE1125">
        <w:tab/>
        <w:t>Overview | Filgotinib for treating moderately to severely active ulcerative colitis | Guidance | NICE [Internet]. NICE; 2022 [cited 2023 Jul 13]. Available from: https://www.nice.org.uk/guidance/ta792</w:t>
      </w:r>
    </w:p>
    <w:p w14:paraId="0F99143D" w14:textId="77777777" w:rsidR="00AE1125" w:rsidRPr="00AE1125" w:rsidRDefault="00AE1125" w:rsidP="00AE1125">
      <w:pPr>
        <w:pStyle w:val="Bibliography"/>
      </w:pPr>
      <w:r w:rsidRPr="00AE1125">
        <w:t xml:space="preserve">16. </w:t>
      </w:r>
      <w:r w:rsidRPr="00AE1125">
        <w:tab/>
        <w:t>Jyseleca 200 mg film-coated tablets - Summary of Product Characteristics (SmPC) - (emc) [Internet]. [cited 2023 Jul 13]. Available from: https://www.medicines.org.uk/emc/product/11810/smpc</w:t>
      </w:r>
    </w:p>
    <w:p w14:paraId="7EAA120B" w14:textId="77777777" w:rsidR="00AE1125" w:rsidRPr="00AE1125" w:rsidRDefault="00AE1125" w:rsidP="00AE1125">
      <w:pPr>
        <w:pStyle w:val="Bibliography"/>
      </w:pPr>
      <w:r w:rsidRPr="00AE1125">
        <w:t xml:space="preserve">17. </w:t>
      </w:r>
      <w:r w:rsidRPr="00AE1125">
        <w:tab/>
        <w:t>Reinisch W, Hellstrom W, Dolhain RJEM, et al. Effects of filgotinib on semen parameters and sex hormones in male patients with inflammatory diseases: results from the phase 2, randomised, double-blind, placebo-controlled MANTA and MANTA-RAy studies. Annals of the Rheumatic Diseases [Internet]. 2023 May 3 [cited 2023 Jul 13]; Available from: https://ard.bmj.com/content/early/2023/05/02/ard-2023-224017</w:t>
      </w:r>
    </w:p>
    <w:p w14:paraId="5D831E70" w14:textId="77777777" w:rsidR="00AE1125" w:rsidRPr="00AE1125" w:rsidRDefault="00AE1125" w:rsidP="00AE1125">
      <w:pPr>
        <w:pStyle w:val="Bibliography"/>
      </w:pPr>
      <w:r w:rsidRPr="00AE1125">
        <w:t xml:space="preserve">18. </w:t>
      </w:r>
      <w:r w:rsidRPr="00AE1125">
        <w:tab/>
        <w:t xml:space="preserve">Vermeire S, Schreiber S, Petryka R, et al. Clinical remission in patients with moderate-to-severe Crohn’s disease treated with filgotinib (the FITZROY study): results from a phase 2, double-blind, randomised, placebo-controlled trial. Lancet. 2017 Jan 21;389(10066):266–75. </w:t>
      </w:r>
    </w:p>
    <w:p w14:paraId="0A33A501" w14:textId="77777777" w:rsidR="00AE1125" w:rsidRPr="00AE1125" w:rsidRDefault="00AE1125" w:rsidP="00AE1125">
      <w:pPr>
        <w:pStyle w:val="Bibliography"/>
      </w:pPr>
      <w:r w:rsidRPr="00AE1125">
        <w:t xml:space="preserve">19. </w:t>
      </w:r>
      <w:r w:rsidRPr="00AE1125">
        <w:tab/>
        <w:t>Galapagos announces topline results from Phase 3 DIVERSITY trial of filgotinib in Crohn’s disease [Internet]. [cited 2023 Jul 13]. Available from: https://www.glpg.com/press-release/3766/galapagos-announces-topline-results-from-phase-3-diversity-trial-of-filgotinib-in-crohn-s-disease</w:t>
      </w:r>
    </w:p>
    <w:p w14:paraId="7A4DC391" w14:textId="77777777" w:rsidR="00AE1125" w:rsidRPr="00AE1125" w:rsidRDefault="00AE1125" w:rsidP="00AE1125">
      <w:pPr>
        <w:pStyle w:val="Bibliography"/>
      </w:pPr>
      <w:r w:rsidRPr="00AE1125">
        <w:t xml:space="preserve">20. </w:t>
      </w:r>
      <w:r w:rsidRPr="00AE1125">
        <w:tab/>
        <w:t xml:space="preserve">D’Haens GR, Lee S, Taylor SA, et al. Filgotinib for the Treatment of Small Bowel Crohn’s Disease: The DIVERGENCE 1 Trial. Gastroenterology. 2023 Jul 1;165(1):289-292.e3. </w:t>
      </w:r>
    </w:p>
    <w:p w14:paraId="14549853" w14:textId="77777777" w:rsidR="00AE1125" w:rsidRPr="00AE1125" w:rsidRDefault="00AE1125" w:rsidP="00AE1125">
      <w:pPr>
        <w:pStyle w:val="Bibliography"/>
      </w:pPr>
      <w:r w:rsidRPr="00AE1125">
        <w:t xml:space="preserve">21. </w:t>
      </w:r>
      <w:r w:rsidRPr="00AE1125">
        <w:tab/>
        <w:t xml:space="preserve">Van Rompaey L, Galien R, van der Aar EM, et al. Preclinical characterization of GLPG0634, a selective inhibitor of JAK1, for the treatment of inflammatory diseases. J Immunol. 2013 Oct 1;191(7):3568–77. </w:t>
      </w:r>
    </w:p>
    <w:p w14:paraId="0C646B5E" w14:textId="77777777" w:rsidR="00AE1125" w:rsidRPr="00AE1125" w:rsidRDefault="00AE1125" w:rsidP="00AE1125">
      <w:pPr>
        <w:pStyle w:val="Bibliography"/>
      </w:pPr>
      <w:r w:rsidRPr="00AE1125">
        <w:t xml:space="preserve">22. </w:t>
      </w:r>
      <w:r w:rsidRPr="00AE1125">
        <w:tab/>
        <w:t xml:space="preserve">Traves PG, Murray B, Campigotto F, Galien R, Meng A, Di Paolo JA. JAK selectivity and the implications for clinical inhibition of pharmacodynamic cytokine signalling by filgotinib, upadacitinib, tofacitinib and baricitinib. Ann Rheum Dis. 2021 Jul;80(7):865–75. </w:t>
      </w:r>
    </w:p>
    <w:p w14:paraId="0377A601" w14:textId="77777777" w:rsidR="00AE1125" w:rsidRPr="00AE1125" w:rsidRDefault="00AE1125" w:rsidP="00AE1125">
      <w:pPr>
        <w:pStyle w:val="Bibliography"/>
      </w:pPr>
      <w:r w:rsidRPr="00AE1125">
        <w:t xml:space="preserve">23. </w:t>
      </w:r>
      <w:r w:rsidRPr="00AE1125">
        <w:tab/>
        <w:t xml:space="preserve">Feagan BG, Danese S, Loftus EV, et al. Filgotinib as induction and maintenance therapy for ulcerative colitis (SELECTION): a phase 2b/3 double-blind, randomised, placebo-controlled trial. The Lancet. 2021 Jun 19;397(10292):2372–84. </w:t>
      </w:r>
    </w:p>
    <w:p w14:paraId="20283853" w14:textId="77777777" w:rsidR="00AE1125" w:rsidRPr="00AE1125" w:rsidRDefault="00AE1125" w:rsidP="00AE1125">
      <w:pPr>
        <w:pStyle w:val="Bibliography"/>
      </w:pPr>
      <w:r w:rsidRPr="00AE1125">
        <w:t xml:space="preserve">24. </w:t>
      </w:r>
      <w:r w:rsidRPr="00AE1125">
        <w:tab/>
        <w:t xml:space="preserve">Galapagos NV. A Prospective, Non-interventional, Multi-country Cohort Study of the Effectiveness and Safety of Filgotinib in Adult Patients With Moderately to Severely Active </w:t>
      </w:r>
      <w:r w:rsidRPr="00AE1125">
        <w:lastRenderedPageBreak/>
        <w:t>Ulcerative Colitis [Internet]. clinicaltrials.gov; 2023 Jul [cited 2023 Jul 19]. Report No.: NCT05817942. Available from: https://clinicaltrials.gov/study/NCT05817942</w:t>
      </w:r>
    </w:p>
    <w:p w14:paraId="42059853" w14:textId="77777777" w:rsidR="00AE1125" w:rsidRPr="00AE1125" w:rsidRDefault="00AE1125" w:rsidP="00AE1125">
      <w:pPr>
        <w:pStyle w:val="Bibliography"/>
      </w:pPr>
      <w:r w:rsidRPr="00AE1125">
        <w:t xml:space="preserve">25. </w:t>
      </w:r>
      <w:r w:rsidRPr="00AE1125">
        <w:tab/>
        <w:t>Overview | Upadacitinib for treating moderately to severely active ulcerative colitis | Guidance | NICE [Internet]. NICE; 2023 [cited 2023 Jul 9]. Available from: https://www.nice.org.uk/guidance/ta856</w:t>
      </w:r>
    </w:p>
    <w:p w14:paraId="6BB18FA0" w14:textId="77777777" w:rsidR="00AE1125" w:rsidRPr="00AE1125" w:rsidRDefault="00AE1125" w:rsidP="00AE1125">
      <w:pPr>
        <w:pStyle w:val="Bibliography"/>
      </w:pPr>
      <w:r w:rsidRPr="00AE1125">
        <w:t xml:space="preserve">26. </w:t>
      </w:r>
      <w:r w:rsidRPr="00AE1125">
        <w:tab/>
        <w:t>Overview | Upadacitinib for previously treated moderately to severely active Crohn’s disease | Guidance | NICE [Internet]. NICE; 2023 [cited 2023 Jul 9]. Available from: https://www.nice.org.uk/guidance/ta905</w:t>
      </w:r>
    </w:p>
    <w:p w14:paraId="15DFE769" w14:textId="77777777" w:rsidR="00AE1125" w:rsidRPr="00AE1125" w:rsidRDefault="00AE1125" w:rsidP="00AE1125">
      <w:pPr>
        <w:pStyle w:val="Bibliography"/>
      </w:pPr>
      <w:r w:rsidRPr="00AE1125">
        <w:t xml:space="preserve">27. </w:t>
      </w:r>
      <w:r w:rsidRPr="00AE1125">
        <w:tab/>
        <w:t>RINVOQ 15 mg prolonged-release tablets - Summary of Product Characteristics (SmPC) - (emc) [Internet]. [cited 2023 Jul 10]. Available from: https://www.medicines.org.uk/emc/product/10972/smpc</w:t>
      </w:r>
    </w:p>
    <w:p w14:paraId="49BD6B67" w14:textId="77777777" w:rsidR="00AE1125" w:rsidRPr="00AE1125" w:rsidRDefault="00AE1125" w:rsidP="00AE1125">
      <w:pPr>
        <w:pStyle w:val="Bibliography"/>
      </w:pPr>
      <w:r w:rsidRPr="00AE1125">
        <w:t xml:space="preserve">28. </w:t>
      </w:r>
      <w:r w:rsidRPr="00AE1125">
        <w:tab/>
        <w:t xml:space="preserve">Sandborn WJ, Ghosh S, Panes J, et al. Efficacy of Upadacitinib in a Randomized Trial of Patients With Active Ulcerative Colitis. Gastroenterology. 2020 Jun;158(8):2139-2149.e14. </w:t>
      </w:r>
    </w:p>
    <w:p w14:paraId="02CE3A78" w14:textId="77777777" w:rsidR="00AE1125" w:rsidRPr="00AE1125" w:rsidRDefault="00AE1125" w:rsidP="00AE1125">
      <w:pPr>
        <w:pStyle w:val="Bibliography"/>
      </w:pPr>
      <w:r w:rsidRPr="00AE1125">
        <w:t xml:space="preserve">29. </w:t>
      </w:r>
      <w:r w:rsidRPr="00AE1125">
        <w:tab/>
        <w:t xml:space="preserve">Sandborn WJ, Feagan BG, Loftus EV, et al. Efficacy and Safety of Upadacitinib in a Randomized Trial of Patients With Crohn’s Disease. Gastroenterology. 2020 Jun;158(8):2123-2138.e8. </w:t>
      </w:r>
    </w:p>
    <w:p w14:paraId="3CA5BE39" w14:textId="77777777" w:rsidR="00AE1125" w:rsidRPr="00AE1125" w:rsidRDefault="00AE1125" w:rsidP="00AE1125">
      <w:pPr>
        <w:pStyle w:val="Bibliography"/>
      </w:pPr>
      <w:r w:rsidRPr="00AE1125">
        <w:t xml:space="preserve">30. </w:t>
      </w:r>
      <w:r w:rsidRPr="00AE1125">
        <w:tab/>
        <w:t xml:space="preserve">Loftus EV, Panés J, Lacerda AP, et al. Upadacitinib Induction and Maintenance Therapy for Crohn’s Disease. New England Journal of Medicine. 2023 May 25;388(21):1966–80. </w:t>
      </w:r>
    </w:p>
    <w:p w14:paraId="3D7F6621" w14:textId="77777777" w:rsidR="00AE1125" w:rsidRPr="00AE1125" w:rsidRDefault="00AE1125" w:rsidP="00AE1125">
      <w:pPr>
        <w:pStyle w:val="Bibliography"/>
      </w:pPr>
      <w:r w:rsidRPr="00AE1125">
        <w:t xml:space="preserve">31. </w:t>
      </w:r>
      <w:r w:rsidRPr="00AE1125">
        <w:tab/>
        <w:t xml:space="preserve">Lasa JS, Olivera PA, Danese S, Peyrin-Biroulet L. Efficacy and safety of biologics and small molecule drugs for patients with moderate-to-severe ulcerative colitis: a systematic review and network meta-analysis. The Lancet Gastroenterology &amp; Hepatology. 2022 Feb 1;7(2):161–70. </w:t>
      </w:r>
    </w:p>
    <w:p w14:paraId="5B7DCD2A" w14:textId="77777777" w:rsidR="00AE1125" w:rsidRPr="00AE1125" w:rsidRDefault="00AE1125" w:rsidP="00AE1125">
      <w:pPr>
        <w:pStyle w:val="Bibliography"/>
      </w:pPr>
      <w:r w:rsidRPr="00AE1125">
        <w:t xml:space="preserve">32. </w:t>
      </w:r>
      <w:r w:rsidRPr="00AE1125">
        <w:tab/>
        <w:t xml:space="preserve">Burr NE, Gracie DJ, Black CJ, Ford AC. Efficacy of biological therapies and small molecules in moderate to severe ulcerative colitis: systematic review and network meta-analysis. Gut. 2022 Oct 1;71(10):1976–87. </w:t>
      </w:r>
    </w:p>
    <w:p w14:paraId="0434A18C" w14:textId="77777777" w:rsidR="00AE1125" w:rsidRPr="00AE1125" w:rsidRDefault="00AE1125" w:rsidP="00AE1125">
      <w:pPr>
        <w:pStyle w:val="Bibliography"/>
      </w:pPr>
      <w:r w:rsidRPr="00AE1125">
        <w:t xml:space="preserve">33. </w:t>
      </w:r>
      <w:r w:rsidRPr="00AE1125">
        <w:tab/>
        <w:t xml:space="preserve">Barberio B, Gracie DJ, Black CJ, Ford AC. Efficacy of biological therapies and small molecules in induction and maintenance of remission in luminal Crohn’s disease: systematic review and network meta-analysis. Gut. 2023 Feb 1;72(2):264–74. </w:t>
      </w:r>
    </w:p>
    <w:p w14:paraId="722630CD" w14:textId="77777777" w:rsidR="00AE1125" w:rsidRPr="00AE1125" w:rsidRDefault="00AE1125" w:rsidP="00AE1125">
      <w:pPr>
        <w:pStyle w:val="Bibliography"/>
      </w:pPr>
      <w:r w:rsidRPr="00AE1125">
        <w:t xml:space="preserve">34. </w:t>
      </w:r>
      <w:r w:rsidRPr="00AE1125">
        <w:tab/>
        <w:t xml:space="preserve">Loftus EV, Colombel JF, Takeuchi K, et al. Upadacitinib Therapy Reduces Ulcerative Colitis Symptoms as Early as Day 1 of Induction Treatment. Clin Gastroenterol Hepatol. 2022 Dec 1;S1542-3565(22)01109-0. </w:t>
      </w:r>
    </w:p>
    <w:p w14:paraId="3E2B2A79" w14:textId="77777777" w:rsidR="00AE1125" w:rsidRPr="00AE1125" w:rsidRDefault="00AE1125" w:rsidP="00AE1125">
      <w:pPr>
        <w:pStyle w:val="Bibliography"/>
      </w:pPr>
      <w:r w:rsidRPr="00AE1125">
        <w:t xml:space="preserve">35. </w:t>
      </w:r>
      <w:r w:rsidRPr="00AE1125">
        <w:tab/>
        <w:t>An Observational Study to Assess Change in Disease Activity and Adverse Events of Upadacitinib in Adult Participants With Moderate to Severe Ulcerative Colitis (UC) in Real-World Practice - Full Text View - ClinicalTrials.gov [Internet]. [cited 2023 Jul 12]. Available from: https://clinicaltrials.gov/ct2/show/NCT05494606</w:t>
      </w:r>
    </w:p>
    <w:p w14:paraId="1909437E" w14:textId="77777777" w:rsidR="00AE1125" w:rsidRPr="00AE1125" w:rsidRDefault="00AE1125" w:rsidP="00AE1125">
      <w:pPr>
        <w:pStyle w:val="Bibliography"/>
      </w:pPr>
      <w:r w:rsidRPr="00AE1125">
        <w:lastRenderedPageBreak/>
        <w:t xml:space="preserve">36. </w:t>
      </w:r>
      <w:r w:rsidRPr="00AE1125">
        <w:tab/>
        <w:t>Study to Assess Speed of Onset and Durability of Effectiveness of Upadacitinib in Adult Participants With Moderate to Severe Crohn’s Disease (CD) in Real World Clinical Practice. - Full Text View - ClinicalTrials.gov [Internet]. [cited 2023 Jul 12]. Available from: https://clinicaltrials.gov/ct2/show/NCT05930275</w:t>
      </w:r>
    </w:p>
    <w:p w14:paraId="136F02F5" w14:textId="77777777" w:rsidR="00AE1125" w:rsidRPr="00AE1125" w:rsidRDefault="00AE1125" w:rsidP="00AE1125">
      <w:pPr>
        <w:pStyle w:val="Bibliography"/>
      </w:pPr>
      <w:r w:rsidRPr="00AE1125">
        <w:t xml:space="preserve">37. </w:t>
      </w:r>
      <w:r w:rsidRPr="00AE1125">
        <w:tab/>
        <w:t xml:space="preserve">Danese S, Vermeire S, Zhou W, et al. Upadacitinib as induction and maintenance therapy for moderately to severely active ulcerative colitis: results from three phase 3, multicentre, double-blind, randomised trials. The Lancet. 2022 Jun 4;399(10341):2113–28. </w:t>
      </w:r>
    </w:p>
    <w:p w14:paraId="24D11DBD" w14:textId="77777777" w:rsidR="00AE1125" w:rsidRPr="00AE1125" w:rsidRDefault="00AE1125" w:rsidP="00AE1125">
      <w:pPr>
        <w:pStyle w:val="Bibliography"/>
      </w:pPr>
      <w:r w:rsidRPr="00AE1125">
        <w:t xml:space="preserve">38. </w:t>
      </w:r>
      <w:r w:rsidRPr="00AE1125">
        <w:tab/>
        <w:t xml:space="preserve">Ytterberg SR, Bhatt DL, Mikuls TR, et al. Cardiovascular and Cancer Risk with Tofacitinib in Rheumatoid Arthritis. N Engl J Med. 2022 Jan 27;386(4):316–26. </w:t>
      </w:r>
    </w:p>
    <w:p w14:paraId="056EA000" w14:textId="77777777" w:rsidR="00AE1125" w:rsidRPr="00AE1125" w:rsidRDefault="00AE1125" w:rsidP="00AE1125">
      <w:pPr>
        <w:pStyle w:val="Bibliography"/>
      </w:pPr>
      <w:r w:rsidRPr="00AE1125">
        <w:t xml:space="preserve">39. </w:t>
      </w:r>
      <w:r w:rsidRPr="00AE1125">
        <w:tab/>
        <w:t>Eli Lilly and Company. A Randomized, Active-Controlled, Parallel-Group, Phase 3b/4 Study of Baricitinib in Patients With Rheumatoid Arthritis [Internet]. clinicaltrials.gov; 2023 Apr [cited 2023 Jul 17]. Report No.: NCT03915964. Available from: https://clinicaltrials.gov/study/NCT03915964</w:t>
      </w:r>
    </w:p>
    <w:p w14:paraId="7FFCC649" w14:textId="77777777" w:rsidR="00AE1125" w:rsidRPr="00AE1125" w:rsidRDefault="00AE1125" w:rsidP="00AE1125">
      <w:pPr>
        <w:pStyle w:val="Bibliography"/>
      </w:pPr>
      <w:r w:rsidRPr="00AE1125">
        <w:t xml:space="preserve">40. </w:t>
      </w:r>
      <w:r w:rsidRPr="00AE1125">
        <w:tab/>
        <w:t>Eli Lilly and Company. A Randomized, Controlled Pragmatic Phase 3b/4 Study of Baricitinib in Patients With Rheumatoid Arthritis [Internet]. clinicaltrials.gov; 2023 Jul [cited 2023 Jul 17]. Report No.: NCT04086745. Available from: https://clinicaltrials.gov/study/NCT04086745</w:t>
      </w:r>
    </w:p>
    <w:p w14:paraId="1F4FD7C1" w14:textId="77777777" w:rsidR="00AE1125" w:rsidRPr="00AE1125" w:rsidRDefault="00AE1125" w:rsidP="00AE1125">
      <w:pPr>
        <w:pStyle w:val="Bibliography"/>
      </w:pPr>
      <w:r w:rsidRPr="00AE1125">
        <w:t xml:space="preserve">41. </w:t>
      </w:r>
      <w:r w:rsidRPr="00AE1125">
        <w:tab/>
        <w:t xml:space="preserve">Namour F, Anderson K, Nelson C, Tasset C. Filgotinib: A Clinical Pharmacology Review. Clin Pharmacokinet. 2022 Jun;61(6):819–32. </w:t>
      </w:r>
    </w:p>
    <w:p w14:paraId="5514DD0E" w14:textId="77777777" w:rsidR="00AE1125" w:rsidRPr="00AE1125" w:rsidRDefault="00AE1125" w:rsidP="00AE1125">
      <w:pPr>
        <w:pStyle w:val="Bibliography"/>
      </w:pPr>
      <w:r w:rsidRPr="00AE1125">
        <w:t xml:space="preserve">42. </w:t>
      </w:r>
      <w:r w:rsidRPr="00AE1125">
        <w:tab/>
        <w:t xml:space="preserve">Lamb CA, Kennedy NA, Raine T, et al. British Society of Gastroenterology consensus guidelines on the management of inflammatory bowel disease in adults. Gut. 2019 Dec 1;68(Suppl 3):s1–106. </w:t>
      </w:r>
    </w:p>
    <w:p w14:paraId="1C71490A" w14:textId="77777777" w:rsidR="00AE1125" w:rsidRPr="00AE1125" w:rsidRDefault="00AE1125" w:rsidP="00AE1125">
      <w:pPr>
        <w:pStyle w:val="Bibliography"/>
      </w:pPr>
      <w:r w:rsidRPr="00AE1125">
        <w:t xml:space="preserve">43. </w:t>
      </w:r>
      <w:r w:rsidRPr="00AE1125">
        <w:tab/>
        <w:t xml:space="preserve">Kucharzik T, Ellul P, Greuter T, et al. ECCO Guidelines on the Prevention, Diagnosis, and Management of Infections in Inflammatory Bowel Disease. Journal of Crohn’s and Colitis. 2021 Jun 1;15(6):879–913. </w:t>
      </w:r>
    </w:p>
    <w:p w14:paraId="410BCE23" w14:textId="77777777" w:rsidR="00AE1125" w:rsidRPr="00AE1125" w:rsidRDefault="00AE1125" w:rsidP="00AE1125">
      <w:pPr>
        <w:pStyle w:val="Bibliography"/>
      </w:pPr>
      <w:r w:rsidRPr="00AE1125">
        <w:t xml:space="preserve">44. </w:t>
      </w:r>
      <w:r w:rsidRPr="00AE1125">
        <w:tab/>
        <w:t xml:space="preserve">Kavanaugh A, Westhovens RR, Winthrop KL, et al. Safety and Efficacy of Filgotinib: Up to 4-year Results From an Open-label Extension Study of Phase II Rheumatoid Arthritis Programs. The Journal of Rheumatology. 2021 Aug 1;48(8):1230–8. </w:t>
      </w:r>
    </w:p>
    <w:p w14:paraId="7CEFF5D2" w14:textId="77777777" w:rsidR="00AE1125" w:rsidRPr="00AE1125" w:rsidRDefault="00AE1125" w:rsidP="00AE1125">
      <w:pPr>
        <w:pStyle w:val="Bibliography"/>
      </w:pPr>
      <w:r w:rsidRPr="00AE1125">
        <w:t xml:space="preserve">45. </w:t>
      </w:r>
      <w:r w:rsidRPr="00AE1125">
        <w:tab/>
        <w:t xml:space="preserve">Burmester GR, Cohen SB, Winthrop KL, et al. Safety profile of upadacitinib over 15 000 patient-years across rheumatoid arthritis, psoriatic arthritis, ankylosing spondylitis and atopic dermatitis. RMD Open. 2023 Feb 8;9(1):e002735. </w:t>
      </w:r>
    </w:p>
    <w:p w14:paraId="1CB662B7" w14:textId="77777777" w:rsidR="00AE1125" w:rsidRPr="00AE1125" w:rsidRDefault="00AE1125" w:rsidP="00AE1125">
      <w:pPr>
        <w:pStyle w:val="Bibliography"/>
      </w:pPr>
      <w:r w:rsidRPr="00AE1125">
        <w:t xml:space="preserve">46. </w:t>
      </w:r>
      <w:r w:rsidRPr="00AE1125">
        <w:tab/>
        <w:t xml:space="preserve">Singh S, Singh H, Loftus EV, Pardi DS. Risk of cerebrovascular accidents and ischemic heart disease in patients with inflammatory bowel disease: a systematic review and meta-analysis. Clin Gastroenterol Hepatol. 2014 Mar;12(3):382-393.e1: quiz e22. </w:t>
      </w:r>
    </w:p>
    <w:p w14:paraId="1BF5CFD6" w14:textId="77777777" w:rsidR="00AE1125" w:rsidRPr="00AE1125" w:rsidRDefault="00AE1125" w:rsidP="00AE1125">
      <w:pPr>
        <w:pStyle w:val="Bibliography"/>
      </w:pPr>
      <w:r w:rsidRPr="00AE1125">
        <w:t xml:space="preserve">47. </w:t>
      </w:r>
      <w:r w:rsidRPr="00AE1125">
        <w:tab/>
        <w:t xml:space="preserve">Kirchgesner J, Beaugerie L, Carrat F, et al. Increased risk of acute arterial events in young patients and severely active IBD: a nationwide French cohort study. Gut. 2018 Jul;67(7):1261–8. </w:t>
      </w:r>
    </w:p>
    <w:p w14:paraId="403317EA" w14:textId="77777777" w:rsidR="00AE1125" w:rsidRPr="00AE1125" w:rsidRDefault="00AE1125" w:rsidP="00AE1125">
      <w:pPr>
        <w:pStyle w:val="Bibliography"/>
      </w:pPr>
      <w:r w:rsidRPr="00AE1125">
        <w:lastRenderedPageBreak/>
        <w:t xml:space="preserve">48. </w:t>
      </w:r>
      <w:r w:rsidRPr="00AE1125">
        <w:tab/>
        <w:t xml:space="preserve">Card TR, Zittan E, Nguyen GC, Grainge MJ. Disease Activity in Inflammatory Bowel Disease Is Associated With Arterial Vascular Disease. Inflamm Bowel Dis. 2021 Apr 15;27(5):629–38. </w:t>
      </w:r>
    </w:p>
    <w:p w14:paraId="03293751" w14:textId="77777777" w:rsidR="00AE1125" w:rsidRPr="00AE1125" w:rsidRDefault="00AE1125" w:rsidP="00AE1125">
      <w:pPr>
        <w:pStyle w:val="Bibliography"/>
      </w:pPr>
      <w:r w:rsidRPr="00AE1125">
        <w:t xml:space="preserve">49. </w:t>
      </w:r>
      <w:r w:rsidRPr="00AE1125">
        <w:tab/>
        <w:t xml:space="preserve">Li N, Gou ZP, Du SQ, et al. Effect of JAK inhibitors on high- and low-density lipoprotein in patients with rheumatoid arthritis: a systematic review and network meta-analysis. Clin Rheumatol. 2022 Mar;41(3):677–88. </w:t>
      </w:r>
    </w:p>
    <w:p w14:paraId="5F3BC097" w14:textId="77777777" w:rsidR="00AE1125" w:rsidRPr="00AE1125" w:rsidRDefault="00AE1125" w:rsidP="00AE1125">
      <w:pPr>
        <w:pStyle w:val="Bibliography"/>
      </w:pPr>
      <w:r w:rsidRPr="00AE1125">
        <w:t xml:space="preserve">50. </w:t>
      </w:r>
      <w:r w:rsidRPr="00AE1125">
        <w:tab/>
        <w:t xml:space="preserve">Olivera PA, Lasa JS, Peretto G, Zuily S, Danese S, Peyrin-Biroulet L. Review article: Risk of cardiovascular events in patients with inflammatory bowel disease receiving small molecule drugs. Aliment Pharmacol Ther. 2023 Apr 10; </w:t>
      </w:r>
    </w:p>
    <w:p w14:paraId="12585A78" w14:textId="77777777" w:rsidR="00AE1125" w:rsidRPr="00AE1125" w:rsidRDefault="00AE1125" w:rsidP="00AE1125">
      <w:pPr>
        <w:pStyle w:val="Bibliography"/>
      </w:pPr>
      <w:r w:rsidRPr="00AE1125">
        <w:t xml:space="preserve">51. </w:t>
      </w:r>
      <w:r w:rsidRPr="00AE1125">
        <w:tab/>
        <w:t xml:space="preserve">Yuhara H, Steinmaus C, Corley D, et al. Meta-analysis: the risk of venous thromboembolism in patients with inflammatory bowel disease. Aliment Pharmacol Ther. 2013 May;37(10):953–62. </w:t>
      </w:r>
    </w:p>
    <w:p w14:paraId="62937081" w14:textId="77777777" w:rsidR="00AE1125" w:rsidRPr="00AE1125" w:rsidRDefault="00AE1125" w:rsidP="00AE1125">
      <w:pPr>
        <w:pStyle w:val="Bibliography"/>
      </w:pPr>
      <w:r w:rsidRPr="00AE1125">
        <w:t xml:space="preserve">52. </w:t>
      </w:r>
      <w:r w:rsidRPr="00AE1125">
        <w:tab/>
        <w:t xml:space="preserve">Yates M, Mootoo A, Adas M, et al. Venous Thromboembolism Risk With JAK Inhibitors: A Meta-Analysis. Arthritis Rheumatol. 2021 May;73(5):779–88. </w:t>
      </w:r>
    </w:p>
    <w:p w14:paraId="4D4FE692" w14:textId="77777777" w:rsidR="00AE1125" w:rsidRPr="00AE1125" w:rsidRDefault="00AE1125" w:rsidP="00AE1125">
      <w:pPr>
        <w:pStyle w:val="Bibliography"/>
      </w:pPr>
      <w:r w:rsidRPr="00AE1125">
        <w:t xml:space="preserve">53. </w:t>
      </w:r>
      <w:r w:rsidRPr="00AE1125">
        <w:tab/>
        <w:t xml:space="preserve">Olivera PA, Lasa JS, Bonovas S, Danese S, Peyrin-Biroulet L. Safety of Janus Kinase Inhibitors in Patients With Inflammatory Bowel Diseases or Other Immune-mediated Diseases: A Systematic Review and Meta-Analysis. Gastroenterology. 2020 May 1;158(6):1554-1573.e12. </w:t>
      </w:r>
    </w:p>
    <w:p w14:paraId="0D4D437D" w14:textId="77777777" w:rsidR="00AE1125" w:rsidRPr="00AE1125" w:rsidRDefault="00AE1125" w:rsidP="00AE1125">
      <w:pPr>
        <w:pStyle w:val="Bibliography"/>
      </w:pPr>
      <w:r w:rsidRPr="00AE1125">
        <w:t xml:space="preserve">54. </w:t>
      </w:r>
      <w:r w:rsidRPr="00AE1125">
        <w:tab/>
        <w:t xml:space="preserve">Coussens LM, Werb Z. Inflammation and cancer. Nature. 2002 Dec 12;420(6917):860. </w:t>
      </w:r>
    </w:p>
    <w:p w14:paraId="6822BAB8" w14:textId="77777777" w:rsidR="00AE1125" w:rsidRPr="00AE1125" w:rsidRDefault="00AE1125" w:rsidP="00AE1125">
      <w:pPr>
        <w:pStyle w:val="Bibliography"/>
      </w:pPr>
      <w:r w:rsidRPr="00AE1125">
        <w:t xml:space="preserve">55. </w:t>
      </w:r>
      <w:r w:rsidRPr="00AE1125">
        <w:tab/>
        <w:t xml:space="preserve">Wu S, Xie S, Yuan C, et al. Inflammatory Bowel Disease and Long-term Risk of Cancer: A Prospective Cohort Study Among Half a Million Adults in UK Biobank. Inflamm Bowel Dis. 2023 Mar 1;29(3):384–95. </w:t>
      </w:r>
    </w:p>
    <w:p w14:paraId="17621A69" w14:textId="77777777" w:rsidR="00AE1125" w:rsidRPr="00AE1125" w:rsidRDefault="00AE1125" w:rsidP="00AE1125">
      <w:pPr>
        <w:pStyle w:val="Bibliography"/>
      </w:pPr>
      <w:r w:rsidRPr="00AE1125">
        <w:t xml:space="preserve">56. </w:t>
      </w:r>
      <w:r w:rsidRPr="00AE1125">
        <w:tab/>
        <w:t xml:space="preserve">Russell MD, Stovin C, Alveyn E, et al. JAK inhibitors and the risk of malignancy: a meta-analysis across disease indications. Annals of the Rheumatic Diseases. 2023 Aug 1;82(8):1059–67. </w:t>
      </w:r>
    </w:p>
    <w:p w14:paraId="299BE166" w14:textId="77777777" w:rsidR="00AE1125" w:rsidRPr="00AE1125" w:rsidRDefault="00AE1125" w:rsidP="00AE1125">
      <w:pPr>
        <w:pStyle w:val="Bibliography"/>
      </w:pPr>
      <w:r w:rsidRPr="00AE1125">
        <w:t xml:space="preserve">57. </w:t>
      </w:r>
      <w:r w:rsidRPr="00AE1125">
        <w:tab/>
        <w:t xml:space="preserve">Greif CS, Srivastava D, Nijhawan RI. Janus Kinase Inhibitors and Non-Melanoma Skin Cancer. Curr Treat Options Oncol. 2021 Jan 9;22(2):11. </w:t>
      </w:r>
    </w:p>
    <w:p w14:paraId="5C22C2D2" w14:textId="77777777" w:rsidR="00AE1125" w:rsidRPr="00AE1125" w:rsidRDefault="00AE1125" w:rsidP="00AE1125">
      <w:pPr>
        <w:pStyle w:val="Bibliography"/>
      </w:pPr>
      <w:r w:rsidRPr="00AE1125">
        <w:t xml:space="preserve">58. </w:t>
      </w:r>
      <w:r w:rsidRPr="00AE1125">
        <w:tab/>
        <w:t xml:space="preserve">Sands BE, Long MD, Reinisch W, et al. Tofacitinib for the Treatment of Ulcerative Colitis: Analysis of Nonmelanoma Skin Cancer Rates From the Ulcerative Colitis Clinical Program. Inflamm Bowel Dis. 2022 Feb 1;28(2):234–45. </w:t>
      </w:r>
    </w:p>
    <w:p w14:paraId="3C98D80B" w14:textId="77777777" w:rsidR="00AE1125" w:rsidRPr="00AE1125" w:rsidRDefault="00AE1125" w:rsidP="00AE1125">
      <w:pPr>
        <w:pStyle w:val="Bibliography"/>
      </w:pPr>
      <w:r w:rsidRPr="00AE1125">
        <w:t xml:space="preserve">59. </w:t>
      </w:r>
      <w:r w:rsidRPr="00AE1125">
        <w:tab/>
        <w:t xml:space="preserve">Winthrop KL, Park SH, Gul A, et al. Tuberculosis and other opportunistic infections in tofacitinib-treated patients with rheumatoid arthritis. Annals of the Rheumatic Diseases. 2016 Jun 1;75(6):1133–8. </w:t>
      </w:r>
    </w:p>
    <w:p w14:paraId="4EA4EB19" w14:textId="77777777" w:rsidR="00AE1125" w:rsidRPr="00AE1125" w:rsidRDefault="00AE1125" w:rsidP="00AE1125">
      <w:pPr>
        <w:pStyle w:val="Bibliography"/>
      </w:pPr>
      <w:r w:rsidRPr="00AE1125">
        <w:t xml:space="preserve">60. </w:t>
      </w:r>
      <w:r w:rsidRPr="00AE1125">
        <w:tab/>
        <w:t xml:space="preserve">Colombel JF. Herpes Zoster in Patients Receiving JAK Inhibitors For Ulcerative Colitis: Mechanism, Epidemiology, Management, and Prevention. Inflammatory Bowel Diseases. 2018 Sep 15;24(10):2173–82. </w:t>
      </w:r>
    </w:p>
    <w:p w14:paraId="27DBF467" w14:textId="77777777" w:rsidR="00AE1125" w:rsidRPr="00AE1125" w:rsidRDefault="00AE1125" w:rsidP="00AE1125">
      <w:pPr>
        <w:pStyle w:val="Bibliography"/>
      </w:pPr>
      <w:r w:rsidRPr="00AE1125">
        <w:lastRenderedPageBreak/>
        <w:t xml:space="preserve">61. </w:t>
      </w:r>
      <w:r w:rsidRPr="00AE1125">
        <w:tab/>
        <w:t>Introduction of Shingrix® vaccine for the whole programme and expansion of eligible cohorts letter [Internet]. GOV.UK. [cited 2023 Jul 18]. Available from: https://www.gov.uk/government/publications/shingles-vaccination-programme-changes-from-september-2023-letter/introduction-of-shingrix-vaccine-for-the-whole-programme-and-expansion-of-eligible-cohorts-letter</w:t>
      </w:r>
    </w:p>
    <w:p w14:paraId="3C3BD07C" w14:textId="77777777" w:rsidR="00AE1125" w:rsidRPr="00AE1125" w:rsidRDefault="00AE1125" w:rsidP="00AE1125">
      <w:pPr>
        <w:pStyle w:val="Bibliography"/>
      </w:pPr>
      <w:r w:rsidRPr="00AE1125">
        <w:t xml:space="preserve">62. </w:t>
      </w:r>
      <w:r w:rsidRPr="00AE1125">
        <w:tab/>
        <w:t xml:space="preserve">Julsgaard M, Mahadevan U, Vestergaard T, Mols R, Ferrante M, Augustijns P. Tofacitinib concentrations in plasma and breastmilk of a lactating woman with ulcerative colitis. Lancet Gastroenterol Hepatol. 2023 May 31;S2468-1253(23)00158-9. </w:t>
      </w:r>
    </w:p>
    <w:p w14:paraId="5DBA004F" w14:textId="77777777" w:rsidR="00AE1125" w:rsidRPr="00AE1125" w:rsidRDefault="00AE1125" w:rsidP="00AE1125">
      <w:pPr>
        <w:pStyle w:val="Bibliography"/>
      </w:pPr>
      <w:r w:rsidRPr="00AE1125">
        <w:t xml:space="preserve">63. </w:t>
      </w:r>
      <w:r w:rsidRPr="00AE1125">
        <w:tab/>
        <w:t>Upadacitinib (RINVOQ®) Achieved Clinical Remission and Endoscopic Response at One Year in Phase 3 Maintenance Study in Patients with Crohn’s Disease | AbbVie News Center [Internet]. [cited 2023 Feb 6]. Available from: https://news.abbvie.com/news/press-releases/upadacitinib-rinvoq-achieved-clinical-remission-and-endoscopic-response-at-one-year-in-phase-3-maintenance-study-in-patients-with-crohns-disease.htm</w:t>
      </w:r>
    </w:p>
    <w:p w14:paraId="43AAB9AE" w14:textId="77777777" w:rsidR="00AE1125" w:rsidRPr="00AE1125" w:rsidRDefault="00AE1125" w:rsidP="00AE1125">
      <w:pPr>
        <w:pStyle w:val="Bibliography"/>
      </w:pPr>
      <w:r w:rsidRPr="00AE1125">
        <w:t xml:space="preserve">64. </w:t>
      </w:r>
      <w:r w:rsidRPr="00AE1125">
        <w:tab/>
        <w:t xml:space="preserve">Mahadevan U, Baumgart DC, Dubinsky MC, et al. S0847 Pregnancy Outcomes in the Tofacitinib Ulcerative Colitis OCTAVE Studies: An Update as of February 2020. Official journal of the American College of Gastroenterology | ACG. 2020 Oct;115:S437. </w:t>
      </w:r>
    </w:p>
    <w:p w14:paraId="07A22008" w14:textId="77777777" w:rsidR="00AE1125" w:rsidRPr="00AE1125" w:rsidRDefault="00AE1125" w:rsidP="00AE1125">
      <w:pPr>
        <w:pStyle w:val="Bibliography"/>
      </w:pPr>
      <w:r w:rsidRPr="00AE1125">
        <w:t xml:space="preserve">65. </w:t>
      </w:r>
      <w:r w:rsidRPr="00AE1125">
        <w:tab/>
        <w:t xml:space="preserve">Clowse MEB, Feldman SR, Isaacs JD, et al. Pregnancy Outcomes in the Tofacitinib Safety Databases for Rheumatoid Arthritis and Psoriasis. Drug Saf. 2016;39:755–62. </w:t>
      </w:r>
    </w:p>
    <w:p w14:paraId="71B381E2" w14:textId="77777777" w:rsidR="00AE1125" w:rsidRPr="00AE1125" w:rsidRDefault="00AE1125" w:rsidP="00AE1125">
      <w:pPr>
        <w:pStyle w:val="Bibliography"/>
      </w:pPr>
      <w:r w:rsidRPr="00AE1125">
        <w:t xml:space="preserve">66. </w:t>
      </w:r>
      <w:r w:rsidRPr="00AE1125">
        <w:tab/>
        <w:t>Herrera-deGuise C, Serra-Ruiz X, Lastiri E, Borruel N. JAK inhibitors: A new dawn for oral therapies in inflammatory bowel diseases. Frontiers in Medicine [Internet]. 2023 [cited 2023 Jul 19];10. Available from: https://www.frontiersin.org/articles/10.3389/fmed.2023.1089099</w:t>
      </w:r>
    </w:p>
    <w:p w14:paraId="0E8AB709" w14:textId="77777777" w:rsidR="00AE1125" w:rsidRPr="00AE1125" w:rsidRDefault="00AE1125" w:rsidP="00AE1125">
      <w:pPr>
        <w:pStyle w:val="Bibliography"/>
      </w:pPr>
      <w:r w:rsidRPr="00AE1125">
        <w:t xml:space="preserve">67. </w:t>
      </w:r>
      <w:r w:rsidRPr="00AE1125">
        <w:tab/>
        <w:t xml:space="preserve">Danese S, Peyrin-Biroulet L. Selective Tyrosine Kinase 2 Inhibition for Treatment of Inflammatory Bowel Disease: New Hope on the Rise. Inflamm Bowel Dis. 2021 Nov 15;27(12):2023–30. </w:t>
      </w:r>
    </w:p>
    <w:p w14:paraId="7A9C9887" w14:textId="77777777" w:rsidR="00AE1125" w:rsidRPr="00AE1125" w:rsidRDefault="00AE1125" w:rsidP="00AE1125">
      <w:pPr>
        <w:pStyle w:val="Bibliography"/>
      </w:pPr>
      <w:r w:rsidRPr="00AE1125">
        <w:t xml:space="preserve">68. </w:t>
      </w:r>
      <w:r w:rsidRPr="00AE1125">
        <w:tab/>
        <w:t xml:space="preserve">Nielsen OH, Boye TL, Chakravarti D, Gubatan J. Selective tyrosine kinase 2 inhibitors in inflammatory bowel disease. Trends in Pharmacological Sciences. 2022 May 1;43(5):424–36. </w:t>
      </w:r>
    </w:p>
    <w:p w14:paraId="64945F16" w14:textId="77777777" w:rsidR="00AE1125" w:rsidRPr="00AE1125" w:rsidRDefault="00AE1125" w:rsidP="00AE1125">
      <w:pPr>
        <w:pStyle w:val="Bibliography"/>
      </w:pPr>
      <w:r w:rsidRPr="00AE1125">
        <w:t xml:space="preserve">69. </w:t>
      </w:r>
      <w:r w:rsidRPr="00AE1125">
        <w:tab/>
        <w:t xml:space="preserve">Danese S, Argollo M, Berre CL, Peyrin-Biroulet L. JAK selectivity for inflammatory bowel disease treatment: does it clinically matter? Gut. 2019 Oct 1;68(10):1893–9. </w:t>
      </w:r>
    </w:p>
    <w:p w14:paraId="2B10CC80" w14:textId="77777777" w:rsidR="00AE1125" w:rsidRPr="00AE1125" w:rsidRDefault="00AE1125" w:rsidP="00AE1125">
      <w:pPr>
        <w:pStyle w:val="Bibliography"/>
      </w:pPr>
      <w:r w:rsidRPr="00AE1125">
        <w:t xml:space="preserve">70. </w:t>
      </w:r>
      <w:r w:rsidRPr="00AE1125">
        <w:tab/>
        <w:t xml:space="preserve">Choy EH. Clinical significance of Janus Kinase inhibitor selectivity. Rheumatology (Oxford). 2019 Jun 1;58(6):953–62. </w:t>
      </w:r>
    </w:p>
    <w:p w14:paraId="5F695004" w14:textId="4D0C4B3C" w:rsidR="000A7AA5" w:rsidRPr="00E93657" w:rsidRDefault="004916F7" w:rsidP="001C5662">
      <w:r w:rsidRPr="00E93657">
        <w:fldChar w:fldCharType="end"/>
      </w:r>
      <w:r w:rsidR="000A7AA5" w:rsidRPr="00E93657">
        <w:br w:type="page"/>
      </w:r>
    </w:p>
    <w:p w14:paraId="1A2B1EC3" w14:textId="77777777" w:rsidR="000A7AA5" w:rsidRPr="00E93657" w:rsidRDefault="000A7AA5" w:rsidP="000A7AA5">
      <w:pPr>
        <w:pStyle w:val="Heading1"/>
      </w:pPr>
      <w:r w:rsidRPr="00E93657">
        <w:lastRenderedPageBreak/>
        <w:t>TABLE LEGENDS</w:t>
      </w:r>
    </w:p>
    <w:p w14:paraId="0347E01B" w14:textId="5B427B46" w:rsidR="000A7AA5" w:rsidRPr="00E93657" w:rsidRDefault="000A7AA5" w:rsidP="00F41D3B">
      <w:pPr>
        <w:pStyle w:val="Heading2"/>
        <w:rPr>
          <w:lang w:val="en-GB"/>
        </w:rPr>
      </w:pPr>
      <w:r w:rsidRPr="00E93657">
        <w:rPr>
          <w:lang w:val="en-GB"/>
        </w:rPr>
        <w:t>Table 1:</w:t>
      </w:r>
      <w:r w:rsidR="00171245" w:rsidRPr="00E93657">
        <w:rPr>
          <w:lang w:val="en-GB"/>
        </w:rPr>
        <w:t xml:space="preserve"> </w:t>
      </w:r>
      <w:r w:rsidR="00102AE5">
        <w:rPr>
          <w:lang w:val="en-GB"/>
        </w:rPr>
        <w:t xml:space="preserve">Overview of </w:t>
      </w:r>
      <w:r w:rsidR="00076C6C">
        <w:rPr>
          <w:lang w:val="en-GB"/>
        </w:rPr>
        <w:t>l</w:t>
      </w:r>
      <w:r w:rsidR="00171245" w:rsidRPr="00E93657">
        <w:rPr>
          <w:lang w:val="en-GB"/>
        </w:rPr>
        <w:t xml:space="preserve">icensed </w:t>
      </w:r>
      <w:r w:rsidR="00076C6C">
        <w:rPr>
          <w:lang w:val="en-GB"/>
        </w:rPr>
        <w:t>JAK inhibitors</w:t>
      </w:r>
      <w:r w:rsidR="00DF63D8" w:rsidRPr="00E93657">
        <w:rPr>
          <w:lang w:val="en-GB"/>
        </w:rPr>
        <w:t xml:space="preserve"> </w:t>
      </w:r>
      <w:r w:rsidR="00171245" w:rsidRPr="00E93657">
        <w:rPr>
          <w:lang w:val="en-GB"/>
        </w:rPr>
        <w:t xml:space="preserve">for </w:t>
      </w:r>
      <w:r w:rsidR="00D92D55" w:rsidRPr="00E93657">
        <w:rPr>
          <w:lang w:val="en-GB"/>
        </w:rPr>
        <w:t>IBD</w:t>
      </w:r>
    </w:p>
    <w:p w14:paraId="7883972F" w14:textId="654C2CE4" w:rsidR="000A7AA5" w:rsidRPr="00E93657" w:rsidRDefault="000A7AA5" w:rsidP="00F41D3B">
      <w:pPr>
        <w:pStyle w:val="Heading2"/>
        <w:rPr>
          <w:lang w:val="en-GB"/>
        </w:rPr>
      </w:pPr>
      <w:r w:rsidRPr="00E93657">
        <w:rPr>
          <w:lang w:val="en-GB"/>
        </w:rPr>
        <w:t>Table 2:</w:t>
      </w:r>
      <w:r w:rsidR="00171245" w:rsidRPr="00E93657">
        <w:rPr>
          <w:lang w:val="en-GB"/>
        </w:rPr>
        <w:t xml:space="preserve"> Summary of </w:t>
      </w:r>
      <w:r w:rsidR="004938AC">
        <w:rPr>
          <w:lang w:val="en-GB"/>
        </w:rPr>
        <w:t xml:space="preserve">pivotal </w:t>
      </w:r>
      <w:r w:rsidR="00470CBC" w:rsidRPr="00E93657">
        <w:rPr>
          <w:lang w:val="en-GB"/>
        </w:rPr>
        <w:t>phase III</w:t>
      </w:r>
      <w:r w:rsidR="00171245" w:rsidRPr="00E93657">
        <w:rPr>
          <w:lang w:val="en-GB"/>
        </w:rPr>
        <w:t xml:space="preserve"> trials</w:t>
      </w:r>
      <w:r w:rsidR="00DF63D8" w:rsidRPr="00E93657">
        <w:rPr>
          <w:lang w:val="en-GB"/>
        </w:rPr>
        <w:t xml:space="preserve"> for JAKI in </w:t>
      </w:r>
      <w:r w:rsidR="003B6FB6" w:rsidRPr="00E93657">
        <w:rPr>
          <w:lang w:val="en-GB"/>
        </w:rPr>
        <w:t>IBD</w:t>
      </w:r>
    </w:p>
    <w:p w14:paraId="2D2BE833" w14:textId="77777777" w:rsidR="00937208" w:rsidRPr="0027219C" w:rsidRDefault="00937208" w:rsidP="0027219C"/>
    <w:p w14:paraId="776D274C" w14:textId="4E51A4CB" w:rsidR="000A7AA5" w:rsidRPr="00E93657" w:rsidRDefault="000A7AA5" w:rsidP="000A7AA5">
      <w:pPr>
        <w:pStyle w:val="Heading1"/>
      </w:pPr>
      <w:r w:rsidRPr="00E93657">
        <w:t>FIGURE LEGENDS</w:t>
      </w:r>
    </w:p>
    <w:p w14:paraId="1BCA6007" w14:textId="0E4D0639" w:rsidR="00397EC0" w:rsidRDefault="000A7AA5" w:rsidP="008B1155">
      <w:pPr>
        <w:pStyle w:val="Heading2"/>
        <w:spacing w:line="480" w:lineRule="auto"/>
        <w:rPr>
          <w:lang w:val="en-GB"/>
        </w:rPr>
      </w:pPr>
      <w:bookmarkStart w:id="1" w:name="_Figure_1:_Proportion"/>
      <w:bookmarkEnd w:id="1"/>
      <w:r w:rsidRPr="00E93657">
        <w:rPr>
          <w:lang w:val="en-GB"/>
        </w:rPr>
        <w:t xml:space="preserve">Figure 1: </w:t>
      </w:r>
      <w:r w:rsidR="00397EC0">
        <w:rPr>
          <w:lang w:val="en-GB"/>
        </w:rPr>
        <w:t>The structure of a JAK protein and the mechanism of action of JAK inhibitors</w:t>
      </w:r>
    </w:p>
    <w:p w14:paraId="678131B1" w14:textId="08E139A8" w:rsidR="00317FF5" w:rsidRDefault="0050516B" w:rsidP="008B1155">
      <w:r w:rsidRPr="00E93657">
        <w:t xml:space="preserve">a) </w:t>
      </w:r>
      <w:r w:rsidR="00A41456" w:rsidRPr="0077536E">
        <w:rPr>
          <w:i/>
          <w:iCs/>
        </w:rPr>
        <w:t>F</w:t>
      </w:r>
      <w:r w:rsidRPr="0077536E">
        <w:rPr>
          <w:i/>
          <w:iCs/>
        </w:rPr>
        <w:t xml:space="preserve">unctional domains of a </w:t>
      </w:r>
      <w:r w:rsidR="001C096F" w:rsidRPr="0077536E">
        <w:rPr>
          <w:i/>
          <w:iCs/>
        </w:rPr>
        <w:t>JAK protein.</w:t>
      </w:r>
      <w:r w:rsidR="00756F91">
        <w:t xml:space="preserve"> </w:t>
      </w:r>
      <w:r w:rsidR="004A4397">
        <w:t xml:space="preserve">This schematic displays the </w:t>
      </w:r>
      <w:r w:rsidR="00FF376D">
        <w:t>four functional</w:t>
      </w:r>
      <w:r w:rsidR="00081E63">
        <w:t xml:space="preserve"> </w:t>
      </w:r>
      <w:r w:rsidR="00FF376D">
        <w:t>domains</w:t>
      </w:r>
      <w:r w:rsidR="00081E63">
        <w:t xml:space="preserve"> common to all JAKs</w:t>
      </w:r>
      <w:r w:rsidR="00F853F7">
        <w:t>. T</w:t>
      </w:r>
      <w:r w:rsidR="001D5257">
        <w:t>he kinase</w:t>
      </w:r>
      <w:r w:rsidR="00F853F7">
        <w:t xml:space="preserve"> domain is responsible for enzymatic activity</w:t>
      </w:r>
      <w:r w:rsidR="00D20B45">
        <w:t xml:space="preserve"> and substrate phosphorylation</w:t>
      </w:r>
      <w:r w:rsidR="00396395">
        <w:t xml:space="preserve"> while </w:t>
      </w:r>
      <w:r w:rsidR="00AF1B20">
        <w:t xml:space="preserve">the </w:t>
      </w:r>
      <w:r w:rsidR="003D2574">
        <w:t>pseudokinase domain</w:t>
      </w:r>
      <w:r w:rsidR="00A03053">
        <w:t xml:space="preserve"> </w:t>
      </w:r>
      <w:r w:rsidR="003D2574">
        <w:t xml:space="preserve">lacks enzymatic activity </w:t>
      </w:r>
      <w:r w:rsidR="00594661">
        <w:t>but</w:t>
      </w:r>
      <w:r w:rsidR="00C30C59">
        <w:t xml:space="preserve"> </w:t>
      </w:r>
      <w:r w:rsidR="0020593E" w:rsidRPr="0020593E">
        <w:t xml:space="preserve">regulates the active catalytic kinase domain </w:t>
      </w:r>
      <w:r w:rsidR="005E0788">
        <w:t xml:space="preserve">and is </w:t>
      </w:r>
      <w:r w:rsidR="0020593E">
        <w:t xml:space="preserve">also </w:t>
      </w:r>
      <w:r w:rsidR="005E0788">
        <w:t>associated with STAT recruitment</w:t>
      </w:r>
      <w:r w:rsidR="007A40ED">
        <w:t>.</w:t>
      </w:r>
      <w:r w:rsidR="00C30C59">
        <w:t xml:space="preserve"> </w:t>
      </w:r>
      <w:r w:rsidR="00123AEC">
        <w:t xml:space="preserve">The </w:t>
      </w:r>
      <w:r w:rsidR="00ED6EEE" w:rsidRPr="00ED6EEE">
        <w:t xml:space="preserve">Src-homology-2 (SH2) </w:t>
      </w:r>
      <w:r w:rsidR="00937595">
        <w:t>and FERM domains</w:t>
      </w:r>
      <w:r w:rsidR="00402E84">
        <w:t xml:space="preserve"> are involved </w:t>
      </w:r>
      <w:r w:rsidR="00B02DC4">
        <w:t>in associating the JAK with the respective</w:t>
      </w:r>
      <w:r w:rsidR="00937595">
        <w:t xml:space="preserve"> cell membrane</w:t>
      </w:r>
      <w:r w:rsidR="00C64152">
        <w:t xml:space="preserve"> </w:t>
      </w:r>
      <w:r w:rsidR="00B02DC4">
        <w:t>receptors</w:t>
      </w:r>
      <w:r w:rsidR="00937595">
        <w:t xml:space="preserve">. </w:t>
      </w:r>
      <w:r w:rsidR="00081E63">
        <w:t xml:space="preserve">Alternative nomenclature in the literature </w:t>
      </w:r>
      <w:r w:rsidR="0000327C">
        <w:t xml:space="preserve">describes </w:t>
      </w:r>
      <w:r w:rsidR="00AE069C">
        <w:t xml:space="preserve">seven JAK </w:t>
      </w:r>
      <w:r w:rsidR="00965F58">
        <w:t xml:space="preserve">homology domains (JH) numbered </w:t>
      </w:r>
      <w:r w:rsidR="007718FE">
        <w:t>from</w:t>
      </w:r>
      <w:r w:rsidR="00965F58">
        <w:t xml:space="preserve"> the carboxyl terminus to the amino terminus.</w:t>
      </w:r>
    </w:p>
    <w:p w14:paraId="38F67BF8" w14:textId="77777777" w:rsidR="00BA73E4" w:rsidRDefault="00BA73E4" w:rsidP="00C31C35"/>
    <w:p w14:paraId="4FF1FEFB" w14:textId="795AFB4C" w:rsidR="00BF6F64" w:rsidRDefault="0050516B" w:rsidP="00BF6F64">
      <w:r>
        <w:t xml:space="preserve">b) </w:t>
      </w:r>
      <w:r w:rsidR="007B7A06" w:rsidRPr="007B7A06">
        <w:rPr>
          <w:i/>
          <w:iCs/>
        </w:rPr>
        <w:t>JAK-STAT signal transduction and the m</w:t>
      </w:r>
      <w:r w:rsidR="001C096F" w:rsidRPr="007B7A06">
        <w:rPr>
          <w:i/>
          <w:iCs/>
        </w:rPr>
        <w:t xml:space="preserve">echanism of action of </w:t>
      </w:r>
      <w:r w:rsidR="006C2F1D" w:rsidRPr="007B7A06">
        <w:rPr>
          <w:i/>
          <w:iCs/>
        </w:rPr>
        <w:t>JAKI in attenuating cytokine signalling</w:t>
      </w:r>
      <w:r w:rsidR="001068C8" w:rsidRPr="007B7A06">
        <w:rPr>
          <w:i/>
          <w:iCs/>
        </w:rPr>
        <w:t xml:space="preserve">. </w:t>
      </w:r>
      <w:r w:rsidR="00756F91">
        <w:t xml:space="preserve">The four members of the JAK family, JAK1, JAK2, JAK3, and Tyk2, are </w:t>
      </w:r>
      <w:r w:rsidR="00294974">
        <w:t>located on the intracellular domain of the cell surface receptor and</w:t>
      </w:r>
      <w:r w:rsidR="00FD0218">
        <w:t xml:space="preserve"> are essential in mediating </w:t>
      </w:r>
      <w:r w:rsidR="009A0671">
        <w:t>signalling downstream of cytokine receptors</w:t>
      </w:r>
      <w:r w:rsidR="00127F04">
        <w:t xml:space="preserve"> for a broad range of cellular processes</w:t>
      </w:r>
      <w:r w:rsidR="009A0671">
        <w:t>.</w:t>
      </w:r>
      <w:r w:rsidR="00354BCE">
        <w:t xml:space="preserve"> </w:t>
      </w:r>
      <w:r w:rsidR="009A54C0">
        <w:t>Numerous cytokines</w:t>
      </w:r>
      <w:r w:rsidR="00BA73E4" w:rsidRPr="00BA73E4">
        <w:t xml:space="preserve"> </w:t>
      </w:r>
      <w:r w:rsidR="00BA73E4">
        <w:t>implicated in the pathogenesis of IBD</w:t>
      </w:r>
      <w:r w:rsidR="009A54C0">
        <w:t xml:space="preserve">, involved in both innate and adaptive immunity, </w:t>
      </w:r>
      <w:r w:rsidR="00BA73E4">
        <w:t>signal through this pathway</w:t>
      </w:r>
      <w:r w:rsidR="009A54C0">
        <w:t xml:space="preserve">. </w:t>
      </w:r>
      <w:r w:rsidR="00C06F59">
        <w:t>Different cytokine-activated JAK-STAT combinations drive different cellular processes with a high degree of specificity.</w:t>
      </w:r>
      <w:r w:rsidR="008C2165">
        <w:t xml:space="preserve"> </w:t>
      </w:r>
      <w:r w:rsidR="00CB3089">
        <w:t>E</w:t>
      </w:r>
      <w:r w:rsidR="00354BCE">
        <w:t>xtracellular cytokine binding</w:t>
      </w:r>
      <w:r w:rsidR="00677B21">
        <w:t xml:space="preserve"> </w:t>
      </w:r>
      <w:r w:rsidR="00FC6465" w:rsidRPr="00E93657">
        <w:t xml:space="preserve">result </w:t>
      </w:r>
      <w:r w:rsidR="00CC6C51">
        <w:t>in</w:t>
      </w:r>
      <w:r w:rsidR="00D24206">
        <w:t xml:space="preserve"> conformational </w:t>
      </w:r>
      <w:r w:rsidR="00103BF2">
        <w:t>receptor</w:t>
      </w:r>
      <w:r w:rsidR="005D07D3">
        <w:t xml:space="preserve"> </w:t>
      </w:r>
      <w:r w:rsidR="00D24206">
        <w:t>change</w:t>
      </w:r>
      <w:r w:rsidR="00DF21E2">
        <w:t>s</w:t>
      </w:r>
      <w:r w:rsidR="00CC6C51">
        <w:t xml:space="preserve">, which </w:t>
      </w:r>
      <w:r w:rsidR="00D24206">
        <w:t>brings the</w:t>
      </w:r>
      <w:r w:rsidR="005D07D3">
        <w:t xml:space="preserve"> </w:t>
      </w:r>
      <w:r w:rsidR="00D24206">
        <w:t>associated</w:t>
      </w:r>
      <w:r w:rsidR="005D07D3">
        <w:t xml:space="preserve"> JAKs in close proximity </w:t>
      </w:r>
      <w:r w:rsidR="00147620">
        <w:t xml:space="preserve">and in turn, results in </w:t>
      </w:r>
      <w:r w:rsidR="005D07D3">
        <w:t>auto- and t</w:t>
      </w:r>
      <w:r w:rsidR="005D07D3" w:rsidRPr="00E93657">
        <w:t>ransphosphorylation</w:t>
      </w:r>
      <w:r w:rsidR="005D07D3">
        <w:t xml:space="preserve"> of receptor chains.</w:t>
      </w:r>
      <w:r w:rsidR="00BF6F64">
        <w:t xml:space="preserve"> These </w:t>
      </w:r>
      <w:r w:rsidR="00BF6F64">
        <w:lastRenderedPageBreak/>
        <w:t xml:space="preserve">forms docking sites for </w:t>
      </w:r>
      <w:r w:rsidR="000D3B08">
        <w:t>d</w:t>
      </w:r>
      <w:r w:rsidR="00BF6F64">
        <w:t xml:space="preserve">ownstream STAT proteins, which after phosphorylation, </w:t>
      </w:r>
      <w:r w:rsidR="00B94273">
        <w:t xml:space="preserve">receptor chains </w:t>
      </w:r>
      <w:r w:rsidR="00BF6F64">
        <w:t xml:space="preserve">dissociation, and STAT </w:t>
      </w:r>
      <w:r w:rsidR="0027219C">
        <w:t>homo- or hetero</w:t>
      </w:r>
      <w:r w:rsidR="00CC0CE2">
        <w:t xml:space="preserve">- </w:t>
      </w:r>
      <w:r w:rsidR="00BF6F64">
        <w:t xml:space="preserve">dimerisation, translocate </w:t>
      </w:r>
      <w:r w:rsidR="00BF6F64" w:rsidRPr="00E93657">
        <w:t xml:space="preserve">to the nucleus to </w:t>
      </w:r>
      <w:r w:rsidR="000F54CD">
        <w:t>modulate</w:t>
      </w:r>
      <w:r w:rsidR="00BF6F64" w:rsidRPr="00E93657">
        <w:t xml:space="preserve"> gene </w:t>
      </w:r>
      <w:r w:rsidR="00BF6F64">
        <w:t>transcription</w:t>
      </w:r>
      <w:r w:rsidR="00BF6F64" w:rsidRPr="00E93657">
        <w:t>.</w:t>
      </w:r>
      <w:bookmarkStart w:id="2" w:name="_Figure_2:_Survival"/>
      <w:bookmarkEnd w:id="2"/>
      <w:r w:rsidR="00BF6F64">
        <w:t xml:space="preserve"> JAKI reversibly bind onto the adenosine triphosphate (ATP) site on the catalytic cleft of the kinase domain </w:t>
      </w:r>
      <w:r w:rsidR="00D13647">
        <w:t>to prevent</w:t>
      </w:r>
      <w:r w:rsidR="00BF6F64">
        <w:t xml:space="preserve"> JAK phosphorylation and activation </w:t>
      </w:r>
      <w:r w:rsidR="00D8789D">
        <w:t>and</w:t>
      </w:r>
      <w:r w:rsidR="00BF6F64">
        <w:t xml:space="preserve"> </w:t>
      </w:r>
      <w:r w:rsidR="00D8789D">
        <w:t>inhibits</w:t>
      </w:r>
      <w:r w:rsidR="00BF6F64">
        <w:t xml:space="preserve"> the ensuing signalling cascade.</w:t>
      </w:r>
    </w:p>
    <w:p w14:paraId="5BC8C311" w14:textId="77777777" w:rsidR="00937208" w:rsidRDefault="00937208" w:rsidP="00C31C35"/>
    <w:p w14:paraId="60C4C082" w14:textId="1B5985DA" w:rsidR="00AF22FF" w:rsidRDefault="00AB0C10" w:rsidP="00413959">
      <w:pPr>
        <w:pStyle w:val="Heading2"/>
        <w:spacing w:line="480" w:lineRule="auto"/>
        <w:rPr>
          <w:lang w:val="en-GB"/>
        </w:rPr>
      </w:pPr>
      <w:r w:rsidRPr="00E93657">
        <w:rPr>
          <w:lang w:val="en-GB"/>
        </w:rPr>
        <w:t xml:space="preserve">Figure </w:t>
      </w:r>
      <w:r w:rsidR="00AA2CCB">
        <w:rPr>
          <w:lang w:val="en-GB"/>
        </w:rPr>
        <w:t>2</w:t>
      </w:r>
      <w:r w:rsidRPr="00E93657">
        <w:rPr>
          <w:lang w:val="en-GB"/>
        </w:rPr>
        <w:t xml:space="preserve">: </w:t>
      </w:r>
      <w:r w:rsidR="00AF22FF" w:rsidRPr="00AF22FF">
        <w:rPr>
          <w:lang w:val="en-GB"/>
        </w:rPr>
        <w:t xml:space="preserve">Managing </w:t>
      </w:r>
      <w:r w:rsidR="00C1354F">
        <w:rPr>
          <w:lang w:val="en-GB"/>
        </w:rPr>
        <w:t>p</w:t>
      </w:r>
      <w:r w:rsidR="00AF22FF" w:rsidRPr="00AF22FF">
        <w:rPr>
          <w:lang w:val="en-GB"/>
        </w:rPr>
        <w:t xml:space="preserve">otential </w:t>
      </w:r>
      <w:r w:rsidR="00C1354F">
        <w:rPr>
          <w:lang w:val="en-GB"/>
        </w:rPr>
        <w:t>a</w:t>
      </w:r>
      <w:r w:rsidR="00AF22FF" w:rsidRPr="00AF22FF">
        <w:rPr>
          <w:lang w:val="en-GB"/>
        </w:rPr>
        <w:t xml:space="preserve">dverse </w:t>
      </w:r>
      <w:r w:rsidR="00C1354F">
        <w:rPr>
          <w:lang w:val="en-GB"/>
        </w:rPr>
        <w:t>e</w:t>
      </w:r>
      <w:r w:rsidR="00AF22FF" w:rsidRPr="00AF22FF">
        <w:rPr>
          <w:lang w:val="en-GB"/>
        </w:rPr>
        <w:t xml:space="preserve">vents of JAK </w:t>
      </w:r>
      <w:r w:rsidR="00C1354F">
        <w:rPr>
          <w:lang w:val="en-GB"/>
        </w:rPr>
        <w:t>i</w:t>
      </w:r>
      <w:r w:rsidR="00AF22FF" w:rsidRPr="00AF22FF">
        <w:rPr>
          <w:lang w:val="en-GB"/>
        </w:rPr>
        <w:t>nhibition</w:t>
      </w:r>
    </w:p>
    <w:p w14:paraId="091CA92E" w14:textId="6CB828B1" w:rsidR="00AB0C10" w:rsidRDefault="006958C5" w:rsidP="00AB62BB">
      <w:r>
        <w:t xml:space="preserve">Abbreviations: </w:t>
      </w:r>
      <w:r w:rsidR="00C26CE9">
        <w:t xml:space="preserve">ALC, absolute lymphocyte count; ANC, absolute neutrophil count; </w:t>
      </w:r>
      <w:r w:rsidR="00891069">
        <w:t xml:space="preserve">CVS, cardiovascular; CVD, cerebrovascular disease; ESRF, end stage renal failure; </w:t>
      </w:r>
      <w:r w:rsidR="00F67D8D">
        <w:t>MACE, major adverse cardiovascular events; IHD, ischaemic heart disease;</w:t>
      </w:r>
      <w:r w:rsidR="00891069" w:rsidRPr="00891069">
        <w:t xml:space="preserve"> </w:t>
      </w:r>
      <w:r w:rsidR="00891069">
        <w:t>LFTs, liver function tests</w:t>
      </w:r>
      <w:r w:rsidR="00F67D8D">
        <w:t>; VTE, venous thromboembolism</w:t>
      </w:r>
      <w:r w:rsidR="00891069">
        <w:t>.</w:t>
      </w:r>
    </w:p>
    <w:p w14:paraId="0A6998CC" w14:textId="77777777" w:rsidR="00003840" w:rsidRPr="00003840" w:rsidRDefault="00003840" w:rsidP="00003840"/>
    <w:p w14:paraId="552F66CA" w14:textId="125F2C53" w:rsidR="00003840" w:rsidRDefault="00003840" w:rsidP="00003840">
      <w:pPr>
        <w:pStyle w:val="Heading2"/>
        <w:spacing w:line="480" w:lineRule="auto"/>
        <w:rPr>
          <w:lang w:val="en-GB"/>
        </w:rPr>
      </w:pPr>
      <w:r w:rsidRPr="00E93657">
        <w:rPr>
          <w:lang w:val="en-GB"/>
        </w:rPr>
        <w:t xml:space="preserve">Figure </w:t>
      </w:r>
      <w:r>
        <w:rPr>
          <w:lang w:val="en-GB"/>
        </w:rPr>
        <w:t>3</w:t>
      </w:r>
      <w:r w:rsidRPr="00E93657">
        <w:rPr>
          <w:lang w:val="en-GB"/>
        </w:rPr>
        <w:t xml:space="preserve">: </w:t>
      </w:r>
      <w:r>
        <w:rPr>
          <w:lang w:val="en-GB"/>
        </w:rPr>
        <w:t xml:space="preserve">A </w:t>
      </w:r>
      <w:r w:rsidR="000941A4">
        <w:rPr>
          <w:lang w:val="en-GB"/>
        </w:rPr>
        <w:t>c</w:t>
      </w:r>
      <w:r>
        <w:rPr>
          <w:lang w:val="en-GB"/>
        </w:rPr>
        <w:t xml:space="preserve">hecklist for </w:t>
      </w:r>
      <w:r w:rsidR="000941A4">
        <w:rPr>
          <w:lang w:val="en-GB"/>
        </w:rPr>
        <w:t>i</w:t>
      </w:r>
      <w:r>
        <w:rPr>
          <w:lang w:val="en-GB"/>
        </w:rPr>
        <w:t xml:space="preserve">nitiating and </w:t>
      </w:r>
      <w:r w:rsidR="000941A4">
        <w:rPr>
          <w:lang w:val="en-GB"/>
        </w:rPr>
        <w:t>m</w:t>
      </w:r>
      <w:r>
        <w:rPr>
          <w:lang w:val="en-GB"/>
        </w:rPr>
        <w:t xml:space="preserve">onitoring </w:t>
      </w:r>
      <w:r w:rsidR="000941A4">
        <w:rPr>
          <w:lang w:val="en-GB"/>
        </w:rPr>
        <w:t>t</w:t>
      </w:r>
      <w:r>
        <w:rPr>
          <w:lang w:val="en-GB"/>
        </w:rPr>
        <w:t>herapy</w:t>
      </w:r>
    </w:p>
    <w:p w14:paraId="1687401B" w14:textId="50CFA739" w:rsidR="00003840" w:rsidRPr="004F08E8" w:rsidRDefault="00003840" w:rsidP="004F08E8">
      <w:pPr>
        <w:rPr>
          <w:lang w:val="en-US"/>
        </w:rPr>
      </w:pPr>
      <w:r>
        <w:t>Abbreviations:</w:t>
      </w:r>
      <w:r w:rsidR="004F08E8">
        <w:t xml:space="preserve"> BSG, British Society of Gastroenterology; </w:t>
      </w:r>
      <w:r w:rsidR="0039372B">
        <w:t xml:space="preserve">FBC, full blood count; </w:t>
      </w:r>
      <w:r w:rsidR="0055439A">
        <w:t xml:space="preserve">JAKI, Janus kinase inhibitor; </w:t>
      </w:r>
      <w:r w:rsidR="0039372B">
        <w:t>LFT, liver function tests</w:t>
      </w:r>
      <w:r w:rsidR="004F08E8">
        <w:t>; MACE, major adverse cardiovascular events;</w:t>
      </w:r>
      <w:r w:rsidR="0039372B">
        <w:t xml:space="preserve"> </w:t>
      </w:r>
      <w:r w:rsidR="0055439A">
        <w:t xml:space="preserve">VTE, venous thromboembolism; </w:t>
      </w:r>
      <w:r w:rsidR="004F08E8" w:rsidRPr="004F08E8">
        <w:rPr>
          <w:lang w:val="en-US"/>
        </w:rPr>
        <w:t>*</w:t>
      </w:r>
      <w:r w:rsidR="00BA3A31">
        <w:rPr>
          <w:lang w:val="en-US"/>
        </w:rPr>
        <w:t>if</w:t>
      </w:r>
      <w:r w:rsidR="004F08E8">
        <w:rPr>
          <w:lang w:val="en-US"/>
        </w:rPr>
        <w:t xml:space="preserve"> no suitable alternative available</w:t>
      </w:r>
      <w:r w:rsidR="00BA3A31">
        <w:rPr>
          <w:lang w:val="en-US"/>
        </w:rPr>
        <w:t>.</w:t>
      </w:r>
    </w:p>
    <w:p w14:paraId="71228AB0" w14:textId="77777777" w:rsidR="00003840" w:rsidRPr="00E93657" w:rsidRDefault="00003840" w:rsidP="00AB62BB"/>
    <w:sectPr w:rsidR="00003840" w:rsidRPr="00E93657" w:rsidSect="00E87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9A38F8"/>
    <w:multiLevelType w:val="hybridMultilevel"/>
    <w:tmpl w:val="6008A4E6"/>
    <w:lvl w:ilvl="0" w:tplc="B5ACF4E6">
      <w:start w:val="1"/>
      <w:numFmt w:val="bullet"/>
      <w:lvlText w:val="●"/>
      <w:lvlJc w:val="left"/>
      <w:pPr>
        <w:tabs>
          <w:tab w:val="num" w:pos="720"/>
        </w:tabs>
        <w:ind w:left="720" w:hanging="360"/>
      </w:pPr>
      <w:rPr>
        <w:rFonts w:ascii="Arial" w:hAnsi="Arial" w:hint="default"/>
      </w:rPr>
    </w:lvl>
    <w:lvl w:ilvl="1" w:tplc="B84E0216" w:tentative="1">
      <w:start w:val="1"/>
      <w:numFmt w:val="bullet"/>
      <w:lvlText w:val="●"/>
      <w:lvlJc w:val="left"/>
      <w:pPr>
        <w:tabs>
          <w:tab w:val="num" w:pos="1440"/>
        </w:tabs>
        <w:ind w:left="1440" w:hanging="360"/>
      </w:pPr>
      <w:rPr>
        <w:rFonts w:ascii="Arial" w:hAnsi="Arial" w:hint="default"/>
      </w:rPr>
    </w:lvl>
    <w:lvl w:ilvl="2" w:tplc="87F40C44" w:tentative="1">
      <w:start w:val="1"/>
      <w:numFmt w:val="bullet"/>
      <w:lvlText w:val="●"/>
      <w:lvlJc w:val="left"/>
      <w:pPr>
        <w:tabs>
          <w:tab w:val="num" w:pos="2160"/>
        </w:tabs>
        <w:ind w:left="2160" w:hanging="360"/>
      </w:pPr>
      <w:rPr>
        <w:rFonts w:ascii="Arial" w:hAnsi="Arial" w:hint="default"/>
      </w:rPr>
    </w:lvl>
    <w:lvl w:ilvl="3" w:tplc="FCDA00A8" w:tentative="1">
      <w:start w:val="1"/>
      <w:numFmt w:val="bullet"/>
      <w:lvlText w:val="●"/>
      <w:lvlJc w:val="left"/>
      <w:pPr>
        <w:tabs>
          <w:tab w:val="num" w:pos="2880"/>
        </w:tabs>
        <w:ind w:left="2880" w:hanging="360"/>
      </w:pPr>
      <w:rPr>
        <w:rFonts w:ascii="Arial" w:hAnsi="Arial" w:hint="default"/>
      </w:rPr>
    </w:lvl>
    <w:lvl w:ilvl="4" w:tplc="95346624" w:tentative="1">
      <w:start w:val="1"/>
      <w:numFmt w:val="bullet"/>
      <w:lvlText w:val="●"/>
      <w:lvlJc w:val="left"/>
      <w:pPr>
        <w:tabs>
          <w:tab w:val="num" w:pos="3600"/>
        </w:tabs>
        <w:ind w:left="3600" w:hanging="360"/>
      </w:pPr>
      <w:rPr>
        <w:rFonts w:ascii="Arial" w:hAnsi="Arial" w:hint="default"/>
      </w:rPr>
    </w:lvl>
    <w:lvl w:ilvl="5" w:tplc="03621BFC" w:tentative="1">
      <w:start w:val="1"/>
      <w:numFmt w:val="bullet"/>
      <w:lvlText w:val="●"/>
      <w:lvlJc w:val="left"/>
      <w:pPr>
        <w:tabs>
          <w:tab w:val="num" w:pos="4320"/>
        </w:tabs>
        <w:ind w:left="4320" w:hanging="360"/>
      </w:pPr>
      <w:rPr>
        <w:rFonts w:ascii="Arial" w:hAnsi="Arial" w:hint="default"/>
      </w:rPr>
    </w:lvl>
    <w:lvl w:ilvl="6" w:tplc="E0FA843C" w:tentative="1">
      <w:start w:val="1"/>
      <w:numFmt w:val="bullet"/>
      <w:lvlText w:val="●"/>
      <w:lvlJc w:val="left"/>
      <w:pPr>
        <w:tabs>
          <w:tab w:val="num" w:pos="5040"/>
        </w:tabs>
        <w:ind w:left="5040" w:hanging="360"/>
      </w:pPr>
      <w:rPr>
        <w:rFonts w:ascii="Arial" w:hAnsi="Arial" w:hint="default"/>
      </w:rPr>
    </w:lvl>
    <w:lvl w:ilvl="7" w:tplc="62EA11D4" w:tentative="1">
      <w:start w:val="1"/>
      <w:numFmt w:val="bullet"/>
      <w:lvlText w:val="●"/>
      <w:lvlJc w:val="left"/>
      <w:pPr>
        <w:tabs>
          <w:tab w:val="num" w:pos="5760"/>
        </w:tabs>
        <w:ind w:left="5760" w:hanging="360"/>
      </w:pPr>
      <w:rPr>
        <w:rFonts w:ascii="Arial" w:hAnsi="Arial" w:hint="default"/>
      </w:rPr>
    </w:lvl>
    <w:lvl w:ilvl="8" w:tplc="560218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3F0EE4"/>
    <w:multiLevelType w:val="multilevel"/>
    <w:tmpl w:val="E5B6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657BD"/>
    <w:multiLevelType w:val="hybridMultilevel"/>
    <w:tmpl w:val="681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CC7092"/>
    <w:multiLevelType w:val="hybridMultilevel"/>
    <w:tmpl w:val="E4BC8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16346"/>
    <w:multiLevelType w:val="hybridMultilevel"/>
    <w:tmpl w:val="62000B9C"/>
    <w:lvl w:ilvl="0" w:tplc="C65C2FC4">
      <w:start w:val="1"/>
      <w:numFmt w:val="bullet"/>
      <w:lvlText w:val=""/>
      <w:lvlJc w:val="left"/>
      <w:pPr>
        <w:tabs>
          <w:tab w:val="num" w:pos="720"/>
        </w:tabs>
        <w:ind w:left="720" w:hanging="360"/>
      </w:pPr>
      <w:rPr>
        <w:rFonts w:ascii="Symbol" w:hAnsi="Symbol" w:hint="default"/>
      </w:rPr>
    </w:lvl>
    <w:lvl w:ilvl="1" w:tplc="F788A824" w:tentative="1">
      <w:start w:val="1"/>
      <w:numFmt w:val="bullet"/>
      <w:lvlText w:val=""/>
      <w:lvlJc w:val="left"/>
      <w:pPr>
        <w:tabs>
          <w:tab w:val="num" w:pos="1440"/>
        </w:tabs>
        <w:ind w:left="1440" w:hanging="360"/>
      </w:pPr>
      <w:rPr>
        <w:rFonts w:ascii="Symbol" w:hAnsi="Symbol" w:hint="default"/>
      </w:rPr>
    </w:lvl>
    <w:lvl w:ilvl="2" w:tplc="EF5AD3A6" w:tentative="1">
      <w:start w:val="1"/>
      <w:numFmt w:val="bullet"/>
      <w:lvlText w:val=""/>
      <w:lvlJc w:val="left"/>
      <w:pPr>
        <w:tabs>
          <w:tab w:val="num" w:pos="2160"/>
        </w:tabs>
        <w:ind w:left="2160" w:hanging="360"/>
      </w:pPr>
      <w:rPr>
        <w:rFonts w:ascii="Symbol" w:hAnsi="Symbol" w:hint="default"/>
      </w:rPr>
    </w:lvl>
    <w:lvl w:ilvl="3" w:tplc="3C88B6B8" w:tentative="1">
      <w:start w:val="1"/>
      <w:numFmt w:val="bullet"/>
      <w:lvlText w:val=""/>
      <w:lvlJc w:val="left"/>
      <w:pPr>
        <w:tabs>
          <w:tab w:val="num" w:pos="2880"/>
        </w:tabs>
        <w:ind w:left="2880" w:hanging="360"/>
      </w:pPr>
      <w:rPr>
        <w:rFonts w:ascii="Symbol" w:hAnsi="Symbol" w:hint="default"/>
      </w:rPr>
    </w:lvl>
    <w:lvl w:ilvl="4" w:tplc="4E240B4A" w:tentative="1">
      <w:start w:val="1"/>
      <w:numFmt w:val="bullet"/>
      <w:lvlText w:val=""/>
      <w:lvlJc w:val="left"/>
      <w:pPr>
        <w:tabs>
          <w:tab w:val="num" w:pos="3600"/>
        </w:tabs>
        <w:ind w:left="3600" w:hanging="360"/>
      </w:pPr>
      <w:rPr>
        <w:rFonts w:ascii="Symbol" w:hAnsi="Symbol" w:hint="default"/>
      </w:rPr>
    </w:lvl>
    <w:lvl w:ilvl="5" w:tplc="53EA9700" w:tentative="1">
      <w:start w:val="1"/>
      <w:numFmt w:val="bullet"/>
      <w:lvlText w:val=""/>
      <w:lvlJc w:val="left"/>
      <w:pPr>
        <w:tabs>
          <w:tab w:val="num" w:pos="4320"/>
        </w:tabs>
        <w:ind w:left="4320" w:hanging="360"/>
      </w:pPr>
      <w:rPr>
        <w:rFonts w:ascii="Symbol" w:hAnsi="Symbol" w:hint="default"/>
      </w:rPr>
    </w:lvl>
    <w:lvl w:ilvl="6" w:tplc="756C1606" w:tentative="1">
      <w:start w:val="1"/>
      <w:numFmt w:val="bullet"/>
      <w:lvlText w:val=""/>
      <w:lvlJc w:val="left"/>
      <w:pPr>
        <w:tabs>
          <w:tab w:val="num" w:pos="5040"/>
        </w:tabs>
        <w:ind w:left="5040" w:hanging="360"/>
      </w:pPr>
      <w:rPr>
        <w:rFonts w:ascii="Symbol" w:hAnsi="Symbol" w:hint="default"/>
      </w:rPr>
    </w:lvl>
    <w:lvl w:ilvl="7" w:tplc="30161A22" w:tentative="1">
      <w:start w:val="1"/>
      <w:numFmt w:val="bullet"/>
      <w:lvlText w:val=""/>
      <w:lvlJc w:val="left"/>
      <w:pPr>
        <w:tabs>
          <w:tab w:val="num" w:pos="5760"/>
        </w:tabs>
        <w:ind w:left="5760" w:hanging="360"/>
      </w:pPr>
      <w:rPr>
        <w:rFonts w:ascii="Symbol" w:hAnsi="Symbol" w:hint="default"/>
      </w:rPr>
    </w:lvl>
    <w:lvl w:ilvl="8" w:tplc="E3ACF77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F5942C8"/>
    <w:multiLevelType w:val="hybridMultilevel"/>
    <w:tmpl w:val="3CB2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E1E04"/>
    <w:multiLevelType w:val="hybridMultilevel"/>
    <w:tmpl w:val="5612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D131E"/>
    <w:multiLevelType w:val="hybridMultilevel"/>
    <w:tmpl w:val="4A8A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8"/>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13"/>
    <w:rsid w:val="0000327C"/>
    <w:rsid w:val="00003840"/>
    <w:rsid w:val="000042AA"/>
    <w:rsid w:val="0000434B"/>
    <w:rsid w:val="00004D55"/>
    <w:rsid w:val="00006A61"/>
    <w:rsid w:val="00006CF2"/>
    <w:rsid w:val="00007578"/>
    <w:rsid w:val="00007861"/>
    <w:rsid w:val="00007B02"/>
    <w:rsid w:val="00007C5E"/>
    <w:rsid w:val="00010C12"/>
    <w:rsid w:val="0001241C"/>
    <w:rsid w:val="0001362D"/>
    <w:rsid w:val="00015477"/>
    <w:rsid w:val="00016C55"/>
    <w:rsid w:val="00016CE1"/>
    <w:rsid w:val="00017D61"/>
    <w:rsid w:val="000203AA"/>
    <w:rsid w:val="0002082A"/>
    <w:rsid w:val="000213FD"/>
    <w:rsid w:val="00021A90"/>
    <w:rsid w:val="000236E2"/>
    <w:rsid w:val="00024B00"/>
    <w:rsid w:val="000271E1"/>
    <w:rsid w:val="00030007"/>
    <w:rsid w:val="000305F8"/>
    <w:rsid w:val="0003125B"/>
    <w:rsid w:val="00031D3F"/>
    <w:rsid w:val="00032458"/>
    <w:rsid w:val="000342D3"/>
    <w:rsid w:val="000347A8"/>
    <w:rsid w:val="000350D4"/>
    <w:rsid w:val="00036154"/>
    <w:rsid w:val="00036960"/>
    <w:rsid w:val="00036D8B"/>
    <w:rsid w:val="00040E49"/>
    <w:rsid w:val="00041449"/>
    <w:rsid w:val="00041464"/>
    <w:rsid w:val="000443C3"/>
    <w:rsid w:val="000444EE"/>
    <w:rsid w:val="00044A9E"/>
    <w:rsid w:val="00044DA7"/>
    <w:rsid w:val="00045084"/>
    <w:rsid w:val="00045255"/>
    <w:rsid w:val="00045CA3"/>
    <w:rsid w:val="00045E0D"/>
    <w:rsid w:val="00046556"/>
    <w:rsid w:val="000510E9"/>
    <w:rsid w:val="000516E8"/>
    <w:rsid w:val="00052D61"/>
    <w:rsid w:val="0005341E"/>
    <w:rsid w:val="0005409A"/>
    <w:rsid w:val="00054957"/>
    <w:rsid w:val="00055281"/>
    <w:rsid w:val="000558CF"/>
    <w:rsid w:val="00056252"/>
    <w:rsid w:val="0005656F"/>
    <w:rsid w:val="00056CC9"/>
    <w:rsid w:val="00061050"/>
    <w:rsid w:val="0006187A"/>
    <w:rsid w:val="00061FF4"/>
    <w:rsid w:val="0006295E"/>
    <w:rsid w:val="00062993"/>
    <w:rsid w:val="00062F13"/>
    <w:rsid w:val="00062F80"/>
    <w:rsid w:val="00063D31"/>
    <w:rsid w:val="000640DE"/>
    <w:rsid w:val="00064925"/>
    <w:rsid w:val="0006536D"/>
    <w:rsid w:val="000656CC"/>
    <w:rsid w:val="00065ABB"/>
    <w:rsid w:val="000675AA"/>
    <w:rsid w:val="000675E5"/>
    <w:rsid w:val="000677AA"/>
    <w:rsid w:val="00067893"/>
    <w:rsid w:val="000708FE"/>
    <w:rsid w:val="000719B1"/>
    <w:rsid w:val="000727DB"/>
    <w:rsid w:val="0007294E"/>
    <w:rsid w:val="0007360F"/>
    <w:rsid w:val="00073BA6"/>
    <w:rsid w:val="000747FE"/>
    <w:rsid w:val="00074885"/>
    <w:rsid w:val="00074C04"/>
    <w:rsid w:val="00076C6C"/>
    <w:rsid w:val="000773CB"/>
    <w:rsid w:val="000775B7"/>
    <w:rsid w:val="00077724"/>
    <w:rsid w:val="00077794"/>
    <w:rsid w:val="0008137A"/>
    <w:rsid w:val="000817AA"/>
    <w:rsid w:val="00081E63"/>
    <w:rsid w:val="000825E4"/>
    <w:rsid w:val="00083DCB"/>
    <w:rsid w:val="00083E75"/>
    <w:rsid w:val="00084F10"/>
    <w:rsid w:val="00085078"/>
    <w:rsid w:val="00091A1D"/>
    <w:rsid w:val="00092270"/>
    <w:rsid w:val="0009227E"/>
    <w:rsid w:val="00093310"/>
    <w:rsid w:val="000935EB"/>
    <w:rsid w:val="0009385E"/>
    <w:rsid w:val="000941A4"/>
    <w:rsid w:val="00094B91"/>
    <w:rsid w:val="000959A7"/>
    <w:rsid w:val="00095B60"/>
    <w:rsid w:val="00095E80"/>
    <w:rsid w:val="00096DF7"/>
    <w:rsid w:val="00096FD4"/>
    <w:rsid w:val="000A0738"/>
    <w:rsid w:val="000A1188"/>
    <w:rsid w:val="000A1DC9"/>
    <w:rsid w:val="000A23BA"/>
    <w:rsid w:val="000A283A"/>
    <w:rsid w:val="000A3361"/>
    <w:rsid w:val="000A3F2B"/>
    <w:rsid w:val="000A5EC7"/>
    <w:rsid w:val="000A6978"/>
    <w:rsid w:val="000A7238"/>
    <w:rsid w:val="000A7AA5"/>
    <w:rsid w:val="000A7B82"/>
    <w:rsid w:val="000A7E5F"/>
    <w:rsid w:val="000B0164"/>
    <w:rsid w:val="000B0186"/>
    <w:rsid w:val="000B0D59"/>
    <w:rsid w:val="000B338D"/>
    <w:rsid w:val="000B34A4"/>
    <w:rsid w:val="000B34C3"/>
    <w:rsid w:val="000B542D"/>
    <w:rsid w:val="000B5765"/>
    <w:rsid w:val="000B5B15"/>
    <w:rsid w:val="000B6852"/>
    <w:rsid w:val="000C0B12"/>
    <w:rsid w:val="000C1AE5"/>
    <w:rsid w:val="000C2EF1"/>
    <w:rsid w:val="000C311D"/>
    <w:rsid w:val="000C44A7"/>
    <w:rsid w:val="000C4EF8"/>
    <w:rsid w:val="000C5EBE"/>
    <w:rsid w:val="000C62ED"/>
    <w:rsid w:val="000C690D"/>
    <w:rsid w:val="000C7061"/>
    <w:rsid w:val="000D0681"/>
    <w:rsid w:val="000D1628"/>
    <w:rsid w:val="000D2534"/>
    <w:rsid w:val="000D390E"/>
    <w:rsid w:val="000D3B08"/>
    <w:rsid w:val="000D4A88"/>
    <w:rsid w:val="000D565A"/>
    <w:rsid w:val="000D57FE"/>
    <w:rsid w:val="000D76BC"/>
    <w:rsid w:val="000E07B4"/>
    <w:rsid w:val="000E3468"/>
    <w:rsid w:val="000E3693"/>
    <w:rsid w:val="000E3DF4"/>
    <w:rsid w:val="000E7674"/>
    <w:rsid w:val="000E7A84"/>
    <w:rsid w:val="000E7AC5"/>
    <w:rsid w:val="000E7AC7"/>
    <w:rsid w:val="000F01D1"/>
    <w:rsid w:val="000F0CBA"/>
    <w:rsid w:val="000F1568"/>
    <w:rsid w:val="000F295B"/>
    <w:rsid w:val="000F30B4"/>
    <w:rsid w:val="000F498F"/>
    <w:rsid w:val="000F4D3D"/>
    <w:rsid w:val="000F54CD"/>
    <w:rsid w:val="000F6554"/>
    <w:rsid w:val="000F6DC5"/>
    <w:rsid w:val="0010006C"/>
    <w:rsid w:val="0010035D"/>
    <w:rsid w:val="001003A7"/>
    <w:rsid w:val="00100F2C"/>
    <w:rsid w:val="0010253A"/>
    <w:rsid w:val="00102AE5"/>
    <w:rsid w:val="00103317"/>
    <w:rsid w:val="00103BF2"/>
    <w:rsid w:val="00103C27"/>
    <w:rsid w:val="00104290"/>
    <w:rsid w:val="00104847"/>
    <w:rsid w:val="00104927"/>
    <w:rsid w:val="00104C00"/>
    <w:rsid w:val="001059F7"/>
    <w:rsid w:val="00105B33"/>
    <w:rsid w:val="001068C8"/>
    <w:rsid w:val="00106FB4"/>
    <w:rsid w:val="001070B2"/>
    <w:rsid w:val="00110D81"/>
    <w:rsid w:val="00113145"/>
    <w:rsid w:val="0011445F"/>
    <w:rsid w:val="0011469C"/>
    <w:rsid w:val="001146B8"/>
    <w:rsid w:val="00114700"/>
    <w:rsid w:val="00114F19"/>
    <w:rsid w:val="00115570"/>
    <w:rsid w:val="00115BCF"/>
    <w:rsid w:val="00115CFA"/>
    <w:rsid w:val="001160C9"/>
    <w:rsid w:val="0011673D"/>
    <w:rsid w:val="001171A4"/>
    <w:rsid w:val="00120087"/>
    <w:rsid w:val="00120C04"/>
    <w:rsid w:val="0012110D"/>
    <w:rsid w:val="00121500"/>
    <w:rsid w:val="001218DB"/>
    <w:rsid w:val="00121C56"/>
    <w:rsid w:val="001234C8"/>
    <w:rsid w:val="00123AEC"/>
    <w:rsid w:val="001241B5"/>
    <w:rsid w:val="001241DF"/>
    <w:rsid w:val="001248CA"/>
    <w:rsid w:val="00126B8E"/>
    <w:rsid w:val="0012702F"/>
    <w:rsid w:val="001274D6"/>
    <w:rsid w:val="001275A4"/>
    <w:rsid w:val="00127604"/>
    <w:rsid w:val="00127E19"/>
    <w:rsid w:val="00127F04"/>
    <w:rsid w:val="00130851"/>
    <w:rsid w:val="001317BA"/>
    <w:rsid w:val="00132751"/>
    <w:rsid w:val="001335E0"/>
    <w:rsid w:val="001357C6"/>
    <w:rsid w:val="00135D5D"/>
    <w:rsid w:val="00136427"/>
    <w:rsid w:val="00136FBF"/>
    <w:rsid w:val="00140166"/>
    <w:rsid w:val="00140D90"/>
    <w:rsid w:val="001429CC"/>
    <w:rsid w:val="00144DA9"/>
    <w:rsid w:val="001451B2"/>
    <w:rsid w:val="001454A5"/>
    <w:rsid w:val="00145603"/>
    <w:rsid w:val="00147315"/>
    <w:rsid w:val="00147620"/>
    <w:rsid w:val="00147930"/>
    <w:rsid w:val="00147D05"/>
    <w:rsid w:val="00147DE5"/>
    <w:rsid w:val="001501DE"/>
    <w:rsid w:val="00150F5C"/>
    <w:rsid w:val="00151BA0"/>
    <w:rsid w:val="0015221F"/>
    <w:rsid w:val="00152649"/>
    <w:rsid w:val="00154A92"/>
    <w:rsid w:val="00156E39"/>
    <w:rsid w:val="001571D0"/>
    <w:rsid w:val="0016014C"/>
    <w:rsid w:val="00160433"/>
    <w:rsid w:val="00160ACD"/>
    <w:rsid w:val="00161F35"/>
    <w:rsid w:val="00162E7D"/>
    <w:rsid w:val="00163404"/>
    <w:rsid w:val="001634E1"/>
    <w:rsid w:val="00163AA4"/>
    <w:rsid w:val="00163B89"/>
    <w:rsid w:val="00164E8D"/>
    <w:rsid w:val="00165B4E"/>
    <w:rsid w:val="0016624D"/>
    <w:rsid w:val="001662ED"/>
    <w:rsid w:val="00166B96"/>
    <w:rsid w:val="00167359"/>
    <w:rsid w:val="001709F8"/>
    <w:rsid w:val="00171245"/>
    <w:rsid w:val="001735CB"/>
    <w:rsid w:val="00173694"/>
    <w:rsid w:val="001746FB"/>
    <w:rsid w:val="00175B4A"/>
    <w:rsid w:val="00175F1E"/>
    <w:rsid w:val="00176F9F"/>
    <w:rsid w:val="00177421"/>
    <w:rsid w:val="001776E1"/>
    <w:rsid w:val="00177E6B"/>
    <w:rsid w:val="00180736"/>
    <w:rsid w:val="00183851"/>
    <w:rsid w:val="001842F1"/>
    <w:rsid w:val="0018607D"/>
    <w:rsid w:val="0018632D"/>
    <w:rsid w:val="00186526"/>
    <w:rsid w:val="00186EEA"/>
    <w:rsid w:val="00190207"/>
    <w:rsid w:val="001906D2"/>
    <w:rsid w:val="001907BA"/>
    <w:rsid w:val="00190D01"/>
    <w:rsid w:val="00192F09"/>
    <w:rsid w:val="00193126"/>
    <w:rsid w:val="00193B43"/>
    <w:rsid w:val="00193BA8"/>
    <w:rsid w:val="0019565A"/>
    <w:rsid w:val="00195683"/>
    <w:rsid w:val="001961C6"/>
    <w:rsid w:val="00196E6D"/>
    <w:rsid w:val="001975CE"/>
    <w:rsid w:val="001A056A"/>
    <w:rsid w:val="001A0803"/>
    <w:rsid w:val="001A119C"/>
    <w:rsid w:val="001A2C3A"/>
    <w:rsid w:val="001A3EF4"/>
    <w:rsid w:val="001A55D9"/>
    <w:rsid w:val="001A632C"/>
    <w:rsid w:val="001A6335"/>
    <w:rsid w:val="001B0240"/>
    <w:rsid w:val="001B0DD7"/>
    <w:rsid w:val="001B0FB2"/>
    <w:rsid w:val="001B14AE"/>
    <w:rsid w:val="001B1CE3"/>
    <w:rsid w:val="001B2BC3"/>
    <w:rsid w:val="001B3075"/>
    <w:rsid w:val="001B3A56"/>
    <w:rsid w:val="001B6373"/>
    <w:rsid w:val="001B71F8"/>
    <w:rsid w:val="001C096F"/>
    <w:rsid w:val="001C0DF3"/>
    <w:rsid w:val="001C0F9C"/>
    <w:rsid w:val="001C1D65"/>
    <w:rsid w:val="001C2323"/>
    <w:rsid w:val="001C3199"/>
    <w:rsid w:val="001C3396"/>
    <w:rsid w:val="001C5662"/>
    <w:rsid w:val="001C5DA7"/>
    <w:rsid w:val="001C6B14"/>
    <w:rsid w:val="001C7F25"/>
    <w:rsid w:val="001D076B"/>
    <w:rsid w:val="001D079A"/>
    <w:rsid w:val="001D0F1B"/>
    <w:rsid w:val="001D15E8"/>
    <w:rsid w:val="001D41DF"/>
    <w:rsid w:val="001D5257"/>
    <w:rsid w:val="001D55B4"/>
    <w:rsid w:val="001D5A66"/>
    <w:rsid w:val="001D6314"/>
    <w:rsid w:val="001D68A5"/>
    <w:rsid w:val="001D6DBA"/>
    <w:rsid w:val="001E0C1F"/>
    <w:rsid w:val="001E1414"/>
    <w:rsid w:val="001E1B28"/>
    <w:rsid w:val="001E1B82"/>
    <w:rsid w:val="001E1D88"/>
    <w:rsid w:val="001E22B9"/>
    <w:rsid w:val="001E3153"/>
    <w:rsid w:val="001E3B51"/>
    <w:rsid w:val="001E4B86"/>
    <w:rsid w:val="001E4F70"/>
    <w:rsid w:val="001E59FF"/>
    <w:rsid w:val="001E604A"/>
    <w:rsid w:val="001E6504"/>
    <w:rsid w:val="001E651C"/>
    <w:rsid w:val="001E7A48"/>
    <w:rsid w:val="001F0027"/>
    <w:rsid w:val="001F058F"/>
    <w:rsid w:val="001F0801"/>
    <w:rsid w:val="001F1A1A"/>
    <w:rsid w:val="001F27B6"/>
    <w:rsid w:val="001F29B3"/>
    <w:rsid w:val="001F3291"/>
    <w:rsid w:val="001F62DD"/>
    <w:rsid w:val="001F7307"/>
    <w:rsid w:val="001F772D"/>
    <w:rsid w:val="001F7AFB"/>
    <w:rsid w:val="00200179"/>
    <w:rsid w:val="00200323"/>
    <w:rsid w:val="00200B75"/>
    <w:rsid w:val="00200C40"/>
    <w:rsid w:val="00200EC1"/>
    <w:rsid w:val="002021E9"/>
    <w:rsid w:val="002021FE"/>
    <w:rsid w:val="002037D1"/>
    <w:rsid w:val="00203868"/>
    <w:rsid w:val="002051AD"/>
    <w:rsid w:val="0020593E"/>
    <w:rsid w:val="00206C78"/>
    <w:rsid w:val="002074CB"/>
    <w:rsid w:val="00207F6B"/>
    <w:rsid w:val="00210111"/>
    <w:rsid w:val="002102AB"/>
    <w:rsid w:val="002103D7"/>
    <w:rsid w:val="002105AC"/>
    <w:rsid w:val="002113F7"/>
    <w:rsid w:val="00211646"/>
    <w:rsid w:val="00212D03"/>
    <w:rsid w:val="0021421D"/>
    <w:rsid w:val="002158DB"/>
    <w:rsid w:val="00216457"/>
    <w:rsid w:val="0021772D"/>
    <w:rsid w:val="00220D07"/>
    <w:rsid w:val="00220F35"/>
    <w:rsid w:val="00221660"/>
    <w:rsid w:val="00221AC6"/>
    <w:rsid w:val="00222B79"/>
    <w:rsid w:val="0022415A"/>
    <w:rsid w:val="00224D17"/>
    <w:rsid w:val="00225478"/>
    <w:rsid w:val="00225BB0"/>
    <w:rsid w:val="00226AAE"/>
    <w:rsid w:val="00226D8B"/>
    <w:rsid w:val="00227056"/>
    <w:rsid w:val="002303D5"/>
    <w:rsid w:val="00230F8D"/>
    <w:rsid w:val="00231F63"/>
    <w:rsid w:val="00232157"/>
    <w:rsid w:val="00232460"/>
    <w:rsid w:val="00234361"/>
    <w:rsid w:val="00234816"/>
    <w:rsid w:val="00235AA3"/>
    <w:rsid w:val="00237C28"/>
    <w:rsid w:val="00240B27"/>
    <w:rsid w:val="00241186"/>
    <w:rsid w:val="0024126C"/>
    <w:rsid w:val="002412BB"/>
    <w:rsid w:val="00241511"/>
    <w:rsid w:val="00242EA6"/>
    <w:rsid w:val="00243574"/>
    <w:rsid w:val="00243CD8"/>
    <w:rsid w:val="00244D18"/>
    <w:rsid w:val="002457CA"/>
    <w:rsid w:val="00246457"/>
    <w:rsid w:val="00246F2B"/>
    <w:rsid w:val="00247025"/>
    <w:rsid w:val="00250CB3"/>
    <w:rsid w:val="00250E1D"/>
    <w:rsid w:val="002516FF"/>
    <w:rsid w:val="00251F0C"/>
    <w:rsid w:val="00252157"/>
    <w:rsid w:val="00252B85"/>
    <w:rsid w:val="00253A24"/>
    <w:rsid w:val="002556C2"/>
    <w:rsid w:val="002606FE"/>
    <w:rsid w:val="002613BB"/>
    <w:rsid w:val="00261DDF"/>
    <w:rsid w:val="00262048"/>
    <w:rsid w:val="0026247F"/>
    <w:rsid w:val="00263DAF"/>
    <w:rsid w:val="002643A5"/>
    <w:rsid w:val="00264A24"/>
    <w:rsid w:val="00264EF6"/>
    <w:rsid w:val="00266593"/>
    <w:rsid w:val="00266C9B"/>
    <w:rsid w:val="00267325"/>
    <w:rsid w:val="002706F7"/>
    <w:rsid w:val="00271487"/>
    <w:rsid w:val="002716AF"/>
    <w:rsid w:val="00272168"/>
    <w:rsid w:val="0027219C"/>
    <w:rsid w:val="002733F1"/>
    <w:rsid w:val="00274C30"/>
    <w:rsid w:val="00275435"/>
    <w:rsid w:val="0027573B"/>
    <w:rsid w:val="00275952"/>
    <w:rsid w:val="00276019"/>
    <w:rsid w:val="00276FEB"/>
    <w:rsid w:val="00277ACA"/>
    <w:rsid w:val="0028083C"/>
    <w:rsid w:val="002808F8"/>
    <w:rsid w:val="00281F94"/>
    <w:rsid w:val="0028261B"/>
    <w:rsid w:val="00282D07"/>
    <w:rsid w:val="00282D40"/>
    <w:rsid w:val="00283432"/>
    <w:rsid w:val="00284A3C"/>
    <w:rsid w:val="002851FC"/>
    <w:rsid w:val="002857B5"/>
    <w:rsid w:val="002860D3"/>
    <w:rsid w:val="00287D9E"/>
    <w:rsid w:val="0029016F"/>
    <w:rsid w:val="00290C63"/>
    <w:rsid w:val="00291CDA"/>
    <w:rsid w:val="00291FA6"/>
    <w:rsid w:val="0029329A"/>
    <w:rsid w:val="00293959"/>
    <w:rsid w:val="0029464B"/>
    <w:rsid w:val="00294974"/>
    <w:rsid w:val="0029637C"/>
    <w:rsid w:val="002A0957"/>
    <w:rsid w:val="002A16AA"/>
    <w:rsid w:val="002A513B"/>
    <w:rsid w:val="002A59F0"/>
    <w:rsid w:val="002A742D"/>
    <w:rsid w:val="002B01D4"/>
    <w:rsid w:val="002B18C8"/>
    <w:rsid w:val="002B33DB"/>
    <w:rsid w:val="002B39A3"/>
    <w:rsid w:val="002B3FEF"/>
    <w:rsid w:val="002B52F1"/>
    <w:rsid w:val="002B73F1"/>
    <w:rsid w:val="002C0C05"/>
    <w:rsid w:val="002C1314"/>
    <w:rsid w:val="002C1D59"/>
    <w:rsid w:val="002C48C0"/>
    <w:rsid w:val="002C4EE5"/>
    <w:rsid w:val="002C4FDC"/>
    <w:rsid w:val="002C5DF5"/>
    <w:rsid w:val="002C6EA3"/>
    <w:rsid w:val="002C73F4"/>
    <w:rsid w:val="002C7672"/>
    <w:rsid w:val="002C7FC7"/>
    <w:rsid w:val="002D16B1"/>
    <w:rsid w:val="002D40D3"/>
    <w:rsid w:val="002D54D6"/>
    <w:rsid w:val="002D58F7"/>
    <w:rsid w:val="002D5919"/>
    <w:rsid w:val="002D5949"/>
    <w:rsid w:val="002D64F5"/>
    <w:rsid w:val="002D6A4E"/>
    <w:rsid w:val="002E0F05"/>
    <w:rsid w:val="002E14CF"/>
    <w:rsid w:val="002E2339"/>
    <w:rsid w:val="002E2A3F"/>
    <w:rsid w:val="002E2FEE"/>
    <w:rsid w:val="002E4C58"/>
    <w:rsid w:val="002E4E4F"/>
    <w:rsid w:val="002E4F3D"/>
    <w:rsid w:val="002E55D3"/>
    <w:rsid w:val="002E74C5"/>
    <w:rsid w:val="002F0562"/>
    <w:rsid w:val="002F18CF"/>
    <w:rsid w:val="002F36E0"/>
    <w:rsid w:val="002F3B28"/>
    <w:rsid w:val="002F4117"/>
    <w:rsid w:val="002F416B"/>
    <w:rsid w:val="002F4264"/>
    <w:rsid w:val="002F438E"/>
    <w:rsid w:val="002F7A9F"/>
    <w:rsid w:val="003004ED"/>
    <w:rsid w:val="00301F01"/>
    <w:rsid w:val="003025D1"/>
    <w:rsid w:val="00303196"/>
    <w:rsid w:val="003038F6"/>
    <w:rsid w:val="00303B51"/>
    <w:rsid w:val="00307CA9"/>
    <w:rsid w:val="00310831"/>
    <w:rsid w:val="0031107A"/>
    <w:rsid w:val="003114CB"/>
    <w:rsid w:val="00311B5E"/>
    <w:rsid w:val="00311E06"/>
    <w:rsid w:val="003142EC"/>
    <w:rsid w:val="00316446"/>
    <w:rsid w:val="00317864"/>
    <w:rsid w:val="00317897"/>
    <w:rsid w:val="00317FF5"/>
    <w:rsid w:val="003201FA"/>
    <w:rsid w:val="003209F1"/>
    <w:rsid w:val="00323475"/>
    <w:rsid w:val="00323B14"/>
    <w:rsid w:val="00324BE2"/>
    <w:rsid w:val="00324E78"/>
    <w:rsid w:val="00325923"/>
    <w:rsid w:val="003273BF"/>
    <w:rsid w:val="003316B3"/>
    <w:rsid w:val="0033179A"/>
    <w:rsid w:val="00332304"/>
    <w:rsid w:val="00333D1D"/>
    <w:rsid w:val="00340CDC"/>
    <w:rsid w:val="00341769"/>
    <w:rsid w:val="003432CB"/>
    <w:rsid w:val="00343539"/>
    <w:rsid w:val="003446A2"/>
    <w:rsid w:val="0034470B"/>
    <w:rsid w:val="003463C1"/>
    <w:rsid w:val="00346AC9"/>
    <w:rsid w:val="00347759"/>
    <w:rsid w:val="00350035"/>
    <w:rsid w:val="00350325"/>
    <w:rsid w:val="0035045B"/>
    <w:rsid w:val="0035221E"/>
    <w:rsid w:val="003530FB"/>
    <w:rsid w:val="00354BCE"/>
    <w:rsid w:val="00357CA1"/>
    <w:rsid w:val="0036195E"/>
    <w:rsid w:val="00361D82"/>
    <w:rsid w:val="003626AD"/>
    <w:rsid w:val="00363013"/>
    <w:rsid w:val="00364B37"/>
    <w:rsid w:val="00365F6B"/>
    <w:rsid w:val="00366527"/>
    <w:rsid w:val="00371492"/>
    <w:rsid w:val="0037278A"/>
    <w:rsid w:val="003737D3"/>
    <w:rsid w:val="00373F30"/>
    <w:rsid w:val="003747A6"/>
    <w:rsid w:val="00374A56"/>
    <w:rsid w:val="0037536B"/>
    <w:rsid w:val="00375A78"/>
    <w:rsid w:val="00376649"/>
    <w:rsid w:val="00376F50"/>
    <w:rsid w:val="00381BB1"/>
    <w:rsid w:val="00382AB7"/>
    <w:rsid w:val="003871BE"/>
    <w:rsid w:val="00390A61"/>
    <w:rsid w:val="00393163"/>
    <w:rsid w:val="0039372B"/>
    <w:rsid w:val="00394BD1"/>
    <w:rsid w:val="003962CF"/>
    <w:rsid w:val="00396395"/>
    <w:rsid w:val="00396542"/>
    <w:rsid w:val="00396FA7"/>
    <w:rsid w:val="00397419"/>
    <w:rsid w:val="003976EA"/>
    <w:rsid w:val="003977DC"/>
    <w:rsid w:val="00397B36"/>
    <w:rsid w:val="00397EC0"/>
    <w:rsid w:val="003A145D"/>
    <w:rsid w:val="003A1AD6"/>
    <w:rsid w:val="003A2AF7"/>
    <w:rsid w:val="003A2F87"/>
    <w:rsid w:val="003A318A"/>
    <w:rsid w:val="003A34A1"/>
    <w:rsid w:val="003A3656"/>
    <w:rsid w:val="003A36D9"/>
    <w:rsid w:val="003A417E"/>
    <w:rsid w:val="003A4DF2"/>
    <w:rsid w:val="003A5EDA"/>
    <w:rsid w:val="003A773E"/>
    <w:rsid w:val="003A7C86"/>
    <w:rsid w:val="003B0C21"/>
    <w:rsid w:val="003B1768"/>
    <w:rsid w:val="003B222A"/>
    <w:rsid w:val="003B24F9"/>
    <w:rsid w:val="003B2FB7"/>
    <w:rsid w:val="003B339F"/>
    <w:rsid w:val="003B36ED"/>
    <w:rsid w:val="003B3970"/>
    <w:rsid w:val="003B4C60"/>
    <w:rsid w:val="003B5102"/>
    <w:rsid w:val="003B516C"/>
    <w:rsid w:val="003B5D15"/>
    <w:rsid w:val="003B68C2"/>
    <w:rsid w:val="003B6FB6"/>
    <w:rsid w:val="003B718D"/>
    <w:rsid w:val="003B73C3"/>
    <w:rsid w:val="003B740A"/>
    <w:rsid w:val="003B77AD"/>
    <w:rsid w:val="003B77CF"/>
    <w:rsid w:val="003B7AF1"/>
    <w:rsid w:val="003C0AFE"/>
    <w:rsid w:val="003C0BA1"/>
    <w:rsid w:val="003C1A07"/>
    <w:rsid w:val="003C303C"/>
    <w:rsid w:val="003C3CA3"/>
    <w:rsid w:val="003C3D1D"/>
    <w:rsid w:val="003C45F1"/>
    <w:rsid w:val="003C4A1A"/>
    <w:rsid w:val="003C50A3"/>
    <w:rsid w:val="003C689B"/>
    <w:rsid w:val="003C7514"/>
    <w:rsid w:val="003C79E9"/>
    <w:rsid w:val="003D1EA9"/>
    <w:rsid w:val="003D2574"/>
    <w:rsid w:val="003D59D0"/>
    <w:rsid w:val="003D686A"/>
    <w:rsid w:val="003D69FC"/>
    <w:rsid w:val="003D710A"/>
    <w:rsid w:val="003D79ED"/>
    <w:rsid w:val="003D7BCC"/>
    <w:rsid w:val="003E0551"/>
    <w:rsid w:val="003E187D"/>
    <w:rsid w:val="003E25EA"/>
    <w:rsid w:val="003E27D6"/>
    <w:rsid w:val="003E30D8"/>
    <w:rsid w:val="003E3334"/>
    <w:rsid w:val="003E4BD0"/>
    <w:rsid w:val="003E4C41"/>
    <w:rsid w:val="003E5196"/>
    <w:rsid w:val="003E6B10"/>
    <w:rsid w:val="003E6CD1"/>
    <w:rsid w:val="003E6CF3"/>
    <w:rsid w:val="003E7E12"/>
    <w:rsid w:val="003F1DB8"/>
    <w:rsid w:val="003F2921"/>
    <w:rsid w:val="003F29C6"/>
    <w:rsid w:val="003F3A21"/>
    <w:rsid w:val="003F69D1"/>
    <w:rsid w:val="003F78DF"/>
    <w:rsid w:val="0040210D"/>
    <w:rsid w:val="00402624"/>
    <w:rsid w:val="00402A39"/>
    <w:rsid w:val="00402E84"/>
    <w:rsid w:val="00403235"/>
    <w:rsid w:val="00403381"/>
    <w:rsid w:val="00403DA6"/>
    <w:rsid w:val="0040791B"/>
    <w:rsid w:val="00407A4B"/>
    <w:rsid w:val="004103B5"/>
    <w:rsid w:val="004115AB"/>
    <w:rsid w:val="00411F11"/>
    <w:rsid w:val="00413959"/>
    <w:rsid w:val="00414804"/>
    <w:rsid w:val="00415117"/>
    <w:rsid w:val="00415BA7"/>
    <w:rsid w:val="00415E70"/>
    <w:rsid w:val="00416643"/>
    <w:rsid w:val="00416797"/>
    <w:rsid w:val="00421901"/>
    <w:rsid w:val="00422F92"/>
    <w:rsid w:val="00423801"/>
    <w:rsid w:val="00425456"/>
    <w:rsid w:val="00425F17"/>
    <w:rsid w:val="004263F0"/>
    <w:rsid w:val="0043220A"/>
    <w:rsid w:val="00433B1E"/>
    <w:rsid w:val="00433B91"/>
    <w:rsid w:val="00433FA1"/>
    <w:rsid w:val="0043459A"/>
    <w:rsid w:val="0043506A"/>
    <w:rsid w:val="00435678"/>
    <w:rsid w:val="00436293"/>
    <w:rsid w:val="00436AB2"/>
    <w:rsid w:val="00436E80"/>
    <w:rsid w:val="00440095"/>
    <w:rsid w:val="00440E0A"/>
    <w:rsid w:val="00440F2A"/>
    <w:rsid w:val="00441810"/>
    <w:rsid w:val="00441FFF"/>
    <w:rsid w:val="004421EC"/>
    <w:rsid w:val="0044299B"/>
    <w:rsid w:val="00442CF7"/>
    <w:rsid w:val="00443C2F"/>
    <w:rsid w:val="0045065A"/>
    <w:rsid w:val="00450B78"/>
    <w:rsid w:val="0045125E"/>
    <w:rsid w:val="004514C3"/>
    <w:rsid w:val="00451A2D"/>
    <w:rsid w:val="00451FBA"/>
    <w:rsid w:val="00452050"/>
    <w:rsid w:val="004522C0"/>
    <w:rsid w:val="004523DD"/>
    <w:rsid w:val="00452439"/>
    <w:rsid w:val="0045243E"/>
    <w:rsid w:val="00452451"/>
    <w:rsid w:val="00452C57"/>
    <w:rsid w:val="00452C91"/>
    <w:rsid w:val="004540D0"/>
    <w:rsid w:val="004573C8"/>
    <w:rsid w:val="00457F35"/>
    <w:rsid w:val="00460E05"/>
    <w:rsid w:val="00462263"/>
    <w:rsid w:val="00463928"/>
    <w:rsid w:val="00463D0B"/>
    <w:rsid w:val="00464B7D"/>
    <w:rsid w:val="00464B9D"/>
    <w:rsid w:val="0046642D"/>
    <w:rsid w:val="00467119"/>
    <w:rsid w:val="00470CBC"/>
    <w:rsid w:val="00470CF0"/>
    <w:rsid w:val="00473178"/>
    <w:rsid w:val="004737E0"/>
    <w:rsid w:val="00474ABC"/>
    <w:rsid w:val="00475D4E"/>
    <w:rsid w:val="00475FF8"/>
    <w:rsid w:val="0047607E"/>
    <w:rsid w:val="0047775F"/>
    <w:rsid w:val="00477ADE"/>
    <w:rsid w:val="0048100C"/>
    <w:rsid w:val="004815CD"/>
    <w:rsid w:val="0048184C"/>
    <w:rsid w:val="004845BD"/>
    <w:rsid w:val="00484B49"/>
    <w:rsid w:val="00485334"/>
    <w:rsid w:val="0048535A"/>
    <w:rsid w:val="00485FB8"/>
    <w:rsid w:val="00486266"/>
    <w:rsid w:val="004916F7"/>
    <w:rsid w:val="00492246"/>
    <w:rsid w:val="004927DB"/>
    <w:rsid w:val="004935E5"/>
    <w:rsid w:val="004938AC"/>
    <w:rsid w:val="00493AD6"/>
    <w:rsid w:val="00494C07"/>
    <w:rsid w:val="00495210"/>
    <w:rsid w:val="00495B4D"/>
    <w:rsid w:val="00495B69"/>
    <w:rsid w:val="00495ED6"/>
    <w:rsid w:val="004965EC"/>
    <w:rsid w:val="0049738A"/>
    <w:rsid w:val="004A0025"/>
    <w:rsid w:val="004A0B90"/>
    <w:rsid w:val="004A3128"/>
    <w:rsid w:val="004A32D4"/>
    <w:rsid w:val="004A39F0"/>
    <w:rsid w:val="004A3F04"/>
    <w:rsid w:val="004A4397"/>
    <w:rsid w:val="004A4F66"/>
    <w:rsid w:val="004A5590"/>
    <w:rsid w:val="004A5D5E"/>
    <w:rsid w:val="004A7F11"/>
    <w:rsid w:val="004B061E"/>
    <w:rsid w:val="004B0B39"/>
    <w:rsid w:val="004B1347"/>
    <w:rsid w:val="004B2C86"/>
    <w:rsid w:val="004B2F83"/>
    <w:rsid w:val="004B4FB8"/>
    <w:rsid w:val="004B5C6D"/>
    <w:rsid w:val="004B723D"/>
    <w:rsid w:val="004B7F3C"/>
    <w:rsid w:val="004C07E1"/>
    <w:rsid w:val="004C1588"/>
    <w:rsid w:val="004C2EAC"/>
    <w:rsid w:val="004C322C"/>
    <w:rsid w:val="004C36A4"/>
    <w:rsid w:val="004C57C6"/>
    <w:rsid w:val="004C6E13"/>
    <w:rsid w:val="004C708D"/>
    <w:rsid w:val="004D0EE0"/>
    <w:rsid w:val="004D19BA"/>
    <w:rsid w:val="004D1C56"/>
    <w:rsid w:val="004D1D0C"/>
    <w:rsid w:val="004D201A"/>
    <w:rsid w:val="004D4136"/>
    <w:rsid w:val="004D60CE"/>
    <w:rsid w:val="004E1203"/>
    <w:rsid w:val="004E272B"/>
    <w:rsid w:val="004E3204"/>
    <w:rsid w:val="004E3EAB"/>
    <w:rsid w:val="004E4EA1"/>
    <w:rsid w:val="004E5879"/>
    <w:rsid w:val="004E5B08"/>
    <w:rsid w:val="004E6C7D"/>
    <w:rsid w:val="004E77F3"/>
    <w:rsid w:val="004F08E8"/>
    <w:rsid w:val="004F2358"/>
    <w:rsid w:val="004F2369"/>
    <w:rsid w:val="004F28DD"/>
    <w:rsid w:val="004F37AA"/>
    <w:rsid w:val="004F38A8"/>
    <w:rsid w:val="004F3D15"/>
    <w:rsid w:val="004F431E"/>
    <w:rsid w:val="004F50FD"/>
    <w:rsid w:val="004F5BE4"/>
    <w:rsid w:val="004F5D95"/>
    <w:rsid w:val="004F63F6"/>
    <w:rsid w:val="004F79D6"/>
    <w:rsid w:val="00500DE8"/>
    <w:rsid w:val="00501E3B"/>
    <w:rsid w:val="0050210C"/>
    <w:rsid w:val="00502A18"/>
    <w:rsid w:val="00503CD0"/>
    <w:rsid w:val="00504079"/>
    <w:rsid w:val="00504113"/>
    <w:rsid w:val="00504BD1"/>
    <w:rsid w:val="0050516B"/>
    <w:rsid w:val="005051EB"/>
    <w:rsid w:val="005058A2"/>
    <w:rsid w:val="00506564"/>
    <w:rsid w:val="00510322"/>
    <w:rsid w:val="005107D5"/>
    <w:rsid w:val="00510ADE"/>
    <w:rsid w:val="00511998"/>
    <w:rsid w:val="00511A74"/>
    <w:rsid w:val="00511C9C"/>
    <w:rsid w:val="00511CEE"/>
    <w:rsid w:val="005122C8"/>
    <w:rsid w:val="00513128"/>
    <w:rsid w:val="005133E5"/>
    <w:rsid w:val="00514046"/>
    <w:rsid w:val="00514112"/>
    <w:rsid w:val="00515238"/>
    <w:rsid w:val="00515A46"/>
    <w:rsid w:val="00516D04"/>
    <w:rsid w:val="00521323"/>
    <w:rsid w:val="005215CF"/>
    <w:rsid w:val="005231E7"/>
    <w:rsid w:val="00523B52"/>
    <w:rsid w:val="00524A93"/>
    <w:rsid w:val="00526606"/>
    <w:rsid w:val="00526F69"/>
    <w:rsid w:val="00527390"/>
    <w:rsid w:val="005307CC"/>
    <w:rsid w:val="00530B7E"/>
    <w:rsid w:val="00531C9B"/>
    <w:rsid w:val="00532052"/>
    <w:rsid w:val="005322DC"/>
    <w:rsid w:val="0053301A"/>
    <w:rsid w:val="005334CC"/>
    <w:rsid w:val="00535EB1"/>
    <w:rsid w:val="00536687"/>
    <w:rsid w:val="00537A8B"/>
    <w:rsid w:val="005405ED"/>
    <w:rsid w:val="005409F8"/>
    <w:rsid w:val="00540F7C"/>
    <w:rsid w:val="00544F4A"/>
    <w:rsid w:val="00545DE8"/>
    <w:rsid w:val="00545EEC"/>
    <w:rsid w:val="00546467"/>
    <w:rsid w:val="00550814"/>
    <w:rsid w:val="00550DE2"/>
    <w:rsid w:val="00550E04"/>
    <w:rsid w:val="00551203"/>
    <w:rsid w:val="005522ED"/>
    <w:rsid w:val="00552644"/>
    <w:rsid w:val="00553A45"/>
    <w:rsid w:val="005542CF"/>
    <w:rsid w:val="0055439A"/>
    <w:rsid w:val="005559A3"/>
    <w:rsid w:val="00556F4D"/>
    <w:rsid w:val="00560722"/>
    <w:rsid w:val="00560973"/>
    <w:rsid w:val="005609AE"/>
    <w:rsid w:val="00561D16"/>
    <w:rsid w:val="00562926"/>
    <w:rsid w:val="00563390"/>
    <w:rsid w:val="005637F9"/>
    <w:rsid w:val="00563CEF"/>
    <w:rsid w:val="0056618F"/>
    <w:rsid w:val="00566B78"/>
    <w:rsid w:val="00567809"/>
    <w:rsid w:val="00567A48"/>
    <w:rsid w:val="00570DE0"/>
    <w:rsid w:val="00570F51"/>
    <w:rsid w:val="00572644"/>
    <w:rsid w:val="0057332C"/>
    <w:rsid w:val="0057357A"/>
    <w:rsid w:val="0057409C"/>
    <w:rsid w:val="005743C4"/>
    <w:rsid w:val="00574A95"/>
    <w:rsid w:val="00575263"/>
    <w:rsid w:val="00575999"/>
    <w:rsid w:val="00577F37"/>
    <w:rsid w:val="00580E41"/>
    <w:rsid w:val="00580EC7"/>
    <w:rsid w:val="0058166B"/>
    <w:rsid w:val="005816FA"/>
    <w:rsid w:val="00581DF6"/>
    <w:rsid w:val="00584A3E"/>
    <w:rsid w:val="00584CD8"/>
    <w:rsid w:val="005858B9"/>
    <w:rsid w:val="005938B8"/>
    <w:rsid w:val="00593C3C"/>
    <w:rsid w:val="005940CB"/>
    <w:rsid w:val="0059439A"/>
    <w:rsid w:val="00594661"/>
    <w:rsid w:val="005947FB"/>
    <w:rsid w:val="0059493E"/>
    <w:rsid w:val="005949AB"/>
    <w:rsid w:val="005966A3"/>
    <w:rsid w:val="005967AB"/>
    <w:rsid w:val="005979BD"/>
    <w:rsid w:val="005A07D9"/>
    <w:rsid w:val="005A1200"/>
    <w:rsid w:val="005A1677"/>
    <w:rsid w:val="005A1755"/>
    <w:rsid w:val="005A18D9"/>
    <w:rsid w:val="005A21CF"/>
    <w:rsid w:val="005A2930"/>
    <w:rsid w:val="005A320A"/>
    <w:rsid w:val="005A3E18"/>
    <w:rsid w:val="005A4459"/>
    <w:rsid w:val="005A4C5A"/>
    <w:rsid w:val="005A572B"/>
    <w:rsid w:val="005A74ED"/>
    <w:rsid w:val="005B01A4"/>
    <w:rsid w:val="005B01F3"/>
    <w:rsid w:val="005B0F89"/>
    <w:rsid w:val="005B2441"/>
    <w:rsid w:val="005B3425"/>
    <w:rsid w:val="005B4911"/>
    <w:rsid w:val="005B65DB"/>
    <w:rsid w:val="005B7519"/>
    <w:rsid w:val="005B7713"/>
    <w:rsid w:val="005B7E02"/>
    <w:rsid w:val="005C0A9D"/>
    <w:rsid w:val="005C239C"/>
    <w:rsid w:val="005C45F9"/>
    <w:rsid w:val="005C48FA"/>
    <w:rsid w:val="005C7935"/>
    <w:rsid w:val="005C7E35"/>
    <w:rsid w:val="005D01D7"/>
    <w:rsid w:val="005D07D3"/>
    <w:rsid w:val="005D1EEC"/>
    <w:rsid w:val="005D249E"/>
    <w:rsid w:val="005D293F"/>
    <w:rsid w:val="005D2972"/>
    <w:rsid w:val="005D2BB5"/>
    <w:rsid w:val="005D3084"/>
    <w:rsid w:val="005D468B"/>
    <w:rsid w:val="005D4E8B"/>
    <w:rsid w:val="005D570C"/>
    <w:rsid w:val="005D6B12"/>
    <w:rsid w:val="005E0788"/>
    <w:rsid w:val="005E0D49"/>
    <w:rsid w:val="005E104C"/>
    <w:rsid w:val="005E2094"/>
    <w:rsid w:val="005E338F"/>
    <w:rsid w:val="005E35E3"/>
    <w:rsid w:val="005E3D0E"/>
    <w:rsid w:val="005E466C"/>
    <w:rsid w:val="005E5380"/>
    <w:rsid w:val="005E58B2"/>
    <w:rsid w:val="005E64FD"/>
    <w:rsid w:val="005E7EAB"/>
    <w:rsid w:val="005F0396"/>
    <w:rsid w:val="005F0D2E"/>
    <w:rsid w:val="005F1319"/>
    <w:rsid w:val="005F1C49"/>
    <w:rsid w:val="005F1C82"/>
    <w:rsid w:val="005F6622"/>
    <w:rsid w:val="005F66E1"/>
    <w:rsid w:val="005F67D3"/>
    <w:rsid w:val="005F6E30"/>
    <w:rsid w:val="00600178"/>
    <w:rsid w:val="00604035"/>
    <w:rsid w:val="006063A4"/>
    <w:rsid w:val="00606B1E"/>
    <w:rsid w:val="006079C3"/>
    <w:rsid w:val="00610DB5"/>
    <w:rsid w:val="0061127E"/>
    <w:rsid w:val="00612FC4"/>
    <w:rsid w:val="00613FCA"/>
    <w:rsid w:val="006145B5"/>
    <w:rsid w:val="0061569E"/>
    <w:rsid w:val="00615909"/>
    <w:rsid w:val="00620039"/>
    <w:rsid w:val="006218D7"/>
    <w:rsid w:val="00621D73"/>
    <w:rsid w:val="006226BF"/>
    <w:rsid w:val="00623A0E"/>
    <w:rsid w:val="00625CD5"/>
    <w:rsid w:val="00626C72"/>
    <w:rsid w:val="006277FA"/>
    <w:rsid w:val="00627C5D"/>
    <w:rsid w:val="00630014"/>
    <w:rsid w:val="00630FCD"/>
    <w:rsid w:val="00631267"/>
    <w:rsid w:val="006312BB"/>
    <w:rsid w:val="00632034"/>
    <w:rsid w:val="00633858"/>
    <w:rsid w:val="00633FDE"/>
    <w:rsid w:val="0063424B"/>
    <w:rsid w:val="00634924"/>
    <w:rsid w:val="00635F8D"/>
    <w:rsid w:val="0063682A"/>
    <w:rsid w:val="006369EA"/>
    <w:rsid w:val="00637E45"/>
    <w:rsid w:val="006406EE"/>
    <w:rsid w:val="00640A20"/>
    <w:rsid w:val="00641464"/>
    <w:rsid w:val="006442A8"/>
    <w:rsid w:val="00644346"/>
    <w:rsid w:val="00644B92"/>
    <w:rsid w:val="006456F1"/>
    <w:rsid w:val="00645D17"/>
    <w:rsid w:val="00645E7E"/>
    <w:rsid w:val="00646DE0"/>
    <w:rsid w:val="006506AE"/>
    <w:rsid w:val="00650EB8"/>
    <w:rsid w:val="006521A9"/>
    <w:rsid w:val="006540FA"/>
    <w:rsid w:val="006551CE"/>
    <w:rsid w:val="00657C87"/>
    <w:rsid w:val="006600C3"/>
    <w:rsid w:val="00661A87"/>
    <w:rsid w:val="00663074"/>
    <w:rsid w:val="0066405A"/>
    <w:rsid w:val="00664308"/>
    <w:rsid w:val="00665C45"/>
    <w:rsid w:val="00665D79"/>
    <w:rsid w:val="006661C1"/>
    <w:rsid w:val="006705C4"/>
    <w:rsid w:val="00673E28"/>
    <w:rsid w:val="00675165"/>
    <w:rsid w:val="006768CB"/>
    <w:rsid w:val="00676D6C"/>
    <w:rsid w:val="00677B21"/>
    <w:rsid w:val="00677E19"/>
    <w:rsid w:val="00677E3D"/>
    <w:rsid w:val="0068023E"/>
    <w:rsid w:val="0068144B"/>
    <w:rsid w:val="00682F48"/>
    <w:rsid w:val="00685737"/>
    <w:rsid w:val="00686BF3"/>
    <w:rsid w:val="006900AF"/>
    <w:rsid w:val="00690B39"/>
    <w:rsid w:val="00692CFD"/>
    <w:rsid w:val="00693E3B"/>
    <w:rsid w:val="006945EF"/>
    <w:rsid w:val="00694A79"/>
    <w:rsid w:val="00694A95"/>
    <w:rsid w:val="00694F7C"/>
    <w:rsid w:val="00695373"/>
    <w:rsid w:val="00695616"/>
    <w:rsid w:val="006958C5"/>
    <w:rsid w:val="006969D7"/>
    <w:rsid w:val="0069739A"/>
    <w:rsid w:val="006A0821"/>
    <w:rsid w:val="006A0931"/>
    <w:rsid w:val="006A0D9C"/>
    <w:rsid w:val="006A1F23"/>
    <w:rsid w:val="006A2A4E"/>
    <w:rsid w:val="006A3081"/>
    <w:rsid w:val="006A5FD4"/>
    <w:rsid w:val="006A756E"/>
    <w:rsid w:val="006B09E1"/>
    <w:rsid w:val="006B0F40"/>
    <w:rsid w:val="006B42AF"/>
    <w:rsid w:val="006B64EE"/>
    <w:rsid w:val="006B76F2"/>
    <w:rsid w:val="006C0B7A"/>
    <w:rsid w:val="006C1652"/>
    <w:rsid w:val="006C1B10"/>
    <w:rsid w:val="006C267E"/>
    <w:rsid w:val="006C2B18"/>
    <w:rsid w:val="006C2ED1"/>
    <w:rsid w:val="006C2F1D"/>
    <w:rsid w:val="006C4636"/>
    <w:rsid w:val="006C53CD"/>
    <w:rsid w:val="006C5431"/>
    <w:rsid w:val="006C58F8"/>
    <w:rsid w:val="006C59F0"/>
    <w:rsid w:val="006C61D7"/>
    <w:rsid w:val="006C6358"/>
    <w:rsid w:val="006C681D"/>
    <w:rsid w:val="006C7479"/>
    <w:rsid w:val="006D1D30"/>
    <w:rsid w:val="006D2281"/>
    <w:rsid w:val="006D540E"/>
    <w:rsid w:val="006D5A19"/>
    <w:rsid w:val="006D7F96"/>
    <w:rsid w:val="006E01C0"/>
    <w:rsid w:val="006E282C"/>
    <w:rsid w:val="006E283C"/>
    <w:rsid w:val="006E56AE"/>
    <w:rsid w:val="006E5C82"/>
    <w:rsid w:val="006E7A35"/>
    <w:rsid w:val="006E7F9D"/>
    <w:rsid w:val="006F0BD2"/>
    <w:rsid w:val="006F158B"/>
    <w:rsid w:val="006F1E3D"/>
    <w:rsid w:val="006F21A0"/>
    <w:rsid w:val="006F2244"/>
    <w:rsid w:val="006F40A3"/>
    <w:rsid w:val="006F4DAF"/>
    <w:rsid w:val="006F6A0D"/>
    <w:rsid w:val="006F7753"/>
    <w:rsid w:val="00700A41"/>
    <w:rsid w:val="00701731"/>
    <w:rsid w:val="00702342"/>
    <w:rsid w:val="00702617"/>
    <w:rsid w:val="00703172"/>
    <w:rsid w:val="007038D9"/>
    <w:rsid w:val="0070459B"/>
    <w:rsid w:val="0070462E"/>
    <w:rsid w:val="00704876"/>
    <w:rsid w:val="007056D6"/>
    <w:rsid w:val="00706C90"/>
    <w:rsid w:val="00706FF1"/>
    <w:rsid w:val="007073D6"/>
    <w:rsid w:val="00707E85"/>
    <w:rsid w:val="0071022D"/>
    <w:rsid w:val="00710C70"/>
    <w:rsid w:val="0071120C"/>
    <w:rsid w:val="0071192D"/>
    <w:rsid w:val="00711C37"/>
    <w:rsid w:val="00712A1B"/>
    <w:rsid w:val="00713CFF"/>
    <w:rsid w:val="00714D1A"/>
    <w:rsid w:val="00714DA4"/>
    <w:rsid w:val="00715271"/>
    <w:rsid w:val="007163FA"/>
    <w:rsid w:val="007206D8"/>
    <w:rsid w:val="00720D89"/>
    <w:rsid w:val="00721150"/>
    <w:rsid w:val="00721937"/>
    <w:rsid w:val="00721EF9"/>
    <w:rsid w:val="00722C32"/>
    <w:rsid w:val="00722FAA"/>
    <w:rsid w:val="0072344F"/>
    <w:rsid w:val="00723624"/>
    <w:rsid w:val="007238F9"/>
    <w:rsid w:val="00723B28"/>
    <w:rsid w:val="00723FA2"/>
    <w:rsid w:val="00725184"/>
    <w:rsid w:val="007254A5"/>
    <w:rsid w:val="0072600E"/>
    <w:rsid w:val="007261BA"/>
    <w:rsid w:val="00726BBF"/>
    <w:rsid w:val="00726F3F"/>
    <w:rsid w:val="0073020E"/>
    <w:rsid w:val="00730299"/>
    <w:rsid w:val="007304AF"/>
    <w:rsid w:val="00730A57"/>
    <w:rsid w:val="00731C12"/>
    <w:rsid w:val="00732EB0"/>
    <w:rsid w:val="0073335B"/>
    <w:rsid w:val="00733AF8"/>
    <w:rsid w:val="00733B81"/>
    <w:rsid w:val="007349F3"/>
    <w:rsid w:val="00735726"/>
    <w:rsid w:val="00735FCC"/>
    <w:rsid w:val="00735FE4"/>
    <w:rsid w:val="00736329"/>
    <w:rsid w:val="00736BFD"/>
    <w:rsid w:val="00736E9B"/>
    <w:rsid w:val="0073737F"/>
    <w:rsid w:val="0074054B"/>
    <w:rsid w:val="00740B27"/>
    <w:rsid w:val="007428BE"/>
    <w:rsid w:val="00742A5B"/>
    <w:rsid w:val="00742E16"/>
    <w:rsid w:val="00743F54"/>
    <w:rsid w:val="00744D68"/>
    <w:rsid w:val="00751AA9"/>
    <w:rsid w:val="007538F5"/>
    <w:rsid w:val="0075407A"/>
    <w:rsid w:val="00754BE3"/>
    <w:rsid w:val="007556C4"/>
    <w:rsid w:val="00755BF0"/>
    <w:rsid w:val="00756683"/>
    <w:rsid w:val="00756F91"/>
    <w:rsid w:val="007604FC"/>
    <w:rsid w:val="00761B97"/>
    <w:rsid w:val="00763D52"/>
    <w:rsid w:val="00764039"/>
    <w:rsid w:val="00764085"/>
    <w:rsid w:val="00764B2D"/>
    <w:rsid w:val="00764F7F"/>
    <w:rsid w:val="00765038"/>
    <w:rsid w:val="007653BB"/>
    <w:rsid w:val="007669A7"/>
    <w:rsid w:val="00766CC3"/>
    <w:rsid w:val="007705AE"/>
    <w:rsid w:val="00770CC1"/>
    <w:rsid w:val="007710CE"/>
    <w:rsid w:val="0077167E"/>
    <w:rsid w:val="007718FE"/>
    <w:rsid w:val="00771E09"/>
    <w:rsid w:val="00772A4D"/>
    <w:rsid w:val="00772CC1"/>
    <w:rsid w:val="0077320B"/>
    <w:rsid w:val="00773EB5"/>
    <w:rsid w:val="0077427B"/>
    <w:rsid w:val="00774612"/>
    <w:rsid w:val="0077518A"/>
    <w:rsid w:val="007751A9"/>
    <w:rsid w:val="0077536E"/>
    <w:rsid w:val="00775410"/>
    <w:rsid w:val="007760C2"/>
    <w:rsid w:val="00776509"/>
    <w:rsid w:val="00776BFF"/>
    <w:rsid w:val="00781449"/>
    <w:rsid w:val="00782F0F"/>
    <w:rsid w:val="00784A2A"/>
    <w:rsid w:val="00784D64"/>
    <w:rsid w:val="0078514D"/>
    <w:rsid w:val="007860F5"/>
    <w:rsid w:val="007863C0"/>
    <w:rsid w:val="0078683C"/>
    <w:rsid w:val="00786CE0"/>
    <w:rsid w:val="00786DAF"/>
    <w:rsid w:val="00790D6F"/>
    <w:rsid w:val="007911D9"/>
    <w:rsid w:val="00792C0B"/>
    <w:rsid w:val="00794A20"/>
    <w:rsid w:val="007978E0"/>
    <w:rsid w:val="00797CA1"/>
    <w:rsid w:val="00797CFE"/>
    <w:rsid w:val="007A089E"/>
    <w:rsid w:val="007A0B28"/>
    <w:rsid w:val="007A1925"/>
    <w:rsid w:val="007A1E10"/>
    <w:rsid w:val="007A2F06"/>
    <w:rsid w:val="007A3881"/>
    <w:rsid w:val="007A3940"/>
    <w:rsid w:val="007A407A"/>
    <w:rsid w:val="007A40ED"/>
    <w:rsid w:val="007A4144"/>
    <w:rsid w:val="007A4A0E"/>
    <w:rsid w:val="007A4B52"/>
    <w:rsid w:val="007A5629"/>
    <w:rsid w:val="007A57E6"/>
    <w:rsid w:val="007A6E6A"/>
    <w:rsid w:val="007A7B06"/>
    <w:rsid w:val="007B1587"/>
    <w:rsid w:val="007B17DE"/>
    <w:rsid w:val="007B2E04"/>
    <w:rsid w:val="007B35CE"/>
    <w:rsid w:val="007B45FD"/>
    <w:rsid w:val="007B6CDE"/>
    <w:rsid w:val="007B6EFA"/>
    <w:rsid w:val="007B7A06"/>
    <w:rsid w:val="007B7B5C"/>
    <w:rsid w:val="007B7EE2"/>
    <w:rsid w:val="007C103D"/>
    <w:rsid w:val="007C12BF"/>
    <w:rsid w:val="007C13B7"/>
    <w:rsid w:val="007C259B"/>
    <w:rsid w:val="007C2CE7"/>
    <w:rsid w:val="007C661E"/>
    <w:rsid w:val="007C6E36"/>
    <w:rsid w:val="007C73A8"/>
    <w:rsid w:val="007D00CE"/>
    <w:rsid w:val="007D01DB"/>
    <w:rsid w:val="007D0329"/>
    <w:rsid w:val="007D04C3"/>
    <w:rsid w:val="007D10EE"/>
    <w:rsid w:val="007D2071"/>
    <w:rsid w:val="007D6CA3"/>
    <w:rsid w:val="007D6E7C"/>
    <w:rsid w:val="007D751B"/>
    <w:rsid w:val="007E000E"/>
    <w:rsid w:val="007E00A3"/>
    <w:rsid w:val="007E0574"/>
    <w:rsid w:val="007E0B54"/>
    <w:rsid w:val="007E0F6D"/>
    <w:rsid w:val="007E2FF7"/>
    <w:rsid w:val="007E33B5"/>
    <w:rsid w:val="007E34AF"/>
    <w:rsid w:val="007E4390"/>
    <w:rsid w:val="007E4D17"/>
    <w:rsid w:val="007E5233"/>
    <w:rsid w:val="007E5572"/>
    <w:rsid w:val="007E5B76"/>
    <w:rsid w:val="007E6499"/>
    <w:rsid w:val="007F0316"/>
    <w:rsid w:val="007F1883"/>
    <w:rsid w:val="007F1990"/>
    <w:rsid w:val="007F253B"/>
    <w:rsid w:val="007F27CE"/>
    <w:rsid w:val="007F2A0F"/>
    <w:rsid w:val="007F2BB1"/>
    <w:rsid w:val="007F325E"/>
    <w:rsid w:val="007F3336"/>
    <w:rsid w:val="007F5B5C"/>
    <w:rsid w:val="007F6D2B"/>
    <w:rsid w:val="007F7020"/>
    <w:rsid w:val="007F72BC"/>
    <w:rsid w:val="007F7958"/>
    <w:rsid w:val="008004C2"/>
    <w:rsid w:val="0080055E"/>
    <w:rsid w:val="00802FB6"/>
    <w:rsid w:val="00803260"/>
    <w:rsid w:val="008044B8"/>
    <w:rsid w:val="008062AC"/>
    <w:rsid w:val="008064BC"/>
    <w:rsid w:val="008065CF"/>
    <w:rsid w:val="00806E45"/>
    <w:rsid w:val="0081132B"/>
    <w:rsid w:val="00811C28"/>
    <w:rsid w:val="0081211D"/>
    <w:rsid w:val="00812501"/>
    <w:rsid w:val="00812734"/>
    <w:rsid w:val="00813AC7"/>
    <w:rsid w:val="008142F2"/>
    <w:rsid w:val="00814657"/>
    <w:rsid w:val="00814EB0"/>
    <w:rsid w:val="00815166"/>
    <w:rsid w:val="0081575D"/>
    <w:rsid w:val="00815BDE"/>
    <w:rsid w:val="0081693D"/>
    <w:rsid w:val="008175EC"/>
    <w:rsid w:val="00817A2F"/>
    <w:rsid w:val="00820A1F"/>
    <w:rsid w:val="00820AC5"/>
    <w:rsid w:val="0082181C"/>
    <w:rsid w:val="00821C77"/>
    <w:rsid w:val="00823086"/>
    <w:rsid w:val="00823E0E"/>
    <w:rsid w:val="008243B7"/>
    <w:rsid w:val="008246AB"/>
    <w:rsid w:val="008247DC"/>
    <w:rsid w:val="008260B0"/>
    <w:rsid w:val="00826748"/>
    <w:rsid w:val="008269B4"/>
    <w:rsid w:val="00827345"/>
    <w:rsid w:val="0082759D"/>
    <w:rsid w:val="0083035C"/>
    <w:rsid w:val="00830B91"/>
    <w:rsid w:val="00831ADC"/>
    <w:rsid w:val="00831DE8"/>
    <w:rsid w:val="00832CAC"/>
    <w:rsid w:val="00833643"/>
    <w:rsid w:val="00834104"/>
    <w:rsid w:val="00834886"/>
    <w:rsid w:val="0083494C"/>
    <w:rsid w:val="00834B13"/>
    <w:rsid w:val="008350A1"/>
    <w:rsid w:val="008352BF"/>
    <w:rsid w:val="00835D6B"/>
    <w:rsid w:val="00835FDB"/>
    <w:rsid w:val="00836012"/>
    <w:rsid w:val="0083650A"/>
    <w:rsid w:val="0083685D"/>
    <w:rsid w:val="008371D2"/>
    <w:rsid w:val="00837871"/>
    <w:rsid w:val="0084184E"/>
    <w:rsid w:val="00841894"/>
    <w:rsid w:val="008421B6"/>
    <w:rsid w:val="00842A8C"/>
    <w:rsid w:val="00843762"/>
    <w:rsid w:val="00843BBE"/>
    <w:rsid w:val="00843F0F"/>
    <w:rsid w:val="00845030"/>
    <w:rsid w:val="00846368"/>
    <w:rsid w:val="008464E4"/>
    <w:rsid w:val="008478D0"/>
    <w:rsid w:val="00850B90"/>
    <w:rsid w:val="00850DB0"/>
    <w:rsid w:val="00851A76"/>
    <w:rsid w:val="00853137"/>
    <w:rsid w:val="008541BC"/>
    <w:rsid w:val="00854A12"/>
    <w:rsid w:val="008556EA"/>
    <w:rsid w:val="0085635A"/>
    <w:rsid w:val="00856E4C"/>
    <w:rsid w:val="0086079C"/>
    <w:rsid w:val="00860BEE"/>
    <w:rsid w:val="0086163D"/>
    <w:rsid w:val="00862030"/>
    <w:rsid w:val="008629F9"/>
    <w:rsid w:val="00862A1D"/>
    <w:rsid w:val="00863570"/>
    <w:rsid w:val="00863FEE"/>
    <w:rsid w:val="00864B96"/>
    <w:rsid w:val="00864FE0"/>
    <w:rsid w:val="008650F1"/>
    <w:rsid w:val="008654FF"/>
    <w:rsid w:val="00865505"/>
    <w:rsid w:val="00866062"/>
    <w:rsid w:val="00866321"/>
    <w:rsid w:val="00866588"/>
    <w:rsid w:val="00867140"/>
    <w:rsid w:val="00870F3D"/>
    <w:rsid w:val="0087214F"/>
    <w:rsid w:val="00872B24"/>
    <w:rsid w:val="0087339F"/>
    <w:rsid w:val="0087377B"/>
    <w:rsid w:val="008762B5"/>
    <w:rsid w:val="00877D76"/>
    <w:rsid w:val="00880018"/>
    <w:rsid w:val="008822EC"/>
    <w:rsid w:val="00883AA5"/>
    <w:rsid w:val="00884DA9"/>
    <w:rsid w:val="008852F6"/>
    <w:rsid w:val="00885657"/>
    <w:rsid w:val="0088578D"/>
    <w:rsid w:val="00885984"/>
    <w:rsid w:val="00886731"/>
    <w:rsid w:val="0088713E"/>
    <w:rsid w:val="00887630"/>
    <w:rsid w:val="00890A1E"/>
    <w:rsid w:val="00891051"/>
    <w:rsid w:val="00891069"/>
    <w:rsid w:val="008910FF"/>
    <w:rsid w:val="00891291"/>
    <w:rsid w:val="00892353"/>
    <w:rsid w:val="00892383"/>
    <w:rsid w:val="008923F7"/>
    <w:rsid w:val="00892A35"/>
    <w:rsid w:val="008938C6"/>
    <w:rsid w:val="00893924"/>
    <w:rsid w:val="00894303"/>
    <w:rsid w:val="00894664"/>
    <w:rsid w:val="00894823"/>
    <w:rsid w:val="00894A72"/>
    <w:rsid w:val="0089653F"/>
    <w:rsid w:val="008973CF"/>
    <w:rsid w:val="00897A18"/>
    <w:rsid w:val="008A0A24"/>
    <w:rsid w:val="008A1D7A"/>
    <w:rsid w:val="008A2746"/>
    <w:rsid w:val="008A351B"/>
    <w:rsid w:val="008A364C"/>
    <w:rsid w:val="008A3CF6"/>
    <w:rsid w:val="008A511C"/>
    <w:rsid w:val="008A5327"/>
    <w:rsid w:val="008A59F0"/>
    <w:rsid w:val="008A6405"/>
    <w:rsid w:val="008A7229"/>
    <w:rsid w:val="008A7512"/>
    <w:rsid w:val="008A7CAC"/>
    <w:rsid w:val="008B0288"/>
    <w:rsid w:val="008B029F"/>
    <w:rsid w:val="008B1155"/>
    <w:rsid w:val="008B2D54"/>
    <w:rsid w:val="008B4364"/>
    <w:rsid w:val="008B4B46"/>
    <w:rsid w:val="008B528A"/>
    <w:rsid w:val="008B5B23"/>
    <w:rsid w:val="008B741A"/>
    <w:rsid w:val="008B7A5B"/>
    <w:rsid w:val="008B7B3D"/>
    <w:rsid w:val="008C0F14"/>
    <w:rsid w:val="008C2165"/>
    <w:rsid w:val="008C2239"/>
    <w:rsid w:val="008C29D3"/>
    <w:rsid w:val="008C2E1A"/>
    <w:rsid w:val="008C3F10"/>
    <w:rsid w:val="008C4D5F"/>
    <w:rsid w:val="008C4E03"/>
    <w:rsid w:val="008C519E"/>
    <w:rsid w:val="008C579C"/>
    <w:rsid w:val="008C5BC1"/>
    <w:rsid w:val="008C6491"/>
    <w:rsid w:val="008C6C65"/>
    <w:rsid w:val="008D0764"/>
    <w:rsid w:val="008D0D76"/>
    <w:rsid w:val="008D0E3C"/>
    <w:rsid w:val="008D12FC"/>
    <w:rsid w:val="008D24AD"/>
    <w:rsid w:val="008D2C82"/>
    <w:rsid w:val="008D3478"/>
    <w:rsid w:val="008D4AA8"/>
    <w:rsid w:val="008D4E0D"/>
    <w:rsid w:val="008D530E"/>
    <w:rsid w:val="008E13C0"/>
    <w:rsid w:val="008E180D"/>
    <w:rsid w:val="008E1A41"/>
    <w:rsid w:val="008E26E3"/>
    <w:rsid w:val="008E270E"/>
    <w:rsid w:val="008E46F6"/>
    <w:rsid w:val="008E5CE7"/>
    <w:rsid w:val="008E709A"/>
    <w:rsid w:val="008E7560"/>
    <w:rsid w:val="008E7E3A"/>
    <w:rsid w:val="008F06A4"/>
    <w:rsid w:val="008F13CB"/>
    <w:rsid w:val="008F1EC3"/>
    <w:rsid w:val="008F2A7D"/>
    <w:rsid w:val="008F2CEA"/>
    <w:rsid w:val="008F3E1D"/>
    <w:rsid w:val="008F48B3"/>
    <w:rsid w:val="008F5226"/>
    <w:rsid w:val="008F5B29"/>
    <w:rsid w:val="00900088"/>
    <w:rsid w:val="00904075"/>
    <w:rsid w:val="00904E98"/>
    <w:rsid w:val="009052E0"/>
    <w:rsid w:val="00906070"/>
    <w:rsid w:val="009102E5"/>
    <w:rsid w:val="009105B4"/>
    <w:rsid w:val="0091094E"/>
    <w:rsid w:val="00910AEC"/>
    <w:rsid w:val="00910AF2"/>
    <w:rsid w:val="00910B78"/>
    <w:rsid w:val="00911121"/>
    <w:rsid w:val="00911E68"/>
    <w:rsid w:val="00912BE0"/>
    <w:rsid w:val="0091346C"/>
    <w:rsid w:val="00913E9C"/>
    <w:rsid w:val="00915610"/>
    <w:rsid w:val="00916BC0"/>
    <w:rsid w:val="00920D44"/>
    <w:rsid w:val="009217B3"/>
    <w:rsid w:val="00921DC8"/>
    <w:rsid w:val="00922AE0"/>
    <w:rsid w:val="009236C1"/>
    <w:rsid w:val="00924106"/>
    <w:rsid w:val="0092598F"/>
    <w:rsid w:val="00930C00"/>
    <w:rsid w:val="009310EA"/>
    <w:rsid w:val="009312C6"/>
    <w:rsid w:val="009313B2"/>
    <w:rsid w:val="009324B5"/>
    <w:rsid w:val="0093318A"/>
    <w:rsid w:val="00934580"/>
    <w:rsid w:val="00934A92"/>
    <w:rsid w:val="00936604"/>
    <w:rsid w:val="0093690B"/>
    <w:rsid w:val="00937208"/>
    <w:rsid w:val="00937595"/>
    <w:rsid w:val="00937742"/>
    <w:rsid w:val="009419AF"/>
    <w:rsid w:val="00941C0B"/>
    <w:rsid w:val="00942D09"/>
    <w:rsid w:val="009442B3"/>
    <w:rsid w:val="00944463"/>
    <w:rsid w:val="009446AC"/>
    <w:rsid w:val="00945182"/>
    <w:rsid w:val="0094590A"/>
    <w:rsid w:val="00950F46"/>
    <w:rsid w:val="009516B8"/>
    <w:rsid w:val="00952444"/>
    <w:rsid w:val="00953A18"/>
    <w:rsid w:val="009558B4"/>
    <w:rsid w:val="00955B1A"/>
    <w:rsid w:val="00955F37"/>
    <w:rsid w:val="00956654"/>
    <w:rsid w:val="00956A17"/>
    <w:rsid w:val="00956C66"/>
    <w:rsid w:val="00957D42"/>
    <w:rsid w:val="00960D53"/>
    <w:rsid w:val="009619CA"/>
    <w:rsid w:val="00961FCC"/>
    <w:rsid w:val="0096208A"/>
    <w:rsid w:val="00962B2C"/>
    <w:rsid w:val="0096355F"/>
    <w:rsid w:val="009638D4"/>
    <w:rsid w:val="00963CD4"/>
    <w:rsid w:val="009644B5"/>
    <w:rsid w:val="00965F58"/>
    <w:rsid w:val="00966E32"/>
    <w:rsid w:val="00966F07"/>
    <w:rsid w:val="009670E9"/>
    <w:rsid w:val="009704B7"/>
    <w:rsid w:val="009718C9"/>
    <w:rsid w:val="00971D27"/>
    <w:rsid w:val="0097392D"/>
    <w:rsid w:val="0097428E"/>
    <w:rsid w:val="009754F4"/>
    <w:rsid w:val="00975D96"/>
    <w:rsid w:val="009761D8"/>
    <w:rsid w:val="00981DF0"/>
    <w:rsid w:val="00982542"/>
    <w:rsid w:val="00985080"/>
    <w:rsid w:val="00987872"/>
    <w:rsid w:val="00990EC5"/>
    <w:rsid w:val="00991531"/>
    <w:rsid w:val="00992544"/>
    <w:rsid w:val="009925E7"/>
    <w:rsid w:val="00994452"/>
    <w:rsid w:val="00994C4B"/>
    <w:rsid w:val="0099597E"/>
    <w:rsid w:val="009966EF"/>
    <w:rsid w:val="009A0671"/>
    <w:rsid w:val="009A0BE7"/>
    <w:rsid w:val="009A0F9D"/>
    <w:rsid w:val="009A1296"/>
    <w:rsid w:val="009A133C"/>
    <w:rsid w:val="009A1892"/>
    <w:rsid w:val="009A261F"/>
    <w:rsid w:val="009A2684"/>
    <w:rsid w:val="009A2F68"/>
    <w:rsid w:val="009A4C5D"/>
    <w:rsid w:val="009A4DAA"/>
    <w:rsid w:val="009A4F5E"/>
    <w:rsid w:val="009A54C0"/>
    <w:rsid w:val="009A58B9"/>
    <w:rsid w:val="009A6D31"/>
    <w:rsid w:val="009A7024"/>
    <w:rsid w:val="009A76E4"/>
    <w:rsid w:val="009A7C7F"/>
    <w:rsid w:val="009B043C"/>
    <w:rsid w:val="009B09F6"/>
    <w:rsid w:val="009B2ACA"/>
    <w:rsid w:val="009B45BA"/>
    <w:rsid w:val="009B56AF"/>
    <w:rsid w:val="009B6E73"/>
    <w:rsid w:val="009B7F3A"/>
    <w:rsid w:val="009C0409"/>
    <w:rsid w:val="009C05AE"/>
    <w:rsid w:val="009C17FC"/>
    <w:rsid w:val="009C1CB7"/>
    <w:rsid w:val="009C5510"/>
    <w:rsid w:val="009C55B8"/>
    <w:rsid w:val="009C584C"/>
    <w:rsid w:val="009C728B"/>
    <w:rsid w:val="009C73F7"/>
    <w:rsid w:val="009C7B48"/>
    <w:rsid w:val="009C7F54"/>
    <w:rsid w:val="009D0AC7"/>
    <w:rsid w:val="009D2DA6"/>
    <w:rsid w:val="009D2F53"/>
    <w:rsid w:val="009D3224"/>
    <w:rsid w:val="009D397C"/>
    <w:rsid w:val="009D4E0F"/>
    <w:rsid w:val="009D4F64"/>
    <w:rsid w:val="009D587C"/>
    <w:rsid w:val="009D6CB8"/>
    <w:rsid w:val="009D70CF"/>
    <w:rsid w:val="009D7370"/>
    <w:rsid w:val="009D7E77"/>
    <w:rsid w:val="009E0AF2"/>
    <w:rsid w:val="009E1742"/>
    <w:rsid w:val="009E1A30"/>
    <w:rsid w:val="009E323F"/>
    <w:rsid w:val="009E3BB2"/>
    <w:rsid w:val="009E5001"/>
    <w:rsid w:val="009E6922"/>
    <w:rsid w:val="009E6FF3"/>
    <w:rsid w:val="009F004B"/>
    <w:rsid w:val="009F0A30"/>
    <w:rsid w:val="009F0B3E"/>
    <w:rsid w:val="009F0D65"/>
    <w:rsid w:val="009F0EA9"/>
    <w:rsid w:val="009F2026"/>
    <w:rsid w:val="009F217C"/>
    <w:rsid w:val="009F6E4D"/>
    <w:rsid w:val="009F7686"/>
    <w:rsid w:val="009F7AB3"/>
    <w:rsid w:val="00A00D2F"/>
    <w:rsid w:val="00A01770"/>
    <w:rsid w:val="00A01DCD"/>
    <w:rsid w:val="00A03053"/>
    <w:rsid w:val="00A03F61"/>
    <w:rsid w:val="00A04B89"/>
    <w:rsid w:val="00A05612"/>
    <w:rsid w:val="00A06C92"/>
    <w:rsid w:val="00A1158F"/>
    <w:rsid w:val="00A11A60"/>
    <w:rsid w:val="00A12056"/>
    <w:rsid w:val="00A133B8"/>
    <w:rsid w:val="00A135F7"/>
    <w:rsid w:val="00A1541F"/>
    <w:rsid w:val="00A155B7"/>
    <w:rsid w:val="00A16633"/>
    <w:rsid w:val="00A176FD"/>
    <w:rsid w:val="00A254F0"/>
    <w:rsid w:val="00A25A5D"/>
    <w:rsid w:val="00A26495"/>
    <w:rsid w:val="00A264A3"/>
    <w:rsid w:val="00A277E3"/>
    <w:rsid w:val="00A30084"/>
    <w:rsid w:val="00A3022F"/>
    <w:rsid w:val="00A31472"/>
    <w:rsid w:val="00A3190A"/>
    <w:rsid w:val="00A31F78"/>
    <w:rsid w:val="00A33749"/>
    <w:rsid w:val="00A347FF"/>
    <w:rsid w:val="00A36519"/>
    <w:rsid w:val="00A36B74"/>
    <w:rsid w:val="00A37433"/>
    <w:rsid w:val="00A40ABE"/>
    <w:rsid w:val="00A41456"/>
    <w:rsid w:val="00A4225E"/>
    <w:rsid w:val="00A43080"/>
    <w:rsid w:val="00A430F9"/>
    <w:rsid w:val="00A43290"/>
    <w:rsid w:val="00A51251"/>
    <w:rsid w:val="00A51728"/>
    <w:rsid w:val="00A51817"/>
    <w:rsid w:val="00A52040"/>
    <w:rsid w:val="00A5262E"/>
    <w:rsid w:val="00A53701"/>
    <w:rsid w:val="00A54760"/>
    <w:rsid w:val="00A54D1C"/>
    <w:rsid w:val="00A56D84"/>
    <w:rsid w:val="00A57958"/>
    <w:rsid w:val="00A6098D"/>
    <w:rsid w:val="00A60C43"/>
    <w:rsid w:val="00A6115D"/>
    <w:rsid w:val="00A625F5"/>
    <w:rsid w:val="00A62A19"/>
    <w:rsid w:val="00A63E7A"/>
    <w:rsid w:val="00A64703"/>
    <w:rsid w:val="00A65969"/>
    <w:rsid w:val="00A66013"/>
    <w:rsid w:val="00A66B54"/>
    <w:rsid w:val="00A701D6"/>
    <w:rsid w:val="00A7134F"/>
    <w:rsid w:val="00A76A79"/>
    <w:rsid w:val="00A76BBE"/>
    <w:rsid w:val="00A77DB3"/>
    <w:rsid w:val="00A77EBC"/>
    <w:rsid w:val="00A81660"/>
    <w:rsid w:val="00A81A29"/>
    <w:rsid w:val="00A82016"/>
    <w:rsid w:val="00A8228E"/>
    <w:rsid w:val="00A82981"/>
    <w:rsid w:val="00A82A9F"/>
    <w:rsid w:val="00A83998"/>
    <w:rsid w:val="00A849AA"/>
    <w:rsid w:val="00A84ED0"/>
    <w:rsid w:val="00A853EE"/>
    <w:rsid w:val="00A8622D"/>
    <w:rsid w:val="00A8689C"/>
    <w:rsid w:val="00A873C4"/>
    <w:rsid w:val="00A87799"/>
    <w:rsid w:val="00A906AD"/>
    <w:rsid w:val="00A91BA2"/>
    <w:rsid w:val="00A9268C"/>
    <w:rsid w:val="00A92B07"/>
    <w:rsid w:val="00A92D6D"/>
    <w:rsid w:val="00A93558"/>
    <w:rsid w:val="00A957C4"/>
    <w:rsid w:val="00A95E06"/>
    <w:rsid w:val="00A9615D"/>
    <w:rsid w:val="00A9682D"/>
    <w:rsid w:val="00AA084B"/>
    <w:rsid w:val="00AA12AA"/>
    <w:rsid w:val="00AA1312"/>
    <w:rsid w:val="00AA1FD9"/>
    <w:rsid w:val="00AA2678"/>
    <w:rsid w:val="00AA2CCB"/>
    <w:rsid w:val="00AA3878"/>
    <w:rsid w:val="00AA391B"/>
    <w:rsid w:val="00AA43BE"/>
    <w:rsid w:val="00AA4640"/>
    <w:rsid w:val="00AA59B7"/>
    <w:rsid w:val="00AA5FF4"/>
    <w:rsid w:val="00AA6FA8"/>
    <w:rsid w:val="00AA7857"/>
    <w:rsid w:val="00AA78CD"/>
    <w:rsid w:val="00AA78EA"/>
    <w:rsid w:val="00AA7A9C"/>
    <w:rsid w:val="00AB0C10"/>
    <w:rsid w:val="00AB1947"/>
    <w:rsid w:val="00AB37D4"/>
    <w:rsid w:val="00AB3C48"/>
    <w:rsid w:val="00AB549C"/>
    <w:rsid w:val="00AB58C1"/>
    <w:rsid w:val="00AB5D51"/>
    <w:rsid w:val="00AB62BB"/>
    <w:rsid w:val="00AB737F"/>
    <w:rsid w:val="00AB7721"/>
    <w:rsid w:val="00AC0459"/>
    <w:rsid w:val="00AC0EAB"/>
    <w:rsid w:val="00AC0F32"/>
    <w:rsid w:val="00AC2C49"/>
    <w:rsid w:val="00AC3F5A"/>
    <w:rsid w:val="00AC41C4"/>
    <w:rsid w:val="00AC41F8"/>
    <w:rsid w:val="00AC4257"/>
    <w:rsid w:val="00AC4E07"/>
    <w:rsid w:val="00AC5166"/>
    <w:rsid w:val="00AC5D92"/>
    <w:rsid w:val="00AC6104"/>
    <w:rsid w:val="00AC668C"/>
    <w:rsid w:val="00AC7837"/>
    <w:rsid w:val="00AD12DB"/>
    <w:rsid w:val="00AD1B4D"/>
    <w:rsid w:val="00AD1C67"/>
    <w:rsid w:val="00AD1D1B"/>
    <w:rsid w:val="00AD265A"/>
    <w:rsid w:val="00AD2EC0"/>
    <w:rsid w:val="00AD3698"/>
    <w:rsid w:val="00AD4158"/>
    <w:rsid w:val="00AD416F"/>
    <w:rsid w:val="00AD578B"/>
    <w:rsid w:val="00AD59E9"/>
    <w:rsid w:val="00AD5B19"/>
    <w:rsid w:val="00AD5B3F"/>
    <w:rsid w:val="00AD6A60"/>
    <w:rsid w:val="00AD79C0"/>
    <w:rsid w:val="00AE069C"/>
    <w:rsid w:val="00AE10BC"/>
    <w:rsid w:val="00AE1125"/>
    <w:rsid w:val="00AE2CC1"/>
    <w:rsid w:val="00AE3576"/>
    <w:rsid w:val="00AE3CB8"/>
    <w:rsid w:val="00AE5BE9"/>
    <w:rsid w:val="00AE6AAB"/>
    <w:rsid w:val="00AE76C4"/>
    <w:rsid w:val="00AE77A3"/>
    <w:rsid w:val="00AE78DE"/>
    <w:rsid w:val="00AE7FB8"/>
    <w:rsid w:val="00AF003A"/>
    <w:rsid w:val="00AF0517"/>
    <w:rsid w:val="00AF0EAC"/>
    <w:rsid w:val="00AF1B20"/>
    <w:rsid w:val="00AF1CFE"/>
    <w:rsid w:val="00AF22FF"/>
    <w:rsid w:val="00AF29E4"/>
    <w:rsid w:val="00AF322E"/>
    <w:rsid w:val="00AF3FD5"/>
    <w:rsid w:val="00AF58C5"/>
    <w:rsid w:val="00AF672F"/>
    <w:rsid w:val="00AF682F"/>
    <w:rsid w:val="00AF6B62"/>
    <w:rsid w:val="00AF7EA9"/>
    <w:rsid w:val="00B01040"/>
    <w:rsid w:val="00B02444"/>
    <w:rsid w:val="00B02C7D"/>
    <w:rsid w:val="00B02DC4"/>
    <w:rsid w:val="00B0471E"/>
    <w:rsid w:val="00B059C1"/>
    <w:rsid w:val="00B05B13"/>
    <w:rsid w:val="00B05B55"/>
    <w:rsid w:val="00B064B6"/>
    <w:rsid w:val="00B076D2"/>
    <w:rsid w:val="00B078E1"/>
    <w:rsid w:val="00B10A06"/>
    <w:rsid w:val="00B10FF7"/>
    <w:rsid w:val="00B12119"/>
    <w:rsid w:val="00B131CD"/>
    <w:rsid w:val="00B14546"/>
    <w:rsid w:val="00B14D81"/>
    <w:rsid w:val="00B152C4"/>
    <w:rsid w:val="00B17C74"/>
    <w:rsid w:val="00B20319"/>
    <w:rsid w:val="00B20BBA"/>
    <w:rsid w:val="00B21582"/>
    <w:rsid w:val="00B21622"/>
    <w:rsid w:val="00B21DA8"/>
    <w:rsid w:val="00B234F8"/>
    <w:rsid w:val="00B23540"/>
    <w:rsid w:val="00B240D6"/>
    <w:rsid w:val="00B2477C"/>
    <w:rsid w:val="00B248B9"/>
    <w:rsid w:val="00B253F0"/>
    <w:rsid w:val="00B25A15"/>
    <w:rsid w:val="00B2624A"/>
    <w:rsid w:val="00B277E5"/>
    <w:rsid w:val="00B300F1"/>
    <w:rsid w:val="00B30687"/>
    <w:rsid w:val="00B31163"/>
    <w:rsid w:val="00B33A02"/>
    <w:rsid w:val="00B34331"/>
    <w:rsid w:val="00B34ADE"/>
    <w:rsid w:val="00B35C1F"/>
    <w:rsid w:val="00B37B05"/>
    <w:rsid w:val="00B414C6"/>
    <w:rsid w:val="00B4196D"/>
    <w:rsid w:val="00B429F2"/>
    <w:rsid w:val="00B42B83"/>
    <w:rsid w:val="00B43448"/>
    <w:rsid w:val="00B449B5"/>
    <w:rsid w:val="00B45584"/>
    <w:rsid w:val="00B46245"/>
    <w:rsid w:val="00B46949"/>
    <w:rsid w:val="00B470D7"/>
    <w:rsid w:val="00B476C5"/>
    <w:rsid w:val="00B47C8B"/>
    <w:rsid w:val="00B51D0B"/>
    <w:rsid w:val="00B5238E"/>
    <w:rsid w:val="00B544A2"/>
    <w:rsid w:val="00B54D78"/>
    <w:rsid w:val="00B5559E"/>
    <w:rsid w:val="00B556D2"/>
    <w:rsid w:val="00B5592B"/>
    <w:rsid w:val="00B55C3E"/>
    <w:rsid w:val="00B56992"/>
    <w:rsid w:val="00B56DC2"/>
    <w:rsid w:val="00B56FF7"/>
    <w:rsid w:val="00B57473"/>
    <w:rsid w:val="00B61091"/>
    <w:rsid w:val="00B61A46"/>
    <w:rsid w:val="00B620B3"/>
    <w:rsid w:val="00B62437"/>
    <w:rsid w:val="00B62994"/>
    <w:rsid w:val="00B62AC7"/>
    <w:rsid w:val="00B62E45"/>
    <w:rsid w:val="00B636E1"/>
    <w:rsid w:val="00B63D8C"/>
    <w:rsid w:val="00B64039"/>
    <w:rsid w:val="00B64992"/>
    <w:rsid w:val="00B64BE3"/>
    <w:rsid w:val="00B6564F"/>
    <w:rsid w:val="00B66356"/>
    <w:rsid w:val="00B666AE"/>
    <w:rsid w:val="00B70297"/>
    <w:rsid w:val="00B705D3"/>
    <w:rsid w:val="00B711C0"/>
    <w:rsid w:val="00B7130E"/>
    <w:rsid w:val="00B72618"/>
    <w:rsid w:val="00B729DC"/>
    <w:rsid w:val="00B736F4"/>
    <w:rsid w:val="00B7427F"/>
    <w:rsid w:val="00B74F68"/>
    <w:rsid w:val="00B75C74"/>
    <w:rsid w:val="00B75CCC"/>
    <w:rsid w:val="00B76033"/>
    <w:rsid w:val="00B7604B"/>
    <w:rsid w:val="00B77397"/>
    <w:rsid w:val="00B77994"/>
    <w:rsid w:val="00B80675"/>
    <w:rsid w:val="00B81CF6"/>
    <w:rsid w:val="00B82751"/>
    <w:rsid w:val="00B83267"/>
    <w:rsid w:val="00B8348E"/>
    <w:rsid w:val="00B835CE"/>
    <w:rsid w:val="00B84785"/>
    <w:rsid w:val="00B84F98"/>
    <w:rsid w:val="00B853B2"/>
    <w:rsid w:val="00B86B93"/>
    <w:rsid w:val="00B86E66"/>
    <w:rsid w:val="00B878BA"/>
    <w:rsid w:val="00B87D89"/>
    <w:rsid w:val="00B915B9"/>
    <w:rsid w:val="00B91815"/>
    <w:rsid w:val="00B91F21"/>
    <w:rsid w:val="00B9299B"/>
    <w:rsid w:val="00B92D85"/>
    <w:rsid w:val="00B93FBC"/>
    <w:rsid w:val="00B94273"/>
    <w:rsid w:val="00B9712A"/>
    <w:rsid w:val="00B97F7B"/>
    <w:rsid w:val="00BA34A9"/>
    <w:rsid w:val="00BA39D9"/>
    <w:rsid w:val="00BA3A31"/>
    <w:rsid w:val="00BA4D69"/>
    <w:rsid w:val="00BA5CD3"/>
    <w:rsid w:val="00BA5D30"/>
    <w:rsid w:val="00BA65D7"/>
    <w:rsid w:val="00BA7079"/>
    <w:rsid w:val="00BA73E4"/>
    <w:rsid w:val="00BA77CB"/>
    <w:rsid w:val="00BA798F"/>
    <w:rsid w:val="00BA7B12"/>
    <w:rsid w:val="00BB05CF"/>
    <w:rsid w:val="00BB122F"/>
    <w:rsid w:val="00BB1466"/>
    <w:rsid w:val="00BB2627"/>
    <w:rsid w:val="00BB3DDC"/>
    <w:rsid w:val="00BB5016"/>
    <w:rsid w:val="00BB53AC"/>
    <w:rsid w:val="00BB69B7"/>
    <w:rsid w:val="00BB6C33"/>
    <w:rsid w:val="00BC04D3"/>
    <w:rsid w:val="00BC0DFB"/>
    <w:rsid w:val="00BC144C"/>
    <w:rsid w:val="00BC16AF"/>
    <w:rsid w:val="00BC1936"/>
    <w:rsid w:val="00BC1B2A"/>
    <w:rsid w:val="00BC3324"/>
    <w:rsid w:val="00BC5581"/>
    <w:rsid w:val="00BC59B5"/>
    <w:rsid w:val="00BC609F"/>
    <w:rsid w:val="00BC6E1E"/>
    <w:rsid w:val="00BC733E"/>
    <w:rsid w:val="00BC7BDE"/>
    <w:rsid w:val="00BC7BE3"/>
    <w:rsid w:val="00BD1806"/>
    <w:rsid w:val="00BD39FD"/>
    <w:rsid w:val="00BD3CDF"/>
    <w:rsid w:val="00BD454C"/>
    <w:rsid w:val="00BD4ED6"/>
    <w:rsid w:val="00BD6489"/>
    <w:rsid w:val="00BD7624"/>
    <w:rsid w:val="00BE006C"/>
    <w:rsid w:val="00BE2E05"/>
    <w:rsid w:val="00BE3FBA"/>
    <w:rsid w:val="00BE501B"/>
    <w:rsid w:val="00BE6B82"/>
    <w:rsid w:val="00BE6E1D"/>
    <w:rsid w:val="00BE7A9B"/>
    <w:rsid w:val="00BE7F81"/>
    <w:rsid w:val="00BF1B53"/>
    <w:rsid w:val="00BF2AE7"/>
    <w:rsid w:val="00BF33BE"/>
    <w:rsid w:val="00BF37AF"/>
    <w:rsid w:val="00BF393D"/>
    <w:rsid w:val="00BF3BF1"/>
    <w:rsid w:val="00BF46BA"/>
    <w:rsid w:val="00BF492B"/>
    <w:rsid w:val="00BF5264"/>
    <w:rsid w:val="00BF6F64"/>
    <w:rsid w:val="00C00B53"/>
    <w:rsid w:val="00C01332"/>
    <w:rsid w:val="00C0472D"/>
    <w:rsid w:val="00C0524E"/>
    <w:rsid w:val="00C066E7"/>
    <w:rsid w:val="00C06F59"/>
    <w:rsid w:val="00C07BDB"/>
    <w:rsid w:val="00C115C7"/>
    <w:rsid w:val="00C128E5"/>
    <w:rsid w:val="00C1354F"/>
    <w:rsid w:val="00C13AE3"/>
    <w:rsid w:val="00C13E92"/>
    <w:rsid w:val="00C13EF5"/>
    <w:rsid w:val="00C14BFA"/>
    <w:rsid w:val="00C15D27"/>
    <w:rsid w:val="00C16902"/>
    <w:rsid w:val="00C21AC8"/>
    <w:rsid w:val="00C22474"/>
    <w:rsid w:val="00C245C7"/>
    <w:rsid w:val="00C247F8"/>
    <w:rsid w:val="00C250B6"/>
    <w:rsid w:val="00C252F9"/>
    <w:rsid w:val="00C253FE"/>
    <w:rsid w:val="00C2586F"/>
    <w:rsid w:val="00C25C16"/>
    <w:rsid w:val="00C26CE9"/>
    <w:rsid w:val="00C26D4A"/>
    <w:rsid w:val="00C26E5A"/>
    <w:rsid w:val="00C26FC1"/>
    <w:rsid w:val="00C2767D"/>
    <w:rsid w:val="00C27CAA"/>
    <w:rsid w:val="00C30C59"/>
    <w:rsid w:val="00C30DE4"/>
    <w:rsid w:val="00C31B64"/>
    <w:rsid w:val="00C31C35"/>
    <w:rsid w:val="00C31F77"/>
    <w:rsid w:val="00C31FA6"/>
    <w:rsid w:val="00C32ADB"/>
    <w:rsid w:val="00C32F09"/>
    <w:rsid w:val="00C34240"/>
    <w:rsid w:val="00C34EAC"/>
    <w:rsid w:val="00C35267"/>
    <w:rsid w:val="00C3538A"/>
    <w:rsid w:val="00C356C7"/>
    <w:rsid w:val="00C362E8"/>
    <w:rsid w:val="00C3705C"/>
    <w:rsid w:val="00C37242"/>
    <w:rsid w:val="00C37AE6"/>
    <w:rsid w:val="00C41057"/>
    <w:rsid w:val="00C41599"/>
    <w:rsid w:val="00C42026"/>
    <w:rsid w:val="00C42733"/>
    <w:rsid w:val="00C427D0"/>
    <w:rsid w:val="00C42AE8"/>
    <w:rsid w:val="00C435F7"/>
    <w:rsid w:val="00C44FC2"/>
    <w:rsid w:val="00C50A05"/>
    <w:rsid w:val="00C50C12"/>
    <w:rsid w:val="00C50DAA"/>
    <w:rsid w:val="00C51A9A"/>
    <w:rsid w:val="00C52931"/>
    <w:rsid w:val="00C530BF"/>
    <w:rsid w:val="00C54A9E"/>
    <w:rsid w:val="00C556CA"/>
    <w:rsid w:val="00C55F62"/>
    <w:rsid w:val="00C56635"/>
    <w:rsid w:val="00C57CA7"/>
    <w:rsid w:val="00C605E1"/>
    <w:rsid w:val="00C61065"/>
    <w:rsid w:val="00C61988"/>
    <w:rsid w:val="00C62226"/>
    <w:rsid w:val="00C62841"/>
    <w:rsid w:val="00C64152"/>
    <w:rsid w:val="00C64CB2"/>
    <w:rsid w:val="00C65F74"/>
    <w:rsid w:val="00C65FEC"/>
    <w:rsid w:val="00C66B31"/>
    <w:rsid w:val="00C67DD3"/>
    <w:rsid w:val="00C67E17"/>
    <w:rsid w:val="00C700C7"/>
    <w:rsid w:val="00C72665"/>
    <w:rsid w:val="00C74214"/>
    <w:rsid w:val="00C744DA"/>
    <w:rsid w:val="00C759C9"/>
    <w:rsid w:val="00C80036"/>
    <w:rsid w:val="00C80445"/>
    <w:rsid w:val="00C81BC4"/>
    <w:rsid w:val="00C82A9D"/>
    <w:rsid w:val="00C83217"/>
    <w:rsid w:val="00C851FA"/>
    <w:rsid w:val="00C8549F"/>
    <w:rsid w:val="00C85B8D"/>
    <w:rsid w:val="00C86052"/>
    <w:rsid w:val="00C8643E"/>
    <w:rsid w:val="00C920FF"/>
    <w:rsid w:val="00C921D8"/>
    <w:rsid w:val="00C929CF"/>
    <w:rsid w:val="00C92D62"/>
    <w:rsid w:val="00C943FE"/>
    <w:rsid w:val="00C94A5F"/>
    <w:rsid w:val="00C95506"/>
    <w:rsid w:val="00C9566B"/>
    <w:rsid w:val="00C9574D"/>
    <w:rsid w:val="00C96A58"/>
    <w:rsid w:val="00CA16AB"/>
    <w:rsid w:val="00CA3157"/>
    <w:rsid w:val="00CA3F69"/>
    <w:rsid w:val="00CA3F7A"/>
    <w:rsid w:val="00CA3F98"/>
    <w:rsid w:val="00CA4A87"/>
    <w:rsid w:val="00CA5AEA"/>
    <w:rsid w:val="00CA60D2"/>
    <w:rsid w:val="00CA69B4"/>
    <w:rsid w:val="00CA761A"/>
    <w:rsid w:val="00CB0DF5"/>
    <w:rsid w:val="00CB15B0"/>
    <w:rsid w:val="00CB2D24"/>
    <w:rsid w:val="00CB3089"/>
    <w:rsid w:val="00CB3ED2"/>
    <w:rsid w:val="00CB4C1C"/>
    <w:rsid w:val="00CB5415"/>
    <w:rsid w:val="00CB57D7"/>
    <w:rsid w:val="00CB6EE1"/>
    <w:rsid w:val="00CC0CE2"/>
    <w:rsid w:val="00CC118E"/>
    <w:rsid w:val="00CC1590"/>
    <w:rsid w:val="00CC1C4B"/>
    <w:rsid w:val="00CC3521"/>
    <w:rsid w:val="00CC36DB"/>
    <w:rsid w:val="00CC3DDA"/>
    <w:rsid w:val="00CC4C8A"/>
    <w:rsid w:val="00CC59C4"/>
    <w:rsid w:val="00CC5C18"/>
    <w:rsid w:val="00CC5EFE"/>
    <w:rsid w:val="00CC6C51"/>
    <w:rsid w:val="00CC6F78"/>
    <w:rsid w:val="00CD021B"/>
    <w:rsid w:val="00CD0956"/>
    <w:rsid w:val="00CD102D"/>
    <w:rsid w:val="00CD2129"/>
    <w:rsid w:val="00CD37F3"/>
    <w:rsid w:val="00CD3C4E"/>
    <w:rsid w:val="00CD3FA5"/>
    <w:rsid w:val="00CD4113"/>
    <w:rsid w:val="00CD435E"/>
    <w:rsid w:val="00CD496B"/>
    <w:rsid w:val="00CD5179"/>
    <w:rsid w:val="00CD5A5E"/>
    <w:rsid w:val="00CD7193"/>
    <w:rsid w:val="00CD7898"/>
    <w:rsid w:val="00CE0B1B"/>
    <w:rsid w:val="00CE153C"/>
    <w:rsid w:val="00CE1980"/>
    <w:rsid w:val="00CE2E9D"/>
    <w:rsid w:val="00CE414C"/>
    <w:rsid w:val="00CE5063"/>
    <w:rsid w:val="00CE51E0"/>
    <w:rsid w:val="00CE6C31"/>
    <w:rsid w:val="00CE6DB7"/>
    <w:rsid w:val="00CE7A24"/>
    <w:rsid w:val="00CF115B"/>
    <w:rsid w:val="00CF1862"/>
    <w:rsid w:val="00CF208C"/>
    <w:rsid w:val="00CF2358"/>
    <w:rsid w:val="00CF3673"/>
    <w:rsid w:val="00CF3C78"/>
    <w:rsid w:val="00CF3DF3"/>
    <w:rsid w:val="00CF4D24"/>
    <w:rsid w:val="00CF5C82"/>
    <w:rsid w:val="00CF5EC3"/>
    <w:rsid w:val="00CF641E"/>
    <w:rsid w:val="00CF661C"/>
    <w:rsid w:val="00CF6B7D"/>
    <w:rsid w:val="00CF7F97"/>
    <w:rsid w:val="00CF7FEE"/>
    <w:rsid w:val="00D01947"/>
    <w:rsid w:val="00D01BBF"/>
    <w:rsid w:val="00D04F33"/>
    <w:rsid w:val="00D06A4D"/>
    <w:rsid w:val="00D0702E"/>
    <w:rsid w:val="00D10B0C"/>
    <w:rsid w:val="00D112EA"/>
    <w:rsid w:val="00D134D8"/>
    <w:rsid w:val="00D13647"/>
    <w:rsid w:val="00D15019"/>
    <w:rsid w:val="00D15485"/>
    <w:rsid w:val="00D15F26"/>
    <w:rsid w:val="00D16968"/>
    <w:rsid w:val="00D16B89"/>
    <w:rsid w:val="00D1782B"/>
    <w:rsid w:val="00D20B45"/>
    <w:rsid w:val="00D22CC1"/>
    <w:rsid w:val="00D2383F"/>
    <w:rsid w:val="00D23E32"/>
    <w:rsid w:val="00D240DC"/>
    <w:rsid w:val="00D24206"/>
    <w:rsid w:val="00D2497D"/>
    <w:rsid w:val="00D255AB"/>
    <w:rsid w:val="00D260FF"/>
    <w:rsid w:val="00D26AA8"/>
    <w:rsid w:val="00D26EF5"/>
    <w:rsid w:val="00D26F7B"/>
    <w:rsid w:val="00D30D45"/>
    <w:rsid w:val="00D3113C"/>
    <w:rsid w:val="00D34F84"/>
    <w:rsid w:val="00D365F2"/>
    <w:rsid w:val="00D36908"/>
    <w:rsid w:val="00D3722E"/>
    <w:rsid w:val="00D41A26"/>
    <w:rsid w:val="00D41B2E"/>
    <w:rsid w:val="00D41DAE"/>
    <w:rsid w:val="00D42CEC"/>
    <w:rsid w:val="00D43143"/>
    <w:rsid w:val="00D43FFC"/>
    <w:rsid w:val="00D44EA7"/>
    <w:rsid w:val="00D4537A"/>
    <w:rsid w:val="00D474D7"/>
    <w:rsid w:val="00D476BD"/>
    <w:rsid w:val="00D476DE"/>
    <w:rsid w:val="00D477E7"/>
    <w:rsid w:val="00D47F3E"/>
    <w:rsid w:val="00D50779"/>
    <w:rsid w:val="00D50B87"/>
    <w:rsid w:val="00D519D0"/>
    <w:rsid w:val="00D51F6A"/>
    <w:rsid w:val="00D544AC"/>
    <w:rsid w:val="00D544B2"/>
    <w:rsid w:val="00D54E49"/>
    <w:rsid w:val="00D55454"/>
    <w:rsid w:val="00D5558C"/>
    <w:rsid w:val="00D557AD"/>
    <w:rsid w:val="00D5715D"/>
    <w:rsid w:val="00D60693"/>
    <w:rsid w:val="00D61A9C"/>
    <w:rsid w:val="00D6209F"/>
    <w:rsid w:val="00D63DB4"/>
    <w:rsid w:val="00D64CD3"/>
    <w:rsid w:val="00D65685"/>
    <w:rsid w:val="00D66970"/>
    <w:rsid w:val="00D66EDC"/>
    <w:rsid w:val="00D671C2"/>
    <w:rsid w:val="00D67455"/>
    <w:rsid w:val="00D7173A"/>
    <w:rsid w:val="00D7220B"/>
    <w:rsid w:val="00D72D54"/>
    <w:rsid w:val="00D7380E"/>
    <w:rsid w:val="00D73936"/>
    <w:rsid w:val="00D740BA"/>
    <w:rsid w:val="00D742E8"/>
    <w:rsid w:val="00D744D8"/>
    <w:rsid w:val="00D74B89"/>
    <w:rsid w:val="00D75112"/>
    <w:rsid w:val="00D754A1"/>
    <w:rsid w:val="00D76AEA"/>
    <w:rsid w:val="00D77443"/>
    <w:rsid w:val="00D80930"/>
    <w:rsid w:val="00D80988"/>
    <w:rsid w:val="00D809CC"/>
    <w:rsid w:val="00D80C2F"/>
    <w:rsid w:val="00D818F2"/>
    <w:rsid w:val="00D81D77"/>
    <w:rsid w:val="00D82DC1"/>
    <w:rsid w:val="00D842D0"/>
    <w:rsid w:val="00D84448"/>
    <w:rsid w:val="00D8459E"/>
    <w:rsid w:val="00D8460A"/>
    <w:rsid w:val="00D85382"/>
    <w:rsid w:val="00D8607B"/>
    <w:rsid w:val="00D8789D"/>
    <w:rsid w:val="00D924E6"/>
    <w:rsid w:val="00D92B40"/>
    <w:rsid w:val="00D92D55"/>
    <w:rsid w:val="00D92DF0"/>
    <w:rsid w:val="00D93881"/>
    <w:rsid w:val="00D9422F"/>
    <w:rsid w:val="00D94730"/>
    <w:rsid w:val="00D94D5C"/>
    <w:rsid w:val="00D95C6E"/>
    <w:rsid w:val="00D97086"/>
    <w:rsid w:val="00D972E2"/>
    <w:rsid w:val="00D97F57"/>
    <w:rsid w:val="00DA010B"/>
    <w:rsid w:val="00DA0A46"/>
    <w:rsid w:val="00DA1765"/>
    <w:rsid w:val="00DA24AC"/>
    <w:rsid w:val="00DA2EAF"/>
    <w:rsid w:val="00DA3662"/>
    <w:rsid w:val="00DA48D3"/>
    <w:rsid w:val="00DA4929"/>
    <w:rsid w:val="00DA6193"/>
    <w:rsid w:val="00DA61BE"/>
    <w:rsid w:val="00DA667F"/>
    <w:rsid w:val="00DB10B7"/>
    <w:rsid w:val="00DB2559"/>
    <w:rsid w:val="00DB332A"/>
    <w:rsid w:val="00DB39F9"/>
    <w:rsid w:val="00DB3A60"/>
    <w:rsid w:val="00DB5438"/>
    <w:rsid w:val="00DC01D7"/>
    <w:rsid w:val="00DC0517"/>
    <w:rsid w:val="00DC066E"/>
    <w:rsid w:val="00DC0F83"/>
    <w:rsid w:val="00DC15F6"/>
    <w:rsid w:val="00DC44E4"/>
    <w:rsid w:val="00DC4862"/>
    <w:rsid w:val="00DC5987"/>
    <w:rsid w:val="00DC5F7F"/>
    <w:rsid w:val="00DC62A6"/>
    <w:rsid w:val="00DC641E"/>
    <w:rsid w:val="00DD04B9"/>
    <w:rsid w:val="00DD1762"/>
    <w:rsid w:val="00DD220B"/>
    <w:rsid w:val="00DD24A4"/>
    <w:rsid w:val="00DD406C"/>
    <w:rsid w:val="00DD5110"/>
    <w:rsid w:val="00DD6BA0"/>
    <w:rsid w:val="00DE0351"/>
    <w:rsid w:val="00DE12CF"/>
    <w:rsid w:val="00DE18CD"/>
    <w:rsid w:val="00DE248C"/>
    <w:rsid w:val="00DE2737"/>
    <w:rsid w:val="00DE2A68"/>
    <w:rsid w:val="00DE2E3B"/>
    <w:rsid w:val="00DE3451"/>
    <w:rsid w:val="00DE3C2E"/>
    <w:rsid w:val="00DE4601"/>
    <w:rsid w:val="00DE4E5D"/>
    <w:rsid w:val="00DE5260"/>
    <w:rsid w:val="00DE68F7"/>
    <w:rsid w:val="00DF0232"/>
    <w:rsid w:val="00DF08D7"/>
    <w:rsid w:val="00DF0CBD"/>
    <w:rsid w:val="00DF1971"/>
    <w:rsid w:val="00DF2084"/>
    <w:rsid w:val="00DF21E2"/>
    <w:rsid w:val="00DF3BFD"/>
    <w:rsid w:val="00DF5C9E"/>
    <w:rsid w:val="00DF63D8"/>
    <w:rsid w:val="00DF720D"/>
    <w:rsid w:val="00DF7B3F"/>
    <w:rsid w:val="00E01BAE"/>
    <w:rsid w:val="00E0264F"/>
    <w:rsid w:val="00E02F55"/>
    <w:rsid w:val="00E04765"/>
    <w:rsid w:val="00E04B3B"/>
    <w:rsid w:val="00E06E71"/>
    <w:rsid w:val="00E06EB6"/>
    <w:rsid w:val="00E07AD1"/>
    <w:rsid w:val="00E10F7C"/>
    <w:rsid w:val="00E1172E"/>
    <w:rsid w:val="00E12E1B"/>
    <w:rsid w:val="00E1358C"/>
    <w:rsid w:val="00E13775"/>
    <w:rsid w:val="00E15499"/>
    <w:rsid w:val="00E16B17"/>
    <w:rsid w:val="00E1709C"/>
    <w:rsid w:val="00E178C0"/>
    <w:rsid w:val="00E2060B"/>
    <w:rsid w:val="00E2093E"/>
    <w:rsid w:val="00E23294"/>
    <w:rsid w:val="00E232F6"/>
    <w:rsid w:val="00E23B10"/>
    <w:rsid w:val="00E24155"/>
    <w:rsid w:val="00E24203"/>
    <w:rsid w:val="00E24835"/>
    <w:rsid w:val="00E25E59"/>
    <w:rsid w:val="00E27003"/>
    <w:rsid w:val="00E2700E"/>
    <w:rsid w:val="00E27288"/>
    <w:rsid w:val="00E3047C"/>
    <w:rsid w:val="00E30DF1"/>
    <w:rsid w:val="00E31414"/>
    <w:rsid w:val="00E31E7A"/>
    <w:rsid w:val="00E32714"/>
    <w:rsid w:val="00E329F0"/>
    <w:rsid w:val="00E3346F"/>
    <w:rsid w:val="00E339BF"/>
    <w:rsid w:val="00E34293"/>
    <w:rsid w:val="00E34363"/>
    <w:rsid w:val="00E34A14"/>
    <w:rsid w:val="00E358DE"/>
    <w:rsid w:val="00E36930"/>
    <w:rsid w:val="00E371F5"/>
    <w:rsid w:val="00E404A0"/>
    <w:rsid w:val="00E410AC"/>
    <w:rsid w:val="00E410B6"/>
    <w:rsid w:val="00E41122"/>
    <w:rsid w:val="00E4250C"/>
    <w:rsid w:val="00E427EC"/>
    <w:rsid w:val="00E42B73"/>
    <w:rsid w:val="00E4301E"/>
    <w:rsid w:val="00E436E8"/>
    <w:rsid w:val="00E442A7"/>
    <w:rsid w:val="00E44B60"/>
    <w:rsid w:val="00E44E56"/>
    <w:rsid w:val="00E459F6"/>
    <w:rsid w:val="00E45E3D"/>
    <w:rsid w:val="00E514C3"/>
    <w:rsid w:val="00E52900"/>
    <w:rsid w:val="00E548A9"/>
    <w:rsid w:val="00E5522F"/>
    <w:rsid w:val="00E56C67"/>
    <w:rsid w:val="00E575A6"/>
    <w:rsid w:val="00E60CE4"/>
    <w:rsid w:val="00E6300D"/>
    <w:rsid w:val="00E63C9F"/>
    <w:rsid w:val="00E63ECF"/>
    <w:rsid w:val="00E64AFE"/>
    <w:rsid w:val="00E662EC"/>
    <w:rsid w:val="00E67088"/>
    <w:rsid w:val="00E7249E"/>
    <w:rsid w:val="00E737F0"/>
    <w:rsid w:val="00E74840"/>
    <w:rsid w:val="00E74F75"/>
    <w:rsid w:val="00E750E8"/>
    <w:rsid w:val="00E77275"/>
    <w:rsid w:val="00E77DD1"/>
    <w:rsid w:val="00E80C69"/>
    <w:rsid w:val="00E8125C"/>
    <w:rsid w:val="00E81575"/>
    <w:rsid w:val="00E8220C"/>
    <w:rsid w:val="00E8256A"/>
    <w:rsid w:val="00E82A4B"/>
    <w:rsid w:val="00E83AE2"/>
    <w:rsid w:val="00E84453"/>
    <w:rsid w:val="00E84669"/>
    <w:rsid w:val="00E84B14"/>
    <w:rsid w:val="00E84C9B"/>
    <w:rsid w:val="00E84EAB"/>
    <w:rsid w:val="00E8574E"/>
    <w:rsid w:val="00E857AB"/>
    <w:rsid w:val="00E86180"/>
    <w:rsid w:val="00E87143"/>
    <w:rsid w:val="00E8721C"/>
    <w:rsid w:val="00E875DB"/>
    <w:rsid w:val="00E87DF6"/>
    <w:rsid w:val="00E90738"/>
    <w:rsid w:val="00E9090D"/>
    <w:rsid w:val="00E90BB5"/>
    <w:rsid w:val="00E90F35"/>
    <w:rsid w:val="00E916CE"/>
    <w:rsid w:val="00E916FA"/>
    <w:rsid w:val="00E91A56"/>
    <w:rsid w:val="00E91BFF"/>
    <w:rsid w:val="00E92BC3"/>
    <w:rsid w:val="00E93657"/>
    <w:rsid w:val="00E9380E"/>
    <w:rsid w:val="00E9582D"/>
    <w:rsid w:val="00E9595C"/>
    <w:rsid w:val="00E964A7"/>
    <w:rsid w:val="00EA1029"/>
    <w:rsid w:val="00EA11A3"/>
    <w:rsid w:val="00EA24C6"/>
    <w:rsid w:val="00EA3115"/>
    <w:rsid w:val="00EA31E4"/>
    <w:rsid w:val="00EA410B"/>
    <w:rsid w:val="00EA507A"/>
    <w:rsid w:val="00EA65ED"/>
    <w:rsid w:val="00EA6F38"/>
    <w:rsid w:val="00EA7712"/>
    <w:rsid w:val="00EA7F22"/>
    <w:rsid w:val="00EB0951"/>
    <w:rsid w:val="00EB2194"/>
    <w:rsid w:val="00EB23F1"/>
    <w:rsid w:val="00EB2CEC"/>
    <w:rsid w:val="00EB30C3"/>
    <w:rsid w:val="00EB4D2B"/>
    <w:rsid w:val="00EB53DE"/>
    <w:rsid w:val="00EB63B4"/>
    <w:rsid w:val="00EB7147"/>
    <w:rsid w:val="00EB75C0"/>
    <w:rsid w:val="00EB7F93"/>
    <w:rsid w:val="00EC14CA"/>
    <w:rsid w:val="00EC1BBA"/>
    <w:rsid w:val="00EC2308"/>
    <w:rsid w:val="00EC2876"/>
    <w:rsid w:val="00EC2F02"/>
    <w:rsid w:val="00EC2F0C"/>
    <w:rsid w:val="00EC3C07"/>
    <w:rsid w:val="00EC7EDA"/>
    <w:rsid w:val="00ED013D"/>
    <w:rsid w:val="00ED073A"/>
    <w:rsid w:val="00ED11AA"/>
    <w:rsid w:val="00ED198B"/>
    <w:rsid w:val="00ED26F3"/>
    <w:rsid w:val="00ED2C7B"/>
    <w:rsid w:val="00ED2F2E"/>
    <w:rsid w:val="00ED43B7"/>
    <w:rsid w:val="00ED6EEE"/>
    <w:rsid w:val="00ED7119"/>
    <w:rsid w:val="00ED7BBE"/>
    <w:rsid w:val="00EE110B"/>
    <w:rsid w:val="00EE2292"/>
    <w:rsid w:val="00EE2F5A"/>
    <w:rsid w:val="00EE38A4"/>
    <w:rsid w:val="00EE3FEE"/>
    <w:rsid w:val="00EE47ED"/>
    <w:rsid w:val="00EE487E"/>
    <w:rsid w:val="00EE51B8"/>
    <w:rsid w:val="00EE5E4D"/>
    <w:rsid w:val="00EE75AB"/>
    <w:rsid w:val="00EF0BF9"/>
    <w:rsid w:val="00EF1EFD"/>
    <w:rsid w:val="00EF3D67"/>
    <w:rsid w:val="00EF3FB0"/>
    <w:rsid w:val="00EF4E5B"/>
    <w:rsid w:val="00EF6D2E"/>
    <w:rsid w:val="00EF6D93"/>
    <w:rsid w:val="00F0072B"/>
    <w:rsid w:val="00F02192"/>
    <w:rsid w:val="00F03E03"/>
    <w:rsid w:val="00F06CE5"/>
    <w:rsid w:val="00F070B9"/>
    <w:rsid w:val="00F07215"/>
    <w:rsid w:val="00F124D8"/>
    <w:rsid w:val="00F12C3D"/>
    <w:rsid w:val="00F130DA"/>
    <w:rsid w:val="00F13F75"/>
    <w:rsid w:val="00F1758A"/>
    <w:rsid w:val="00F208C1"/>
    <w:rsid w:val="00F2125B"/>
    <w:rsid w:val="00F219BC"/>
    <w:rsid w:val="00F21D83"/>
    <w:rsid w:val="00F23876"/>
    <w:rsid w:val="00F24685"/>
    <w:rsid w:val="00F248DC"/>
    <w:rsid w:val="00F2548D"/>
    <w:rsid w:val="00F26098"/>
    <w:rsid w:val="00F26211"/>
    <w:rsid w:val="00F276B0"/>
    <w:rsid w:val="00F308E6"/>
    <w:rsid w:val="00F30AB3"/>
    <w:rsid w:val="00F30CA1"/>
    <w:rsid w:val="00F314C3"/>
    <w:rsid w:val="00F31A41"/>
    <w:rsid w:val="00F31FEA"/>
    <w:rsid w:val="00F32225"/>
    <w:rsid w:val="00F33DE2"/>
    <w:rsid w:val="00F34056"/>
    <w:rsid w:val="00F34901"/>
    <w:rsid w:val="00F35D1A"/>
    <w:rsid w:val="00F40640"/>
    <w:rsid w:val="00F406A9"/>
    <w:rsid w:val="00F40CFE"/>
    <w:rsid w:val="00F416EC"/>
    <w:rsid w:val="00F41D3B"/>
    <w:rsid w:val="00F41EBD"/>
    <w:rsid w:val="00F4226A"/>
    <w:rsid w:val="00F42FB1"/>
    <w:rsid w:val="00F439B9"/>
    <w:rsid w:val="00F46EEF"/>
    <w:rsid w:val="00F50669"/>
    <w:rsid w:val="00F50E22"/>
    <w:rsid w:val="00F51CF8"/>
    <w:rsid w:val="00F526ED"/>
    <w:rsid w:val="00F52B36"/>
    <w:rsid w:val="00F52C90"/>
    <w:rsid w:val="00F60A31"/>
    <w:rsid w:val="00F60BA5"/>
    <w:rsid w:val="00F61B60"/>
    <w:rsid w:val="00F61E95"/>
    <w:rsid w:val="00F61F5D"/>
    <w:rsid w:val="00F62281"/>
    <w:rsid w:val="00F625FE"/>
    <w:rsid w:val="00F6297D"/>
    <w:rsid w:val="00F63E32"/>
    <w:rsid w:val="00F65285"/>
    <w:rsid w:val="00F6711C"/>
    <w:rsid w:val="00F67264"/>
    <w:rsid w:val="00F67D8D"/>
    <w:rsid w:val="00F706B1"/>
    <w:rsid w:val="00F711DF"/>
    <w:rsid w:val="00F712ED"/>
    <w:rsid w:val="00F71BF4"/>
    <w:rsid w:val="00F720C9"/>
    <w:rsid w:val="00F72C43"/>
    <w:rsid w:val="00F732A9"/>
    <w:rsid w:val="00F732C6"/>
    <w:rsid w:val="00F73BC5"/>
    <w:rsid w:val="00F74642"/>
    <w:rsid w:val="00F76B4D"/>
    <w:rsid w:val="00F7708E"/>
    <w:rsid w:val="00F77D5E"/>
    <w:rsid w:val="00F77FC1"/>
    <w:rsid w:val="00F80343"/>
    <w:rsid w:val="00F817D6"/>
    <w:rsid w:val="00F819DF"/>
    <w:rsid w:val="00F83699"/>
    <w:rsid w:val="00F83C81"/>
    <w:rsid w:val="00F84666"/>
    <w:rsid w:val="00F853F7"/>
    <w:rsid w:val="00F86C38"/>
    <w:rsid w:val="00F86FC5"/>
    <w:rsid w:val="00F87261"/>
    <w:rsid w:val="00F916B6"/>
    <w:rsid w:val="00F91E68"/>
    <w:rsid w:val="00F924E1"/>
    <w:rsid w:val="00F92A12"/>
    <w:rsid w:val="00F94619"/>
    <w:rsid w:val="00F9589C"/>
    <w:rsid w:val="00F9672A"/>
    <w:rsid w:val="00F97359"/>
    <w:rsid w:val="00FA075F"/>
    <w:rsid w:val="00FA1FF5"/>
    <w:rsid w:val="00FA363C"/>
    <w:rsid w:val="00FA48EA"/>
    <w:rsid w:val="00FA5588"/>
    <w:rsid w:val="00FA62E3"/>
    <w:rsid w:val="00FA6891"/>
    <w:rsid w:val="00FB1504"/>
    <w:rsid w:val="00FB1D23"/>
    <w:rsid w:val="00FB1DBA"/>
    <w:rsid w:val="00FB206C"/>
    <w:rsid w:val="00FB250F"/>
    <w:rsid w:val="00FB3D66"/>
    <w:rsid w:val="00FB3E8C"/>
    <w:rsid w:val="00FB40B4"/>
    <w:rsid w:val="00FB41CA"/>
    <w:rsid w:val="00FB5AFD"/>
    <w:rsid w:val="00FB61F5"/>
    <w:rsid w:val="00FB67CE"/>
    <w:rsid w:val="00FC07E5"/>
    <w:rsid w:val="00FC1AC9"/>
    <w:rsid w:val="00FC6164"/>
    <w:rsid w:val="00FC6465"/>
    <w:rsid w:val="00FD0218"/>
    <w:rsid w:val="00FD02E7"/>
    <w:rsid w:val="00FD07FD"/>
    <w:rsid w:val="00FD3C93"/>
    <w:rsid w:val="00FD42A3"/>
    <w:rsid w:val="00FD434F"/>
    <w:rsid w:val="00FD4692"/>
    <w:rsid w:val="00FD46B9"/>
    <w:rsid w:val="00FD61C7"/>
    <w:rsid w:val="00FD62DE"/>
    <w:rsid w:val="00FE04CD"/>
    <w:rsid w:val="00FE0CDB"/>
    <w:rsid w:val="00FE1072"/>
    <w:rsid w:val="00FE16B9"/>
    <w:rsid w:val="00FE2722"/>
    <w:rsid w:val="00FE3088"/>
    <w:rsid w:val="00FE34DF"/>
    <w:rsid w:val="00FE3B28"/>
    <w:rsid w:val="00FE3DF1"/>
    <w:rsid w:val="00FE4824"/>
    <w:rsid w:val="00FE5411"/>
    <w:rsid w:val="00FE7E3F"/>
    <w:rsid w:val="00FF0668"/>
    <w:rsid w:val="00FF077B"/>
    <w:rsid w:val="00FF10BA"/>
    <w:rsid w:val="00FF15F0"/>
    <w:rsid w:val="00FF1DBE"/>
    <w:rsid w:val="00FF2AA2"/>
    <w:rsid w:val="00FF2F9B"/>
    <w:rsid w:val="00FF376D"/>
    <w:rsid w:val="00FF3CA9"/>
    <w:rsid w:val="00FF4489"/>
    <w:rsid w:val="00FF51AF"/>
    <w:rsid w:val="00FF5E6E"/>
    <w:rsid w:val="00FF674B"/>
    <w:rsid w:val="00FF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CE13"/>
  <w15:chartTrackingRefBased/>
  <w15:docId w15:val="{26246273-A694-294A-A75C-B9B5273F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949"/>
    <w:pPr>
      <w:spacing w:line="480" w:lineRule="auto"/>
    </w:pPr>
    <w:rPr>
      <w:rFonts w:asciiTheme="majorHAnsi" w:hAnsiTheme="majorHAnsi" w:cstheme="majorHAnsi"/>
    </w:rPr>
  </w:style>
  <w:style w:type="paragraph" w:styleId="Heading1">
    <w:name w:val="heading 1"/>
    <w:basedOn w:val="Normal"/>
    <w:next w:val="Normal"/>
    <w:link w:val="Heading1Char"/>
    <w:uiPriority w:val="9"/>
    <w:qFormat/>
    <w:rsid w:val="001C7F25"/>
    <w:pPr>
      <w:keepNext/>
      <w:keepLines/>
      <w:spacing w:before="240"/>
      <w:outlineLvl w:val="0"/>
    </w:pPr>
    <w:rPr>
      <w:rFonts w:eastAsiaTheme="majorEastAsia" w:cstheme="majorBidi"/>
      <w:b/>
      <w:bCs/>
      <w:color w:val="2F5496" w:themeColor="accent1" w:themeShade="BF"/>
      <w:sz w:val="30"/>
      <w:szCs w:val="30"/>
    </w:rPr>
  </w:style>
  <w:style w:type="paragraph" w:styleId="Heading2">
    <w:name w:val="heading 2"/>
    <w:basedOn w:val="Normal"/>
    <w:next w:val="Normal"/>
    <w:link w:val="Heading2Char"/>
    <w:uiPriority w:val="9"/>
    <w:unhideWhenUsed/>
    <w:qFormat/>
    <w:rsid w:val="007038D9"/>
    <w:pPr>
      <w:keepNext/>
      <w:keepLines/>
      <w:spacing w:before="40" w:line="360" w:lineRule="auto"/>
      <w:outlineLvl w:val="1"/>
    </w:pPr>
    <w:rPr>
      <w:rFonts w:eastAsiaTheme="majorEastAsia"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0A7AA5"/>
    <w:pPr>
      <w:keepNext/>
      <w:keepLines/>
      <w:spacing w:before="40" w:line="360" w:lineRule="auto"/>
      <w:outlineLvl w:val="2"/>
    </w:pPr>
    <w:rPr>
      <w:rFonts w:eastAsiaTheme="majorEastAsia" w:cstheme="majorBidi"/>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46FB"/>
    <w:pPr>
      <w:contextualSpacing/>
    </w:pPr>
    <w:rPr>
      <w:rFonts w:eastAsiaTheme="majorEastAsia" w:cstheme="majorBidi"/>
      <w:b/>
      <w:bCs/>
      <w:spacing w:val="-10"/>
      <w:kern w:val="28"/>
      <w:sz w:val="56"/>
      <w:szCs w:val="56"/>
    </w:rPr>
  </w:style>
  <w:style w:type="character" w:customStyle="1" w:styleId="TitleChar">
    <w:name w:val="Title Char"/>
    <w:basedOn w:val="DefaultParagraphFont"/>
    <w:link w:val="Title"/>
    <w:uiPriority w:val="10"/>
    <w:rsid w:val="001746FB"/>
    <w:rPr>
      <w:rFonts w:asciiTheme="majorHAnsi" w:eastAsiaTheme="majorEastAsia" w:hAnsiTheme="majorHAnsi" w:cstheme="majorBidi"/>
      <w:b/>
      <w:bCs/>
      <w:spacing w:val="-10"/>
      <w:kern w:val="28"/>
      <w:sz w:val="56"/>
      <w:szCs w:val="56"/>
    </w:rPr>
  </w:style>
  <w:style w:type="paragraph" w:styleId="NoSpacing">
    <w:name w:val="No Spacing"/>
    <w:uiPriority w:val="1"/>
    <w:qFormat/>
    <w:rsid w:val="001746FB"/>
  </w:style>
  <w:style w:type="character" w:customStyle="1" w:styleId="Heading1Char">
    <w:name w:val="Heading 1 Char"/>
    <w:basedOn w:val="DefaultParagraphFont"/>
    <w:link w:val="Heading1"/>
    <w:uiPriority w:val="9"/>
    <w:rsid w:val="001C7F25"/>
    <w:rPr>
      <w:rFonts w:asciiTheme="majorHAnsi" w:eastAsiaTheme="majorEastAsia" w:hAnsiTheme="majorHAnsi" w:cstheme="majorBidi"/>
      <w:b/>
      <w:bCs/>
      <w:color w:val="2F5496" w:themeColor="accent1" w:themeShade="BF"/>
      <w:sz w:val="30"/>
      <w:szCs w:val="30"/>
    </w:rPr>
  </w:style>
  <w:style w:type="character" w:customStyle="1" w:styleId="fn-label">
    <w:name w:val="fn-label"/>
    <w:basedOn w:val="DefaultParagraphFont"/>
    <w:rsid w:val="001C7F25"/>
  </w:style>
  <w:style w:type="paragraph" w:styleId="NormalWeb">
    <w:name w:val="Normal (Web)"/>
    <w:basedOn w:val="Normal"/>
    <w:uiPriority w:val="99"/>
    <w:semiHidden/>
    <w:unhideWhenUsed/>
    <w:rsid w:val="001C7F2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7038D9"/>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7038D9"/>
    <w:pPr>
      <w:spacing w:line="360" w:lineRule="auto"/>
      <w:ind w:left="720"/>
      <w:contextualSpacing/>
    </w:pPr>
    <w:rPr>
      <w:rFonts w:asciiTheme="minorHAnsi" w:hAnsiTheme="minorHAnsi" w:cstheme="minorBidi"/>
      <w:lang w:val="en-US"/>
    </w:rPr>
  </w:style>
  <w:style w:type="table" w:styleId="GridTable4-Accent1">
    <w:name w:val="Grid Table 4 Accent 1"/>
    <w:basedOn w:val="TableNormal"/>
    <w:uiPriority w:val="49"/>
    <w:rsid w:val="007038D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3Char">
    <w:name w:val="Heading 3 Char"/>
    <w:basedOn w:val="DefaultParagraphFont"/>
    <w:link w:val="Heading3"/>
    <w:uiPriority w:val="9"/>
    <w:rsid w:val="000A7AA5"/>
    <w:rPr>
      <w:rFonts w:asciiTheme="majorHAnsi" w:eastAsiaTheme="majorEastAsia" w:hAnsiTheme="majorHAnsi" w:cstheme="majorBidi"/>
      <w:color w:val="1F3763" w:themeColor="accent1" w:themeShade="7F"/>
      <w:lang w:val="en-US"/>
    </w:rPr>
  </w:style>
  <w:style w:type="character" w:styleId="Hyperlink">
    <w:name w:val="Hyperlink"/>
    <w:basedOn w:val="DefaultParagraphFont"/>
    <w:uiPriority w:val="99"/>
    <w:unhideWhenUsed/>
    <w:rsid w:val="00884DA9"/>
    <w:rPr>
      <w:color w:val="0000FF"/>
      <w:u w:val="single"/>
    </w:rPr>
  </w:style>
  <w:style w:type="paragraph" w:styleId="Bibliography">
    <w:name w:val="Bibliography"/>
    <w:basedOn w:val="Normal"/>
    <w:next w:val="Normal"/>
    <w:uiPriority w:val="37"/>
    <w:unhideWhenUsed/>
    <w:rsid w:val="004916F7"/>
    <w:pPr>
      <w:tabs>
        <w:tab w:val="left" w:pos="380"/>
      </w:tabs>
      <w:spacing w:after="240" w:line="240" w:lineRule="auto"/>
      <w:ind w:left="384" w:hanging="384"/>
    </w:pPr>
  </w:style>
  <w:style w:type="character" w:styleId="Strong">
    <w:name w:val="Strong"/>
    <w:basedOn w:val="DefaultParagraphFont"/>
    <w:uiPriority w:val="22"/>
    <w:qFormat/>
    <w:rsid w:val="00B4196D"/>
    <w:rPr>
      <w:b/>
      <w:bCs/>
    </w:rPr>
  </w:style>
  <w:style w:type="character" w:styleId="UnresolvedMention">
    <w:name w:val="Unresolved Mention"/>
    <w:basedOn w:val="DefaultParagraphFont"/>
    <w:uiPriority w:val="99"/>
    <w:semiHidden/>
    <w:unhideWhenUsed/>
    <w:rsid w:val="00100F2C"/>
    <w:rPr>
      <w:color w:val="605E5C"/>
      <w:shd w:val="clear" w:color="auto" w:fill="E1DFDD"/>
    </w:rPr>
  </w:style>
  <w:style w:type="paragraph" w:customStyle="1" w:styleId="EndNoteBibliography">
    <w:name w:val="EndNote Bibliography"/>
    <w:basedOn w:val="Normal"/>
    <w:link w:val="EndNoteBibliographyChar"/>
    <w:rsid w:val="00EF6D93"/>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EF6D93"/>
    <w:rPr>
      <w:rFonts w:ascii="Calibri" w:hAnsi="Calibri" w:cs="Calibri"/>
      <w:lang w:val="en-US"/>
    </w:rPr>
  </w:style>
  <w:style w:type="character" w:styleId="Emphasis">
    <w:name w:val="Emphasis"/>
    <w:basedOn w:val="DefaultParagraphFont"/>
    <w:uiPriority w:val="20"/>
    <w:qFormat/>
    <w:rsid w:val="000C2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2287">
      <w:bodyDiv w:val="1"/>
      <w:marLeft w:val="0"/>
      <w:marRight w:val="0"/>
      <w:marTop w:val="0"/>
      <w:marBottom w:val="0"/>
      <w:divBdr>
        <w:top w:val="none" w:sz="0" w:space="0" w:color="auto"/>
        <w:left w:val="none" w:sz="0" w:space="0" w:color="auto"/>
        <w:bottom w:val="none" w:sz="0" w:space="0" w:color="auto"/>
        <w:right w:val="none" w:sz="0" w:space="0" w:color="auto"/>
      </w:divBdr>
      <w:divsChild>
        <w:div w:id="1511290655">
          <w:marLeft w:val="0"/>
          <w:marRight w:val="0"/>
          <w:marTop w:val="0"/>
          <w:marBottom w:val="0"/>
          <w:divBdr>
            <w:top w:val="none" w:sz="0" w:space="0" w:color="auto"/>
            <w:left w:val="none" w:sz="0" w:space="0" w:color="auto"/>
            <w:bottom w:val="none" w:sz="0" w:space="0" w:color="auto"/>
            <w:right w:val="none" w:sz="0" w:space="0" w:color="auto"/>
          </w:divBdr>
          <w:divsChild>
            <w:div w:id="585960314">
              <w:marLeft w:val="0"/>
              <w:marRight w:val="0"/>
              <w:marTop w:val="0"/>
              <w:marBottom w:val="0"/>
              <w:divBdr>
                <w:top w:val="none" w:sz="0" w:space="0" w:color="auto"/>
                <w:left w:val="none" w:sz="0" w:space="0" w:color="auto"/>
                <w:bottom w:val="none" w:sz="0" w:space="0" w:color="auto"/>
                <w:right w:val="none" w:sz="0" w:space="0" w:color="auto"/>
              </w:divBdr>
              <w:divsChild>
                <w:div w:id="167793754">
                  <w:marLeft w:val="0"/>
                  <w:marRight w:val="0"/>
                  <w:marTop w:val="0"/>
                  <w:marBottom w:val="0"/>
                  <w:divBdr>
                    <w:top w:val="none" w:sz="0" w:space="0" w:color="auto"/>
                    <w:left w:val="none" w:sz="0" w:space="0" w:color="auto"/>
                    <w:bottom w:val="none" w:sz="0" w:space="0" w:color="auto"/>
                    <w:right w:val="none" w:sz="0" w:space="0" w:color="auto"/>
                  </w:divBdr>
                  <w:divsChild>
                    <w:div w:id="1246189231">
                      <w:marLeft w:val="0"/>
                      <w:marRight w:val="0"/>
                      <w:marTop w:val="0"/>
                      <w:marBottom w:val="0"/>
                      <w:divBdr>
                        <w:top w:val="none" w:sz="0" w:space="0" w:color="auto"/>
                        <w:left w:val="none" w:sz="0" w:space="0" w:color="auto"/>
                        <w:bottom w:val="none" w:sz="0" w:space="0" w:color="auto"/>
                        <w:right w:val="none" w:sz="0" w:space="0" w:color="auto"/>
                      </w:divBdr>
                      <w:divsChild>
                        <w:div w:id="17868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04781">
          <w:marLeft w:val="0"/>
          <w:marRight w:val="0"/>
          <w:marTop w:val="0"/>
          <w:marBottom w:val="0"/>
          <w:divBdr>
            <w:top w:val="none" w:sz="0" w:space="0" w:color="auto"/>
            <w:left w:val="none" w:sz="0" w:space="0" w:color="auto"/>
            <w:bottom w:val="none" w:sz="0" w:space="0" w:color="auto"/>
            <w:right w:val="none" w:sz="0" w:space="0" w:color="auto"/>
          </w:divBdr>
        </w:div>
      </w:divsChild>
    </w:div>
    <w:div w:id="238172654">
      <w:bodyDiv w:val="1"/>
      <w:marLeft w:val="0"/>
      <w:marRight w:val="0"/>
      <w:marTop w:val="0"/>
      <w:marBottom w:val="0"/>
      <w:divBdr>
        <w:top w:val="none" w:sz="0" w:space="0" w:color="auto"/>
        <w:left w:val="none" w:sz="0" w:space="0" w:color="auto"/>
        <w:bottom w:val="none" w:sz="0" w:space="0" w:color="auto"/>
        <w:right w:val="none" w:sz="0" w:space="0" w:color="auto"/>
      </w:divBdr>
    </w:div>
    <w:div w:id="657613032">
      <w:bodyDiv w:val="1"/>
      <w:marLeft w:val="0"/>
      <w:marRight w:val="0"/>
      <w:marTop w:val="0"/>
      <w:marBottom w:val="0"/>
      <w:divBdr>
        <w:top w:val="none" w:sz="0" w:space="0" w:color="auto"/>
        <w:left w:val="none" w:sz="0" w:space="0" w:color="auto"/>
        <w:bottom w:val="none" w:sz="0" w:space="0" w:color="auto"/>
        <w:right w:val="none" w:sz="0" w:space="0" w:color="auto"/>
      </w:divBdr>
      <w:divsChild>
        <w:div w:id="1696035946">
          <w:marLeft w:val="720"/>
          <w:marRight w:val="0"/>
          <w:marTop w:val="0"/>
          <w:marBottom w:val="0"/>
          <w:divBdr>
            <w:top w:val="none" w:sz="0" w:space="0" w:color="auto"/>
            <w:left w:val="none" w:sz="0" w:space="0" w:color="auto"/>
            <w:bottom w:val="none" w:sz="0" w:space="0" w:color="auto"/>
            <w:right w:val="none" w:sz="0" w:space="0" w:color="auto"/>
          </w:divBdr>
        </w:div>
      </w:divsChild>
    </w:div>
    <w:div w:id="783620763">
      <w:bodyDiv w:val="1"/>
      <w:marLeft w:val="0"/>
      <w:marRight w:val="0"/>
      <w:marTop w:val="0"/>
      <w:marBottom w:val="0"/>
      <w:divBdr>
        <w:top w:val="none" w:sz="0" w:space="0" w:color="auto"/>
        <w:left w:val="none" w:sz="0" w:space="0" w:color="auto"/>
        <w:bottom w:val="none" w:sz="0" w:space="0" w:color="auto"/>
        <w:right w:val="none" w:sz="0" w:space="0" w:color="auto"/>
      </w:divBdr>
      <w:divsChild>
        <w:div w:id="1648435463">
          <w:marLeft w:val="0"/>
          <w:marRight w:val="0"/>
          <w:marTop w:val="0"/>
          <w:marBottom w:val="0"/>
          <w:divBdr>
            <w:top w:val="none" w:sz="0" w:space="0" w:color="auto"/>
            <w:left w:val="none" w:sz="0" w:space="0" w:color="auto"/>
            <w:bottom w:val="none" w:sz="0" w:space="0" w:color="auto"/>
            <w:right w:val="none" w:sz="0" w:space="0" w:color="auto"/>
          </w:divBdr>
          <w:divsChild>
            <w:div w:id="1296839963">
              <w:marLeft w:val="0"/>
              <w:marRight w:val="0"/>
              <w:marTop w:val="0"/>
              <w:marBottom w:val="0"/>
              <w:divBdr>
                <w:top w:val="none" w:sz="0" w:space="0" w:color="auto"/>
                <w:left w:val="none" w:sz="0" w:space="0" w:color="auto"/>
                <w:bottom w:val="none" w:sz="0" w:space="0" w:color="auto"/>
                <w:right w:val="none" w:sz="0" w:space="0" w:color="auto"/>
              </w:divBdr>
            </w:div>
          </w:divsChild>
        </w:div>
        <w:div w:id="746028135">
          <w:marLeft w:val="0"/>
          <w:marRight w:val="0"/>
          <w:marTop w:val="0"/>
          <w:marBottom w:val="0"/>
          <w:divBdr>
            <w:top w:val="none" w:sz="0" w:space="0" w:color="auto"/>
            <w:left w:val="none" w:sz="0" w:space="0" w:color="auto"/>
            <w:bottom w:val="none" w:sz="0" w:space="0" w:color="auto"/>
            <w:right w:val="none" w:sz="0" w:space="0" w:color="auto"/>
          </w:divBdr>
        </w:div>
      </w:divsChild>
    </w:div>
    <w:div w:id="858201697">
      <w:bodyDiv w:val="1"/>
      <w:marLeft w:val="0"/>
      <w:marRight w:val="0"/>
      <w:marTop w:val="0"/>
      <w:marBottom w:val="0"/>
      <w:divBdr>
        <w:top w:val="none" w:sz="0" w:space="0" w:color="auto"/>
        <w:left w:val="none" w:sz="0" w:space="0" w:color="auto"/>
        <w:bottom w:val="none" w:sz="0" w:space="0" w:color="auto"/>
        <w:right w:val="none" w:sz="0" w:space="0" w:color="auto"/>
      </w:divBdr>
      <w:divsChild>
        <w:div w:id="306788433">
          <w:marLeft w:val="0"/>
          <w:marRight w:val="0"/>
          <w:marTop w:val="0"/>
          <w:marBottom w:val="0"/>
          <w:divBdr>
            <w:top w:val="none" w:sz="0" w:space="0" w:color="auto"/>
            <w:left w:val="none" w:sz="0" w:space="0" w:color="auto"/>
            <w:bottom w:val="none" w:sz="0" w:space="0" w:color="auto"/>
            <w:right w:val="none" w:sz="0" w:space="0" w:color="auto"/>
          </w:divBdr>
          <w:divsChild>
            <w:div w:id="13773007">
              <w:marLeft w:val="0"/>
              <w:marRight w:val="0"/>
              <w:marTop w:val="0"/>
              <w:marBottom w:val="0"/>
              <w:divBdr>
                <w:top w:val="none" w:sz="0" w:space="0" w:color="auto"/>
                <w:left w:val="none" w:sz="0" w:space="0" w:color="auto"/>
                <w:bottom w:val="none" w:sz="0" w:space="0" w:color="auto"/>
                <w:right w:val="none" w:sz="0" w:space="0" w:color="auto"/>
              </w:divBdr>
              <w:divsChild>
                <w:div w:id="1154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556">
          <w:marLeft w:val="0"/>
          <w:marRight w:val="0"/>
          <w:marTop w:val="0"/>
          <w:marBottom w:val="0"/>
          <w:divBdr>
            <w:top w:val="none" w:sz="0" w:space="0" w:color="auto"/>
            <w:left w:val="none" w:sz="0" w:space="0" w:color="auto"/>
            <w:bottom w:val="none" w:sz="0" w:space="0" w:color="auto"/>
            <w:right w:val="none" w:sz="0" w:space="0" w:color="auto"/>
          </w:divBdr>
          <w:divsChild>
            <w:div w:id="201215118">
              <w:marLeft w:val="0"/>
              <w:marRight w:val="0"/>
              <w:marTop w:val="0"/>
              <w:marBottom w:val="0"/>
              <w:divBdr>
                <w:top w:val="none" w:sz="0" w:space="0" w:color="auto"/>
                <w:left w:val="none" w:sz="0" w:space="0" w:color="auto"/>
                <w:bottom w:val="none" w:sz="0" w:space="0" w:color="auto"/>
                <w:right w:val="none" w:sz="0" w:space="0" w:color="auto"/>
              </w:divBdr>
              <w:divsChild>
                <w:div w:id="1876887272">
                  <w:marLeft w:val="0"/>
                  <w:marRight w:val="0"/>
                  <w:marTop w:val="0"/>
                  <w:marBottom w:val="0"/>
                  <w:divBdr>
                    <w:top w:val="none" w:sz="0" w:space="0" w:color="auto"/>
                    <w:left w:val="none" w:sz="0" w:space="0" w:color="auto"/>
                    <w:bottom w:val="none" w:sz="0" w:space="0" w:color="auto"/>
                    <w:right w:val="none" w:sz="0" w:space="0" w:color="auto"/>
                  </w:divBdr>
                  <w:divsChild>
                    <w:div w:id="6838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065188">
      <w:bodyDiv w:val="1"/>
      <w:marLeft w:val="0"/>
      <w:marRight w:val="0"/>
      <w:marTop w:val="0"/>
      <w:marBottom w:val="0"/>
      <w:divBdr>
        <w:top w:val="none" w:sz="0" w:space="0" w:color="auto"/>
        <w:left w:val="none" w:sz="0" w:space="0" w:color="auto"/>
        <w:bottom w:val="none" w:sz="0" w:space="0" w:color="auto"/>
        <w:right w:val="none" w:sz="0" w:space="0" w:color="auto"/>
      </w:divBdr>
      <w:divsChild>
        <w:div w:id="753819249">
          <w:marLeft w:val="0"/>
          <w:marRight w:val="0"/>
          <w:marTop w:val="0"/>
          <w:marBottom w:val="0"/>
          <w:divBdr>
            <w:top w:val="none" w:sz="0" w:space="0" w:color="auto"/>
            <w:left w:val="none" w:sz="0" w:space="0" w:color="auto"/>
            <w:bottom w:val="none" w:sz="0" w:space="0" w:color="auto"/>
            <w:right w:val="none" w:sz="0" w:space="0" w:color="auto"/>
          </w:divBdr>
          <w:divsChild>
            <w:div w:id="14637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69567">
      <w:bodyDiv w:val="1"/>
      <w:marLeft w:val="0"/>
      <w:marRight w:val="0"/>
      <w:marTop w:val="0"/>
      <w:marBottom w:val="0"/>
      <w:divBdr>
        <w:top w:val="none" w:sz="0" w:space="0" w:color="auto"/>
        <w:left w:val="none" w:sz="0" w:space="0" w:color="auto"/>
        <w:bottom w:val="none" w:sz="0" w:space="0" w:color="auto"/>
        <w:right w:val="none" w:sz="0" w:space="0" w:color="auto"/>
      </w:divBdr>
      <w:divsChild>
        <w:div w:id="71006298">
          <w:marLeft w:val="446"/>
          <w:marRight w:val="0"/>
          <w:marTop w:val="0"/>
          <w:marBottom w:val="0"/>
          <w:divBdr>
            <w:top w:val="none" w:sz="0" w:space="0" w:color="auto"/>
            <w:left w:val="none" w:sz="0" w:space="0" w:color="auto"/>
            <w:bottom w:val="none" w:sz="0" w:space="0" w:color="auto"/>
            <w:right w:val="none" w:sz="0" w:space="0" w:color="auto"/>
          </w:divBdr>
        </w:div>
      </w:divsChild>
    </w:div>
    <w:div w:id="1326130759">
      <w:bodyDiv w:val="1"/>
      <w:marLeft w:val="0"/>
      <w:marRight w:val="0"/>
      <w:marTop w:val="0"/>
      <w:marBottom w:val="0"/>
      <w:divBdr>
        <w:top w:val="none" w:sz="0" w:space="0" w:color="auto"/>
        <w:left w:val="none" w:sz="0" w:space="0" w:color="auto"/>
        <w:bottom w:val="none" w:sz="0" w:space="0" w:color="auto"/>
        <w:right w:val="none" w:sz="0" w:space="0" w:color="auto"/>
      </w:divBdr>
      <w:divsChild>
        <w:div w:id="419570632">
          <w:marLeft w:val="0"/>
          <w:marRight w:val="0"/>
          <w:marTop w:val="0"/>
          <w:marBottom w:val="0"/>
          <w:divBdr>
            <w:top w:val="none" w:sz="0" w:space="0" w:color="auto"/>
            <w:left w:val="none" w:sz="0" w:space="0" w:color="auto"/>
            <w:bottom w:val="none" w:sz="0" w:space="0" w:color="auto"/>
            <w:right w:val="none" w:sz="0" w:space="0" w:color="auto"/>
          </w:divBdr>
          <w:divsChild>
            <w:div w:id="1053885965">
              <w:marLeft w:val="0"/>
              <w:marRight w:val="0"/>
              <w:marTop w:val="0"/>
              <w:marBottom w:val="0"/>
              <w:divBdr>
                <w:top w:val="none" w:sz="0" w:space="0" w:color="auto"/>
                <w:left w:val="none" w:sz="0" w:space="0" w:color="auto"/>
                <w:bottom w:val="none" w:sz="0" w:space="0" w:color="auto"/>
                <w:right w:val="none" w:sz="0" w:space="0" w:color="auto"/>
              </w:divBdr>
              <w:divsChild>
                <w:div w:id="3662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5908">
          <w:marLeft w:val="0"/>
          <w:marRight w:val="0"/>
          <w:marTop w:val="0"/>
          <w:marBottom w:val="0"/>
          <w:divBdr>
            <w:top w:val="none" w:sz="0" w:space="0" w:color="auto"/>
            <w:left w:val="none" w:sz="0" w:space="0" w:color="auto"/>
            <w:bottom w:val="none" w:sz="0" w:space="0" w:color="auto"/>
            <w:right w:val="none" w:sz="0" w:space="0" w:color="auto"/>
          </w:divBdr>
          <w:divsChild>
            <w:div w:id="376857202">
              <w:marLeft w:val="0"/>
              <w:marRight w:val="0"/>
              <w:marTop w:val="0"/>
              <w:marBottom w:val="0"/>
              <w:divBdr>
                <w:top w:val="none" w:sz="0" w:space="0" w:color="auto"/>
                <w:left w:val="none" w:sz="0" w:space="0" w:color="auto"/>
                <w:bottom w:val="none" w:sz="0" w:space="0" w:color="auto"/>
                <w:right w:val="none" w:sz="0" w:space="0" w:color="auto"/>
              </w:divBdr>
              <w:divsChild>
                <w:div w:id="2095668308">
                  <w:marLeft w:val="0"/>
                  <w:marRight w:val="0"/>
                  <w:marTop w:val="0"/>
                  <w:marBottom w:val="0"/>
                  <w:divBdr>
                    <w:top w:val="none" w:sz="0" w:space="0" w:color="auto"/>
                    <w:left w:val="none" w:sz="0" w:space="0" w:color="auto"/>
                    <w:bottom w:val="none" w:sz="0" w:space="0" w:color="auto"/>
                    <w:right w:val="none" w:sz="0" w:space="0" w:color="auto"/>
                  </w:divBdr>
                  <w:divsChild>
                    <w:div w:id="20955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04191">
      <w:bodyDiv w:val="1"/>
      <w:marLeft w:val="0"/>
      <w:marRight w:val="0"/>
      <w:marTop w:val="0"/>
      <w:marBottom w:val="0"/>
      <w:divBdr>
        <w:top w:val="none" w:sz="0" w:space="0" w:color="auto"/>
        <w:left w:val="none" w:sz="0" w:space="0" w:color="auto"/>
        <w:bottom w:val="none" w:sz="0" w:space="0" w:color="auto"/>
        <w:right w:val="none" w:sz="0" w:space="0" w:color="auto"/>
      </w:divBdr>
    </w:div>
    <w:div w:id="1889490308">
      <w:bodyDiv w:val="1"/>
      <w:marLeft w:val="0"/>
      <w:marRight w:val="0"/>
      <w:marTop w:val="0"/>
      <w:marBottom w:val="0"/>
      <w:divBdr>
        <w:top w:val="none" w:sz="0" w:space="0" w:color="auto"/>
        <w:left w:val="none" w:sz="0" w:space="0" w:color="auto"/>
        <w:bottom w:val="none" w:sz="0" w:space="0" w:color="auto"/>
        <w:right w:val="none" w:sz="0" w:space="0" w:color="auto"/>
      </w:divBdr>
    </w:div>
    <w:div w:id="19893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onap@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EA95-BD0C-4B51-9FAB-603976D9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40166</Words>
  <Characters>228948</Characters>
  <Application>Microsoft Office Word</Application>
  <DocSecurity>0</DocSecurity>
  <Lines>1907</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Sailish Honap</dc:creator>
  <cp:keywords/>
  <dc:description/>
  <cp:lastModifiedBy>Richard Pollok</cp:lastModifiedBy>
  <cp:revision>2</cp:revision>
  <dcterms:created xsi:type="dcterms:W3CDTF">2023-07-20T08:08:00Z</dcterms:created>
  <dcterms:modified xsi:type="dcterms:W3CDTF">2023-07-20T08:08:00Z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id="RQXFEKhi"/&gt;&lt;style id="http://www.zotero.org/styles/vancouver-superscript" locale="en-GB" hasBibliography="1" bibliographyStyleHasBeenSet="1"/&gt;&lt;prefs&gt;&lt;pref name="fieldType" value="Field"/&gt;&lt;pref na</vt:lpwstr>
  </property>
  <property fmtid="{D5CDD505-2E9C-101B-9397-08002B2CF9AE}" pid="3" name="ZOTERO_PREF_2">
    <vt:lpwstr>me="dontAskDelayCitationUpdates" value="true"/&gt;&lt;/prefs&gt;&lt;/data&gt;</vt:lpwstr>
  </property>
</Properties>
</file>