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2EB8" w14:textId="77777777" w:rsidR="00825C89" w:rsidRPr="00A42D9D" w:rsidRDefault="00825C89" w:rsidP="00825C89">
      <w:pPr>
        <w:jc w:val="both"/>
        <w:rPr>
          <w:rFonts w:cstheme="minorHAnsi"/>
          <w:sz w:val="24"/>
          <w:szCs w:val="24"/>
        </w:rPr>
      </w:pPr>
      <w:r w:rsidRPr="00A42D9D">
        <w:rPr>
          <w:rFonts w:cstheme="minorHAnsi"/>
          <w:b/>
          <w:i/>
          <w:sz w:val="24"/>
          <w:szCs w:val="24"/>
          <w:u w:val="single"/>
        </w:rPr>
        <w:t>Title:</w:t>
      </w:r>
      <w:r w:rsidRPr="00A42D9D">
        <w:rPr>
          <w:rFonts w:cstheme="minorHAnsi"/>
          <w:sz w:val="24"/>
          <w:szCs w:val="24"/>
        </w:rPr>
        <w:t xml:space="preserve"> Comparison of high intensity interval training versus moderate intensity continuous training in pulmonary rehabilitation for interstitial lung disease; a randomised controlled pilot feasibility trial.</w:t>
      </w:r>
    </w:p>
    <w:p w14:paraId="714CFECA" w14:textId="77777777" w:rsidR="00825C89" w:rsidRPr="00A42D9D" w:rsidRDefault="00825C89" w:rsidP="00825C89">
      <w:pPr>
        <w:spacing w:after="0" w:line="360" w:lineRule="auto"/>
        <w:jc w:val="both"/>
        <w:rPr>
          <w:rFonts w:cstheme="minorHAnsi"/>
          <w:sz w:val="24"/>
          <w:szCs w:val="24"/>
          <w:vertAlign w:val="superscript"/>
        </w:rPr>
      </w:pPr>
      <w:r w:rsidRPr="00A42D9D">
        <w:rPr>
          <w:rFonts w:cstheme="minorHAnsi"/>
          <w:b/>
          <w:i/>
          <w:sz w:val="24"/>
          <w:szCs w:val="24"/>
        </w:rPr>
        <w:t>Authors:</w:t>
      </w:r>
      <w:r w:rsidRPr="00A42D9D">
        <w:rPr>
          <w:rFonts w:cstheme="minorHAnsi"/>
          <w:sz w:val="24"/>
          <w:szCs w:val="24"/>
        </w:rPr>
        <w:t xml:space="preserve"> </w:t>
      </w:r>
    </w:p>
    <w:p w14:paraId="31D78332" w14:textId="77777777" w:rsidR="00825C89" w:rsidRDefault="00825C89" w:rsidP="00825C89">
      <w:pPr>
        <w:spacing w:after="0" w:line="360" w:lineRule="auto"/>
        <w:jc w:val="both"/>
      </w:pPr>
      <w:r w:rsidRPr="00A42D9D">
        <w:rPr>
          <w:rFonts w:cstheme="minorHAnsi"/>
          <w:sz w:val="24"/>
          <w:szCs w:val="24"/>
        </w:rPr>
        <w:t>Dr Dimitra Nikoletou</w:t>
      </w:r>
      <w:r w:rsidRPr="00A42D9D">
        <w:rPr>
          <w:rFonts w:cstheme="minorHAnsi"/>
          <w:sz w:val="24"/>
          <w:szCs w:val="24"/>
          <w:vertAlign w:val="superscript"/>
        </w:rPr>
        <w:t xml:space="preserve">1, 2, </w:t>
      </w:r>
      <w:r w:rsidRPr="00A42D9D">
        <w:rPr>
          <w:rFonts w:cstheme="minorHAnsi"/>
          <w:sz w:val="24"/>
          <w:szCs w:val="24"/>
        </w:rPr>
        <w:t>PhD</w:t>
      </w:r>
      <w:r w:rsidRPr="00A42D9D">
        <w:rPr>
          <w:rFonts w:cstheme="minorHAnsi"/>
          <w:sz w:val="24"/>
          <w:szCs w:val="24"/>
        </w:rPr>
        <w:tab/>
      </w:r>
      <w:r w:rsidRPr="00A42D9D">
        <w:rPr>
          <w:rFonts w:cstheme="minorHAnsi"/>
          <w:sz w:val="24"/>
          <w:szCs w:val="24"/>
        </w:rPr>
        <w:tab/>
      </w:r>
      <w:hyperlink r:id="rId7" w:history="1">
        <w:r w:rsidRPr="00E72B2F">
          <w:rPr>
            <w:rStyle w:val="Hyperlink"/>
            <w:sz w:val="24"/>
            <w:szCs w:val="24"/>
          </w:rPr>
          <w:t>dinikole@sgul.ac.uk</w:t>
        </w:r>
      </w:hyperlink>
    </w:p>
    <w:p w14:paraId="33D0D9B9" w14:textId="77777777" w:rsidR="00825C89" w:rsidRPr="00A42D9D" w:rsidRDefault="00825C89" w:rsidP="00825C89">
      <w:pPr>
        <w:spacing w:after="0" w:line="360" w:lineRule="auto"/>
        <w:jc w:val="both"/>
        <w:rPr>
          <w:rFonts w:cstheme="minorHAnsi"/>
          <w:sz w:val="24"/>
          <w:szCs w:val="24"/>
        </w:rPr>
      </w:pPr>
      <w:r w:rsidRPr="00A42D9D">
        <w:rPr>
          <w:rFonts w:cstheme="minorHAnsi"/>
          <w:sz w:val="24"/>
          <w:szCs w:val="24"/>
        </w:rPr>
        <w:t>Dr Irina Chis-Ster</w:t>
      </w:r>
      <w:r>
        <w:rPr>
          <w:rFonts w:cstheme="minorHAnsi"/>
          <w:sz w:val="24"/>
          <w:szCs w:val="24"/>
          <w:vertAlign w:val="superscript"/>
        </w:rPr>
        <w:t>3</w:t>
      </w:r>
      <w:r w:rsidRPr="00A42D9D">
        <w:rPr>
          <w:rFonts w:cstheme="minorHAnsi"/>
          <w:sz w:val="24"/>
          <w:szCs w:val="24"/>
        </w:rPr>
        <w:t>, PhD</w:t>
      </w:r>
      <w:r w:rsidRPr="00A42D9D">
        <w:rPr>
          <w:rFonts w:cstheme="minorHAnsi"/>
          <w:sz w:val="24"/>
          <w:szCs w:val="24"/>
        </w:rPr>
        <w:tab/>
      </w:r>
      <w:r w:rsidRPr="00A42D9D">
        <w:rPr>
          <w:rFonts w:cstheme="minorHAnsi"/>
          <w:sz w:val="24"/>
          <w:szCs w:val="24"/>
        </w:rPr>
        <w:tab/>
      </w:r>
      <w:hyperlink r:id="rId8" w:history="1">
        <w:r w:rsidRPr="00A42D9D">
          <w:rPr>
            <w:rStyle w:val="Hyperlink"/>
            <w:rFonts w:cstheme="minorHAnsi"/>
            <w:sz w:val="24"/>
            <w:szCs w:val="24"/>
          </w:rPr>
          <w:t>ichisste@sgul.ac.uk</w:t>
        </w:r>
      </w:hyperlink>
    </w:p>
    <w:p w14:paraId="6E3D6FC3" w14:textId="77777777" w:rsidR="00825C89" w:rsidRDefault="00825C89" w:rsidP="00825C89">
      <w:pPr>
        <w:spacing w:after="0" w:line="360" w:lineRule="auto"/>
        <w:jc w:val="both"/>
        <w:rPr>
          <w:rFonts w:cstheme="minorHAnsi"/>
          <w:sz w:val="24"/>
          <w:szCs w:val="24"/>
        </w:rPr>
      </w:pPr>
      <w:r w:rsidRPr="00A42D9D">
        <w:rPr>
          <w:rFonts w:cstheme="minorHAnsi"/>
          <w:sz w:val="24"/>
          <w:szCs w:val="24"/>
        </w:rPr>
        <w:t>Ms Carmen Y. Lech</w:t>
      </w:r>
      <w:r>
        <w:rPr>
          <w:rFonts w:cstheme="minorHAnsi"/>
          <w:sz w:val="24"/>
          <w:szCs w:val="24"/>
          <w:vertAlign w:val="superscript"/>
        </w:rPr>
        <w:t>3</w:t>
      </w:r>
      <w:r w:rsidRPr="00A42D9D">
        <w:rPr>
          <w:rFonts w:cstheme="minorHAnsi"/>
          <w:sz w:val="24"/>
          <w:szCs w:val="24"/>
        </w:rPr>
        <w:t>, BSc</w:t>
      </w:r>
      <w:r w:rsidRPr="00A42D9D">
        <w:rPr>
          <w:rFonts w:cstheme="minorHAnsi"/>
          <w:sz w:val="24"/>
          <w:szCs w:val="24"/>
        </w:rPr>
        <w:tab/>
      </w:r>
      <w:r w:rsidRPr="00A42D9D">
        <w:rPr>
          <w:rFonts w:cstheme="minorHAnsi"/>
          <w:sz w:val="24"/>
          <w:szCs w:val="24"/>
        </w:rPr>
        <w:tab/>
      </w:r>
      <w:hyperlink r:id="rId9" w:history="1">
        <w:r w:rsidRPr="00B635E0">
          <w:rPr>
            <w:rStyle w:val="Hyperlink"/>
            <w:rFonts w:cstheme="minorHAnsi"/>
            <w:sz w:val="24"/>
            <w:szCs w:val="24"/>
          </w:rPr>
          <w:t>carmenyanina.lech@gmail.com</w:t>
        </w:r>
      </w:hyperlink>
    </w:p>
    <w:p w14:paraId="45F578B6" w14:textId="77777777" w:rsidR="00825C89" w:rsidRPr="00A42D9D" w:rsidRDefault="00825C89" w:rsidP="00825C89">
      <w:pPr>
        <w:rPr>
          <w:rFonts w:cstheme="minorHAnsi"/>
          <w:color w:val="1F497D"/>
          <w:sz w:val="24"/>
          <w:szCs w:val="24"/>
        </w:rPr>
      </w:pPr>
      <w:r w:rsidRPr="00A42D9D">
        <w:rPr>
          <w:rFonts w:cstheme="minorHAnsi"/>
          <w:sz w:val="24"/>
          <w:szCs w:val="24"/>
        </w:rPr>
        <w:t>Mr Iain S. MacNaughton</w:t>
      </w:r>
      <w:r>
        <w:rPr>
          <w:rFonts w:cstheme="minorHAnsi"/>
          <w:sz w:val="24"/>
          <w:szCs w:val="24"/>
          <w:vertAlign w:val="superscript"/>
        </w:rPr>
        <w:t>3</w:t>
      </w:r>
      <w:r w:rsidRPr="00A42D9D">
        <w:rPr>
          <w:rFonts w:cstheme="minorHAnsi"/>
          <w:sz w:val="24"/>
          <w:szCs w:val="24"/>
        </w:rPr>
        <w:t xml:space="preserve">, BSc </w:t>
      </w:r>
      <w:r w:rsidRPr="00A42D9D">
        <w:rPr>
          <w:rFonts w:cstheme="minorHAnsi"/>
          <w:sz w:val="24"/>
          <w:szCs w:val="24"/>
        </w:rPr>
        <w:tab/>
      </w:r>
      <w:hyperlink r:id="rId10" w:history="1">
        <w:r w:rsidRPr="00A42D9D">
          <w:rPr>
            <w:rStyle w:val="Hyperlink"/>
            <w:rFonts w:cstheme="minorHAnsi"/>
            <w:sz w:val="24"/>
            <w:szCs w:val="24"/>
          </w:rPr>
          <w:t>iainmacn62@gmail.com</w:t>
        </w:r>
      </w:hyperlink>
    </w:p>
    <w:p w14:paraId="7524B51B" w14:textId="77777777" w:rsidR="00825C89" w:rsidRPr="00A42D9D" w:rsidRDefault="00825C89" w:rsidP="00825C89">
      <w:pPr>
        <w:spacing w:after="0" w:line="360" w:lineRule="auto"/>
        <w:jc w:val="both"/>
        <w:rPr>
          <w:rFonts w:cstheme="minorHAnsi"/>
          <w:sz w:val="24"/>
          <w:szCs w:val="24"/>
        </w:rPr>
      </w:pPr>
      <w:r w:rsidRPr="00A42D9D">
        <w:rPr>
          <w:rFonts w:cstheme="minorHAnsi"/>
          <w:sz w:val="24"/>
          <w:szCs w:val="24"/>
        </w:rPr>
        <w:t>Dr Felix Chua MD</w:t>
      </w:r>
      <w:r>
        <w:rPr>
          <w:rFonts w:cstheme="minorHAnsi"/>
          <w:sz w:val="24"/>
          <w:szCs w:val="24"/>
          <w:vertAlign w:val="superscript"/>
        </w:rPr>
        <w:t>4</w:t>
      </w:r>
      <w:r w:rsidRPr="00A42D9D">
        <w:rPr>
          <w:rFonts w:cstheme="minorHAnsi"/>
          <w:sz w:val="24"/>
          <w:szCs w:val="24"/>
        </w:rPr>
        <w:t>, PhD</w:t>
      </w:r>
      <w:r w:rsidRPr="00A42D9D">
        <w:rPr>
          <w:rFonts w:cstheme="minorHAnsi"/>
          <w:sz w:val="24"/>
          <w:szCs w:val="24"/>
        </w:rPr>
        <w:tab/>
      </w:r>
      <w:r w:rsidRPr="00A42D9D">
        <w:rPr>
          <w:rFonts w:cstheme="minorHAnsi"/>
          <w:sz w:val="24"/>
          <w:szCs w:val="24"/>
        </w:rPr>
        <w:tab/>
      </w:r>
      <w:hyperlink r:id="rId11" w:history="1">
        <w:r w:rsidRPr="00A42D9D">
          <w:rPr>
            <w:rStyle w:val="Hyperlink"/>
            <w:rFonts w:cstheme="minorHAnsi"/>
            <w:sz w:val="24"/>
            <w:szCs w:val="24"/>
          </w:rPr>
          <w:t>F.Chua@rbht.nhs.uk</w:t>
        </w:r>
      </w:hyperlink>
    </w:p>
    <w:p w14:paraId="1C44C898" w14:textId="77777777" w:rsidR="00825C89" w:rsidRPr="00A42D9D" w:rsidRDefault="00825C89" w:rsidP="00825C89">
      <w:pPr>
        <w:spacing w:after="0" w:line="360" w:lineRule="auto"/>
        <w:jc w:val="both"/>
        <w:rPr>
          <w:rFonts w:cstheme="minorHAnsi"/>
          <w:sz w:val="24"/>
          <w:szCs w:val="24"/>
        </w:rPr>
      </w:pPr>
      <w:r w:rsidRPr="00A42D9D">
        <w:rPr>
          <w:rFonts w:cstheme="minorHAnsi"/>
          <w:sz w:val="24"/>
          <w:szCs w:val="24"/>
        </w:rPr>
        <w:t>Dr Raminder Aul MD</w:t>
      </w:r>
      <w:r>
        <w:rPr>
          <w:rFonts w:cstheme="minorHAnsi"/>
          <w:sz w:val="24"/>
          <w:szCs w:val="24"/>
          <w:vertAlign w:val="superscript"/>
        </w:rPr>
        <w:t>5</w:t>
      </w:r>
      <w:r w:rsidRPr="00A42D9D">
        <w:rPr>
          <w:rFonts w:cstheme="minorHAnsi"/>
          <w:sz w:val="24"/>
          <w:szCs w:val="24"/>
        </w:rPr>
        <w:tab/>
      </w:r>
      <w:r w:rsidRPr="00A42D9D">
        <w:rPr>
          <w:rFonts w:cstheme="minorHAnsi"/>
          <w:sz w:val="24"/>
          <w:szCs w:val="24"/>
        </w:rPr>
        <w:tab/>
      </w:r>
      <w:r w:rsidRPr="00A42D9D">
        <w:rPr>
          <w:rFonts w:cstheme="minorHAnsi"/>
          <w:sz w:val="24"/>
          <w:szCs w:val="24"/>
        </w:rPr>
        <w:tab/>
      </w:r>
      <w:hyperlink r:id="rId12" w:history="1">
        <w:r w:rsidRPr="00A42D9D">
          <w:rPr>
            <w:rStyle w:val="Hyperlink"/>
            <w:rFonts w:cstheme="minorHAnsi"/>
            <w:sz w:val="24"/>
            <w:szCs w:val="24"/>
          </w:rPr>
          <w:t>raminder.aul@stgeorges.nhs.uk</w:t>
        </w:r>
      </w:hyperlink>
    </w:p>
    <w:p w14:paraId="15D02565" w14:textId="77777777" w:rsidR="00825C89" w:rsidRPr="00A42D9D" w:rsidRDefault="00825C89" w:rsidP="00825C89">
      <w:pPr>
        <w:spacing w:after="0" w:line="360" w:lineRule="auto"/>
        <w:jc w:val="both"/>
        <w:rPr>
          <w:rFonts w:cstheme="minorHAnsi"/>
          <w:sz w:val="24"/>
          <w:szCs w:val="24"/>
        </w:rPr>
      </w:pPr>
      <w:r w:rsidRPr="00A42D9D">
        <w:rPr>
          <w:rFonts w:cstheme="minorHAnsi"/>
          <w:sz w:val="24"/>
          <w:szCs w:val="24"/>
        </w:rPr>
        <w:t>Professor Paul Jones</w:t>
      </w:r>
      <w:r>
        <w:rPr>
          <w:rFonts w:cstheme="minorHAnsi"/>
          <w:sz w:val="24"/>
          <w:szCs w:val="24"/>
          <w:vertAlign w:val="superscript"/>
        </w:rPr>
        <w:t>3</w:t>
      </w:r>
      <w:r w:rsidRPr="00A42D9D">
        <w:rPr>
          <w:rFonts w:cstheme="minorHAnsi"/>
          <w:sz w:val="24"/>
          <w:szCs w:val="24"/>
        </w:rPr>
        <w:tab/>
      </w:r>
      <w:r>
        <w:rPr>
          <w:rFonts w:cstheme="minorHAnsi"/>
          <w:sz w:val="24"/>
          <w:szCs w:val="24"/>
        </w:rPr>
        <w:t xml:space="preserve">MD, </w:t>
      </w:r>
      <w:r w:rsidRPr="00A42D9D">
        <w:rPr>
          <w:rFonts w:cstheme="minorHAnsi"/>
          <w:sz w:val="24"/>
          <w:szCs w:val="24"/>
        </w:rPr>
        <w:t>PhD</w:t>
      </w:r>
      <w:r w:rsidRPr="00A42D9D">
        <w:rPr>
          <w:rFonts w:cstheme="minorHAnsi"/>
          <w:sz w:val="24"/>
          <w:szCs w:val="24"/>
        </w:rPr>
        <w:tab/>
      </w:r>
      <w:hyperlink r:id="rId13" w:history="1">
        <w:r w:rsidRPr="00BA0BAD">
          <w:rPr>
            <w:rStyle w:val="Hyperlink"/>
            <w:rFonts w:cstheme="minorHAnsi"/>
            <w:sz w:val="24"/>
            <w:szCs w:val="24"/>
          </w:rPr>
          <w:t>pjones@sgul.ac.uk</w:t>
        </w:r>
      </w:hyperlink>
    </w:p>
    <w:p w14:paraId="6D3753AE" w14:textId="77777777" w:rsidR="00825C89" w:rsidRPr="00A42D9D" w:rsidRDefault="00825C89" w:rsidP="00825C89">
      <w:pPr>
        <w:spacing w:after="0" w:line="360" w:lineRule="auto"/>
        <w:jc w:val="both"/>
        <w:rPr>
          <w:rFonts w:cstheme="minorHAnsi"/>
          <w:b/>
          <w:i/>
          <w:sz w:val="24"/>
          <w:szCs w:val="24"/>
        </w:rPr>
      </w:pPr>
    </w:p>
    <w:p w14:paraId="7E9218B1" w14:textId="77777777" w:rsidR="00825C89" w:rsidRPr="00A42D9D" w:rsidRDefault="00825C89" w:rsidP="00825C89">
      <w:pPr>
        <w:spacing w:after="0" w:line="360" w:lineRule="auto"/>
        <w:jc w:val="both"/>
        <w:rPr>
          <w:rFonts w:cstheme="minorHAnsi"/>
          <w:b/>
          <w:i/>
          <w:sz w:val="24"/>
          <w:szCs w:val="24"/>
        </w:rPr>
      </w:pPr>
      <w:r w:rsidRPr="00A42D9D">
        <w:rPr>
          <w:rFonts w:cstheme="minorHAnsi"/>
          <w:b/>
          <w:i/>
          <w:sz w:val="24"/>
          <w:szCs w:val="24"/>
        </w:rPr>
        <w:t>Authors’ affiliations:</w:t>
      </w:r>
    </w:p>
    <w:p w14:paraId="45CA4074" w14:textId="77777777" w:rsidR="00825C89" w:rsidRPr="00A42D9D" w:rsidRDefault="00825C89" w:rsidP="00825C89">
      <w:pPr>
        <w:pStyle w:val="ListParagraph"/>
        <w:numPr>
          <w:ilvl w:val="0"/>
          <w:numId w:val="2"/>
        </w:numPr>
        <w:spacing w:after="0" w:line="240" w:lineRule="auto"/>
        <w:jc w:val="both"/>
        <w:rPr>
          <w:rFonts w:cstheme="minorHAnsi"/>
          <w:sz w:val="24"/>
          <w:szCs w:val="24"/>
        </w:rPr>
      </w:pPr>
      <w:r w:rsidRPr="00A42D9D">
        <w:rPr>
          <w:rFonts w:cstheme="minorHAnsi"/>
          <w:sz w:val="24"/>
          <w:szCs w:val="24"/>
        </w:rPr>
        <w:t xml:space="preserve">Centre for Allied Health, </w:t>
      </w:r>
      <w:r>
        <w:rPr>
          <w:rFonts w:cstheme="minorHAnsi"/>
          <w:sz w:val="24"/>
          <w:szCs w:val="24"/>
        </w:rPr>
        <w:t xml:space="preserve">Institute of Medical and Biomedical Education, </w:t>
      </w:r>
      <w:r w:rsidRPr="00A42D9D">
        <w:rPr>
          <w:rFonts w:cstheme="minorHAnsi"/>
          <w:sz w:val="24"/>
          <w:szCs w:val="24"/>
        </w:rPr>
        <w:t>St George’s University of London, Cranmer Terrace, London, SW17 ORE, UK.</w:t>
      </w:r>
    </w:p>
    <w:p w14:paraId="7B17693F" w14:textId="77777777" w:rsidR="00825C89" w:rsidRDefault="00825C89" w:rsidP="00825C89">
      <w:pPr>
        <w:pStyle w:val="ListParagraph"/>
        <w:numPr>
          <w:ilvl w:val="0"/>
          <w:numId w:val="2"/>
        </w:numPr>
        <w:spacing w:after="0" w:line="240" w:lineRule="auto"/>
        <w:jc w:val="both"/>
        <w:rPr>
          <w:rFonts w:cstheme="minorHAnsi"/>
          <w:sz w:val="24"/>
          <w:szCs w:val="24"/>
        </w:rPr>
      </w:pPr>
      <w:r>
        <w:rPr>
          <w:rFonts w:cstheme="minorHAnsi"/>
          <w:sz w:val="24"/>
          <w:szCs w:val="24"/>
        </w:rPr>
        <w:t>Faculty of Health, Science, Social care and Education, Kingston University, London, UK.</w:t>
      </w:r>
    </w:p>
    <w:p w14:paraId="4C2D7E30" w14:textId="77777777" w:rsidR="00825C89" w:rsidRPr="00A42D9D" w:rsidRDefault="00825C89" w:rsidP="00825C89">
      <w:pPr>
        <w:pStyle w:val="ListParagraph"/>
        <w:numPr>
          <w:ilvl w:val="0"/>
          <w:numId w:val="2"/>
        </w:numPr>
        <w:spacing w:after="0" w:line="240" w:lineRule="auto"/>
        <w:jc w:val="both"/>
        <w:rPr>
          <w:rFonts w:cstheme="minorHAnsi"/>
          <w:sz w:val="24"/>
          <w:szCs w:val="24"/>
        </w:rPr>
      </w:pPr>
      <w:r w:rsidRPr="00A42D9D">
        <w:rPr>
          <w:rFonts w:cstheme="minorHAnsi"/>
          <w:sz w:val="24"/>
          <w:szCs w:val="24"/>
        </w:rPr>
        <w:t>Infection and Immunity Research Institute, St George’s University of London, Cranmer Terrace, London, SW17 ORE, UK</w:t>
      </w:r>
    </w:p>
    <w:p w14:paraId="084ECB49" w14:textId="77777777" w:rsidR="00825C89" w:rsidRPr="00A42D9D" w:rsidRDefault="00825C89" w:rsidP="00825C89">
      <w:pPr>
        <w:pStyle w:val="ListParagraph"/>
        <w:numPr>
          <w:ilvl w:val="0"/>
          <w:numId w:val="2"/>
        </w:numPr>
        <w:spacing w:after="0" w:line="240" w:lineRule="auto"/>
        <w:jc w:val="both"/>
        <w:rPr>
          <w:rFonts w:cstheme="minorHAnsi"/>
          <w:sz w:val="24"/>
          <w:szCs w:val="24"/>
        </w:rPr>
      </w:pPr>
      <w:r w:rsidRPr="00A42D9D">
        <w:rPr>
          <w:rFonts w:cstheme="minorHAnsi"/>
          <w:sz w:val="24"/>
          <w:szCs w:val="24"/>
        </w:rPr>
        <w:t xml:space="preserve">Department of Respiratory Medicine, </w:t>
      </w:r>
      <w:r w:rsidRPr="00A42D9D">
        <w:rPr>
          <w:rFonts w:eastAsia="Times New Roman" w:cstheme="minorHAnsi"/>
          <w:sz w:val="24"/>
          <w:szCs w:val="24"/>
          <w:lang w:eastAsia="en-GB"/>
        </w:rPr>
        <w:t>Royal Brompton &amp; Harefield NHS Foundation Trust, London, UK.</w:t>
      </w:r>
    </w:p>
    <w:p w14:paraId="51D96CCF" w14:textId="77777777" w:rsidR="00825C89" w:rsidRPr="00A42D9D" w:rsidRDefault="00825C89" w:rsidP="00825C89">
      <w:pPr>
        <w:pStyle w:val="ListParagraph"/>
        <w:numPr>
          <w:ilvl w:val="0"/>
          <w:numId w:val="2"/>
        </w:numPr>
        <w:spacing w:after="0" w:line="240" w:lineRule="auto"/>
        <w:jc w:val="both"/>
        <w:rPr>
          <w:rFonts w:cstheme="minorHAnsi"/>
          <w:sz w:val="24"/>
          <w:szCs w:val="24"/>
        </w:rPr>
      </w:pPr>
      <w:r w:rsidRPr="00A42D9D">
        <w:rPr>
          <w:rFonts w:cstheme="minorHAnsi"/>
          <w:sz w:val="24"/>
          <w:szCs w:val="24"/>
        </w:rPr>
        <w:t>Department of Respiratory Medicine, St George’s Hospital NHS Foundation Trust, London SW17 ORE, UK</w:t>
      </w:r>
    </w:p>
    <w:p w14:paraId="1D30315F" w14:textId="77777777" w:rsidR="00825C89" w:rsidRPr="00A42D9D" w:rsidRDefault="00825C89" w:rsidP="00825C89">
      <w:pPr>
        <w:spacing w:after="0" w:line="240" w:lineRule="auto"/>
        <w:jc w:val="both"/>
        <w:rPr>
          <w:rFonts w:cstheme="minorHAnsi"/>
          <w:sz w:val="24"/>
          <w:szCs w:val="24"/>
        </w:rPr>
      </w:pPr>
    </w:p>
    <w:p w14:paraId="5CE2B9C4" w14:textId="77777777" w:rsidR="00825C89" w:rsidRPr="00A42D9D" w:rsidRDefault="00825C89" w:rsidP="00825C89">
      <w:pPr>
        <w:spacing w:after="0" w:line="240" w:lineRule="auto"/>
        <w:jc w:val="both"/>
        <w:rPr>
          <w:rFonts w:cstheme="minorHAnsi"/>
          <w:b/>
          <w:i/>
          <w:sz w:val="24"/>
          <w:szCs w:val="24"/>
        </w:rPr>
      </w:pPr>
      <w:r w:rsidRPr="00A42D9D">
        <w:rPr>
          <w:rFonts w:cstheme="minorHAnsi"/>
          <w:b/>
          <w:i/>
          <w:sz w:val="24"/>
          <w:szCs w:val="24"/>
        </w:rPr>
        <w:t>Corresponding author:</w:t>
      </w:r>
    </w:p>
    <w:p w14:paraId="00FD6D26" w14:textId="77777777" w:rsidR="00825C89" w:rsidRPr="00A42D9D" w:rsidRDefault="00825C89" w:rsidP="00825C89">
      <w:pPr>
        <w:spacing w:after="0" w:line="240" w:lineRule="auto"/>
        <w:jc w:val="both"/>
        <w:rPr>
          <w:rFonts w:cstheme="minorHAnsi"/>
          <w:sz w:val="24"/>
          <w:szCs w:val="24"/>
        </w:rPr>
      </w:pPr>
      <w:r w:rsidRPr="00A42D9D">
        <w:rPr>
          <w:rFonts w:cstheme="minorHAnsi"/>
          <w:sz w:val="24"/>
          <w:szCs w:val="24"/>
        </w:rPr>
        <w:t>Dr Dimitra Nikoletou, Centre for Allied Health, St George’s University of London, Cranmer Terrace, London, SW17 ORE</w:t>
      </w:r>
      <w:r>
        <w:rPr>
          <w:rFonts w:cstheme="minorHAnsi"/>
          <w:sz w:val="24"/>
          <w:szCs w:val="24"/>
        </w:rPr>
        <w:t xml:space="preserve"> and (honorary) Faculty of Health, Science, Social care and Education, Kingston University, London, UK.</w:t>
      </w:r>
    </w:p>
    <w:p w14:paraId="1550EF39" w14:textId="77777777" w:rsidR="00825C89" w:rsidRDefault="00825C89" w:rsidP="00825C89">
      <w:pPr>
        <w:spacing w:after="0" w:line="240" w:lineRule="auto"/>
        <w:jc w:val="both"/>
        <w:rPr>
          <w:rFonts w:cstheme="minorHAnsi"/>
          <w:sz w:val="24"/>
          <w:szCs w:val="24"/>
        </w:rPr>
      </w:pPr>
      <w:r w:rsidRPr="00A42D9D">
        <w:rPr>
          <w:rFonts w:cstheme="minorHAnsi"/>
          <w:sz w:val="24"/>
          <w:szCs w:val="24"/>
        </w:rPr>
        <w:t>Tel: 0208 725 227</w:t>
      </w:r>
      <w:r>
        <w:rPr>
          <w:rFonts w:cstheme="minorHAnsi"/>
          <w:sz w:val="24"/>
          <w:szCs w:val="24"/>
        </w:rPr>
        <w:t>7</w:t>
      </w:r>
      <w:r w:rsidRPr="00A42D9D">
        <w:rPr>
          <w:rFonts w:cstheme="minorHAnsi"/>
          <w:sz w:val="24"/>
          <w:szCs w:val="24"/>
        </w:rPr>
        <w:t xml:space="preserve"> Emai</w:t>
      </w:r>
      <w:r>
        <w:rPr>
          <w:rFonts w:cstheme="minorHAnsi"/>
          <w:sz w:val="24"/>
          <w:szCs w:val="24"/>
        </w:rPr>
        <w:t xml:space="preserve">l: </w:t>
      </w:r>
      <w:hyperlink r:id="rId14" w:history="1">
        <w:r w:rsidRPr="00166EB2">
          <w:rPr>
            <w:rStyle w:val="Hyperlink"/>
            <w:rFonts w:cstheme="minorHAnsi"/>
            <w:sz w:val="24"/>
            <w:szCs w:val="24"/>
          </w:rPr>
          <w:t>dinikole@sgul.ac.uk</w:t>
        </w:r>
      </w:hyperlink>
    </w:p>
    <w:p w14:paraId="5CF61BD3" w14:textId="77777777" w:rsidR="00825C89" w:rsidRPr="00A42D9D" w:rsidRDefault="00825C89" w:rsidP="00825C89">
      <w:pPr>
        <w:spacing w:after="0" w:line="240" w:lineRule="auto"/>
        <w:jc w:val="both"/>
        <w:rPr>
          <w:rFonts w:cstheme="minorHAnsi"/>
          <w:sz w:val="24"/>
          <w:szCs w:val="24"/>
        </w:rPr>
      </w:pPr>
    </w:p>
    <w:p w14:paraId="689642E2" w14:textId="77777777" w:rsidR="00825C89" w:rsidRPr="00A42D9D" w:rsidRDefault="00825C89" w:rsidP="00825C89">
      <w:pPr>
        <w:jc w:val="both"/>
        <w:rPr>
          <w:rFonts w:cstheme="minorHAnsi"/>
          <w:sz w:val="24"/>
          <w:szCs w:val="24"/>
        </w:rPr>
      </w:pPr>
      <w:r w:rsidRPr="00A42D9D">
        <w:rPr>
          <w:rFonts w:cstheme="minorHAnsi"/>
          <w:b/>
          <w:i/>
          <w:sz w:val="24"/>
          <w:szCs w:val="24"/>
        </w:rPr>
        <w:t>Key words</w:t>
      </w:r>
      <w:r w:rsidRPr="00A42D9D">
        <w:rPr>
          <w:rFonts w:cstheme="minorHAnsi"/>
          <w:sz w:val="24"/>
          <w:szCs w:val="24"/>
        </w:rPr>
        <w:t>: Interstitial lung disease, ILD, Pulmonary rehabilitation, Interstitial pulmonary fibrosis, exercise, high intensity interval training, HIIT.</w:t>
      </w:r>
    </w:p>
    <w:p w14:paraId="6790B65C" w14:textId="77777777" w:rsidR="00825C89" w:rsidRPr="00A42D9D" w:rsidRDefault="00825C89" w:rsidP="00825C89">
      <w:pPr>
        <w:jc w:val="both"/>
        <w:rPr>
          <w:rFonts w:cstheme="minorHAnsi"/>
          <w:sz w:val="24"/>
          <w:szCs w:val="24"/>
        </w:rPr>
      </w:pPr>
      <w:r w:rsidRPr="00A42D9D">
        <w:rPr>
          <w:rFonts w:cstheme="minorHAnsi"/>
          <w:b/>
          <w:i/>
          <w:sz w:val="24"/>
          <w:szCs w:val="24"/>
        </w:rPr>
        <w:t>Running head</w:t>
      </w:r>
      <w:r w:rsidRPr="00A42D9D">
        <w:rPr>
          <w:rFonts w:cstheme="minorHAnsi"/>
          <w:sz w:val="24"/>
          <w:szCs w:val="24"/>
        </w:rPr>
        <w:t>: Feasibility of HIIT versus MICT in ILD PR programmes</w:t>
      </w:r>
    </w:p>
    <w:p w14:paraId="35B0D498" w14:textId="77777777" w:rsidR="00825C89" w:rsidRPr="00A42D9D" w:rsidRDefault="00825C89" w:rsidP="00825C89">
      <w:pPr>
        <w:jc w:val="both"/>
        <w:rPr>
          <w:rFonts w:cstheme="minorHAnsi"/>
          <w:sz w:val="24"/>
          <w:szCs w:val="24"/>
        </w:rPr>
      </w:pPr>
      <w:r w:rsidRPr="00A42D9D">
        <w:rPr>
          <w:rFonts w:cstheme="minorHAnsi"/>
          <w:b/>
          <w:i/>
          <w:sz w:val="24"/>
          <w:szCs w:val="24"/>
        </w:rPr>
        <w:t>Trial registration:</w:t>
      </w:r>
      <w:r w:rsidRPr="00A42D9D">
        <w:rPr>
          <w:rFonts w:cstheme="minorHAnsi"/>
          <w:b/>
          <w:sz w:val="24"/>
          <w:szCs w:val="24"/>
        </w:rPr>
        <w:t xml:space="preserve"> </w:t>
      </w:r>
      <w:r>
        <w:rPr>
          <w:rFonts w:cstheme="minorHAnsi"/>
          <w:sz w:val="24"/>
          <w:szCs w:val="24"/>
        </w:rPr>
        <w:t>This trial was</w:t>
      </w:r>
      <w:r w:rsidRPr="00A42D9D">
        <w:rPr>
          <w:rFonts w:cstheme="minorHAnsi"/>
          <w:sz w:val="24"/>
          <w:szCs w:val="24"/>
        </w:rPr>
        <w:t xml:space="preserve"> registered in ISRCTN, with the ID number ISRCTN55846300. </w:t>
      </w:r>
    </w:p>
    <w:p w14:paraId="5BD897A5" w14:textId="77777777" w:rsidR="00825C89" w:rsidRPr="00A42D9D" w:rsidRDefault="00825C89" w:rsidP="00825C89">
      <w:pPr>
        <w:jc w:val="both"/>
        <w:rPr>
          <w:rFonts w:cstheme="minorHAnsi"/>
          <w:sz w:val="24"/>
          <w:szCs w:val="24"/>
        </w:rPr>
      </w:pPr>
      <w:r w:rsidRPr="000A0DF3">
        <w:rPr>
          <w:rFonts w:cstheme="minorHAnsi"/>
          <w:b/>
          <w:i/>
          <w:sz w:val="24"/>
          <w:szCs w:val="24"/>
        </w:rPr>
        <w:t xml:space="preserve">Word count: </w:t>
      </w:r>
      <w:r w:rsidRPr="000A0DF3">
        <w:rPr>
          <w:rFonts w:cstheme="minorHAnsi"/>
          <w:sz w:val="24"/>
          <w:szCs w:val="24"/>
        </w:rPr>
        <w:t>3</w:t>
      </w:r>
      <w:r>
        <w:rPr>
          <w:rFonts w:cstheme="minorHAnsi"/>
          <w:sz w:val="24"/>
          <w:szCs w:val="24"/>
        </w:rPr>
        <w:t>949</w:t>
      </w:r>
    </w:p>
    <w:p w14:paraId="1F3E7946" w14:textId="77777777" w:rsidR="00825C89" w:rsidRDefault="00825C89" w:rsidP="00825C89">
      <w:pPr>
        <w:spacing w:line="360" w:lineRule="auto"/>
        <w:jc w:val="both"/>
        <w:rPr>
          <w:rFonts w:cstheme="minorHAnsi"/>
          <w:b/>
          <w:sz w:val="24"/>
          <w:szCs w:val="24"/>
        </w:rPr>
      </w:pPr>
    </w:p>
    <w:p w14:paraId="3ABF2E39" w14:textId="77777777" w:rsidR="00825C89" w:rsidRDefault="00825C89" w:rsidP="00825C89">
      <w:pPr>
        <w:spacing w:line="360" w:lineRule="auto"/>
        <w:jc w:val="both"/>
        <w:rPr>
          <w:rFonts w:cstheme="minorHAnsi"/>
          <w:b/>
          <w:sz w:val="24"/>
          <w:szCs w:val="24"/>
        </w:rPr>
      </w:pPr>
    </w:p>
    <w:p w14:paraId="535D1899" w14:textId="77777777" w:rsidR="00825C89" w:rsidRDefault="00825C89" w:rsidP="00825C89">
      <w:pPr>
        <w:spacing w:line="360" w:lineRule="auto"/>
        <w:jc w:val="both"/>
        <w:rPr>
          <w:rFonts w:cstheme="minorHAnsi"/>
          <w:b/>
          <w:sz w:val="24"/>
          <w:szCs w:val="24"/>
        </w:rPr>
      </w:pPr>
    </w:p>
    <w:p w14:paraId="358581E5" w14:textId="77777777" w:rsidR="00825C89" w:rsidRDefault="00825C89" w:rsidP="00825C89">
      <w:pPr>
        <w:spacing w:line="360" w:lineRule="auto"/>
        <w:jc w:val="both"/>
        <w:rPr>
          <w:rFonts w:cstheme="minorHAnsi"/>
          <w:b/>
          <w:sz w:val="24"/>
          <w:szCs w:val="24"/>
        </w:rPr>
      </w:pPr>
    </w:p>
    <w:p w14:paraId="5DD4FFA3" w14:textId="77777777" w:rsidR="00825C89" w:rsidRPr="00A42D9D" w:rsidRDefault="00825C89" w:rsidP="00825C89">
      <w:pPr>
        <w:spacing w:line="360" w:lineRule="auto"/>
        <w:jc w:val="both"/>
        <w:rPr>
          <w:rFonts w:cstheme="minorHAnsi"/>
          <w:sz w:val="24"/>
          <w:szCs w:val="24"/>
        </w:rPr>
      </w:pPr>
      <w:r w:rsidRPr="00A42D9D">
        <w:rPr>
          <w:rFonts w:cstheme="minorHAnsi"/>
          <w:b/>
          <w:sz w:val="24"/>
          <w:szCs w:val="24"/>
        </w:rPr>
        <w:t xml:space="preserve">Abstract </w:t>
      </w:r>
    </w:p>
    <w:p w14:paraId="4F5FFB10" w14:textId="77777777" w:rsidR="00825C89" w:rsidRPr="00A42D9D" w:rsidRDefault="00825C89" w:rsidP="00825C89">
      <w:pPr>
        <w:spacing w:line="360" w:lineRule="auto"/>
        <w:jc w:val="both"/>
        <w:rPr>
          <w:rFonts w:cstheme="minorHAnsi"/>
          <w:sz w:val="24"/>
          <w:szCs w:val="24"/>
        </w:rPr>
      </w:pPr>
      <w:r w:rsidRPr="00A42D9D">
        <w:rPr>
          <w:rFonts w:cstheme="minorHAnsi"/>
          <w:b/>
          <w:sz w:val="24"/>
          <w:szCs w:val="24"/>
        </w:rPr>
        <w:t>Objectives:</w:t>
      </w:r>
      <w:r w:rsidRPr="00A42D9D">
        <w:rPr>
          <w:rFonts w:cstheme="minorHAnsi"/>
          <w:sz w:val="24"/>
          <w:szCs w:val="24"/>
        </w:rPr>
        <w:t xml:space="preserve"> This study aimed to investigate the feasibility and efficacy of high intensity interval training (HIIT) compared to moderate intensity continuous training (MICT) in pulmonary rehabilitation (PR) for people with interstitial lung disease (ILD).</w:t>
      </w:r>
    </w:p>
    <w:p w14:paraId="302F6F67" w14:textId="77777777" w:rsidR="00825C89" w:rsidRPr="00A42D9D" w:rsidRDefault="00825C89" w:rsidP="00825C89">
      <w:pPr>
        <w:spacing w:line="360" w:lineRule="auto"/>
        <w:jc w:val="both"/>
        <w:rPr>
          <w:rFonts w:cstheme="minorHAnsi"/>
          <w:sz w:val="24"/>
          <w:szCs w:val="24"/>
        </w:rPr>
      </w:pPr>
      <w:r w:rsidRPr="00A42D9D">
        <w:rPr>
          <w:rFonts w:cstheme="minorHAnsi"/>
          <w:b/>
          <w:sz w:val="24"/>
          <w:szCs w:val="24"/>
        </w:rPr>
        <w:t>Design</w:t>
      </w:r>
      <w:r w:rsidRPr="00A42D9D">
        <w:rPr>
          <w:rFonts w:cstheme="minorHAnsi"/>
          <w:sz w:val="24"/>
          <w:szCs w:val="24"/>
        </w:rPr>
        <w:t xml:space="preserve">: Single-centre, randomised controlled feasibility, pilot trial. </w:t>
      </w:r>
    </w:p>
    <w:p w14:paraId="26D18D0C" w14:textId="77777777" w:rsidR="00825C89" w:rsidRPr="00A42D9D" w:rsidRDefault="00825C89" w:rsidP="00825C89">
      <w:pPr>
        <w:spacing w:line="360" w:lineRule="auto"/>
        <w:jc w:val="both"/>
        <w:rPr>
          <w:rFonts w:cstheme="minorHAnsi"/>
          <w:sz w:val="24"/>
          <w:szCs w:val="24"/>
        </w:rPr>
      </w:pPr>
      <w:r w:rsidRPr="00A42D9D">
        <w:rPr>
          <w:rFonts w:cstheme="minorHAnsi"/>
          <w:b/>
          <w:sz w:val="24"/>
          <w:szCs w:val="24"/>
        </w:rPr>
        <w:t>Setting:</w:t>
      </w:r>
      <w:r w:rsidRPr="00A42D9D">
        <w:rPr>
          <w:rFonts w:cstheme="minorHAnsi"/>
          <w:sz w:val="24"/>
          <w:szCs w:val="24"/>
        </w:rPr>
        <w:t xml:space="preserve"> Patients were recruited from the chest clinic of a tertiary </w:t>
      </w:r>
      <w:r>
        <w:rPr>
          <w:rFonts w:cstheme="minorHAnsi"/>
          <w:sz w:val="24"/>
          <w:szCs w:val="24"/>
        </w:rPr>
        <w:t xml:space="preserve">ILD </w:t>
      </w:r>
      <w:r w:rsidRPr="00A42D9D">
        <w:rPr>
          <w:rFonts w:cstheme="minorHAnsi"/>
          <w:sz w:val="24"/>
          <w:szCs w:val="24"/>
        </w:rPr>
        <w:t>centre and attended circuit-based PR in the hospital’s gym</w:t>
      </w:r>
      <w:r>
        <w:rPr>
          <w:rFonts w:cstheme="minorHAnsi"/>
          <w:sz w:val="24"/>
          <w:szCs w:val="24"/>
        </w:rPr>
        <w:t xml:space="preserve">, followed by </w:t>
      </w:r>
      <w:r w:rsidRPr="00A42D9D">
        <w:rPr>
          <w:rFonts w:cstheme="minorHAnsi"/>
          <w:sz w:val="24"/>
          <w:szCs w:val="24"/>
        </w:rPr>
        <w:t xml:space="preserve">a personalised 6-month community programme. </w:t>
      </w:r>
    </w:p>
    <w:p w14:paraId="501CDBE7" w14:textId="77777777" w:rsidR="00825C89" w:rsidRPr="00A42D9D" w:rsidRDefault="00825C89" w:rsidP="00825C89">
      <w:pPr>
        <w:spacing w:line="360" w:lineRule="auto"/>
        <w:jc w:val="both"/>
        <w:rPr>
          <w:rFonts w:cstheme="minorHAnsi"/>
          <w:sz w:val="24"/>
          <w:szCs w:val="24"/>
        </w:rPr>
      </w:pPr>
      <w:r w:rsidRPr="00A42D9D">
        <w:rPr>
          <w:rFonts w:cstheme="minorHAnsi"/>
          <w:b/>
          <w:sz w:val="24"/>
          <w:szCs w:val="24"/>
        </w:rPr>
        <w:t>Participants</w:t>
      </w:r>
      <w:r w:rsidRPr="00A42D9D">
        <w:rPr>
          <w:rFonts w:cstheme="minorHAnsi"/>
          <w:sz w:val="24"/>
          <w:szCs w:val="24"/>
        </w:rPr>
        <w:t xml:space="preserve">: </w:t>
      </w:r>
      <w:r>
        <w:rPr>
          <w:rFonts w:cstheme="minorHAnsi"/>
          <w:sz w:val="24"/>
          <w:szCs w:val="24"/>
        </w:rPr>
        <w:t>58</w:t>
      </w:r>
      <w:r w:rsidRPr="00A42D9D">
        <w:rPr>
          <w:rFonts w:cstheme="minorHAnsi"/>
          <w:sz w:val="24"/>
          <w:szCs w:val="24"/>
        </w:rPr>
        <w:t xml:space="preserve"> patients, stratified per ILD type, were randomised into two groups</w:t>
      </w:r>
      <w:r>
        <w:rPr>
          <w:rFonts w:cstheme="minorHAnsi"/>
          <w:sz w:val="24"/>
          <w:szCs w:val="24"/>
        </w:rPr>
        <w:t>:</w:t>
      </w:r>
      <w:r w:rsidRPr="00A42D9D">
        <w:rPr>
          <w:rFonts w:cstheme="minorHAnsi"/>
          <w:sz w:val="24"/>
          <w:szCs w:val="24"/>
        </w:rPr>
        <w:t xml:space="preserve"> 33 </w:t>
      </w:r>
      <w:r>
        <w:rPr>
          <w:rFonts w:cstheme="minorHAnsi"/>
          <w:sz w:val="24"/>
          <w:szCs w:val="24"/>
        </w:rPr>
        <w:t xml:space="preserve">to HIIT </w:t>
      </w:r>
      <w:r w:rsidRPr="00200154">
        <w:rPr>
          <w:rFonts w:cstheme="minorHAnsi"/>
          <w:sz w:val="24"/>
          <w:szCs w:val="24"/>
        </w:rPr>
        <w:t xml:space="preserve">(18M: 15F) [mean age (SD) 70.2 (11.4) years] and 25 to the MICT exercise mode (14M: 11F), [mean age (SD) 69.8 (10.8) years]. </w:t>
      </w:r>
    </w:p>
    <w:p w14:paraId="7E2CFEE3" w14:textId="77777777" w:rsidR="00825C89" w:rsidRPr="00A42D9D" w:rsidRDefault="00825C89" w:rsidP="00825C89">
      <w:pPr>
        <w:spacing w:line="360" w:lineRule="auto"/>
        <w:jc w:val="both"/>
        <w:rPr>
          <w:rFonts w:cstheme="minorHAnsi"/>
          <w:sz w:val="24"/>
          <w:szCs w:val="24"/>
        </w:rPr>
      </w:pPr>
      <w:r w:rsidRPr="00A42D9D">
        <w:rPr>
          <w:rFonts w:cstheme="minorHAnsi"/>
          <w:b/>
          <w:sz w:val="24"/>
          <w:szCs w:val="24"/>
        </w:rPr>
        <w:t>Interventions</w:t>
      </w:r>
      <w:r w:rsidRPr="00A42D9D">
        <w:rPr>
          <w:rFonts w:cstheme="minorHAnsi"/>
          <w:sz w:val="24"/>
          <w:szCs w:val="24"/>
        </w:rPr>
        <w:t xml:space="preserve">: 8-week, twice weekly, circuit-based PR programme of exercise and education, followed by a personalised 6-month </w:t>
      </w:r>
      <w:r>
        <w:rPr>
          <w:rFonts w:cstheme="minorHAnsi"/>
          <w:sz w:val="24"/>
          <w:szCs w:val="24"/>
        </w:rPr>
        <w:t xml:space="preserve">community </w:t>
      </w:r>
      <w:r w:rsidRPr="00A42D9D">
        <w:rPr>
          <w:rFonts w:cstheme="minorHAnsi"/>
          <w:sz w:val="24"/>
          <w:szCs w:val="24"/>
        </w:rPr>
        <w:t xml:space="preserve">exercise programme. </w:t>
      </w:r>
    </w:p>
    <w:p w14:paraId="1F3B3FBB" w14:textId="77777777" w:rsidR="00825C89" w:rsidRPr="00A42D9D" w:rsidRDefault="00825C89" w:rsidP="00825C89">
      <w:pPr>
        <w:spacing w:line="360" w:lineRule="auto"/>
        <w:jc w:val="both"/>
        <w:rPr>
          <w:rFonts w:cstheme="minorHAnsi"/>
          <w:sz w:val="24"/>
          <w:szCs w:val="24"/>
        </w:rPr>
      </w:pPr>
      <w:r w:rsidRPr="00A42D9D">
        <w:rPr>
          <w:rFonts w:cstheme="minorHAnsi"/>
          <w:b/>
          <w:sz w:val="24"/>
          <w:szCs w:val="24"/>
        </w:rPr>
        <w:t>Outcome measures:</w:t>
      </w:r>
      <w:r w:rsidRPr="00A42D9D">
        <w:rPr>
          <w:rFonts w:cstheme="minorHAnsi"/>
          <w:sz w:val="24"/>
          <w:szCs w:val="24"/>
        </w:rPr>
        <w:t xml:space="preserve"> Feasibility outcomes included staff-to-patient ratio and dropout rates per group. Primary outcome was the 6-minute walk distance (6MWD). Secondary outcomes included the sniff nasal pressure, mouth inspiratory and expiratory pressures, handgrip and quadriceps strength</w:t>
      </w:r>
      <w:r>
        <w:rPr>
          <w:rFonts w:cstheme="minorHAnsi"/>
          <w:sz w:val="24"/>
          <w:szCs w:val="24"/>
        </w:rPr>
        <w:t xml:space="preserve"> </w:t>
      </w:r>
      <w:r w:rsidRPr="00A42D9D">
        <w:rPr>
          <w:rFonts w:cstheme="minorHAnsi"/>
          <w:sz w:val="24"/>
          <w:szCs w:val="24"/>
        </w:rPr>
        <w:t>and health status. Random-effects m</w:t>
      </w:r>
      <w:r>
        <w:rPr>
          <w:rFonts w:cstheme="minorHAnsi"/>
          <w:sz w:val="24"/>
          <w:szCs w:val="24"/>
        </w:rPr>
        <w:t xml:space="preserve">odels were used to evaluate </w:t>
      </w:r>
      <w:r w:rsidRPr="00A42D9D">
        <w:rPr>
          <w:rFonts w:cstheme="minorHAnsi"/>
          <w:sz w:val="24"/>
          <w:szCs w:val="24"/>
        </w:rPr>
        <w:t>average variation in outcomes through time across the two groups.</w:t>
      </w:r>
    </w:p>
    <w:p w14:paraId="3F08A6C0" w14:textId="77777777" w:rsidR="00825C89" w:rsidRPr="00A42D9D" w:rsidRDefault="00825C89" w:rsidP="00825C89">
      <w:pPr>
        <w:spacing w:line="360" w:lineRule="auto"/>
        <w:jc w:val="both"/>
        <w:rPr>
          <w:rFonts w:cstheme="minorHAnsi"/>
          <w:sz w:val="24"/>
          <w:szCs w:val="24"/>
        </w:rPr>
      </w:pPr>
      <w:r w:rsidRPr="00A42D9D">
        <w:rPr>
          <w:rFonts w:cstheme="minorHAnsi"/>
          <w:b/>
          <w:sz w:val="24"/>
          <w:szCs w:val="24"/>
        </w:rPr>
        <w:t>Results:</w:t>
      </w:r>
      <w:r w:rsidRPr="00A42D9D">
        <w:rPr>
          <w:rFonts w:cstheme="minorHAnsi"/>
          <w:sz w:val="24"/>
          <w:szCs w:val="24"/>
        </w:rPr>
        <w:t xml:space="preserve"> The 6MWD peaked earlier with HIIT compared to MICT (at 4 months versus 5 months) but values were lower at peak (mean (95%CI) 26.3m (3.5, 49.1) versus 51.6m (29.2, 73.9) and declined faster at 6-months post PR. Secondary outcomes showed similar faster but smaller improvements with HIIT over MICT and more consistent maintenance 6-months post-PR with MICT than HIIT. </w:t>
      </w:r>
    </w:p>
    <w:p w14:paraId="49F1E7F8" w14:textId="77777777" w:rsidR="00825C89" w:rsidRPr="00A42D9D" w:rsidRDefault="00825C89" w:rsidP="00825C89">
      <w:pPr>
        <w:spacing w:line="360" w:lineRule="auto"/>
        <w:jc w:val="both"/>
        <w:rPr>
          <w:rFonts w:cstheme="minorHAnsi"/>
          <w:sz w:val="24"/>
          <w:szCs w:val="24"/>
        </w:rPr>
      </w:pPr>
      <w:r w:rsidRPr="00A42D9D">
        <w:rPr>
          <w:rFonts w:cstheme="minorHAnsi"/>
          <w:b/>
          <w:sz w:val="24"/>
          <w:szCs w:val="24"/>
        </w:rPr>
        <w:t>Conclusions</w:t>
      </w:r>
      <w:r w:rsidRPr="00A42D9D">
        <w:rPr>
          <w:rFonts w:cstheme="minorHAnsi"/>
          <w:sz w:val="24"/>
          <w:szCs w:val="24"/>
        </w:rPr>
        <w:t>: HIIT is feasible in circuit-based ILD PR programmes and provides quick improvements but requires closer supervision of training and resources than MICT and benefits may be less well sustained. This would make it a less attractive option for clinical PR programmes. A definitive, multi-centre randomised controlled trial is required to address the role of HIIT in ILD.</w:t>
      </w:r>
    </w:p>
    <w:p w14:paraId="605CF53A" w14:textId="77777777" w:rsidR="00825C89" w:rsidRDefault="00825C89" w:rsidP="00825C89">
      <w:pPr>
        <w:spacing w:line="360" w:lineRule="auto"/>
        <w:jc w:val="both"/>
        <w:rPr>
          <w:rFonts w:cstheme="minorHAnsi"/>
          <w:sz w:val="24"/>
          <w:szCs w:val="24"/>
        </w:rPr>
      </w:pPr>
    </w:p>
    <w:p w14:paraId="69388DA1" w14:textId="77777777" w:rsidR="00825C89" w:rsidRDefault="00825C89" w:rsidP="00825C89">
      <w:pPr>
        <w:spacing w:line="360" w:lineRule="auto"/>
        <w:jc w:val="both"/>
        <w:rPr>
          <w:rFonts w:cstheme="minorHAnsi"/>
          <w:sz w:val="24"/>
          <w:szCs w:val="24"/>
        </w:rPr>
      </w:pPr>
    </w:p>
    <w:p w14:paraId="399E5858" w14:textId="77777777" w:rsidR="00825C89" w:rsidRPr="00A42D9D" w:rsidRDefault="00825C89" w:rsidP="00825C89">
      <w:pPr>
        <w:spacing w:line="360" w:lineRule="auto"/>
        <w:jc w:val="both"/>
        <w:rPr>
          <w:rFonts w:cstheme="minorHAnsi"/>
          <w:sz w:val="24"/>
          <w:szCs w:val="24"/>
        </w:rPr>
      </w:pPr>
    </w:p>
    <w:p w14:paraId="0AAFEF4E" w14:textId="77777777" w:rsidR="00825C89" w:rsidRPr="00A42D9D" w:rsidRDefault="00825C89" w:rsidP="00825C89">
      <w:pPr>
        <w:spacing w:line="240" w:lineRule="auto"/>
        <w:jc w:val="both"/>
        <w:rPr>
          <w:rFonts w:cstheme="minorHAnsi"/>
          <w:b/>
          <w:sz w:val="28"/>
          <w:szCs w:val="28"/>
        </w:rPr>
      </w:pPr>
      <w:r w:rsidRPr="00A42D9D">
        <w:rPr>
          <w:rFonts w:cstheme="minorHAnsi"/>
          <w:b/>
          <w:sz w:val="28"/>
          <w:szCs w:val="28"/>
        </w:rPr>
        <w:t>Strengths and Limitations of this study</w:t>
      </w:r>
    </w:p>
    <w:p w14:paraId="1A7C33D1" w14:textId="77777777" w:rsidR="00825C89" w:rsidRPr="00A42D9D" w:rsidRDefault="00825C89" w:rsidP="00825C89">
      <w:pPr>
        <w:pStyle w:val="ListParagraph"/>
        <w:numPr>
          <w:ilvl w:val="0"/>
          <w:numId w:val="3"/>
        </w:numPr>
        <w:spacing w:line="360" w:lineRule="auto"/>
        <w:jc w:val="both"/>
        <w:rPr>
          <w:rFonts w:cstheme="minorHAnsi"/>
          <w:sz w:val="24"/>
          <w:szCs w:val="28"/>
        </w:rPr>
      </w:pPr>
      <w:r w:rsidRPr="00A42D9D">
        <w:rPr>
          <w:rFonts w:cstheme="minorHAnsi"/>
          <w:sz w:val="24"/>
          <w:szCs w:val="28"/>
        </w:rPr>
        <w:t>This randomised controlled feasibility, pilot study, showed that HIIT is feasible in circuit-based PR programmes.</w:t>
      </w:r>
    </w:p>
    <w:p w14:paraId="29DCA069" w14:textId="77777777" w:rsidR="00825C89" w:rsidRPr="00A42D9D" w:rsidRDefault="00825C89" w:rsidP="00825C89">
      <w:pPr>
        <w:pStyle w:val="ListParagraph"/>
        <w:numPr>
          <w:ilvl w:val="0"/>
          <w:numId w:val="3"/>
        </w:numPr>
        <w:spacing w:line="360" w:lineRule="auto"/>
        <w:jc w:val="both"/>
        <w:rPr>
          <w:rFonts w:cstheme="minorHAnsi"/>
          <w:sz w:val="24"/>
          <w:szCs w:val="24"/>
        </w:rPr>
      </w:pPr>
      <w:r w:rsidRPr="00A42D9D">
        <w:rPr>
          <w:rFonts w:cstheme="minorHAnsi"/>
          <w:sz w:val="24"/>
          <w:szCs w:val="24"/>
        </w:rPr>
        <w:t>Our results identify the point at which exercise reinforcement may be needed after completion of a HIIT programme.</w:t>
      </w:r>
    </w:p>
    <w:p w14:paraId="10029A90" w14:textId="77777777" w:rsidR="00825C89" w:rsidRPr="00A42D9D" w:rsidRDefault="00825C89" w:rsidP="00825C89">
      <w:pPr>
        <w:pStyle w:val="ListParagraph"/>
        <w:numPr>
          <w:ilvl w:val="0"/>
          <w:numId w:val="3"/>
        </w:numPr>
        <w:spacing w:line="360" w:lineRule="auto"/>
        <w:jc w:val="both"/>
        <w:rPr>
          <w:rFonts w:cstheme="minorHAnsi"/>
          <w:sz w:val="24"/>
          <w:szCs w:val="28"/>
        </w:rPr>
      </w:pPr>
      <w:r w:rsidRPr="00A42D9D">
        <w:rPr>
          <w:rFonts w:cstheme="minorHAnsi"/>
          <w:sz w:val="24"/>
          <w:szCs w:val="28"/>
        </w:rPr>
        <w:t>Although it was possible to recruit enough ILD patients from a single site, not enough IPF patients could be recruited to evaluate the effect of HIIT on this particular group.</w:t>
      </w:r>
    </w:p>
    <w:p w14:paraId="4EF0458D" w14:textId="77777777" w:rsidR="00825C89" w:rsidRDefault="00825C89" w:rsidP="00825C89">
      <w:pPr>
        <w:pStyle w:val="ListParagraph"/>
        <w:numPr>
          <w:ilvl w:val="0"/>
          <w:numId w:val="3"/>
        </w:numPr>
        <w:spacing w:line="360" w:lineRule="auto"/>
        <w:jc w:val="both"/>
        <w:rPr>
          <w:rFonts w:cstheme="minorHAnsi"/>
          <w:sz w:val="24"/>
          <w:szCs w:val="28"/>
        </w:rPr>
      </w:pPr>
      <w:r w:rsidRPr="00A42D9D">
        <w:rPr>
          <w:rFonts w:cstheme="minorHAnsi"/>
          <w:sz w:val="24"/>
          <w:szCs w:val="28"/>
        </w:rPr>
        <w:t>We did not use supplementary oxygen during PR for patients other than those already on long-term oxygen therapy.</w:t>
      </w:r>
    </w:p>
    <w:p w14:paraId="72A917BF" w14:textId="77777777" w:rsidR="00825C89" w:rsidRPr="00A42D9D" w:rsidRDefault="00825C89" w:rsidP="00825C89">
      <w:pPr>
        <w:pStyle w:val="ListParagraph"/>
        <w:numPr>
          <w:ilvl w:val="0"/>
          <w:numId w:val="3"/>
        </w:numPr>
        <w:spacing w:line="360" w:lineRule="auto"/>
        <w:jc w:val="both"/>
        <w:rPr>
          <w:rFonts w:cstheme="minorHAnsi"/>
          <w:b/>
          <w:sz w:val="28"/>
          <w:szCs w:val="28"/>
        </w:rPr>
      </w:pPr>
      <w:r w:rsidRPr="00A42D9D">
        <w:rPr>
          <w:rFonts w:cstheme="minorHAnsi"/>
          <w:sz w:val="24"/>
          <w:szCs w:val="24"/>
        </w:rPr>
        <w:t xml:space="preserve">This study adds valuable information for the design of </w:t>
      </w:r>
      <w:r>
        <w:rPr>
          <w:rFonts w:cstheme="minorHAnsi"/>
          <w:sz w:val="24"/>
          <w:szCs w:val="24"/>
        </w:rPr>
        <w:t>larger</w:t>
      </w:r>
      <w:r w:rsidRPr="00A42D9D">
        <w:rPr>
          <w:rFonts w:cstheme="minorHAnsi"/>
          <w:sz w:val="24"/>
          <w:szCs w:val="24"/>
        </w:rPr>
        <w:t>, definitive studies, on the peak and subsequent deterioration of outcomes over time depending on exercise mode.</w:t>
      </w:r>
    </w:p>
    <w:p w14:paraId="5C00FF4F" w14:textId="77777777" w:rsidR="00825C89" w:rsidRPr="00A42D9D" w:rsidRDefault="00825C89" w:rsidP="00825C89">
      <w:pPr>
        <w:spacing w:line="360" w:lineRule="auto"/>
        <w:jc w:val="both"/>
        <w:rPr>
          <w:rFonts w:cstheme="minorHAnsi"/>
          <w:sz w:val="24"/>
          <w:szCs w:val="24"/>
        </w:rPr>
      </w:pPr>
    </w:p>
    <w:p w14:paraId="2D4F5C88" w14:textId="77777777" w:rsidR="00825C89" w:rsidRPr="00A42D9D" w:rsidRDefault="00825C89" w:rsidP="00825C89">
      <w:pPr>
        <w:spacing w:line="360" w:lineRule="auto"/>
        <w:jc w:val="both"/>
        <w:rPr>
          <w:rFonts w:cstheme="minorHAnsi"/>
          <w:sz w:val="24"/>
          <w:szCs w:val="24"/>
        </w:rPr>
      </w:pPr>
    </w:p>
    <w:p w14:paraId="589D9749" w14:textId="77777777" w:rsidR="00825C89" w:rsidRPr="00A42D9D" w:rsidRDefault="00825C89" w:rsidP="00825C89">
      <w:pPr>
        <w:spacing w:line="480" w:lineRule="auto"/>
        <w:jc w:val="both"/>
        <w:rPr>
          <w:rFonts w:cstheme="minorHAnsi"/>
          <w:b/>
          <w:sz w:val="24"/>
          <w:szCs w:val="24"/>
        </w:rPr>
      </w:pPr>
    </w:p>
    <w:p w14:paraId="30C1A91B" w14:textId="77777777" w:rsidR="00825C89" w:rsidRPr="00A42D9D" w:rsidRDefault="00825C89" w:rsidP="00825C89">
      <w:pPr>
        <w:spacing w:line="480" w:lineRule="auto"/>
        <w:jc w:val="both"/>
        <w:rPr>
          <w:rFonts w:cstheme="minorHAnsi"/>
          <w:b/>
          <w:sz w:val="24"/>
          <w:szCs w:val="24"/>
        </w:rPr>
      </w:pPr>
    </w:p>
    <w:p w14:paraId="108145A1" w14:textId="77777777" w:rsidR="00825C89" w:rsidRPr="00A42D9D" w:rsidRDefault="00825C89" w:rsidP="00825C89">
      <w:pPr>
        <w:spacing w:line="480" w:lineRule="auto"/>
        <w:jc w:val="both"/>
        <w:rPr>
          <w:rFonts w:cstheme="minorHAnsi"/>
          <w:b/>
          <w:sz w:val="24"/>
          <w:szCs w:val="24"/>
        </w:rPr>
      </w:pPr>
    </w:p>
    <w:p w14:paraId="4A58FCA4" w14:textId="77777777" w:rsidR="00825C89" w:rsidRPr="00A42D9D" w:rsidRDefault="00825C89" w:rsidP="00825C89">
      <w:pPr>
        <w:spacing w:line="480" w:lineRule="auto"/>
        <w:jc w:val="both"/>
        <w:rPr>
          <w:rFonts w:cstheme="minorHAnsi"/>
          <w:b/>
          <w:sz w:val="24"/>
          <w:szCs w:val="24"/>
        </w:rPr>
      </w:pPr>
    </w:p>
    <w:p w14:paraId="52E10089" w14:textId="77777777" w:rsidR="00825C89" w:rsidRPr="00A42D9D" w:rsidRDefault="00825C89" w:rsidP="00825C89">
      <w:pPr>
        <w:spacing w:line="480" w:lineRule="auto"/>
        <w:jc w:val="both"/>
        <w:rPr>
          <w:rFonts w:cstheme="minorHAnsi"/>
          <w:b/>
          <w:sz w:val="24"/>
          <w:szCs w:val="24"/>
        </w:rPr>
      </w:pPr>
    </w:p>
    <w:p w14:paraId="1CDE6342" w14:textId="77777777" w:rsidR="00825C89" w:rsidRPr="00A42D9D" w:rsidRDefault="00825C89" w:rsidP="00825C89">
      <w:pPr>
        <w:spacing w:line="480" w:lineRule="auto"/>
        <w:jc w:val="both"/>
        <w:rPr>
          <w:rFonts w:cstheme="minorHAnsi"/>
          <w:b/>
          <w:sz w:val="28"/>
          <w:szCs w:val="28"/>
        </w:rPr>
      </w:pPr>
      <w:r w:rsidRPr="00A42D9D">
        <w:rPr>
          <w:rFonts w:cstheme="minorHAnsi"/>
          <w:b/>
          <w:sz w:val="28"/>
          <w:szCs w:val="28"/>
        </w:rPr>
        <w:t xml:space="preserve">Background </w:t>
      </w:r>
    </w:p>
    <w:p w14:paraId="1A92AC80"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 xml:space="preserve">Interstitial lung disease (ILD) is a broad term used to describe a diverse group of pulmonary conditions that cause fibrotic changes in the lung </w:t>
      </w:r>
      <w:proofErr w:type="spellStart"/>
      <w:r w:rsidRPr="00A42D9D">
        <w:rPr>
          <w:rFonts w:cstheme="minorHAnsi"/>
          <w:sz w:val="24"/>
          <w:szCs w:val="24"/>
        </w:rPr>
        <w:t>interstitium</w:t>
      </w:r>
      <w:proofErr w:type="spellEnd"/>
      <w:r w:rsidRPr="00A42D9D">
        <w:rPr>
          <w:rFonts w:cstheme="minorHAnsi"/>
          <w:sz w:val="24"/>
          <w:szCs w:val="24"/>
        </w:rPr>
        <w:t xml:space="preserve"> with subsequent reduction in lung compliance and oxygen diffusion capacity [1, 2]. ILD is categorised into its different types according to clinical, radiological and pathophysiological changes and multidimensional indexes have been created to predict mortality risk [3, 4]. The clinical presentation includes breathlessness on exertion, dry and persistent cough, fatigue, progressive </w:t>
      </w:r>
      <w:r w:rsidRPr="00A42D9D">
        <w:rPr>
          <w:rFonts w:cstheme="minorHAnsi"/>
          <w:sz w:val="24"/>
          <w:szCs w:val="24"/>
        </w:rPr>
        <w:lastRenderedPageBreak/>
        <w:t>exercise limitation and respiratory failure at the very severe stages. [5]</w:t>
      </w:r>
      <w:r w:rsidRPr="00AD7BD8">
        <w:rPr>
          <w:rFonts w:cstheme="minorHAnsi"/>
          <w:sz w:val="24"/>
          <w:szCs w:val="24"/>
        </w:rPr>
        <w:t xml:space="preserve"> </w:t>
      </w:r>
      <w:r>
        <w:rPr>
          <w:rFonts w:cstheme="minorHAnsi"/>
          <w:sz w:val="24"/>
          <w:szCs w:val="24"/>
        </w:rPr>
        <w:t>Pharmacological treatment for patients with progressive fibrotic ILD is limited to only a few medications aiming to slow down further development of fibrosis [6] and lung transplantation, the only life-extending option, carries risks and is not available to all patients [</w:t>
      </w:r>
      <w:r w:rsidRPr="00664BD3">
        <w:rPr>
          <w:rFonts w:cstheme="minorHAnsi"/>
          <w:sz w:val="24"/>
          <w:szCs w:val="24"/>
        </w:rPr>
        <w:t xml:space="preserve">7, </w:t>
      </w:r>
      <w:r>
        <w:rPr>
          <w:rFonts w:cstheme="minorHAnsi"/>
          <w:sz w:val="24"/>
          <w:szCs w:val="24"/>
        </w:rPr>
        <w:t>8].</w:t>
      </w:r>
    </w:p>
    <w:p w14:paraId="07F075F5"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 xml:space="preserve">Pulmonary rehabilitation (PR) is a </w:t>
      </w:r>
      <w:r>
        <w:rPr>
          <w:rFonts w:cstheme="minorHAnsi"/>
          <w:sz w:val="24"/>
          <w:szCs w:val="24"/>
        </w:rPr>
        <w:t>non-pharmacological strategy that improves physical function and quality of life</w:t>
      </w:r>
      <w:r w:rsidRPr="00A42D9D">
        <w:rPr>
          <w:rFonts w:cstheme="minorHAnsi"/>
          <w:sz w:val="24"/>
          <w:szCs w:val="24"/>
        </w:rPr>
        <w:t xml:space="preserve"> [5, </w:t>
      </w:r>
      <w:r>
        <w:rPr>
          <w:rFonts w:cstheme="minorHAnsi"/>
          <w:sz w:val="24"/>
          <w:szCs w:val="24"/>
        </w:rPr>
        <w:t>9</w:t>
      </w:r>
      <w:r w:rsidRPr="00A42D9D">
        <w:rPr>
          <w:rFonts w:cstheme="minorHAnsi"/>
          <w:sz w:val="24"/>
          <w:szCs w:val="24"/>
        </w:rPr>
        <w:t xml:space="preserve">] but in ILD patients the optimal training programme, especially for longer term benefits, remains unclear. [5, </w:t>
      </w:r>
      <w:r>
        <w:rPr>
          <w:rFonts w:cstheme="minorHAnsi"/>
          <w:sz w:val="24"/>
          <w:szCs w:val="24"/>
        </w:rPr>
        <w:t>10</w:t>
      </w:r>
      <w:r w:rsidRPr="00A42D9D">
        <w:rPr>
          <w:rFonts w:cstheme="minorHAnsi"/>
          <w:sz w:val="24"/>
          <w:szCs w:val="24"/>
        </w:rPr>
        <w:t>] Recent evidence suggests that patients with some types of ILD, such as asbestosis and idiopathic pulmonary fibrosis (IPF), may receive greater benefit from PR than others and effects may be more lasting in patients with milder disease [</w:t>
      </w:r>
      <w:r>
        <w:rPr>
          <w:rFonts w:cstheme="minorHAnsi"/>
          <w:sz w:val="24"/>
          <w:szCs w:val="24"/>
        </w:rPr>
        <w:t>11</w:t>
      </w:r>
      <w:r w:rsidRPr="00A42D9D">
        <w:rPr>
          <w:rFonts w:cstheme="minorHAnsi"/>
          <w:sz w:val="24"/>
          <w:szCs w:val="24"/>
        </w:rPr>
        <w:t xml:space="preserve">]. </w:t>
      </w:r>
      <w:r>
        <w:rPr>
          <w:rFonts w:cstheme="minorHAnsi"/>
          <w:sz w:val="24"/>
          <w:szCs w:val="24"/>
        </w:rPr>
        <w:t xml:space="preserve">The </w:t>
      </w:r>
      <w:r w:rsidRPr="00A42D9D">
        <w:rPr>
          <w:rFonts w:cstheme="minorHAnsi"/>
          <w:sz w:val="24"/>
          <w:szCs w:val="24"/>
        </w:rPr>
        <w:t xml:space="preserve">traditional </w:t>
      </w:r>
      <w:r>
        <w:rPr>
          <w:rFonts w:cstheme="minorHAnsi"/>
          <w:sz w:val="24"/>
          <w:szCs w:val="24"/>
        </w:rPr>
        <w:t xml:space="preserve">exercise mode </w:t>
      </w:r>
      <w:r w:rsidRPr="00A42D9D">
        <w:rPr>
          <w:rFonts w:cstheme="minorHAnsi"/>
          <w:sz w:val="24"/>
          <w:szCs w:val="24"/>
        </w:rPr>
        <w:t>in PR is moderate intensity continuous training (MICT)</w:t>
      </w:r>
      <w:r>
        <w:rPr>
          <w:rFonts w:cstheme="minorHAnsi"/>
          <w:sz w:val="24"/>
          <w:szCs w:val="24"/>
        </w:rPr>
        <w:t xml:space="preserve"> which involves continuous exercise for 30-60 minutes at intensities ranging from 60-80% maximum heart rate </w:t>
      </w:r>
      <w:r w:rsidRPr="00633C60">
        <w:rPr>
          <w:rFonts w:cstheme="minorHAnsi"/>
          <w:sz w:val="24"/>
          <w:szCs w:val="24"/>
        </w:rPr>
        <w:t>[</w:t>
      </w:r>
      <w:r>
        <w:rPr>
          <w:rFonts w:cstheme="minorHAnsi"/>
          <w:sz w:val="24"/>
          <w:szCs w:val="24"/>
        </w:rPr>
        <w:t xml:space="preserve">12]. However, </w:t>
      </w:r>
      <w:r w:rsidRPr="00A42D9D">
        <w:rPr>
          <w:rFonts w:cstheme="minorHAnsi"/>
          <w:sz w:val="24"/>
          <w:szCs w:val="24"/>
        </w:rPr>
        <w:t>other training modalities may offer greater benefits.</w:t>
      </w:r>
    </w:p>
    <w:p w14:paraId="2EE9E81C"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High intensity interval training (HIIT) is a</w:t>
      </w:r>
      <w:r>
        <w:rPr>
          <w:rFonts w:cstheme="minorHAnsi"/>
          <w:sz w:val="24"/>
          <w:szCs w:val="24"/>
        </w:rPr>
        <w:t xml:space="preserve"> </w:t>
      </w:r>
      <w:r w:rsidRPr="00A42D9D">
        <w:rPr>
          <w:rFonts w:cstheme="minorHAnsi"/>
          <w:sz w:val="24"/>
          <w:szCs w:val="24"/>
        </w:rPr>
        <w:t>modality characterised by intervals of high intensity exercise followed by intervals of low intensity or rest [</w:t>
      </w:r>
      <w:r>
        <w:rPr>
          <w:rFonts w:cstheme="minorHAnsi"/>
          <w:sz w:val="24"/>
          <w:szCs w:val="24"/>
        </w:rPr>
        <w:t>13</w:t>
      </w:r>
      <w:r w:rsidRPr="00A42D9D">
        <w:rPr>
          <w:rFonts w:cstheme="minorHAnsi"/>
          <w:sz w:val="24"/>
          <w:szCs w:val="24"/>
        </w:rPr>
        <w:t>]. There is growing evidence that HIIT improves a broad range of cardiovascular risk factors, including insulin sensitivity and VO</w:t>
      </w:r>
      <w:r w:rsidRPr="00A42D9D">
        <w:rPr>
          <w:rFonts w:cstheme="minorHAnsi"/>
          <w:sz w:val="24"/>
          <w:szCs w:val="24"/>
          <w:vertAlign w:val="subscript"/>
        </w:rPr>
        <w:t>2</w:t>
      </w:r>
      <w:r w:rsidRPr="00A42D9D">
        <w:rPr>
          <w:rFonts w:cstheme="minorHAnsi"/>
          <w:sz w:val="24"/>
          <w:szCs w:val="24"/>
        </w:rPr>
        <w:t>peak [1</w:t>
      </w:r>
      <w:r>
        <w:rPr>
          <w:rFonts w:cstheme="minorHAnsi"/>
          <w:sz w:val="24"/>
          <w:szCs w:val="24"/>
        </w:rPr>
        <w:t>4</w:t>
      </w:r>
      <w:r w:rsidRPr="00A42D9D">
        <w:rPr>
          <w:rFonts w:cstheme="minorHAnsi"/>
          <w:sz w:val="24"/>
          <w:szCs w:val="24"/>
        </w:rPr>
        <w:t>], and its safety has been evaluated in patients with cardiovascular and metabolic disease [1</w:t>
      </w:r>
      <w:r>
        <w:rPr>
          <w:rFonts w:cstheme="minorHAnsi"/>
          <w:sz w:val="24"/>
          <w:szCs w:val="24"/>
        </w:rPr>
        <w:t>4</w:t>
      </w:r>
      <w:r w:rsidRPr="00A42D9D">
        <w:rPr>
          <w:rFonts w:cstheme="minorHAnsi"/>
          <w:sz w:val="24"/>
          <w:szCs w:val="24"/>
        </w:rPr>
        <w:t>-1</w:t>
      </w:r>
      <w:r>
        <w:rPr>
          <w:rFonts w:cstheme="minorHAnsi"/>
          <w:sz w:val="24"/>
          <w:szCs w:val="24"/>
        </w:rPr>
        <w:t>7</w:t>
      </w:r>
      <w:r w:rsidRPr="00A42D9D">
        <w:rPr>
          <w:rFonts w:cstheme="minorHAnsi"/>
          <w:sz w:val="24"/>
          <w:szCs w:val="24"/>
        </w:rPr>
        <w:t xml:space="preserve">]. </w:t>
      </w:r>
      <w:r>
        <w:rPr>
          <w:rFonts w:cstheme="minorHAnsi"/>
          <w:sz w:val="24"/>
          <w:szCs w:val="24"/>
        </w:rPr>
        <w:t xml:space="preserve">Respiratory patients, who cannot maintain exercise due to breathlessness, have found HIIT acceptable [18- 20] and although its overall superiority over MICT has been questioned [21], it has been used safely in ILD patients preparing for lung transplantation [22]. However, HIIT has yet to be evaluated in the context of an ILD-tailored PR programme. </w:t>
      </w:r>
    </w:p>
    <w:p w14:paraId="5E7A452C"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t xml:space="preserve">The aim of this pilot study was therefore to evaluate: a) the feasibility of using HIIT in an ILD-PR programme, b) determine the short and medium-term effects of HIIT on exercise capacity, respiratory and peripheral muscle strength, breathlessness and health status and c) explore responses in different types of ILD. </w:t>
      </w:r>
    </w:p>
    <w:p w14:paraId="13BCA25F"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t>Some of the results of this study have been reported previously abstract form [</w:t>
      </w:r>
      <w:r>
        <w:rPr>
          <w:rFonts w:cstheme="minorHAnsi"/>
          <w:sz w:val="24"/>
          <w:szCs w:val="24"/>
        </w:rPr>
        <w:t>23</w:t>
      </w:r>
      <w:r w:rsidRPr="00A42D9D">
        <w:rPr>
          <w:rFonts w:cstheme="minorHAnsi"/>
          <w:sz w:val="24"/>
          <w:szCs w:val="24"/>
        </w:rPr>
        <w:t>].</w:t>
      </w:r>
    </w:p>
    <w:p w14:paraId="46ADD3E1" w14:textId="77777777" w:rsidR="00825C89" w:rsidRPr="00A42D9D" w:rsidRDefault="00825C89" w:rsidP="00825C89">
      <w:pPr>
        <w:autoSpaceDE w:val="0"/>
        <w:autoSpaceDN w:val="0"/>
        <w:adjustRightInd w:val="0"/>
        <w:spacing w:after="0" w:line="480" w:lineRule="auto"/>
        <w:jc w:val="both"/>
        <w:rPr>
          <w:rFonts w:cstheme="minorHAnsi"/>
          <w:sz w:val="24"/>
          <w:szCs w:val="24"/>
        </w:rPr>
      </w:pPr>
    </w:p>
    <w:p w14:paraId="15A62F84" w14:textId="77777777" w:rsidR="00825C89" w:rsidRPr="00A42D9D" w:rsidRDefault="00825C89" w:rsidP="00825C89">
      <w:pPr>
        <w:spacing w:line="480" w:lineRule="auto"/>
        <w:jc w:val="both"/>
        <w:rPr>
          <w:rFonts w:cstheme="minorHAnsi"/>
          <w:b/>
          <w:sz w:val="24"/>
          <w:szCs w:val="24"/>
        </w:rPr>
      </w:pPr>
      <w:r w:rsidRPr="00A42D9D">
        <w:rPr>
          <w:rFonts w:cstheme="minorHAnsi"/>
          <w:b/>
          <w:sz w:val="28"/>
          <w:szCs w:val="24"/>
        </w:rPr>
        <w:t>Methods</w:t>
      </w:r>
      <w:r w:rsidRPr="00A42D9D">
        <w:rPr>
          <w:rFonts w:cstheme="minorHAnsi"/>
          <w:b/>
          <w:sz w:val="24"/>
          <w:szCs w:val="24"/>
        </w:rPr>
        <w:t xml:space="preserve"> </w:t>
      </w:r>
    </w:p>
    <w:p w14:paraId="23798717" w14:textId="77777777" w:rsidR="00825C89" w:rsidRPr="00A42D9D" w:rsidRDefault="00825C89" w:rsidP="00825C89">
      <w:pPr>
        <w:spacing w:line="480" w:lineRule="auto"/>
        <w:jc w:val="both"/>
        <w:rPr>
          <w:rFonts w:cstheme="minorHAnsi"/>
          <w:b/>
          <w:sz w:val="24"/>
          <w:szCs w:val="24"/>
        </w:rPr>
      </w:pPr>
      <w:r w:rsidRPr="00A42D9D">
        <w:rPr>
          <w:rFonts w:cstheme="minorHAnsi"/>
          <w:b/>
          <w:sz w:val="24"/>
          <w:szCs w:val="24"/>
        </w:rPr>
        <w:lastRenderedPageBreak/>
        <w:t xml:space="preserve">Study design </w:t>
      </w:r>
    </w:p>
    <w:p w14:paraId="0840304F"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 xml:space="preserve">Single-blind, randomised-controlled feasibility, pilot trial.   </w:t>
      </w:r>
    </w:p>
    <w:p w14:paraId="218A0DF5" w14:textId="77777777" w:rsidR="00825C89" w:rsidRPr="00A42D9D" w:rsidRDefault="00825C89" w:rsidP="00825C89">
      <w:pPr>
        <w:spacing w:line="480" w:lineRule="auto"/>
        <w:jc w:val="both"/>
        <w:rPr>
          <w:rFonts w:cstheme="minorHAnsi"/>
          <w:b/>
          <w:sz w:val="24"/>
          <w:szCs w:val="24"/>
        </w:rPr>
      </w:pPr>
      <w:r w:rsidRPr="00A42D9D">
        <w:rPr>
          <w:rFonts w:cstheme="minorHAnsi"/>
          <w:b/>
          <w:sz w:val="24"/>
          <w:szCs w:val="24"/>
        </w:rPr>
        <w:t xml:space="preserve">Study population </w:t>
      </w:r>
    </w:p>
    <w:p w14:paraId="48463FE1" w14:textId="77777777" w:rsidR="00825C89" w:rsidRDefault="00825C89" w:rsidP="00825C89">
      <w:pPr>
        <w:spacing w:line="480" w:lineRule="auto"/>
        <w:jc w:val="both"/>
        <w:rPr>
          <w:rFonts w:cstheme="minorHAnsi"/>
          <w:sz w:val="24"/>
          <w:szCs w:val="24"/>
        </w:rPr>
      </w:pPr>
      <w:r w:rsidRPr="00A42D9D">
        <w:rPr>
          <w:rFonts w:cstheme="minorHAnsi"/>
          <w:sz w:val="24"/>
          <w:szCs w:val="24"/>
        </w:rPr>
        <w:t>Symptomatic patients over 18 years old</w:t>
      </w:r>
      <w:r>
        <w:rPr>
          <w:rFonts w:cstheme="minorHAnsi"/>
          <w:sz w:val="24"/>
          <w:szCs w:val="24"/>
        </w:rPr>
        <w:t>,</w:t>
      </w:r>
      <w:r w:rsidRPr="00A42D9D">
        <w:rPr>
          <w:rFonts w:cstheme="minorHAnsi"/>
          <w:sz w:val="24"/>
          <w:szCs w:val="24"/>
        </w:rPr>
        <w:t xml:space="preserve"> of all types and severity</w:t>
      </w:r>
      <w:r>
        <w:rPr>
          <w:rFonts w:cstheme="minorHAnsi"/>
          <w:sz w:val="24"/>
          <w:szCs w:val="24"/>
        </w:rPr>
        <w:t>,</w:t>
      </w:r>
      <w:r w:rsidRPr="00A42D9D">
        <w:rPr>
          <w:rFonts w:cstheme="minorHAnsi"/>
          <w:sz w:val="24"/>
          <w:szCs w:val="24"/>
        </w:rPr>
        <w:t xml:space="preserve"> apart from sarcoidosis</w:t>
      </w:r>
      <w:r>
        <w:rPr>
          <w:rFonts w:cstheme="minorHAnsi"/>
          <w:sz w:val="24"/>
          <w:szCs w:val="24"/>
        </w:rPr>
        <w:t>, and</w:t>
      </w:r>
      <w:r w:rsidRPr="00A42D9D">
        <w:rPr>
          <w:rFonts w:cstheme="minorHAnsi"/>
          <w:sz w:val="24"/>
          <w:szCs w:val="24"/>
        </w:rPr>
        <w:t xml:space="preserve"> with a respiratory-physician diagnosis of ILD</w:t>
      </w:r>
      <w:r>
        <w:rPr>
          <w:rFonts w:cstheme="minorHAnsi"/>
          <w:sz w:val="24"/>
          <w:szCs w:val="24"/>
        </w:rPr>
        <w:t xml:space="preserve"> from a tertiary referral hospital</w:t>
      </w:r>
      <w:r w:rsidRPr="00A42D9D">
        <w:rPr>
          <w:rFonts w:cstheme="minorHAnsi"/>
          <w:sz w:val="24"/>
          <w:szCs w:val="24"/>
        </w:rPr>
        <w:t>, were invited to participate. This included patients with idiopathic pulmonary fibrosis (diagnostic criteria consistent with the International Consensus statement [1]), connective tissue disease related ILD, non-specific interstitial pneumonia, usual interstitial pneumonia, and chronic hypersensitivity pneumonitis. Patients were eligible to participate if they were ambulant and had symptoms of dyspnoea on exertion</w:t>
      </w:r>
      <w:r>
        <w:rPr>
          <w:rFonts w:cstheme="minorHAnsi"/>
          <w:sz w:val="24"/>
          <w:szCs w:val="24"/>
        </w:rPr>
        <w:t xml:space="preserve"> (grades 1 to 3 in the </w:t>
      </w:r>
      <w:proofErr w:type="spellStart"/>
      <w:r>
        <w:rPr>
          <w:rFonts w:cstheme="minorHAnsi"/>
          <w:sz w:val="24"/>
          <w:szCs w:val="24"/>
        </w:rPr>
        <w:t>mMRC</w:t>
      </w:r>
      <w:proofErr w:type="spellEnd"/>
      <w:r>
        <w:rPr>
          <w:rFonts w:cstheme="minorHAnsi"/>
          <w:sz w:val="24"/>
          <w:szCs w:val="24"/>
        </w:rPr>
        <w:t xml:space="preserve"> scale) [24]</w:t>
      </w:r>
      <w:r w:rsidRPr="00A42D9D">
        <w:rPr>
          <w:rFonts w:cstheme="minorHAnsi"/>
          <w:sz w:val="24"/>
          <w:szCs w:val="24"/>
        </w:rPr>
        <w:t xml:space="preserve">. </w:t>
      </w:r>
      <w:r>
        <w:rPr>
          <w:rFonts w:cstheme="minorHAnsi"/>
          <w:sz w:val="24"/>
          <w:szCs w:val="24"/>
        </w:rPr>
        <w:t xml:space="preserve">Patients on long-term oxygen therapy (LTOT) were also included. </w:t>
      </w:r>
      <w:r w:rsidRPr="00A42D9D">
        <w:rPr>
          <w:rFonts w:cstheme="minorHAnsi"/>
          <w:sz w:val="24"/>
          <w:szCs w:val="24"/>
        </w:rPr>
        <w:t xml:space="preserve">Exclusion criteria were a history of syncope on exertion, patients </w:t>
      </w:r>
      <w:r>
        <w:rPr>
          <w:rFonts w:cstheme="minorHAnsi"/>
          <w:sz w:val="24"/>
          <w:szCs w:val="24"/>
        </w:rPr>
        <w:t xml:space="preserve">having an acute exacerbation, patients </w:t>
      </w:r>
      <w:r w:rsidRPr="00A42D9D">
        <w:rPr>
          <w:rFonts w:cstheme="minorHAnsi"/>
          <w:sz w:val="24"/>
          <w:szCs w:val="24"/>
        </w:rPr>
        <w:t>wi</w:t>
      </w:r>
      <w:r>
        <w:rPr>
          <w:rFonts w:cstheme="minorHAnsi"/>
          <w:sz w:val="24"/>
          <w:szCs w:val="24"/>
        </w:rPr>
        <w:t>th sarcoidosis and</w:t>
      </w:r>
      <w:r w:rsidRPr="00A42D9D">
        <w:rPr>
          <w:rFonts w:cstheme="minorHAnsi"/>
          <w:sz w:val="24"/>
          <w:szCs w:val="24"/>
        </w:rPr>
        <w:t xml:space="preserve"> severe co-morbidities (such as musculoskeletal, neurological or cardiovascular problems) that would interfere with their ability to exercise. </w:t>
      </w:r>
    </w:p>
    <w:p w14:paraId="4A0D6657" w14:textId="77777777" w:rsidR="00825C89" w:rsidRPr="00A42D9D" w:rsidRDefault="00825C89" w:rsidP="00825C89">
      <w:pPr>
        <w:spacing w:line="480" w:lineRule="auto"/>
        <w:jc w:val="both"/>
        <w:rPr>
          <w:rFonts w:cstheme="minorHAnsi"/>
          <w:sz w:val="24"/>
          <w:szCs w:val="24"/>
        </w:rPr>
      </w:pPr>
      <w:r>
        <w:rPr>
          <w:rFonts w:cstheme="minorHAnsi"/>
          <w:sz w:val="24"/>
          <w:szCs w:val="24"/>
        </w:rPr>
        <w:t>Prior to being included in this study, all participants had full lung function tests, performed by specialised technicians in a lung function laboratory and CT scans were part of their clinical diagnostic process and management. Participants were monitored throughout the study by respiratory physicians. The usual medical care was not affected by participation in this study.</w:t>
      </w:r>
    </w:p>
    <w:p w14:paraId="7F1BFC01"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t xml:space="preserve">All participants provided written informed consent. The trial protocol was pre-registered with the ISRCTN registry (ISRCTN55846300) and approved by the South East Coast-Surrey Ethics committee (14/LO/0149). </w:t>
      </w:r>
    </w:p>
    <w:p w14:paraId="6F9FC1D9" w14:textId="77777777" w:rsidR="00825C89" w:rsidRPr="00A42D9D" w:rsidRDefault="00825C89" w:rsidP="00825C89">
      <w:pPr>
        <w:spacing w:after="0" w:line="480" w:lineRule="auto"/>
        <w:jc w:val="both"/>
        <w:rPr>
          <w:rFonts w:cstheme="minorHAnsi"/>
          <w:b/>
          <w:sz w:val="24"/>
          <w:szCs w:val="24"/>
        </w:rPr>
      </w:pPr>
    </w:p>
    <w:p w14:paraId="5EDC9C0A" w14:textId="77777777" w:rsidR="00825C89" w:rsidRDefault="00825C89" w:rsidP="00825C89">
      <w:pPr>
        <w:spacing w:after="0" w:line="480" w:lineRule="auto"/>
        <w:jc w:val="both"/>
        <w:rPr>
          <w:rFonts w:cstheme="minorHAnsi"/>
          <w:b/>
          <w:sz w:val="24"/>
          <w:szCs w:val="24"/>
        </w:rPr>
      </w:pPr>
    </w:p>
    <w:p w14:paraId="505B0F5D" w14:textId="77777777" w:rsidR="00825C89" w:rsidRDefault="00825C89" w:rsidP="00825C89">
      <w:pPr>
        <w:spacing w:after="0" w:line="480" w:lineRule="auto"/>
        <w:jc w:val="both"/>
        <w:rPr>
          <w:rFonts w:cstheme="minorHAnsi"/>
          <w:b/>
          <w:sz w:val="24"/>
          <w:szCs w:val="24"/>
        </w:rPr>
      </w:pPr>
    </w:p>
    <w:p w14:paraId="5069338F" w14:textId="77777777" w:rsidR="00825C89" w:rsidRPr="00A42D9D" w:rsidRDefault="00825C89" w:rsidP="00825C89">
      <w:pPr>
        <w:spacing w:after="0" w:line="480" w:lineRule="auto"/>
        <w:jc w:val="both"/>
        <w:rPr>
          <w:rFonts w:cstheme="minorHAnsi"/>
          <w:b/>
          <w:sz w:val="24"/>
          <w:szCs w:val="24"/>
        </w:rPr>
      </w:pPr>
      <w:r w:rsidRPr="0038499F">
        <w:rPr>
          <w:rFonts w:cstheme="minorHAnsi"/>
          <w:b/>
          <w:sz w:val="24"/>
          <w:szCs w:val="24"/>
        </w:rPr>
        <w:t>Patient and Public involvement</w:t>
      </w:r>
    </w:p>
    <w:p w14:paraId="6EEBC771" w14:textId="77777777" w:rsidR="00825C89" w:rsidRPr="00A42D9D" w:rsidRDefault="00825C89" w:rsidP="00825C89">
      <w:pPr>
        <w:spacing w:after="0" w:line="480" w:lineRule="auto"/>
        <w:jc w:val="both"/>
        <w:rPr>
          <w:rFonts w:cstheme="minorHAnsi"/>
          <w:sz w:val="24"/>
          <w:szCs w:val="24"/>
        </w:rPr>
      </w:pPr>
      <w:r w:rsidRPr="00A42D9D">
        <w:rPr>
          <w:rFonts w:cstheme="minorHAnsi"/>
          <w:sz w:val="24"/>
          <w:szCs w:val="24"/>
        </w:rPr>
        <w:lastRenderedPageBreak/>
        <w:t xml:space="preserve">People with ILD were involved in the original design of this research and determined acceptability of the proposed interventions and likelihood of adherence to this programme. During the study, all participants were involved in the conduct of the research by giving regular feedback in the education-discussion part of the PR programme and via interviews. On completion of this study, some participants formed a local ILD- Support Group </w:t>
      </w:r>
      <w:r>
        <w:rPr>
          <w:rFonts w:cstheme="minorHAnsi"/>
          <w:sz w:val="24"/>
          <w:szCs w:val="24"/>
        </w:rPr>
        <w:t xml:space="preserve">and </w:t>
      </w:r>
      <w:r w:rsidRPr="00A42D9D">
        <w:rPr>
          <w:rFonts w:cstheme="minorHAnsi"/>
          <w:sz w:val="24"/>
          <w:szCs w:val="24"/>
        </w:rPr>
        <w:t>viewed</w:t>
      </w:r>
      <w:r>
        <w:rPr>
          <w:rFonts w:cstheme="minorHAnsi"/>
          <w:sz w:val="24"/>
          <w:szCs w:val="24"/>
        </w:rPr>
        <w:t xml:space="preserve"> the</w:t>
      </w:r>
      <w:r w:rsidRPr="00A42D9D">
        <w:rPr>
          <w:rFonts w:cstheme="minorHAnsi"/>
          <w:sz w:val="24"/>
          <w:szCs w:val="24"/>
        </w:rPr>
        <w:t xml:space="preserve"> final results for dissemination.</w:t>
      </w:r>
    </w:p>
    <w:p w14:paraId="664F39BA" w14:textId="77777777" w:rsidR="00825C89" w:rsidRPr="00A42D9D" w:rsidRDefault="00825C89" w:rsidP="00825C89">
      <w:pPr>
        <w:spacing w:after="0" w:line="480" w:lineRule="auto"/>
        <w:jc w:val="both"/>
        <w:rPr>
          <w:rFonts w:cstheme="minorHAnsi"/>
          <w:sz w:val="24"/>
          <w:szCs w:val="24"/>
        </w:rPr>
      </w:pPr>
    </w:p>
    <w:p w14:paraId="08668232" w14:textId="77777777" w:rsidR="00825C89" w:rsidRPr="00A42D9D" w:rsidRDefault="00825C89" w:rsidP="00825C89">
      <w:pPr>
        <w:spacing w:after="0" w:line="480" w:lineRule="auto"/>
        <w:jc w:val="both"/>
        <w:rPr>
          <w:rFonts w:cstheme="minorHAnsi"/>
          <w:b/>
          <w:sz w:val="24"/>
          <w:szCs w:val="24"/>
        </w:rPr>
      </w:pPr>
      <w:r w:rsidRPr="00A42D9D">
        <w:rPr>
          <w:rFonts w:cstheme="minorHAnsi"/>
          <w:b/>
          <w:sz w:val="24"/>
          <w:szCs w:val="24"/>
        </w:rPr>
        <w:t>Randomisation and blinding</w:t>
      </w:r>
    </w:p>
    <w:p w14:paraId="5F9D61AC" w14:textId="77777777" w:rsidR="00825C89" w:rsidRPr="00A42D9D" w:rsidRDefault="00825C89" w:rsidP="00825C89">
      <w:pPr>
        <w:spacing w:after="0" w:line="480" w:lineRule="auto"/>
        <w:jc w:val="both"/>
        <w:rPr>
          <w:rFonts w:cstheme="minorHAnsi"/>
          <w:sz w:val="24"/>
          <w:szCs w:val="24"/>
        </w:rPr>
      </w:pPr>
      <w:r w:rsidRPr="00A42D9D">
        <w:rPr>
          <w:rFonts w:cstheme="minorHAnsi"/>
          <w:sz w:val="24"/>
          <w:szCs w:val="24"/>
        </w:rPr>
        <w:t>Followin</w:t>
      </w:r>
      <w:r>
        <w:rPr>
          <w:rFonts w:cstheme="minorHAnsi"/>
          <w:sz w:val="24"/>
          <w:szCs w:val="24"/>
        </w:rPr>
        <w:t>g baseline assessments, participants</w:t>
      </w:r>
      <w:r w:rsidRPr="00A42D9D">
        <w:rPr>
          <w:rFonts w:cstheme="minorHAnsi"/>
          <w:sz w:val="24"/>
          <w:szCs w:val="24"/>
        </w:rPr>
        <w:t xml:space="preserve"> were randomised into 2 groups: exercise using moderate intensity continuous training (MICT group) or exercise using high-intensity interval</w:t>
      </w:r>
      <w:r>
        <w:rPr>
          <w:rFonts w:cstheme="minorHAnsi"/>
          <w:sz w:val="24"/>
          <w:szCs w:val="24"/>
        </w:rPr>
        <w:t xml:space="preserve"> training (HIIT group). Participants</w:t>
      </w:r>
      <w:r w:rsidRPr="00A42D9D">
        <w:rPr>
          <w:rFonts w:cstheme="minorHAnsi"/>
          <w:sz w:val="24"/>
          <w:szCs w:val="24"/>
        </w:rPr>
        <w:t xml:space="preserve"> were stratified by ILD type to ensure a balanced distribution of types between groups. They were placed into 3 sub-groups: a) Idiopathic group (e.g. IPF); b) Autoimmune group (CTD-ILD) and c) Chronic Hypersensitivity pneumonitis group (CHP/EAA). The investigator performing all assessments and the statistician were blinded throughout the study. </w:t>
      </w:r>
    </w:p>
    <w:p w14:paraId="33B8F574" w14:textId="77777777" w:rsidR="00825C89" w:rsidRPr="00A42D9D" w:rsidRDefault="00825C89" w:rsidP="00825C89">
      <w:pPr>
        <w:spacing w:after="0" w:line="480" w:lineRule="auto"/>
        <w:jc w:val="both"/>
        <w:rPr>
          <w:rFonts w:cstheme="minorHAnsi"/>
          <w:sz w:val="24"/>
          <w:szCs w:val="24"/>
        </w:rPr>
      </w:pPr>
    </w:p>
    <w:p w14:paraId="59AD212E" w14:textId="77777777" w:rsidR="00825C89" w:rsidRPr="00A42D9D" w:rsidRDefault="00825C89" w:rsidP="00825C89">
      <w:pPr>
        <w:spacing w:line="480" w:lineRule="auto"/>
        <w:jc w:val="both"/>
        <w:rPr>
          <w:rFonts w:cstheme="minorHAnsi"/>
          <w:b/>
          <w:sz w:val="24"/>
          <w:szCs w:val="24"/>
        </w:rPr>
      </w:pPr>
      <w:r w:rsidRPr="00A42D9D">
        <w:rPr>
          <w:rFonts w:cstheme="minorHAnsi"/>
          <w:b/>
          <w:sz w:val="24"/>
          <w:szCs w:val="24"/>
        </w:rPr>
        <w:t>Intervention</w:t>
      </w:r>
    </w:p>
    <w:p w14:paraId="61DECAD5" w14:textId="77777777" w:rsidR="00825C89" w:rsidRPr="00A42D9D" w:rsidRDefault="00825C89" w:rsidP="00825C89">
      <w:pPr>
        <w:spacing w:line="480" w:lineRule="auto"/>
        <w:jc w:val="both"/>
        <w:rPr>
          <w:rFonts w:cstheme="minorHAnsi"/>
          <w:b/>
          <w:sz w:val="24"/>
          <w:szCs w:val="24"/>
        </w:rPr>
      </w:pPr>
      <w:r w:rsidRPr="00A42D9D">
        <w:rPr>
          <w:rFonts w:cstheme="minorHAnsi"/>
          <w:i/>
          <w:sz w:val="24"/>
          <w:szCs w:val="24"/>
        </w:rPr>
        <w:t>The ILD-PR programme</w:t>
      </w:r>
    </w:p>
    <w:p w14:paraId="3B184783"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t>This was a</w:t>
      </w:r>
      <w:r>
        <w:rPr>
          <w:rFonts w:cstheme="minorHAnsi"/>
          <w:sz w:val="24"/>
          <w:szCs w:val="24"/>
        </w:rPr>
        <w:t xml:space="preserve"> circuit-based</w:t>
      </w:r>
      <w:r w:rsidRPr="00A42D9D">
        <w:rPr>
          <w:rFonts w:cstheme="minorHAnsi"/>
          <w:sz w:val="24"/>
          <w:szCs w:val="24"/>
        </w:rPr>
        <w:t xml:space="preserve"> 8-week, twice weekly</w:t>
      </w:r>
      <w:r>
        <w:rPr>
          <w:rFonts w:cstheme="minorHAnsi"/>
          <w:sz w:val="24"/>
          <w:szCs w:val="24"/>
        </w:rPr>
        <w:t>,</w:t>
      </w:r>
      <w:r w:rsidRPr="00A42D9D">
        <w:rPr>
          <w:rFonts w:cstheme="minorHAnsi"/>
          <w:sz w:val="24"/>
          <w:szCs w:val="24"/>
        </w:rPr>
        <w:t xml:space="preserve"> outpatient pro</w:t>
      </w:r>
      <w:r>
        <w:rPr>
          <w:rFonts w:cstheme="minorHAnsi"/>
          <w:sz w:val="24"/>
          <w:szCs w:val="24"/>
        </w:rPr>
        <w:t xml:space="preserve">gramme, including only people with ILD and consisting of an hour of exercise and an hour of education. </w:t>
      </w:r>
      <w:r w:rsidRPr="00A42D9D">
        <w:rPr>
          <w:rFonts w:cstheme="minorHAnsi"/>
          <w:sz w:val="24"/>
          <w:szCs w:val="24"/>
        </w:rPr>
        <w:t>Exercise was set,</w:t>
      </w:r>
      <w:r>
        <w:rPr>
          <w:rFonts w:cstheme="minorHAnsi"/>
          <w:sz w:val="24"/>
          <w:szCs w:val="24"/>
        </w:rPr>
        <w:t xml:space="preserve"> supervised</w:t>
      </w:r>
      <w:r w:rsidRPr="00A42D9D">
        <w:rPr>
          <w:rFonts w:cstheme="minorHAnsi"/>
          <w:sz w:val="24"/>
          <w:szCs w:val="24"/>
        </w:rPr>
        <w:t xml:space="preserve"> and progressed </w:t>
      </w:r>
      <w:r>
        <w:rPr>
          <w:rFonts w:cstheme="minorHAnsi"/>
          <w:sz w:val="24"/>
          <w:szCs w:val="24"/>
        </w:rPr>
        <w:t xml:space="preserve">by two experienced physiotherapists, </w:t>
      </w:r>
      <w:r w:rsidRPr="00A42D9D">
        <w:rPr>
          <w:rFonts w:cstheme="minorHAnsi"/>
          <w:sz w:val="24"/>
          <w:szCs w:val="24"/>
        </w:rPr>
        <w:t xml:space="preserve">according to a standardised protocol for each group allocation. </w:t>
      </w:r>
      <w:r>
        <w:rPr>
          <w:rFonts w:cstheme="minorHAnsi"/>
          <w:sz w:val="24"/>
          <w:szCs w:val="24"/>
        </w:rPr>
        <w:t xml:space="preserve">Supplementary oxygen was not used during the sessions. Participants already on LTOT continued to exercise with oxygen as recommended but were not given additional oxygen. Aerobic exercises included treadmill walking, brisk walking between 2 cones, cycle ergometer, trampette and step ups. </w:t>
      </w:r>
      <w:r w:rsidRPr="00A42D9D">
        <w:rPr>
          <w:rFonts w:cstheme="minorHAnsi"/>
          <w:sz w:val="24"/>
          <w:szCs w:val="24"/>
        </w:rPr>
        <w:t xml:space="preserve">Strength training exercises, upper and lower limb, were conducted using ‘Thera-bands’ and functional movements such as sit-to-stand and ball raises. </w:t>
      </w:r>
    </w:p>
    <w:p w14:paraId="2D7C4947" w14:textId="77777777" w:rsidR="00825C89"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lastRenderedPageBreak/>
        <w:t>A minimum of 30 minutes were dedicated to aerobic training.</w:t>
      </w:r>
      <w:r>
        <w:rPr>
          <w:rFonts w:cstheme="minorHAnsi"/>
          <w:sz w:val="24"/>
          <w:szCs w:val="24"/>
        </w:rPr>
        <w:t xml:space="preserve"> </w:t>
      </w:r>
      <w:r w:rsidRPr="00A42D9D">
        <w:rPr>
          <w:rFonts w:cstheme="minorHAnsi"/>
          <w:sz w:val="24"/>
          <w:szCs w:val="24"/>
        </w:rPr>
        <w:t>Aerobic training intensity at the</w:t>
      </w:r>
      <w:r w:rsidRPr="00A42D9D">
        <w:rPr>
          <w:rFonts w:cstheme="minorHAnsi"/>
          <w:i/>
          <w:sz w:val="24"/>
          <w:szCs w:val="24"/>
        </w:rPr>
        <w:t xml:space="preserve"> </w:t>
      </w:r>
      <w:r w:rsidRPr="00A42D9D">
        <w:rPr>
          <w:rFonts w:cstheme="minorHAnsi"/>
          <w:sz w:val="24"/>
          <w:szCs w:val="24"/>
        </w:rPr>
        <w:t>MICT group was set at 60% maximum heart rate (HRmax) and progressed each week. In the</w:t>
      </w:r>
      <w:r w:rsidRPr="00A42D9D">
        <w:rPr>
          <w:rFonts w:cstheme="minorHAnsi"/>
          <w:i/>
          <w:sz w:val="24"/>
          <w:szCs w:val="24"/>
        </w:rPr>
        <w:t xml:space="preserve"> </w:t>
      </w:r>
      <w:r w:rsidRPr="00A42D9D">
        <w:rPr>
          <w:rFonts w:cstheme="minorHAnsi"/>
          <w:sz w:val="24"/>
          <w:szCs w:val="24"/>
        </w:rPr>
        <w:t xml:space="preserve">HIIT group, intensity was set at 80% HRmax and patients were instructed to exercise in dynamic intervals followed by low intensity exercise or rest.  The aim in this group was to increase the amount of time on the ‘high intensity’ phase each week. </w:t>
      </w:r>
    </w:p>
    <w:p w14:paraId="1413F6B9" w14:textId="77777777" w:rsidR="00825C89" w:rsidRDefault="00825C89" w:rsidP="00825C89">
      <w:pPr>
        <w:autoSpaceDE w:val="0"/>
        <w:autoSpaceDN w:val="0"/>
        <w:adjustRightInd w:val="0"/>
        <w:spacing w:after="0" w:line="480" w:lineRule="auto"/>
        <w:jc w:val="both"/>
        <w:rPr>
          <w:rFonts w:cstheme="minorHAnsi"/>
          <w:sz w:val="24"/>
          <w:szCs w:val="24"/>
        </w:rPr>
      </w:pPr>
    </w:p>
    <w:p w14:paraId="5CECC716" w14:textId="77777777" w:rsidR="00825C89" w:rsidRPr="00A42D9D" w:rsidRDefault="00825C89" w:rsidP="00825C89">
      <w:pPr>
        <w:autoSpaceDE w:val="0"/>
        <w:autoSpaceDN w:val="0"/>
        <w:adjustRightInd w:val="0"/>
        <w:spacing w:after="0" w:line="480" w:lineRule="auto"/>
        <w:jc w:val="both"/>
        <w:rPr>
          <w:rFonts w:cstheme="minorHAnsi"/>
          <w:sz w:val="24"/>
          <w:szCs w:val="24"/>
        </w:rPr>
      </w:pPr>
      <w:r>
        <w:rPr>
          <w:rFonts w:cstheme="minorHAnsi"/>
          <w:sz w:val="24"/>
          <w:szCs w:val="24"/>
        </w:rPr>
        <w:t>In the first week, t</w:t>
      </w:r>
      <w:r w:rsidRPr="00A42D9D">
        <w:rPr>
          <w:rFonts w:cstheme="minorHAnsi"/>
          <w:sz w:val="24"/>
          <w:szCs w:val="24"/>
        </w:rPr>
        <w:t xml:space="preserve">he average time on HIIT </w:t>
      </w:r>
      <w:r>
        <w:rPr>
          <w:rFonts w:cstheme="minorHAnsi"/>
          <w:sz w:val="24"/>
          <w:szCs w:val="24"/>
        </w:rPr>
        <w:t xml:space="preserve">(at 80% HRmax) for each aerobic exercise </w:t>
      </w:r>
      <w:r w:rsidRPr="00A42D9D">
        <w:rPr>
          <w:rFonts w:cstheme="minorHAnsi"/>
          <w:sz w:val="24"/>
          <w:szCs w:val="24"/>
        </w:rPr>
        <w:t>was 2.5 min</w:t>
      </w:r>
      <w:r>
        <w:rPr>
          <w:rFonts w:cstheme="minorHAnsi"/>
          <w:sz w:val="24"/>
          <w:szCs w:val="24"/>
        </w:rPr>
        <w:t>, therefore HIIT was 12.5 minutes of the total 30-minute session, and this time increased each week.</w:t>
      </w:r>
      <w:r w:rsidRPr="00A42D9D">
        <w:rPr>
          <w:rFonts w:cstheme="minorHAnsi"/>
          <w:sz w:val="24"/>
          <w:szCs w:val="24"/>
        </w:rPr>
        <w:t xml:space="preserve"> Progression of training was determined by reducing time in the low intensity phase of HIIT and/or increasing time in the target HR</w:t>
      </w:r>
      <w:r>
        <w:rPr>
          <w:rFonts w:cstheme="minorHAnsi"/>
          <w:sz w:val="24"/>
          <w:szCs w:val="24"/>
        </w:rPr>
        <w:t xml:space="preserve"> </w:t>
      </w:r>
      <w:r w:rsidRPr="00A42D9D">
        <w:rPr>
          <w:rFonts w:cstheme="minorHAnsi"/>
          <w:sz w:val="24"/>
          <w:szCs w:val="24"/>
        </w:rPr>
        <w:t xml:space="preserve">. </w:t>
      </w:r>
      <w:r>
        <w:rPr>
          <w:rFonts w:cstheme="minorHAnsi"/>
          <w:sz w:val="24"/>
          <w:szCs w:val="24"/>
        </w:rPr>
        <w:t>Each participant</w:t>
      </w:r>
      <w:r w:rsidRPr="00A42D9D">
        <w:rPr>
          <w:rFonts w:cstheme="minorHAnsi"/>
          <w:sz w:val="24"/>
          <w:szCs w:val="24"/>
        </w:rPr>
        <w:t xml:space="preserve">’s individualised programme was recorded on exercise logs during the sessions.  </w:t>
      </w:r>
    </w:p>
    <w:p w14:paraId="029E7375" w14:textId="77777777" w:rsidR="00825C89" w:rsidRPr="00A42D9D" w:rsidRDefault="00825C89" w:rsidP="00825C89">
      <w:pPr>
        <w:autoSpaceDE w:val="0"/>
        <w:autoSpaceDN w:val="0"/>
        <w:adjustRightInd w:val="0"/>
        <w:spacing w:after="0" w:line="480" w:lineRule="auto"/>
        <w:jc w:val="both"/>
        <w:rPr>
          <w:rFonts w:cstheme="minorHAnsi"/>
          <w:sz w:val="24"/>
          <w:szCs w:val="24"/>
        </w:rPr>
      </w:pPr>
    </w:p>
    <w:p w14:paraId="13C00887"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t>Heart rate and oxygen saturation were monitored using pulse oximeters and perceived exertion and breathlessness were recorded at set intervals using the modified 10-point Borg scale and the Rate of Perceived Exertion scale (RPE) respectively [2</w:t>
      </w:r>
      <w:r>
        <w:rPr>
          <w:rFonts w:cstheme="minorHAnsi"/>
          <w:sz w:val="24"/>
          <w:szCs w:val="24"/>
        </w:rPr>
        <w:t>5</w:t>
      </w:r>
      <w:r w:rsidRPr="00A42D9D">
        <w:rPr>
          <w:rFonts w:cstheme="minorHAnsi"/>
          <w:sz w:val="24"/>
          <w:szCs w:val="24"/>
        </w:rPr>
        <w:t>, 2</w:t>
      </w:r>
      <w:r>
        <w:rPr>
          <w:rFonts w:cstheme="minorHAnsi"/>
          <w:sz w:val="24"/>
          <w:szCs w:val="24"/>
        </w:rPr>
        <w:t>6</w:t>
      </w:r>
      <w:r w:rsidRPr="00A42D9D">
        <w:rPr>
          <w:rFonts w:cstheme="minorHAnsi"/>
          <w:sz w:val="24"/>
          <w:szCs w:val="24"/>
        </w:rPr>
        <w:t>].</w:t>
      </w:r>
    </w:p>
    <w:p w14:paraId="4913DF4A" w14:textId="77777777" w:rsidR="00825C89" w:rsidRPr="00664BD3" w:rsidRDefault="00825C89" w:rsidP="00825C89">
      <w:pPr>
        <w:pStyle w:val="ListParagraph"/>
        <w:spacing w:line="480" w:lineRule="auto"/>
        <w:ind w:left="0"/>
      </w:pPr>
      <w:r w:rsidRPr="00A42D9D">
        <w:rPr>
          <w:rFonts w:cstheme="minorHAnsi"/>
          <w:sz w:val="24"/>
          <w:szCs w:val="24"/>
        </w:rPr>
        <w:t>The education session, on the 2</w:t>
      </w:r>
      <w:r w:rsidRPr="00A42D9D">
        <w:rPr>
          <w:rFonts w:cstheme="minorHAnsi"/>
          <w:sz w:val="24"/>
          <w:szCs w:val="24"/>
          <w:vertAlign w:val="superscript"/>
        </w:rPr>
        <w:t>nd</w:t>
      </w:r>
      <w:r w:rsidRPr="00A42D9D">
        <w:rPr>
          <w:rFonts w:cstheme="minorHAnsi"/>
          <w:sz w:val="24"/>
          <w:szCs w:val="24"/>
        </w:rPr>
        <w:t xml:space="preserve"> hour of the programme was common for all participants and included presentations and discussion on topics important to ILD patient</w:t>
      </w:r>
      <w:r w:rsidRPr="001D0BB6">
        <w:rPr>
          <w:rFonts w:cstheme="minorHAnsi"/>
          <w:sz w:val="24"/>
          <w:szCs w:val="24"/>
        </w:rPr>
        <w:t xml:space="preserve">s, </w:t>
      </w:r>
      <w:r w:rsidRPr="00664BD3">
        <w:rPr>
          <w:rFonts w:cstheme="minorHAnsi"/>
          <w:sz w:val="24"/>
          <w:szCs w:val="24"/>
        </w:rPr>
        <w:t>such as:</w:t>
      </w:r>
      <w:r w:rsidRPr="00664BD3">
        <w:rPr>
          <w:rFonts w:cstheme="minorHAnsi"/>
          <w:sz w:val="28"/>
          <w:szCs w:val="28"/>
        </w:rPr>
        <w:t xml:space="preserve"> </w:t>
      </w:r>
      <w:r w:rsidRPr="00664BD3">
        <w:rPr>
          <w:sz w:val="24"/>
          <w:szCs w:val="24"/>
        </w:rPr>
        <w:t xml:space="preserve">Topics about breathing and breathlessness (mechanics of breathing, helpful/unhelpful breathing patterns, the Active Cycle of Breathing technique, useful positions for recovering, pacing), topics about ILD (what happens with ILD, cough, associated conditions-rheumatoid Arthritis, Gastro-Oesophageal Reflux disease, </w:t>
      </w:r>
      <w:proofErr w:type="spellStart"/>
      <w:r w:rsidRPr="00664BD3">
        <w:rPr>
          <w:sz w:val="24"/>
          <w:szCs w:val="24"/>
        </w:rPr>
        <w:t>Sj</w:t>
      </w:r>
      <w:r w:rsidRPr="00664BD3">
        <w:rPr>
          <w:rFonts w:cstheme="minorHAnsi"/>
          <w:sz w:val="24"/>
          <w:szCs w:val="24"/>
        </w:rPr>
        <w:t>ӧ</w:t>
      </w:r>
      <w:r w:rsidRPr="00664BD3">
        <w:rPr>
          <w:sz w:val="24"/>
          <w:szCs w:val="24"/>
        </w:rPr>
        <w:t>gren’s</w:t>
      </w:r>
      <w:proofErr w:type="spellEnd"/>
      <w:r w:rsidRPr="00664BD3">
        <w:rPr>
          <w:sz w:val="24"/>
          <w:szCs w:val="24"/>
        </w:rPr>
        <w:t xml:space="preserve"> syndrome, Bird Fancier’s Lung, Idiopathic Pulmonary Fibrosis) and topics about managing the condition (Why healthier lifestyle is important, keeping good posture, barriers to activity/exercise, dietary advice, smoking, incontinence, relaxation information, mood, anxiety and breathlessness, self-management and goal setting). </w:t>
      </w:r>
    </w:p>
    <w:p w14:paraId="1A69E5DD" w14:textId="77777777" w:rsidR="00825C89" w:rsidRDefault="00825C89" w:rsidP="00825C89">
      <w:pPr>
        <w:autoSpaceDE w:val="0"/>
        <w:autoSpaceDN w:val="0"/>
        <w:adjustRightInd w:val="0"/>
        <w:spacing w:after="0" w:line="480" w:lineRule="auto"/>
        <w:jc w:val="both"/>
        <w:rPr>
          <w:rFonts w:cstheme="minorHAnsi"/>
          <w:sz w:val="24"/>
          <w:szCs w:val="24"/>
        </w:rPr>
      </w:pPr>
    </w:p>
    <w:p w14:paraId="6BA409CD"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lastRenderedPageBreak/>
        <w:t>On the first d</w:t>
      </w:r>
      <w:r>
        <w:rPr>
          <w:rFonts w:cstheme="minorHAnsi"/>
          <w:sz w:val="24"/>
          <w:szCs w:val="24"/>
        </w:rPr>
        <w:t>ay of the programme all participants</w:t>
      </w:r>
      <w:r w:rsidRPr="00A42D9D">
        <w:rPr>
          <w:rFonts w:cstheme="minorHAnsi"/>
          <w:sz w:val="24"/>
          <w:szCs w:val="24"/>
        </w:rPr>
        <w:t xml:space="preserve"> were given an ‘ILD-Pulmonary rehabilitation booklet’ designed by our team, which contained information and pictures of all exercises, an exercise diary and summary of the education topics</w:t>
      </w:r>
      <w:r>
        <w:rPr>
          <w:rFonts w:cstheme="minorHAnsi"/>
          <w:sz w:val="24"/>
          <w:szCs w:val="24"/>
        </w:rPr>
        <w:t xml:space="preserve"> (see Supplementary file 1). All participants</w:t>
      </w:r>
      <w:r w:rsidRPr="00A42D9D">
        <w:rPr>
          <w:rFonts w:cstheme="minorHAnsi"/>
          <w:sz w:val="24"/>
          <w:szCs w:val="24"/>
        </w:rPr>
        <w:t xml:space="preserve"> were encouraged to continue exercising at home on the days they did not attend the programme.</w:t>
      </w:r>
    </w:p>
    <w:p w14:paraId="0F18F85C" w14:textId="77777777" w:rsidR="00825C89" w:rsidRPr="00A42D9D" w:rsidRDefault="00825C89" w:rsidP="00825C89">
      <w:pPr>
        <w:autoSpaceDE w:val="0"/>
        <w:autoSpaceDN w:val="0"/>
        <w:adjustRightInd w:val="0"/>
        <w:spacing w:after="0" w:line="480" w:lineRule="auto"/>
        <w:jc w:val="both"/>
        <w:rPr>
          <w:rFonts w:cstheme="minorHAnsi"/>
          <w:i/>
          <w:sz w:val="24"/>
          <w:szCs w:val="24"/>
        </w:rPr>
      </w:pPr>
    </w:p>
    <w:p w14:paraId="4BFC90B4" w14:textId="77777777" w:rsidR="00825C89" w:rsidRPr="00A42D9D" w:rsidRDefault="00825C89" w:rsidP="00825C89">
      <w:pPr>
        <w:autoSpaceDE w:val="0"/>
        <w:autoSpaceDN w:val="0"/>
        <w:adjustRightInd w:val="0"/>
        <w:spacing w:after="0" w:line="480" w:lineRule="auto"/>
        <w:jc w:val="both"/>
        <w:rPr>
          <w:rFonts w:cstheme="minorHAnsi"/>
          <w:i/>
          <w:sz w:val="24"/>
          <w:szCs w:val="24"/>
        </w:rPr>
      </w:pPr>
      <w:r w:rsidRPr="00A42D9D">
        <w:rPr>
          <w:rFonts w:cstheme="minorHAnsi"/>
          <w:i/>
          <w:sz w:val="24"/>
          <w:szCs w:val="24"/>
        </w:rPr>
        <w:t>The 6-month programme</w:t>
      </w:r>
    </w:p>
    <w:p w14:paraId="33481478"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t xml:space="preserve">Following completion of the PR programme, participants </w:t>
      </w:r>
      <w:r>
        <w:rPr>
          <w:rFonts w:cstheme="minorHAnsi"/>
          <w:sz w:val="24"/>
          <w:szCs w:val="24"/>
        </w:rPr>
        <w:t xml:space="preserve">were given </w:t>
      </w:r>
      <w:r w:rsidRPr="00A42D9D">
        <w:rPr>
          <w:rFonts w:cstheme="minorHAnsi"/>
          <w:sz w:val="24"/>
          <w:szCs w:val="24"/>
        </w:rPr>
        <w:t xml:space="preserve"> a personalised exercise programme, starting at the level achieved at the end of PR</w:t>
      </w:r>
      <w:r>
        <w:rPr>
          <w:rFonts w:cstheme="minorHAnsi"/>
          <w:sz w:val="24"/>
          <w:szCs w:val="24"/>
        </w:rPr>
        <w:t>, and were asked to continue to exercise 3 times per week as well as do daily walking. The plan was recorded in their personal booklet</w:t>
      </w:r>
      <w:r w:rsidRPr="00A42D9D">
        <w:rPr>
          <w:rFonts w:cstheme="minorHAnsi"/>
          <w:sz w:val="24"/>
          <w:szCs w:val="24"/>
        </w:rPr>
        <w:t xml:space="preserve">.  The 6-month programme included outdoor walking in HIIT or MICT mode, as well as stretching and strength training exercises. </w:t>
      </w:r>
      <w:r>
        <w:rPr>
          <w:rFonts w:cstheme="minorHAnsi"/>
          <w:sz w:val="24"/>
          <w:szCs w:val="24"/>
        </w:rPr>
        <w:t xml:space="preserve">Some participants joined their local gym or organised exercise classes to ensure participation in group exercise at least once per week and followed a home programme the remaining time. Others opted for home-based exercise only. Regardless of the choice, during the 6-month period, participants were self-monitoring and had regular phone calls </w:t>
      </w:r>
      <w:r w:rsidRPr="00A42D9D">
        <w:rPr>
          <w:rFonts w:cstheme="minorHAnsi"/>
          <w:sz w:val="24"/>
          <w:szCs w:val="24"/>
        </w:rPr>
        <w:t>(once per month) and at least one home visit by the research physiotherapists on the 3</w:t>
      </w:r>
      <w:r w:rsidRPr="00A42D9D">
        <w:rPr>
          <w:rFonts w:cstheme="minorHAnsi"/>
          <w:sz w:val="24"/>
          <w:szCs w:val="24"/>
          <w:vertAlign w:val="superscript"/>
        </w:rPr>
        <w:t>rd</w:t>
      </w:r>
      <w:r w:rsidRPr="00A42D9D">
        <w:rPr>
          <w:rFonts w:cstheme="minorHAnsi"/>
          <w:sz w:val="24"/>
          <w:szCs w:val="24"/>
        </w:rPr>
        <w:t xml:space="preserve"> month.  The physiotherapists guided participants on </w:t>
      </w:r>
      <w:r>
        <w:rPr>
          <w:rFonts w:cstheme="minorHAnsi"/>
          <w:sz w:val="24"/>
          <w:szCs w:val="24"/>
        </w:rPr>
        <w:t>filling in</w:t>
      </w:r>
      <w:r w:rsidRPr="00A42D9D">
        <w:rPr>
          <w:rFonts w:cstheme="minorHAnsi"/>
          <w:sz w:val="24"/>
          <w:szCs w:val="24"/>
        </w:rPr>
        <w:t xml:space="preserve"> the exercise diaries and progress</w:t>
      </w:r>
      <w:r>
        <w:rPr>
          <w:rFonts w:cstheme="minorHAnsi"/>
          <w:sz w:val="24"/>
          <w:szCs w:val="24"/>
        </w:rPr>
        <w:t>ing</w:t>
      </w:r>
      <w:r w:rsidRPr="00A42D9D">
        <w:rPr>
          <w:rFonts w:cstheme="minorHAnsi"/>
          <w:sz w:val="24"/>
          <w:szCs w:val="24"/>
        </w:rPr>
        <w:t xml:space="preserve"> training depending on mode of exercise. The ILD-PR booklet was used as a resource for the home exercises and as a reminder of the educational topics. </w:t>
      </w:r>
    </w:p>
    <w:p w14:paraId="6F461994" w14:textId="77777777" w:rsidR="00825C89" w:rsidRDefault="00825C89" w:rsidP="00825C89">
      <w:pPr>
        <w:autoSpaceDE w:val="0"/>
        <w:autoSpaceDN w:val="0"/>
        <w:adjustRightInd w:val="0"/>
        <w:spacing w:after="0" w:line="480" w:lineRule="auto"/>
        <w:jc w:val="both"/>
        <w:rPr>
          <w:rFonts w:cstheme="minorHAnsi"/>
          <w:sz w:val="24"/>
          <w:szCs w:val="24"/>
        </w:rPr>
      </w:pPr>
    </w:p>
    <w:p w14:paraId="6F5048BC" w14:textId="77777777" w:rsidR="00825C89" w:rsidRDefault="00825C89" w:rsidP="00825C89">
      <w:pPr>
        <w:autoSpaceDE w:val="0"/>
        <w:autoSpaceDN w:val="0"/>
        <w:adjustRightInd w:val="0"/>
        <w:spacing w:after="0" w:line="480" w:lineRule="auto"/>
        <w:jc w:val="both"/>
        <w:rPr>
          <w:rFonts w:cstheme="minorHAnsi"/>
          <w:sz w:val="24"/>
          <w:szCs w:val="24"/>
        </w:rPr>
      </w:pPr>
    </w:p>
    <w:p w14:paraId="76034BCE" w14:textId="77777777" w:rsidR="00825C89" w:rsidRPr="00A42D9D" w:rsidRDefault="00825C89" w:rsidP="00825C89">
      <w:pPr>
        <w:autoSpaceDE w:val="0"/>
        <w:autoSpaceDN w:val="0"/>
        <w:adjustRightInd w:val="0"/>
        <w:spacing w:after="0" w:line="480" w:lineRule="auto"/>
        <w:jc w:val="both"/>
        <w:rPr>
          <w:rFonts w:cstheme="minorHAnsi"/>
          <w:sz w:val="24"/>
          <w:szCs w:val="24"/>
        </w:rPr>
      </w:pPr>
    </w:p>
    <w:p w14:paraId="7780133F" w14:textId="77777777" w:rsidR="00825C89" w:rsidRPr="00A42D9D" w:rsidRDefault="00825C89" w:rsidP="00825C89">
      <w:pPr>
        <w:autoSpaceDE w:val="0"/>
        <w:autoSpaceDN w:val="0"/>
        <w:adjustRightInd w:val="0"/>
        <w:spacing w:after="0" w:line="480" w:lineRule="auto"/>
        <w:jc w:val="both"/>
        <w:rPr>
          <w:rFonts w:cstheme="minorHAnsi"/>
          <w:b/>
          <w:sz w:val="24"/>
          <w:szCs w:val="24"/>
        </w:rPr>
      </w:pPr>
      <w:r w:rsidRPr="00A42D9D">
        <w:rPr>
          <w:rFonts w:cstheme="minorHAnsi"/>
          <w:b/>
          <w:sz w:val="24"/>
          <w:szCs w:val="24"/>
        </w:rPr>
        <w:t>Outcomes</w:t>
      </w:r>
    </w:p>
    <w:p w14:paraId="076F4A02"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t xml:space="preserve">All assessments were performed by the same investigator (DN), using identical instructions and methods, at three time points; at baseline, at 8-weeks (post-PR) and at 6 months (post-community programme). The investigator was blinded throughout the study.  </w:t>
      </w:r>
    </w:p>
    <w:p w14:paraId="5376D46A" w14:textId="77777777" w:rsidR="00825C89" w:rsidRPr="00A42D9D" w:rsidRDefault="00825C89" w:rsidP="00825C89">
      <w:pPr>
        <w:autoSpaceDE w:val="0"/>
        <w:autoSpaceDN w:val="0"/>
        <w:adjustRightInd w:val="0"/>
        <w:spacing w:after="0" w:line="480" w:lineRule="auto"/>
        <w:jc w:val="both"/>
        <w:rPr>
          <w:rFonts w:cstheme="minorHAnsi"/>
          <w:sz w:val="24"/>
          <w:szCs w:val="24"/>
        </w:rPr>
      </w:pPr>
    </w:p>
    <w:p w14:paraId="10BFCE5D"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lastRenderedPageBreak/>
        <w:t>Feasibility outcomes included the proportion of eligible patients who consented to the study, attrition in each group, staff-to-patient ratio and supervision requirements, reasons for discontinuing the programme and adverse events.</w:t>
      </w:r>
    </w:p>
    <w:p w14:paraId="295C6FD2" w14:textId="77777777" w:rsidR="00825C89" w:rsidRPr="00A42D9D" w:rsidRDefault="00825C89" w:rsidP="00825C89">
      <w:pPr>
        <w:autoSpaceDE w:val="0"/>
        <w:autoSpaceDN w:val="0"/>
        <w:adjustRightInd w:val="0"/>
        <w:spacing w:after="0" w:line="480" w:lineRule="auto"/>
        <w:jc w:val="both"/>
        <w:rPr>
          <w:rFonts w:cstheme="minorHAnsi"/>
          <w:sz w:val="24"/>
          <w:szCs w:val="24"/>
        </w:rPr>
      </w:pPr>
    </w:p>
    <w:p w14:paraId="5A3AA14E"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t xml:space="preserve">The primary efficacy outcome was functional exercise capacity and was measured using the 6-minute walk test distance (6MWD) </w:t>
      </w:r>
      <w:r w:rsidRPr="001B194B">
        <w:rPr>
          <w:rFonts w:cstheme="minorHAnsi"/>
          <w:sz w:val="24"/>
          <w:szCs w:val="24"/>
        </w:rPr>
        <w:t>as recommended by the ATS guidelines [27] using standardised instructions.</w:t>
      </w:r>
      <w:r w:rsidRPr="00D9033E">
        <w:rPr>
          <w:rFonts w:cstheme="minorHAnsi"/>
          <w:sz w:val="24"/>
          <w:szCs w:val="24"/>
        </w:rPr>
        <w:t xml:space="preserve"> </w:t>
      </w:r>
    </w:p>
    <w:p w14:paraId="164B1B42"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t>Secondary outcomes were</w:t>
      </w:r>
      <w:r>
        <w:rPr>
          <w:rFonts w:cstheme="minorHAnsi"/>
          <w:sz w:val="24"/>
          <w:szCs w:val="24"/>
        </w:rPr>
        <w:t>:</w:t>
      </w:r>
      <w:r w:rsidRPr="00A42D9D">
        <w:rPr>
          <w:rFonts w:cstheme="minorHAnsi"/>
          <w:sz w:val="24"/>
          <w:szCs w:val="24"/>
        </w:rPr>
        <w:t xml:space="preserve"> a) Respiratory muscle function- Sniff nasal pressure (SNIP) and the maximal inspiratory and expiratory pressures (</w:t>
      </w:r>
      <w:proofErr w:type="spellStart"/>
      <w:r w:rsidRPr="00A42D9D">
        <w:rPr>
          <w:rFonts w:cstheme="minorHAnsi"/>
          <w:sz w:val="24"/>
          <w:szCs w:val="24"/>
        </w:rPr>
        <w:t>PImax</w:t>
      </w:r>
      <w:proofErr w:type="spellEnd"/>
      <w:r w:rsidRPr="00A42D9D">
        <w:rPr>
          <w:rFonts w:cstheme="minorHAnsi"/>
          <w:sz w:val="24"/>
          <w:szCs w:val="24"/>
        </w:rPr>
        <w:t xml:space="preserve"> and </w:t>
      </w:r>
      <w:proofErr w:type="spellStart"/>
      <w:r w:rsidRPr="00A42D9D">
        <w:rPr>
          <w:rFonts w:cstheme="minorHAnsi"/>
          <w:sz w:val="24"/>
          <w:szCs w:val="24"/>
        </w:rPr>
        <w:t>PEmax</w:t>
      </w:r>
      <w:proofErr w:type="spellEnd"/>
      <w:r w:rsidRPr="00A42D9D">
        <w:rPr>
          <w:rFonts w:cstheme="minorHAnsi"/>
          <w:sz w:val="24"/>
          <w:szCs w:val="24"/>
        </w:rPr>
        <w:t>) were recorded using a handheld portable respiratory muscle testing device (</w:t>
      </w:r>
      <w:proofErr w:type="spellStart"/>
      <w:r w:rsidRPr="00A42D9D">
        <w:rPr>
          <w:rFonts w:cstheme="minorHAnsi"/>
          <w:sz w:val="24"/>
          <w:szCs w:val="24"/>
        </w:rPr>
        <w:t>MicroRPM</w:t>
      </w:r>
      <w:proofErr w:type="spellEnd"/>
      <w:r w:rsidRPr="00A42D9D">
        <w:rPr>
          <w:rFonts w:cstheme="minorHAnsi"/>
          <w:sz w:val="24"/>
          <w:szCs w:val="24"/>
        </w:rPr>
        <w:t xml:space="preserve">, CareFusion, Basingstoke, UK). A minimum of 10 attempts were made for each test, on at least one session. </w:t>
      </w:r>
      <w:proofErr w:type="spellStart"/>
      <w:r w:rsidRPr="00A42D9D">
        <w:rPr>
          <w:rFonts w:cstheme="minorHAnsi"/>
          <w:sz w:val="24"/>
          <w:szCs w:val="24"/>
        </w:rPr>
        <w:t>PImax</w:t>
      </w:r>
      <w:proofErr w:type="spellEnd"/>
      <w:r w:rsidRPr="00A42D9D">
        <w:rPr>
          <w:rFonts w:cstheme="minorHAnsi"/>
          <w:sz w:val="24"/>
          <w:szCs w:val="24"/>
        </w:rPr>
        <w:t xml:space="preserve"> was recorded from functional residual capacity (FRC) and </w:t>
      </w:r>
      <w:proofErr w:type="spellStart"/>
      <w:r w:rsidRPr="00A42D9D">
        <w:rPr>
          <w:rFonts w:cstheme="minorHAnsi"/>
          <w:sz w:val="24"/>
          <w:szCs w:val="24"/>
        </w:rPr>
        <w:t>PEmax</w:t>
      </w:r>
      <w:proofErr w:type="spellEnd"/>
      <w:r w:rsidRPr="00A42D9D">
        <w:rPr>
          <w:rFonts w:cstheme="minorHAnsi"/>
          <w:sz w:val="24"/>
          <w:szCs w:val="24"/>
        </w:rPr>
        <w:t xml:space="preserve"> from total lung capacity (TLC).  </w:t>
      </w:r>
    </w:p>
    <w:p w14:paraId="5A61785C" w14:textId="77777777" w:rsidR="00825C89"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t xml:space="preserve">b) Peripheral muscle function- Handgrip strength, assessed in the dominant hand, with the elbow at 90 degrees angle, using a hydraulic hand dynamometer (JAMAR Hydraulic Hand Dynamometer, Homecraft </w:t>
      </w:r>
      <w:proofErr w:type="spellStart"/>
      <w:r w:rsidRPr="00A42D9D">
        <w:rPr>
          <w:rFonts w:cstheme="minorHAnsi"/>
          <w:sz w:val="24"/>
          <w:szCs w:val="24"/>
        </w:rPr>
        <w:t>Rolyan</w:t>
      </w:r>
      <w:proofErr w:type="spellEnd"/>
      <w:r w:rsidRPr="00A42D9D">
        <w:rPr>
          <w:rFonts w:cstheme="minorHAnsi"/>
          <w:sz w:val="24"/>
          <w:szCs w:val="24"/>
        </w:rPr>
        <w:t xml:space="preserve"> Ltd, Nottinghamshire, UK). Quadriceps strength (QUADS-DOM) and hip flexion (HIP-DOM) were assessed in sitting position, with the knee at 90 degrees angle and back upright and supported using a hand-held dynamometer (Lafayette Manual Muscle Tester Model 01163, Lafayette Instruments, Lafayette, IN, USA).</w:t>
      </w:r>
    </w:p>
    <w:p w14:paraId="685342E7" w14:textId="77777777" w:rsidR="00825C89" w:rsidRPr="00A42D9D" w:rsidRDefault="00825C89" w:rsidP="00825C89">
      <w:pPr>
        <w:autoSpaceDE w:val="0"/>
        <w:autoSpaceDN w:val="0"/>
        <w:adjustRightInd w:val="0"/>
        <w:spacing w:after="0" w:line="480" w:lineRule="auto"/>
        <w:jc w:val="both"/>
        <w:rPr>
          <w:rFonts w:cstheme="minorHAnsi"/>
          <w:sz w:val="24"/>
          <w:szCs w:val="24"/>
        </w:rPr>
      </w:pPr>
      <w:r>
        <w:rPr>
          <w:rFonts w:cstheme="minorHAnsi"/>
          <w:sz w:val="24"/>
          <w:szCs w:val="24"/>
        </w:rPr>
        <w:t xml:space="preserve">c) </w:t>
      </w:r>
      <w:r w:rsidRPr="00A42D9D">
        <w:rPr>
          <w:rFonts w:cstheme="minorHAnsi"/>
          <w:sz w:val="24"/>
          <w:szCs w:val="24"/>
        </w:rPr>
        <w:t>Health status, using the St George’s Respiratory Questionnaire for IPF (SGRQ-I) [2</w:t>
      </w:r>
      <w:r>
        <w:rPr>
          <w:rFonts w:cstheme="minorHAnsi"/>
          <w:sz w:val="24"/>
          <w:szCs w:val="24"/>
        </w:rPr>
        <w:t>8</w:t>
      </w:r>
      <w:r w:rsidRPr="00A42D9D">
        <w:rPr>
          <w:rFonts w:cstheme="minorHAnsi"/>
          <w:sz w:val="24"/>
          <w:szCs w:val="24"/>
        </w:rPr>
        <w:t>] and the Hospital Anxiety and Depression scale (HAD) [2</w:t>
      </w:r>
      <w:r>
        <w:rPr>
          <w:rFonts w:cstheme="minorHAnsi"/>
          <w:sz w:val="24"/>
          <w:szCs w:val="24"/>
        </w:rPr>
        <w:t>9</w:t>
      </w:r>
      <w:r w:rsidRPr="00A42D9D">
        <w:rPr>
          <w:rFonts w:cstheme="minorHAnsi"/>
          <w:sz w:val="24"/>
          <w:szCs w:val="24"/>
        </w:rPr>
        <w:t xml:space="preserve">]. </w:t>
      </w:r>
    </w:p>
    <w:p w14:paraId="5D3A7DD2" w14:textId="77777777" w:rsidR="00825C89" w:rsidRPr="00A42D9D" w:rsidRDefault="00825C89" w:rsidP="00825C89">
      <w:pPr>
        <w:autoSpaceDE w:val="0"/>
        <w:autoSpaceDN w:val="0"/>
        <w:adjustRightInd w:val="0"/>
        <w:spacing w:after="0" w:line="480" w:lineRule="auto"/>
        <w:jc w:val="both"/>
        <w:rPr>
          <w:rFonts w:cstheme="minorHAnsi"/>
          <w:sz w:val="24"/>
          <w:szCs w:val="24"/>
        </w:rPr>
      </w:pPr>
      <w:r w:rsidRPr="00A42D9D">
        <w:rPr>
          <w:rFonts w:cstheme="minorHAnsi"/>
          <w:sz w:val="24"/>
          <w:szCs w:val="24"/>
        </w:rPr>
        <w:t>Spirometry data and anthropometric measurements (height, weight, %fat, waist, hip and neck circumference) were also collected</w:t>
      </w:r>
      <w:r>
        <w:rPr>
          <w:rFonts w:cstheme="minorHAnsi"/>
          <w:sz w:val="24"/>
          <w:szCs w:val="24"/>
        </w:rPr>
        <w:t>.</w:t>
      </w:r>
      <w:r w:rsidRPr="00A42D9D">
        <w:rPr>
          <w:rFonts w:cstheme="minorHAnsi"/>
          <w:sz w:val="24"/>
          <w:szCs w:val="24"/>
        </w:rPr>
        <w:t xml:space="preserve"> </w:t>
      </w:r>
    </w:p>
    <w:p w14:paraId="27F9BC54" w14:textId="77777777" w:rsidR="00825C89" w:rsidRPr="00A42D9D" w:rsidRDefault="00825C89" w:rsidP="00825C89">
      <w:pPr>
        <w:autoSpaceDE w:val="0"/>
        <w:autoSpaceDN w:val="0"/>
        <w:adjustRightInd w:val="0"/>
        <w:spacing w:after="0" w:line="480" w:lineRule="auto"/>
        <w:jc w:val="both"/>
        <w:rPr>
          <w:rFonts w:cstheme="minorHAnsi"/>
          <w:sz w:val="24"/>
          <w:szCs w:val="24"/>
          <w:shd w:val="clear" w:color="auto" w:fill="DBDBDB" w:themeFill="accent3" w:themeFillTint="66"/>
        </w:rPr>
      </w:pPr>
      <w:r w:rsidRPr="00A42D9D">
        <w:rPr>
          <w:rFonts w:cstheme="minorHAnsi"/>
          <w:sz w:val="24"/>
          <w:szCs w:val="24"/>
        </w:rPr>
        <w:t xml:space="preserve">Data were collected and managed using </w:t>
      </w:r>
      <w:proofErr w:type="spellStart"/>
      <w:r w:rsidRPr="00A42D9D">
        <w:rPr>
          <w:rFonts w:cstheme="minorHAnsi"/>
          <w:sz w:val="24"/>
          <w:szCs w:val="24"/>
        </w:rPr>
        <w:t>REDCap</w:t>
      </w:r>
      <w:proofErr w:type="spellEnd"/>
      <w:r w:rsidRPr="00A42D9D">
        <w:rPr>
          <w:rFonts w:cstheme="minorHAnsi"/>
          <w:sz w:val="24"/>
          <w:szCs w:val="24"/>
        </w:rPr>
        <w:t xml:space="preserve"> electronic data capture tools hosted at the NHS Trust </w:t>
      </w:r>
      <w:r>
        <w:rPr>
          <w:rFonts w:cstheme="minorHAnsi"/>
          <w:sz w:val="24"/>
          <w:szCs w:val="24"/>
        </w:rPr>
        <w:t>[30]</w:t>
      </w:r>
      <w:r w:rsidRPr="00A42D9D">
        <w:rPr>
          <w:rFonts w:cstheme="minorHAnsi"/>
          <w:sz w:val="24"/>
          <w:szCs w:val="24"/>
        </w:rPr>
        <w:t xml:space="preserve">.  </w:t>
      </w:r>
    </w:p>
    <w:p w14:paraId="32BAB098" w14:textId="77777777" w:rsidR="00825C89" w:rsidRPr="00A42D9D" w:rsidRDefault="00825C89" w:rsidP="00825C89">
      <w:pPr>
        <w:autoSpaceDE w:val="0"/>
        <w:autoSpaceDN w:val="0"/>
        <w:adjustRightInd w:val="0"/>
        <w:spacing w:after="0" w:line="480" w:lineRule="auto"/>
        <w:jc w:val="both"/>
        <w:rPr>
          <w:rFonts w:cstheme="minorHAnsi"/>
          <w:sz w:val="24"/>
          <w:szCs w:val="24"/>
        </w:rPr>
      </w:pPr>
    </w:p>
    <w:p w14:paraId="3F157509" w14:textId="77777777" w:rsidR="00825C89" w:rsidRPr="00A42D9D" w:rsidRDefault="00825C89" w:rsidP="00825C89">
      <w:pPr>
        <w:jc w:val="both"/>
        <w:rPr>
          <w:rFonts w:cstheme="minorHAnsi"/>
          <w:b/>
          <w:sz w:val="24"/>
          <w:szCs w:val="28"/>
        </w:rPr>
      </w:pPr>
      <w:r w:rsidRPr="00A42D9D">
        <w:rPr>
          <w:rFonts w:cstheme="minorHAnsi"/>
          <w:b/>
          <w:sz w:val="24"/>
          <w:szCs w:val="28"/>
        </w:rPr>
        <w:t>Statistical analysis</w:t>
      </w:r>
    </w:p>
    <w:p w14:paraId="3537AE7D" w14:textId="77777777" w:rsidR="00825C89" w:rsidRPr="00A42D9D" w:rsidRDefault="00825C89" w:rsidP="00825C89">
      <w:pPr>
        <w:spacing w:line="480" w:lineRule="auto"/>
        <w:jc w:val="both"/>
        <w:rPr>
          <w:rFonts w:cstheme="minorHAnsi"/>
          <w:sz w:val="24"/>
          <w:szCs w:val="28"/>
        </w:rPr>
      </w:pPr>
      <w:r w:rsidRPr="00A42D9D">
        <w:rPr>
          <w:rFonts w:cstheme="minorHAnsi"/>
          <w:sz w:val="24"/>
          <w:szCs w:val="28"/>
        </w:rPr>
        <w:lastRenderedPageBreak/>
        <w:t xml:space="preserve">This was a pilot study to test feasibility </w:t>
      </w:r>
      <w:r>
        <w:rPr>
          <w:rFonts w:cstheme="minorHAnsi"/>
          <w:sz w:val="24"/>
          <w:szCs w:val="28"/>
        </w:rPr>
        <w:t xml:space="preserve">of the HIIT exercise mode </w:t>
      </w:r>
      <w:r w:rsidRPr="00A42D9D">
        <w:rPr>
          <w:rFonts w:cstheme="minorHAnsi"/>
          <w:sz w:val="24"/>
          <w:szCs w:val="28"/>
        </w:rPr>
        <w:t xml:space="preserve">and inform the design and power of a larger, </w:t>
      </w:r>
      <w:r>
        <w:rPr>
          <w:rFonts w:cstheme="minorHAnsi"/>
          <w:sz w:val="24"/>
          <w:szCs w:val="28"/>
        </w:rPr>
        <w:t>next phase,</w:t>
      </w:r>
      <w:r w:rsidRPr="00A42D9D">
        <w:rPr>
          <w:rFonts w:cstheme="minorHAnsi"/>
          <w:sz w:val="24"/>
          <w:szCs w:val="28"/>
        </w:rPr>
        <w:t xml:space="preserve"> randomised controlled trial. </w:t>
      </w:r>
      <w:r>
        <w:rPr>
          <w:rFonts w:cstheme="minorHAnsi"/>
          <w:sz w:val="24"/>
          <w:szCs w:val="28"/>
        </w:rPr>
        <w:t xml:space="preserve">Intention-to-treat analyses are presented- that is, all participants who were randomised were considered in the analysis, not only those who completed the programme- together with estimates’ uncertainties as 95% CIs. This is not a hypothesis testing setting, hence the numbers followed instructions from the literature [31]. An indicative sample size calculation was based on previous research  </w:t>
      </w:r>
      <w:r w:rsidRPr="00A42D9D">
        <w:rPr>
          <w:rFonts w:cstheme="minorHAnsi"/>
          <w:sz w:val="24"/>
          <w:szCs w:val="28"/>
        </w:rPr>
        <w:t xml:space="preserve">aiming to detect between-group changes of 38± 43m </w:t>
      </w:r>
      <w:r>
        <w:rPr>
          <w:rFonts w:cstheme="minorHAnsi"/>
          <w:sz w:val="24"/>
          <w:szCs w:val="28"/>
        </w:rPr>
        <w:t xml:space="preserve">in the 6MWD following rehabilitation [32-34], </w:t>
      </w:r>
      <w:r w:rsidRPr="00A42D9D">
        <w:rPr>
          <w:rFonts w:cstheme="minorHAnsi"/>
          <w:sz w:val="24"/>
          <w:szCs w:val="28"/>
        </w:rPr>
        <w:t xml:space="preserve">with an 80% power </w:t>
      </w:r>
      <w:r>
        <w:rPr>
          <w:rFonts w:cstheme="minorHAnsi"/>
          <w:sz w:val="24"/>
          <w:szCs w:val="28"/>
        </w:rPr>
        <w:t>and a probability of type 1 error of 0.05.</w:t>
      </w:r>
    </w:p>
    <w:p w14:paraId="342DD18B" w14:textId="77777777" w:rsidR="00825C89" w:rsidRDefault="00825C89" w:rsidP="00825C89">
      <w:pPr>
        <w:spacing w:line="480" w:lineRule="auto"/>
        <w:jc w:val="both"/>
        <w:rPr>
          <w:rFonts w:cstheme="minorHAnsi"/>
          <w:sz w:val="24"/>
          <w:szCs w:val="28"/>
        </w:rPr>
      </w:pPr>
      <w:r>
        <w:rPr>
          <w:rFonts w:cstheme="minorHAnsi"/>
          <w:sz w:val="24"/>
          <w:szCs w:val="28"/>
        </w:rPr>
        <w:t>Exploratory analyses used r</w:t>
      </w:r>
      <w:r w:rsidRPr="00A42D9D">
        <w:rPr>
          <w:rFonts w:cstheme="minorHAnsi"/>
          <w:sz w:val="24"/>
          <w:szCs w:val="28"/>
        </w:rPr>
        <w:t>andom effects</w:t>
      </w:r>
      <w:r>
        <w:rPr>
          <w:rFonts w:cstheme="minorHAnsi"/>
          <w:sz w:val="24"/>
          <w:szCs w:val="28"/>
        </w:rPr>
        <w:t xml:space="preserve"> (mixed)</w:t>
      </w:r>
      <w:r w:rsidRPr="00A42D9D">
        <w:rPr>
          <w:rFonts w:cstheme="minorHAnsi"/>
          <w:sz w:val="24"/>
          <w:szCs w:val="28"/>
        </w:rPr>
        <w:t xml:space="preserve"> models to estimate average values in outcomes </w:t>
      </w:r>
      <w:r>
        <w:rPr>
          <w:rFonts w:cstheme="minorHAnsi"/>
          <w:sz w:val="24"/>
          <w:szCs w:val="28"/>
        </w:rPr>
        <w:t xml:space="preserve">across the follow-up time for the four continuous longitudinal outcomes of interest, i.e., 6MWD, SNIP, SGRQ-I and Quads strength which were relatively normally distributed on each occasion. Average estimates of these measurements were derived following fitting a series of a nonlinear, quadratic mixed models over time allowing for </w:t>
      </w:r>
      <w:r w:rsidRPr="00A42D9D">
        <w:rPr>
          <w:rFonts w:cstheme="minorHAnsi"/>
          <w:sz w:val="24"/>
        </w:rPr>
        <w:t xml:space="preserve">a 3-way interaction between time, intervention (HIIT vs MICT) and clinical group (ILD type) as well as between age, intervention and clinical group. </w:t>
      </w:r>
      <w:r w:rsidRPr="00A42D9D">
        <w:rPr>
          <w:rFonts w:cstheme="minorHAnsi"/>
          <w:sz w:val="24"/>
          <w:szCs w:val="24"/>
        </w:rPr>
        <w:t xml:space="preserve">For each of the 4 key </w:t>
      </w:r>
      <w:r>
        <w:rPr>
          <w:rFonts w:cstheme="minorHAnsi"/>
          <w:sz w:val="24"/>
          <w:szCs w:val="24"/>
        </w:rPr>
        <w:t xml:space="preserve">exploratory </w:t>
      </w:r>
      <w:r w:rsidRPr="00A42D9D">
        <w:rPr>
          <w:rFonts w:cstheme="minorHAnsi"/>
          <w:sz w:val="24"/>
          <w:szCs w:val="24"/>
        </w:rPr>
        <w:t>outcomes of interest , a series of nested models of increasing complexity w</w:t>
      </w:r>
      <w:r>
        <w:rPr>
          <w:rFonts w:cstheme="minorHAnsi"/>
          <w:sz w:val="24"/>
          <w:szCs w:val="24"/>
        </w:rPr>
        <w:t>ere</w:t>
      </w:r>
      <w:r w:rsidRPr="00A42D9D">
        <w:rPr>
          <w:rFonts w:cstheme="minorHAnsi"/>
          <w:sz w:val="24"/>
          <w:szCs w:val="24"/>
        </w:rPr>
        <w:t xml:space="preserve"> developed and tested for their statistical </w:t>
      </w:r>
      <w:r>
        <w:rPr>
          <w:rFonts w:cstheme="minorHAnsi"/>
          <w:sz w:val="24"/>
          <w:szCs w:val="24"/>
        </w:rPr>
        <w:t>improvement</w:t>
      </w:r>
      <w:r w:rsidRPr="00A42D9D">
        <w:rPr>
          <w:rFonts w:cstheme="minorHAnsi"/>
          <w:sz w:val="24"/>
          <w:szCs w:val="24"/>
        </w:rPr>
        <w:t xml:space="preserve"> against the next less complex model. </w:t>
      </w:r>
      <w:r>
        <w:rPr>
          <w:rFonts w:cstheme="minorHAnsi"/>
          <w:sz w:val="24"/>
          <w:szCs w:val="24"/>
        </w:rPr>
        <w:t xml:space="preserve">The complete data analysis (using missing data jargon) using mixed modelling on the 4 continuous longitudinal outcomes accounted for all participants and their complete observations (intention to treat analyses) and operated under ‘missing at random’ assumption for the attrition at the follow-up- assumption which is not testable from the data at hand </w:t>
      </w:r>
    </w:p>
    <w:p w14:paraId="5CCC9D0F" w14:textId="77777777" w:rsidR="00825C89" w:rsidRDefault="00825C89" w:rsidP="00825C89">
      <w:pPr>
        <w:spacing w:line="480" w:lineRule="auto"/>
        <w:jc w:val="both"/>
        <w:rPr>
          <w:rFonts w:cstheme="minorHAnsi"/>
          <w:sz w:val="24"/>
          <w:szCs w:val="28"/>
        </w:rPr>
      </w:pPr>
      <w:r>
        <w:rPr>
          <w:rFonts w:cstheme="minorHAnsi"/>
          <w:sz w:val="24"/>
          <w:szCs w:val="28"/>
        </w:rPr>
        <w:t xml:space="preserve"> </w:t>
      </w:r>
      <w:r w:rsidRPr="00D47C29">
        <w:rPr>
          <w:rFonts w:cstheme="minorHAnsi"/>
          <w:sz w:val="24"/>
          <w:szCs w:val="28"/>
        </w:rPr>
        <w:t>[</w:t>
      </w:r>
      <w:r w:rsidRPr="005929F9">
        <w:rPr>
          <w:rFonts w:cstheme="minorHAnsi"/>
          <w:sz w:val="24"/>
          <w:szCs w:val="28"/>
        </w:rPr>
        <w:t>35</w:t>
      </w:r>
      <w:r w:rsidRPr="00D47C29">
        <w:rPr>
          <w:rFonts w:cstheme="minorHAnsi"/>
          <w:sz w:val="24"/>
          <w:szCs w:val="28"/>
        </w:rPr>
        <w:t>]</w:t>
      </w:r>
      <w:r w:rsidRPr="00CF75AC">
        <w:rPr>
          <w:rFonts w:cstheme="minorHAnsi"/>
          <w:sz w:val="24"/>
          <w:szCs w:val="28"/>
        </w:rPr>
        <w:t>.</w:t>
      </w:r>
      <w:r>
        <w:rPr>
          <w:rFonts w:cstheme="minorHAnsi"/>
          <w:sz w:val="24"/>
          <w:szCs w:val="28"/>
        </w:rPr>
        <w:t xml:space="preserve"> Although the missing data are less important in such pilot/feasibility settings</w:t>
      </w:r>
      <w:r w:rsidRPr="00CF75AC">
        <w:rPr>
          <w:rFonts w:cstheme="minorHAnsi"/>
          <w:sz w:val="24"/>
          <w:szCs w:val="28"/>
        </w:rPr>
        <w:t xml:space="preserve"> </w:t>
      </w:r>
      <w:r>
        <w:rPr>
          <w:rFonts w:cstheme="minorHAnsi"/>
          <w:sz w:val="24"/>
          <w:szCs w:val="28"/>
        </w:rPr>
        <w:t>[31]</w:t>
      </w:r>
      <w:r w:rsidRPr="005929F9">
        <w:rPr>
          <w:rFonts w:cstheme="minorHAnsi"/>
          <w:sz w:val="24"/>
          <w:szCs w:val="28"/>
        </w:rPr>
        <w:t>,</w:t>
      </w:r>
      <w:r>
        <w:rPr>
          <w:rFonts w:cstheme="minorHAnsi"/>
          <w:sz w:val="24"/>
          <w:szCs w:val="28"/>
        </w:rPr>
        <w:t xml:space="preserve"> we did investigate its patterns- particularly to assess potential differences between groups defined by intervention and /or clinical characteristics Longitudinal binary outcomes were defined as 1 for a missing observation and 0 otherwise- at the baseline and at the follow-up and for each outcome- and have been explored using longitudinal models with random effects. The results of these exploratory analyses are presented in Supplementary file 2. </w:t>
      </w:r>
    </w:p>
    <w:p w14:paraId="30B220F1" w14:textId="77777777" w:rsidR="00825C89" w:rsidRPr="00A42D9D" w:rsidRDefault="00825C89" w:rsidP="00825C89">
      <w:pPr>
        <w:spacing w:line="480" w:lineRule="auto"/>
        <w:jc w:val="both"/>
        <w:rPr>
          <w:rFonts w:cstheme="minorHAnsi"/>
          <w:color w:val="FF0000"/>
          <w:sz w:val="24"/>
        </w:rPr>
      </w:pPr>
      <w:r w:rsidRPr="00A42D9D">
        <w:rPr>
          <w:rFonts w:cstheme="minorHAnsi"/>
          <w:sz w:val="24"/>
          <w:szCs w:val="28"/>
        </w:rPr>
        <w:lastRenderedPageBreak/>
        <w:t xml:space="preserve">The average variation of outcomes through time, within and between-groups, are presented as means (95% CI) and descriptive statistics as mean (SD). All analyses were conducted on STATA software (version 11). </w:t>
      </w:r>
    </w:p>
    <w:p w14:paraId="3CA684E2" w14:textId="77777777" w:rsidR="00825C89" w:rsidRPr="00A42D9D" w:rsidRDefault="00825C89" w:rsidP="00825C89">
      <w:pPr>
        <w:autoSpaceDE w:val="0"/>
        <w:autoSpaceDN w:val="0"/>
        <w:adjustRightInd w:val="0"/>
        <w:spacing w:after="0" w:line="480" w:lineRule="auto"/>
        <w:jc w:val="both"/>
        <w:rPr>
          <w:rFonts w:cstheme="minorHAnsi"/>
          <w:sz w:val="24"/>
          <w:szCs w:val="24"/>
        </w:rPr>
      </w:pPr>
    </w:p>
    <w:p w14:paraId="5B44A8F1" w14:textId="77777777" w:rsidR="00825C89" w:rsidRPr="00A42D9D" w:rsidRDefault="00825C89" w:rsidP="00825C89">
      <w:pPr>
        <w:spacing w:line="480" w:lineRule="auto"/>
        <w:jc w:val="both"/>
        <w:rPr>
          <w:rFonts w:cstheme="minorHAnsi"/>
          <w:b/>
          <w:sz w:val="28"/>
          <w:szCs w:val="28"/>
        </w:rPr>
      </w:pPr>
    </w:p>
    <w:p w14:paraId="74121365" w14:textId="77777777" w:rsidR="00825C89" w:rsidRPr="00A42D9D" w:rsidRDefault="00825C89" w:rsidP="00825C89">
      <w:pPr>
        <w:spacing w:line="480" w:lineRule="auto"/>
        <w:jc w:val="both"/>
        <w:rPr>
          <w:rFonts w:cstheme="minorHAnsi"/>
          <w:b/>
          <w:color w:val="C00000"/>
          <w:sz w:val="28"/>
          <w:szCs w:val="28"/>
        </w:rPr>
      </w:pPr>
      <w:r w:rsidRPr="00A42D9D">
        <w:rPr>
          <w:rFonts w:cstheme="minorHAnsi"/>
          <w:b/>
          <w:sz w:val="28"/>
          <w:szCs w:val="28"/>
        </w:rPr>
        <w:t xml:space="preserve">Results </w:t>
      </w:r>
    </w:p>
    <w:p w14:paraId="747EEE78" w14:textId="77777777" w:rsidR="00825C89" w:rsidRPr="00A42D9D" w:rsidRDefault="00825C89" w:rsidP="00825C89">
      <w:pPr>
        <w:spacing w:line="480" w:lineRule="auto"/>
        <w:jc w:val="both"/>
        <w:rPr>
          <w:rFonts w:cstheme="minorHAnsi"/>
          <w:b/>
          <w:sz w:val="24"/>
          <w:szCs w:val="24"/>
        </w:rPr>
      </w:pPr>
      <w:r w:rsidRPr="00A42D9D">
        <w:rPr>
          <w:rFonts w:cstheme="minorHAnsi"/>
          <w:b/>
          <w:sz w:val="24"/>
          <w:szCs w:val="24"/>
        </w:rPr>
        <w:t>Patient flow</w:t>
      </w:r>
    </w:p>
    <w:p w14:paraId="448F5746" w14:textId="77777777" w:rsidR="00825C89" w:rsidRPr="00A42D9D" w:rsidRDefault="00825C89" w:rsidP="00825C89">
      <w:pPr>
        <w:spacing w:line="480" w:lineRule="auto"/>
        <w:jc w:val="both"/>
        <w:rPr>
          <w:rFonts w:cstheme="minorHAnsi"/>
          <w:sz w:val="24"/>
          <w:szCs w:val="24"/>
        </w:rPr>
      </w:pPr>
      <w:r>
        <w:rPr>
          <w:rFonts w:cstheme="minorHAnsi"/>
          <w:sz w:val="24"/>
          <w:szCs w:val="24"/>
        </w:rPr>
        <w:t xml:space="preserve">60 participants consented to the study but two participants withdrew prior to commencement of the PR programme. A total of </w:t>
      </w:r>
      <w:r w:rsidRPr="00A42D9D">
        <w:rPr>
          <w:rFonts w:cstheme="minorHAnsi"/>
          <w:sz w:val="24"/>
          <w:szCs w:val="24"/>
        </w:rPr>
        <w:t>58 started the PR programme. Fi</w:t>
      </w:r>
      <w:r>
        <w:rPr>
          <w:rFonts w:cstheme="minorHAnsi"/>
          <w:sz w:val="24"/>
          <w:szCs w:val="24"/>
        </w:rPr>
        <w:t>gure 1 is the CONSORT diagram showing</w:t>
      </w:r>
      <w:r w:rsidRPr="00A42D9D">
        <w:rPr>
          <w:rFonts w:cstheme="minorHAnsi"/>
          <w:sz w:val="24"/>
          <w:szCs w:val="24"/>
        </w:rPr>
        <w:t xml:space="preserve"> participant flow. </w:t>
      </w:r>
    </w:p>
    <w:p w14:paraId="4A13DEA3" w14:textId="77777777" w:rsidR="00825C89" w:rsidRPr="00A42D9D" w:rsidRDefault="00825C89" w:rsidP="00825C89">
      <w:pPr>
        <w:spacing w:line="480" w:lineRule="auto"/>
        <w:jc w:val="center"/>
        <w:rPr>
          <w:rFonts w:cstheme="minorHAnsi"/>
          <w:i/>
          <w:sz w:val="24"/>
          <w:szCs w:val="24"/>
        </w:rPr>
      </w:pPr>
      <w:r w:rsidRPr="00A42D9D">
        <w:rPr>
          <w:rFonts w:cstheme="minorHAnsi"/>
          <w:i/>
          <w:sz w:val="24"/>
          <w:szCs w:val="24"/>
        </w:rPr>
        <w:t>Figure 1 around here</w:t>
      </w:r>
    </w:p>
    <w:p w14:paraId="7750F49E" w14:textId="77777777" w:rsidR="00825C89" w:rsidRDefault="00825C89" w:rsidP="00825C89">
      <w:pPr>
        <w:spacing w:line="480" w:lineRule="auto"/>
        <w:jc w:val="both"/>
        <w:rPr>
          <w:rFonts w:cstheme="minorHAnsi"/>
          <w:sz w:val="24"/>
          <w:szCs w:val="24"/>
        </w:rPr>
      </w:pPr>
      <w:r w:rsidRPr="00A42D9D">
        <w:rPr>
          <w:rFonts w:cstheme="minorHAnsi"/>
          <w:sz w:val="24"/>
          <w:szCs w:val="24"/>
        </w:rPr>
        <w:t xml:space="preserve">Baseline characteristics are shown in Table 1 </w:t>
      </w:r>
      <w:r w:rsidRPr="00A42D9D">
        <w:rPr>
          <w:rFonts w:cstheme="minorHAnsi"/>
          <w:i/>
          <w:sz w:val="24"/>
          <w:szCs w:val="24"/>
        </w:rPr>
        <w:t>.</w:t>
      </w:r>
      <w:r w:rsidRPr="00A42D9D">
        <w:rPr>
          <w:rFonts w:cstheme="minorHAnsi"/>
          <w:sz w:val="24"/>
          <w:szCs w:val="24"/>
        </w:rPr>
        <w:t xml:space="preserve"> There were no differences between groups at baseline, except for DL</w:t>
      </w:r>
      <w:r w:rsidRPr="00A42D9D">
        <w:rPr>
          <w:rFonts w:cstheme="minorHAnsi"/>
          <w:sz w:val="20"/>
          <w:szCs w:val="24"/>
        </w:rPr>
        <w:t>CO</w:t>
      </w:r>
      <w:r w:rsidRPr="00A42D9D">
        <w:rPr>
          <w:rFonts w:cstheme="minorHAnsi"/>
          <w:sz w:val="24"/>
          <w:szCs w:val="24"/>
        </w:rPr>
        <w:t xml:space="preserve"> which was significantly lower in the HIIT group.</w:t>
      </w:r>
    </w:p>
    <w:p w14:paraId="77C556B1" w14:textId="77777777" w:rsidR="00825C89" w:rsidRDefault="00825C89" w:rsidP="00825C89">
      <w:pPr>
        <w:spacing w:line="480" w:lineRule="auto"/>
        <w:jc w:val="both"/>
        <w:rPr>
          <w:rFonts w:cstheme="minorHAnsi"/>
          <w:sz w:val="24"/>
          <w:szCs w:val="24"/>
        </w:rPr>
      </w:pPr>
    </w:p>
    <w:p w14:paraId="689BC9E5" w14:textId="77777777" w:rsidR="00825C89" w:rsidRDefault="00825C89" w:rsidP="00825C89">
      <w:pPr>
        <w:spacing w:line="480" w:lineRule="auto"/>
        <w:jc w:val="both"/>
        <w:rPr>
          <w:rFonts w:cstheme="minorHAnsi"/>
          <w:sz w:val="24"/>
          <w:szCs w:val="24"/>
        </w:rPr>
      </w:pPr>
    </w:p>
    <w:p w14:paraId="3B9D514D" w14:textId="77777777" w:rsidR="00825C89" w:rsidRPr="00A42D9D" w:rsidRDefault="00825C89" w:rsidP="00825C89">
      <w:pPr>
        <w:spacing w:line="480" w:lineRule="auto"/>
        <w:jc w:val="both"/>
        <w:rPr>
          <w:rFonts w:cstheme="minorHAnsi"/>
          <w:sz w:val="24"/>
          <w:szCs w:val="24"/>
        </w:rPr>
      </w:pPr>
    </w:p>
    <w:p w14:paraId="1D44BB29" w14:textId="77777777" w:rsidR="00825C89" w:rsidRPr="003C703F" w:rsidRDefault="00825C89" w:rsidP="00825C89">
      <w:pPr>
        <w:rPr>
          <w:sz w:val="24"/>
        </w:rPr>
      </w:pPr>
      <w:r w:rsidRPr="003C703F">
        <w:rPr>
          <w:b/>
          <w:sz w:val="24"/>
        </w:rPr>
        <w:t>Table 1</w:t>
      </w:r>
      <w:r w:rsidRPr="003C703F">
        <w:rPr>
          <w:sz w:val="24"/>
        </w:rPr>
        <w:t>: Baseline characteristics</w:t>
      </w:r>
      <w:r>
        <w:rPr>
          <w:sz w:val="24"/>
        </w:rPr>
        <w:t xml:space="preserve"> </w:t>
      </w:r>
    </w:p>
    <w:tbl>
      <w:tblPr>
        <w:tblStyle w:val="TableGrid"/>
        <w:tblW w:w="5000" w:type="pct"/>
        <w:tblLook w:val="04A0" w:firstRow="1" w:lastRow="0" w:firstColumn="1" w:lastColumn="0" w:noHBand="0" w:noVBand="1"/>
      </w:tblPr>
      <w:tblGrid>
        <w:gridCol w:w="3561"/>
        <w:gridCol w:w="1386"/>
        <w:gridCol w:w="1464"/>
        <w:gridCol w:w="2449"/>
        <w:gridCol w:w="1596"/>
      </w:tblGrid>
      <w:tr w:rsidR="00825C89" w:rsidRPr="00010EDA" w14:paraId="6E19C79B" w14:textId="77777777" w:rsidTr="00D47C29">
        <w:trPr>
          <w:trHeight w:val="643"/>
        </w:trPr>
        <w:tc>
          <w:tcPr>
            <w:tcW w:w="1703" w:type="pct"/>
            <w:tcBorders>
              <w:right w:val="double" w:sz="4" w:space="0" w:color="auto"/>
            </w:tcBorders>
            <w:shd w:val="clear" w:color="auto" w:fill="D9D9D9" w:themeFill="background1" w:themeFillShade="D9"/>
          </w:tcPr>
          <w:p w14:paraId="70CCD29B"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Variable</w:t>
            </w:r>
          </w:p>
        </w:tc>
        <w:tc>
          <w:tcPr>
            <w:tcW w:w="663" w:type="pct"/>
            <w:tcBorders>
              <w:left w:val="double" w:sz="4" w:space="0" w:color="auto"/>
              <w:right w:val="double" w:sz="4" w:space="0" w:color="auto"/>
            </w:tcBorders>
            <w:shd w:val="clear" w:color="auto" w:fill="D9D9D9" w:themeFill="background1" w:themeFillShade="D9"/>
          </w:tcPr>
          <w:p w14:paraId="7CB885C8" w14:textId="77777777" w:rsidR="00825C89" w:rsidRPr="00010EDA" w:rsidRDefault="00825C89" w:rsidP="00D47C29">
            <w:pPr>
              <w:jc w:val="center"/>
              <w:rPr>
                <w:rFonts w:ascii="Calibri" w:hAnsi="Calibri" w:cs="Calibri"/>
                <w:b/>
                <w:sz w:val="20"/>
                <w:szCs w:val="20"/>
              </w:rPr>
            </w:pPr>
            <w:r w:rsidRPr="00010EDA">
              <w:rPr>
                <w:rFonts w:ascii="Calibri" w:hAnsi="Calibri" w:cs="Calibri"/>
                <w:b/>
                <w:sz w:val="20"/>
                <w:szCs w:val="20"/>
              </w:rPr>
              <w:t>Total  Group</w:t>
            </w:r>
          </w:p>
          <w:p w14:paraId="4DF14510" w14:textId="77777777" w:rsidR="00825C89" w:rsidRPr="00010EDA" w:rsidRDefault="00825C89" w:rsidP="00D47C29">
            <w:pPr>
              <w:jc w:val="center"/>
              <w:rPr>
                <w:rFonts w:ascii="Calibri" w:hAnsi="Calibri" w:cs="Calibri"/>
                <w:b/>
                <w:sz w:val="20"/>
                <w:szCs w:val="20"/>
              </w:rPr>
            </w:pPr>
            <w:r w:rsidRPr="00010EDA">
              <w:rPr>
                <w:rFonts w:ascii="Calibri" w:hAnsi="Calibri" w:cs="Calibri"/>
                <w:b/>
                <w:sz w:val="20"/>
                <w:szCs w:val="20"/>
              </w:rPr>
              <w:t>(n= 58)</w:t>
            </w:r>
          </w:p>
        </w:tc>
        <w:tc>
          <w:tcPr>
            <w:tcW w:w="700" w:type="pct"/>
            <w:tcBorders>
              <w:left w:val="double" w:sz="4" w:space="0" w:color="auto"/>
            </w:tcBorders>
            <w:shd w:val="clear" w:color="auto" w:fill="D9D9D9" w:themeFill="background1" w:themeFillShade="D9"/>
          </w:tcPr>
          <w:p w14:paraId="3BF356F2" w14:textId="77777777" w:rsidR="00825C89" w:rsidRPr="00010EDA" w:rsidRDefault="00825C89" w:rsidP="00D47C29">
            <w:pPr>
              <w:jc w:val="center"/>
              <w:rPr>
                <w:rFonts w:ascii="Calibri" w:hAnsi="Calibri" w:cs="Calibri"/>
                <w:b/>
                <w:sz w:val="20"/>
                <w:szCs w:val="20"/>
              </w:rPr>
            </w:pPr>
            <w:r w:rsidRPr="00010EDA">
              <w:rPr>
                <w:rFonts w:ascii="Calibri" w:hAnsi="Calibri" w:cs="Calibri"/>
                <w:b/>
                <w:sz w:val="20"/>
                <w:szCs w:val="20"/>
              </w:rPr>
              <w:t>Control group</w:t>
            </w:r>
          </w:p>
          <w:p w14:paraId="015B5D7B" w14:textId="77777777" w:rsidR="00825C89" w:rsidRPr="00010EDA" w:rsidRDefault="00825C89" w:rsidP="00D47C29">
            <w:pPr>
              <w:jc w:val="center"/>
              <w:rPr>
                <w:rFonts w:ascii="Calibri" w:hAnsi="Calibri" w:cs="Calibri"/>
                <w:b/>
                <w:sz w:val="20"/>
                <w:szCs w:val="20"/>
              </w:rPr>
            </w:pPr>
            <w:r w:rsidRPr="00010EDA">
              <w:rPr>
                <w:rFonts w:ascii="Calibri" w:hAnsi="Calibri" w:cs="Calibri"/>
                <w:b/>
                <w:sz w:val="20"/>
                <w:szCs w:val="20"/>
              </w:rPr>
              <w:t>(MICT)</w:t>
            </w:r>
          </w:p>
          <w:p w14:paraId="291DE9D0" w14:textId="77777777" w:rsidR="00825C89" w:rsidRPr="00010EDA" w:rsidRDefault="00825C89" w:rsidP="00D47C29">
            <w:pPr>
              <w:jc w:val="center"/>
              <w:rPr>
                <w:rFonts w:ascii="Calibri" w:hAnsi="Calibri" w:cs="Calibri"/>
                <w:b/>
                <w:sz w:val="20"/>
                <w:szCs w:val="20"/>
              </w:rPr>
            </w:pPr>
            <w:r w:rsidRPr="00010EDA">
              <w:rPr>
                <w:rFonts w:ascii="Calibri" w:hAnsi="Calibri" w:cs="Calibri"/>
                <w:b/>
                <w:sz w:val="20"/>
                <w:szCs w:val="20"/>
              </w:rPr>
              <w:t>(n=25)</w:t>
            </w:r>
          </w:p>
        </w:tc>
        <w:tc>
          <w:tcPr>
            <w:tcW w:w="1171" w:type="pct"/>
            <w:shd w:val="clear" w:color="auto" w:fill="D9D9D9" w:themeFill="background1" w:themeFillShade="D9"/>
          </w:tcPr>
          <w:p w14:paraId="7B9F97E4" w14:textId="77777777" w:rsidR="00825C89" w:rsidRPr="00010EDA" w:rsidRDefault="00825C89" w:rsidP="00D47C29">
            <w:pPr>
              <w:jc w:val="center"/>
              <w:rPr>
                <w:rFonts w:ascii="Calibri" w:hAnsi="Calibri" w:cs="Calibri"/>
                <w:b/>
                <w:sz w:val="20"/>
                <w:szCs w:val="20"/>
              </w:rPr>
            </w:pPr>
            <w:r w:rsidRPr="00010EDA">
              <w:rPr>
                <w:rFonts w:ascii="Calibri" w:hAnsi="Calibri" w:cs="Calibri"/>
                <w:b/>
                <w:sz w:val="20"/>
                <w:szCs w:val="20"/>
              </w:rPr>
              <w:t>Intervention group (HIIT)</w:t>
            </w:r>
          </w:p>
          <w:p w14:paraId="34930E89" w14:textId="77777777" w:rsidR="00825C89" w:rsidRPr="00010EDA" w:rsidRDefault="00825C89" w:rsidP="00D47C29">
            <w:pPr>
              <w:jc w:val="center"/>
              <w:rPr>
                <w:rFonts w:ascii="Calibri" w:hAnsi="Calibri" w:cs="Calibri"/>
                <w:b/>
                <w:sz w:val="20"/>
                <w:szCs w:val="20"/>
              </w:rPr>
            </w:pPr>
            <w:r w:rsidRPr="00010EDA">
              <w:rPr>
                <w:rFonts w:ascii="Calibri" w:hAnsi="Calibri" w:cs="Calibri"/>
                <w:b/>
                <w:sz w:val="20"/>
                <w:szCs w:val="20"/>
              </w:rPr>
              <w:t>(n=33)</w:t>
            </w:r>
          </w:p>
        </w:tc>
        <w:tc>
          <w:tcPr>
            <w:tcW w:w="763" w:type="pct"/>
            <w:shd w:val="clear" w:color="auto" w:fill="D9D9D9" w:themeFill="background1" w:themeFillShade="D9"/>
          </w:tcPr>
          <w:p w14:paraId="08A17404" w14:textId="77777777" w:rsidR="00825C89" w:rsidRPr="00010EDA" w:rsidRDefault="00825C89" w:rsidP="00D47C29">
            <w:pPr>
              <w:jc w:val="center"/>
              <w:rPr>
                <w:rFonts w:ascii="Calibri" w:hAnsi="Calibri" w:cs="Calibri"/>
                <w:b/>
                <w:sz w:val="20"/>
                <w:szCs w:val="20"/>
              </w:rPr>
            </w:pPr>
            <w:r w:rsidRPr="00010EDA">
              <w:rPr>
                <w:rFonts w:ascii="Calibri" w:hAnsi="Calibri" w:cs="Calibri"/>
                <w:b/>
                <w:sz w:val="20"/>
                <w:szCs w:val="20"/>
              </w:rPr>
              <w:t>Between group</w:t>
            </w:r>
          </w:p>
          <w:p w14:paraId="34EC738D" w14:textId="77777777" w:rsidR="00825C89" w:rsidRPr="00010EDA" w:rsidRDefault="00825C89" w:rsidP="00D47C29">
            <w:pPr>
              <w:jc w:val="center"/>
              <w:rPr>
                <w:rFonts w:ascii="Calibri" w:hAnsi="Calibri" w:cs="Calibri"/>
                <w:b/>
                <w:sz w:val="20"/>
                <w:szCs w:val="20"/>
              </w:rPr>
            </w:pPr>
            <w:r w:rsidRPr="00010EDA">
              <w:rPr>
                <w:rFonts w:ascii="Calibri" w:hAnsi="Calibri" w:cs="Calibri"/>
                <w:b/>
                <w:sz w:val="20"/>
                <w:szCs w:val="20"/>
              </w:rPr>
              <w:t>P value</w:t>
            </w:r>
          </w:p>
        </w:tc>
      </w:tr>
      <w:tr w:rsidR="00825C89" w:rsidRPr="00010EDA" w14:paraId="039FD772" w14:textId="77777777" w:rsidTr="00D47C29">
        <w:trPr>
          <w:trHeight w:val="424"/>
        </w:trPr>
        <w:tc>
          <w:tcPr>
            <w:tcW w:w="1703" w:type="pct"/>
            <w:tcBorders>
              <w:right w:val="double" w:sz="4" w:space="0" w:color="auto"/>
            </w:tcBorders>
            <w:vAlign w:val="center"/>
          </w:tcPr>
          <w:p w14:paraId="6E0B67E9"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Age (years)</w:t>
            </w:r>
          </w:p>
        </w:tc>
        <w:tc>
          <w:tcPr>
            <w:tcW w:w="663" w:type="pct"/>
            <w:tcBorders>
              <w:left w:val="double" w:sz="4" w:space="0" w:color="auto"/>
              <w:right w:val="double" w:sz="4" w:space="0" w:color="auto"/>
            </w:tcBorders>
          </w:tcPr>
          <w:p w14:paraId="469E5758"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70.0 (11.05)</w:t>
            </w:r>
          </w:p>
        </w:tc>
        <w:tc>
          <w:tcPr>
            <w:tcW w:w="700" w:type="pct"/>
            <w:tcBorders>
              <w:left w:val="double" w:sz="4" w:space="0" w:color="auto"/>
            </w:tcBorders>
            <w:vAlign w:val="center"/>
          </w:tcPr>
          <w:p w14:paraId="4389B4F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69.8 (10.8)</w:t>
            </w:r>
          </w:p>
        </w:tc>
        <w:tc>
          <w:tcPr>
            <w:tcW w:w="1171" w:type="pct"/>
            <w:vAlign w:val="center"/>
          </w:tcPr>
          <w:p w14:paraId="14F14EF1"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70.5 (10.9)</w:t>
            </w:r>
          </w:p>
        </w:tc>
        <w:tc>
          <w:tcPr>
            <w:tcW w:w="763" w:type="pct"/>
          </w:tcPr>
          <w:p w14:paraId="086E1ECA"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0.89</w:t>
            </w:r>
          </w:p>
        </w:tc>
      </w:tr>
      <w:tr w:rsidR="00825C89" w:rsidRPr="00010EDA" w14:paraId="6AC83C70" w14:textId="77777777" w:rsidTr="00D47C29">
        <w:trPr>
          <w:trHeight w:val="424"/>
        </w:trPr>
        <w:tc>
          <w:tcPr>
            <w:tcW w:w="1703" w:type="pct"/>
            <w:tcBorders>
              <w:bottom w:val="single" w:sz="4" w:space="0" w:color="auto"/>
              <w:right w:val="double" w:sz="4" w:space="0" w:color="auto"/>
            </w:tcBorders>
            <w:vAlign w:val="center"/>
          </w:tcPr>
          <w:p w14:paraId="2618DC66"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Gender (male), (number (%))</w:t>
            </w:r>
          </w:p>
        </w:tc>
        <w:tc>
          <w:tcPr>
            <w:tcW w:w="663" w:type="pct"/>
            <w:tcBorders>
              <w:left w:val="double" w:sz="4" w:space="0" w:color="auto"/>
              <w:bottom w:val="single" w:sz="4" w:space="0" w:color="auto"/>
              <w:right w:val="double" w:sz="4" w:space="0" w:color="auto"/>
            </w:tcBorders>
            <w:vAlign w:val="center"/>
          </w:tcPr>
          <w:p w14:paraId="22CC006F"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32 (55.2)</w:t>
            </w:r>
          </w:p>
        </w:tc>
        <w:tc>
          <w:tcPr>
            <w:tcW w:w="700" w:type="pct"/>
            <w:tcBorders>
              <w:left w:val="double" w:sz="4" w:space="0" w:color="auto"/>
              <w:bottom w:val="single" w:sz="4" w:space="0" w:color="auto"/>
            </w:tcBorders>
            <w:vAlign w:val="center"/>
          </w:tcPr>
          <w:p w14:paraId="073971D4"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14 (56)</w:t>
            </w:r>
          </w:p>
        </w:tc>
        <w:tc>
          <w:tcPr>
            <w:tcW w:w="1171" w:type="pct"/>
            <w:tcBorders>
              <w:bottom w:val="single" w:sz="4" w:space="0" w:color="auto"/>
            </w:tcBorders>
            <w:vAlign w:val="center"/>
          </w:tcPr>
          <w:p w14:paraId="41D07AC7"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18 (55)</w:t>
            </w:r>
          </w:p>
        </w:tc>
        <w:tc>
          <w:tcPr>
            <w:tcW w:w="763" w:type="pct"/>
            <w:tcBorders>
              <w:bottom w:val="single" w:sz="4" w:space="0" w:color="auto"/>
            </w:tcBorders>
          </w:tcPr>
          <w:p w14:paraId="7602F6F0"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0.91</w:t>
            </w:r>
          </w:p>
        </w:tc>
      </w:tr>
      <w:tr w:rsidR="00825C89" w:rsidRPr="00010EDA" w14:paraId="23210D7F" w14:textId="77777777" w:rsidTr="00D47C29">
        <w:trPr>
          <w:trHeight w:val="977"/>
        </w:trPr>
        <w:tc>
          <w:tcPr>
            <w:tcW w:w="1703" w:type="pct"/>
            <w:tcBorders>
              <w:top w:val="single" w:sz="4" w:space="0" w:color="auto"/>
              <w:left w:val="single" w:sz="4" w:space="0" w:color="auto"/>
              <w:bottom w:val="single" w:sz="4" w:space="0" w:color="auto"/>
              <w:right w:val="double" w:sz="4" w:space="0" w:color="auto"/>
            </w:tcBorders>
            <w:vAlign w:val="center"/>
          </w:tcPr>
          <w:p w14:paraId="1EC37A38"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lastRenderedPageBreak/>
              <w:t>ILD Type, (</w:t>
            </w:r>
            <w:r>
              <w:rPr>
                <w:rFonts w:ascii="Calibri" w:hAnsi="Calibri" w:cs="Calibri"/>
                <w:b/>
                <w:sz w:val="20"/>
                <w:szCs w:val="20"/>
              </w:rPr>
              <w:t>no.</w:t>
            </w:r>
            <w:r w:rsidRPr="00010EDA">
              <w:rPr>
                <w:rFonts w:ascii="Calibri" w:hAnsi="Calibri" w:cs="Calibri"/>
                <w:b/>
                <w:sz w:val="20"/>
                <w:szCs w:val="20"/>
              </w:rPr>
              <w:t xml:space="preserve"> (%))</w:t>
            </w:r>
          </w:p>
          <w:p w14:paraId="4C346E9D" w14:textId="77777777" w:rsidR="00825C89" w:rsidRPr="00010EDA" w:rsidRDefault="00825C89" w:rsidP="00D47C29">
            <w:pPr>
              <w:pStyle w:val="ListParagraph"/>
              <w:numPr>
                <w:ilvl w:val="0"/>
                <w:numId w:val="6"/>
              </w:numPr>
              <w:spacing w:after="0" w:line="240" w:lineRule="auto"/>
              <w:rPr>
                <w:rFonts w:ascii="Calibri" w:hAnsi="Calibri" w:cs="Calibri"/>
                <w:sz w:val="20"/>
                <w:szCs w:val="20"/>
              </w:rPr>
            </w:pPr>
            <w:r w:rsidRPr="00010EDA">
              <w:rPr>
                <w:rFonts w:ascii="Calibri" w:hAnsi="Calibri" w:cs="Calibri"/>
                <w:sz w:val="20"/>
                <w:szCs w:val="20"/>
              </w:rPr>
              <w:t>IPF</w:t>
            </w:r>
          </w:p>
          <w:p w14:paraId="128466B0" w14:textId="77777777" w:rsidR="00825C89" w:rsidRPr="00010EDA" w:rsidRDefault="00825C89" w:rsidP="00D47C29">
            <w:pPr>
              <w:pStyle w:val="ListParagraph"/>
              <w:numPr>
                <w:ilvl w:val="0"/>
                <w:numId w:val="6"/>
              </w:numPr>
              <w:spacing w:after="0" w:line="240" w:lineRule="auto"/>
              <w:rPr>
                <w:rFonts w:ascii="Calibri" w:hAnsi="Calibri" w:cs="Calibri"/>
                <w:sz w:val="20"/>
                <w:szCs w:val="20"/>
              </w:rPr>
            </w:pPr>
            <w:r w:rsidRPr="00010EDA">
              <w:rPr>
                <w:rFonts w:ascii="Calibri" w:hAnsi="Calibri" w:cs="Calibri"/>
                <w:sz w:val="20"/>
                <w:szCs w:val="20"/>
              </w:rPr>
              <w:t>CTD-ILD</w:t>
            </w:r>
          </w:p>
          <w:p w14:paraId="7C6425C1" w14:textId="77777777" w:rsidR="00825C89" w:rsidRPr="00010EDA" w:rsidRDefault="00825C89" w:rsidP="00D47C29">
            <w:pPr>
              <w:pStyle w:val="ListParagraph"/>
              <w:numPr>
                <w:ilvl w:val="0"/>
                <w:numId w:val="6"/>
              </w:numPr>
              <w:spacing w:after="0" w:line="240" w:lineRule="auto"/>
              <w:rPr>
                <w:rFonts w:ascii="Calibri" w:hAnsi="Calibri" w:cs="Calibri"/>
                <w:sz w:val="20"/>
                <w:szCs w:val="20"/>
              </w:rPr>
            </w:pPr>
            <w:r w:rsidRPr="00010EDA">
              <w:rPr>
                <w:rFonts w:ascii="Calibri" w:hAnsi="Calibri" w:cs="Calibri"/>
                <w:sz w:val="20"/>
                <w:szCs w:val="20"/>
              </w:rPr>
              <w:t>CHP</w:t>
            </w:r>
          </w:p>
        </w:tc>
        <w:tc>
          <w:tcPr>
            <w:tcW w:w="663" w:type="pct"/>
            <w:tcBorders>
              <w:top w:val="single" w:sz="4" w:space="0" w:color="auto"/>
              <w:left w:val="double" w:sz="4" w:space="0" w:color="auto"/>
              <w:bottom w:val="single" w:sz="4" w:space="0" w:color="auto"/>
              <w:right w:val="double" w:sz="4" w:space="0" w:color="auto"/>
            </w:tcBorders>
          </w:tcPr>
          <w:p w14:paraId="290969AE" w14:textId="77777777" w:rsidR="00825C89" w:rsidRPr="00010EDA" w:rsidRDefault="00825C89" w:rsidP="00D47C29">
            <w:pPr>
              <w:jc w:val="center"/>
              <w:rPr>
                <w:rFonts w:ascii="Calibri" w:hAnsi="Calibri" w:cs="Calibri"/>
                <w:sz w:val="20"/>
                <w:szCs w:val="20"/>
              </w:rPr>
            </w:pPr>
          </w:p>
          <w:p w14:paraId="692808C2" w14:textId="77777777" w:rsidR="00825C89" w:rsidRDefault="00825C89" w:rsidP="00D47C29">
            <w:pPr>
              <w:jc w:val="center"/>
              <w:rPr>
                <w:rFonts w:ascii="Calibri" w:hAnsi="Calibri" w:cs="Calibri"/>
                <w:sz w:val="20"/>
                <w:szCs w:val="20"/>
              </w:rPr>
            </w:pPr>
          </w:p>
          <w:p w14:paraId="3FE4DE6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18 (31.0)</w:t>
            </w:r>
          </w:p>
          <w:p w14:paraId="4A3607A3"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28 (48.3)</w:t>
            </w:r>
          </w:p>
          <w:p w14:paraId="15CFE4B7"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12 (20.7)</w:t>
            </w:r>
          </w:p>
        </w:tc>
        <w:tc>
          <w:tcPr>
            <w:tcW w:w="700" w:type="pct"/>
            <w:tcBorders>
              <w:top w:val="single" w:sz="4" w:space="0" w:color="auto"/>
              <w:left w:val="double" w:sz="4" w:space="0" w:color="auto"/>
              <w:bottom w:val="single" w:sz="4" w:space="0" w:color="auto"/>
              <w:right w:val="single" w:sz="4" w:space="0" w:color="auto"/>
            </w:tcBorders>
            <w:vAlign w:val="center"/>
          </w:tcPr>
          <w:p w14:paraId="6385F48E" w14:textId="77777777" w:rsidR="00825C89" w:rsidRDefault="00825C89" w:rsidP="00D47C29">
            <w:pPr>
              <w:jc w:val="center"/>
              <w:rPr>
                <w:rFonts w:ascii="Calibri" w:hAnsi="Calibri" w:cs="Calibri"/>
                <w:sz w:val="20"/>
                <w:szCs w:val="20"/>
              </w:rPr>
            </w:pPr>
          </w:p>
          <w:p w14:paraId="2503CEA5" w14:textId="77777777" w:rsidR="00825C89" w:rsidRDefault="00825C89" w:rsidP="00D47C29">
            <w:pPr>
              <w:jc w:val="center"/>
              <w:rPr>
                <w:rFonts w:ascii="Calibri" w:hAnsi="Calibri" w:cs="Calibri"/>
                <w:sz w:val="20"/>
                <w:szCs w:val="20"/>
              </w:rPr>
            </w:pPr>
          </w:p>
          <w:p w14:paraId="1E1B485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8 (32)</w:t>
            </w:r>
          </w:p>
          <w:p w14:paraId="17B3E903"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15 (60)</w:t>
            </w:r>
          </w:p>
          <w:p w14:paraId="6BFEC7AB"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 (8)</w:t>
            </w:r>
          </w:p>
        </w:tc>
        <w:tc>
          <w:tcPr>
            <w:tcW w:w="1171" w:type="pct"/>
            <w:tcBorders>
              <w:top w:val="single" w:sz="4" w:space="0" w:color="auto"/>
              <w:left w:val="single" w:sz="4" w:space="0" w:color="auto"/>
              <w:bottom w:val="single" w:sz="4" w:space="0" w:color="auto"/>
              <w:right w:val="single" w:sz="4" w:space="0" w:color="auto"/>
            </w:tcBorders>
            <w:vAlign w:val="center"/>
          </w:tcPr>
          <w:p w14:paraId="283ED213" w14:textId="77777777" w:rsidR="00825C89" w:rsidRDefault="00825C89" w:rsidP="00D47C29">
            <w:pPr>
              <w:jc w:val="center"/>
              <w:rPr>
                <w:rFonts w:ascii="Calibri" w:hAnsi="Calibri" w:cs="Calibri"/>
                <w:sz w:val="20"/>
                <w:szCs w:val="20"/>
              </w:rPr>
            </w:pPr>
          </w:p>
          <w:p w14:paraId="0D0DEC8F" w14:textId="77777777" w:rsidR="00825C89" w:rsidRDefault="00825C89" w:rsidP="00D47C29">
            <w:pPr>
              <w:jc w:val="center"/>
              <w:rPr>
                <w:rFonts w:ascii="Calibri" w:hAnsi="Calibri" w:cs="Calibri"/>
                <w:sz w:val="20"/>
                <w:szCs w:val="20"/>
              </w:rPr>
            </w:pPr>
          </w:p>
          <w:p w14:paraId="6A38F2A1"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10 (30.3)</w:t>
            </w:r>
          </w:p>
          <w:p w14:paraId="25C0EBAC"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13 (39.4)</w:t>
            </w:r>
          </w:p>
          <w:p w14:paraId="751DEF83"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10 (30.3)</w:t>
            </w:r>
          </w:p>
        </w:tc>
        <w:tc>
          <w:tcPr>
            <w:tcW w:w="763" w:type="pct"/>
            <w:tcBorders>
              <w:top w:val="single" w:sz="4" w:space="0" w:color="auto"/>
              <w:left w:val="single" w:sz="4" w:space="0" w:color="auto"/>
              <w:bottom w:val="single" w:sz="4" w:space="0" w:color="auto"/>
              <w:right w:val="single" w:sz="4" w:space="0" w:color="auto"/>
            </w:tcBorders>
          </w:tcPr>
          <w:p w14:paraId="187A601D" w14:textId="77777777" w:rsidR="00825C89" w:rsidRPr="00010EDA" w:rsidRDefault="00825C89" w:rsidP="00D47C29">
            <w:pPr>
              <w:jc w:val="center"/>
              <w:rPr>
                <w:rFonts w:ascii="Calibri" w:hAnsi="Calibri" w:cs="Calibri"/>
                <w:sz w:val="20"/>
                <w:szCs w:val="20"/>
              </w:rPr>
            </w:pPr>
          </w:p>
          <w:p w14:paraId="29C60530" w14:textId="77777777" w:rsidR="00825C89" w:rsidRPr="00010EDA" w:rsidRDefault="00825C89" w:rsidP="00D47C29">
            <w:pPr>
              <w:jc w:val="center"/>
              <w:rPr>
                <w:rFonts w:ascii="Calibri" w:hAnsi="Calibri" w:cs="Calibri"/>
                <w:sz w:val="20"/>
                <w:szCs w:val="20"/>
              </w:rPr>
            </w:pPr>
          </w:p>
          <w:p w14:paraId="2CC1D54F"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0.10</w:t>
            </w:r>
          </w:p>
        </w:tc>
      </w:tr>
      <w:tr w:rsidR="00825C89" w:rsidRPr="00010EDA" w14:paraId="3DE91754" w14:textId="77777777" w:rsidTr="00D47C29">
        <w:trPr>
          <w:trHeight w:val="2545"/>
        </w:trPr>
        <w:tc>
          <w:tcPr>
            <w:tcW w:w="1703" w:type="pct"/>
            <w:tcBorders>
              <w:top w:val="single" w:sz="4" w:space="0" w:color="auto"/>
              <w:right w:val="single" w:sz="4" w:space="0" w:color="auto"/>
            </w:tcBorders>
            <w:vAlign w:val="center"/>
          </w:tcPr>
          <w:p w14:paraId="460F73CA"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ILD-GAP index,</w:t>
            </w:r>
          </w:p>
          <w:p w14:paraId="59D9DE21" w14:textId="77777777" w:rsidR="00825C89" w:rsidRPr="00010EDA" w:rsidRDefault="00825C89" w:rsidP="00D47C29">
            <w:pPr>
              <w:rPr>
                <w:rFonts w:ascii="Calibri" w:hAnsi="Calibri" w:cs="Calibri"/>
                <w:sz w:val="20"/>
                <w:szCs w:val="20"/>
              </w:rPr>
            </w:pPr>
            <w:r w:rsidRPr="00010EDA">
              <w:rPr>
                <w:rFonts w:ascii="Calibri" w:hAnsi="Calibri" w:cs="Calibri"/>
                <w:sz w:val="20"/>
                <w:szCs w:val="20"/>
              </w:rPr>
              <w:t>(number (%))</w:t>
            </w:r>
          </w:p>
          <w:p w14:paraId="162B7859" w14:textId="77777777" w:rsidR="00825C89" w:rsidRPr="00010EDA" w:rsidRDefault="00825C89" w:rsidP="00D47C29">
            <w:pPr>
              <w:pStyle w:val="ListParagraph"/>
              <w:numPr>
                <w:ilvl w:val="0"/>
                <w:numId w:val="7"/>
              </w:numPr>
              <w:spacing w:after="0" w:line="240" w:lineRule="auto"/>
              <w:rPr>
                <w:rFonts w:ascii="Calibri" w:hAnsi="Calibri" w:cs="Calibri"/>
                <w:sz w:val="20"/>
                <w:szCs w:val="20"/>
              </w:rPr>
            </w:pPr>
            <w:r w:rsidRPr="00010EDA">
              <w:rPr>
                <w:rFonts w:ascii="Calibri" w:hAnsi="Calibri" w:cs="Calibri"/>
                <w:sz w:val="20"/>
                <w:szCs w:val="20"/>
              </w:rPr>
              <w:t>0-1</w:t>
            </w:r>
          </w:p>
          <w:p w14:paraId="1CB4B870" w14:textId="77777777" w:rsidR="00825C89" w:rsidRPr="00010EDA" w:rsidRDefault="00825C89" w:rsidP="00D47C29">
            <w:pPr>
              <w:pStyle w:val="ListParagraph"/>
              <w:numPr>
                <w:ilvl w:val="0"/>
                <w:numId w:val="7"/>
              </w:numPr>
              <w:spacing w:after="0" w:line="240" w:lineRule="auto"/>
              <w:rPr>
                <w:rFonts w:ascii="Calibri" w:hAnsi="Calibri" w:cs="Calibri"/>
                <w:sz w:val="20"/>
                <w:szCs w:val="20"/>
              </w:rPr>
            </w:pPr>
            <w:r w:rsidRPr="00010EDA">
              <w:rPr>
                <w:rFonts w:ascii="Calibri" w:hAnsi="Calibri" w:cs="Calibri"/>
                <w:sz w:val="20"/>
                <w:szCs w:val="20"/>
              </w:rPr>
              <w:t>2-3</w:t>
            </w:r>
          </w:p>
          <w:p w14:paraId="5C146CD0" w14:textId="77777777" w:rsidR="00825C89" w:rsidRPr="00A24918" w:rsidRDefault="00825C89" w:rsidP="00D47C29">
            <w:pPr>
              <w:pStyle w:val="ListParagraph"/>
              <w:numPr>
                <w:ilvl w:val="0"/>
                <w:numId w:val="7"/>
              </w:numPr>
              <w:spacing w:after="0" w:line="240" w:lineRule="auto"/>
              <w:rPr>
                <w:rFonts w:ascii="Calibri" w:hAnsi="Calibri" w:cs="Calibri"/>
                <w:sz w:val="20"/>
                <w:szCs w:val="20"/>
              </w:rPr>
            </w:pPr>
            <w:r w:rsidRPr="00A24918">
              <w:rPr>
                <w:rFonts w:ascii="Calibri" w:hAnsi="Calibri" w:cs="Calibri"/>
                <w:sz w:val="20"/>
                <w:szCs w:val="20"/>
              </w:rPr>
              <w:t>4-5</w:t>
            </w:r>
          </w:p>
          <w:p w14:paraId="169F5662" w14:textId="77777777" w:rsidR="00825C89" w:rsidRPr="00010EDA" w:rsidRDefault="00825C89" w:rsidP="00D47C29">
            <w:pPr>
              <w:pStyle w:val="ListParagraph"/>
              <w:numPr>
                <w:ilvl w:val="0"/>
                <w:numId w:val="7"/>
              </w:numPr>
              <w:spacing w:after="0" w:line="240" w:lineRule="auto"/>
              <w:rPr>
                <w:rFonts w:ascii="Calibri" w:hAnsi="Calibri" w:cs="Calibri"/>
                <w:sz w:val="20"/>
                <w:szCs w:val="20"/>
              </w:rPr>
            </w:pPr>
            <w:r w:rsidRPr="00A24918">
              <w:rPr>
                <w:rFonts w:ascii="Calibri" w:hAnsi="Calibri" w:cs="Calibri"/>
                <w:sz w:val="20"/>
                <w:szCs w:val="20"/>
              </w:rPr>
              <w:t>&gt;5</w:t>
            </w:r>
          </w:p>
        </w:tc>
        <w:tc>
          <w:tcPr>
            <w:tcW w:w="663" w:type="pct"/>
            <w:tcBorders>
              <w:top w:val="single" w:sz="4" w:space="0" w:color="auto"/>
              <w:left w:val="single" w:sz="4" w:space="0" w:color="auto"/>
              <w:right w:val="single" w:sz="4" w:space="0" w:color="auto"/>
            </w:tcBorders>
          </w:tcPr>
          <w:p w14:paraId="79C1B9E0" w14:textId="77777777" w:rsidR="00825C89" w:rsidRPr="00010EDA" w:rsidRDefault="00825C89" w:rsidP="00D47C29">
            <w:pPr>
              <w:jc w:val="center"/>
              <w:rPr>
                <w:rFonts w:ascii="Calibri" w:hAnsi="Calibri" w:cs="Calibri"/>
                <w:sz w:val="20"/>
                <w:szCs w:val="20"/>
              </w:rPr>
            </w:pPr>
          </w:p>
          <w:p w14:paraId="1804C322" w14:textId="77777777" w:rsidR="00825C89" w:rsidRDefault="00825C89" w:rsidP="00D47C29">
            <w:pPr>
              <w:jc w:val="center"/>
              <w:rPr>
                <w:rFonts w:ascii="Calibri" w:hAnsi="Calibri" w:cs="Calibri"/>
                <w:sz w:val="20"/>
                <w:szCs w:val="20"/>
              </w:rPr>
            </w:pPr>
          </w:p>
          <w:p w14:paraId="09BEB377" w14:textId="77777777" w:rsidR="00825C89" w:rsidRPr="00010EDA" w:rsidRDefault="00825C89" w:rsidP="00D47C29">
            <w:pPr>
              <w:jc w:val="center"/>
              <w:rPr>
                <w:rFonts w:ascii="Calibri" w:hAnsi="Calibri" w:cs="Calibri"/>
                <w:sz w:val="20"/>
                <w:szCs w:val="20"/>
              </w:rPr>
            </w:pPr>
          </w:p>
          <w:p w14:paraId="73F793F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24 (41.4)</w:t>
            </w:r>
          </w:p>
          <w:p w14:paraId="7BF4BD0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20 (34.5)</w:t>
            </w:r>
          </w:p>
          <w:p w14:paraId="770596D4"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10 (17.2)</w:t>
            </w:r>
          </w:p>
          <w:p w14:paraId="2C782DA4"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 (3.4)</w:t>
            </w:r>
          </w:p>
        </w:tc>
        <w:tc>
          <w:tcPr>
            <w:tcW w:w="700" w:type="pct"/>
            <w:tcBorders>
              <w:top w:val="single" w:sz="4" w:space="0" w:color="auto"/>
              <w:left w:val="single" w:sz="4" w:space="0" w:color="auto"/>
              <w:right w:val="single" w:sz="4" w:space="0" w:color="auto"/>
            </w:tcBorders>
            <w:vAlign w:val="center"/>
          </w:tcPr>
          <w:p w14:paraId="197BB257" w14:textId="77777777" w:rsidR="00825C89" w:rsidRPr="00010EDA" w:rsidRDefault="00825C89" w:rsidP="00D47C29">
            <w:pPr>
              <w:jc w:val="center"/>
              <w:rPr>
                <w:rFonts w:ascii="Calibri" w:hAnsi="Calibri" w:cs="Calibri"/>
                <w:sz w:val="20"/>
                <w:szCs w:val="20"/>
              </w:rPr>
            </w:pPr>
          </w:p>
          <w:p w14:paraId="39756B34" w14:textId="77777777" w:rsidR="00825C89" w:rsidRDefault="00825C89" w:rsidP="00D47C29">
            <w:pPr>
              <w:jc w:val="center"/>
              <w:rPr>
                <w:rFonts w:ascii="Calibri" w:hAnsi="Calibri" w:cs="Calibri"/>
                <w:sz w:val="20"/>
                <w:szCs w:val="20"/>
              </w:rPr>
            </w:pPr>
          </w:p>
          <w:p w14:paraId="689E7B30" w14:textId="77777777" w:rsidR="00825C89" w:rsidRPr="00010EDA" w:rsidRDefault="00825C89" w:rsidP="00D47C29">
            <w:pPr>
              <w:jc w:val="center"/>
              <w:rPr>
                <w:rFonts w:ascii="Calibri" w:hAnsi="Calibri" w:cs="Calibri"/>
                <w:sz w:val="20"/>
                <w:szCs w:val="20"/>
              </w:rPr>
            </w:pPr>
          </w:p>
          <w:p w14:paraId="22E8BD5A"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12 (48)</w:t>
            </w:r>
          </w:p>
          <w:p w14:paraId="55B4E22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 (36)</w:t>
            </w:r>
          </w:p>
          <w:p w14:paraId="17552F24"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4 (16)</w:t>
            </w:r>
          </w:p>
          <w:p w14:paraId="39FE2F4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 (0)</w:t>
            </w:r>
          </w:p>
        </w:tc>
        <w:tc>
          <w:tcPr>
            <w:tcW w:w="1171" w:type="pct"/>
            <w:tcBorders>
              <w:top w:val="single" w:sz="4" w:space="0" w:color="auto"/>
              <w:left w:val="single" w:sz="4" w:space="0" w:color="auto"/>
              <w:right w:val="single" w:sz="4" w:space="0" w:color="auto"/>
            </w:tcBorders>
            <w:vAlign w:val="center"/>
          </w:tcPr>
          <w:p w14:paraId="676971CA" w14:textId="77777777" w:rsidR="00825C89" w:rsidRPr="00010EDA" w:rsidRDefault="00825C89" w:rsidP="00D47C29">
            <w:pPr>
              <w:jc w:val="center"/>
              <w:rPr>
                <w:rFonts w:ascii="Calibri" w:hAnsi="Calibri" w:cs="Calibri"/>
                <w:sz w:val="20"/>
                <w:szCs w:val="20"/>
              </w:rPr>
            </w:pPr>
          </w:p>
          <w:p w14:paraId="533F43E6" w14:textId="77777777" w:rsidR="00825C89" w:rsidRDefault="00825C89" w:rsidP="00D47C29">
            <w:pPr>
              <w:jc w:val="center"/>
              <w:rPr>
                <w:rFonts w:ascii="Calibri" w:hAnsi="Calibri" w:cs="Calibri"/>
                <w:sz w:val="20"/>
                <w:szCs w:val="20"/>
              </w:rPr>
            </w:pPr>
          </w:p>
          <w:p w14:paraId="3D1CAF83" w14:textId="77777777" w:rsidR="00825C89" w:rsidRPr="00010EDA" w:rsidRDefault="00825C89" w:rsidP="00D47C29">
            <w:pPr>
              <w:jc w:val="center"/>
              <w:rPr>
                <w:rFonts w:ascii="Calibri" w:hAnsi="Calibri" w:cs="Calibri"/>
                <w:sz w:val="20"/>
                <w:szCs w:val="20"/>
              </w:rPr>
            </w:pPr>
          </w:p>
          <w:p w14:paraId="10861015"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12 (48)</w:t>
            </w:r>
          </w:p>
          <w:p w14:paraId="0223A0CB"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11 (33.3)</w:t>
            </w:r>
          </w:p>
          <w:p w14:paraId="2BDC30D6"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6 (18.2)</w:t>
            </w:r>
          </w:p>
          <w:p w14:paraId="394A5836"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 (6.1)</w:t>
            </w:r>
          </w:p>
        </w:tc>
        <w:tc>
          <w:tcPr>
            <w:tcW w:w="763" w:type="pct"/>
            <w:tcBorders>
              <w:top w:val="single" w:sz="4" w:space="0" w:color="auto"/>
              <w:left w:val="single" w:sz="4" w:space="0" w:color="auto"/>
            </w:tcBorders>
          </w:tcPr>
          <w:p w14:paraId="7426F19F" w14:textId="77777777" w:rsidR="00825C89" w:rsidRPr="00010EDA" w:rsidRDefault="00825C89" w:rsidP="00D47C29">
            <w:pPr>
              <w:jc w:val="center"/>
              <w:rPr>
                <w:rFonts w:ascii="Calibri" w:hAnsi="Calibri" w:cs="Calibri"/>
                <w:sz w:val="20"/>
                <w:szCs w:val="20"/>
              </w:rPr>
            </w:pPr>
          </w:p>
          <w:p w14:paraId="15105115" w14:textId="77777777" w:rsidR="00825C89" w:rsidRPr="00010EDA" w:rsidRDefault="00825C89" w:rsidP="00D47C29">
            <w:pPr>
              <w:jc w:val="center"/>
              <w:rPr>
                <w:rFonts w:ascii="Calibri" w:hAnsi="Calibri" w:cs="Calibri"/>
                <w:sz w:val="20"/>
                <w:szCs w:val="20"/>
              </w:rPr>
            </w:pPr>
          </w:p>
          <w:p w14:paraId="2E0350E5" w14:textId="77777777" w:rsidR="00825C89" w:rsidRPr="00010EDA" w:rsidRDefault="00825C89" w:rsidP="00D47C29">
            <w:pPr>
              <w:jc w:val="center"/>
              <w:rPr>
                <w:rFonts w:ascii="Calibri" w:hAnsi="Calibri" w:cs="Calibri"/>
                <w:sz w:val="20"/>
                <w:szCs w:val="20"/>
              </w:rPr>
            </w:pPr>
          </w:p>
          <w:p w14:paraId="504338DB" w14:textId="77777777" w:rsidR="00825C89" w:rsidRPr="00A24918" w:rsidRDefault="00825C89" w:rsidP="00D47C29">
            <w:pPr>
              <w:jc w:val="center"/>
              <w:rPr>
                <w:rFonts w:ascii="Calibri" w:hAnsi="Calibri" w:cs="Calibri"/>
                <w:sz w:val="20"/>
                <w:szCs w:val="20"/>
                <w:vertAlign w:val="superscript"/>
              </w:rPr>
            </w:pPr>
            <w:r w:rsidRPr="00A24918">
              <w:rPr>
                <w:rFonts w:ascii="Calibri" w:hAnsi="Calibri" w:cs="Calibri"/>
                <w:sz w:val="20"/>
                <w:szCs w:val="20"/>
              </w:rPr>
              <w:t>0.72</w:t>
            </w:r>
            <w:r>
              <w:rPr>
                <w:rFonts w:ascii="Cambria Math" w:hAnsi="Cambria Math" w:cs="Calibri"/>
                <w:sz w:val="20"/>
                <w:szCs w:val="20"/>
                <w:vertAlign w:val="superscript"/>
              </w:rPr>
              <w:t>§</w:t>
            </w:r>
          </w:p>
        </w:tc>
      </w:tr>
      <w:tr w:rsidR="00825C89" w:rsidRPr="00010EDA" w14:paraId="79E4E64A" w14:textId="77777777" w:rsidTr="00D47C29">
        <w:trPr>
          <w:trHeight w:val="424"/>
        </w:trPr>
        <w:tc>
          <w:tcPr>
            <w:tcW w:w="1703" w:type="pct"/>
            <w:tcBorders>
              <w:right w:val="double" w:sz="4" w:space="0" w:color="auto"/>
            </w:tcBorders>
            <w:shd w:val="clear" w:color="auto" w:fill="auto"/>
            <w:vAlign w:val="center"/>
          </w:tcPr>
          <w:p w14:paraId="3230CF54"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BMI (kg/m</w:t>
            </w:r>
            <w:r w:rsidRPr="00010EDA">
              <w:rPr>
                <w:rFonts w:ascii="Calibri" w:hAnsi="Calibri" w:cs="Calibri"/>
                <w:b/>
                <w:sz w:val="20"/>
                <w:szCs w:val="20"/>
                <w:vertAlign w:val="superscript"/>
              </w:rPr>
              <w:t>2</w:t>
            </w:r>
            <w:r w:rsidRPr="00010EDA">
              <w:rPr>
                <w:rFonts w:ascii="Calibri" w:hAnsi="Calibri" w:cs="Calibri"/>
                <w:b/>
                <w:sz w:val="20"/>
                <w:szCs w:val="20"/>
              </w:rPr>
              <w:t>)</w:t>
            </w:r>
          </w:p>
        </w:tc>
        <w:tc>
          <w:tcPr>
            <w:tcW w:w="663" w:type="pct"/>
            <w:tcBorders>
              <w:left w:val="double" w:sz="4" w:space="0" w:color="auto"/>
              <w:right w:val="double" w:sz="4" w:space="0" w:color="auto"/>
            </w:tcBorders>
            <w:shd w:val="clear" w:color="auto" w:fill="auto"/>
          </w:tcPr>
          <w:p w14:paraId="158E8CE1"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27.3 (4.6)</w:t>
            </w:r>
          </w:p>
        </w:tc>
        <w:tc>
          <w:tcPr>
            <w:tcW w:w="700" w:type="pct"/>
            <w:tcBorders>
              <w:left w:val="double" w:sz="4" w:space="0" w:color="auto"/>
            </w:tcBorders>
            <w:shd w:val="clear" w:color="auto" w:fill="auto"/>
            <w:vAlign w:val="center"/>
          </w:tcPr>
          <w:p w14:paraId="18BF5288"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27.5 (3.8)</w:t>
            </w:r>
          </w:p>
        </w:tc>
        <w:tc>
          <w:tcPr>
            <w:tcW w:w="1171" w:type="pct"/>
            <w:shd w:val="clear" w:color="auto" w:fill="auto"/>
            <w:vAlign w:val="center"/>
          </w:tcPr>
          <w:p w14:paraId="7ECDE71F"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27.2 (5.1)</w:t>
            </w:r>
          </w:p>
        </w:tc>
        <w:tc>
          <w:tcPr>
            <w:tcW w:w="763" w:type="pct"/>
            <w:shd w:val="clear" w:color="auto" w:fill="auto"/>
          </w:tcPr>
          <w:p w14:paraId="3C28878C"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0.84</w:t>
            </w:r>
          </w:p>
        </w:tc>
      </w:tr>
      <w:tr w:rsidR="00825C89" w:rsidRPr="00010EDA" w14:paraId="4153ED01" w14:textId="77777777" w:rsidTr="00D47C29">
        <w:trPr>
          <w:trHeight w:val="424"/>
        </w:trPr>
        <w:tc>
          <w:tcPr>
            <w:tcW w:w="1703" w:type="pct"/>
            <w:tcBorders>
              <w:right w:val="double" w:sz="4" w:space="0" w:color="auto"/>
            </w:tcBorders>
            <w:shd w:val="clear" w:color="auto" w:fill="auto"/>
            <w:vAlign w:val="center"/>
          </w:tcPr>
          <w:p w14:paraId="5D639C51"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Waist/Hip ratio</w:t>
            </w:r>
          </w:p>
        </w:tc>
        <w:tc>
          <w:tcPr>
            <w:tcW w:w="663" w:type="pct"/>
            <w:tcBorders>
              <w:left w:val="double" w:sz="4" w:space="0" w:color="auto"/>
              <w:right w:val="double" w:sz="4" w:space="0" w:color="auto"/>
            </w:tcBorders>
            <w:shd w:val="clear" w:color="auto" w:fill="auto"/>
          </w:tcPr>
          <w:p w14:paraId="5170BDF2"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0.9 (0.1)</w:t>
            </w:r>
          </w:p>
        </w:tc>
        <w:tc>
          <w:tcPr>
            <w:tcW w:w="700" w:type="pct"/>
            <w:tcBorders>
              <w:left w:val="double" w:sz="4" w:space="0" w:color="auto"/>
            </w:tcBorders>
            <w:shd w:val="clear" w:color="auto" w:fill="auto"/>
            <w:vAlign w:val="center"/>
          </w:tcPr>
          <w:p w14:paraId="6D33C3A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0.9 (0.1)</w:t>
            </w:r>
          </w:p>
        </w:tc>
        <w:tc>
          <w:tcPr>
            <w:tcW w:w="1171" w:type="pct"/>
            <w:shd w:val="clear" w:color="auto" w:fill="auto"/>
            <w:vAlign w:val="center"/>
          </w:tcPr>
          <w:p w14:paraId="75E6D116"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0.9 (0.1)</w:t>
            </w:r>
          </w:p>
        </w:tc>
        <w:tc>
          <w:tcPr>
            <w:tcW w:w="763" w:type="pct"/>
            <w:shd w:val="clear" w:color="auto" w:fill="auto"/>
          </w:tcPr>
          <w:p w14:paraId="32F021F8"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0.60</w:t>
            </w:r>
          </w:p>
        </w:tc>
      </w:tr>
      <w:tr w:rsidR="00825C89" w:rsidRPr="00010EDA" w14:paraId="36F17A48" w14:textId="77777777" w:rsidTr="00D47C29">
        <w:trPr>
          <w:trHeight w:val="424"/>
        </w:trPr>
        <w:tc>
          <w:tcPr>
            <w:tcW w:w="1703" w:type="pct"/>
            <w:tcBorders>
              <w:right w:val="double" w:sz="4" w:space="0" w:color="auto"/>
            </w:tcBorders>
            <w:shd w:val="clear" w:color="auto" w:fill="auto"/>
            <w:vAlign w:val="center"/>
          </w:tcPr>
          <w:p w14:paraId="4BB804E5" w14:textId="77777777" w:rsidR="00825C89" w:rsidRPr="00010EDA" w:rsidRDefault="00825C89" w:rsidP="00D47C29">
            <w:pPr>
              <w:rPr>
                <w:rFonts w:ascii="Calibri" w:hAnsi="Calibri" w:cs="Calibri"/>
                <w:b/>
                <w:sz w:val="20"/>
                <w:szCs w:val="20"/>
              </w:rPr>
            </w:pPr>
            <w:r>
              <w:rPr>
                <w:rFonts w:ascii="Calibri" w:hAnsi="Calibri" w:cs="Calibri"/>
                <w:b/>
                <w:sz w:val="20"/>
                <w:szCs w:val="20"/>
              </w:rPr>
              <w:t>F</w:t>
            </w:r>
            <w:r w:rsidRPr="00010EDA">
              <w:rPr>
                <w:rFonts w:ascii="Calibri" w:hAnsi="Calibri" w:cs="Calibri"/>
                <w:b/>
                <w:sz w:val="20"/>
                <w:szCs w:val="20"/>
              </w:rPr>
              <w:t>at (%)</w:t>
            </w:r>
          </w:p>
        </w:tc>
        <w:tc>
          <w:tcPr>
            <w:tcW w:w="663" w:type="pct"/>
            <w:tcBorders>
              <w:left w:val="double" w:sz="4" w:space="0" w:color="auto"/>
              <w:right w:val="double" w:sz="4" w:space="0" w:color="auto"/>
            </w:tcBorders>
            <w:shd w:val="clear" w:color="auto" w:fill="auto"/>
          </w:tcPr>
          <w:p w14:paraId="6DA0B49B"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29.9 (8.6)</w:t>
            </w:r>
          </w:p>
        </w:tc>
        <w:tc>
          <w:tcPr>
            <w:tcW w:w="700" w:type="pct"/>
            <w:tcBorders>
              <w:left w:val="double" w:sz="4" w:space="0" w:color="auto"/>
            </w:tcBorders>
            <w:shd w:val="clear" w:color="auto" w:fill="auto"/>
            <w:vAlign w:val="center"/>
          </w:tcPr>
          <w:p w14:paraId="493DA255"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29.9 (9.3)</w:t>
            </w:r>
          </w:p>
        </w:tc>
        <w:tc>
          <w:tcPr>
            <w:tcW w:w="1171" w:type="pct"/>
            <w:shd w:val="clear" w:color="auto" w:fill="auto"/>
            <w:vAlign w:val="center"/>
          </w:tcPr>
          <w:p w14:paraId="5C8972D1"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30.1 (8.1)</w:t>
            </w:r>
          </w:p>
        </w:tc>
        <w:tc>
          <w:tcPr>
            <w:tcW w:w="763" w:type="pct"/>
            <w:shd w:val="clear" w:color="auto" w:fill="auto"/>
          </w:tcPr>
          <w:p w14:paraId="200690E6"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0.95</w:t>
            </w:r>
          </w:p>
        </w:tc>
      </w:tr>
      <w:tr w:rsidR="00825C89" w:rsidRPr="00010EDA" w14:paraId="39B70A7C" w14:textId="77777777" w:rsidTr="00D47C29">
        <w:trPr>
          <w:trHeight w:val="424"/>
        </w:trPr>
        <w:tc>
          <w:tcPr>
            <w:tcW w:w="1703" w:type="pct"/>
            <w:tcBorders>
              <w:right w:val="double" w:sz="4" w:space="0" w:color="auto"/>
            </w:tcBorders>
            <w:shd w:val="clear" w:color="auto" w:fill="auto"/>
            <w:vAlign w:val="center"/>
          </w:tcPr>
          <w:p w14:paraId="68ECF4DF"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FVC (%,predicted)</w:t>
            </w:r>
          </w:p>
        </w:tc>
        <w:tc>
          <w:tcPr>
            <w:tcW w:w="663" w:type="pct"/>
            <w:tcBorders>
              <w:left w:val="double" w:sz="4" w:space="0" w:color="auto"/>
              <w:right w:val="double" w:sz="4" w:space="0" w:color="auto"/>
            </w:tcBorders>
            <w:shd w:val="clear" w:color="auto" w:fill="auto"/>
          </w:tcPr>
          <w:p w14:paraId="657AEB3F"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79.1 (21.8)</w:t>
            </w:r>
          </w:p>
        </w:tc>
        <w:tc>
          <w:tcPr>
            <w:tcW w:w="700" w:type="pct"/>
            <w:tcBorders>
              <w:left w:val="double" w:sz="4" w:space="0" w:color="auto"/>
            </w:tcBorders>
            <w:shd w:val="clear" w:color="auto" w:fill="auto"/>
            <w:vAlign w:val="center"/>
          </w:tcPr>
          <w:p w14:paraId="379FC0BB"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85.8 (24.0)</w:t>
            </w:r>
          </w:p>
        </w:tc>
        <w:tc>
          <w:tcPr>
            <w:tcW w:w="1171" w:type="pct"/>
            <w:shd w:val="clear" w:color="auto" w:fill="auto"/>
            <w:vAlign w:val="center"/>
          </w:tcPr>
          <w:p w14:paraId="06B18E8B"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73.8 (18.8)</w:t>
            </w:r>
          </w:p>
        </w:tc>
        <w:tc>
          <w:tcPr>
            <w:tcW w:w="763" w:type="pct"/>
            <w:shd w:val="clear" w:color="auto" w:fill="auto"/>
          </w:tcPr>
          <w:p w14:paraId="64B61E58"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0.11</w:t>
            </w:r>
          </w:p>
        </w:tc>
      </w:tr>
      <w:tr w:rsidR="00825C89" w:rsidRPr="00010EDA" w14:paraId="24EEDA73" w14:textId="77777777" w:rsidTr="00D47C29">
        <w:trPr>
          <w:trHeight w:val="424"/>
        </w:trPr>
        <w:tc>
          <w:tcPr>
            <w:tcW w:w="1703" w:type="pct"/>
            <w:tcBorders>
              <w:right w:val="double" w:sz="4" w:space="0" w:color="auto"/>
            </w:tcBorders>
            <w:shd w:val="clear" w:color="auto" w:fill="auto"/>
            <w:vAlign w:val="center"/>
          </w:tcPr>
          <w:p w14:paraId="3E19FBD5"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DLCO (%, predicted)</w:t>
            </w:r>
          </w:p>
        </w:tc>
        <w:tc>
          <w:tcPr>
            <w:tcW w:w="663" w:type="pct"/>
            <w:tcBorders>
              <w:left w:val="double" w:sz="4" w:space="0" w:color="auto"/>
              <w:right w:val="double" w:sz="4" w:space="0" w:color="auto"/>
            </w:tcBorders>
            <w:shd w:val="clear" w:color="auto" w:fill="auto"/>
          </w:tcPr>
          <w:p w14:paraId="05DEEA7B"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47.0 (14.7)</w:t>
            </w:r>
          </w:p>
        </w:tc>
        <w:tc>
          <w:tcPr>
            <w:tcW w:w="700" w:type="pct"/>
            <w:tcBorders>
              <w:left w:val="double" w:sz="4" w:space="0" w:color="auto"/>
            </w:tcBorders>
            <w:shd w:val="clear" w:color="auto" w:fill="auto"/>
            <w:vAlign w:val="center"/>
          </w:tcPr>
          <w:p w14:paraId="53D62AD4"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53.9 (13.1)</w:t>
            </w:r>
          </w:p>
        </w:tc>
        <w:tc>
          <w:tcPr>
            <w:tcW w:w="1171" w:type="pct"/>
            <w:shd w:val="clear" w:color="auto" w:fill="auto"/>
            <w:vAlign w:val="center"/>
          </w:tcPr>
          <w:p w14:paraId="5A35DF0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41.7 (13.9)</w:t>
            </w:r>
          </w:p>
        </w:tc>
        <w:tc>
          <w:tcPr>
            <w:tcW w:w="763" w:type="pct"/>
            <w:shd w:val="clear" w:color="auto" w:fill="auto"/>
          </w:tcPr>
          <w:p w14:paraId="5FBB0655"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0.002</w:t>
            </w:r>
          </w:p>
        </w:tc>
      </w:tr>
      <w:tr w:rsidR="00825C89" w:rsidRPr="00010EDA" w14:paraId="1FF02F28" w14:textId="77777777" w:rsidTr="00D47C29">
        <w:trPr>
          <w:trHeight w:val="1208"/>
        </w:trPr>
        <w:tc>
          <w:tcPr>
            <w:tcW w:w="1703" w:type="pct"/>
            <w:tcBorders>
              <w:right w:val="double" w:sz="4" w:space="0" w:color="auto"/>
            </w:tcBorders>
            <w:shd w:val="clear" w:color="auto" w:fill="auto"/>
          </w:tcPr>
          <w:p w14:paraId="7A3F3302"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Comorbidities (</w:t>
            </w:r>
            <w:r>
              <w:rPr>
                <w:rFonts w:ascii="Calibri" w:hAnsi="Calibri" w:cs="Calibri"/>
                <w:b/>
                <w:sz w:val="20"/>
                <w:szCs w:val="20"/>
              </w:rPr>
              <w:t xml:space="preserve">no. </w:t>
            </w:r>
            <w:r w:rsidRPr="00010EDA">
              <w:rPr>
                <w:rFonts w:ascii="Calibri" w:hAnsi="Calibri" w:cs="Calibri"/>
                <w:b/>
                <w:sz w:val="20"/>
                <w:szCs w:val="20"/>
              </w:rPr>
              <w:t>(%))</w:t>
            </w:r>
          </w:p>
          <w:p w14:paraId="6594CDA2" w14:textId="77777777" w:rsidR="00825C89" w:rsidRPr="00010EDA" w:rsidRDefault="00825C89" w:rsidP="00D47C29">
            <w:pPr>
              <w:pStyle w:val="ListParagraph"/>
              <w:numPr>
                <w:ilvl w:val="0"/>
                <w:numId w:val="5"/>
              </w:numPr>
              <w:spacing w:after="0" w:line="240" w:lineRule="auto"/>
              <w:rPr>
                <w:rFonts w:ascii="Calibri" w:hAnsi="Calibri" w:cs="Calibri"/>
                <w:sz w:val="20"/>
                <w:szCs w:val="20"/>
              </w:rPr>
            </w:pPr>
            <w:r w:rsidRPr="00010EDA">
              <w:rPr>
                <w:rFonts w:ascii="Calibri" w:hAnsi="Calibri" w:cs="Calibri"/>
                <w:sz w:val="20"/>
                <w:szCs w:val="20"/>
              </w:rPr>
              <w:t>Cardiac</w:t>
            </w:r>
          </w:p>
          <w:p w14:paraId="18A1AE13" w14:textId="77777777" w:rsidR="00825C89" w:rsidRPr="00010EDA" w:rsidRDefault="00825C89" w:rsidP="00D47C29">
            <w:pPr>
              <w:pStyle w:val="ListParagraph"/>
              <w:numPr>
                <w:ilvl w:val="0"/>
                <w:numId w:val="5"/>
              </w:numPr>
              <w:spacing w:after="0" w:line="240" w:lineRule="auto"/>
              <w:rPr>
                <w:rFonts w:ascii="Calibri" w:hAnsi="Calibri" w:cs="Calibri"/>
                <w:sz w:val="20"/>
                <w:szCs w:val="20"/>
              </w:rPr>
            </w:pPr>
            <w:r w:rsidRPr="00010EDA">
              <w:rPr>
                <w:rFonts w:ascii="Calibri" w:hAnsi="Calibri" w:cs="Calibri"/>
                <w:sz w:val="20"/>
                <w:szCs w:val="20"/>
              </w:rPr>
              <w:t>Hypertension</w:t>
            </w:r>
          </w:p>
          <w:p w14:paraId="0D9FC9CD" w14:textId="77777777" w:rsidR="00825C89" w:rsidRPr="00010EDA" w:rsidRDefault="00825C89" w:rsidP="00D47C29">
            <w:pPr>
              <w:pStyle w:val="ListParagraph"/>
              <w:numPr>
                <w:ilvl w:val="0"/>
                <w:numId w:val="5"/>
              </w:numPr>
              <w:spacing w:after="0" w:line="240" w:lineRule="auto"/>
              <w:rPr>
                <w:rFonts w:ascii="Calibri" w:hAnsi="Calibri" w:cs="Calibri"/>
                <w:sz w:val="20"/>
                <w:szCs w:val="20"/>
              </w:rPr>
            </w:pPr>
            <w:r w:rsidRPr="00010EDA">
              <w:rPr>
                <w:rFonts w:ascii="Calibri" w:hAnsi="Calibri" w:cs="Calibri"/>
                <w:sz w:val="20"/>
                <w:szCs w:val="20"/>
              </w:rPr>
              <w:t>Diabetes</w:t>
            </w:r>
          </w:p>
          <w:p w14:paraId="460D681B" w14:textId="77777777" w:rsidR="00825C89" w:rsidRPr="00010EDA" w:rsidRDefault="00825C89" w:rsidP="00D47C29">
            <w:pPr>
              <w:pStyle w:val="ListParagraph"/>
              <w:numPr>
                <w:ilvl w:val="0"/>
                <w:numId w:val="5"/>
              </w:numPr>
              <w:spacing w:after="0" w:line="240" w:lineRule="auto"/>
              <w:rPr>
                <w:rFonts w:ascii="Calibri" w:hAnsi="Calibri" w:cs="Calibri"/>
                <w:sz w:val="20"/>
                <w:szCs w:val="20"/>
              </w:rPr>
            </w:pPr>
            <w:r w:rsidRPr="00010EDA">
              <w:rPr>
                <w:rFonts w:ascii="Calibri" w:hAnsi="Calibri" w:cs="Calibri"/>
                <w:sz w:val="20"/>
                <w:szCs w:val="20"/>
              </w:rPr>
              <w:t>High Cholesterol</w:t>
            </w:r>
          </w:p>
        </w:tc>
        <w:tc>
          <w:tcPr>
            <w:tcW w:w="663" w:type="pct"/>
            <w:tcBorders>
              <w:left w:val="double" w:sz="4" w:space="0" w:color="auto"/>
              <w:right w:val="double" w:sz="4" w:space="0" w:color="auto"/>
            </w:tcBorders>
            <w:shd w:val="clear" w:color="auto" w:fill="auto"/>
          </w:tcPr>
          <w:p w14:paraId="0B5FBB37" w14:textId="77777777" w:rsidR="00825C89" w:rsidRPr="00010EDA" w:rsidRDefault="00825C89" w:rsidP="00D47C29">
            <w:pPr>
              <w:jc w:val="center"/>
              <w:rPr>
                <w:rFonts w:ascii="Calibri" w:hAnsi="Calibri" w:cs="Calibri"/>
                <w:sz w:val="20"/>
                <w:szCs w:val="20"/>
              </w:rPr>
            </w:pPr>
          </w:p>
          <w:p w14:paraId="729DD391"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21 (36.2)</w:t>
            </w:r>
          </w:p>
          <w:p w14:paraId="2BCA506C"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23 (39.7)</w:t>
            </w:r>
          </w:p>
          <w:p w14:paraId="0B7C04B2"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15 (25.9)</w:t>
            </w:r>
          </w:p>
          <w:p w14:paraId="2FCCE2C1"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12 (20.7)</w:t>
            </w:r>
          </w:p>
        </w:tc>
        <w:tc>
          <w:tcPr>
            <w:tcW w:w="700" w:type="pct"/>
            <w:tcBorders>
              <w:left w:val="double" w:sz="4" w:space="0" w:color="auto"/>
            </w:tcBorders>
            <w:shd w:val="clear" w:color="auto" w:fill="auto"/>
          </w:tcPr>
          <w:p w14:paraId="6223C188" w14:textId="77777777" w:rsidR="00825C89" w:rsidRPr="00010EDA" w:rsidRDefault="00825C89" w:rsidP="00D47C29">
            <w:pPr>
              <w:jc w:val="center"/>
              <w:rPr>
                <w:rFonts w:ascii="Calibri" w:hAnsi="Calibri" w:cs="Calibri"/>
                <w:sz w:val="20"/>
                <w:szCs w:val="20"/>
              </w:rPr>
            </w:pPr>
          </w:p>
          <w:p w14:paraId="10C459D2"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8 (32)</w:t>
            </w:r>
          </w:p>
          <w:p w14:paraId="57B697D7"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 (36)</w:t>
            </w:r>
          </w:p>
          <w:p w14:paraId="12EC090C"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7 (28)</w:t>
            </w:r>
          </w:p>
          <w:p w14:paraId="0423C118"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7 (28)</w:t>
            </w:r>
          </w:p>
        </w:tc>
        <w:tc>
          <w:tcPr>
            <w:tcW w:w="1171" w:type="pct"/>
            <w:shd w:val="clear" w:color="auto" w:fill="auto"/>
          </w:tcPr>
          <w:p w14:paraId="6AB35DE1" w14:textId="77777777" w:rsidR="00825C89" w:rsidRPr="00010EDA" w:rsidRDefault="00825C89" w:rsidP="00D47C29">
            <w:pPr>
              <w:jc w:val="center"/>
              <w:rPr>
                <w:rFonts w:ascii="Calibri" w:hAnsi="Calibri" w:cs="Calibri"/>
                <w:sz w:val="20"/>
                <w:szCs w:val="20"/>
              </w:rPr>
            </w:pPr>
          </w:p>
          <w:p w14:paraId="7E25685C"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13 (39.4)</w:t>
            </w:r>
          </w:p>
          <w:p w14:paraId="7C2199A3"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14 (42.4)</w:t>
            </w:r>
          </w:p>
          <w:p w14:paraId="30100B1C"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8 (24.2)</w:t>
            </w:r>
          </w:p>
          <w:p w14:paraId="7287059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5 (15.2)</w:t>
            </w:r>
          </w:p>
        </w:tc>
        <w:tc>
          <w:tcPr>
            <w:tcW w:w="763" w:type="pct"/>
            <w:shd w:val="clear" w:color="auto" w:fill="auto"/>
          </w:tcPr>
          <w:p w14:paraId="40EF4D13" w14:textId="77777777" w:rsidR="00825C89" w:rsidRPr="00010EDA" w:rsidRDefault="00825C89" w:rsidP="00D47C29">
            <w:pPr>
              <w:jc w:val="center"/>
              <w:rPr>
                <w:rFonts w:ascii="Calibri" w:hAnsi="Calibri" w:cs="Calibri"/>
                <w:sz w:val="20"/>
                <w:szCs w:val="20"/>
              </w:rPr>
            </w:pPr>
          </w:p>
          <w:p w14:paraId="376CA141"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0.56</w:t>
            </w:r>
          </w:p>
          <w:p w14:paraId="5D72FBC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0.62</w:t>
            </w:r>
          </w:p>
          <w:p w14:paraId="1F32C25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0.75</w:t>
            </w:r>
          </w:p>
          <w:p w14:paraId="795729EC"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0.23</w:t>
            </w:r>
          </w:p>
        </w:tc>
      </w:tr>
      <w:tr w:rsidR="00825C89" w:rsidRPr="00010EDA" w14:paraId="528F818B" w14:textId="77777777" w:rsidTr="00D47C29">
        <w:trPr>
          <w:trHeight w:val="1107"/>
        </w:trPr>
        <w:tc>
          <w:tcPr>
            <w:tcW w:w="1703" w:type="pct"/>
            <w:tcBorders>
              <w:right w:val="double" w:sz="4" w:space="0" w:color="auto"/>
            </w:tcBorders>
            <w:shd w:val="clear" w:color="auto" w:fill="auto"/>
            <w:vAlign w:val="center"/>
          </w:tcPr>
          <w:p w14:paraId="5C4DE513"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Prednisolone medication</w:t>
            </w:r>
          </w:p>
          <w:p w14:paraId="3359F80C"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w:t>
            </w:r>
            <w:r>
              <w:rPr>
                <w:rFonts w:ascii="Calibri" w:hAnsi="Calibri" w:cs="Calibri"/>
                <w:b/>
                <w:sz w:val="20"/>
                <w:szCs w:val="20"/>
              </w:rPr>
              <w:t xml:space="preserve">no. </w:t>
            </w:r>
            <w:r w:rsidRPr="00010EDA">
              <w:rPr>
                <w:rFonts w:ascii="Calibri" w:hAnsi="Calibri" w:cs="Calibri"/>
                <w:b/>
                <w:sz w:val="20"/>
                <w:szCs w:val="20"/>
              </w:rPr>
              <w:t>(%))</w:t>
            </w:r>
          </w:p>
          <w:p w14:paraId="1D8DBEA7" w14:textId="77777777" w:rsidR="00825C89" w:rsidRPr="00010EDA" w:rsidRDefault="00825C89" w:rsidP="00D47C29">
            <w:pPr>
              <w:pStyle w:val="ListParagraph"/>
              <w:numPr>
                <w:ilvl w:val="0"/>
                <w:numId w:val="9"/>
              </w:numPr>
              <w:spacing w:after="0" w:line="240" w:lineRule="auto"/>
              <w:rPr>
                <w:rFonts w:ascii="Calibri" w:hAnsi="Calibri" w:cs="Calibri"/>
                <w:sz w:val="20"/>
                <w:szCs w:val="20"/>
              </w:rPr>
            </w:pPr>
            <w:r w:rsidRPr="00010EDA">
              <w:rPr>
                <w:rFonts w:ascii="Calibri" w:hAnsi="Calibri" w:cs="Calibri"/>
                <w:sz w:val="20"/>
                <w:szCs w:val="20"/>
              </w:rPr>
              <w:t>&lt; 5mg</w:t>
            </w:r>
          </w:p>
          <w:p w14:paraId="61D7BB6C" w14:textId="77777777" w:rsidR="00825C89" w:rsidRPr="00010EDA" w:rsidRDefault="00825C89" w:rsidP="00D47C29">
            <w:pPr>
              <w:pStyle w:val="ListParagraph"/>
              <w:numPr>
                <w:ilvl w:val="0"/>
                <w:numId w:val="9"/>
              </w:numPr>
              <w:spacing w:after="0" w:line="240" w:lineRule="auto"/>
              <w:rPr>
                <w:rFonts w:ascii="Calibri" w:hAnsi="Calibri" w:cs="Calibri"/>
                <w:sz w:val="20"/>
                <w:szCs w:val="20"/>
              </w:rPr>
            </w:pPr>
            <w:r w:rsidRPr="00010EDA">
              <w:rPr>
                <w:rFonts w:ascii="Calibri" w:hAnsi="Calibri" w:cs="Calibri"/>
                <w:sz w:val="20"/>
                <w:szCs w:val="20"/>
              </w:rPr>
              <w:t>5-10 mg</w:t>
            </w:r>
          </w:p>
          <w:p w14:paraId="2C3E0543" w14:textId="77777777" w:rsidR="00825C89" w:rsidRPr="00010EDA" w:rsidRDefault="00825C89" w:rsidP="00D47C29">
            <w:pPr>
              <w:pStyle w:val="ListParagraph"/>
              <w:numPr>
                <w:ilvl w:val="0"/>
                <w:numId w:val="9"/>
              </w:numPr>
              <w:spacing w:after="0" w:line="240" w:lineRule="auto"/>
              <w:rPr>
                <w:rFonts w:ascii="Calibri" w:hAnsi="Calibri" w:cs="Calibri"/>
                <w:sz w:val="20"/>
                <w:szCs w:val="20"/>
              </w:rPr>
            </w:pPr>
            <w:r w:rsidRPr="00010EDA">
              <w:rPr>
                <w:rFonts w:ascii="Calibri" w:hAnsi="Calibri" w:cs="Calibri"/>
                <w:sz w:val="20"/>
                <w:szCs w:val="20"/>
              </w:rPr>
              <w:t>&gt;10 mg</w:t>
            </w:r>
          </w:p>
        </w:tc>
        <w:tc>
          <w:tcPr>
            <w:tcW w:w="663" w:type="pct"/>
            <w:tcBorders>
              <w:left w:val="double" w:sz="4" w:space="0" w:color="auto"/>
              <w:right w:val="double" w:sz="4" w:space="0" w:color="auto"/>
            </w:tcBorders>
            <w:shd w:val="clear" w:color="auto" w:fill="auto"/>
          </w:tcPr>
          <w:p w14:paraId="625CABD0" w14:textId="77777777" w:rsidR="00825C89" w:rsidRPr="00A24918" w:rsidRDefault="00825C89" w:rsidP="00D47C29">
            <w:pPr>
              <w:jc w:val="center"/>
              <w:rPr>
                <w:rFonts w:ascii="Calibri" w:hAnsi="Calibri" w:cs="Calibri"/>
                <w:sz w:val="20"/>
                <w:szCs w:val="20"/>
              </w:rPr>
            </w:pPr>
          </w:p>
          <w:p w14:paraId="1838278D" w14:textId="77777777" w:rsidR="00825C89" w:rsidRPr="00A24918" w:rsidRDefault="00825C89" w:rsidP="00D47C29">
            <w:pPr>
              <w:jc w:val="center"/>
              <w:rPr>
                <w:rFonts w:ascii="Calibri" w:hAnsi="Calibri" w:cs="Calibri"/>
                <w:sz w:val="20"/>
                <w:szCs w:val="20"/>
              </w:rPr>
            </w:pPr>
          </w:p>
          <w:p w14:paraId="3D520FA9" w14:textId="77777777" w:rsidR="00825C89" w:rsidRPr="00A24918" w:rsidRDefault="00825C89" w:rsidP="00D47C29">
            <w:pPr>
              <w:jc w:val="center"/>
              <w:rPr>
                <w:rFonts w:ascii="Calibri" w:hAnsi="Calibri" w:cs="Calibri"/>
                <w:sz w:val="20"/>
                <w:szCs w:val="20"/>
              </w:rPr>
            </w:pPr>
            <w:r w:rsidRPr="00A24918">
              <w:rPr>
                <w:rFonts w:ascii="Calibri" w:hAnsi="Calibri" w:cs="Calibri"/>
                <w:sz w:val="20"/>
                <w:szCs w:val="20"/>
              </w:rPr>
              <w:t>19 (32.8)</w:t>
            </w:r>
          </w:p>
          <w:p w14:paraId="102F8C28" w14:textId="77777777" w:rsidR="00825C89" w:rsidRPr="00A24918" w:rsidRDefault="00825C89" w:rsidP="00D47C29">
            <w:pPr>
              <w:jc w:val="center"/>
              <w:rPr>
                <w:rFonts w:ascii="Calibri" w:hAnsi="Calibri" w:cs="Calibri"/>
                <w:sz w:val="20"/>
                <w:szCs w:val="20"/>
              </w:rPr>
            </w:pPr>
            <w:r w:rsidRPr="00A24918">
              <w:rPr>
                <w:rFonts w:ascii="Calibri" w:hAnsi="Calibri" w:cs="Calibri"/>
                <w:sz w:val="20"/>
                <w:szCs w:val="20"/>
              </w:rPr>
              <w:t>19 (32.8)</w:t>
            </w:r>
          </w:p>
          <w:p w14:paraId="0B209222" w14:textId="77777777" w:rsidR="00825C89" w:rsidRPr="00A24918" w:rsidRDefault="00825C89" w:rsidP="00D47C29">
            <w:pPr>
              <w:jc w:val="center"/>
              <w:rPr>
                <w:rFonts w:ascii="Calibri" w:hAnsi="Calibri" w:cs="Calibri"/>
                <w:sz w:val="20"/>
                <w:szCs w:val="20"/>
              </w:rPr>
            </w:pPr>
            <w:r w:rsidRPr="00A24918">
              <w:rPr>
                <w:rFonts w:ascii="Calibri" w:hAnsi="Calibri" w:cs="Calibri"/>
                <w:sz w:val="20"/>
                <w:szCs w:val="20"/>
              </w:rPr>
              <w:t>3 (5.17)</w:t>
            </w:r>
          </w:p>
        </w:tc>
        <w:tc>
          <w:tcPr>
            <w:tcW w:w="700" w:type="pct"/>
            <w:tcBorders>
              <w:left w:val="double" w:sz="4" w:space="0" w:color="auto"/>
            </w:tcBorders>
            <w:shd w:val="clear" w:color="auto" w:fill="auto"/>
            <w:vAlign w:val="center"/>
          </w:tcPr>
          <w:p w14:paraId="7B92CD48" w14:textId="77777777" w:rsidR="00825C89" w:rsidRPr="00A24918" w:rsidRDefault="00825C89" w:rsidP="00D47C29">
            <w:pPr>
              <w:jc w:val="center"/>
              <w:rPr>
                <w:rFonts w:ascii="Calibri" w:hAnsi="Calibri" w:cs="Calibri"/>
                <w:sz w:val="20"/>
                <w:szCs w:val="20"/>
              </w:rPr>
            </w:pPr>
          </w:p>
          <w:p w14:paraId="49DA466E" w14:textId="77777777" w:rsidR="00825C89" w:rsidRPr="00A24918" w:rsidRDefault="00825C89" w:rsidP="00D47C29">
            <w:pPr>
              <w:jc w:val="center"/>
              <w:rPr>
                <w:rFonts w:ascii="Calibri" w:hAnsi="Calibri" w:cs="Calibri"/>
                <w:sz w:val="20"/>
                <w:szCs w:val="20"/>
              </w:rPr>
            </w:pPr>
          </w:p>
          <w:p w14:paraId="55CCCCCA" w14:textId="77777777" w:rsidR="00825C89" w:rsidRPr="00A24918" w:rsidRDefault="00825C89" w:rsidP="00D47C29">
            <w:pPr>
              <w:jc w:val="center"/>
              <w:rPr>
                <w:rFonts w:ascii="Calibri" w:hAnsi="Calibri" w:cs="Calibri"/>
                <w:sz w:val="20"/>
                <w:szCs w:val="20"/>
              </w:rPr>
            </w:pPr>
            <w:r w:rsidRPr="00A24918">
              <w:rPr>
                <w:rFonts w:ascii="Calibri" w:hAnsi="Calibri" w:cs="Calibri"/>
                <w:sz w:val="20"/>
                <w:szCs w:val="20"/>
              </w:rPr>
              <w:t>9 (36)</w:t>
            </w:r>
          </w:p>
          <w:p w14:paraId="2CD951A0" w14:textId="77777777" w:rsidR="00825C89" w:rsidRPr="00A24918" w:rsidRDefault="00825C89" w:rsidP="00D47C29">
            <w:pPr>
              <w:jc w:val="center"/>
              <w:rPr>
                <w:rFonts w:ascii="Calibri" w:hAnsi="Calibri" w:cs="Calibri"/>
                <w:sz w:val="20"/>
                <w:szCs w:val="20"/>
              </w:rPr>
            </w:pPr>
            <w:r w:rsidRPr="00A24918">
              <w:rPr>
                <w:rFonts w:ascii="Calibri" w:hAnsi="Calibri" w:cs="Calibri"/>
                <w:sz w:val="20"/>
                <w:szCs w:val="20"/>
              </w:rPr>
              <w:t>5 (20)</w:t>
            </w:r>
          </w:p>
          <w:p w14:paraId="281D44B6" w14:textId="77777777" w:rsidR="00825C89" w:rsidRPr="00A24918" w:rsidRDefault="00825C89" w:rsidP="00D47C29">
            <w:pPr>
              <w:jc w:val="center"/>
              <w:rPr>
                <w:rFonts w:ascii="Calibri" w:hAnsi="Calibri" w:cs="Calibri"/>
                <w:sz w:val="20"/>
                <w:szCs w:val="20"/>
              </w:rPr>
            </w:pPr>
            <w:r w:rsidRPr="00A24918">
              <w:rPr>
                <w:rFonts w:ascii="Calibri" w:hAnsi="Calibri" w:cs="Calibri"/>
                <w:sz w:val="20"/>
                <w:szCs w:val="20"/>
              </w:rPr>
              <w:t>2 (8)</w:t>
            </w:r>
          </w:p>
        </w:tc>
        <w:tc>
          <w:tcPr>
            <w:tcW w:w="1171" w:type="pct"/>
            <w:shd w:val="clear" w:color="auto" w:fill="auto"/>
            <w:vAlign w:val="center"/>
          </w:tcPr>
          <w:p w14:paraId="05E1CEF1" w14:textId="77777777" w:rsidR="00825C89" w:rsidRPr="00A24918" w:rsidRDefault="00825C89" w:rsidP="00D47C29">
            <w:pPr>
              <w:jc w:val="center"/>
              <w:rPr>
                <w:rFonts w:ascii="Calibri" w:hAnsi="Calibri" w:cs="Calibri"/>
                <w:sz w:val="20"/>
                <w:szCs w:val="20"/>
              </w:rPr>
            </w:pPr>
          </w:p>
          <w:p w14:paraId="42CC9857" w14:textId="77777777" w:rsidR="00825C89" w:rsidRPr="00A24918" w:rsidRDefault="00825C89" w:rsidP="00D47C29">
            <w:pPr>
              <w:jc w:val="center"/>
              <w:rPr>
                <w:rFonts w:ascii="Calibri" w:hAnsi="Calibri" w:cs="Calibri"/>
                <w:sz w:val="20"/>
                <w:szCs w:val="20"/>
              </w:rPr>
            </w:pPr>
          </w:p>
          <w:p w14:paraId="3DFD2290" w14:textId="77777777" w:rsidR="00825C89" w:rsidRPr="00A24918" w:rsidRDefault="00825C89" w:rsidP="00D47C29">
            <w:pPr>
              <w:jc w:val="center"/>
              <w:rPr>
                <w:rFonts w:ascii="Calibri" w:hAnsi="Calibri" w:cs="Calibri"/>
                <w:sz w:val="20"/>
                <w:szCs w:val="20"/>
              </w:rPr>
            </w:pPr>
            <w:r w:rsidRPr="00A24918">
              <w:rPr>
                <w:rFonts w:ascii="Calibri" w:hAnsi="Calibri" w:cs="Calibri"/>
                <w:sz w:val="20"/>
                <w:szCs w:val="20"/>
              </w:rPr>
              <w:t>10 (30.3)</w:t>
            </w:r>
          </w:p>
          <w:p w14:paraId="3323C9CD" w14:textId="77777777" w:rsidR="00825C89" w:rsidRPr="00A24918" w:rsidRDefault="00825C89" w:rsidP="00D47C29">
            <w:pPr>
              <w:jc w:val="center"/>
              <w:rPr>
                <w:rFonts w:ascii="Calibri" w:hAnsi="Calibri" w:cs="Calibri"/>
                <w:sz w:val="20"/>
                <w:szCs w:val="20"/>
              </w:rPr>
            </w:pPr>
            <w:r w:rsidRPr="00A24918">
              <w:rPr>
                <w:rFonts w:ascii="Calibri" w:hAnsi="Calibri" w:cs="Calibri"/>
                <w:sz w:val="20"/>
                <w:szCs w:val="20"/>
              </w:rPr>
              <w:t>14 (42.4)</w:t>
            </w:r>
          </w:p>
          <w:p w14:paraId="7F018EFE" w14:textId="77777777" w:rsidR="00825C89" w:rsidRPr="00A24918" w:rsidRDefault="00825C89" w:rsidP="00D47C29">
            <w:pPr>
              <w:jc w:val="center"/>
              <w:rPr>
                <w:rFonts w:ascii="Calibri" w:hAnsi="Calibri" w:cs="Calibri"/>
                <w:sz w:val="20"/>
                <w:szCs w:val="20"/>
              </w:rPr>
            </w:pPr>
            <w:r w:rsidRPr="00A24918">
              <w:rPr>
                <w:rFonts w:ascii="Calibri" w:hAnsi="Calibri" w:cs="Calibri"/>
                <w:sz w:val="20"/>
                <w:szCs w:val="20"/>
              </w:rPr>
              <w:t>1 (3)</w:t>
            </w:r>
          </w:p>
        </w:tc>
        <w:tc>
          <w:tcPr>
            <w:tcW w:w="763" w:type="pct"/>
            <w:shd w:val="clear" w:color="auto" w:fill="auto"/>
          </w:tcPr>
          <w:p w14:paraId="79D79816" w14:textId="77777777" w:rsidR="00825C89" w:rsidRPr="00010EDA" w:rsidRDefault="00825C89" w:rsidP="00D47C29">
            <w:pPr>
              <w:jc w:val="center"/>
              <w:rPr>
                <w:rFonts w:ascii="Calibri" w:hAnsi="Calibri" w:cs="Calibri"/>
                <w:sz w:val="20"/>
                <w:szCs w:val="20"/>
              </w:rPr>
            </w:pPr>
          </w:p>
          <w:p w14:paraId="5EF280E5" w14:textId="77777777" w:rsidR="00825C89" w:rsidRPr="00010EDA" w:rsidRDefault="00825C89" w:rsidP="00D47C29">
            <w:pPr>
              <w:jc w:val="center"/>
              <w:rPr>
                <w:rFonts w:ascii="Calibri" w:hAnsi="Calibri" w:cs="Calibri"/>
                <w:sz w:val="20"/>
                <w:szCs w:val="20"/>
              </w:rPr>
            </w:pPr>
          </w:p>
          <w:p w14:paraId="1847C99B" w14:textId="77777777" w:rsidR="00825C89" w:rsidRPr="00A24918" w:rsidRDefault="00825C89" w:rsidP="00D47C29">
            <w:pPr>
              <w:jc w:val="center"/>
              <w:rPr>
                <w:rFonts w:ascii="Calibri" w:hAnsi="Calibri" w:cs="Calibri"/>
                <w:sz w:val="20"/>
                <w:szCs w:val="20"/>
                <w:vertAlign w:val="superscript"/>
              </w:rPr>
            </w:pPr>
            <w:r w:rsidRPr="00010EDA">
              <w:rPr>
                <w:rFonts w:ascii="Calibri" w:hAnsi="Calibri" w:cs="Calibri"/>
                <w:sz w:val="20"/>
                <w:szCs w:val="20"/>
              </w:rPr>
              <w:t>0.34</w:t>
            </w:r>
            <w:r>
              <w:rPr>
                <w:rFonts w:ascii="Cambria Math" w:hAnsi="Cambria Math" w:cs="Calibri"/>
                <w:sz w:val="20"/>
                <w:szCs w:val="20"/>
                <w:vertAlign w:val="superscript"/>
              </w:rPr>
              <w:t>§</w:t>
            </w:r>
          </w:p>
          <w:p w14:paraId="150DEED1" w14:textId="77777777" w:rsidR="00825C89" w:rsidRPr="00010EDA" w:rsidRDefault="00825C89" w:rsidP="00D47C29">
            <w:pPr>
              <w:jc w:val="center"/>
              <w:rPr>
                <w:rFonts w:ascii="Calibri" w:hAnsi="Calibri" w:cs="Calibri"/>
                <w:sz w:val="20"/>
                <w:szCs w:val="20"/>
              </w:rPr>
            </w:pPr>
          </w:p>
        </w:tc>
      </w:tr>
      <w:tr w:rsidR="00825C89" w:rsidRPr="00010EDA" w14:paraId="796AFCED" w14:textId="77777777" w:rsidTr="00D47C29">
        <w:trPr>
          <w:trHeight w:val="2130"/>
        </w:trPr>
        <w:tc>
          <w:tcPr>
            <w:tcW w:w="1703" w:type="pct"/>
            <w:tcBorders>
              <w:right w:val="double" w:sz="4" w:space="0" w:color="auto"/>
            </w:tcBorders>
            <w:shd w:val="clear" w:color="auto" w:fill="auto"/>
            <w:vAlign w:val="center"/>
          </w:tcPr>
          <w:p w14:paraId="6669A57C"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lastRenderedPageBreak/>
              <w:t>Smoking status (</w:t>
            </w:r>
            <w:r>
              <w:rPr>
                <w:rFonts w:ascii="Calibri" w:hAnsi="Calibri" w:cs="Calibri"/>
                <w:b/>
                <w:sz w:val="20"/>
                <w:szCs w:val="20"/>
              </w:rPr>
              <w:t>no.</w:t>
            </w:r>
            <w:r w:rsidRPr="00010EDA">
              <w:rPr>
                <w:rFonts w:ascii="Calibri" w:hAnsi="Calibri" w:cs="Calibri"/>
                <w:b/>
                <w:sz w:val="20"/>
                <w:szCs w:val="20"/>
              </w:rPr>
              <w:t xml:space="preserve"> (%))</w:t>
            </w:r>
          </w:p>
          <w:p w14:paraId="7DFE66C7" w14:textId="77777777" w:rsidR="00825C89" w:rsidRPr="00010EDA" w:rsidRDefault="00825C89" w:rsidP="00D47C29">
            <w:pPr>
              <w:pStyle w:val="ListParagraph"/>
              <w:numPr>
                <w:ilvl w:val="0"/>
                <w:numId w:val="8"/>
              </w:numPr>
              <w:spacing w:after="0" w:line="240" w:lineRule="auto"/>
              <w:rPr>
                <w:rFonts w:ascii="Calibri" w:hAnsi="Calibri" w:cs="Calibri"/>
                <w:sz w:val="20"/>
                <w:szCs w:val="20"/>
              </w:rPr>
            </w:pPr>
            <w:r w:rsidRPr="00010EDA">
              <w:rPr>
                <w:rFonts w:ascii="Calibri" w:hAnsi="Calibri" w:cs="Calibri"/>
                <w:sz w:val="20"/>
                <w:szCs w:val="20"/>
              </w:rPr>
              <w:t>Current smoker</w:t>
            </w:r>
          </w:p>
          <w:p w14:paraId="23B9CD3E" w14:textId="77777777" w:rsidR="00825C89" w:rsidRPr="00010EDA" w:rsidRDefault="00825C89" w:rsidP="00D47C29">
            <w:pPr>
              <w:pStyle w:val="ListParagraph"/>
              <w:numPr>
                <w:ilvl w:val="0"/>
                <w:numId w:val="8"/>
              </w:numPr>
              <w:spacing w:after="0" w:line="240" w:lineRule="auto"/>
              <w:rPr>
                <w:rFonts w:ascii="Calibri" w:hAnsi="Calibri" w:cs="Calibri"/>
                <w:sz w:val="20"/>
                <w:szCs w:val="20"/>
              </w:rPr>
            </w:pPr>
            <w:r w:rsidRPr="00010EDA">
              <w:rPr>
                <w:rFonts w:ascii="Calibri" w:hAnsi="Calibri" w:cs="Calibri"/>
                <w:sz w:val="20"/>
                <w:szCs w:val="20"/>
              </w:rPr>
              <w:t>Former smoker</w:t>
            </w:r>
          </w:p>
          <w:p w14:paraId="2A037B32" w14:textId="77777777" w:rsidR="00825C89" w:rsidRPr="00010EDA" w:rsidRDefault="00825C89" w:rsidP="00D47C29">
            <w:pPr>
              <w:pStyle w:val="ListParagraph"/>
              <w:numPr>
                <w:ilvl w:val="0"/>
                <w:numId w:val="8"/>
              </w:numPr>
              <w:spacing w:after="0" w:line="240" w:lineRule="auto"/>
              <w:rPr>
                <w:rFonts w:ascii="Calibri" w:hAnsi="Calibri" w:cs="Calibri"/>
                <w:sz w:val="20"/>
                <w:szCs w:val="20"/>
              </w:rPr>
            </w:pPr>
            <w:r w:rsidRPr="00010EDA">
              <w:rPr>
                <w:rFonts w:ascii="Calibri" w:hAnsi="Calibri" w:cs="Calibri"/>
                <w:sz w:val="20"/>
                <w:szCs w:val="20"/>
              </w:rPr>
              <w:t>Never smoked</w:t>
            </w:r>
          </w:p>
          <w:p w14:paraId="629A056E" w14:textId="77777777" w:rsidR="00825C89" w:rsidRPr="00010EDA" w:rsidRDefault="00825C89" w:rsidP="00D47C29">
            <w:pPr>
              <w:pStyle w:val="ListParagraph"/>
              <w:numPr>
                <w:ilvl w:val="0"/>
                <w:numId w:val="8"/>
              </w:numPr>
              <w:spacing w:after="0" w:line="240" w:lineRule="auto"/>
              <w:rPr>
                <w:rFonts w:ascii="Calibri" w:hAnsi="Calibri" w:cs="Calibri"/>
                <w:sz w:val="20"/>
                <w:szCs w:val="20"/>
              </w:rPr>
            </w:pPr>
            <w:r w:rsidRPr="00010EDA">
              <w:rPr>
                <w:rFonts w:ascii="Calibri" w:hAnsi="Calibri" w:cs="Calibri"/>
                <w:sz w:val="20"/>
                <w:szCs w:val="20"/>
              </w:rPr>
              <w:t>Missing records</w:t>
            </w:r>
          </w:p>
        </w:tc>
        <w:tc>
          <w:tcPr>
            <w:tcW w:w="663" w:type="pct"/>
            <w:tcBorders>
              <w:left w:val="double" w:sz="4" w:space="0" w:color="auto"/>
              <w:right w:val="double" w:sz="4" w:space="0" w:color="auto"/>
            </w:tcBorders>
            <w:shd w:val="clear" w:color="auto" w:fill="auto"/>
          </w:tcPr>
          <w:p w14:paraId="49CF25C0" w14:textId="77777777" w:rsidR="00825C89" w:rsidRPr="00010EDA" w:rsidRDefault="00825C89" w:rsidP="00D47C29">
            <w:pPr>
              <w:jc w:val="center"/>
              <w:rPr>
                <w:rFonts w:ascii="Calibri" w:hAnsi="Calibri" w:cs="Calibri"/>
                <w:sz w:val="20"/>
                <w:szCs w:val="20"/>
              </w:rPr>
            </w:pPr>
          </w:p>
          <w:p w14:paraId="2AE819F5"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13 (22.4)</w:t>
            </w:r>
          </w:p>
          <w:p w14:paraId="2538925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 (15.5)</w:t>
            </w:r>
          </w:p>
          <w:p w14:paraId="0653C2C5"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33 (56.9)</w:t>
            </w:r>
          </w:p>
          <w:p w14:paraId="5663AFE5"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3</w:t>
            </w:r>
          </w:p>
        </w:tc>
        <w:tc>
          <w:tcPr>
            <w:tcW w:w="700" w:type="pct"/>
            <w:tcBorders>
              <w:left w:val="double" w:sz="4" w:space="0" w:color="auto"/>
            </w:tcBorders>
            <w:shd w:val="clear" w:color="auto" w:fill="auto"/>
          </w:tcPr>
          <w:p w14:paraId="495FC419" w14:textId="77777777" w:rsidR="00825C89" w:rsidRPr="00010EDA" w:rsidRDefault="00825C89" w:rsidP="00D47C29">
            <w:pPr>
              <w:jc w:val="center"/>
              <w:rPr>
                <w:rFonts w:ascii="Calibri" w:hAnsi="Calibri" w:cs="Calibri"/>
                <w:sz w:val="20"/>
                <w:szCs w:val="20"/>
              </w:rPr>
            </w:pPr>
          </w:p>
          <w:p w14:paraId="79F2E01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5 (20)</w:t>
            </w:r>
          </w:p>
          <w:p w14:paraId="758C2A4C"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6 (24)</w:t>
            </w:r>
          </w:p>
          <w:p w14:paraId="1D3F9255"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13 (52)</w:t>
            </w:r>
          </w:p>
          <w:p w14:paraId="2ADD8FF0"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w:t>
            </w:r>
          </w:p>
        </w:tc>
        <w:tc>
          <w:tcPr>
            <w:tcW w:w="1171" w:type="pct"/>
            <w:shd w:val="clear" w:color="auto" w:fill="auto"/>
          </w:tcPr>
          <w:p w14:paraId="10E7A17D" w14:textId="77777777" w:rsidR="00825C89" w:rsidRPr="00010EDA" w:rsidRDefault="00825C89" w:rsidP="00D47C29">
            <w:pPr>
              <w:jc w:val="center"/>
              <w:rPr>
                <w:rFonts w:ascii="Calibri" w:hAnsi="Calibri" w:cs="Calibri"/>
                <w:sz w:val="20"/>
                <w:szCs w:val="20"/>
              </w:rPr>
            </w:pPr>
          </w:p>
          <w:p w14:paraId="212AEDD6"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8 (24.2)</w:t>
            </w:r>
          </w:p>
          <w:p w14:paraId="06F2F1C7"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3 (9.1)</w:t>
            </w:r>
          </w:p>
          <w:p w14:paraId="31321A43"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20 (60.6)</w:t>
            </w:r>
          </w:p>
          <w:p w14:paraId="6A26544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w:t>
            </w:r>
          </w:p>
        </w:tc>
        <w:tc>
          <w:tcPr>
            <w:tcW w:w="763" w:type="pct"/>
            <w:shd w:val="clear" w:color="auto" w:fill="auto"/>
          </w:tcPr>
          <w:p w14:paraId="5B7D179D" w14:textId="77777777" w:rsidR="00825C89" w:rsidRDefault="00825C89" w:rsidP="00D47C29">
            <w:pPr>
              <w:jc w:val="center"/>
              <w:rPr>
                <w:rFonts w:ascii="Calibri" w:hAnsi="Calibri" w:cs="Calibri"/>
                <w:sz w:val="20"/>
                <w:szCs w:val="20"/>
              </w:rPr>
            </w:pPr>
          </w:p>
          <w:p w14:paraId="68FFD5B9" w14:textId="77777777" w:rsidR="00825C89" w:rsidRDefault="00825C89" w:rsidP="00D47C29">
            <w:pPr>
              <w:jc w:val="center"/>
              <w:rPr>
                <w:rFonts w:ascii="Calibri" w:hAnsi="Calibri" w:cs="Calibri"/>
                <w:sz w:val="20"/>
                <w:szCs w:val="20"/>
              </w:rPr>
            </w:pPr>
          </w:p>
          <w:p w14:paraId="39B7056E" w14:textId="77777777" w:rsidR="00825C89" w:rsidRPr="00A24918" w:rsidRDefault="00825C89" w:rsidP="00D47C29">
            <w:pPr>
              <w:jc w:val="center"/>
              <w:rPr>
                <w:rFonts w:ascii="Calibri" w:hAnsi="Calibri" w:cs="Calibri"/>
                <w:sz w:val="20"/>
                <w:szCs w:val="20"/>
                <w:vertAlign w:val="superscript"/>
              </w:rPr>
            </w:pPr>
            <w:r w:rsidRPr="00010EDA">
              <w:rPr>
                <w:rFonts w:ascii="Calibri" w:hAnsi="Calibri" w:cs="Calibri"/>
                <w:sz w:val="20"/>
                <w:szCs w:val="20"/>
              </w:rPr>
              <w:t>0.31</w:t>
            </w:r>
            <w:r>
              <w:rPr>
                <w:rFonts w:ascii="Cambria Math" w:hAnsi="Cambria Math" w:cs="Calibri"/>
                <w:sz w:val="20"/>
                <w:szCs w:val="20"/>
                <w:vertAlign w:val="superscript"/>
              </w:rPr>
              <w:t>§</w:t>
            </w:r>
          </w:p>
          <w:p w14:paraId="3D582407" w14:textId="77777777" w:rsidR="00825C89" w:rsidRPr="00010EDA" w:rsidRDefault="00825C89" w:rsidP="00D47C29">
            <w:pPr>
              <w:jc w:val="center"/>
              <w:rPr>
                <w:rFonts w:ascii="Calibri" w:hAnsi="Calibri" w:cs="Calibri"/>
                <w:sz w:val="20"/>
                <w:szCs w:val="20"/>
              </w:rPr>
            </w:pPr>
          </w:p>
        </w:tc>
      </w:tr>
      <w:tr w:rsidR="00825C89" w:rsidRPr="00010EDA" w14:paraId="7860A110" w14:textId="77777777" w:rsidTr="00D47C29">
        <w:trPr>
          <w:trHeight w:val="424"/>
        </w:trPr>
        <w:tc>
          <w:tcPr>
            <w:tcW w:w="1703" w:type="pct"/>
            <w:tcBorders>
              <w:right w:val="double" w:sz="4" w:space="0" w:color="auto"/>
            </w:tcBorders>
            <w:shd w:val="clear" w:color="auto" w:fill="auto"/>
            <w:vAlign w:val="center"/>
          </w:tcPr>
          <w:p w14:paraId="18760EE1"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Pack year history</w:t>
            </w:r>
          </w:p>
        </w:tc>
        <w:tc>
          <w:tcPr>
            <w:tcW w:w="663" w:type="pct"/>
            <w:tcBorders>
              <w:left w:val="double" w:sz="4" w:space="0" w:color="auto"/>
              <w:right w:val="double" w:sz="4" w:space="0" w:color="auto"/>
            </w:tcBorders>
            <w:shd w:val="clear" w:color="auto" w:fill="auto"/>
          </w:tcPr>
          <w:p w14:paraId="04258E1B"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8.9 (15.9)</w:t>
            </w:r>
          </w:p>
        </w:tc>
        <w:tc>
          <w:tcPr>
            <w:tcW w:w="700" w:type="pct"/>
            <w:tcBorders>
              <w:left w:val="double" w:sz="4" w:space="0" w:color="auto"/>
            </w:tcBorders>
            <w:shd w:val="clear" w:color="auto" w:fill="auto"/>
            <w:vAlign w:val="center"/>
          </w:tcPr>
          <w:p w14:paraId="2FC9566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10.7 (16.5)</w:t>
            </w:r>
          </w:p>
        </w:tc>
        <w:tc>
          <w:tcPr>
            <w:tcW w:w="1171" w:type="pct"/>
            <w:shd w:val="clear" w:color="auto" w:fill="auto"/>
            <w:vAlign w:val="center"/>
          </w:tcPr>
          <w:p w14:paraId="5A04C140"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7.4 (15.6)</w:t>
            </w:r>
          </w:p>
        </w:tc>
        <w:tc>
          <w:tcPr>
            <w:tcW w:w="763" w:type="pct"/>
            <w:shd w:val="clear" w:color="auto" w:fill="auto"/>
          </w:tcPr>
          <w:p w14:paraId="03769C8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0.50</w:t>
            </w:r>
          </w:p>
        </w:tc>
      </w:tr>
      <w:tr w:rsidR="00825C89" w:rsidRPr="00010EDA" w14:paraId="1715FB31" w14:textId="77777777" w:rsidTr="00D47C29">
        <w:trPr>
          <w:trHeight w:val="424"/>
        </w:trPr>
        <w:tc>
          <w:tcPr>
            <w:tcW w:w="1703" w:type="pct"/>
            <w:tcBorders>
              <w:right w:val="double" w:sz="4" w:space="0" w:color="auto"/>
            </w:tcBorders>
            <w:shd w:val="clear" w:color="auto" w:fill="auto"/>
            <w:vAlign w:val="center"/>
          </w:tcPr>
          <w:p w14:paraId="2E0FECD5" w14:textId="77777777" w:rsidR="00825C89" w:rsidRPr="00010EDA" w:rsidRDefault="00825C89" w:rsidP="00D47C29">
            <w:pPr>
              <w:rPr>
                <w:rFonts w:ascii="Calibri" w:hAnsi="Calibri" w:cs="Calibri"/>
                <w:sz w:val="20"/>
                <w:szCs w:val="20"/>
              </w:rPr>
            </w:pPr>
            <w:r w:rsidRPr="00010EDA">
              <w:rPr>
                <w:rFonts w:ascii="Calibri" w:hAnsi="Calibri" w:cs="Calibri"/>
                <w:sz w:val="20"/>
                <w:szCs w:val="20"/>
              </w:rPr>
              <w:t>Median/IQR interval</w:t>
            </w:r>
          </w:p>
        </w:tc>
        <w:tc>
          <w:tcPr>
            <w:tcW w:w="663" w:type="pct"/>
            <w:tcBorders>
              <w:left w:val="double" w:sz="4" w:space="0" w:color="auto"/>
              <w:right w:val="double" w:sz="4" w:space="0" w:color="auto"/>
            </w:tcBorders>
            <w:shd w:val="clear" w:color="auto" w:fill="auto"/>
          </w:tcPr>
          <w:p w14:paraId="33FD7156"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0(0, 10)</w:t>
            </w:r>
          </w:p>
        </w:tc>
        <w:tc>
          <w:tcPr>
            <w:tcW w:w="700" w:type="pct"/>
            <w:tcBorders>
              <w:left w:val="double" w:sz="4" w:space="0" w:color="auto"/>
            </w:tcBorders>
            <w:shd w:val="clear" w:color="auto" w:fill="auto"/>
            <w:vAlign w:val="center"/>
          </w:tcPr>
          <w:p w14:paraId="1CF1AE6F"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0(0, 20)</w:t>
            </w:r>
          </w:p>
        </w:tc>
        <w:tc>
          <w:tcPr>
            <w:tcW w:w="1171" w:type="pct"/>
            <w:shd w:val="clear" w:color="auto" w:fill="auto"/>
            <w:vAlign w:val="center"/>
          </w:tcPr>
          <w:p w14:paraId="7EBDA905"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0(0, 4.5)</w:t>
            </w:r>
          </w:p>
        </w:tc>
        <w:tc>
          <w:tcPr>
            <w:tcW w:w="763" w:type="pct"/>
            <w:shd w:val="clear" w:color="auto" w:fill="auto"/>
          </w:tcPr>
          <w:p w14:paraId="4D0A16B5" w14:textId="77777777" w:rsidR="00825C89" w:rsidRPr="00010EDA" w:rsidRDefault="00825C89" w:rsidP="00D47C29">
            <w:pPr>
              <w:jc w:val="center"/>
              <w:rPr>
                <w:rFonts w:ascii="Calibri" w:hAnsi="Calibri" w:cs="Calibri"/>
                <w:sz w:val="20"/>
                <w:szCs w:val="20"/>
              </w:rPr>
            </w:pPr>
          </w:p>
        </w:tc>
      </w:tr>
      <w:tr w:rsidR="00825C89" w:rsidRPr="00010EDA" w14:paraId="1BFFBD81" w14:textId="77777777" w:rsidTr="00D47C29">
        <w:trPr>
          <w:trHeight w:val="424"/>
        </w:trPr>
        <w:tc>
          <w:tcPr>
            <w:tcW w:w="1703" w:type="pct"/>
            <w:tcBorders>
              <w:right w:val="double" w:sz="4" w:space="0" w:color="auto"/>
            </w:tcBorders>
            <w:shd w:val="clear" w:color="auto" w:fill="auto"/>
            <w:vAlign w:val="center"/>
          </w:tcPr>
          <w:p w14:paraId="41524DAF" w14:textId="77777777" w:rsidR="00825C89" w:rsidRPr="00010EDA" w:rsidRDefault="00825C89" w:rsidP="00D47C29">
            <w:pPr>
              <w:rPr>
                <w:rFonts w:ascii="Calibri" w:hAnsi="Calibri" w:cs="Calibri"/>
                <w:sz w:val="20"/>
                <w:szCs w:val="20"/>
              </w:rPr>
            </w:pPr>
            <w:r w:rsidRPr="00010EDA">
              <w:rPr>
                <w:rFonts w:ascii="Calibri" w:hAnsi="Calibri" w:cs="Calibri"/>
                <w:sz w:val="20"/>
                <w:szCs w:val="20"/>
              </w:rPr>
              <w:t>Missing</w:t>
            </w:r>
          </w:p>
        </w:tc>
        <w:tc>
          <w:tcPr>
            <w:tcW w:w="663" w:type="pct"/>
            <w:tcBorders>
              <w:left w:val="double" w:sz="4" w:space="0" w:color="auto"/>
              <w:right w:val="double" w:sz="4" w:space="0" w:color="auto"/>
            </w:tcBorders>
            <w:shd w:val="clear" w:color="auto" w:fill="auto"/>
          </w:tcPr>
          <w:p w14:paraId="0D7B05F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7</w:t>
            </w:r>
          </w:p>
        </w:tc>
        <w:tc>
          <w:tcPr>
            <w:tcW w:w="700" w:type="pct"/>
            <w:tcBorders>
              <w:left w:val="double" w:sz="4" w:space="0" w:color="auto"/>
            </w:tcBorders>
            <w:shd w:val="clear" w:color="auto" w:fill="auto"/>
            <w:vAlign w:val="center"/>
          </w:tcPr>
          <w:p w14:paraId="43A0DB4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3</w:t>
            </w:r>
          </w:p>
        </w:tc>
        <w:tc>
          <w:tcPr>
            <w:tcW w:w="1171" w:type="pct"/>
            <w:shd w:val="clear" w:color="auto" w:fill="auto"/>
            <w:vAlign w:val="center"/>
          </w:tcPr>
          <w:p w14:paraId="0D09FB82"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5</w:t>
            </w:r>
          </w:p>
        </w:tc>
        <w:tc>
          <w:tcPr>
            <w:tcW w:w="763" w:type="pct"/>
            <w:shd w:val="clear" w:color="auto" w:fill="auto"/>
          </w:tcPr>
          <w:p w14:paraId="5302583B" w14:textId="77777777" w:rsidR="00825C89" w:rsidRPr="00010EDA" w:rsidRDefault="00825C89" w:rsidP="00D47C29">
            <w:pPr>
              <w:jc w:val="center"/>
              <w:rPr>
                <w:rFonts w:ascii="Calibri" w:hAnsi="Calibri" w:cs="Calibri"/>
                <w:sz w:val="20"/>
                <w:szCs w:val="20"/>
              </w:rPr>
            </w:pPr>
          </w:p>
        </w:tc>
      </w:tr>
      <w:tr w:rsidR="00825C89" w:rsidRPr="00010EDA" w14:paraId="2A9419C9" w14:textId="77777777" w:rsidTr="00D47C29">
        <w:trPr>
          <w:trHeight w:val="671"/>
        </w:trPr>
        <w:tc>
          <w:tcPr>
            <w:tcW w:w="1703" w:type="pct"/>
            <w:tcBorders>
              <w:right w:val="double" w:sz="4" w:space="0" w:color="auto"/>
            </w:tcBorders>
            <w:shd w:val="clear" w:color="auto" w:fill="auto"/>
            <w:vAlign w:val="center"/>
          </w:tcPr>
          <w:p w14:paraId="3D15D12F"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6MWD (m)</w:t>
            </w:r>
          </w:p>
        </w:tc>
        <w:tc>
          <w:tcPr>
            <w:tcW w:w="663" w:type="pct"/>
            <w:tcBorders>
              <w:left w:val="double" w:sz="4" w:space="0" w:color="auto"/>
              <w:right w:val="double" w:sz="4" w:space="0" w:color="auto"/>
            </w:tcBorders>
            <w:shd w:val="clear" w:color="auto" w:fill="auto"/>
          </w:tcPr>
          <w:p w14:paraId="0906D151"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371.7 (122.2)</w:t>
            </w:r>
          </w:p>
        </w:tc>
        <w:tc>
          <w:tcPr>
            <w:tcW w:w="700" w:type="pct"/>
            <w:tcBorders>
              <w:left w:val="double" w:sz="4" w:space="0" w:color="auto"/>
            </w:tcBorders>
            <w:shd w:val="clear" w:color="auto" w:fill="auto"/>
            <w:vAlign w:val="center"/>
          </w:tcPr>
          <w:p w14:paraId="6598D0B6"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380.8 (139.8)</w:t>
            </w:r>
          </w:p>
        </w:tc>
        <w:tc>
          <w:tcPr>
            <w:tcW w:w="1171" w:type="pct"/>
            <w:shd w:val="clear" w:color="auto" w:fill="auto"/>
            <w:vAlign w:val="center"/>
          </w:tcPr>
          <w:p w14:paraId="328BD07A"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364.6 (108.3)</w:t>
            </w:r>
          </w:p>
        </w:tc>
        <w:tc>
          <w:tcPr>
            <w:tcW w:w="763" w:type="pct"/>
            <w:shd w:val="clear" w:color="auto" w:fill="auto"/>
          </w:tcPr>
          <w:p w14:paraId="38C9A38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0.65</w:t>
            </w:r>
          </w:p>
        </w:tc>
      </w:tr>
      <w:tr w:rsidR="00825C89" w:rsidRPr="00010EDA" w14:paraId="3905B9C4" w14:textId="77777777" w:rsidTr="00D47C29">
        <w:trPr>
          <w:trHeight w:val="424"/>
        </w:trPr>
        <w:tc>
          <w:tcPr>
            <w:tcW w:w="1703" w:type="pct"/>
            <w:tcBorders>
              <w:right w:val="double" w:sz="4" w:space="0" w:color="auto"/>
            </w:tcBorders>
            <w:shd w:val="clear" w:color="auto" w:fill="auto"/>
            <w:vAlign w:val="center"/>
          </w:tcPr>
          <w:p w14:paraId="0EAE0B64" w14:textId="77777777" w:rsidR="00825C89" w:rsidRPr="00010EDA" w:rsidRDefault="00825C89" w:rsidP="00D47C29">
            <w:pPr>
              <w:rPr>
                <w:rFonts w:ascii="Calibri" w:hAnsi="Calibri" w:cs="Calibri"/>
                <w:sz w:val="20"/>
                <w:szCs w:val="20"/>
              </w:rPr>
            </w:pPr>
            <w:r>
              <w:rPr>
                <w:rFonts w:ascii="Calibri" w:hAnsi="Calibri" w:cs="Calibri"/>
                <w:sz w:val="20"/>
                <w:szCs w:val="20"/>
              </w:rPr>
              <w:t xml:space="preserve">6MWD </w:t>
            </w:r>
            <w:r w:rsidRPr="00010EDA">
              <w:rPr>
                <w:rFonts w:ascii="Calibri" w:hAnsi="Calibri" w:cs="Calibri"/>
                <w:sz w:val="20"/>
                <w:szCs w:val="20"/>
              </w:rPr>
              <w:t>Missing</w:t>
            </w:r>
          </w:p>
        </w:tc>
        <w:tc>
          <w:tcPr>
            <w:tcW w:w="663" w:type="pct"/>
            <w:tcBorders>
              <w:left w:val="double" w:sz="4" w:space="0" w:color="auto"/>
              <w:right w:val="double" w:sz="4" w:space="0" w:color="auto"/>
            </w:tcBorders>
            <w:shd w:val="clear" w:color="auto" w:fill="auto"/>
          </w:tcPr>
          <w:p w14:paraId="45F7A6D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6</w:t>
            </w:r>
          </w:p>
        </w:tc>
        <w:tc>
          <w:tcPr>
            <w:tcW w:w="700" w:type="pct"/>
            <w:tcBorders>
              <w:left w:val="double" w:sz="4" w:space="0" w:color="auto"/>
            </w:tcBorders>
            <w:shd w:val="clear" w:color="auto" w:fill="auto"/>
            <w:vAlign w:val="center"/>
          </w:tcPr>
          <w:p w14:paraId="48C93437"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w:t>
            </w:r>
          </w:p>
        </w:tc>
        <w:tc>
          <w:tcPr>
            <w:tcW w:w="1171" w:type="pct"/>
            <w:shd w:val="clear" w:color="auto" w:fill="auto"/>
            <w:vAlign w:val="center"/>
          </w:tcPr>
          <w:p w14:paraId="69E50A34"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4</w:t>
            </w:r>
          </w:p>
        </w:tc>
        <w:tc>
          <w:tcPr>
            <w:tcW w:w="763" w:type="pct"/>
            <w:shd w:val="clear" w:color="auto" w:fill="auto"/>
          </w:tcPr>
          <w:p w14:paraId="12C56022" w14:textId="77777777" w:rsidR="00825C89" w:rsidRPr="00010EDA" w:rsidRDefault="00825C89" w:rsidP="00D47C29">
            <w:pPr>
              <w:jc w:val="center"/>
              <w:rPr>
                <w:rFonts w:ascii="Calibri" w:hAnsi="Calibri" w:cs="Calibri"/>
                <w:sz w:val="20"/>
                <w:szCs w:val="20"/>
              </w:rPr>
            </w:pPr>
          </w:p>
        </w:tc>
      </w:tr>
      <w:tr w:rsidR="00825C89" w:rsidRPr="00010EDA" w14:paraId="7B34ACAD" w14:textId="77777777" w:rsidTr="00D47C29">
        <w:trPr>
          <w:trHeight w:val="424"/>
        </w:trPr>
        <w:tc>
          <w:tcPr>
            <w:tcW w:w="1703" w:type="pct"/>
            <w:tcBorders>
              <w:right w:val="double" w:sz="4" w:space="0" w:color="auto"/>
            </w:tcBorders>
            <w:shd w:val="clear" w:color="auto" w:fill="auto"/>
            <w:vAlign w:val="center"/>
          </w:tcPr>
          <w:p w14:paraId="2BB45DA2"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SpO</w:t>
            </w:r>
            <w:r w:rsidRPr="00410A0D">
              <w:rPr>
                <w:rFonts w:ascii="Calibri" w:hAnsi="Calibri" w:cs="Calibri"/>
                <w:b/>
                <w:sz w:val="16"/>
                <w:szCs w:val="20"/>
              </w:rPr>
              <w:t>2</w:t>
            </w:r>
            <w:r w:rsidRPr="00010EDA">
              <w:rPr>
                <w:rFonts w:ascii="Calibri" w:hAnsi="Calibri" w:cs="Calibri"/>
                <w:b/>
                <w:sz w:val="20"/>
                <w:szCs w:val="20"/>
              </w:rPr>
              <w:t xml:space="preserve"> in room air (%)</w:t>
            </w:r>
          </w:p>
        </w:tc>
        <w:tc>
          <w:tcPr>
            <w:tcW w:w="663" w:type="pct"/>
            <w:tcBorders>
              <w:left w:val="double" w:sz="4" w:space="0" w:color="auto"/>
              <w:right w:val="double" w:sz="4" w:space="0" w:color="auto"/>
            </w:tcBorders>
            <w:shd w:val="clear" w:color="auto" w:fill="auto"/>
          </w:tcPr>
          <w:p w14:paraId="4178E9F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96 (1.5)</w:t>
            </w:r>
          </w:p>
        </w:tc>
        <w:tc>
          <w:tcPr>
            <w:tcW w:w="700" w:type="pct"/>
            <w:tcBorders>
              <w:left w:val="double" w:sz="4" w:space="0" w:color="auto"/>
            </w:tcBorders>
            <w:shd w:val="clear" w:color="auto" w:fill="auto"/>
            <w:vAlign w:val="center"/>
          </w:tcPr>
          <w:p w14:paraId="56B57C74"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96.5 (1.8)</w:t>
            </w:r>
          </w:p>
        </w:tc>
        <w:tc>
          <w:tcPr>
            <w:tcW w:w="1171" w:type="pct"/>
            <w:shd w:val="clear" w:color="auto" w:fill="auto"/>
            <w:vAlign w:val="center"/>
          </w:tcPr>
          <w:p w14:paraId="0B745D6A"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96 (1.5)</w:t>
            </w:r>
          </w:p>
        </w:tc>
        <w:tc>
          <w:tcPr>
            <w:tcW w:w="763" w:type="pct"/>
            <w:shd w:val="clear" w:color="auto" w:fill="auto"/>
          </w:tcPr>
          <w:p w14:paraId="0A3054DF"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0.3</w:t>
            </w:r>
          </w:p>
        </w:tc>
      </w:tr>
      <w:tr w:rsidR="00825C89" w:rsidRPr="00010EDA" w14:paraId="6F353A32" w14:textId="77777777" w:rsidTr="00D47C29">
        <w:trPr>
          <w:trHeight w:val="424"/>
        </w:trPr>
        <w:tc>
          <w:tcPr>
            <w:tcW w:w="1703" w:type="pct"/>
            <w:tcBorders>
              <w:right w:val="double" w:sz="4" w:space="0" w:color="auto"/>
            </w:tcBorders>
            <w:shd w:val="clear" w:color="auto" w:fill="auto"/>
            <w:vAlign w:val="center"/>
          </w:tcPr>
          <w:p w14:paraId="2ED1557F" w14:textId="77777777" w:rsidR="00825C89" w:rsidRPr="00010EDA" w:rsidRDefault="00825C89" w:rsidP="00D47C29">
            <w:pPr>
              <w:rPr>
                <w:rFonts w:ascii="Calibri" w:hAnsi="Calibri" w:cs="Calibri"/>
                <w:sz w:val="20"/>
                <w:szCs w:val="20"/>
              </w:rPr>
            </w:pPr>
            <w:r w:rsidRPr="00010EDA">
              <w:rPr>
                <w:rFonts w:ascii="Calibri" w:hAnsi="Calibri" w:cs="Calibri"/>
                <w:sz w:val="20"/>
                <w:szCs w:val="20"/>
              </w:rPr>
              <w:t>Missing</w:t>
            </w:r>
          </w:p>
        </w:tc>
        <w:tc>
          <w:tcPr>
            <w:tcW w:w="663" w:type="pct"/>
            <w:tcBorders>
              <w:left w:val="double" w:sz="4" w:space="0" w:color="auto"/>
              <w:right w:val="double" w:sz="4" w:space="0" w:color="auto"/>
            </w:tcBorders>
            <w:shd w:val="clear" w:color="auto" w:fill="auto"/>
          </w:tcPr>
          <w:p w14:paraId="2FC9AB4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6</w:t>
            </w:r>
          </w:p>
        </w:tc>
        <w:tc>
          <w:tcPr>
            <w:tcW w:w="700" w:type="pct"/>
            <w:tcBorders>
              <w:left w:val="double" w:sz="4" w:space="0" w:color="auto"/>
            </w:tcBorders>
            <w:shd w:val="clear" w:color="auto" w:fill="auto"/>
            <w:vAlign w:val="center"/>
          </w:tcPr>
          <w:p w14:paraId="66BD6B5B"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w:t>
            </w:r>
          </w:p>
        </w:tc>
        <w:tc>
          <w:tcPr>
            <w:tcW w:w="1171" w:type="pct"/>
            <w:shd w:val="clear" w:color="auto" w:fill="auto"/>
            <w:vAlign w:val="center"/>
          </w:tcPr>
          <w:p w14:paraId="0BCC7FB8"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4</w:t>
            </w:r>
          </w:p>
        </w:tc>
        <w:tc>
          <w:tcPr>
            <w:tcW w:w="763" w:type="pct"/>
            <w:shd w:val="clear" w:color="auto" w:fill="auto"/>
          </w:tcPr>
          <w:p w14:paraId="3F4C5A69" w14:textId="77777777" w:rsidR="00825C89" w:rsidRPr="00010EDA" w:rsidRDefault="00825C89" w:rsidP="00D47C29">
            <w:pPr>
              <w:jc w:val="center"/>
              <w:rPr>
                <w:rFonts w:ascii="Calibri" w:hAnsi="Calibri" w:cs="Calibri"/>
                <w:sz w:val="20"/>
                <w:szCs w:val="20"/>
              </w:rPr>
            </w:pPr>
          </w:p>
        </w:tc>
      </w:tr>
      <w:tr w:rsidR="00825C89" w:rsidRPr="00010EDA" w14:paraId="1EC7622D" w14:textId="77777777" w:rsidTr="00D47C29">
        <w:trPr>
          <w:trHeight w:val="424"/>
        </w:trPr>
        <w:tc>
          <w:tcPr>
            <w:tcW w:w="1703" w:type="pct"/>
            <w:tcBorders>
              <w:right w:val="double" w:sz="4" w:space="0" w:color="auto"/>
            </w:tcBorders>
            <w:shd w:val="clear" w:color="auto" w:fill="auto"/>
            <w:vAlign w:val="center"/>
          </w:tcPr>
          <w:p w14:paraId="68067803"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No</w:t>
            </w:r>
            <w:r>
              <w:rPr>
                <w:rFonts w:ascii="Calibri" w:hAnsi="Calibri" w:cs="Calibri"/>
                <w:b/>
                <w:sz w:val="20"/>
                <w:szCs w:val="20"/>
              </w:rPr>
              <w:t>.</w:t>
            </w:r>
            <w:r w:rsidRPr="00010EDA">
              <w:rPr>
                <w:rFonts w:ascii="Calibri" w:hAnsi="Calibri" w:cs="Calibri"/>
                <w:b/>
                <w:sz w:val="20"/>
                <w:szCs w:val="20"/>
              </w:rPr>
              <w:t xml:space="preserve"> on LTOT </w:t>
            </w:r>
          </w:p>
        </w:tc>
        <w:tc>
          <w:tcPr>
            <w:tcW w:w="663" w:type="pct"/>
            <w:tcBorders>
              <w:left w:val="double" w:sz="4" w:space="0" w:color="auto"/>
              <w:right w:val="double" w:sz="4" w:space="0" w:color="auto"/>
            </w:tcBorders>
            <w:shd w:val="clear" w:color="auto" w:fill="auto"/>
            <w:vAlign w:val="center"/>
          </w:tcPr>
          <w:p w14:paraId="5B370200"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3</w:t>
            </w:r>
          </w:p>
        </w:tc>
        <w:tc>
          <w:tcPr>
            <w:tcW w:w="700" w:type="pct"/>
            <w:tcBorders>
              <w:left w:val="double" w:sz="4" w:space="0" w:color="auto"/>
            </w:tcBorders>
            <w:shd w:val="clear" w:color="auto" w:fill="auto"/>
            <w:vAlign w:val="center"/>
          </w:tcPr>
          <w:p w14:paraId="68549DF4"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w:t>
            </w:r>
          </w:p>
        </w:tc>
        <w:tc>
          <w:tcPr>
            <w:tcW w:w="1171" w:type="pct"/>
            <w:shd w:val="clear" w:color="auto" w:fill="auto"/>
            <w:vAlign w:val="center"/>
          </w:tcPr>
          <w:p w14:paraId="113C7F52"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w:t>
            </w:r>
          </w:p>
        </w:tc>
        <w:tc>
          <w:tcPr>
            <w:tcW w:w="763" w:type="pct"/>
            <w:shd w:val="clear" w:color="auto" w:fill="auto"/>
            <w:vAlign w:val="center"/>
          </w:tcPr>
          <w:p w14:paraId="58ED32EC" w14:textId="77777777" w:rsidR="00825C89" w:rsidRPr="00010EDA" w:rsidRDefault="00825C89" w:rsidP="00D47C29">
            <w:pPr>
              <w:jc w:val="center"/>
              <w:rPr>
                <w:rFonts w:ascii="Calibri" w:hAnsi="Calibri" w:cs="Calibri"/>
                <w:sz w:val="20"/>
                <w:szCs w:val="20"/>
              </w:rPr>
            </w:pPr>
            <w:r>
              <w:rPr>
                <w:rFonts w:ascii="Calibri" w:hAnsi="Calibri" w:cs="Calibri"/>
                <w:sz w:val="20"/>
                <w:szCs w:val="20"/>
              </w:rPr>
              <w:t>n/a</w:t>
            </w:r>
          </w:p>
        </w:tc>
      </w:tr>
      <w:tr w:rsidR="00825C89" w:rsidRPr="00010EDA" w14:paraId="5A9800FC" w14:textId="77777777" w:rsidTr="00D47C29">
        <w:trPr>
          <w:trHeight w:val="424"/>
        </w:trPr>
        <w:tc>
          <w:tcPr>
            <w:tcW w:w="1703" w:type="pct"/>
            <w:tcBorders>
              <w:right w:val="double" w:sz="4" w:space="0" w:color="auto"/>
            </w:tcBorders>
            <w:shd w:val="clear" w:color="auto" w:fill="auto"/>
            <w:vAlign w:val="center"/>
          </w:tcPr>
          <w:p w14:paraId="620E150A"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SNIP (cmH</w:t>
            </w:r>
            <w:r w:rsidRPr="00010EDA">
              <w:rPr>
                <w:rFonts w:ascii="Calibri" w:hAnsi="Calibri" w:cs="Calibri"/>
                <w:b/>
                <w:sz w:val="20"/>
                <w:szCs w:val="20"/>
                <w:vertAlign w:val="subscript"/>
              </w:rPr>
              <w:t>2</w:t>
            </w:r>
            <w:r w:rsidRPr="00010EDA">
              <w:rPr>
                <w:rFonts w:ascii="Calibri" w:hAnsi="Calibri" w:cs="Calibri"/>
                <w:b/>
                <w:sz w:val="20"/>
                <w:szCs w:val="20"/>
              </w:rPr>
              <w:t>O)</w:t>
            </w:r>
          </w:p>
        </w:tc>
        <w:tc>
          <w:tcPr>
            <w:tcW w:w="663" w:type="pct"/>
            <w:tcBorders>
              <w:left w:val="double" w:sz="4" w:space="0" w:color="auto"/>
              <w:right w:val="double" w:sz="4" w:space="0" w:color="auto"/>
            </w:tcBorders>
            <w:shd w:val="clear" w:color="auto" w:fill="auto"/>
          </w:tcPr>
          <w:p w14:paraId="5149FF6B"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94.8 (24.3)</w:t>
            </w:r>
          </w:p>
        </w:tc>
        <w:tc>
          <w:tcPr>
            <w:tcW w:w="700" w:type="pct"/>
            <w:tcBorders>
              <w:left w:val="double" w:sz="4" w:space="0" w:color="auto"/>
            </w:tcBorders>
            <w:shd w:val="clear" w:color="auto" w:fill="auto"/>
            <w:vAlign w:val="center"/>
          </w:tcPr>
          <w:p w14:paraId="1ED87D1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96.8 (25.9)</w:t>
            </w:r>
          </w:p>
        </w:tc>
        <w:tc>
          <w:tcPr>
            <w:tcW w:w="1171" w:type="pct"/>
            <w:shd w:val="clear" w:color="auto" w:fill="auto"/>
            <w:vAlign w:val="center"/>
          </w:tcPr>
          <w:p w14:paraId="7243D7A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93.1 (24.5)</w:t>
            </w:r>
          </w:p>
        </w:tc>
        <w:tc>
          <w:tcPr>
            <w:tcW w:w="763" w:type="pct"/>
            <w:shd w:val="clear" w:color="auto" w:fill="auto"/>
          </w:tcPr>
          <w:p w14:paraId="2FB5555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0.61</w:t>
            </w:r>
          </w:p>
        </w:tc>
      </w:tr>
      <w:tr w:rsidR="00825C89" w:rsidRPr="00010EDA" w14:paraId="34FA542E" w14:textId="77777777" w:rsidTr="00D47C29">
        <w:trPr>
          <w:trHeight w:val="424"/>
        </w:trPr>
        <w:tc>
          <w:tcPr>
            <w:tcW w:w="1703" w:type="pct"/>
            <w:tcBorders>
              <w:right w:val="double" w:sz="4" w:space="0" w:color="auto"/>
            </w:tcBorders>
            <w:shd w:val="clear" w:color="auto" w:fill="auto"/>
            <w:vAlign w:val="center"/>
          </w:tcPr>
          <w:p w14:paraId="146AB298" w14:textId="77777777" w:rsidR="00825C89" w:rsidRPr="00010EDA" w:rsidRDefault="00825C89" w:rsidP="00D47C29">
            <w:pPr>
              <w:rPr>
                <w:rFonts w:ascii="Calibri" w:hAnsi="Calibri" w:cs="Calibri"/>
                <w:sz w:val="20"/>
                <w:szCs w:val="20"/>
              </w:rPr>
            </w:pPr>
            <w:r w:rsidRPr="00A24918">
              <w:rPr>
                <w:rFonts w:ascii="Calibri" w:hAnsi="Calibri" w:cs="Calibri"/>
                <w:sz w:val="20"/>
                <w:szCs w:val="20"/>
              </w:rPr>
              <w:t>Missing</w:t>
            </w:r>
          </w:p>
        </w:tc>
        <w:tc>
          <w:tcPr>
            <w:tcW w:w="663" w:type="pct"/>
            <w:tcBorders>
              <w:left w:val="double" w:sz="4" w:space="0" w:color="auto"/>
              <w:right w:val="double" w:sz="4" w:space="0" w:color="auto"/>
            </w:tcBorders>
            <w:shd w:val="clear" w:color="auto" w:fill="auto"/>
          </w:tcPr>
          <w:p w14:paraId="5C522C0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w:t>
            </w:r>
          </w:p>
        </w:tc>
        <w:tc>
          <w:tcPr>
            <w:tcW w:w="700" w:type="pct"/>
            <w:tcBorders>
              <w:left w:val="double" w:sz="4" w:space="0" w:color="auto"/>
            </w:tcBorders>
            <w:shd w:val="clear" w:color="auto" w:fill="auto"/>
            <w:vAlign w:val="center"/>
          </w:tcPr>
          <w:p w14:paraId="577045A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3</w:t>
            </w:r>
          </w:p>
        </w:tc>
        <w:tc>
          <w:tcPr>
            <w:tcW w:w="1171" w:type="pct"/>
            <w:shd w:val="clear" w:color="auto" w:fill="auto"/>
            <w:vAlign w:val="center"/>
          </w:tcPr>
          <w:p w14:paraId="092D4FEC"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6</w:t>
            </w:r>
          </w:p>
        </w:tc>
        <w:tc>
          <w:tcPr>
            <w:tcW w:w="763" w:type="pct"/>
            <w:shd w:val="clear" w:color="auto" w:fill="auto"/>
          </w:tcPr>
          <w:p w14:paraId="2A5FB6F3" w14:textId="77777777" w:rsidR="00825C89" w:rsidRPr="00010EDA" w:rsidRDefault="00825C89" w:rsidP="00D47C29">
            <w:pPr>
              <w:jc w:val="center"/>
              <w:rPr>
                <w:rFonts w:ascii="Calibri" w:hAnsi="Calibri" w:cs="Calibri"/>
                <w:sz w:val="20"/>
                <w:szCs w:val="20"/>
              </w:rPr>
            </w:pPr>
          </w:p>
        </w:tc>
      </w:tr>
      <w:tr w:rsidR="00825C89" w:rsidRPr="00010EDA" w14:paraId="6938C6C5" w14:textId="77777777" w:rsidTr="00D47C29">
        <w:trPr>
          <w:trHeight w:val="424"/>
        </w:trPr>
        <w:tc>
          <w:tcPr>
            <w:tcW w:w="1703" w:type="pct"/>
            <w:tcBorders>
              <w:right w:val="double" w:sz="4" w:space="0" w:color="auto"/>
            </w:tcBorders>
            <w:shd w:val="clear" w:color="auto" w:fill="auto"/>
            <w:vAlign w:val="center"/>
          </w:tcPr>
          <w:p w14:paraId="027C42A1" w14:textId="77777777" w:rsidR="00825C89" w:rsidRPr="00010EDA" w:rsidRDefault="00825C89" w:rsidP="00D47C29">
            <w:pPr>
              <w:rPr>
                <w:rFonts w:ascii="Calibri" w:hAnsi="Calibri" w:cs="Calibri"/>
                <w:b/>
                <w:sz w:val="20"/>
                <w:szCs w:val="20"/>
              </w:rPr>
            </w:pPr>
            <w:proofErr w:type="spellStart"/>
            <w:r w:rsidRPr="00010EDA">
              <w:rPr>
                <w:rFonts w:ascii="Calibri" w:hAnsi="Calibri" w:cs="Calibri"/>
                <w:b/>
                <w:sz w:val="20"/>
                <w:szCs w:val="20"/>
              </w:rPr>
              <w:t>PImax</w:t>
            </w:r>
            <w:proofErr w:type="spellEnd"/>
            <w:r w:rsidRPr="00010EDA">
              <w:rPr>
                <w:rFonts w:ascii="Calibri" w:hAnsi="Calibri" w:cs="Calibri"/>
                <w:b/>
                <w:sz w:val="20"/>
                <w:szCs w:val="20"/>
              </w:rPr>
              <w:t xml:space="preserve"> (cmH</w:t>
            </w:r>
            <w:r w:rsidRPr="00010EDA">
              <w:rPr>
                <w:rFonts w:ascii="Calibri" w:hAnsi="Calibri" w:cs="Calibri"/>
                <w:b/>
                <w:sz w:val="20"/>
                <w:szCs w:val="20"/>
                <w:vertAlign w:val="subscript"/>
              </w:rPr>
              <w:t>2</w:t>
            </w:r>
            <w:r w:rsidRPr="00010EDA">
              <w:rPr>
                <w:rFonts w:ascii="Calibri" w:hAnsi="Calibri" w:cs="Calibri"/>
                <w:b/>
                <w:sz w:val="20"/>
                <w:szCs w:val="20"/>
              </w:rPr>
              <w:t>O)</w:t>
            </w:r>
          </w:p>
        </w:tc>
        <w:tc>
          <w:tcPr>
            <w:tcW w:w="663" w:type="pct"/>
            <w:tcBorders>
              <w:left w:val="double" w:sz="4" w:space="0" w:color="auto"/>
              <w:right w:val="double" w:sz="4" w:space="0" w:color="auto"/>
            </w:tcBorders>
            <w:shd w:val="clear" w:color="auto" w:fill="auto"/>
          </w:tcPr>
          <w:p w14:paraId="7414CCC3"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91.5 (30.4)</w:t>
            </w:r>
          </w:p>
        </w:tc>
        <w:tc>
          <w:tcPr>
            <w:tcW w:w="700" w:type="pct"/>
            <w:tcBorders>
              <w:left w:val="double" w:sz="4" w:space="0" w:color="auto"/>
            </w:tcBorders>
            <w:shd w:val="clear" w:color="auto" w:fill="auto"/>
            <w:vAlign w:val="center"/>
          </w:tcPr>
          <w:p w14:paraId="5D00507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91.1 (34.2)</w:t>
            </w:r>
          </w:p>
        </w:tc>
        <w:tc>
          <w:tcPr>
            <w:tcW w:w="1171" w:type="pct"/>
            <w:shd w:val="clear" w:color="auto" w:fill="auto"/>
            <w:vAlign w:val="center"/>
          </w:tcPr>
          <w:p w14:paraId="701C17A2"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91.8 (27.4)</w:t>
            </w:r>
          </w:p>
        </w:tc>
        <w:tc>
          <w:tcPr>
            <w:tcW w:w="763" w:type="pct"/>
            <w:shd w:val="clear" w:color="auto" w:fill="auto"/>
          </w:tcPr>
          <w:p w14:paraId="00C38E5A" w14:textId="77777777" w:rsidR="00825C89" w:rsidRPr="00010EDA" w:rsidRDefault="00825C89" w:rsidP="00D47C29">
            <w:pPr>
              <w:jc w:val="center"/>
              <w:rPr>
                <w:rFonts w:ascii="Calibri" w:hAnsi="Calibri" w:cs="Calibri"/>
                <w:sz w:val="20"/>
                <w:szCs w:val="20"/>
              </w:rPr>
            </w:pPr>
          </w:p>
        </w:tc>
      </w:tr>
      <w:tr w:rsidR="00825C89" w:rsidRPr="00010EDA" w14:paraId="6704DB4F" w14:textId="77777777" w:rsidTr="00D47C29">
        <w:trPr>
          <w:trHeight w:val="424"/>
        </w:trPr>
        <w:tc>
          <w:tcPr>
            <w:tcW w:w="1703" w:type="pct"/>
            <w:tcBorders>
              <w:right w:val="double" w:sz="4" w:space="0" w:color="auto"/>
            </w:tcBorders>
            <w:shd w:val="clear" w:color="auto" w:fill="auto"/>
            <w:vAlign w:val="center"/>
          </w:tcPr>
          <w:p w14:paraId="422E569F" w14:textId="77777777" w:rsidR="00825C89" w:rsidRPr="00B84507" w:rsidRDefault="00825C89" w:rsidP="00D47C29">
            <w:pPr>
              <w:rPr>
                <w:rFonts w:ascii="Calibri" w:hAnsi="Calibri" w:cs="Calibri"/>
                <w:sz w:val="20"/>
                <w:szCs w:val="20"/>
              </w:rPr>
            </w:pPr>
            <w:r w:rsidRPr="00B84507">
              <w:rPr>
                <w:rFonts w:ascii="Calibri" w:hAnsi="Calibri" w:cs="Calibri"/>
                <w:sz w:val="20"/>
                <w:szCs w:val="20"/>
              </w:rPr>
              <w:t>Missing</w:t>
            </w:r>
          </w:p>
        </w:tc>
        <w:tc>
          <w:tcPr>
            <w:tcW w:w="663" w:type="pct"/>
            <w:tcBorders>
              <w:left w:val="double" w:sz="4" w:space="0" w:color="auto"/>
              <w:right w:val="double" w:sz="4" w:space="0" w:color="auto"/>
            </w:tcBorders>
            <w:shd w:val="clear" w:color="auto" w:fill="auto"/>
          </w:tcPr>
          <w:p w14:paraId="06BDFC04" w14:textId="77777777" w:rsidR="00825C89" w:rsidRPr="00B84507" w:rsidRDefault="00825C89" w:rsidP="00D47C29">
            <w:pPr>
              <w:jc w:val="center"/>
              <w:rPr>
                <w:rFonts w:ascii="Calibri" w:hAnsi="Calibri" w:cs="Calibri"/>
                <w:sz w:val="20"/>
                <w:szCs w:val="20"/>
              </w:rPr>
            </w:pPr>
            <w:r w:rsidRPr="00B84507">
              <w:rPr>
                <w:rFonts w:ascii="Calibri" w:hAnsi="Calibri" w:cs="Calibri"/>
                <w:sz w:val="20"/>
                <w:szCs w:val="20"/>
              </w:rPr>
              <w:t>8</w:t>
            </w:r>
          </w:p>
        </w:tc>
        <w:tc>
          <w:tcPr>
            <w:tcW w:w="700" w:type="pct"/>
            <w:tcBorders>
              <w:left w:val="double" w:sz="4" w:space="0" w:color="auto"/>
            </w:tcBorders>
            <w:shd w:val="clear" w:color="auto" w:fill="auto"/>
            <w:vAlign w:val="center"/>
          </w:tcPr>
          <w:p w14:paraId="4179C84C" w14:textId="77777777" w:rsidR="00825C89" w:rsidRPr="00B84507" w:rsidRDefault="00825C89" w:rsidP="00D47C29">
            <w:pPr>
              <w:jc w:val="center"/>
              <w:rPr>
                <w:rFonts w:ascii="Calibri" w:hAnsi="Calibri" w:cs="Calibri"/>
                <w:sz w:val="20"/>
                <w:szCs w:val="20"/>
              </w:rPr>
            </w:pPr>
            <w:r w:rsidRPr="00B84507">
              <w:rPr>
                <w:rFonts w:ascii="Calibri" w:hAnsi="Calibri" w:cs="Calibri"/>
                <w:sz w:val="20"/>
                <w:szCs w:val="20"/>
              </w:rPr>
              <w:t>2</w:t>
            </w:r>
          </w:p>
        </w:tc>
        <w:tc>
          <w:tcPr>
            <w:tcW w:w="1171" w:type="pct"/>
            <w:shd w:val="clear" w:color="auto" w:fill="auto"/>
            <w:vAlign w:val="center"/>
          </w:tcPr>
          <w:p w14:paraId="7805D0D7" w14:textId="77777777" w:rsidR="00825C89" w:rsidRPr="00B84507" w:rsidRDefault="00825C89" w:rsidP="00D47C29">
            <w:pPr>
              <w:jc w:val="center"/>
              <w:rPr>
                <w:rFonts w:ascii="Calibri" w:hAnsi="Calibri" w:cs="Calibri"/>
                <w:sz w:val="20"/>
                <w:szCs w:val="20"/>
              </w:rPr>
            </w:pPr>
            <w:r w:rsidRPr="00B84507">
              <w:rPr>
                <w:rFonts w:ascii="Calibri" w:hAnsi="Calibri" w:cs="Calibri"/>
                <w:sz w:val="20"/>
                <w:szCs w:val="20"/>
              </w:rPr>
              <w:t>6</w:t>
            </w:r>
          </w:p>
        </w:tc>
        <w:tc>
          <w:tcPr>
            <w:tcW w:w="763" w:type="pct"/>
            <w:shd w:val="clear" w:color="auto" w:fill="auto"/>
          </w:tcPr>
          <w:p w14:paraId="1229C204" w14:textId="77777777" w:rsidR="00825C89" w:rsidRPr="00010EDA" w:rsidRDefault="00825C89" w:rsidP="00D47C29">
            <w:pPr>
              <w:jc w:val="center"/>
              <w:rPr>
                <w:rFonts w:ascii="Calibri" w:hAnsi="Calibri" w:cs="Calibri"/>
                <w:sz w:val="20"/>
                <w:szCs w:val="20"/>
              </w:rPr>
            </w:pPr>
          </w:p>
        </w:tc>
      </w:tr>
      <w:tr w:rsidR="00825C89" w:rsidRPr="00010EDA" w14:paraId="649DFF80" w14:textId="77777777" w:rsidTr="00D47C29">
        <w:trPr>
          <w:trHeight w:val="424"/>
        </w:trPr>
        <w:tc>
          <w:tcPr>
            <w:tcW w:w="1703" w:type="pct"/>
            <w:tcBorders>
              <w:right w:val="double" w:sz="4" w:space="0" w:color="auto"/>
            </w:tcBorders>
            <w:shd w:val="clear" w:color="auto" w:fill="auto"/>
            <w:vAlign w:val="center"/>
          </w:tcPr>
          <w:p w14:paraId="405E46F5" w14:textId="77777777" w:rsidR="00825C89" w:rsidRPr="00010EDA" w:rsidRDefault="00825C89" w:rsidP="00D47C29">
            <w:pPr>
              <w:rPr>
                <w:rFonts w:ascii="Calibri" w:hAnsi="Calibri" w:cs="Calibri"/>
                <w:b/>
                <w:sz w:val="20"/>
                <w:szCs w:val="20"/>
              </w:rPr>
            </w:pPr>
            <w:proofErr w:type="spellStart"/>
            <w:r w:rsidRPr="00010EDA">
              <w:rPr>
                <w:rFonts w:ascii="Calibri" w:hAnsi="Calibri" w:cs="Calibri"/>
                <w:b/>
                <w:sz w:val="20"/>
                <w:szCs w:val="20"/>
              </w:rPr>
              <w:t>PEmax</w:t>
            </w:r>
            <w:proofErr w:type="spellEnd"/>
            <w:r w:rsidRPr="00010EDA">
              <w:rPr>
                <w:rFonts w:ascii="Calibri" w:hAnsi="Calibri" w:cs="Calibri"/>
                <w:b/>
                <w:sz w:val="20"/>
                <w:szCs w:val="20"/>
              </w:rPr>
              <w:t xml:space="preserve"> (cmH</w:t>
            </w:r>
            <w:r w:rsidRPr="00010EDA">
              <w:rPr>
                <w:rFonts w:ascii="Calibri" w:hAnsi="Calibri" w:cs="Calibri"/>
                <w:b/>
                <w:sz w:val="20"/>
                <w:szCs w:val="20"/>
                <w:vertAlign w:val="subscript"/>
              </w:rPr>
              <w:t>2</w:t>
            </w:r>
            <w:r w:rsidRPr="00010EDA">
              <w:rPr>
                <w:rFonts w:ascii="Calibri" w:hAnsi="Calibri" w:cs="Calibri"/>
                <w:b/>
                <w:sz w:val="20"/>
                <w:szCs w:val="20"/>
              </w:rPr>
              <w:t>O)</w:t>
            </w:r>
          </w:p>
        </w:tc>
        <w:tc>
          <w:tcPr>
            <w:tcW w:w="663" w:type="pct"/>
            <w:tcBorders>
              <w:left w:val="double" w:sz="4" w:space="0" w:color="auto"/>
              <w:right w:val="double" w:sz="4" w:space="0" w:color="auto"/>
            </w:tcBorders>
            <w:shd w:val="clear" w:color="auto" w:fill="auto"/>
          </w:tcPr>
          <w:p w14:paraId="7BD4F600"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106.6 (32.0)</w:t>
            </w:r>
          </w:p>
        </w:tc>
        <w:tc>
          <w:tcPr>
            <w:tcW w:w="700" w:type="pct"/>
            <w:tcBorders>
              <w:left w:val="double" w:sz="4" w:space="0" w:color="auto"/>
            </w:tcBorders>
            <w:shd w:val="clear" w:color="auto" w:fill="auto"/>
            <w:vAlign w:val="center"/>
          </w:tcPr>
          <w:p w14:paraId="33EE4567"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114.4 (40.3)</w:t>
            </w:r>
          </w:p>
        </w:tc>
        <w:tc>
          <w:tcPr>
            <w:tcW w:w="1171" w:type="pct"/>
            <w:shd w:val="clear" w:color="auto" w:fill="auto"/>
            <w:vAlign w:val="center"/>
          </w:tcPr>
          <w:p w14:paraId="56E94D5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100.7 (23.5)</w:t>
            </w:r>
          </w:p>
        </w:tc>
        <w:tc>
          <w:tcPr>
            <w:tcW w:w="763" w:type="pct"/>
            <w:shd w:val="clear" w:color="auto" w:fill="auto"/>
          </w:tcPr>
          <w:p w14:paraId="4F49FDE4"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0.22</w:t>
            </w:r>
          </w:p>
        </w:tc>
      </w:tr>
      <w:tr w:rsidR="00825C89" w:rsidRPr="00010EDA" w14:paraId="7B7BD2B4" w14:textId="77777777" w:rsidTr="00D47C29">
        <w:trPr>
          <w:trHeight w:val="424"/>
        </w:trPr>
        <w:tc>
          <w:tcPr>
            <w:tcW w:w="1703" w:type="pct"/>
            <w:tcBorders>
              <w:right w:val="double" w:sz="4" w:space="0" w:color="auto"/>
            </w:tcBorders>
            <w:shd w:val="clear" w:color="auto" w:fill="auto"/>
            <w:vAlign w:val="center"/>
          </w:tcPr>
          <w:p w14:paraId="1C5FAC04" w14:textId="77777777" w:rsidR="00825C89" w:rsidRPr="00010EDA" w:rsidRDefault="00825C89" w:rsidP="00D47C29">
            <w:pPr>
              <w:rPr>
                <w:rFonts w:ascii="Calibri" w:hAnsi="Calibri" w:cs="Calibri"/>
                <w:sz w:val="20"/>
                <w:szCs w:val="20"/>
              </w:rPr>
            </w:pPr>
            <w:r w:rsidRPr="00010EDA">
              <w:rPr>
                <w:rFonts w:ascii="Calibri" w:hAnsi="Calibri" w:cs="Calibri"/>
                <w:sz w:val="20"/>
                <w:szCs w:val="20"/>
              </w:rPr>
              <w:t>Missing</w:t>
            </w:r>
          </w:p>
        </w:tc>
        <w:tc>
          <w:tcPr>
            <w:tcW w:w="663" w:type="pct"/>
            <w:tcBorders>
              <w:left w:val="double" w:sz="4" w:space="0" w:color="auto"/>
              <w:right w:val="double" w:sz="4" w:space="0" w:color="auto"/>
            </w:tcBorders>
            <w:shd w:val="clear" w:color="auto" w:fill="auto"/>
          </w:tcPr>
          <w:p w14:paraId="1D56D91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23</w:t>
            </w:r>
          </w:p>
        </w:tc>
        <w:tc>
          <w:tcPr>
            <w:tcW w:w="700" w:type="pct"/>
            <w:tcBorders>
              <w:left w:val="double" w:sz="4" w:space="0" w:color="auto"/>
            </w:tcBorders>
            <w:shd w:val="clear" w:color="auto" w:fill="auto"/>
            <w:vAlign w:val="center"/>
          </w:tcPr>
          <w:p w14:paraId="27D40833"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10</w:t>
            </w:r>
          </w:p>
        </w:tc>
        <w:tc>
          <w:tcPr>
            <w:tcW w:w="1171" w:type="pct"/>
            <w:shd w:val="clear" w:color="auto" w:fill="auto"/>
            <w:vAlign w:val="center"/>
          </w:tcPr>
          <w:p w14:paraId="0C4B5E21"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13</w:t>
            </w:r>
          </w:p>
        </w:tc>
        <w:tc>
          <w:tcPr>
            <w:tcW w:w="763" w:type="pct"/>
            <w:shd w:val="clear" w:color="auto" w:fill="auto"/>
          </w:tcPr>
          <w:p w14:paraId="4266C40C" w14:textId="77777777" w:rsidR="00825C89" w:rsidRPr="00010EDA" w:rsidRDefault="00825C89" w:rsidP="00D47C29">
            <w:pPr>
              <w:jc w:val="center"/>
              <w:rPr>
                <w:rFonts w:ascii="Calibri" w:hAnsi="Calibri" w:cs="Calibri"/>
                <w:sz w:val="20"/>
                <w:szCs w:val="20"/>
              </w:rPr>
            </w:pPr>
          </w:p>
        </w:tc>
      </w:tr>
      <w:tr w:rsidR="00825C89" w:rsidRPr="00010EDA" w14:paraId="326A1A2C" w14:textId="77777777" w:rsidTr="00D47C29">
        <w:trPr>
          <w:trHeight w:val="424"/>
        </w:trPr>
        <w:tc>
          <w:tcPr>
            <w:tcW w:w="1703" w:type="pct"/>
            <w:tcBorders>
              <w:right w:val="double" w:sz="4" w:space="0" w:color="auto"/>
            </w:tcBorders>
            <w:shd w:val="clear" w:color="auto" w:fill="auto"/>
            <w:vAlign w:val="center"/>
          </w:tcPr>
          <w:p w14:paraId="584F3521" w14:textId="77777777" w:rsidR="00825C89" w:rsidRPr="00010EDA" w:rsidRDefault="00825C89" w:rsidP="00D47C29">
            <w:pPr>
              <w:rPr>
                <w:rFonts w:ascii="Calibri" w:hAnsi="Calibri" w:cs="Calibri"/>
                <w:b/>
                <w:sz w:val="20"/>
                <w:szCs w:val="20"/>
              </w:rPr>
            </w:pPr>
            <w:r>
              <w:rPr>
                <w:rFonts w:ascii="Calibri" w:hAnsi="Calibri" w:cs="Calibri"/>
                <w:b/>
                <w:sz w:val="20"/>
                <w:szCs w:val="20"/>
              </w:rPr>
              <w:t>Handgrip (</w:t>
            </w:r>
            <w:r w:rsidRPr="00010EDA">
              <w:rPr>
                <w:rFonts w:ascii="Calibri" w:hAnsi="Calibri" w:cs="Calibri"/>
                <w:b/>
                <w:sz w:val="20"/>
                <w:szCs w:val="20"/>
              </w:rPr>
              <w:t>dominant hand</w:t>
            </w:r>
            <w:r>
              <w:rPr>
                <w:rFonts w:ascii="Calibri" w:hAnsi="Calibri" w:cs="Calibri"/>
                <w:b/>
                <w:sz w:val="20"/>
                <w:szCs w:val="20"/>
              </w:rPr>
              <w:t xml:space="preserve">) </w:t>
            </w:r>
            <w:r w:rsidRPr="00010EDA">
              <w:rPr>
                <w:rFonts w:ascii="Calibri" w:hAnsi="Calibri" w:cs="Calibri"/>
                <w:b/>
                <w:sz w:val="20"/>
                <w:szCs w:val="20"/>
              </w:rPr>
              <w:t>(kg)</w:t>
            </w:r>
          </w:p>
        </w:tc>
        <w:tc>
          <w:tcPr>
            <w:tcW w:w="663" w:type="pct"/>
            <w:tcBorders>
              <w:left w:val="double" w:sz="4" w:space="0" w:color="auto"/>
              <w:right w:val="double" w:sz="4" w:space="0" w:color="auto"/>
            </w:tcBorders>
            <w:shd w:val="clear" w:color="auto" w:fill="auto"/>
            <w:vAlign w:val="center"/>
          </w:tcPr>
          <w:p w14:paraId="71B628FF"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25.8 (10.2)</w:t>
            </w:r>
          </w:p>
        </w:tc>
        <w:tc>
          <w:tcPr>
            <w:tcW w:w="700" w:type="pct"/>
            <w:tcBorders>
              <w:left w:val="double" w:sz="4" w:space="0" w:color="auto"/>
            </w:tcBorders>
            <w:shd w:val="clear" w:color="auto" w:fill="auto"/>
            <w:vAlign w:val="center"/>
          </w:tcPr>
          <w:p w14:paraId="744FC20F"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27.2 (11.2)</w:t>
            </w:r>
          </w:p>
        </w:tc>
        <w:tc>
          <w:tcPr>
            <w:tcW w:w="1171" w:type="pct"/>
            <w:shd w:val="clear" w:color="auto" w:fill="auto"/>
            <w:vAlign w:val="center"/>
          </w:tcPr>
          <w:p w14:paraId="32D4AA5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24.8 (9.4)</w:t>
            </w:r>
          </w:p>
        </w:tc>
        <w:tc>
          <w:tcPr>
            <w:tcW w:w="763" w:type="pct"/>
            <w:shd w:val="clear" w:color="auto" w:fill="auto"/>
          </w:tcPr>
          <w:p w14:paraId="2398A7C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0.42</w:t>
            </w:r>
          </w:p>
        </w:tc>
      </w:tr>
      <w:tr w:rsidR="00825C89" w:rsidRPr="00010EDA" w14:paraId="078FFC9F" w14:textId="77777777" w:rsidTr="00D47C29">
        <w:trPr>
          <w:trHeight w:val="433"/>
        </w:trPr>
        <w:tc>
          <w:tcPr>
            <w:tcW w:w="1703" w:type="pct"/>
            <w:tcBorders>
              <w:right w:val="double" w:sz="4" w:space="0" w:color="auto"/>
            </w:tcBorders>
            <w:shd w:val="clear" w:color="auto" w:fill="auto"/>
            <w:vAlign w:val="center"/>
          </w:tcPr>
          <w:p w14:paraId="2B7AD464" w14:textId="77777777" w:rsidR="00825C89" w:rsidRPr="00B84507" w:rsidRDefault="00825C89" w:rsidP="00D47C29">
            <w:pPr>
              <w:rPr>
                <w:rFonts w:ascii="Calibri" w:hAnsi="Calibri" w:cs="Calibri"/>
                <w:sz w:val="20"/>
                <w:szCs w:val="20"/>
              </w:rPr>
            </w:pPr>
            <w:r>
              <w:rPr>
                <w:rFonts w:ascii="Calibri" w:hAnsi="Calibri" w:cs="Calibri"/>
                <w:sz w:val="20"/>
                <w:szCs w:val="20"/>
              </w:rPr>
              <w:t xml:space="preserve">Handgrip </w:t>
            </w:r>
            <w:r w:rsidRPr="00B84507">
              <w:rPr>
                <w:rFonts w:ascii="Calibri" w:hAnsi="Calibri" w:cs="Calibri"/>
                <w:sz w:val="20"/>
                <w:szCs w:val="20"/>
              </w:rPr>
              <w:t>Missing</w:t>
            </w:r>
          </w:p>
        </w:tc>
        <w:tc>
          <w:tcPr>
            <w:tcW w:w="663" w:type="pct"/>
            <w:tcBorders>
              <w:left w:val="double" w:sz="4" w:space="0" w:color="auto"/>
              <w:right w:val="double" w:sz="4" w:space="0" w:color="auto"/>
            </w:tcBorders>
            <w:shd w:val="clear" w:color="auto" w:fill="auto"/>
            <w:vAlign w:val="center"/>
          </w:tcPr>
          <w:p w14:paraId="2232C1F8" w14:textId="77777777" w:rsidR="00825C89" w:rsidRPr="00B84507" w:rsidRDefault="00825C89" w:rsidP="00D47C29">
            <w:pPr>
              <w:jc w:val="center"/>
              <w:rPr>
                <w:rFonts w:ascii="Calibri" w:hAnsi="Calibri" w:cs="Calibri"/>
                <w:sz w:val="20"/>
                <w:szCs w:val="20"/>
              </w:rPr>
            </w:pPr>
            <w:r w:rsidRPr="00B84507">
              <w:rPr>
                <w:rFonts w:ascii="Calibri" w:hAnsi="Calibri" w:cs="Calibri"/>
                <w:sz w:val="20"/>
                <w:szCs w:val="20"/>
              </w:rPr>
              <w:t>4</w:t>
            </w:r>
          </w:p>
        </w:tc>
        <w:tc>
          <w:tcPr>
            <w:tcW w:w="700" w:type="pct"/>
            <w:tcBorders>
              <w:left w:val="double" w:sz="4" w:space="0" w:color="auto"/>
            </w:tcBorders>
            <w:shd w:val="clear" w:color="auto" w:fill="auto"/>
            <w:vAlign w:val="center"/>
          </w:tcPr>
          <w:p w14:paraId="1047FF12" w14:textId="77777777" w:rsidR="00825C89" w:rsidRPr="00B84507" w:rsidRDefault="00825C89" w:rsidP="00D47C29">
            <w:pPr>
              <w:jc w:val="center"/>
              <w:rPr>
                <w:rFonts w:ascii="Calibri" w:hAnsi="Calibri" w:cs="Calibri"/>
                <w:sz w:val="20"/>
                <w:szCs w:val="20"/>
              </w:rPr>
            </w:pPr>
            <w:r w:rsidRPr="00B84507">
              <w:rPr>
                <w:rFonts w:ascii="Calibri" w:hAnsi="Calibri" w:cs="Calibri"/>
                <w:sz w:val="20"/>
                <w:szCs w:val="20"/>
              </w:rPr>
              <w:t>2</w:t>
            </w:r>
          </w:p>
        </w:tc>
        <w:tc>
          <w:tcPr>
            <w:tcW w:w="1171" w:type="pct"/>
            <w:shd w:val="clear" w:color="auto" w:fill="auto"/>
            <w:vAlign w:val="center"/>
          </w:tcPr>
          <w:p w14:paraId="3510FCF4" w14:textId="77777777" w:rsidR="00825C89" w:rsidRPr="00B84507" w:rsidRDefault="00825C89" w:rsidP="00D47C29">
            <w:pPr>
              <w:jc w:val="center"/>
              <w:rPr>
                <w:rFonts w:ascii="Calibri" w:hAnsi="Calibri" w:cs="Calibri"/>
                <w:sz w:val="20"/>
                <w:szCs w:val="20"/>
              </w:rPr>
            </w:pPr>
            <w:r w:rsidRPr="00B84507">
              <w:rPr>
                <w:rFonts w:ascii="Calibri" w:hAnsi="Calibri" w:cs="Calibri"/>
                <w:sz w:val="20"/>
                <w:szCs w:val="20"/>
              </w:rPr>
              <w:t>2</w:t>
            </w:r>
          </w:p>
        </w:tc>
        <w:tc>
          <w:tcPr>
            <w:tcW w:w="763" w:type="pct"/>
            <w:shd w:val="clear" w:color="auto" w:fill="auto"/>
          </w:tcPr>
          <w:p w14:paraId="67C4E4F2" w14:textId="77777777" w:rsidR="00825C89" w:rsidRPr="00010EDA" w:rsidRDefault="00825C89" w:rsidP="00D47C29">
            <w:pPr>
              <w:jc w:val="center"/>
              <w:rPr>
                <w:rFonts w:ascii="Calibri" w:hAnsi="Calibri" w:cs="Calibri"/>
                <w:sz w:val="20"/>
                <w:szCs w:val="20"/>
              </w:rPr>
            </w:pPr>
          </w:p>
        </w:tc>
      </w:tr>
      <w:tr w:rsidR="00825C89" w:rsidRPr="00010EDA" w14:paraId="79544A7C" w14:textId="77777777" w:rsidTr="00D47C29">
        <w:trPr>
          <w:trHeight w:val="671"/>
        </w:trPr>
        <w:tc>
          <w:tcPr>
            <w:tcW w:w="1703" w:type="pct"/>
            <w:tcBorders>
              <w:right w:val="double" w:sz="4" w:space="0" w:color="auto"/>
            </w:tcBorders>
            <w:shd w:val="clear" w:color="auto" w:fill="auto"/>
            <w:vAlign w:val="center"/>
          </w:tcPr>
          <w:p w14:paraId="39DB1809"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Quads extension (dominant side) (kg)</w:t>
            </w:r>
          </w:p>
        </w:tc>
        <w:tc>
          <w:tcPr>
            <w:tcW w:w="663" w:type="pct"/>
            <w:tcBorders>
              <w:left w:val="double" w:sz="4" w:space="0" w:color="auto"/>
              <w:right w:val="double" w:sz="4" w:space="0" w:color="auto"/>
            </w:tcBorders>
            <w:shd w:val="clear" w:color="auto" w:fill="auto"/>
            <w:vAlign w:val="center"/>
          </w:tcPr>
          <w:p w14:paraId="2535D48F"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18.3 (5.5)</w:t>
            </w:r>
          </w:p>
        </w:tc>
        <w:tc>
          <w:tcPr>
            <w:tcW w:w="700" w:type="pct"/>
            <w:tcBorders>
              <w:left w:val="double" w:sz="4" w:space="0" w:color="auto"/>
            </w:tcBorders>
            <w:shd w:val="clear" w:color="auto" w:fill="auto"/>
            <w:vAlign w:val="center"/>
          </w:tcPr>
          <w:p w14:paraId="1D2829C6"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18.7 (6.2)</w:t>
            </w:r>
          </w:p>
        </w:tc>
        <w:tc>
          <w:tcPr>
            <w:tcW w:w="1171" w:type="pct"/>
            <w:shd w:val="clear" w:color="auto" w:fill="auto"/>
            <w:vAlign w:val="center"/>
          </w:tcPr>
          <w:p w14:paraId="28D750C5"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18 (5.0)</w:t>
            </w:r>
          </w:p>
        </w:tc>
        <w:tc>
          <w:tcPr>
            <w:tcW w:w="763" w:type="pct"/>
            <w:shd w:val="clear" w:color="auto" w:fill="auto"/>
          </w:tcPr>
          <w:p w14:paraId="6742661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0.65</w:t>
            </w:r>
          </w:p>
        </w:tc>
      </w:tr>
      <w:tr w:rsidR="00825C89" w:rsidRPr="00010EDA" w14:paraId="59CD7DD7" w14:textId="77777777" w:rsidTr="00D47C29">
        <w:trPr>
          <w:trHeight w:val="424"/>
        </w:trPr>
        <w:tc>
          <w:tcPr>
            <w:tcW w:w="1703" w:type="pct"/>
            <w:tcBorders>
              <w:right w:val="double" w:sz="4" w:space="0" w:color="auto"/>
            </w:tcBorders>
            <w:shd w:val="clear" w:color="auto" w:fill="auto"/>
            <w:vAlign w:val="center"/>
          </w:tcPr>
          <w:p w14:paraId="31BA8317" w14:textId="77777777" w:rsidR="00825C89" w:rsidRPr="00010EDA" w:rsidRDefault="00825C89" w:rsidP="00D47C29">
            <w:pPr>
              <w:rPr>
                <w:rFonts w:ascii="Calibri" w:hAnsi="Calibri" w:cs="Calibri"/>
                <w:sz w:val="20"/>
                <w:szCs w:val="20"/>
              </w:rPr>
            </w:pPr>
            <w:r w:rsidRPr="00010EDA">
              <w:rPr>
                <w:rFonts w:ascii="Calibri" w:hAnsi="Calibri" w:cs="Calibri"/>
                <w:sz w:val="20"/>
                <w:szCs w:val="20"/>
              </w:rPr>
              <w:t>Missing</w:t>
            </w:r>
          </w:p>
        </w:tc>
        <w:tc>
          <w:tcPr>
            <w:tcW w:w="663" w:type="pct"/>
            <w:tcBorders>
              <w:left w:val="double" w:sz="4" w:space="0" w:color="auto"/>
              <w:right w:val="double" w:sz="4" w:space="0" w:color="auto"/>
            </w:tcBorders>
            <w:shd w:val="clear" w:color="auto" w:fill="auto"/>
            <w:vAlign w:val="center"/>
          </w:tcPr>
          <w:p w14:paraId="5B43CF90"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w:t>
            </w:r>
          </w:p>
        </w:tc>
        <w:tc>
          <w:tcPr>
            <w:tcW w:w="700" w:type="pct"/>
            <w:tcBorders>
              <w:left w:val="double" w:sz="4" w:space="0" w:color="auto"/>
            </w:tcBorders>
            <w:shd w:val="clear" w:color="auto" w:fill="auto"/>
            <w:vAlign w:val="center"/>
          </w:tcPr>
          <w:p w14:paraId="537EA8B8"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w:t>
            </w:r>
          </w:p>
        </w:tc>
        <w:tc>
          <w:tcPr>
            <w:tcW w:w="1171" w:type="pct"/>
            <w:shd w:val="clear" w:color="auto" w:fill="auto"/>
            <w:vAlign w:val="center"/>
          </w:tcPr>
          <w:p w14:paraId="3D1B79C7"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2</w:t>
            </w:r>
          </w:p>
        </w:tc>
        <w:tc>
          <w:tcPr>
            <w:tcW w:w="763" w:type="pct"/>
            <w:shd w:val="clear" w:color="auto" w:fill="auto"/>
          </w:tcPr>
          <w:p w14:paraId="621BA673" w14:textId="77777777" w:rsidR="00825C89" w:rsidRPr="00010EDA" w:rsidRDefault="00825C89" w:rsidP="00D47C29">
            <w:pPr>
              <w:jc w:val="center"/>
              <w:rPr>
                <w:rFonts w:ascii="Calibri" w:hAnsi="Calibri" w:cs="Calibri"/>
                <w:sz w:val="20"/>
                <w:szCs w:val="20"/>
              </w:rPr>
            </w:pPr>
          </w:p>
        </w:tc>
      </w:tr>
      <w:tr w:rsidR="00825C89" w:rsidRPr="00010EDA" w14:paraId="4146D8BC" w14:textId="77777777" w:rsidTr="00D47C29">
        <w:trPr>
          <w:trHeight w:val="424"/>
        </w:trPr>
        <w:tc>
          <w:tcPr>
            <w:tcW w:w="1703" w:type="pct"/>
            <w:tcBorders>
              <w:right w:val="double" w:sz="4" w:space="0" w:color="auto"/>
            </w:tcBorders>
            <w:shd w:val="clear" w:color="auto" w:fill="auto"/>
            <w:vAlign w:val="center"/>
          </w:tcPr>
          <w:p w14:paraId="3B6188CF"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Hip flexion (dominant side) (kg)</w:t>
            </w:r>
          </w:p>
        </w:tc>
        <w:tc>
          <w:tcPr>
            <w:tcW w:w="663" w:type="pct"/>
            <w:tcBorders>
              <w:left w:val="double" w:sz="4" w:space="0" w:color="auto"/>
              <w:right w:val="double" w:sz="4" w:space="0" w:color="auto"/>
            </w:tcBorders>
            <w:shd w:val="clear" w:color="auto" w:fill="auto"/>
            <w:vAlign w:val="center"/>
          </w:tcPr>
          <w:p w14:paraId="27CA2FAA"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15.6 (4.6)</w:t>
            </w:r>
          </w:p>
        </w:tc>
        <w:tc>
          <w:tcPr>
            <w:tcW w:w="700" w:type="pct"/>
            <w:tcBorders>
              <w:left w:val="double" w:sz="4" w:space="0" w:color="auto"/>
            </w:tcBorders>
            <w:shd w:val="clear" w:color="auto" w:fill="auto"/>
            <w:vAlign w:val="center"/>
          </w:tcPr>
          <w:p w14:paraId="129344A8"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15.3 (5.1)</w:t>
            </w:r>
          </w:p>
        </w:tc>
        <w:tc>
          <w:tcPr>
            <w:tcW w:w="1171" w:type="pct"/>
            <w:shd w:val="clear" w:color="auto" w:fill="auto"/>
            <w:vAlign w:val="center"/>
          </w:tcPr>
          <w:p w14:paraId="36BDA7D7"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15.9 (4.3)</w:t>
            </w:r>
          </w:p>
        </w:tc>
        <w:tc>
          <w:tcPr>
            <w:tcW w:w="763" w:type="pct"/>
            <w:shd w:val="clear" w:color="auto" w:fill="auto"/>
          </w:tcPr>
          <w:p w14:paraId="24DCAF8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0.41</w:t>
            </w:r>
          </w:p>
        </w:tc>
      </w:tr>
      <w:tr w:rsidR="00825C89" w:rsidRPr="00010EDA" w14:paraId="3D647206" w14:textId="77777777" w:rsidTr="00D47C29">
        <w:trPr>
          <w:trHeight w:val="424"/>
        </w:trPr>
        <w:tc>
          <w:tcPr>
            <w:tcW w:w="1703" w:type="pct"/>
            <w:tcBorders>
              <w:right w:val="double" w:sz="4" w:space="0" w:color="auto"/>
            </w:tcBorders>
            <w:shd w:val="clear" w:color="auto" w:fill="auto"/>
            <w:vAlign w:val="center"/>
          </w:tcPr>
          <w:p w14:paraId="55F58674" w14:textId="77777777" w:rsidR="00825C89" w:rsidRPr="00010EDA" w:rsidRDefault="00825C89" w:rsidP="00D47C29">
            <w:pPr>
              <w:rPr>
                <w:rFonts w:ascii="Calibri" w:hAnsi="Calibri" w:cs="Calibri"/>
                <w:sz w:val="20"/>
                <w:szCs w:val="20"/>
              </w:rPr>
            </w:pPr>
            <w:r w:rsidRPr="00010EDA">
              <w:rPr>
                <w:rFonts w:ascii="Calibri" w:hAnsi="Calibri" w:cs="Calibri"/>
                <w:sz w:val="20"/>
                <w:szCs w:val="20"/>
              </w:rPr>
              <w:t>Missing</w:t>
            </w:r>
          </w:p>
        </w:tc>
        <w:tc>
          <w:tcPr>
            <w:tcW w:w="663" w:type="pct"/>
            <w:tcBorders>
              <w:left w:val="double" w:sz="4" w:space="0" w:color="auto"/>
              <w:right w:val="double" w:sz="4" w:space="0" w:color="auto"/>
            </w:tcBorders>
            <w:shd w:val="clear" w:color="auto" w:fill="auto"/>
            <w:vAlign w:val="center"/>
          </w:tcPr>
          <w:p w14:paraId="4733E808"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w:t>
            </w:r>
          </w:p>
        </w:tc>
        <w:tc>
          <w:tcPr>
            <w:tcW w:w="700" w:type="pct"/>
            <w:tcBorders>
              <w:left w:val="double" w:sz="4" w:space="0" w:color="auto"/>
            </w:tcBorders>
            <w:shd w:val="clear" w:color="auto" w:fill="auto"/>
            <w:vAlign w:val="center"/>
          </w:tcPr>
          <w:p w14:paraId="2D595738"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w:t>
            </w:r>
          </w:p>
        </w:tc>
        <w:tc>
          <w:tcPr>
            <w:tcW w:w="1171" w:type="pct"/>
            <w:shd w:val="clear" w:color="auto" w:fill="auto"/>
            <w:vAlign w:val="center"/>
          </w:tcPr>
          <w:p w14:paraId="5773D0CA"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w:t>
            </w:r>
          </w:p>
        </w:tc>
        <w:tc>
          <w:tcPr>
            <w:tcW w:w="763" w:type="pct"/>
            <w:shd w:val="clear" w:color="auto" w:fill="auto"/>
          </w:tcPr>
          <w:p w14:paraId="111DC03C" w14:textId="77777777" w:rsidR="00825C89" w:rsidRPr="00010EDA" w:rsidRDefault="00825C89" w:rsidP="00D47C29">
            <w:pPr>
              <w:jc w:val="center"/>
              <w:rPr>
                <w:rFonts w:ascii="Calibri" w:hAnsi="Calibri" w:cs="Calibri"/>
                <w:sz w:val="20"/>
                <w:szCs w:val="20"/>
              </w:rPr>
            </w:pPr>
          </w:p>
        </w:tc>
      </w:tr>
      <w:tr w:rsidR="00825C89" w:rsidRPr="00010EDA" w14:paraId="36D879A1" w14:textId="77777777" w:rsidTr="00D47C29">
        <w:trPr>
          <w:trHeight w:val="424"/>
        </w:trPr>
        <w:tc>
          <w:tcPr>
            <w:tcW w:w="1703" w:type="pct"/>
            <w:tcBorders>
              <w:right w:val="double" w:sz="4" w:space="0" w:color="auto"/>
            </w:tcBorders>
            <w:shd w:val="clear" w:color="auto" w:fill="auto"/>
            <w:vAlign w:val="center"/>
          </w:tcPr>
          <w:p w14:paraId="51771ACF"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HAD-A</w:t>
            </w:r>
          </w:p>
        </w:tc>
        <w:tc>
          <w:tcPr>
            <w:tcW w:w="663" w:type="pct"/>
            <w:tcBorders>
              <w:left w:val="double" w:sz="4" w:space="0" w:color="auto"/>
              <w:right w:val="double" w:sz="4" w:space="0" w:color="auto"/>
            </w:tcBorders>
            <w:shd w:val="clear" w:color="auto" w:fill="auto"/>
          </w:tcPr>
          <w:p w14:paraId="614C4DB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6.3 (4.2)</w:t>
            </w:r>
          </w:p>
        </w:tc>
        <w:tc>
          <w:tcPr>
            <w:tcW w:w="700" w:type="pct"/>
            <w:tcBorders>
              <w:left w:val="double" w:sz="4" w:space="0" w:color="auto"/>
            </w:tcBorders>
            <w:shd w:val="clear" w:color="auto" w:fill="auto"/>
            <w:vAlign w:val="center"/>
          </w:tcPr>
          <w:p w14:paraId="474F43FF"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6.2 (4.6)</w:t>
            </w:r>
          </w:p>
        </w:tc>
        <w:tc>
          <w:tcPr>
            <w:tcW w:w="1171" w:type="pct"/>
            <w:shd w:val="clear" w:color="auto" w:fill="auto"/>
            <w:vAlign w:val="center"/>
          </w:tcPr>
          <w:p w14:paraId="46F05C8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6.3 (3.9)</w:t>
            </w:r>
          </w:p>
        </w:tc>
        <w:tc>
          <w:tcPr>
            <w:tcW w:w="763" w:type="pct"/>
            <w:shd w:val="clear" w:color="auto" w:fill="auto"/>
          </w:tcPr>
          <w:p w14:paraId="0E1AD7E1"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0.88</w:t>
            </w:r>
          </w:p>
        </w:tc>
      </w:tr>
      <w:tr w:rsidR="00825C89" w:rsidRPr="00010EDA" w14:paraId="3CF9B9AB" w14:textId="77777777" w:rsidTr="00D47C29">
        <w:trPr>
          <w:trHeight w:val="424"/>
        </w:trPr>
        <w:tc>
          <w:tcPr>
            <w:tcW w:w="1703" w:type="pct"/>
            <w:tcBorders>
              <w:right w:val="double" w:sz="4" w:space="0" w:color="auto"/>
            </w:tcBorders>
            <w:shd w:val="clear" w:color="auto" w:fill="auto"/>
            <w:vAlign w:val="center"/>
          </w:tcPr>
          <w:p w14:paraId="29BED361" w14:textId="77777777" w:rsidR="00825C89" w:rsidRPr="00010EDA" w:rsidRDefault="00825C89" w:rsidP="00D47C29">
            <w:pPr>
              <w:rPr>
                <w:rFonts w:ascii="Calibri" w:hAnsi="Calibri" w:cs="Calibri"/>
                <w:sz w:val="20"/>
                <w:szCs w:val="20"/>
              </w:rPr>
            </w:pPr>
            <w:r w:rsidRPr="00010EDA">
              <w:rPr>
                <w:rFonts w:ascii="Calibri" w:hAnsi="Calibri" w:cs="Calibri"/>
                <w:sz w:val="20"/>
                <w:szCs w:val="20"/>
              </w:rPr>
              <w:t>Missing</w:t>
            </w:r>
          </w:p>
        </w:tc>
        <w:tc>
          <w:tcPr>
            <w:tcW w:w="663" w:type="pct"/>
            <w:tcBorders>
              <w:left w:val="double" w:sz="4" w:space="0" w:color="auto"/>
              <w:right w:val="double" w:sz="4" w:space="0" w:color="auto"/>
            </w:tcBorders>
            <w:shd w:val="clear" w:color="auto" w:fill="auto"/>
            <w:vAlign w:val="center"/>
          </w:tcPr>
          <w:p w14:paraId="18C00B6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w:t>
            </w:r>
          </w:p>
        </w:tc>
        <w:tc>
          <w:tcPr>
            <w:tcW w:w="700" w:type="pct"/>
            <w:tcBorders>
              <w:left w:val="double" w:sz="4" w:space="0" w:color="auto"/>
            </w:tcBorders>
            <w:shd w:val="clear" w:color="auto" w:fill="auto"/>
            <w:vAlign w:val="center"/>
          </w:tcPr>
          <w:p w14:paraId="1A83309D"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w:t>
            </w:r>
          </w:p>
        </w:tc>
        <w:tc>
          <w:tcPr>
            <w:tcW w:w="1171" w:type="pct"/>
            <w:shd w:val="clear" w:color="auto" w:fill="auto"/>
            <w:vAlign w:val="center"/>
          </w:tcPr>
          <w:p w14:paraId="35ECAC9C"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w:t>
            </w:r>
          </w:p>
        </w:tc>
        <w:tc>
          <w:tcPr>
            <w:tcW w:w="763" w:type="pct"/>
            <w:shd w:val="clear" w:color="auto" w:fill="auto"/>
          </w:tcPr>
          <w:p w14:paraId="53A6B1A4" w14:textId="77777777" w:rsidR="00825C89" w:rsidRPr="00010EDA" w:rsidRDefault="00825C89" w:rsidP="00D47C29">
            <w:pPr>
              <w:jc w:val="center"/>
              <w:rPr>
                <w:rFonts w:ascii="Calibri" w:hAnsi="Calibri" w:cs="Calibri"/>
                <w:sz w:val="20"/>
                <w:szCs w:val="20"/>
              </w:rPr>
            </w:pPr>
          </w:p>
        </w:tc>
      </w:tr>
      <w:tr w:rsidR="00825C89" w:rsidRPr="00010EDA" w14:paraId="33017EEF" w14:textId="77777777" w:rsidTr="00D47C29">
        <w:trPr>
          <w:trHeight w:val="424"/>
        </w:trPr>
        <w:tc>
          <w:tcPr>
            <w:tcW w:w="1703" w:type="pct"/>
            <w:tcBorders>
              <w:right w:val="double" w:sz="4" w:space="0" w:color="auto"/>
            </w:tcBorders>
            <w:shd w:val="clear" w:color="auto" w:fill="auto"/>
            <w:vAlign w:val="center"/>
          </w:tcPr>
          <w:p w14:paraId="5354ADD6"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t>HAD-D</w:t>
            </w:r>
          </w:p>
        </w:tc>
        <w:tc>
          <w:tcPr>
            <w:tcW w:w="663" w:type="pct"/>
            <w:tcBorders>
              <w:left w:val="double" w:sz="4" w:space="0" w:color="auto"/>
              <w:right w:val="double" w:sz="4" w:space="0" w:color="auto"/>
            </w:tcBorders>
            <w:shd w:val="clear" w:color="auto" w:fill="auto"/>
          </w:tcPr>
          <w:p w14:paraId="729DC6FA"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5.5 (3.7)</w:t>
            </w:r>
          </w:p>
        </w:tc>
        <w:tc>
          <w:tcPr>
            <w:tcW w:w="700" w:type="pct"/>
            <w:tcBorders>
              <w:left w:val="double" w:sz="4" w:space="0" w:color="auto"/>
            </w:tcBorders>
            <w:shd w:val="clear" w:color="auto" w:fill="auto"/>
            <w:vAlign w:val="center"/>
          </w:tcPr>
          <w:p w14:paraId="29E755AA"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5.8 (3.2)</w:t>
            </w:r>
          </w:p>
        </w:tc>
        <w:tc>
          <w:tcPr>
            <w:tcW w:w="1171" w:type="pct"/>
            <w:shd w:val="clear" w:color="auto" w:fill="auto"/>
            <w:vAlign w:val="center"/>
          </w:tcPr>
          <w:p w14:paraId="2ACE2384"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5.2 (4.0)</w:t>
            </w:r>
          </w:p>
        </w:tc>
        <w:tc>
          <w:tcPr>
            <w:tcW w:w="763" w:type="pct"/>
            <w:shd w:val="clear" w:color="auto" w:fill="auto"/>
          </w:tcPr>
          <w:p w14:paraId="413540BE"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0.28</w:t>
            </w:r>
          </w:p>
        </w:tc>
      </w:tr>
      <w:tr w:rsidR="00825C89" w:rsidRPr="00010EDA" w14:paraId="738F46BD" w14:textId="77777777" w:rsidTr="00D47C29">
        <w:trPr>
          <w:trHeight w:val="424"/>
        </w:trPr>
        <w:tc>
          <w:tcPr>
            <w:tcW w:w="1703" w:type="pct"/>
            <w:tcBorders>
              <w:right w:val="double" w:sz="4" w:space="0" w:color="auto"/>
            </w:tcBorders>
            <w:shd w:val="clear" w:color="auto" w:fill="auto"/>
            <w:vAlign w:val="center"/>
          </w:tcPr>
          <w:p w14:paraId="5B6F5C5B" w14:textId="77777777" w:rsidR="00825C89" w:rsidRPr="00010EDA" w:rsidRDefault="00825C89" w:rsidP="00D47C29">
            <w:pPr>
              <w:rPr>
                <w:rFonts w:ascii="Calibri" w:hAnsi="Calibri" w:cs="Calibri"/>
                <w:sz w:val="20"/>
                <w:szCs w:val="20"/>
              </w:rPr>
            </w:pPr>
            <w:r w:rsidRPr="00010EDA">
              <w:rPr>
                <w:rFonts w:ascii="Calibri" w:hAnsi="Calibri" w:cs="Calibri"/>
                <w:sz w:val="20"/>
                <w:szCs w:val="20"/>
              </w:rPr>
              <w:t>Missing</w:t>
            </w:r>
          </w:p>
        </w:tc>
        <w:tc>
          <w:tcPr>
            <w:tcW w:w="663" w:type="pct"/>
            <w:tcBorders>
              <w:left w:val="double" w:sz="4" w:space="0" w:color="auto"/>
              <w:bottom w:val="single" w:sz="4" w:space="0" w:color="auto"/>
              <w:right w:val="double" w:sz="4" w:space="0" w:color="auto"/>
            </w:tcBorders>
            <w:shd w:val="clear" w:color="auto" w:fill="auto"/>
            <w:vAlign w:val="center"/>
          </w:tcPr>
          <w:p w14:paraId="5A36FE7A"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w:t>
            </w:r>
          </w:p>
        </w:tc>
        <w:tc>
          <w:tcPr>
            <w:tcW w:w="700" w:type="pct"/>
            <w:tcBorders>
              <w:left w:val="double" w:sz="4" w:space="0" w:color="auto"/>
              <w:bottom w:val="single" w:sz="4" w:space="0" w:color="auto"/>
            </w:tcBorders>
            <w:shd w:val="clear" w:color="auto" w:fill="auto"/>
            <w:vAlign w:val="center"/>
          </w:tcPr>
          <w:p w14:paraId="0ACD6BFC"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w:t>
            </w:r>
          </w:p>
        </w:tc>
        <w:tc>
          <w:tcPr>
            <w:tcW w:w="1171" w:type="pct"/>
            <w:tcBorders>
              <w:bottom w:val="single" w:sz="4" w:space="0" w:color="auto"/>
            </w:tcBorders>
            <w:shd w:val="clear" w:color="auto" w:fill="auto"/>
            <w:vAlign w:val="center"/>
          </w:tcPr>
          <w:p w14:paraId="05B457FA"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w:t>
            </w:r>
          </w:p>
        </w:tc>
        <w:tc>
          <w:tcPr>
            <w:tcW w:w="763" w:type="pct"/>
            <w:tcBorders>
              <w:bottom w:val="single" w:sz="4" w:space="0" w:color="auto"/>
            </w:tcBorders>
            <w:shd w:val="clear" w:color="auto" w:fill="auto"/>
          </w:tcPr>
          <w:p w14:paraId="729FB27C" w14:textId="77777777" w:rsidR="00825C89" w:rsidRPr="00010EDA" w:rsidRDefault="00825C89" w:rsidP="00D47C29">
            <w:pPr>
              <w:jc w:val="center"/>
              <w:rPr>
                <w:rFonts w:ascii="Calibri" w:hAnsi="Calibri" w:cs="Calibri"/>
                <w:sz w:val="20"/>
                <w:szCs w:val="20"/>
              </w:rPr>
            </w:pPr>
          </w:p>
        </w:tc>
      </w:tr>
      <w:tr w:rsidR="00825C89" w:rsidRPr="00010EDA" w14:paraId="17965F38" w14:textId="77777777" w:rsidTr="00D47C29">
        <w:trPr>
          <w:trHeight w:val="424"/>
        </w:trPr>
        <w:tc>
          <w:tcPr>
            <w:tcW w:w="1703" w:type="pct"/>
            <w:tcBorders>
              <w:right w:val="double" w:sz="4" w:space="0" w:color="auto"/>
            </w:tcBorders>
            <w:shd w:val="clear" w:color="auto" w:fill="auto"/>
            <w:vAlign w:val="center"/>
          </w:tcPr>
          <w:p w14:paraId="5A99BF10" w14:textId="77777777" w:rsidR="00825C89" w:rsidRPr="00010EDA" w:rsidRDefault="00825C89" w:rsidP="00D47C29">
            <w:pPr>
              <w:rPr>
                <w:rFonts w:ascii="Calibri" w:hAnsi="Calibri" w:cs="Calibri"/>
                <w:b/>
                <w:sz w:val="20"/>
                <w:szCs w:val="20"/>
              </w:rPr>
            </w:pPr>
            <w:r w:rsidRPr="00010EDA">
              <w:rPr>
                <w:rFonts w:ascii="Calibri" w:hAnsi="Calibri" w:cs="Calibri"/>
                <w:b/>
                <w:sz w:val="20"/>
                <w:szCs w:val="20"/>
              </w:rPr>
              <w:lastRenderedPageBreak/>
              <w:t>SGRQ-I Total score</w:t>
            </w:r>
          </w:p>
        </w:tc>
        <w:tc>
          <w:tcPr>
            <w:tcW w:w="663" w:type="pct"/>
            <w:tcBorders>
              <w:left w:val="double" w:sz="4" w:space="0" w:color="auto"/>
              <w:bottom w:val="single" w:sz="4" w:space="0" w:color="auto"/>
              <w:right w:val="double" w:sz="4" w:space="0" w:color="auto"/>
            </w:tcBorders>
            <w:shd w:val="clear" w:color="auto" w:fill="auto"/>
          </w:tcPr>
          <w:p w14:paraId="5743B322"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46.6 (21.2)</w:t>
            </w:r>
          </w:p>
        </w:tc>
        <w:tc>
          <w:tcPr>
            <w:tcW w:w="700" w:type="pct"/>
            <w:tcBorders>
              <w:left w:val="double" w:sz="4" w:space="0" w:color="auto"/>
              <w:right w:val="single" w:sz="4" w:space="0" w:color="auto"/>
            </w:tcBorders>
            <w:shd w:val="clear" w:color="auto" w:fill="auto"/>
            <w:vAlign w:val="center"/>
          </w:tcPr>
          <w:p w14:paraId="5B3C15E3"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43.3 (20.3)</w:t>
            </w:r>
          </w:p>
        </w:tc>
        <w:tc>
          <w:tcPr>
            <w:tcW w:w="1171" w:type="pct"/>
            <w:tcBorders>
              <w:left w:val="single" w:sz="4" w:space="0" w:color="auto"/>
              <w:right w:val="single" w:sz="4" w:space="0" w:color="auto"/>
            </w:tcBorders>
            <w:shd w:val="clear" w:color="auto" w:fill="auto"/>
            <w:vAlign w:val="center"/>
          </w:tcPr>
          <w:p w14:paraId="2B208CF1"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49.3 (21.8)</w:t>
            </w:r>
          </w:p>
        </w:tc>
        <w:tc>
          <w:tcPr>
            <w:tcW w:w="763" w:type="pct"/>
            <w:tcBorders>
              <w:left w:val="single" w:sz="4" w:space="0" w:color="auto"/>
            </w:tcBorders>
            <w:shd w:val="clear" w:color="auto" w:fill="auto"/>
          </w:tcPr>
          <w:p w14:paraId="1ACBCD7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0.29</w:t>
            </w:r>
          </w:p>
        </w:tc>
      </w:tr>
      <w:tr w:rsidR="00825C89" w:rsidRPr="00010EDA" w14:paraId="04823B0F" w14:textId="77777777" w:rsidTr="00D47C29">
        <w:trPr>
          <w:trHeight w:val="424"/>
        </w:trPr>
        <w:tc>
          <w:tcPr>
            <w:tcW w:w="1703" w:type="pct"/>
            <w:tcBorders>
              <w:right w:val="double" w:sz="4" w:space="0" w:color="auto"/>
            </w:tcBorders>
            <w:vAlign w:val="center"/>
          </w:tcPr>
          <w:p w14:paraId="7ECFAD06" w14:textId="77777777" w:rsidR="00825C89" w:rsidRPr="00010EDA" w:rsidRDefault="00825C89" w:rsidP="00D47C29">
            <w:pPr>
              <w:rPr>
                <w:rFonts w:ascii="Calibri" w:hAnsi="Calibri" w:cs="Calibri"/>
                <w:sz w:val="20"/>
                <w:szCs w:val="20"/>
              </w:rPr>
            </w:pPr>
            <w:r w:rsidRPr="00010EDA">
              <w:rPr>
                <w:rFonts w:ascii="Calibri" w:hAnsi="Calibri" w:cs="Calibri"/>
                <w:sz w:val="20"/>
                <w:szCs w:val="20"/>
              </w:rPr>
              <w:t>Missing</w:t>
            </w:r>
          </w:p>
        </w:tc>
        <w:tc>
          <w:tcPr>
            <w:tcW w:w="663" w:type="pct"/>
            <w:tcBorders>
              <w:left w:val="double" w:sz="4" w:space="0" w:color="auto"/>
              <w:bottom w:val="double" w:sz="4" w:space="0" w:color="auto"/>
              <w:right w:val="double" w:sz="4" w:space="0" w:color="auto"/>
            </w:tcBorders>
            <w:vAlign w:val="center"/>
          </w:tcPr>
          <w:p w14:paraId="002DBC8A"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w:t>
            </w:r>
          </w:p>
        </w:tc>
        <w:tc>
          <w:tcPr>
            <w:tcW w:w="700" w:type="pct"/>
            <w:tcBorders>
              <w:left w:val="double" w:sz="4" w:space="0" w:color="auto"/>
              <w:right w:val="single" w:sz="4" w:space="0" w:color="auto"/>
            </w:tcBorders>
            <w:vAlign w:val="center"/>
          </w:tcPr>
          <w:p w14:paraId="75A6A942"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0</w:t>
            </w:r>
          </w:p>
        </w:tc>
        <w:tc>
          <w:tcPr>
            <w:tcW w:w="1171" w:type="pct"/>
            <w:tcBorders>
              <w:left w:val="single" w:sz="4" w:space="0" w:color="auto"/>
              <w:right w:val="single" w:sz="4" w:space="0" w:color="auto"/>
            </w:tcBorders>
            <w:vAlign w:val="center"/>
          </w:tcPr>
          <w:p w14:paraId="15B852D9" w14:textId="77777777" w:rsidR="00825C89" w:rsidRPr="00010EDA" w:rsidRDefault="00825C89" w:rsidP="00D47C29">
            <w:pPr>
              <w:jc w:val="center"/>
              <w:rPr>
                <w:rFonts w:ascii="Calibri" w:hAnsi="Calibri" w:cs="Calibri"/>
                <w:sz w:val="20"/>
                <w:szCs w:val="20"/>
              </w:rPr>
            </w:pPr>
            <w:r w:rsidRPr="00010EDA">
              <w:rPr>
                <w:rFonts w:ascii="Calibri" w:hAnsi="Calibri" w:cs="Calibri"/>
                <w:sz w:val="20"/>
                <w:szCs w:val="20"/>
              </w:rPr>
              <w:t>1</w:t>
            </w:r>
          </w:p>
        </w:tc>
        <w:tc>
          <w:tcPr>
            <w:tcW w:w="763" w:type="pct"/>
            <w:tcBorders>
              <w:left w:val="single" w:sz="4" w:space="0" w:color="auto"/>
            </w:tcBorders>
          </w:tcPr>
          <w:p w14:paraId="5B4F1916" w14:textId="77777777" w:rsidR="00825C89" w:rsidRPr="00010EDA" w:rsidRDefault="00825C89" w:rsidP="00D47C29">
            <w:pPr>
              <w:jc w:val="center"/>
              <w:rPr>
                <w:rFonts w:ascii="Calibri" w:hAnsi="Calibri" w:cs="Calibri"/>
                <w:sz w:val="20"/>
                <w:szCs w:val="20"/>
              </w:rPr>
            </w:pPr>
          </w:p>
        </w:tc>
      </w:tr>
    </w:tbl>
    <w:p w14:paraId="13206EAA" w14:textId="77777777" w:rsidR="00825C89" w:rsidRPr="00022E90" w:rsidRDefault="00825C89" w:rsidP="00825C89">
      <w:pPr>
        <w:jc w:val="both"/>
        <w:rPr>
          <w:rFonts w:ascii="Times New Roman" w:hAnsi="Times New Roman" w:cs="Times New Roman"/>
          <w:highlight w:val="yellow"/>
        </w:rPr>
      </w:pPr>
      <w:r>
        <w:t>D</w:t>
      </w:r>
      <w:r w:rsidRPr="002C412F">
        <w:t>ata are means (SD) unless otherwise stated.</w:t>
      </w:r>
      <w:r>
        <w:t xml:space="preserve"> </w:t>
      </w:r>
      <w:r w:rsidRPr="002C412F">
        <w:t>The p-value tests the general null hypothesis of similarity between the randomized groups. The methods include t-tests (equal or unequal variances), Kruskal</w:t>
      </w:r>
      <w:r>
        <w:t>-</w:t>
      </w:r>
      <w:r w:rsidRPr="002C412F">
        <w:t xml:space="preserve"> Wallis and chi-squared (Fisher exact) as appropriate according to the nature of the variables. All tests </w:t>
      </w:r>
      <w:r w:rsidRPr="00022E90">
        <w:rPr>
          <w:rFonts w:ascii="Calibri" w:hAnsi="Calibri" w:cs="Calibri"/>
        </w:rPr>
        <w:t xml:space="preserve">have been carried out on the complete data only and missing data were not considered as a separate category. </w:t>
      </w:r>
      <w:r w:rsidRPr="00762FAB">
        <w:rPr>
          <w:rFonts w:ascii="Calibri" w:hAnsi="Calibri" w:cs="Calibri"/>
          <w:szCs w:val="20"/>
        </w:rPr>
        <w:t>§= p value was calculated considering the whole (balanced) distribution.</w:t>
      </w:r>
    </w:p>
    <w:p w14:paraId="5E423CC8" w14:textId="77777777" w:rsidR="00825C89" w:rsidRPr="00A42D9D" w:rsidRDefault="00825C89" w:rsidP="00825C89">
      <w:pPr>
        <w:spacing w:line="480" w:lineRule="auto"/>
        <w:jc w:val="center"/>
        <w:rPr>
          <w:rFonts w:cstheme="minorHAnsi"/>
          <w:i/>
          <w:sz w:val="24"/>
          <w:szCs w:val="24"/>
        </w:rPr>
      </w:pPr>
    </w:p>
    <w:p w14:paraId="2E22BA5F" w14:textId="77777777" w:rsidR="00825C89" w:rsidRPr="00A42D9D" w:rsidRDefault="00825C89" w:rsidP="00825C89">
      <w:pPr>
        <w:spacing w:line="480" w:lineRule="auto"/>
        <w:jc w:val="both"/>
        <w:rPr>
          <w:rFonts w:cstheme="minorHAnsi"/>
          <w:b/>
          <w:sz w:val="24"/>
          <w:szCs w:val="24"/>
        </w:rPr>
      </w:pPr>
      <w:r w:rsidRPr="00A42D9D">
        <w:rPr>
          <w:rFonts w:cstheme="minorHAnsi"/>
          <w:b/>
          <w:sz w:val="24"/>
          <w:szCs w:val="24"/>
        </w:rPr>
        <w:t>Feasibility of HIIT compared to MICT</w:t>
      </w:r>
    </w:p>
    <w:p w14:paraId="05548FB4" w14:textId="77777777" w:rsidR="00825C89" w:rsidRPr="00A42D9D" w:rsidRDefault="00825C89" w:rsidP="00825C89">
      <w:pPr>
        <w:spacing w:line="480" w:lineRule="auto"/>
        <w:jc w:val="both"/>
        <w:rPr>
          <w:rFonts w:cstheme="minorHAnsi"/>
          <w:b/>
          <w:color w:val="FFFFFF" w:themeColor="background1"/>
          <w:sz w:val="24"/>
          <w:szCs w:val="24"/>
        </w:rPr>
      </w:pPr>
      <w:r w:rsidRPr="00A42D9D">
        <w:rPr>
          <w:rFonts w:cstheme="minorHAnsi"/>
          <w:sz w:val="24"/>
          <w:szCs w:val="24"/>
        </w:rPr>
        <w:t xml:space="preserve">HIIT was well tolerated in a circuit-based clinical PR programme but required closer supervision to monitor participants’ target heart rate and avoid desaturation below 85%. There were no adverse events from HIIT during or after the PR programme although attrition in the HIIT group was higher (42% compared to 28% in the MICT group) this did not appear to be due to a specific factor that could be directly attributed to the type of programme (Figure 1). </w:t>
      </w:r>
    </w:p>
    <w:p w14:paraId="1819A0EB" w14:textId="77777777" w:rsidR="00825C89" w:rsidRDefault="00825C89" w:rsidP="00825C89">
      <w:pPr>
        <w:autoSpaceDE w:val="0"/>
        <w:autoSpaceDN w:val="0"/>
        <w:adjustRightInd w:val="0"/>
        <w:spacing w:after="0" w:line="480" w:lineRule="auto"/>
        <w:jc w:val="both"/>
        <w:rPr>
          <w:rFonts w:cstheme="minorHAnsi"/>
          <w:b/>
          <w:sz w:val="24"/>
          <w:szCs w:val="28"/>
        </w:rPr>
      </w:pPr>
    </w:p>
    <w:p w14:paraId="2A3F1783" w14:textId="77777777" w:rsidR="00825C89" w:rsidRPr="00A42D9D" w:rsidRDefault="00825C89" w:rsidP="00825C89">
      <w:pPr>
        <w:autoSpaceDE w:val="0"/>
        <w:autoSpaceDN w:val="0"/>
        <w:adjustRightInd w:val="0"/>
        <w:spacing w:after="0" w:line="480" w:lineRule="auto"/>
        <w:jc w:val="both"/>
        <w:rPr>
          <w:rFonts w:cstheme="minorHAnsi"/>
          <w:b/>
          <w:sz w:val="24"/>
          <w:szCs w:val="28"/>
        </w:rPr>
      </w:pPr>
      <w:r w:rsidRPr="00A42D9D">
        <w:rPr>
          <w:rFonts w:cstheme="minorHAnsi"/>
          <w:b/>
          <w:sz w:val="24"/>
          <w:szCs w:val="28"/>
        </w:rPr>
        <w:t>Change in exercise capacity, respiratory and peripheral muscle strength and health status</w:t>
      </w:r>
    </w:p>
    <w:p w14:paraId="5175C2A6" w14:textId="77777777" w:rsidR="00825C89" w:rsidRDefault="00825C89" w:rsidP="00825C89">
      <w:pPr>
        <w:spacing w:line="480" w:lineRule="auto"/>
        <w:rPr>
          <w:rFonts w:cstheme="minorHAnsi"/>
          <w:sz w:val="24"/>
          <w:szCs w:val="24"/>
        </w:rPr>
      </w:pPr>
      <w:r w:rsidRPr="00A42D9D">
        <w:rPr>
          <w:rFonts w:cstheme="minorHAnsi"/>
          <w:sz w:val="24"/>
          <w:szCs w:val="24"/>
        </w:rPr>
        <w:t xml:space="preserve">The change in outcomes from baseline at all assessment points are shown in Figure 2 and suggest a non-linear trend. This was then tested using linear and non-linear models and it was found that a quadratic model provided a significantly better fit than a linear model. The 6MWD increased over time from baseline in both groups, after which it tended to return towards starting levels (p&lt;0.001 for a quadratic term of change over time), Figure 3. The p value for the group-time interaction term was p=0.006 suggesting that the trajectories differed between groups. The HIIT group peaked quicker, around 4 months compared to around 5 months with MICT (Figure 3). The models also suggested that the change in 6MWD values were smaller with HIIT (Table 2, Figure 2); mean change at peak was 51.6m (95% CI 29.2, 73.9) in the MICT group compared to 26.3m (3.5, 49.1) with HIIT. The picture was the same using the estimates at 2 and 8 months </w:t>
      </w:r>
      <w:r w:rsidRPr="00A42D9D">
        <w:rPr>
          <w:rFonts w:cstheme="minorHAnsi"/>
          <w:sz w:val="24"/>
          <w:szCs w:val="24"/>
        </w:rPr>
        <w:lastRenderedPageBreak/>
        <w:t xml:space="preserve">(Table 2, Figure 2). Age was inversely associated with the average 6MWD values in both groups, but the time course was similar across ages (Fig. 3). </w:t>
      </w:r>
    </w:p>
    <w:p w14:paraId="2DB92DC7" w14:textId="77777777" w:rsidR="00825C89" w:rsidRPr="00A42D9D" w:rsidRDefault="00825C89" w:rsidP="00825C89">
      <w:pPr>
        <w:spacing w:line="360" w:lineRule="auto"/>
        <w:jc w:val="center"/>
        <w:rPr>
          <w:rFonts w:cstheme="minorHAnsi"/>
          <w:i/>
          <w:sz w:val="24"/>
        </w:rPr>
      </w:pPr>
      <w:r w:rsidRPr="00A42D9D">
        <w:rPr>
          <w:rFonts w:cstheme="minorHAnsi"/>
          <w:i/>
          <w:sz w:val="24"/>
        </w:rPr>
        <w:t>Figure 2 and 3 around here</w:t>
      </w:r>
    </w:p>
    <w:p w14:paraId="341DEC1B" w14:textId="77777777" w:rsidR="00825C89" w:rsidRDefault="00825C89" w:rsidP="00825C89">
      <w:pPr>
        <w:spacing w:after="0" w:line="240" w:lineRule="auto"/>
        <w:jc w:val="both"/>
        <w:rPr>
          <w:rFonts w:cstheme="minorHAnsi"/>
          <w:sz w:val="24"/>
          <w:szCs w:val="24"/>
        </w:rPr>
      </w:pPr>
    </w:p>
    <w:p w14:paraId="7AF7A637" w14:textId="77777777" w:rsidR="00825C89" w:rsidRDefault="00825C89" w:rsidP="00825C89">
      <w:pPr>
        <w:spacing w:after="0" w:line="240" w:lineRule="auto"/>
        <w:jc w:val="both"/>
        <w:rPr>
          <w:rFonts w:cstheme="minorHAnsi"/>
          <w:sz w:val="24"/>
          <w:szCs w:val="24"/>
        </w:rPr>
      </w:pPr>
    </w:p>
    <w:p w14:paraId="09B08717" w14:textId="77777777" w:rsidR="00825C89" w:rsidRDefault="00825C89" w:rsidP="00825C89">
      <w:pPr>
        <w:spacing w:after="0" w:line="240" w:lineRule="auto"/>
        <w:jc w:val="both"/>
        <w:rPr>
          <w:rFonts w:cstheme="minorHAnsi"/>
          <w:sz w:val="24"/>
          <w:szCs w:val="24"/>
        </w:rPr>
      </w:pPr>
    </w:p>
    <w:p w14:paraId="543B419D" w14:textId="77777777" w:rsidR="00825C89" w:rsidRDefault="00825C89" w:rsidP="00825C89">
      <w:pPr>
        <w:spacing w:after="0" w:line="240" w:lineRule="auto"/>
        <w:jc w:val="both"/>
        <w:rPr>
          <w:sz w:val="24"/>
          <w:szCs w:val="24"/>
        </w:rPr>
      </w:pPr>
      <w:r w:rsidRPr="002718FE">
        <w:rPr>
          <w:b/>
          <w:sz w:val="24"/>
          <w:szCs w:val="24"/>
        </w:rPr>
        <w:t>Table 2:</w:t>
      </w:r>
      <w:r w:rsidRPr="002718FE">
        <w:rPr>
          <w:sz w:val="24"/>
          <w:szCs w:val="24"/>
        </w:rPr>
        <w:t xml:space="preserve"> Average predictions for main outcomes values at the main time points during the trial and for changes from baseline (actual and adjusted for age)</w:t>
      </w:r>
    </w:p>
    <w:p w14:paraId="00511016" w14:textId="77777777" w:rsidR="00825C89" w:rsidRDefault="00825C89" w:rsidP="00825C89">
      <w:pPr>
        <w:spacing w:after="0" w:line="240" w:lineRule="auto"/>
        <w:jc w:val="both"/>
        <w:rPr>
          <w:sz w:val="24"/>
          <w:szCs w:val="24"/>
        </w:rPr>
      </w:pPr>
    </w:p>
    <w:p w14:paraId="40E2CC9F" w14:textId="77777777" w:rsidR="00825C89" w:rsidRDefault="00825C89" w:rsidP="00825C89">
      <w:pPr>
        <w:spacing w:after="0" w:line="240" w:lineRule="auto"/>
        <w:jc w:val="both"/>
        <w:rPr>
          <w:sz w:val="24"/>
          <w:szCs w:val="24"/>
        </w:rPr>
      </w:pPr>
    </w:p>
    <w:p w14:paraId="57D0C52E" w14:textId="77777777" w:rsidR="00825C89" w:rsidRDefault="00825C89" w:rsidP="00825C89">
      <w:pPr>
        <w:spacing w:after="0" w:line="240" w:lineRule="auto"/>
        <w:jc w:val="both"/>
        <w:rPr>
          <w:sz w:val="24"/>
          <w:szCs w:val="24"/>
        </w:rPr>
      </w:pPr>
    </w:p>
    <w:p w14:paraId="7F2960A1" w14:textId="77777777" w:rsidR="00825C89" w:rsidRDefault="00825C89" w:rsidP="00825C89">
      <w:pPr>
        <w:spacing w:after="0" w:line="240" w:lineRule="auto"/>
        <w:jc w:val="both"/>
        <w:rPr>
          <w:sz w:val="24"/>
          <w:szCs w:val="24"/>
        </w:rPr>
      </w:pPr>
    </w:p>
    <w:p w14:paraId="716D0868" w14:textId="77777777" w:rsidR="00825C89" w:rsidRDefault="00825C89" w:rsidP="00825C89">
      <w:pPr>
        <w:spacing w:after="0" w:line="240" w:lineRule="auto"/>
        <w:jc w:val="both"/>
        <w:rPr>
          <w:sz w:val="24"/>
          <w:szCs w:val="24"/>
        </w:rPr>
      </w:pPr>
    </w:p>
    <w:p w14:paraId="7EE86ACC" w14:textId="77777777" w:rsidR="00825C89" w:rsidRDefault="00825C89" w:rsidP="00825C89">
      <w:pPr>
        <w:spacing w:after="0" w:line="240" w:lineRule="auto"/>
        <w:jc w:val="both"/>
        <w:rPr>
          <w:sz w:val="24"/>
          <w:szCs w:val="24"/>
        </w:rPr>
      </w:pPr>
    </w:p>
    <w:p w14:paraId="35561F67" w14:textId="77777777" w:rsidR="00825C89" w:rsidRDefault="00825C89" w:rsidP="00825C89">
      <w:pPr>
        <w:spacing w:after="0" w:line="240" w:lineRule="auto"/>
        <w:jc w:val="both"/>
        <w:rPr>
          <w:sz w:val="24"/>
          <w:szCs w:val="24"/>
        </w:rPr>
      </w:pPr>
    </w:p>
    <w:p w14:paraId="43FF7FAB" w14:textId="77777777" w:rsidR="00825C89" w:rsidRDefault="00825C89" w:rsidP="00825C89">
      <w:pPr>
        <w:spacing w:after="0" w:line="240" w:lineRule="auto"/>
        <w:jc w:val="both"/>
        <w:rPr>
          <w:sz w:val="24"/>
          <w:szCs w:val="24"/>
        </w:rPr>
      </w:pPr>
    </w:p>
    <w:p w14:paraId="3BD1A760" w14:textId="77777777" w:rsidR="00825C89" w:rsidRDefault="00825C89" w:rsidP="00825C89">
      <w:pPr>
        <w:spacing w:after="0" w:line="240" w:lineRule="auto"/>
        <w:jc w:val="both"/>
        <w:rPr>
          <w:sz w:val="24"/>
          <w:szCs w:val="24"/>
        </w:rPr>
      </w:pPr>
    </w:p>
    <w:p w14:paraId="750EE90F" w14:textId="77777777" w:rsidR="00825C89" w:rsidRDefault="00825C89" w:rsidP="00825C89">
      <w:pPr>
        <w:spacing w:after="0" w:line="240" w:lineRule="auto"/>
        <w:jc w:val="both"/>
        <w:rPr>
          <w:sz w:val="24"/>
          <w:szCs w:val="24"/>
        </w:rPr>
      </w:pPr>
    </w:p>
    <w:p w14:paraId="580FE6D3" w14:textId="77777777" w:rsidR="00825C89" w:rsidRDefault="00825C89" w:rsidP="00825C89">
      <w:pPr>
        <w:spacing w:after="0" w:line="240" w:lineRule="auto"/>
        <w:jc w:val="both"/>
        <w:rPr>
          <w:sz w:val="24"/>
          <w:szCs w:val="24"/>
        </w:rPr>
      </w:pPr>
    </w:p>
    <w:p w14:paraId="75170896" w14:textId="77777777" w:rsidR="00825C89" w:rsidRDefault="00825C89" w:rsidP="00825C89">
      <w:pPr>
        <w:spacing w:after="0" w:line="240" w:lineRule="auto"/>
        <w:jc w:val="both"/>
        <w:rPr>
          <w:sz w:val="24"/>
          <w:szCs w:val="24"/>
        </w:rPr>
      </w:pPr>
    </w:p>
    <w:p w14:paraId="0FB15DD4" w14:textId="77777777" w:rsidR="00825C89" w:rsidRDefault="00825C89" w:rsidP="00825C89">
      <w:pPr>
        <w:spacing w:after="0" w:line="240" w:lineRule="auto"/>
        <w:jc w:val="both"/>
        <w:rPr>
          <w:sz w:val="24"/>
          <w:szCs w:val="24"/>
        </w:rPr>
      </w:pPr>
    </w:p>
    <w:p w14:paraId="226940E5" w14:textId="77777777" w:rsidR="00825C89" w:rsidRDefault="00825C89" w:rsidP="00825C89">
      <w:pPr>
        <w:spacing w:after="0" w:line="240" w:lineRule="auto"/>
        <w:jc w:val="both"/>
        <w:rPr>
          <w:sz w:val="24"/>
          <w:szCs w:val="24"/>
        </w:rPr>
      </w:pPr>
    </w:p>
    <w:p w14:paraId="3AEB517B" w14:textId="77777777" w:rsidR="00825C89" w:rsidRDefault="00825C89" w:rsidP="00825C89">
      <w:pPr>
        <w:spacing w:after="0" w:line="240" w:lineRule="auto"/>
        <w:jc w:val="both"/>
        <w:rPr>
          <w:sz w:val="24"/>
          <w:szCs w:val="24"/>
        </w:rPr>
      </w:pPr>
    </w:p>
    <w:p w14:paraId="70A1AFAD" w14:textId="77777777" w:rsidR="00825C89" w:rsidRDefault="00825C89" w:rsidP="00825C89">
      <w:pPr>
        <w:spacing w:after="0" w:line="240" w:lineRule="auto"/>
        <w:jc w:val="both"/>
        <w:rPr>
          <w:sz w:val="24"/>
          <w:szCs w:val="24"/>
        </w:rPr>
      </w:pPr>
    </w:p>
    <w:p w14:paraId="05DD7171" w14:textId="77777777" w:rsidR="00825C89" w:rsidRDefault="00825C89" w:rsidP="00825C89">
      <w:pPr>
        <w:spacing w:after="0" w:line="240" w:lineRule="auto"/>
        <w:jc w:val="both"/>
        <w:rPr>
          <w:sz w:val="24"/>
          <w:szCs w:val="24"/>
        </w:rPr>
      </w:pPr>
    </w:p>
    <w:p w14:paraId="1B55BD9E" w14:textId="77777777" w:rsidR="00825C89" w:rsidRPr="004A1176" w:rsidRDefault="00825C89" w:rsidP="00825C89">
      <w:pPr>
        <w:spacing w:after="0" w:line="240" w:lineRule="auto"/>
        <w:jc w:val="both"/>
        <w:rPr>
          <w:sz w:val="24"/>
          <w:szCs w:val="24"/>
        </w:rPr>
      </w:pPr>
    </w:p>
    <w:tbl>
      <w:tblPr>
        <w:tblStyle w:val="TableGrid"/>
        <w:tblpPr w:leftFromText="180" w:rightFromText="180" w:vertAnchor="page" w:horzAnchor="margin" w:tblpY="1186"/>
        <w:tblW w:w="5000" w:type="pct"/>
        <w:tblCellMar>
          <w:left w:w="0" w:type="dxa"/>
          <w:right w:w="0" w:type="dxa"/>
        </w:tblCellMar>
        <w:tblLook w:val="04A0" w:firstRow="1" w:lastRow="0" w:firstColumn="1" w:lastColumn="0" w:noHBand="0" w:noVBand="1"/>
      </w:tblPr>
      <w:tblGrid>
        <w:gridCol w:w="594"/>
        <w:gridCol w:w="1627"/>
        <w:gridCol w:w="993"/>
        <w:gridCol w:w="1357"/>
        <w:gridCol w:w="1230"/>
        <w:gridCol w:w="1357"/>
        <w:gridCol w:w="1648"/>
        <w:gridCol w:w="1650"/>
      </w:tblGrid>
      <w:tr w:rsidR="00825C89" w:rsidRPr="00243253" w14:paraId="68850533" w14:textId="77777777" w:rsidTr="00D47C29">
        <w:trPr>
          <w:trHeight w:val="304"/>
        </w:trPr>
        <w:tc>
          <w:tcPr>
            <w:tcW w:w="284" w:type="pct"/>
            <w:vMerge w:val="restart"/>
            <w:textDirection w:val="btLr"/>
          </w:tcPr>
          <w:p w14:paraId="43580767" w14:textId="77777777" w:rsidR="00825C89" w:rsidRPr="000A4B32" w:rsidRDefault="00825C89" w:rsidP="00D47C29">
            <w:pPr>
              <w:ind w:left="113" w:right="113"/>
              <w:jc w:val="center"/>
              <w:rPr>
                <w:b/>
                <w:sz w:val="20"/>
                <w:szCs w:val="20"/>
              </w:rPr>
            </w:pPr>
            <w:r w:rsidRPr="000A4B32">
              <w:rPr>
                <w:b/>
                <w:sz w:val="20"/>
                <w:szCs w:val="20"/>
              </w:rPr>
              <w:lastRenderedPageBreak/>
              <w:t>Outcome</w:t>
            </w:r>
          </w:p>
        </w:tc>
        <w:tc>
          <w:tcPr>
            <w:tcW w:w="778" w:type="pct"/>
            <w:vMerge w:val="restart"/>
          </w:tcPr>
          <w:p w14:paraId="2320CC51" w14:textId="77777777" w:rsidR="00825C89" w:rsidRPr="00243253" w:rsidRDefault="00825C89" w:rsidP="00D47C29">
            <w:pPr>
              <w:jc w:val="center"/>
              <w:rPr>
                <w:b/>
              </w:rPr>
            </w:pPr>
            <w:r w:rsidRPr="00243253">
              <w:rPr>
                <w:b/>
              </w:rPr>
              <w:t>Time</w:t>
            </w:r>
          </w:p>
        </w:tc>
        <w:tc>
          <w:tcPr>
            <w:tcW w:w="1124" w:type="pct"/>
            <w:gridSpan w:val="2"/>
          </w:tcPr>
          <w:p w14:paraId="3C4B075C" w14:textId="77777777" w:rsidR="00825C89" w:rsidRDefault="00825C89" w:rsidP="00D47C29">
            <w:pPr>
              <w:jc w:val="center"/>
              <w:rPr>
                <w:sz w:val="18"/>
                <w:szCs w:val="18"/>
              </w:rPr>
            </w:pPr>
            <w:r>
              <w:rPr>
                <w:b/>
              </w:rPr>
              <w:t>Group data</w:t>
            </w:r>
          </w:p>
          <w:p w14:paraId="25661649" w14:textId="77777777" w:rsidR="00825C89" w:rsidRDefault="00825C89" w:rsidP="00D47C29">
            <w:pPr>
              <w:jc w:val="center"/>
            </w:pPr>
            <w:r w:rsidRPr="00A04979">
              <w:t>Mean</w:t>
            </w:r>
            <w:r>
              <w:t xml:space="preserve"> </w:t>
            </w:r>
            <w:r w:rsidRPr="00A04979">
              <w:t xml:space="preserve"> </w:t>
            </w:r>
          </w:p>
          <w:p w14:paraId="5871BB65" w14:textId="77777777" w:rsidR="00825C89" w:rsidRPr="00A04979" w:rsidRDefault="00825C89" w:rsidP="00D47C29">
            <w:pPr>
              <w:jc w:val="center"/>
              <w:rPr>
                <w:b/>
              </w:rPr>
            </w:pPr>
            <w:r w:rsidRPr="00A04979">
              <w:t>(95% CI)</w:t>
            </w:r>
          </w:p>
        </w:tc>
        <w:tc>
          <w:tcPr>
            <w:tcW w:w="1237" w:type="pct"/>
            <w:gridSpan w:val="2"/>
          </w:tcPr>
          <w:p w14:paraId="1E2EF978" w14:textId="77777777" w:rsidR="00825C89" w:rsidRDefault="00825C89" w:rsidP="00D47C29">
            <w:pPr>
              <w:jc w:val="center"/>
              <w:rPr>
                <w:b/>
              </w:rPr>
            </w:pPr>
            <w:r w:rsidRPr="00A04979">
              <w:rPr>
                <w:b/>
              </w:rPr>
              <w:t xml:space="preserve">Change </w:t>
            </w:r>
          </w:p>
          <w:p w14:paraId="0B253A07" w14:textId="77777777" w:rsidR="00825C89" w:rsidRDefault="00825C89" w:rsidP="00D47C29">
            <w:pPr>
              <w:jc w:val="center"/>
              <w:rPr>
                <w:b/>
              </w:rPr>
            </w:pPr>
            <w:r w:rsidRPr="00A04979">
              <w:rPr>
                <w:b/>
              </w:rPr>
              <w:t>from baseline</w:t>
            </w:r>
          </w:p>
          <w:p w14:paraId="2E2FD252" w14:textId="77777777" w:rsidR="00825C89" w:rsidRPr="00243253" w:rsidRDefault="00825C89" w:rsidP="00D47C29">
            <w:pPr>
              <w:jc w:val="center"/>
              <w:rPr>
                <w:b/>
              </w:rPr>
            </w:pPr>
            <w:r w:rsidRPr="00A04979">
              <w:t>Mean (95% CI)</w:t>
            </w:r>
          </w:p>
        </w:tc>
        <w:tc>
          <w:tcPr>
            <w:tcW w:w="1577" w:type="pct"/>
            <w:gridSpan w:val="2"/>
          </w:tcPr>
          <w:p w14:paraId="7BA45AF8" w14:textId="77777777" w:rsidR="00825C89" w:rsidRPr="00B84507" w:rsidRDefault="00825C89" w:rsidP="00D47C29">
            <w:pPr>
              <w:jc w:val="center"/>
              <w:rPr>
                <w:b/>
              </w:rPr>
            </w:pPr>
            <w:r w:rsidRPr="00B84507">
              <w:rPr>
                <w:b/>
              </w:rPr>
              <w:t>Change</w:t>
            </w:r>
          </w:p>
          <w:p w14:paraId="6B42CB5C" w14:textId="77777777" w:rsidR="00825C89" w:rsidRPr="00B84507" w:rsidRDefault="00825C89" w:rsidP="00D47C29">
            <w:pPr>
              <w:jc w:val="center"/>
              <w:rPr>
                <w:b/>
              </w:rPr>
            </w:pPr>
            <w:r w:rsidRPr="00B84507">
              <w:rPr>
                <w:b/>
              </w:rPr>
              <w:t>from baseline adjusted for age</w:t>
            </w:r>
          </w:p>
          <w:p w14:paraId="7C807E95" w14:textId="77777777" w:rsidR="00825C89" w:rsidRDefault="00825C89" w:rsidP="00D47C29">
            <w:pPr>
              <w:jc w:val="center"/>
              <w:rPr>
                <w:b/>
              </w:rPr>
            </w:pPr>
            <w:r w:rsidRPr="00B84507">
              <w:t>Mean (95% CI)</w:t>
            </w:r>
          </w:p>
        </w:tc>
      </w:tr>
      <w:tr w:rsidR="00825C89" w:rsidRPr="00243253" w14:paraId="279EB690" w14:textId="77777777" w:rsidTr="00D47C29">
        <w:trPr>
          <w:trHeight w:val="865"/>
        </w:trPr>
        <w:tc>
          <w:tcPr>
            <w:tcW w:w="284" w:type="pct"/>
            <w:vMerge/>
          </w:tcPr>
          <w:p w14:paraId="52256518" w14:textId="77777777" w:rsidR="00825C89" w:rsidRPr="000A4B32" w:rsidRDefault="00825C89" w:rsidP="00D47C29">
            <w:pPr>
              <w:jc w:val="center"/>
              <w:rPr>
                <w:b/>
                <w:sz w:val="20"/>
                <w:szCs w:val="20"/>
              </w:rPr>
            </w:pPr>
          </w:p>
        </w:tc>
        <w:tc>
          <w:tcPr>
            <w:tcW w:w="778" w:type="pct"/>
            <w:vMerge/>
          </w:tcPr>
          <w:p w14:paraId="7FA43550" w14:textId="77777777" w:rsidR="00825C89" w:rsidRPr="00243253" w:rsidRDefault="00825C89" w:rsidP="00D47C29">
            <w:pPr>
              <w:jc w:val="center"/>
              <w:rPr>
                <w:b/>
              </w:rPr>
            </w:pPr>
          </w:p>
        </w:tc>
        <w:tc>
          <w:tcPr>
            <w:tcW w:w="475" w:type="pct"/>
          </w:tcPr>
          <w:p w14:paraId="599E37F8" w14:textId="77777777" w:rsidR="00825C89" w:rsidRDefault="00825C89" w:rsidP="00D47C29">
            <w:pPr>
              <w:jc w:val="center"/>
              <w:rPr>
                <w:b/>
              </w:rPr>
            </w:pPr>
            <w:r w:rsidRPr="00243253">
              <w:rPr>
                <w:b/>
              </w:rPr>
              <w:t>Control</w:t>
            </w:r>
          </w:p>
          <w:p w14:paraId="25D61351" w14:textId="77777777" w:rsidR="00825C89" w:rsidRPr="00243253" w:rsidRDefault="00825C89" w:rsidP="00D47C29">
            <w:pPr>
              <w:jc w:val="center"/>
              <w:rPr>
                <w:b/>
              </w:rPr>
            </w:pPr>
            <w:r>
              <w:rPr>
                <w:b/>
              </w:rPr>
              <w:t>(MICT)</w:t>
            </w:r>
          </w:p>
        </w:tc>
        <w:tc>
          <w:tcPr>
            <w:tcW w:w="649" w:type="pct"/>
          </w:tcPr>
          <w:p w14:paraId="20AFC552" w14:textId="77777777" w:rsidR="00825C89" w:rsidRDefault="00825C89" w:rsidP="00D47C29">
            <w:pPr>
              <w:jc w:val="center"/>
              <w:rPr>
                <w:b/>
              </w:rPr>
            </w:pPr>
            <w:r w:rsidRPr="00243253">
              <w:rPr>
                <w:b/>
              </w:rPr>
              <w:t>Intervention</w:t>
            </w:r>
          </w:p>
          <w:p w14:paraId="1231ABCA" w14:textId="77777777" w:rsidR="00825C89" w:rsidRPr="00243253" w:rsidRDefault="00825C89" w:rsidP="00D47C29">
            <w:pPr>
              <w:jc w:val="center"/>
              <w:rPr>
                <w:b/>
              </w:rPr>
            </w:pPr>
            <w:r>
              <w:rPr>
                <w:b/>
              </w:rPr>
              <w:t>(HIIT)</w:t>
            </w:r>
          </w:p>
        </w:tc>
        <w:tc>
          <w:tcPr>
            <w:tcW w:w="588" w:type="pct"/>
          </w:tcPr>
          <w:p w14:paraId="1698256C" w14:textId="77777777" w:rsidR="00825C89" w:rsidRDefault="00825C89" w:rsidP="00D47C29">
            <w:pPr>
              <w:jc w:val="center"/>
              <w:rPr>
                <w:b/>
              </w:rPr>
            </w:pPr>
            <w:r w:rsidRPr="00A04979">
              <w:rPr>
                <w:b/>
              </w:rPr>
              <w:t>Control</w:t>
            </w:r>
          </w:p>
          <w:p w14:paraId="65E06D2F" w14:textId="77777777" w:rsidR="00825C89" w:rsidRPr="00A04979" w:rsidRDefault="00825C89" w:rsidP="00D47C29">
            <w:pPr>
              <w:jc w:val="center"/>
              <w:rPr>
                <w:b/>
              </w:rPr>
            </w:pPr>
            <w:r>
              <w:rPr>
                <w:b/>
              </w:rPr>
              <w:t>(MICT)</w:t>
            </w:r>
          </w:p>
        </w:tc>
        <w:tc>
          <w:tcPr>
            <w:tcW w:w="649" w:type="pct"/>
          </w:tcPr>
          <w:p w14:paraId="6DC992D1" w14:textId="77777777" w:rsidR="00825C89" w:rsidRDefault="00825C89" w:rsidP="00D47C29">
            <w:pPr>
              <w:jc w:val="center"/>
              <w:rPr>
                <w:b/>
              </w:rPr>
            </w:pPr>
            <w:r w:rsidRPr="00A04979">
              <w:rPr>
                <w:b/>
              </w:rPr>
              <w:t>Intervention</w:t>
            </w:r>
          </w:p>
          <w:p w14:paraId="69124798" w14:textId="77777777" w:rsidR="00825C89" w:rsidRPr="00A04979" w:rsidRDefault="00825C89" w:rsidP="00D47C29">
            <w:pPr>
              <w:jc w:val="center"/>
              <w:rPr>
                <w:b/>
              </w:rPr>
            </w:pPr>
            <w:r>
              <w:rPr>
                <w:b/>
              </w:rPr>
              <w:t>(HIIT)</w:t>
            </w:r>
          </w:p>
        </w:tc>
        <w:tc>
          <w:tcPr>
            <w:tcW w:w="788" w:type="pct"/>
          </w:tcPr>
          <w:p w14:paraId="7D51932B" w14:textId="77777777" w:rsidR="00825C89" w:rsidRDefault="00825C89" w:rsidP="00D47C29">
            <w:pPr>
              <w:jc w:val="center"/>
              <w:rPr>
                <w:b/>
              </w:rPr>
            </w:pPr>
            <w:r w:rsidRPr="00243253">
              <w:rPr>
                <w:b/>
              </w:rPr>
              <w:t>Control</w:t>
            </w:r>
          </w:p>
          <w:p w14:paraId="3D87C99D" w14:textId="77777777" w:rsidR="00825C89" w:rsidRPr="00243253" w:rsidRDefault="00825C89" w:rsidP="00D47C29">
            <w:pPr>
              <w:jc w:val="center"/>
              <w:rPr>
                <w:b/>
              </w:rPr>
            </w:pPr>
            <w:r>
              <w:rPr>
                <w:b/>
              </w:rPr>
              <w:t>(MICT)</w:t>
            </w:r>
          </w:p>
        </w:tc>
        <w:tc>
          <w:tcPr>
            <w:tcW w:w="788" w:type="pct"/>
          </w:tcPr>
          <w:p w14:paraId="1D4E6294" w14:textId="77777777" w:rsidR="00825C89" w:rsidRDefault="00825C89" w:rsidP="00D47C29">
            <w:pPr>
              <w:jc w:val="center"/>
              <w:rPr>
                <w:b/>
              </w:rPr>
            </w:pPr>
            <w:r w:rsidRPr="00243253">
              <w:rPr>
                <w:b/>
              </w:rPr>
              <w:t>Intervention</w:t>
            </w:r>
          </w:p>
          <w:p w14:paraId="632899BC" w14:textId="77777777" w:rsidR="00825C89" w:rsidRPr="00243253" w:rsidRDefault="00825C89" w:rsidP="00D47C29">
            <w:pPr>
              <w:jc w:val="center"/>
              <w:rPr>
                <w:b/>
              </w:rPr>
            </w:pPr>
            <w:r>
              <w:rPr>
                <w:b/>
              </w:rPr>
              <w:t>(HIIT)</w:t>
            </w:r>
          </w:p>
        </w:tc>
      </w:tr>
      <w:tr w:rsidR="00825C89" w:rsidRPr="00951BB6" w14:paraId="2EC17C0A" w14:textId="77777777" w:rsidTr="00D47C29">
        <w:trPr>
          <w:trHeight w:val="115"/>
        </w:trPr>
        <w:tc>
          <w:tcPr>
            <w:tcW w:w="284" w:type="pct"/>
            <w:vMerge/>
          </w:tcPr>
          <w:p w14:paraId="0ECE700F" w14:textId="77777777" w:rsidR="00825C89" w:rsidRPr="000A4B32" w:rsidRDefault="00825C89" w:rsidP="00D47C29">
            <w:pPr>
              <w:jc w:val="center"/>
              <w:rPr>
                <w:sz w:val="20"/>
                <w:szCs w:val="20"/>
              </w:rPr>
            </w:pPr>
          </w:p>
        </w:tc>
        <w:tc>
          <w:tcPr>
            <w:tcW w:w="778" w:type="pct"/>
            <w:vMerge/>
          </w:tcPr>
          <w:p w14:paraId="20AD9657" w14:textId="77777777" w:rsidR="00825C89" w:rsidRPr="00951BB6" w:rsidRDefault="00825C89" w:rsidP="00D47C29">
            <w:pPr>
              <w:jc w:val="center"/>
              <w:rPr>
                <w:sz w:val="18"/>
                <w:szCs w:val="18"/>
              </w:rPr>
            </w:pPr>
          </w:p>
        </w:tc>
        <w:tc>
          <w:tcPr>
            <w:tcW w:w="475" w:type="pct"/>
          </w:tcPr>
          <w:p w14:paraId="3E6D457F" w14:textId="77777777" w:rsidR="00825C89" w:rsidRPr="00951BB6" w:rsidRDefault="00825C89" w:rsidP="00D47C29">
            <w:pPr>
              <w:jc w:val="center"/>
              <w:rPr>
                <w:sz w:val="18"/>
                <w:szCs w:val="18"/>
              </w:rPr>
            </w:pPr>
          </w:p>
        </w:tc>
        <w:tc>
          <w:tcPr>
            <w:tcW w:w="649" w:type="pct"/>
          </w:tcPr>
          <w:p w14:paraId="010FF454" w14:textId="77777777" w:rsidR="00825C89" w:rsidRPr="00951BB6" w:rsidRDefault="00825C89" w:rsidP="00D47C29">
            <w:pPr>
              <w:jc w:val="center"/>
              <w:rPr>
                <w:sz w:val="18"/>
                <w:szCs w:val="18"/>
              </w:rPr>
            </w:pPr>
          </w:p>
        </w:tc>
        <w:tc>
          <w:tcPr>
            <w:tcW w:w="588" w:type="pct"/>
          </w:tcPr>
          <w:p w14:paraId="5C1CF02A" w14:textId="77777777" w:rsidR="00825C89" w:rsidRPr="00951BB6" w:rsidRDefault="00825C89" w:rsidP="00D47C29">
            <w:pPr>
              <w:jc w:val="center"/>
              <w:rPr>
                <w:sz w:val="18"/>
                <w:szCs w:val="18"/>
              </w:rPr>
            </w:pPr>
          </w:p>
        </w:tc>
        <w:tc>
          <w:tcPr>
            <w:tcW w:w="649" w:type="pct"/>
          </w:tcPr>
          <w:p w14:paraId="5D365732" w14:textId="77777777" w:rsidR="00825C89" w:rsidRPr="00951BB6" w:rsidRDefault="00825C89" w:rsidP="00D47C29">
            <w:pPr>
              <w:jc w:val="center"/>
              <w:rPr>
                <w:sz w:val="18"/>
                <w:szCs w:val="18"/>
              </w:rPr>
            </w:pPr>
          </w:p>
        </w:tc>
        <w:tc>
          <w:tcPr>
            <w:tcW w:w="788" w:type="pct"/>
          </w:tcPr>
          <w:p w14:paraId="08BBF99A" w14:textId="77777777" w:rsidR="00825C89" w:rsidRPr="00951BB6" w:rsidRDefault="00825C89" w:rsidP="00D47C29">
            <w:pPr>
              <w:jc w:val="center"/>
              <w:rPr>
                <w:sz w:val="18"/>
                <w:szCs w:val="18"/>
              </w:rPr>
            </w:pPr>
          </w:p>
        </w:tc>
        <w:tc>
          <w:tcPr>
            <w:tcW w:w="788" w:type="pct"/>
          </w:tcPr>
          <w:p w14:paraId="2E6333A8" w14:textId="77777777" w:rsidR="00825C89" w:rsidRPr="00951BB6" w:rsidRDefault="00825C89" w:rsidP="00D47C29">
            <w:pPr>
              <w:jc w:val="center"/>
              <w:rPr>
                <w:sz w:val="18"/>
                <w:szCs w:val="18"/>
              </w:rPr>
            </w:pPr>
          </w:p>
        </w:tc>
      </w:tr>
      <w:tr w:rsidR="00825C89" w:rsidRPr="00243253" w14:paraId="35C7787A" w14:textId="77777777" w:rsidTr="00D47C29">
        <w:trPr>
          <w:trHeight w:val="253"/>
        </w:trPr>
        <w:tc>
          <w:tcPr>
            <w:tcW w:w="284" w:type="pct"/>
            <w:vMerge w:val="restart"/>
            <w:textDirection w:val="btLr"/>
          </w:tcPr>
          <w:p w14:paraId="4FC05476" w14:textId="77777777" w:rsidR="00825C89" w:rsidRPr="000A4B32" w:rsidRDefault="00825C89" w:rsidP="00D47C29">
            <w:pPr>
              <w:ind w:left="113" w:right="113"/>
              <w:jc w:val="center"/>
              <w:rPr>
                <w:b/>
                <w:sz w:val="20"/>
                <w:szCs w:val="20"/>
              </w:rPr>
            </w:pPr>
            <w:r>
              <w:rPr>
                <w:b/>
                <w:sz w:val="20"/>
                <w:szCs w:val="20"/>
              </w:rPr>
              <w:t>6MWD (m)</w:t>
            </w:r>
          </w:p>
        </w:tc>
        <w:tc>
          <w:tcPr>
            <w:tcW w:w="778" w:type="pct"/>
          </w:tcPr>
          <w:p w14:paraId="207521FD" w14:textId="77777777" w:rsidR="00825C89" w:rsidRPr="00243253" w:rsidRDefault="00825C89" w:rsidP="00D47C29">
            <w:pPr>
              <w:jc w:val="center"/>
              <w:rPr>
                <w:b/>
                <w:sz w:val="18"/>
                <w:szCs w:val="18"/>
              </w:rPr>
            </w:pPr>
            <w:r w:rsidRPr="00243253">
              <w:rPr>
                <w:b/>
                <w:sz w:val="18"/>
                <w:szCs w:val="18"/>
              </w:rPr>
              <w:t>Baseline</w:t>
            </w:r>
          </w:p>
        </w:tc>
        <w:tc>
          <w:tcPr>
            <w:tcW w:w="475" w:type="pct"/>
          </w:tcPr>
          <w:p w14:paraId="48A5A8B2" w14:textId="77777777" w:rsidR="00825C89" w:rsidRPr="002B1F63" w:rsidRDefault="00825C89" w:rsidP="00D47C29">
            <w:pPr>
              <w:jc w:val="center"/>
              <w:rPr>
                <w:sz w:val="18"/>
                <w:szCs w:val="18"/>
              </w:rPr>
            </w:pPr>
            <w:r w:rsidRPr="002B1F63">
              <w:rPr>
                <w:sz w:val="18"/>
                <w:szCs w:val="18"/>
              </w:rPr>
              <w:t>382</w:t>
            </w:r>
          </w:p>
          <w:p w14:paraId="1645A0F0" w14:textId="77777777" w:rsidR="00825C89" w:rsidRPr="00243253" w:rsidRDefault="00825C89" w:rsidP="00D47C29">
            <w:pPr>
              <w:jc w:val="center"/>
              <w:rPr>
                <w:b/>
                <w:sz w:val="18"/>
                <w:szCs w:val="18"/>
              </w:rPr>
            </w:pPr>
            <w:r w:rsidRPr="002B1F63">
              <w:rPr>
                <w:sz w:val="18"/>
                <w:szCs w:val="18"/>
              </w:rPr>
              <w:t>(33</w:t>
            </w:r>
            <w:r>
              <w:rPr>
                <w:sz w:val="18"/>
                <w:szCs w:val="18"/>
              </w:rPr>
              <w:t>6</w:t>
            </w:r>
            <w:r w:rsidRPr="002B1F63">
              <w:rPr>
                <w:sz w:val="18"/>
                <w:szCs w:val="18"/>
              </w:rPr>
              <w:t>, 42</w:t>
            </w:r>
            <w:r>
              <w:rPr>
                <w:sz w:val="18"/>
                <w:szCs w:val="18"/>
              </w:rPr>
              <w:t>9</w:t>
            </w:r>
            <w:r>
              <w:rPr>
                <w:b/>
                <w:sz w:val="18"/>
                <w:szCs w:val="18"/>
              </w:rPr>
              <w:t>)</w:t>
            </w:r>
          </w:p>
        </w:tc>
        <w:tc>
          <w:tcPr>
            <w:tcW w:w="649" w:type="pct"/>
          </w:tcPr>
          <w:p w14:paraId="083BDCBA" w14:textId="77777777" w:rsidR="00825C89" w:rsidRPr="000E614D" w:rsidRDefault="00825C89" w:rsidP="00D47C29">
            <w:pPr>
              <w:jc w:val="center"/>
              <w:rPr>
                <w:sz w:val="18"/>
                <w:szCs w:val="18"/>
              </w:rPr>
            </w:pPr>
            <w:r w:rsidRPr="000E614D">
              <w:rPr>
                <w:sz w:val="18"/>
                <w:szCs w:val="18"/>
              </w:rPr>
              <w:t>37</w:t>
            </w:r>
            <w:r>
              <w:rPr>
                <w:sz w:val="18"/>
                <w:szCs w:val="18"/>
              </w:rPr>
              <w:t>2</w:t>
            </w:r>
          </w:p>
          <w:p w14:paraId="7B8F6E42" w14:textId="77777777" w:rsidR="00825C89" w:rsidRPr="000E614D" w:rsidRDefault="00825C89" w:rsidP="00D47C29">
            <w:pPr>
              <w:jc w:val="center"/>
              <w:rPr>
                <w:sz w:val="18"/>
                <w:szCs w:val="18"/>
              </w:rPr>
            </w:pPr>
            <w:r w:rsidRPr="000E614D">
              <w:rPr>
                <w:sz w:val="18"/>
                <w:szCs w:val="18"/>
              </w:rPr>
              <w:t>(331, 41</w:t>
            </w:r>
            <w:r>
              <w:rPr>
                <w:sz w:val="18"/>
                <w:szCs w:val="18"/>
              </w:rPr>
              <w:t>2</w:t>
            </w:r>
            <w:r w:rsidRPr="000E614D">
              <w:rPr>
                <w:sz w:val="18"/>
                <w:szCs w:val="18"/>
              </w:rPr>
              <w:t>)</w:t>
            </w:r>
          </w:p>
        </w:tc>
        <w:tc>
          <w:tcPr>
            <w:tcW w:w="588" w:type="pct"/>
            <w:shd w:val="clear" w:color="auto" w:fill="D9D9D9" w:themeFill="background1" w:themeFillShade="D9"/>
          </w:tcPr>
          <w:p w14:paraId="4885DE00" w14:textId="77777777" w:rsidR="00825C89" w:rsidRPr="00243253" w:rsidRDefault="00825C89" w:rsidP="00D47C29">
            <w:pPr>
              <w:rPr>
                <w:b/>
                <w:sz w:val="18"/>
                <w:szCs w:val="18"/>
              </w:rPr>
            </w:pPr>
          </w:p>
        </w:tc>
        <w:tc>
          <w:tcPr>
            <w:tcW w:w="649" w:type="pct"/>
            <w:shd w:val="clear" w:color="auto" w:fill="D9D9D9" w:themeFill="background1" w:themeFillShade="D9"/>
          </w:tcPr>
          <w:p w14:paraId="52A281F0" w14:textId="77777777" w:rsidR="00825C89" w:rsidRPr="00243253" w:rsidRDefault="00825C89" w:rsidP="00D47C29">
            <w:pPr>
              <w:jc w:val="center"/>
              <w:rPr>
                <w:b/>
                <w:sz w:val="18"/>
                <w:szCs w:val="18"/>
              </w:rPr>
            </w:pPr>
          </w:p>
        </w:tc>
        <w:tc>
          <w:tcPr>
            <w:tcW w:w="788" w:type="pct"/>
            <w:shd w:val="clear" w:color="auto" w:fill="D9D9D9" w:themeFill="background1" w:themeFillShade="D9"/>
          </w:tcPr>
          <w:p w14:paraId="3F5FA928" w14:textId="77777777" w:rsidR="00825C89" w:rsidRPr="00243253" w:rsidRDefault="00825C89" w:rsidP="00D47C29">
            <w:pPr>
              <w:jc w:val="center"/>
              <w:rPr>
                <w:b/>
                <w:sz w:val="18"/>
                <w:szCs w:val="18"/>
              </w:rPr>
            </w:pPr>
          </w:p>
        </w:tc>
        <w:tc>
          <w:tcPr>
            <w:tcW w:w="788" w:type="pct"/>
            <w:shd w:val="clear" w:color="auto" w:fill="D9D9D9" w:themeFill="background1" w:themeFillShade="D9"/>
          </w:tcPr>
          <w:p w14:paraId="53E93C9F" w14:textId="77777777" w:rsidR="00825C89" w:rsidRPr="00243253" w:rsidRDefault="00825C89" w:rsidP="00D47C29">
            <w:pPr>
              <w:jc w:val="center"/>
              <w:rPr>
                <w:b/>
                <w:sz w:val="18"/>
                <w:szCs w:val="18"/>
              </w:rPr>
            </w:pPr>
          </w:p>
        </w:tc>
      </w:tr>
      <w:tr w:rsidR="00825C89" w:rsidRPr="00243253" w14:paraId="462613C1" w14:textId="77777777" w:rsidTr="00D47C29">
        <w:trPr>
          <w:trHeight w:val="236"/>
        </w:trPr>
        <w:tc>
          <w:tcPr>
            <w:tcW w:w="284" w:type="pct"/>
            <w:vMerge/>
            <w:textDirection w:val="btLr"/>
          </w:tcPr>
          <w:p w14:paraId="4065BC8F" w14:textId="77777777" w:rsidR="00825C89" w:rsidRPr="000A4B32" w:rsidRDefault="00825C89" w:rsidP="00D47C29">
            <w:pPr>
              <w:ind w:left="113" w:right="113"/>
              <w:jc w:val="center"/>
              <w:rPr>
                <w:b/>
                <w:sz w:val="20"/>
                <w:szCs w:val="20"/>
              </w:rPr>
            </w:pPr>
          </w:p>
        </w:tc>
        <w:tc>
          <w:tcPr>
            <w:tcW w:w="778" w:type="pct"/>
          </w:tcPr>
          <w:p w14:paraId="19FF846E" w14:textId="77777777" w:rsidR="00825C89" w:rsidRPr="00243253" w:rsidRDefault="00825C89" w:rsidP="00D47C29">
            <w:pPr>
              <w:jc w:val="center"/>
              <w:rPr>
                <w:b/>
                <w:sz w:val="18"/>
                <w:szCs w:val="18"/>
              </w:rPr>
            </w:pPr>
            <w:r w:rsidRPr="00243253">
              <w:rPr>
                <w:b/>
                <w:sz w:val="18"/>
                <w:szCs w:val="18"/>
              </w:rPr>
              <w:t>2 months</w:t>
            </w:r>
          </w:p>
        </w:tc>
        <w:tc>
          <w:tcPr>
            <w:tcW w:w="475" w:type="pct"/>
          </w:tcPr>
          <w:p w14:paraId="7A883890" w14:textId="77777777" w:rsidR="00825C89" w:rsidRPr="00FA3F31" w:rsidRDefault="00825C89" w:rsidP="00D47C29">
            <w:pPr>
              <w:jc w:val="center"/>
              <w:rPr>
                <w:sz w:val="18"/>
                <w:szCs w:val="18"/>
              </w:rPr>
            </w:pPr>
            <w:r w:rsidRPr="00FA3F31">
              <w:rPr>
                <w:sz w:val="18"/>
                <w:szCs w:val="18"/>
              </w:rPr>
              <w:t>43</w:t>
            </w:r>
            <w:r>
              <w:rPr>
                <w:sz w:val="18"/>
                <w:szCs w:val="18"/>
              </w:rPr>
              <w:t>3</w:t>
            </w:r>
          </w:p>
          <w:p w14:paraId="56EEECE3" w14:textId="77777777" w:rsidR="00825C89" w:rsidRPr="00FA3F31" w:rsidRDefault="00825C89" w:rsidP="00D47C29">
            <w:pPr>
              <w:jc w:val="center"/>
              <w:rPr>
                <w:sz w:val="18"/>
                <w:szCs w:val="18"/>
              </w:rPr>
            </w:pPr>
            <w:r w:rsidRPr="00FA3F31">
              <w:rPr>
                <w:sz w:val="18"/>
                <w:szCs w:val="18"/>
              </w:rPr>
              <w:t>(386 4</w:t>
            </w:r>
            <w:r>
              <w:rPr>
                <w:sz w:val="18"/>
                <w:szCs w:val="18"/>
              </w:rPr>
              <w:t>80</w:t>
            </w:r>
            <w:r w:rsidRPr="00FA3F31">
              <w:rPr>
                <w:sz w:val="18"/>
                <w:szCs w:val="18"/>
              </w:rPr>
              <w:t>)</w:t>
            </w:r>
          </w:p>
        </w:tc>
        <w:tc>
          <w:tcPr>
            <w:tcW w:w="649" w:type="pct"/>
          </w:tcPr>
          <w:p w14:paraId="2702B4FB" w14:textId="77777777" w:rsidR="00825C89" w:rsidRPr="000E614D" w:rsidRDefault="00825C89" w:rsidP="00D47C29">
            <w:pPr>
              <w:jc w:val="center"/>
              <w:rPr>
                <w:sz w:val="18"/>
                <w:szCs w:val="18"/>
              </w:rPr>
            </w:pPr>
            <w:r w:rsidRPr="000E614D">
              <w:rPr>
                <w:sz w:val="18"/>
                <w:szCs w:val="18"/>
              </w:rPr>
              <w:t>411</w:t>
            </w:r>
          </w:p>
          <w:p w14:paraId="2DE5C5F8" w14:textId="77777777" w:rsidR="00825C89" w:rsidRPr="000E614D" w:rsidRDefault="00825C89" w:rsidP="00D47C29">
            <w:pPr>
              <w:jc w:val="center"/>
              <w:rPr>
                <w:sz w:val="18"/>
                <w:szCs w:val="18"/>
              </w:rPr>
            </w:pPr>
            <w:r w:rsidRPr="000E614D">
              <w:rPr>
                <w:sz w:val="18"/>
                <w:szCs w:val="18"/>
              </w:rPr>
              <w:t>(370, 45</w:t>
            </w:r>
            <w:r>
              <w:rPr>
                <w:sz w:val="18"/>
                <w:szCs w:val="18"/>
              </w:rPr>
              <w:t>3</w:t>
            </w:r>
            <w:r w:rsidRPr="000E614D">
              <w:rPr>
                <w:sz w:val="18"/>
                <w:szCs w:val="18"/>
              </w:rPr>
              <w:t>)</w:t>
            </w:r>
          </w:p>
        </w:tc>
        <w:tc>
          <w:tcPr>
            <w:tcW w:w="588" w:type="pct"/>
          </w:tcPr>
          <w:p w14:paraId="62E88B31" w14:textId="77777777" w:rsidR="00825C89" w:rsidRPr="00A04979" w:rsidRDefault="00825C89" w:rsidP="00D47C29">
            <w:pPr>
              <w:jc w:val="center"/>
              <w:rPr>
                <w:sz w:val="18"/>
                <w:szCs w:val="18"/>
              </w:rPr>
            </w:pPr>
            <w:r w:rsidRPr="00A04979">
              <w:rPr>
                <w:sz w:val="18"/>
                <w:szCs w:val="18"/>
              </w:rPr>
              <w:t>54.7</w:t>
            </w:r>
          </w:p>
          <w:p w14:paraId="0E30B750" w14:textId="77777777" w:rsidR="00825C89" w:rsidRPr="00243253" w:rsidRDefault="00825C89" w:rsidP="00D47C29">
            <w:pPr>
              <w:jc w:val="center"/>
              <w:rPr>
                <w:b/>
                <w:sz w:val="18"/>
                <w:szCs w:val="18"/>
              </w:rPr>
            </w:pPr>
            <w:r>
              <w:rPr>
                <w:sz w:val="18"/>
                <w:szCs w:val="18"/>
              </w:rPr>
              <w:t xml:space="preserve">(32., </w:t>
            </w:r>
            <w:r w:rsidRPr="00A04979">
              <w:rPr>
                <w:sz w:val="18"/>
                <w:szCs w:val="18"/>
              </w:rPr>
              <w:t>76.9)</w:t>
            </w:r>
          </w:p>
        </w:tc>
        <w:tc>
          <w:tcPr>
            <w:tcW w:w="649" w:type="pct"/>
          </w:tcPr>
          <w:p w14:paraId="7DF529BD" w14:textId="77777777" w:rsidR="00825C89" w:rsidRPr="00145041" w:rsidRDefault="00825C89" w:rsidP="00D47C29">
            <w:pPr>
              <w:jc w:val="center"/>
              <w:rPr>
                <w:sz w:val="18"/>
                <w:szCs w:val="18"/>
              </w:rPr>
            </w:pPr>
            <w:r w:rsidRPr="00145041">
              <w:rPr>
                <w:sz w:val="18"/>
                <w:szCs w:val="18"/>
              </w:rPr>
              <w:t>38.6</w:t>
            </w:r>
          </w:p>
          <w:p w14:paraId="414F21E9" w14:textId="77777777" w:rsidR="00825C89" w:rsidRPr="00243253" w:rsidRDefault="00825C89" w:rsidP="00D47C29">
            <w:pPr>
              <w:jc w:val="center"/>
              <w:rPr>
                <w:b/>
                <w:sz w:val="18"/>
                <w:szCs w:val="18"/>
              </w:rPr>
            </w:pPr>
            <w:r w:rsidRPr="00145041">
              <w:rPr>
                <w:sz w:val="18"/>
                <w:szCs w:val="18"/>
              </w:rPr>
              <w:t>(15.95, 61.17)</w:t>
            </w:r>
          </w:p>
        </w:tc>
        <w:tc>
          <w:tcPr>
            <w:tcW w:w="788" w:type="pct"/>
          </w:tcPr>
          <w:p w14:paraId="13D4B101" w14:textId="77777777" w:rsidR="00825C89" w:rsidRPr="00B256FE" w:rsidRDefault="00825C89" w:rsidP="00D47C29">
            <w:pPr>
              <w:jc w:val="center"/>
              <w:rPr>
                <w:sz w:val="18"/>
                <w:szCs w:val="18"/>
              </w:rPr>
            </w:pPr>
            <w:r w:rsidRPr="00B256FE">
              <w:rPr>
                <w:sz w:val="18"/>
                <w:szCs w:val="18"/>
              </w:rPr>
              <w:t>53.</w:t>
            </w:r>
            <w:r>
              <w:rPr>
                <w:sz w:val="18"/>
                <w:szCs w:val="18"/>
              </w:rPr>
              <w:t>2</w:t>
            </w:r>
          </w:p>
          <w:p w14:paraId="6197202B" w14:textId="77777777" w:rsidR="00825C89" w:rsidRPr="00B256FE" w:rsidRDefault="00825C89" w:rsidP="00D47C29">
            <w:pPr>
              <w:jc w:val="center"/>
              <w:rPr>
                <w:sz w:val="18"/>
                <w:szCs w:val="18"/>
              </w:rPr>
            </w:pPr>
            <w:r w:rsidRPr="00B256FE">
              <w:rPr>
                <w:sz w:val="18"/>
                <w:szCs w:val="18"/>
              </w:rPr>
              <w:t>(33.66,    72.70)</w:t>
            </w:r>
          </w:p>
        </w:tc>
        <w:tc>
          <w:tcPr>
            <w:tcW w:w="788" w:type="pct"/>
          </w:tcPr>
          <w:p w14:paraId="7DBA0349" w14:textId="77777777" w:rsidR="00825C89" w:rsidRPr="00B256FE" w:rsidRDefault="00825C89" w:rsidP="00D47C29">
            <w:pPr>
              <w:jc w:val="center"/>
              <w:rPr>
                <w:sz w:val="18"/>
                <w:szCs w:val="18"/>
              </w:rPr>
            </w:pPr>
            <w:r w:rsidRPr="00B256FE">
              <w:rPr>
                <w:sz w:val="18"/>
                <w:szCs w:val="18"/>
              </w:rPr>
              <w:t>36.3</w:t>
            </w:r>
          </w:p>
          <w:p w14:paraId="641CF669" w14:textId="77777777" w:rsidR="00825C89" w:rsidRPr="00B256FE" w:rsidRDefault="00825C89" w:rsidP="00D47C29">
            <w:pPr>
              <w:jc w:val="center"/>
              <w:rPr>
                <w:sz w:val="18"/>
                <w:szCs w:val="18"/>
              </w:rPr>
            </w:pPr>
            <w:r w:rsidRPr="00B256FE">
              <w:rPr>
                <w:sz w:val="18"/>
                <w:szCs w:val="18"/>
              </w:rPr>
              <w:t>(16.42, 56.06)</w:t>
            </w:r>
          </w:p>
        </w:tc>
      </w:tr>
      <w:tr w:rsidR="00825C89" w:rsidRPr="00243253" w14:paraId="7C48BB6B" w14:textId="77777777" w:rsidTr="00D47C29">
        <w:trPr>
          <w:trHeight w:val="236"/>
        </w:trPr>
        <w:tc>
          <w:tcPr>
            <w:tcW w:w="284" w:type="pct"/>
            <w:vMerge/>
            <w:textDirection w:val="btLr"/>
          </w:tcPr>
          <w:p w14:paraId="3DD0A563" w14:textId="77777777" w:rsidR="00825C89" w:rsidRPr="000A4B32" w:rsidRDefault="00825C89" w:rsidP="00D47C29">
            <w:pPr>
              <w:ind w:left="113" w:right="113"/>
              <w:jc w:val="center"/>
              <w:rPr>
                <w:b/>
                <w:sz w:val="20"/>
                <w:szCs w:val="20"/>
              </w:rPr>
            </w:pPr>
          </w:p>
        </w:tc>
        <w:tc>
          <w:tcPr>
            <w:tcW w:w="778" w:type="pct"/>
            <w:shd w:val="clear" w:color="auto" w:fill="auto"/>
          </w:tcPr>
          <w:p w14:paraId="08658B61" w14:textId="77777777" w:rsidR="00825C89" w:rsidRPr="00243253" w:rsidRDefault="00825C89" w:rsidP="00D47C29">
            <w:pPr>
              <w:jc w:val="center"/>
              <w:rPr>
                <w:b/>
                <w:sz w:val="18"/>
                <w:szCs w:val="18"/>
              </w:rPr>
            </w:pPr>
            <w:r w:rsidRPr="00243253">
              <w:rPr>
                <w:b/>
                <w:sz w:val="18"/>
                <w:szCs w:val="18"/>
              </w:rPr>
              <w:t>8 months</w:t>
            </w:r>
          </w:p>
        </w:tc>
        <w:tc>
          <w:tcPr>
            <w:tcW w:w="475" w:type="pct"/>
          </w:tcPr>
          <w:p w14:paraId="3AA0B57F" w14:textId="77777777" w:rsidR="00825C89" w:rsidRPr="00FA3F31" w:rsidRDefault="00825C89" w:rsidP="00D47C29">
            <w:pPr>
              <w:jc w:val="center"/>
              <w:rPr>
                <w:sz w:val="18"/>
                <w:szCs w:val="18"/>
              </w:rPr>
            </w:pPr>
            <w:r w:rsidRPr="00FA3F31">
              <w:rPr>
                <w:sz w:val="18"/>
                <w:szCs w:val="18"/>
              </w:rPr>
              <w:t>42</w:t>
            </w:r>
            <w:r>
              <w:rPr>
                <w:sz w:val="18"/>
                <w:szCs w:val="18"/>
              </w:rPr>
              <w:t>8</w:t>
            </w:r>
          </w:p>
          <w:p w14:paraId="425F97E3" w14:textId="77777777" w:rsidR="00825C89" w:rsidRPr="00FA3F31" w:rsidRDefault="00825C89" w:rsidP="00D47C29">
            <w:pPr>
              <w:jc w:val="center"/>
              <w:rPr>
                <w:sz w:val="18"/>
                <w:szCs w:val="18"/>
              </w:rPr>
            </w:pPr>
            <w:r w:rsidRPr="00FA3F31">
              <w:rPr>
                <w:sz w:val="18"/>
                <w:szCs w:val="18"/>
              </w:rPr>
              <w:t>(37</w:t>
            </w:r>
            <w:r>
              <w:rPr>
                <w:sz w:val="18"/>
                <w:szCs w:val="18"/>
              </w:rPr>
              <w:t>8</w:t>
            </w:r>
            <w:r w:rsidRPr="00FA3F31">
              <w:rPr>
                <w:sz w:val="18"/>
                <w:szCs w:val="18"/>
              </w:rPr>
              <w:t>, 476)</w:t>
            </w:r>
          </w:p>
        </w:tc>
        <w:tc>
          <w:tcPr>
            <w:tcW w:w="649" w:type="pct"/>
          </w:tcPr>
          <w:p w14:paraId="6852B5A1" w14:textId="77777777" w:rsidR="00825C89" w:rsidRPr="000E614D" w:rsidRDefault="00825C89" w:rsidP="00D47C29">
            <w:pPr>
              <w:jc w:val="center"/>
              <w:rPr>
                <w:sz w:val="18"/>
                <w:szCs w:val="18"/>
              </w:rPr>
            </w:pPr>
            <w:r w:rsidRPr="000E614D">
              <w:rPr>
                <w:sz w:val="18"/>
                <w:szCs w:val="18"/>
              </w:rPr>
              <w:t>374</w:t>
            </w:r>
          </w:p>
          <w:p w14:paraId="480EDD58" w14:textId="77777777" w:rsidR="00825C89" w:rsidRPr="000E614D" w:rsidRDefault="00825C89" w:rsidP="00D47C29">
            <w:pPr>
              <w:jc w:val="center"/>
              <w:rPr>
                <w:sz w:val="18"/>
                <w:szCs w:val="18"/>
              </w:rPr>
            </w:pPr>
            <w:r w:rsidRPr="000E614D">
              <w:rPr>
                <w:sz w:val="18"/>
                <w:szCs w:val="18"/>
              </w:rPr>
              <w:t>(33</w:t>
            </w:r>
            <w:r>
              <w:rPr>
                <w:sz w:val="18"/>
                <w:szCs w:val="18"/>
              </w:rPr>
              <w:t>1</w:t>
            </w:r>
            <w:r w:rsidRPr="000E614D">
              <w:rPr>
                <w:sz w:val="18"/>
                <w:szCs w:val="18"/>
              </w:rPr>
              <w:t>, 418)</w:t>
            </w:r>
          </w:p>
        </w:tc>
        <w:tc>
          <w:tcPr>
            <w:tcW w:w="588" w:type="pct"/>
          </w:tcPr>
          <w:p w14:paraId="7D4E5C78" w14:textId="77777777" w:rsidR="00825C89" w:rsidRPr="00145041" w:rsidRDefault="00825C89" w:rsidP="00D47C29">
            <w:pPr>
              <w:jc w:val="center"/>
              <w:rPr>
                <w:sz w:val="18"/>
                <w:szCs w:val="18"/>
              </w:rPr>
            </w:pPr>
            <w:r w:rsidRPr="00145041">
              <w:rPr>
                <w:sz w:val="18"/>
                <w:szCs w:val="18"/>
              </w:rPr>
              <w:t>48.</w:t>
            </w:r>
            <w:r>
              <w:rPr>
                <w:sz w:val="18"/>
                <w:szCs w:val="18"/>
              </w:rPr>
              <w:t>2</w:t>
            </w:r>
          </w:p>
          <w:p w14:paraId="423E7030" w14:textId="77777777" w:rsidR="00825C89" w:rsidRPr="00243253" w:rsidRDefault="00825C89" w:rsidP="00D47C29">
            <w:pPr>
              <w:jc w:val="center"/>
              <w:rPr>
                <w:b/>
                <w:sz w:val="18"/>
                <w:szCs w:val="18"/>
              </w:rPr>
            </w:pPr>
            <w:r w:rsidRPr="00145041">
              <w:rPr>
                <w:sz w:val="18"/>
                <w:szCs w:val="18"/>
              </w:rPr>
              <w:t>(</w:t>
            </w:r>
            <w:r>
              <w:rPr>
                <w:sz w:val="18"/>
                <w:szCs w:val="18"/>
              </w:rPr>
              <w:t>24.0</w:t>
            </w:r>
            <w:r w:rsidRPr="00145041">
              <w:rPr>
                <w:sz w:val="18"/>
                <w:szCs w:val="18"/>
              </w:rPr>
              <w:t>, 72.</w:t>
            </w:r>
            <w:r>
              <w:rPr>
                <w:sz w:val="18"/>
                <w:szCs w:val="18"/>
              </w:rPr>
              <w:t>4</w:t>
            </w:r>
            <w:r w:rsidRPr="00145041">
              <w:rPr>
                <w:sz w:val="18"/>
                <w:szCs w:val="18"/>
              </w:rPr>
              <w:t>)</w:t>
            </w:r>
          </w:p>
        </w:tc>
        <w:tc>
          <w:tcPr>
            <w:tcW w:w="649" w:type="pct"/>
          </w:tcPr>
          <w:p w14:paraId="7062C05E" w14:textId="77777777" w:rsidR="00825C89" w:rsidRPr="00690A9F" w:rsidRDefault="00825C89" w:rsidP="00D47C29">
            <w:pPr>
              <w:jc w:val="center"/>
              <w:rPr>
                <w:sz w:val="18"/>
                <w:szCs w:val="18"/>
              </w:rPr>
            </w:pPr>
            <w:r w:rsidRPr="00690A9F">
              <w:rPr>
                <w:sz w:val="18"/>
                <w:szCs w:val="18"/>
              </w:rPr>
              <w:t>2.64</w:t>
            </w:r>
          </w:p>
          <w:p w14:paraId="177ADBAC" w14:textId="77777777" w:rsidR="00825C89" w:rsidRPr="00690A9F" w:rsidRDefault="00825C89" w:rsidP="00D47C29">
            <w:pPr>
              <w:jc w:val="center"/>
              <w:rPr>
                <w:sz w:val="18"/>
                <w:szCs w:val="18"/>
              </w:rPr>
            </w:pPr>
            <w:r w:rsidRPr="00690A9F">
              <w:rPr>
                <w:sz w:val="18"/>
                <w:szCs w:val="18"/>
              </w:rPr>
              <w:t>(-23.</w:t>
            </w:r>
            <w:r>
              <w:rPr>
                <w:sz w:val="18"/>
                <w:szCs w:val="18"/>
              </w:rPr>
              <w:t>4</w:t>
            </w:r>
            <w:r w:rsidRPr="00690A9F">
              <w:rPr>
                <w:sz w:val="18"/>
                <w:szCs w:val="18"/>
              </w:rPr>
              <w:t>, 28.6)</w:t>
            </w:r>
          </w:p>
        </w:tc>
        <w:tc>
          <w:tcPr>
            <w:tcW w:w="788" w:type="pct"/>
          </w:tcPr>
          <w:p w14:paraId="5F4A2355" w14:textId="77777777" w:rsidR="00825C89" w:rsidRPr="00690A9F" w:rsidRDefault="00825C89" w:rsidP="00D47C29">
            <w:pPr>
              <w:jc w:val="center"/>
              <w:rPr>
                <w:sz w:val="18"/>
                <w:szCs w:val="18"/>
              </w:rPr>
            </w:pPr>
            <w:r w:rsidRPr="00690A9F">
              <w:rPr>
                <w:sz w:val="18"/>
                <w:szCs w:val="18"/>
              </w:rPr>
              <w:t>46.</w:t>
            </w:r>
            <w:r>
              <w:rPr>
                <w:sz w:val="18"/>
                <w:szCs w:val="18"/>
              </w:rPr>
              <w:t>6</w:t>
            </w:r>
          </w:p>
          <w:p w14:paraId="3A3A6984" w14:textId="77777777" w:rsidR="00825C89" w:rsidRPr="00690A9F" w:rsidRDefault="00825C89" w:rsidP="00D47C29">
            <w:pPr>
              <w:jc w:val="center"/>
              <w:rPr>
                <w:sz w:val="18"/>
                <w:szCs w:val="18"/>
              </w:rPr>
            </w:pPr>
            <w:r w:rsidRPr="00690A9F">
              <w:rPr>
                <w:sz w:val="18"/>
                <w:szCs w:val="18"/>
              </w:rPr>
              <w:t>(26.5, 66.7)</w:t>
            </w:r>
          </w:p>
        </w:tc>
        <w:tc>
          <w:tcPr>
            <w:tcW w:w="788" w:type="pct"/>
          </w:tcPr>
          <w:p w14:paraId="6DEECD89" w14:textId="77777777" w:rsidR="00825C89" w:rsidRPr="00690A9F" w:rsidRDefault="00825C89" w:rsidP="00D47C29">
            <w:pPr>
              <w:jc w:val="center"/>
              <w:rPr>
                <w:sz w:val="18"/>
                <w:szCs w:val="18"/>
              </w:rPr>
            </w:pPr>
            <w:r w:rsidRPr="00690A9F">
              <w:rPr>
                <w:sz w:val="18"/>
                <w:szCs w:val="18"/>
              </w:rPr>
              <w:t>.06</w:t>
            </w:r>
          </w:p>
          <w:p w14:paraId="7D4FDFC6" w14:textId="77777777" w:rsidR="00825C89" w:rsidRPr="00690A9F" w:rsidRDefault="00825C89" w:rsidP="00D47C29">
            <w:pPr>
              <w:jc w:val="center"/>
              <w:rPr>
                <w:sz w:val="18"/>
                <w:szCs w:val="18"/>
              </w:rPr>
            </w:pPr>
            <w:r>
              <w:rPr>
                <w:sz w:val="18"/>
                <w:szCs w:val="18"/>
              </w:rPr>
              <w:t>(-21.95,</w:t>
            </w:r>
            <w:r w:rsidRPr="00690A9F">
              <w:rPr>
                <w:sz w:val="18"/>
                <w:szCs w:val="18"/>
              </w:rPr>
              <w:t xml:space="preserve"> 22.08)</w:t>
            </w:r>
          </w:p>
        </w:tc>
      </w:tr>
      <w:tr w:rsidR="00825C89" w:rsidRPr="00243253" w14:paraId="036081B1" w14:textId="77777777" w:rsidTr="00D47C29">
        <w:trPr>
          <w:trHeight w:val="253"/>
        </w:trPr>
        <w:tc>
          <w:tcPr>
            <w:tcW w:w="284" w:type="pct"/>
            <w:vMerge/>
            <w:textDirection w:val="btLr"/>
          </w:tcPr>
          <w:p w14:paraId="0D4AE7E4" w14:textId="77777777" w:rsidR="00825C89" w:rsidRPr="000A4B32" w:rsidRDefault="00825C89" w:rsidP="00D47C29">
            <w:pPr>
              <w:ind w:left="113" w:right="113"/>
              <w:jc w:val="center"/>
              <w:rPr>
                <w:b/>
                <w:sz w:val="20"/>
                <w:szCs w:val="20"/>
              </w:rPr>
            </w:pPr>
          </w:p>
        </w:tc>
        <w:tc>
          <w:tcPr>
            <w:tcW w:w="778" w:type="pct"/>
            <w:shd w:val="clear" w:color="auto" w:fill="auto"/>
          </w:tcPr>
          <w:p w14:paraId="0DAEDE96" w14:textId="77777777" w:rsidR="00825C89" w:rsidRDefault="00825C89" w:rsidP="00D47C29">
            <w:pPr>
              <w:jc w:val="center"/>
              <w:rPr>
                <w:b/>
                <w:sz w:val="18"/>
                <w:szCs w:val="18"/>
              </w:rPr>
            </w:pPr>
            <w:r w:rsidRPr="00243253">
              <w:rPr>
                <w:b/>
                <w:sz w:val="18"/>
                <w:szCs w:val="18"/>
              </w:rPr>
              <w:t>Peak value</w:t>
            </w:r>
          </w:p>
          <w:p w14:paraId="089DE248" w14:textId="77777777" w:rsidR="00825C89" w:rsidRPr="00243253" w:rsidRDefault="00825C89" w:rsidP="00D47C29">
            <w:pPr>
              <w:jc w:val="center"/>
              <w:rPr>
                <w:b/>
                <w:sz w:val="18"/>
                <w:szCs w:val="18"/>
              </w:rPr>
            </w:pPr>
          </w:p>
        </w:tc>
        <w:tc>
          <w:tcPr>
            <w:tcW w:w="475" w:type="pct"/>
          </w:tcPr>
          <w:p w14:paraId="2BFEAA11" w14:textId="77777777" w:rsidR="00825C89" w:rsidRPr="00FA3F31" w:rsidRDefault="00825C89" w:rsidP="00D47C29">
            <w:pPr>
              <w:jc w:val="center"/>
              <w:rPr>
                <w:sz w:val="18"/>
                <w:szCs w:val="18"/>
              </w:rPr>
            </w:pPr>
            <w:r w:rsidRPr="00FA3F31">
              <w:rPr>
                <w:sz w:val="18"/>
                <w:szCs w:val="18"/>
              </w:rPr>
              <w:t>4</w:t>
            </w:r>
            <w:r>
              <w:rPr>
                <w:sz w:val="18"/>
                <w:szCs w:val="18"/>
              </w:rPr>
              <w:t>60</w:t>
            </w:r>
          </w:p>
          <w:p w14:paraId="63CF13B5" w14:textId="77777777" w:rsidR="00825C89" w:rsidRPr="00FA3F31" w:rsidRDefault="00825C89" w:rsidP="00D47C29">
            <w:pPr>
              <w:jc w:val="center"/>
              <w:rPr>
                <w:sz w:val="18"/>
                <w:szCs w:val="18"/>
              </w:rPr>
            </w:pPr>
            <w:r w:rsidRPr="00FA3F31">
              <w:rPr>
                <w:sz w:val="18"/>
                <w:szCs w:val="18"/>
              </w:rPr>
              <w:t>(411, 508)</w:t>
            </w:r>
          </w:p>
        </w:tc>
        <w:tc>
          <w:tcPr>
            <w:tcW w:w="649" w:type="pct"/>
          </w:tcPr>
          <w:p w14:paraId="1A33F62D" w14:textId="77777777" w:rsidR="00825C89" w:rsidRPr="000E614D" w:rsidRDefault="00825C89" w:rsidP="00D47C29">
            <w:pPr>
              <w:jc w:val="center"/>
              <w:rPr>
                <w:sz w:val="18"/>
                <w:szCs w:val="18"/>
              </w:rPr>
            </w:pPr>
            <w:r w:rsidRPr="000E614D">
              <w:rPr>
                <w:sz w:val="18"/>
                <w:szCs w:val="18"/>
              </w:rPr>
              <w:t>425</w:t>
            </w:r>
          </w:p>
          <w:p w14:paraId="5677D3A5" w14:textId="77777777" w:rsidR="00825C89" w:rsidRPr="000E614D" w:rsidRDefault="00825C89" w:rsidP="00D47C29">
            <w:pPr>
              <w:jc w:val="center"/>
              <w:rPr>
                <w:sz w:val="18"/>
                <w:szCs w:val="18"/>
              </w:rPr>
            </w:pPr>
            <w:r w:rsidRPr="000E614D">
              <w:rPr>
                <w:sz w:val="18"/>
                <w:szCs w:val="18"/>
              </w:rPr>
              <w:t>(38</w:t>
            </w:r>
            <w:r>
              <w:rPr>
                <w:sz w:val="18"/>
                <w:szCs w:val="18"/>
              </w:rPr>
              <w:t>2</w:t>
            </w:r>
            <w:r w:rsidRPr="000E614D">
              <w:rPr>
                <w:sz w:val="18"/>
                <w:szCs w:val="18"/>
              </w:rPr>
              <w:t>, 468)</w:t>
            </w:r>
          </w:p>
        </w:tc>
        <w:tc>
          <w:tcPr>
            <w:tcW w:w="588" w:type="pct"/>
          </w:tcPr>
          <w:p w14:paraId="4DFF3CBA" w14:textId="77777777" w:rsidR="00825C89" w:rsidRPr="00145041" w:rsidRDefault="00825C89" w:rsidP="00D47C29">
            <w:pPr>
              <w:jc w:val="center"/>
              <w:rPr>
                <w:sz w:val="18"/>
                <w:szCs w:val="18"/>
              </w:rPr>
            </w:pPr>
            <w:r w:rsidRPr="00145041">
              <w:rPr>
                <w:sz w:val="18"/>
                <w:szCs w:val="18"/>
              </w:rPr>
              <w:t xml:space="preserve">51.6 </w:t>
            </w:r>
          </w:p>
          <w:p w14:paraId="53C998F7" w14:textId="77777777" w:rsidR="00825C89" w:rsidRPr="00243253" w:rsidRDefault="00825C89" w:rsidP="00D47C29">
            <w:pPr>
              <w:jc w:val="center"/>
              <w:rPr>
                <w:b/>
                <w:sz w:val="18"/>
                <w:szCs w:val="18"/>
              </w:rPr>
            </w:pPr>
            <w:r w:rsidRPr="00145041">
              <w:rPr>
                <w:sz w:val="18"/>
                <w:szCs w:val="18"/>
              </w:rPr>
              <w:t>(29.</w:t>
            </w:r>
            <w:r>
              <w:rPr>
                <w:sz w:val="18"/>
                <w:szCs w:val="18"/>
              </w:rPr>
              <w:t>2</w:t>
            </w:r>
            <w:r w:rsidRPr="00145041">
              <w:rPr>
                <w:sz w:val="18"/>
                <w:szCs w:val="18"/>
              </w:rPr>
              <w:t>, 73.9)</w:t>
            </w:r>
          </w:p>
        </w:tc>
        <w:tc>
          <w:tcPr>
            <w:tcW w:w="649" w:type="pct"/>
          </w:tcPr>
          <w:p w14:paraId="77FE1D0F" w14:textId="77777777" w:rsidR="00825C89" w:rsidRPr="00690A9F" w:rsidRDefault="00825C89" w:rsidP="00D47C29">
            <w:pPr>
              <w:jc w:val="center"/>
              <w:rPr>
                <w:sz w:val="18"/>
                <w:szCs w:val="18"/>
              </w:rPr>
            </w:pPr>
            <w:r w:rsidRPr="00690A9F">
              <w:rPr>
                <w:sz w:val="18"/>
                <w:szCs w:val="18"/>
              </w:rPr>
              <w:t>26.29</w:t>
            </w:r>
          </w:p>
          <w:p w14:paraId="6AADC6C7" w14:textId="77777777" w:rsidR="00825C89" w:rsidRPr="00690A9F" w:rsidRDefault="00825C89" w:rsidP="00D47C29">
            <w:pPr>
              <w:jc w:val="center"/>
              <w:rPr>
                <w:sz w:val="18"/>
                <w:szCs w:val="18"/>
              </w:rPr>
            </w:pPr>
            <w:r w:rsidRPr="00690A9F">
              <w:rPr>
                <w:sz w:val="18"/>
                <w:szCs w:val="18"/>
              </w:rPr>
              <w:t>(3.</w:t>
            </w:r>
            <w:r>
              <w:rPr>
                <w:sz w:val="18"/>
                <w:szCs w:val="18"/>
              </w:rPr>
              <w:t>5</w:t>
            </w:r>
            <w:r w:rsidRPr="00690A9F">
              <w:rPr>
                <w:sz w:val="18"/>
                <w:szCs w:val="18"/>
              </w:rPr>
              <w:t>, 49.1)</w:t>
            </w:r>
          </w:p>
        </w:tc>
        <w:tc>
          <w:tcPr>
            <w:tcW w:w="788" w:type="pct"/>
          </w:tcPr>
          <w:p w14:paraId="27AFA3BA" w14:textId="77777777" w:rsidR="00825C89" w:rsidRPr="00690A9F" w:rsidRDefault="00825C89" w:rsidP="00D47C29">
            <w:pPr>
              <w:jc w:val="center"/>
              <w:rPr>
                <w:sz w:val="18"/>
                <w:szCs w:val="18"/>
              </w:rPr>
            </w:pPr>
            <w:r w:rsidRPr="00690A9F">
              <w:rPr>
                <w:sz w:val="18"/>
                <w:szCs w:val="18"/>
              </w:rPr>
              <w:t>50.02</w:t>
            </w:r>
          </w:p>
          <w:p w14:paraId="1828CB79" w14:textId="77777777" w:rsidR="00825C89" w:rsidRPr="00690A9F" w:rsidRDefault="00825C89" w:rsidP="00D47C29">
            <w:pPr>
              <w:jc w:val="center"/>
              <w:rPr>
                <w:sz w:val="18"/>
                <w:szCs w:val="18"/>
              </w:rPr>
            </w:pPr>
            <w:r w:rsidRPr="00690A9F">
              <w:rPr>
                <w:sz w:val="18"/>
                <w:szCs w:val="18"/>
              </w:rPr>
              <w:t>(31.2, 68.8)</w:t>
            </w:r>
          </w:p>
        </w:tc>
        <w:tc>
          <w:tcPr>
            <w:tcW w:w="788" w:type="pct"/>
          </w:tcPr>
          <w:p w14:paraId="70129D92" w14:textId="77777777" w:rsidR="00825C89" w:rsidRPr="00690A9F" w:rsidRDefault="00825C89" w:rsidP="00D47C29">
            <w:pPr>
              <w:jc w:val="center"/>
              <w:rPr>
                <w:sz w:val="18"/>
                <w:szCs w:val="18"/>
              </w:rPr>
            </w:pPr>
            <w:r w:rsidRPr="00690A9F">
              <w:rPr>
                <w:sz w:val="18"/>
                <w:szCs w:val="18"/>
              </w:rPr>
              <w:t>23.88</w:t>
            </w:r>
          </w:p>
          <w:p w14:paraId="1533E839" w14:textId="77777777" w:rsidR="00825C89" w:rsidRPr="00690A9F" w:rsidRDefault="00825C89" w:rsidP="00D47C29">
            <w:pPr>
              <w:jc w:val="center"/>
              <w:rPr>
                <w:sz w:val="18"/>
                <w:szCs w:val="18"/>
              </w:rPr>
            </w:pPr>
            <w:r w:rsidRPr="00690A9F">
              <w:rPr>
                <w:sz w:val="18"/>
                <w:szCs w:val="18"/>
              </w:rPr>
              <w:t>(4.</w:t>
            </w:r>
            <w:r>
              <w:rPr>
                <w:sz w:val="18"/>
                <w:szCs w:val="18"/>
              </w:rPr>
              <w:t>5</w:t>
            </w:r>
            <w:r w:rsidRPr="00690A9F">
              <w:rPr>
                <w:sz w:val="18"/>
                <w:szCs w:val="18"/>
              </w:rPr>
              <w:t>, 43.3)</w:t>
            </w:r>
          </w:p>
        </w:tc>
      </w:tr>
      <w:tr w:rsidR="00825C89" w:rsidRPr="00243253" w14:paraId="5FD685AE" w14:textId="77777777" w:rsidTr="00D47C29">
        <w:trPr>
          <w:trHeight w:val="236"/>
        </w:trPr>
        <w:tc>
          <w:tcPr>
            <w:tcW w:w="284" w:type="pct"/>
            <w:vMerge/>
            <w:textDirection w:val="btLr"/>
          </w:tcPr>
          <w:p w14:paraId="285C1282" w14:textId="77777777" w:rsidR="00825C89" w:rsidRPr="000A4B32" w:rsidRDefault="00825C89" w:rsidP="00D47C29">
            <w:pPr>
              <w:ind w:left="113" w:right="113"/>
              <w:jc w:val="center"/>
              <w:rPr>
                <w:b/>
                <w:sz w:val="20"/>
                <w:szCs w:val="20"/>
              </w:rPr>
            </w:pPr>
          </w:p>
        </w:tc>
        <w:tc>
          <w:tcPr>
            <w:tcW w:w="778" w:type="pct"/>
            <w:shd w:val="clear" w:color="auto" w:fill="F7CAAC" w:themeFill="accent2" w:themeFillTint="66"/>
          </w:tcPr>
          <w:p w14:paraId="6F3EC955" w14:textId="77777777" w:rsidR="00825C89" w:rsidRPr="00243253" w:rsidRDefault="00825C89" w:rsidP="00D47C29">
            <w:pPr>
              <w:jc w:val="center"/>
              <w:rPr>
                <w:b/>
                <w:sz w:val="18"/>
                <w:szCs w:val="18"/>
              </w:rPr>
            </w:pPr>
            <w:r w:rsidRPr="00243253">
              <w:rPr>
                <w:b/>
                <w:sz w:val="18"/>
                <w:szCs w:val="18"/>
              </w:rPr>
              <w:t>Peak time</w:t>
            </w:r>
            <w:r>
              <w:rPr>
                <w:b/>
                <w:sz w:val="18"/>
                <w:szCs w:val="18"/>
              </w:rPr>
              <w:t>-months</w:t>
            </w:r>
          </w:p>
        </w:tc>
        <w:tc>
          <w:tcPr>
            <w:tcW w:w="475" w:type="pct"/>
            <w:shd w:val="clear" w:color="auto" w:fill="F7CAAC" w:themeFill="accent2" w:themeFillTint="66"/>
          </w:tcPr>
          <w:p w14:paraId="56BEC65A" w14:textId="77777777" w:rsidR="00825C89" w:rsidRPr="00FA3F31" w:rsidRDefault="00825C89" w:rsidP="00D47C29">
            <w:pPr>
              <w:jc w:val="center"/>
              <w:rPr>
                <w:sz w:val="18"/>
                <w:szCs w:val="18"/>
              </w:rPr>
            </w:pPr>
            <w:r w:rsidRPr="00FA3F31">
              <w:rPr>
                <w:sz w:val="18"/>
                <w:szCs w:val="18"/>
              </w:rPr>
              <w:t>4.87</w:t>
            </w:r>
          </w:p>
          <w:p w14:paraId="6FCC49ED" w14:textId="77777777" w:rsidR="00825C89" w:rsidRPr="00FA3F31" w:rsidRDefault="00825C89" w:rsidP="00D47C29">
            <w:pPr>
              <w:jc w:val="center"/>
              <w:rPr>
                <w:sz w:val="18"/>
                <w:szCs w:val="18"/>
              </w:rPr>
            </w:pPr>
            <w:r w:rsidRPr="00FA3F31">
              <w:rPr>
                <w:sz w:val="18"/>
                <w:szCs w:val="18"/>
              </w:rPr>
              <w:t>(4.43, 5.30)</w:t>
            </w:r>
          </w:p>
        </w:tc>
        <w:tc>
          <w:tcPr>
            <w:tcW w:w="649" w:type="pct"/>
            <w:shd w:val="clear" w:color="auto" w:fill="F7CAAC" w:themeFill="accent2" w:themeFillTint="66"/>
          </w:tcPr>
          <w:p w14:paraId="0B3D0422" w14:textId="77777777" w:rsidR="00825C89" w:rsidRPr="000E614D" w:rsidRDefault="00825C89" w:rsidP="00D47C29">
            <w:pPr>
              <w:jc w:val="center"/>
              <w:rPr>
                <w:sz w:val="18"/>
                <w:szCs w:val="18"/>
              </w:rPr>
            </w:pPr>
            <w:r w:rsidRPr="000E614D">
              <w:rPr>
                <w:sz w:val="18"/>
                <w:szCs w:val="18"/>
              </w:rPr>
              <w:t>4.05</w:t>
            </w:r>
          </w:p>
          <w:p w14:paraId="3ED449B8" w14:textId="77777777" w:rsidR="00825C89" w:rsidRPr="00243253" w:rsidRDefault="00825C89" w:rsidP="00D47C29">
            <w:pPr>
              <w:jc w:val="center"/>
              <w:rPr>
                <w:b/>
                <w:sz w:val="18"/>
                <w:szCs w:val="18"/>
              </w:rPr>
            </w:pPr>
            <w:r w:rsidRPr="000E614D">
              <w:rPr>
                <w:sz w:val="18"/>
                <w:szCs w:val="18"/>
              </w:rPr>
              <w:t>(3.62, 4.48)</w:t>
            </w:r>
          </w:p>
        </w:tc>
        <w:tc>
          <w:tcPr>
            <w:tcW w:w="588" w:type="pct"/>
            <w:shd w:val="clear" w:color="auto" w:fill="D9D9D9" w:themeFill="background1" w:themeFillShade="D9"/>
          </w:tcPr>
          <w:p w14:paraId="711CE89D" w14:textId="77777777" w:rsidR="00825C89" w:rsidRPr="00243253" w:rsidRDefault="00825C89" w:rsidP="00D47C29">
            <w:pPr>
              <w:jc w:val="center"/>
              <w:rPr>
                <w:b/>
                <w:sz w:val="18"/>
                <w:szCs w:val="18"/>
              </w:rPr>
            </w:pPr>
          </w:p>
        </w:tc>
        <w:tc>
          <w:tcPr>
            <w:tcW w:w="649" w:type="pct"/>
            <w:shd w:val="clear" w:color="auto" w:fill="D9D9D9" w:themeFill="background1" w:themeFillShade="D9"/>
          </w:tcPr>
          <w:p w14:paraId="7D14C7E4" w14:textId="77777777" w:rsidR="00825C89" w:rsidRPr="00690A9F" w:rsidRDefault="00825C89" w:rsidP="00D47C29">
            <w:pPr>
              <w:jc w:val="center"/>
              <w:rPr>
                <w:sz w:val="18"/>
                <w:szCs w:val="18"/>
              </w:rPr>
            </w:pPr>
          </w:p>
        </w:tc>
        <w:tc>
          <w:tcPr>
            <w:tcW w:w="788" w:type="pct"/>
            <w:shd w:val="clear" w:color="auto" w:fill="D9D9D9" w:themeFill="background1" w:themeFillShade="D9"/>
          </w:tcPr>
          <w:p w14:paraId="21457595" w14:textId="77777777" w:rsidR="00825C89" w:rsidRPr="00690A9F" w:rsidRDefault="00825C89" w:rsidP="00D47C29">
            <w:pPr>
              <w:jc w:val="center"/>
              <w:rPr>
                <w:sz w:val="18"/>
                <w:szCs w:val="18"/>
              </w:rPr>
            </w:pPr>
          </w:p>
        </w:tc>
        <w:tc>
          <w:tcPr>
            <w:tcW w:w="788" w:type="pct"/>
            <w:shd w:val="clear" w:color="auto" w:fill="D9D9D9" w:themeFill="background1" w:themeFillShade="D9"/>
          </w:tcPr>
          <w:p w14:paraId="00BCA36F" w14:textId="77777777" w:rsidR="00825C89" w:rsidRPr="00690A9F" w:rsidRDefault="00825C89" w:rsidP="00D47C29">
            <w:pPr>
              <w:jc w:val="center"/>
              <w:rPr>
                <w:sz w:val="18"/>
                <w:szCs w:val="18"/>
              </w:rPr>
            </w:pPr>
          </w:p>
        </w:tc>
      </w:tr>
      <w:tr w:rsidR="00825C89" w:rsidRPr="00243253" w14:paraId="2413F2BE" w14:textId="77777777" w:rsidTr="00D47C29">
        <w:trPr>
          <w:trHeight w:val="253"/>
        </w:trPr>
        <w:tc>
          <w:tcPr>
            <w:tcW w:w="284" w:type="pct"/>
            <w:vMerge w:val="restart"/>
            <w:textDirection w:val="btLr"/>
          </w:tcPr>
          <w:p w14:paraId="43D3526F" w14:textId="77777777" w:rsidR="00825C89" w:rsidRPr="000A4B32" w:rsidRDefault="00825C89" w:rsidP="00D47C29">
            <w:pPr>
              <w:ind w:left="113" w:right="113"/>
              <w:jc w:val="center"/>
              <w:rPr>
                <w:b/>
                <w:sz w:val="20"/>
                <w:szCs w:val="20"/>
              </w:rPr>
            </w:pPr>
            <w:r w:rsidRPr="000A4B32">
              <w:rPr>
                <w:b/>
                <w:sz w:val="20"/>
                <w:szCs w:val="20"/>
              </w:rPr>
              <w:t>SNIP</w:t>
            </w:r>
            <w:r>
              <w:rPr>
                <w:b/>
                <w:sz w:val="20"/>
                <w:szCs w:val="20"/>
              </w:rPr>
              <w:t xml:space="preserve"> (cmH</w:t>
            </w:r>
            <w:r w:rsidRPr="000E614D">
              <w:rPr>
                <w:b/>
                <w:sz w:val="14"/>
                <w:szCs w:val="20"/>
              </w:rPr>
              <w:t>2</w:t>
            </w:r>
            <w:r>
              <w:rPr>
                <w:b/>
                <w:sz w:val="20"/>
                <w:szCs w:val="20"/>
              </w:rPr>
              <w:t>O)</w:t>
            </w:r>
          </w:p>
        </w:tc>
        <w:tc>
          <w:tcPr>
            <w:tcW w:w="778" w:type="pct"/>
            <w:shd w:val="clear" w:color="auto" w:fill="auto"/>
          </w:tcPr>
          <w:p w14:paraId="1D0E32AF" w14:textId="77777777" w:rsidR="00825C89" w:rsidRPr="00243253" w:rsidRDefault="00825C89" w:rsidP="00D47C29">
            <w:pPr>
              <w:jc w:val="center"/>
              <w:rPr>
                <w:b/>
                <w:sz w:val="18"/>
                <w:szCs w:val="18"/>
              </w:rPr>
            </w:pPr>
            <w:r w:rsidRPr="00243253">
              <w:rPr>
                <w:b/>
                <w:sz w:val="18"/>
                <w:szCs w:val="18"/>
              </w:rPr>
              <w:t>Baseline</w:t>
            </w:r>
          </w:p>
        </w:tc>
        <w:tc>
          <w:tcPr>
            <w:tcW w:w="475" w:type="pct"/>
          </w:tcPr>
          <w:p w14:paraId="44BB2C8E" w14:textId="77777777" w:rsidR="00825C89" w:rsidRPr="000E614D" w:rsidRDefault="00825C89" w:rsidP="00D47C29">
            <w:pPr>
              <w:jc w:val="center"/>
              <w:rPr>
                <w:sz w:val="18"/>
                <w:szCs w:val="18"/>
              </w:rPr>
            </w:pPr>
            <w:r w:rsidRPr="000E614D">
              <w:rPr>
                <w:sz w:val="18"/>
                <w:szCs w:val="18"/>
              </w:rPr>
              <w:t>95</w:t>
            </w:r>
          </w:p>
          <w:p w14:paraId="5BA91A47" w14:textId="77777777" w:rsidR="00825C89" w:rsidRPr="000E614D" w:rsidRDefault="00825C89" w:rsidP="00D47C29">
            <w:pPr>
              <w:jc w:val="center"/>
              <w:rPr>
                <w:sz w:val="18"/>
                <w:szCs w:val="18"/>
              </w:rPr>
            </w:pPr>
            <w:r w:rsidRPr="000E614D">
              <w:rPr>
                <w:sz w:val="18"/>
                <w:szCs w:val="18"/>
              </w:rPr>
              <w:t>(85</w:t>
            </w:r>
            <w:r>
              <w:rPr>
                <w:sz w:val="18"/>
                <w:szCs w:val="18"/>
              </w:rPr>
              <w:t>,</w:t>
            </w:r>
            <w:r w:rsidRPr="000E614D">
              <w:rPr>
                <w:sz w:val="18"/>
                <w:szCs w:val="18"/>
              </w:rPr>
              <w:t xml:space="preserve"> 105)</w:t>
            </w:r>
          </w:p>
        </w:tc>
        <w:tc>
          <w:tcPr>
            <w:tcW w:w="649" w:type="pct"/>
          </w:tcPr>
          <w:p w14:paraId="0161F5B5" w14:textId="77777777" w:rsidR="00825C89" w:rsidRPr="00027268" w:rsidRDefault="00825C89" w:rsidP="00D47C29">
            <w:pPr>
              <w:jc w:val="center"/>
              <w:rPr>
                <w:sz w:val="18"/>
                <w:szCs w:val="18"/>
              </w:rPr>
            </w:pPr>
            <w:r w:rsidRPr="00027268">
              <w:rPr>
                <w:sz w:val="18"/>
                <w:szCs w:val="18"/>
              </w:rPr>
              <w:t>9</w:t>
            </w:r>
            <w:r>
              <w:rPr>
                <w:sz w:val="18"/>
                <w:szCs w:val="18"/>
              </w:rPr>
              <w:t>2</w:t>
            </w:r>
          </w:p>
          <w:p w14:paraId="261BC10D" w14:textId="77777777" w:rsidR="00825C89" w:rsidRPr="00027268" w:rsidRDefault="00825C89" w:rsidP="00D47C29">
            <w:pPr>
              <w:jc w:val="center"/>
              <w:rPr>
                <w:sz w:val="18"/>
                <w:szCs w:val="18"/>
              </w:rPr>
            </w:pPr>
            <w:r w:rsidRPr="00027268">
              <w:rPr>
                <w:sz w:val="18"/>
                <w:szCs w:val="18"/>
              </w:rPr>
              <w:t>(82, 10</w:t>
            </w:r>
            <w:r>
              <w:rPr>
                <w:sz w:val="18"/>
                <w:szCs w:val="18"/>
              </w:rPr>
              <w:t>1</w:t>
            </w:r>
            <w:r w:rsidRPr="00027268">
              <w:rPr>
                <w:sz w:val="18"/>
                <w:szCs w:val="18"/>
              </w:rPr>
              <w:t>)</w:t>
            </w:r>
          </w:p>
        </w:tc>
        <w:tc>
          <w:tcPr>
            <w:tcW w:w="588" w:type="pct"/>
            <w:shd w:val="clear" w:color="auto" w:fill="D9D9D9" w:themeFill="background1" w:themeFillShade="D9"/>
          </w:tcPr>
          <w:p w14:paraId="11C9CE38" w14:textId="77777777" w:rsidR="00825C89" w:rsidRPr="00243253" w:rsidRDefault="00825C89" w:rsidP="00D47C29">
            <w:pPr>
              <w:jc w:val="center"/>
              <w:rPr>
                <w:b/>
                <w:sz w:val="18"/>
                <w:szCs w:val="18"/>
              </w:rPr>
            </w:pPr>
          </w:p>
        </w:tc>
        <w:tc>
          <w:tcPr>
            <w:tcW w:w="649" w:type="pct"/>
            <w:shd w:val="clear" w:color="auto" w:fill="D9D9D9" w:themeFill="background1" w:themeFillShade="D9"/>
          </w:tcPr>
          <w:p w14:paraId="05F8E5B2" w14:textId="77777777" w:rsidR="00825C89" w:rsidRPr="00690A9F" w:rsidRDefault="00825C89" w:rsidP="00D47C29">
            <w:pPr>
              <w:jc w:val="center"/>
              <w:rPr>
                <w:sz w:val="18"/>
                <w:szCs w:val="18"/>
              </w:rPr>
            </w:pPr>
          </w:p>
        </w:tc>
        <w:tc>
          <w:tcPr>
            <w:tcW w:w="788" w:type="pct"/>
            <w:shd w:val="clear" w:color="auto" w:fill="D9D9D9" w:themeFill="background1" w:themeFillShade="D9"/>
          </w:tcPr>
          <w:p w14:paraId="389080FE" w14:textId="77777777" w:rsidR="00825C89" w:rsidRPr="00690A9F" w:rsidRDefault="00825C89" w:rsidP="00D47C29">
            <w:pPr>
              <w:jc w:val="center"/>
              <w:rPr>
                <w:sz w:val="18"/>
                <w:szCs w:val="18"/>
              </w:rPr>
            </w:pPr>
          </w:p>
        </w:tc>
        <w:tc>
          <w:tcPr>
            <w:tcW w:w="788" w:type="pct"/>
            <w:shd w:val="clear" w:color="auto" w:fill="D9D9D9" w:themeFill="background1" w:themeFillShade="D9"/>
          </w:tcPr>
          <w:p w14:paraId="1AB16F9F" w14:textId="77777777" w:rsidR="00825C89" w:rsidRPr="00690A9F" w:rsidRDefault="00825C89" w:rsidP="00D47C29">
            <w:pPr>
              <w:jc w:val="center"/>
              <w:rPr>
                <w:sz w:val="18"/>
                <w:szCs w:val="18"/>
              </w:rPr>
            </w:pPr>
          </w:p>
        </w:tc>
      </w:tr>
      <w:tr w:rsidR="00825C89" w:rsidRPr="00243253" w14:paraId="2F0018F9" w14:textId="77777777" w:rsidTr="00D47C29">
        <w:trPr>
          <w:trHeight w:val="236"/>
        </w:trPr>
        <w:tc>
          <w:tcPr>
            <w:tcW w:w="284" w:type="pct"/>
            <w:vMerge/>
            <w:textDirection w:val="btLr"/>
          </w:tcPr>
          <w:p w14:paraId="2C541D8B" w14:textId="77777777" w:rsidR="00825C89" w:rsidRPr="000A4B32" w:rsidRDefault="00825C89" w:rsidP="00D47C29">
            <w:pPr>
              <w:ind w:left="113" w:right="113"/>
              <w:jc w:val="center"/>
              <w:rPr>
                <w:sz w:val="20"/>
                <w:szCs w:val="20"/>
              </w:rPr>
            </w:pPr>
          </w:p>
        </w:tc>
        <w:tc>
          <w:tcPr>
            <w:tcW w:w="778" w:type="pct"/>
            <w:shd w:val="clear" w:color="auto" w:fill="auto"/>
          </w:tcPr>
          <w:p w14:paraId="31FE3204" w14:textId="77777777" w:rsidR="00825C89" w:rsidRPr="00243253" w:rsidRDefault="00825C89" w:rsidP="00D47C29">
            <w:pPr>
              <w:jc w:val="center"/>
              <w:rPr>
                <w:b/>
                <w:sz w:val="18"/>
                <w:szCs w:val="18"/>
              </w:rPr>
            </w:pPr>
            <w:r w:rsidRPr="00243253">
              <w:rPr>
                <w:b/>
                <w:sz w:val="18"/>
                <w:szCs w:val="18"/>
              </w:rPr>
              <w:t>2 months</w:t>
            </w:r>
          </w:p>
        </w:tc>
        <w:tc>
          <w:tcPr>
            <w:tcW w:w="475" w:type="pct"/>
          </w:tcPr>
          <w:p w14:paraId="7FD19918" w14:textId="77777777" w:rsidR="00825C89" w:rsidRPr="000E614D" w:rsidRDefault="00825C89" w:rsidP="00D47C29">
            <w:pPr>
              <w:jc w:val="center"/>
              <w:rPr>
                <w:sz w:val="18"/>
                <w:szCs w:val="18"/>
              </w:rPr>
            </w:pPr>
            <w:r w:rsidRPr="000E614D">
              <w:rPr>
                <w:sz w:val="18"/>
                <w:szCs w:val="18"/>
              </w:rPr>
              <w:t>104</w:t>
            </w:r>
          </w:p>
          <w:p w14:paraId="26EB1F29" w14:textId="77777777" w:rsidR="00825C89" w:rsidRPr="000E614D" w:rsidRDefault="00825C89" w:rsidP="00D47C29">
            <w:pPr>
              <w:jc w:val="center"/>
              <w:rPr>
                <w:sz w:val="18"/>
                <w:szCs w:val="18"/>
              </w:rPr>
            </w:pPr>
            <w:r w:rsidRPr="000E614D">
              <w:rPr>
                <w:sz w:val="18"/>
                <w:szCs w:val="18"/>
              </w:rPr>
              <w:t>(9</w:t>
            </w:r>
            <w:r>
              <w:rPr>
                <w:sz w:val="18"/>
                <w:szCs w:val="18"/>
              </w:rPr>
              <w:t>4</w:t>
            </w:r>
            <w:r w:rsidRPr="000E614D">
              <w:rPr>
                <w:sz w:val="18"/>
                <w:szCs w:val="18"/>
              </w:rPr>
              <w:t>, 11</w:t>
            </w:r>
            <w:r>
              <w:rPr>
                <w:sz w:val="18"/>
                <w:szCs w:val="18"/>
              </w:rPr>
              <w:t>5</w:t>
            </w:r>
            <w:r w:rsidRPr="000E614D">
              <w:rPr>
                <w:sz w:val="18"/>
                <w:szCs w:val="18"/>
              </w:rPr>
              <w:t>)</w:t>
            </w:r>
          </w:p>
        </w:tc>
        <w:tc>
          <w:tcPr>
            <w:tcW w:w="649" w:type="pct"/>
          </w:tcPr>
          <w:p w14:paraId="25174209" w14:textId="77777777" w:rsidR="00825C89" w:rsidRPr="00027268" w:rsidRDefault="00825C89" w:rsidP="00D47C29">
            <w:pPr>
              <w:jc w:val="center"/>
              <w:rPr>
                <w:sz w:val="18"/>
                <w:szCs w:val="18"/>
              </w:rPr>
            </w:pPr>
            <w:r w:rsidRPr="00027268">
              <w:rPr>
                <w:sz w:val="18"/>
                <w:szCs w:val="18"/>
              </w:rPr>
              <w:t>9</w:t>
            </w:r>
            <w:r>
              <w:rPr>
                <w:sz w:val="18"/>
                <w:szCs w:val="18"/>
              </w:rPr>
              <w:t>8</w:t>
            </w:r>
          </w:p>
          <w:p w14:paraId="084D1A75" w14:textId="77777777" w:rsidR="00825C89" w:rsidRPr="00027268" w:rsidRDefault="00825C89" w:rsidP="00D47C29">
            <w:pPr>
              <w:jc w:val="center"/>
              <w:rPr>
                <w:sz w:val="18"/>
                <w:szCs w:val="18"/>
              </w:rPr>
            </w:pPr>
            <w:r w:rsidRPr="00027268">
              <w:rPr>
                <w:sz w:val="18"/>
                <w:szCs w:val="18"/>
              </w:rPr>
              <w:t>(88, 10</w:t>
            </w:r>
            <w:r>
              <w:rPr>
                <w:sz w:val="18"/>
                <w:szCs w:val="18"/>
              </w:rPr>
              <w:t>8</w:t>
            </w:r>
          </w:p>
        </w:tc>
        <w:tc>
          <w:tcPr>
            <w:tcW w:w="588" w:type="pct"/>
          </w:tcPr>
          <w:p w14:paraId="10FC9D0D" w14:textId="77777777" w:rsidR="00825C89" w:rsidRPr="00C032F3" w:rsidRDefault="00825C89" w:rsidP="00D47C29">
            <w:pPr>
              <w:jc w:val="center"/>
              <w:rPr>
                <w:sz w:val="18"/>
                <w:szCs w:val="18"/>
              </w:rPr>
            </w:pPr>
            <w:r w:rsidRPr="00C032F3">
              <w:rPr>
                <w:sz w:val="18"/>
                <w:szCs w:val="18"/>
              </w:rPr>
              <w:t>9.53</w:t>
            </w:r>
          </w:p>
          <w:p w14:paraId="4621A515" w14:textId="77777777" w:rsidR="00825C89" w:rsidRPr="00243253" w:rsidRDefault="00825C89" w:rsidP="00D47C29">
            <w:pPr>
              <w:jc w:val="center"/>
              <w:rPr>
                <w:b/>
                <w:sz w:val="18"/>
                <w:szCs w:val="18"/>
              </w:rPr>
            </w:pPr>
            <w:r w:rsidRPr="00C032F3">
              <w:rPr>
                <w:sz w:val="18"/>
                <w:szCs w:val="18"/>
              </w:rPr>
              <w:t>(2.02, 17.04</w:t>
            </w:r>
            <w:r>
              <w:rPr>
                <w:b/>
                <w:sz w:val="18"/>
                <w:szCs w:val="18"/>
              </w:rPr>
              <w:t>)</w:t>
            </w:r>
          </w:p>
        </w:tc>
        <w:tc>
          <w:tcPr>
            <w:tcW w:w="649" w:type="pct"/>
          </w:tcPr>
          <w:p w14:paraId="13C6FAA9" w14:textId="77777777" w:rsidR="00825C89" w:rsidRPr="00690A9F" w:rsidRDefault="00825C89" w:rsidP="00D47C29">
            <w:pPr>
              <w:jc w:val="center"/>
              <w:rPr>
                <w:sz w:val="18"/>
                <w:szCs w:val="18"/>
              </w:rPr>
            </w:pPr>
            <w:r w:rsidRPr="00690A9F">
              <w:rPr>
                <w:sz w:val="18"/>
                <w:szCs w:val="18"/>
              </w:rPr>
              <w:t>10.07</w:t>
            </w:r>
          </w:p>
          <w:p w14:paraId="538AEBAD" w14:textId="77777777" w:rsidR="00825C89" w:rsidRPr="00690A9F" w:rsidRDefault="00825C89" w:rsidP="00D47C29">
            <w:pPr>
              <w:jc w:val="center"/>
              <w:rPr>
                <w:sz w:val="18"/>
                <w:szCs w:val="18"/>
              </w:rPr>
            </w:pPr>
            <w:r w:rsidRPr="00690A9F">
              <w:rPr>
                <w:sz w:val="18"/>
                <w:szCs w:val="18"/>
              </w:rPr>
              <w:t>(2.28, 17.85)</w:t>
            </w:r>
          </w:p>
        </w:tc>
        <w:tc>
          <w:tcPr>
            <w:tcW w:w="788" w:type="pct"/>
          </w:tcPr>
          <w:p w14:paraId="1380343A" w14:textId="77777777" w:rsidR="00825C89" w:rsidRPr="00690A9F" w:rsidRDefault="00825C89" w:rsidP="00D47C29">
            <w:pPr>
              <w:jc w:val="center"/>
              <w:rPr>
                <w:sz w:val="18"/>
                <w:szCs w:val="18"/>
              </w:rPr>
            </w:pPr>
            <w:r w:rsidRPr="00690A9F">
              <w:rPr>
                <w:sz w:val="18"/>
                <w:szCs w:val="18"/>
              </w:rPr>
              <w:t>9.21</w:t>
            </w:r>
          </w:p>
          <w:p w14:paraId="38604985" w14:textId="77777777" w:rsidR="00825C89" w:rsidRPr="00690A9F" w:rsidRDefault="00825C89" w:rsidP="00D47C29">
            <w:pPr>
              <w:jc w:val="center"/>
              <w:rPr>
                <w:sz w:val="18"/>
                <w:szCs w:val="18"/>
              </w:rPr>
            </w:pPr>
            <w:r w:rsidRPr="00690A9F">
              <w:rPr>
                <w:sz w:val="18"/>
                <w:szCs w:val="18"/>
              </w:rPr>
              <w:t>(1.98,    16.4)</w:t>
            </w:r>
          </w:p>
        </w:tc>
        <w:tc>
          <w:tcPr>
            <w:tcW w:w="788" w:type="pct"/>
          </w:tcPr>
          <w:p w14:paraId="60F152D9" w14:textId="77777777" w:rsidR="00825C89" w:rsidRPr="00690A9F" w:rsidRDefault="00825C89" w:rsidP="00D47C29">
            <w:pPr>
              <w:jc w:val="center"/>
              <w:rPr>
                <w:sz w:val="18"/>
                <w:szCs w:val="18"/>
              </w:rPr>
            </w:pPr>
            <w:r w:rsidRPr="00690A9F">
              <w:rPr>
                <w:sz w:val="18"/>
                <w:szCs w:val="18"/>
              </w:rPr>
              <w:t>9.40</w:t>
            </w:r>
          </w:p>
          <w:p w14:paraId="25043F60" w14:textId="77777777" w:rsidR="00825C89" w:rsidRPr="00690A9F" w:rsidRDefault="00825C89" w:rsidP="00D47C29">
            <w:pPr>
              <w:jc w:val="center"/>
              <w:rPr>
                <w:sz w:val="18"/>
                <w:szCs w:val="18"/>
              </w:rPr>
            </w:pPr>
            <w:r w:rsidRPr="00690A9F">
              <w:rPr>
                <w:sz w:val="18"/>
                <w:szCs w:val="18"/>
              </w:rPr>
              <w:t>(1.88,   16.92)</w:t>
            </w:r>
          </w:p>
        </w:tc>
      </w:tr>
      <w:tr w:rsidR="00825C89" w:rsidRPr="00243253" w14:paraId="405F9646" w14:textId="77777777" w:rsidTr="00D47C29">
        <w:trPr>
          <w:trHeight w:val="236"/>
        </w:trPr>
        <w:tc>
          <w:tcPr>
            <w:tcW w:w="284" w:type="pct"/>
            <w:vMerge/>
            <w:textDirection w:val="btLr"/>
          </w:tcPr>
          <w:p w14:paraId="31CACCCB" w14:textId="77777777" w:rsidR="00825C89" w:rsidRPr="000A4B32" w:rsidRDefault="00825C89" w:rsidP="00D47C29">
            <w:pPr>
              <w:ind w:left="113" w:right="113"/>
              <w:jc w:val="center"/>
              <w:rPr>
                <w:sz w:val="20"/>
                <w:szCs w:val="20"/>
              </w:rPr>
            </w:pPr>
          </w:p>
        </w:tc>
        <w:tc>
          <w:tcPr>
            <w:tcW w:w="778" w:type="pct"/>
            <w:shd w:val="clear" w:color="auto" w:fill="auto"/>
          </w:tcPr>
          <w:p w14:paraId="4C1F5466" w14:textId="77777777" w:rsidR="00825C89" w:rsidRPr="00243253" w:rsidRDefault="00825C89" w:rsidP="00D47C29">
            <w:pPr>
              <w:jc w:val="center"/>
              <w:rPr>
                <w:b/>
                <w:sz w:val="18"/>
                <w:szCs w:val="18"/>
              </w:rPr>
            </w:pPr>
            <w:r w:rsidRPr="00243253">
              <w:rPr>
                <w:b/>
                <w:sz w:val="18"/>
                <w:szCs w:val="18"/>
              </w:rPr>
              <w:t>8 months</w:t>
            </w:r>
          </w:p>
        </w:tc>
        <w:tc>
          <w:tcPr>
            <w:tcW w:w="475" w:type="pct"/>
          </w:tcPr>
          <w:p w14:paraId="68F59FEC" w14:textId="77777777" w:rsidR="00825C89" w:rsidRPr="000E614D" w:rsidRDefault="00825C89" w:rsidP="00D47C29">
            <w:pPr>
              <w:jc w:val="center"/>
              <w:rPr>
                <w:sz w:val="18"/>
                <w:szCs w:val="18"/>
              </w:rPr>
            </w:pPr>
            <w:r w:rsidRPr="000E614D">
              <w:rPr>
                <w:sz w:val="18"/>
                <w:szCs w:val="18"/>
              </w:rPr>
              <w:t>101</w:t>
            </w:r>
          </w:p>
          <w:p w14:paraId="32051CE4" w14:textId="77777777" w:rsidR="00825C89" w:rsidRPr="000E614D" w:rsidRDefault="00825C89" w:rsidP="00D47C29">
            <w:pPr>
              <w:jc w:val="center"/>
              <w:rPr>
                <w:sz w:val="18"/>
                <w:szCs w:val="18"/>
              </w:rPr>
            </w:pPr>
            <w:r w:rsidRPr="000E614D">
              <w:rPr>
                <w:sz w:val="18"/>
                <w:szCs w:val="18"/>
              </w:rPr>
              <w:t>(</w:t>
            </w:r>
            <w:r>
              <w:rPr>
                <w:sz w:val="18"/>
                <w:szCs w:val="18"/>
              </w:rPr>
              <w:t>90</w:t>
            </w:r>
            <w:r w:rsidRPr="000E614D">
              <w:rPr>
                <w:sz w:val="18"/>
                <w:szCs w:val="18"/>
              </w:rPr>
              <w:t>, 112)</w:t>
            </w:r>
          </w:p>
        </w:tc>
        <w:tc>
          <w:tcPr>
            <w:tcW w:w="649" w:type="pct"/>
          </w:tcPr>
          <w:p w14:paraId="09322FD9" w14:textId="77777777" w:rsidR="00825C89" w:rsidRPr="00027268" w:rsidRDefault="00825C89" w:rsidP="00D47C29">
            <w:pPr>
              <w:jc w:val="center"/>
              <w:rPr>
                <w:sz w:val="18"/>
                <w:szCs w:val="18"/>
              </w:rPr>
            </w:pPr>
            <w:r w:rsidRPr="00027268">
              <w:rPr>
                <w:sz w:val="18"/>
                <w:szCs w:val="18"/>
              </w:rPr>
              <w:t>86</w:t>
            </w:r>
            <w:r>
              <w:rPr>
                <w:sz w:val="18"/>
                <w:szCs w:val="18"/>
              </w:rPr>
              <w:t>.9</w:t>
            </w:r>
          </w:p>
          <w:p w14:paraId="65624337" w14:textId="77777777" w:rsidR="00825C89" w:rsidRPr="00027268" w:rsidRDefault="00825C89" w:rsidP="00D47C29">
            <w:pPr>
              <w:jc w:val="center"/>
              <w:rPr>
                <w:sz w:val="18"/>
                <w:szCs w:val="18"/>
              </w:rPr>
            </w:pPr>
            <w:r w:rsidRPr="00027268">
              <w:rPr>
                <w:sz w:val="18"/>
                <w:szCs w:val="18"/>
              </w:rPr>
              <w:t>(7</w:t>
            </w:r>
            <w:r>
              <w:rPr>
                <w:sz w:val="18"/>
                <w:szCs w:val="18"/>
              </w:rPr>
              <w:t>6</w:t>
            </w:r>
            <w:r w:rsidRPr="00027268">
              <w:rPr>
                <w:sz w:val="18"/>
                <w:szCs w:val="18"/>
              </w:rPr>
              <w:t>, 98)</w:t>
            </w:r>
          </w:p>
        </w:tc>
        <w:tc>
          <w:tcPr>
            <w:tcW w:w="588" w:type="pct"/>
          </w:tcPr>
          <w:p w14:paraId="05B97558" w14:textId="77777777" w:rsidR="00825C89" w:rsidRPr="00C032F3" w:rsidRDefault="00825C89" w:rsidP="00D47C29">
            <w:pPr>
              <w:jc w:val="center"/>
              <w:rPr>
                <w:sz w:val="18"/>
                <w:szCs w:val="18"/>
              </w:rPr>
            </w:pPr>
            <w:r w:rsidRPr="00C032F3">
              <w:rPr>
                <w:sz w:val="18"/>
                <w:szCs w:val="18"/>
              </w:rPr>
              <w:t>8.08</w:t>
            </w:r>
          </w:p>
          <w:p w14:paraId="36D754B6" w14:textId="77777777" w:rsidR="00825C89" w:rsidRPr="00243253" w:rsidRDefault="00825C89" w:rsidP="00D47C29">
            <w:pPr>
              <w:jc w:val="center"/>
              <w:rPr>
                <w:b/>
                <w:sz w:val="18"/>
                <w:szCs w:val="18"/>
              </w:rPr>
            </w:pPr>
            <w:r w:rsidRPr="00C032F3">
              <w:rPr>
                <w:sz w:val="18"/>
                <w:szCs w:val="18"/>
              </w:rPr>
              <w:t>(-0.32, 16.48)</w:t>
            </w:r>
          </w:p>
        </w:tc>
        <w:tc>
          <w:tcPr>
            <w:tcW w:w="649" w:type="pct"/>
          </w:tcPr>
          <w:p w14:paraId="7DD9963E" w14:textId="77777777" w:rsidR="00825C89" w:rsidRPr="00690A9F" w:rsidRDefault="00825C89" w:rsidP="00D47C29">
            <w:pPr>
              <w:jc w:val="center"/>
              <w:rPr>
                <w:sz w:val="18"/>
                <w:szCs w:val="18"/>
              </w:rPr>
            </w:pPr>
            <w:r w:rsidRPr="00690A9F">
              <w:rPr>
                <w:sz w:val="18"/>
                <w:szCs w:val="18"/>
              </w:rPr>
              <w:t>-5.73</w:t>
            </w:r>
          </w:p>
          <w:p w14:paraId="1F65B758" w14:textId="77777777" w:rsidR="00825C89" w:rsidRPr="00690A9F" w:rsidRDefault="00825C89" w:rsidP="00D47C29">
            <w:pPr>
              <w:jc w:val="center"/>
              <w:rPr>
                <w:sz w:val="18"/>
                <w:szCs w:val="18"/>
              </w:rPr>
            </w:pPr>
            <w:r w:rsidRPr="00690A9F">
              <w:rPr>
                <w:sz w:val="18"/>
                <w:szCs w:val="18"/>
              </w:rPr>
              <w:t>(-15.03, 3.56)</w:t>
            </w:r>
          </w:p>
        </w:tc>
        <w:tc>
          <w:tcPr>
            <w:tcW w:w="788" w:type="pct"/>
          </w:tcPr>
          <w:p w14:paraId="1C377753" w14:textId="77777777" w:rsidR="00825C89" w:rsidRPr="00690A9F" w:rsidRDefault="00825C89" w:rsidP="00D47C29">
            <w:pPr>
              <w:jc w:val="center"/>
              <w:rPr>
                <w:sz w:val="18"/>
                <w:szCs w:val="18"/>
              </w:rPr>
            </w:pPr>
            <w:r w:rsidRPr="00690A9F">
              <w:rPr>
                <w:sz w:val="18"/>
                <w:szCs w:val="18"/>
              </w:rPr>
              <w:t>7.38</w:t>
            </w:r>
          </w:p>
          <w:p w14:paraId="16E96227" w14:textId="77777777" w:rsidR="00825C89" w:rsidRPr="00690A9F" w:rsidRDefault="00825C89" w:rsidP="00D47C29">
            <w:pPr>
              <w:jc w:val="center"/>
              <w:rPr>
                <w:sz w:val="18"/>
                <w:szCs w:val="18"/>
              </w:rPr>
            </w:pPr>
            <w:r w:rsidRPr="00690A9F">
              <w:rPr>
                <w:sz w:val="18"/>
                <w:szCs w:val="18"/>
              </w:rPr>
              <w:t>-1.05774    15.81</w:t>
            </w:r>
          </w:p>
        </w:tc>
        <w:tc>
          <w:tcPr>
            <w:tcW w:w="788" w:type="pct"/>
          </w:tcPr>
          <w:p w14:paraId="12673216" w14:textId="77777777" w:rsidR="00825C89" w:rsidRPr="00690A9F" w:rsidRDefault="00825C89" w:rsidP="00D47C29">
            <w:pPr>
              <w:jc w:val="center"/>
              <w:rPr>
                <w:sz w:val="18"/>
                <w:szCs w:val="18"/>
              </w:rPr>
            </w:pPr>
            <w:r w:rsidRPr="00690A9F">
              <w:rPr>
                <w:sz w:val="18"/>
                <w:szCs w:val="18"/>
              </w:rPr>
              <w:t>-6.35</w:t>
            </w:r>
          </w:p>
          <w:p w14:paraId="1BF92726" w14:textId="77777777" w:rsidR="00825C89" w:rsidRPr="00690A9F" w:rsidRDefault="00825C89" w:rsidP="00D47C29">
            <w:pPr>
              <w:jc w:val="center"/>
              <w:rPr>
                <w:sz w:val="18"/>
                <w:szCs w:val="18"/>
              </w:rPr>
            </w:pPr>
            <w:r w:rsidRPr="00690A9F">
              <w:rPr>
                <w:sz w:val="18"/>
                <w:szCs w:val="18"/>
              </w:rPr>
              <w:t>-15.64376    2.95</w:t>
            </w:r>
          </w:p>
        </w:tc>
      </w:tr>
      <w:tr w:rsidR="00825C89" w:rsidRPr="00243253" w14:paraId="14EBABDC" w14:textId="77777777" w:rsidTr="00D47C29">
        <w:trPr>
          <w:trHeight w:val="253"/>
        </w:trPr>
        <w:tc>
          <w:tcPr>
            <w:tcW w:w="284" w:type="pct"/>
            <w:vMerge/>
            <w:textDirection w:val="btLr"/>
          </w:tcPr>
          <w:p w14:paraId="2E14E17C" w14:textId="77777777" w:rsidR="00825C89" w:rsidRPr="000A4B32" w:rsidRDefault="00825C89" w:rsidP="00D47C29">
            <w:pPr>
              <w:ind w:left="113" w:right="113"/>
              <w:jc w:val="center"/>
              <w:rPr>
                <w:sz w:val="20"/>
                <w:szCs w:val="20"/>
              </w:rPr>
            </w:pPr>
          </w:p>
        </w:tc>
        <w:tc>
          <w:tcPr>
            <w:tcW w:w="778" w:type="pct"/>
            <w:shd w:val="clear" w:color="auto" w:fill="auto"/>
          </w:tcPr>
          <w:p w14:paraId="721B14A8" w14:textId="77777777" w:rsidR="00825C89" w:rsidRDefault="00825C89" w:rsidP="00D47C29">
            <w:pPr>
              <w:jc w:val="center"/>
              <w:rPr>
                <w:b/>
                <w:sz w:val="18"/>
                <w:szCs w:val="18"/>
              </w:rPr>
            </w:pPr>
            <w:r>
              <w:rPr>
                <w:b/>
                <w:sz w:val="18"/>
                <w:szCs w:val="18"/>
              </w:rPr>
              <w:t xml:space="preserve">Peak </w:t>
            </w:r>
            <w:r w:rsidRPr="00243253">
              <w:rPr>
                <w:b/>
                <w:sz w:val="18"/>
                <w:szCs w:val="18"/>
              </w:rPr>
              <w:t>value</w:t>
            </w:r>
          </w:p>
          <w:p w14:paraId="13F45D3B" w14:textId="77777777" w:rsidR="00825C89" w:rsidRPr="00243253" w:rsidRDefault="00825C89" w:rsidP="00D47C29">
            <w:pPr>
              <w:rPr>
                <w:b/>
                <w:sz w:val="18"/>
                <w:szCs w:val="18"/>
              </w:rPr>
            </w:pPr>
          </w:p>
        </w:tc>
        <w:tc>
          <w:tcPr>
            <w:tcW w:w="475" w:type="pct"/>
          </w:tcPr>
          <w:p w14:paraId="20A95F00" w14:textId="77777777" w:rsidR="00825C89" w:rsidRPr="000E614D" w:rsidRDefault="00825C89" w:rsidP="00D47C29">
            <w:pPr>
              <w:jc w:val="center"/>
              <w:rPr>
                <w:sz w:val="18"/>
                <w:szCs w:val="18"/>
              </w:rPr>
            </w:pPr>
            <w:r w:rsidRPr="000E614D">
              <w:rPr>
                <w:sz w:val="18"/>
                <w:szCs w:val="18"/>
              </w:rPr>
              <w:t>108</w:t>
            </w:r>
          </w:p>
          <w:p w14:paraId="1CAE502E" w14:textId="77777777" w:rsidR="00825C89" w:rsidRPr="000E614D" w:rsidRDefault="00825C89" w:rsidP="00D47C29">
            <w:pPr>
              <w:jc w:val="center"/>
              <w:rPr>
                <w:sz w:val="18"/>
                <w:szCs w:val="18"/>
              </w:rPr>
            </w:pPr>
            <w:r w:rsidRPr="000E614D">
              <w:rPr>
                <w:sz w:val="18"/>
                <w:szCs w:val="18"/>
              </w:rPr>
              <w:t>(97, 1</w:t>
            </w:r>
            <w:r>
              <w:rPr>
                <w:sz w:val="18"/>
                <w:szCs w:val="18"/>
              </w:rPr>
              <w:t>20</w:t>
            </w:r>
            <w:r w:rsidRPr="000E614D">
              <w:rPr>
                <w:sz w:val="18"/>
                <w:szCs w:val="18"/>
              </w:rPr>
              <w:t>)</w:t>
            </w:r>
          </w:p>
        </w:tc>
        <w:tc>
          <w:tcPr>
            <w:tcW w:w="649" w:type="pct"/>
          </w:tcPr>
          <w:p w14:paraId="6646ABA2" w14:textId="77777777" w:rsidR="00825C89" w:rsidRPr="00027268" w:rsidRDefault="00825C89" w:rsidP="00D47C29">
            <w:pPr>
              <w:jc w:val="center"/>
              <w:rPr>
                <w:sz w:val="18"/>
                <w:szCs w:val="18"/>
              </w:rPr>
            </w:pPr>
            <w:r w:rsidRPr="00027268">
              <w:rPr>
                <w:sz w:val="18"/>
                <w:szCs w:val="18"/>
              </w:rPr>
              <w:t>99</w:t>
            </w:r>
          </w:p>
          <w:p w14:paraId="40334529" w14:textId="77777777" w:rsidR="00825C89" w:rsidRPr="00027268" w:rsidRDefault="00825C89" w:rsidP="00D47C29">
            <w:pPr>
              <w:jc w:val="center"/>
              <w:rPr>
                <w:sz w:val="18"/>
                <w:szCs w:val="18"/>
              </w:rPr>
            </w:pPr>
            <w:r w:rsidRPr="00027268">
              <w:rPr>
                <w:sz w:val="18"/>
                <w:szCs w:val="18"/>
              </w:rPr>
              <w:t>(89, 110)</w:t>
            </w:r>
          </w:p>
        </w:tc>
        <w:tc>
          <w:tcPr>
            <w:tcW w:w="588" w:type="pct"/>
          </w:tcPr>
          <w:p w14:paraId="09F11189" w14:textId="77777777" w:rsidR="00825C89" w:rsidRPr="00CC272F" w:rsidRDefault="00825C89" w:rsidP="00D47C29">
            <w:pPr>
              <w:jc w:val="center"/>
              <w:rPr>
                <w:sz w:val="18"/>
                <w:szCs w:val="18"/>
              </w:rPr>
            </w:pPr>
            <w:r w:rsidRPr="00CC272F">
              <w:rPr>
                <w:sz w:val="18"/>
                <w:szCs w:val="18"/>
              </w:rPr>
              <w:t>8.89</w:t>
            </w:r>
          </w:p>
          <w:p w14:paraId="003A6DDE" w14:textId="77777777" w:rsidR="00825C89" w:rsidRPr="00243253" w:rsidRDefault="00825C89" w:rsidP="00D47C29">
            <w:pPr>
              <w:jc w:val="center"/>
              <w:rPr>
                <w:b/>
                <w:sz w:val="18"/>
                <w:szCs w:val="18"/>
              </w:rPr>
            </w:pPr>
            <w:r w:rsidRPr="00CC272F">
              <w:rPr>
                <w:sz w:val="18"/>
                <w:szCs w:val="18"/>
              </w:rPr>
              <w:t>(2.33, 15.44)</w:t>
            </w:r>
          </w:p>
        </w:tc>
        <w:tc>
          <w:tcPr>
            <w:tcW w:w="649" w:type="pct"/>
          </w:tcPr>
          <w:p w14:paraId="5C95A0DC" w14:textId="77777777" w:rsidR="00825C89" w:rsidRPr="00690A9F" w:rsidRDefault="00825C89" w:rsidP="00D47C29">
            <w:pPr>
              <w:jc w:val="center"/>
              <w:rPr>
                <w:sz w:val="18"/>
                <w:szCs w:val="18"/>
              </w:rPr>
            </w:pPr>
            <w:r w:rsidRPr="00690A9F">
              <w:rPr>
                <w:sz w:val="18"/>
                <w:szCs w:val="18"/>
              </w:rPr>
              <w:t>6.01</w:t>
            </w:r>
          </w:p>
          <w:p w14:paraId="7348EF23" w14:textId="77777777" w:rsidR="00825C89" w:rsidRPr="00690A9F" w:rsidRDefault="00825C89" w:rsidP="00D47C29">
            <w:pPr>
              <w:jc w:val="center"/>
              <w:rPr>
                <w:sz w:val="18"/>
                <w:szCs w:val="18"/>
              </w:rPr>
            </w:pPr>
            <w:r w:rsidRPr="00690A9F">
              <w:rPr>
                <w:sz w:val="18"/>
                <w:szCs w:val="18"/>
              </w:rPr>
              <w:t>(-1.10, 13.12)</w:t>
            </w:r>
          </w:p>
        </w:tc>
        <w:tc>
          <w:tcPr>
            <w:tcW w:w="788" w:type="pct"/>
          </w:tcPr>
          <w:p w14:paraId="500B0A6C" w14:textId="77777777" w:rsidR="00825C89" w:rsidRPr="00690A9F" w:rsidRDefault="00825C89" w:rsidP="00D47C29">
            <w:pPr>
              <w:jc w:val="center"/>
              <w:rPr>
                <w:sz w:val="18"/>
                <w:szCs w:val="18"/>
              </w:rPr>
            </w:pPr>
            <w:r w:rsidRPr="00690A9F">
              <w:rPr>
                <w:sz w:val="18"/>
                <w:szCs w:val="18"/>
              </w:rPr>
              <w:t>8.39</w:t>
            </w:r>
          </w:p>
          <w:p w14:paraId="529BC30D" w14:textId="77777777" w:rsidR="00825C89" w:rsidRPr="00690A9F" w:rsidRDefault="00825C89" w:rsidP="00D47C29">
            <w:pPr>
              <w:jc w:val="center"/>
              <w:rPr>
                <w:sz w:val="18"/>
                <w:szCs w:val="18"/>
              </w:rPr>
            </w:pPr>
            <w:r w:rsidRPr="00690A9F">
              <w:rPr>
                <w:sz w:val="18"/>
                <w:szCs w:val="18"/>
              </w:rPr>
              <w:t>(2.00, 14.78)</w:t>
            </w:r>
          </w:p>
        </w:tc>
        <w:tc>
          <w:tcPr>
            <w:tcW w:w="788" w:type="pct"/>
          </w:tcPr>
          <w:p w14:paraId="3C96A031" w14:textId="77777777" w:rsidR="00825C89" w:rsidRPr="00690A9F" w:rsidRDefault="00825C89" w:rsidP="00D47C29">
            <w:pPr>
              <w:jc w:val="center"/>
              <w:rPr>
                <w:sz w:val="18"/>
                <w:szCs w:val="18"/>
              </w:rPr>
            </w:pPr>
            <w:r w:rsidRPr="00690A9F">
              <w:rPr>
                <w:sz w:val="18"/>
                <w:szCs w:val="18"/>
              </w:rPr>
              <w:t>5.36</w:t>
            </w:r>
          </w:p>
          <w:p w14:paraId="798C42CD" w14:textId="77777777" w:rsidR="00825C89" w:rsidRPr="00690A9F" w:rsidRDefault="00825C89" w:rsidP="00D47C29">
            <w:pPr>
              <w:jc w:val="center"/>
              <w:rPr>
                <w:sz w:val="18"/>
                <w:szCs w:val="18"/>
              </w:rPr>
            </w:pPr>
            <w:r w:rsidRPr="00690A9F">
              <w:rPr>
                <w:sz w:val="18"/>
                <w:szCs w:val="18"/>
              </w:rPr>
              <w:t>(-1.53, 12.25)</w:t>
            </w:r>
          </w:p>
        </w:tc>
      </w:tr>
      <w:tr w:rsidR="00825C89" w:rsidRPr="00243253" w14:paraId="7D6CB438" w14:textId="77777777" w:rsidTr="00D47C29">
        <w:trPr>
          <w:trHeight w:val="236"/>
        </w:trPr>
        <w:tc>
          <w:tcPr>
            <w:tcW w:w="284" w:type="pct"/>
            <w:vMerge/>
            <w:textDirection w:val="btLr"/>
          </w:tcPr>
          <w:p w14:paraId="302CD44A" w14:textId="77777777" w:rsidR="00825C89" w:rsidRPr="000A4B32" w:rsidRDefault="00825C89" w:rsidP="00D47C29">
            <w:pPr>
              <w:ind w:left="113" w:right="113"/>
              <w:jc w:val="center"/>
              <w:rPr>
                <w:sz w:val="20"/>
                <w:szCs w:val="20"/>
              </w:rPr>
            </w:pPr>
          </w:p>
        </w:tc>
        <w:tc>
          <w:tcPr>
            <w:tcW w:w="778" w:type="pct"/>
            <w:shd w:val="clear" w:color="auto" w:fill="F7CAAC" w:themeFill="accent2" w:themeFillTint="66"/>
          </w:tcPr>
          <w:p w14:paraId="42D8EBA8" w14:textId="77777777" w:rsidR="00825C89" w:rsidRPr="00243253" w:rsidRDefault="00825C89" w:rsidP="00D47C29">
            <w:pPr>
              <w:jc w:val="center"/>
              <w:rPr>
                <w:b/>
                <w:sz w:val="18"/>
                <w:szCs w:val="18"/>
              </w:rPr>
            </w:pPr>
            <w:r>
              <w:rPr>
                <w:b/>
                <w:sz w:val="18"/>
                <w:szCs w:val="18"/>
              </w:rPr>
              <w:t>Peak</w:t>
            </w:r>
            <w:r w:rsidRPr="00243253">
              <w:rPr>
                <w:b/>
                <w:sz w:val="18"/>
                <w:szCs w:val="18"/>
              </w:rPr>
              <w:t xml:space="preserve"> time</w:t>
            </w:r>
            <w:r>
              <w:rPr>
                <w:b/>
                <w:sz w:val="18"/>
                <w:szCs w:val="18"/>
              </w:rPr>
              <w:t>-months</w:t>
            </w:r>
          </w:p>
        </w:tc>
        <w:tc>
          <w:tcPr>
            <w:tcW w:w="475" w:type="pct"/>
            <w:shd w:val="clear" w:color="auto" w:fill="F7CAAC" w:themeFill="accent2" w:themeFillTint="66"/>
          </w:tcPr>
          <w:p w14:paraId="16D55E88" w14:textId="77777777" w:rsidR="00825C89" w:rsidRPr="000E614D" w:rsidRDefault="00825C89" w:rsidP="00D47C29">
            <w:pPr>
              <w:jc w:val="center"/>
              <w:rPr>
                <w:sz w:val="18"/>
                <w:szCs w:val="18"/>
              </w:rPr>
            </w:pPr>
            <w:r w:rsidRPr="000E614D">
              <w:rPr>
                <w:sz w:val="18"/>
                <w:szCs w:val="18"/>
              </w:rPr>
              <w:t>4.57</w:t>
            </w:r>
          </w:p>
          <w:p w14:paraId="12983A5C" w14:textId="77777777" w:rsidR="00825C89" w:rsidRPr="000E614D" w:rsidRDefault="00825C89" w:rsidP="00D47C29">
            <w:pPr>
              <w:jc w:val="center"/>
              <w:rPr>
                <w:sz w:val="18"/>
                <w:szCs w:val="18"/>
              </w:rPr>
            </w:pPr>
            <w:r w:rsidRPr="000E614D">
              <w:rPr>
                <w:sz w:val="18"/>
                <w:szCs w:val="18"/>
              </w:rPr>
              <w:t>(3.72, 5.43)</w:t>
            </w:r>
          </w:p>
        </w:tc>
        <w:tc>
          <w:tcPr>
            <w:tcW w:w="649" w:type="pct"/>
            <w:shd w:val="clear" w:color="auto" w:fill="F7CAAC" w:themeFill="accent2" w:themeFillTint="66"/>
          </w:tcPr>
          <w:p w14:paraId="7503A2AD" w14:textId="77777777" w:rsidR="00825C89" w:rsidRPr="00027268" w:rsidRDefault="00825C89" w:rsidP="00D47C29">
            <w:pPr>
              <w:jc w:val="center"/>
              <w:rPr>
                <w:sz w:val="18"/>
                <w:szCs w:val="18"/>
              </w:rPr>
            </w:pPr>
            <w:r w:rsidRPr="00027268">
              <w:rPr>
                <w:sz w:val="18"/>
                <w:szCs w:val="18"/>
              </w:rPr>
              <w:t>3.54</w:t>
            </w:r>
          </w:p>
          <w:p w14:paraId="2784BD16" w14:textId="77777777" w:rsidR="00825C89" w:rsidRPr="00027268" w:rsidRDefault="00825C89" w:rsidP="00D47C29">
            <w:pPr>
              <w:jc w:val="center"/>
              <w:rPr>
                <w:sz w:val="18"/>
                <w:szCs w:val="18"/>
              </w:rPr>
            </w:pPr>
            <w:r w:rsidRPr="00027268">
              <w:rPr>
                <w:sz w:val="18"/>
                <w:szCs w:val="18"/>
              </w:rPr>
              <w:t>(2.57, 4.51)</w:t>
            </w:r>
          </w:p>
        </w:tc>
        <w:tc>
          <w:tcPr>
            <w:tcW w:w="588" w:type="pct"/>
            <w:shd w:val="clear" w:color="auto" w:fill="D9D9D9" w:themeFill="background1" w:themeFillShade="D9"/>
          </w:tcPr>
          <w:p w14:paraId="2A56C0BF" w14:textId="77777777" w:rsidR="00825C89" w:rsidRPr="00243253" w:rsidRDefault="00825C89" w:rsidP="00D47C29">
            <w:pPr>
              <w:jc w:val="center"/>
              <w:rPr>
                <w:b/>
                <w:sz w:val="18"/>
                <w:szCs w:val="18"/>
              </w:rPr>
            </w:pPr>
          </w:p>
        </w:tc>
        <w:tc>
          <w:tcPr>
            <w:tcW w:w="649" w:type="pct"/>
            <w:shd w:val="clear" w:color="auto" w:fill="D9D9D9" w:themeFill="background1" w:themeFillShade="D9"/>
          </w:tcPr>
          <w:p w14:paraId="5D2D2B5D" w14:textId="77777777" w:rsidR="00825C89" w:rsidRPr="00690A9F" w:rsidRDefault="00825C89" w:rsidP="00D47C29">
            <w:pPr>
              <w:jc w:val="center"/>
              <w:rPr>
                <w:sz w:val="18"/>
                <w:szCs w:val="18"/>
              </w:rPr>
            </w:pPr>
          </w:p>
        </w:tc>
        <w:tc>
          <w:tcPr>
            <w:tcW w:w="788" w:type="pct"/>
            <w:shd w:val="clear" w:color="auto" w:fill="D9D9D9" w:themeFill="background1" w:themeFillShade="D9"/>
          </w:tcPr>
          <w:p w14:paraId="28E56FAB" w14:textId="77777777" w:rsidR="00825C89" w:rsidRPr="00690A9F" w:rsidRDefault="00825C89" w:rsidP="00D47C29">
            <w:pPr>
              <w:jc w:val="center"/>
              <w:rPr>
                <w:sz w:val="18"/>
                <w:szCs w:val="18"/>
              </w:rPr>
            </w:pPr>
          </w:p>
        </w:tc>
        <w:tc>
          <w:tcPr>
            <w:tcW w:w="788" w:type="pct"/>
            <w:shd w:val="clear" w:color="auto" w:fill="D9D9D9" w:themeFill="background1" w:themeFillShade="D9"/>
          </w:tcPr>
          <w:p w14:paraId="04F9C7A5" w14:textId="77777777" w:rsidR="00825C89" w:rsidRPr="00690A9F" w:rsidRDefault="00825C89" w:rsidP="00D47C29">
            <w:pPr>
              <w:jc w:val="center"/>
              <w:rPr>
                <w:sz w:val="18"/>
                <w:szCs w:val="18"/>
              </w:rPr>
            </w:pPr>
          </w:p>
        </w:tc>
      </w:tr>
      <w:tr w:rsidR="00825C89" w:rsidRPr="00243253" w14:paraId="40992B68" w14:textId="77777777" w:rsidTr="00D47C29">
        <w:trPr>
          <w:trHeight w:val="253"/>
        </w:trPr>
        <w:tc>
          <w:tcPr>
            <w:tcW w:w="284" w:type="pct"/>
            <w:vMerge w:val="restart"/>
            <w:textDirection w:val="btLr"/>
          </w:tcPr>
          <w:p w14:paraId="4E4AB9C9" w14:textId="77777777" w:rsidR="00825C89" w:rsidRPr="000A4B32" w:rsidRDefault="00825C89" w:rsidP="00D47C29">
            <w:pPr>
              <w:ind w:left="113" w:right="113"/>
              <w:jc w:val="center"/>
              <w:rPr>
                <w:b/>
                <w:sz w:val="20"/>
                <w:szCs w:val="20"/>
              </w:rPr>
            </w:pPr>
            <w:r w:rsidRPr="000A4B32">
              <w:rPr>
                <w:b/>
                <w:sz w:val="20"/>
                <w:szCs w:val="20"/>
              </w:rPr>
              <w:t>QUADS DOM</w:t>
            </w:r>
            <w:r>
              <w:rPr>
                <w:b/>
                <w:sz w:val="20"/>
                <w:szCs w:val="20"/>
              </w:rPr>
              <w:t xml:space="preserve"> (kg)</w:t>
            </w:r>
          </w:p>
        </w:tc>
        <w:tc>
          <w:tcPr>
            <w:tcW w:w="778" w:type="pct"/>
            <w:shd w:val="clear" w:color="auto" w:fill="auto"/>
          </w:tcPr>
          <w:p w14:paraId="23C62E29" w14:textId="77777777" w:rsidR="00825C89" w:rsidRPr="00243253" w:rsidRDefault="00825C89" w:rsidP="00D47C29">
            <w:pPr>
              <w:jc w:val="center"/>
              <w:rPr>
                <w:b/>
                <w:sz w:val="18"/>
                <w:szCs w:val="18"/>
              </w:rPr>
            </w:pPr>
            <w:r w:rsidRPr="00243253">
              <w:rPr>
                <w:b/>
                <w:sz w:val="18"/>
                <w:szCs w:val="18"/>
              </w:rPr>
              <w:t>Baseline</w:t>
            </w:r>
          </w:p>
        </w:tc>
        <w:tc>
          <w:tcPr>
            <w:tcW w:w="475" w:type="pct"/>
          </w:tcPr>
          <w:p w14:paraId="04E5A215" w14:textId="77777777" w:rsidR="00825C89" w:rsidRPr="00027268" w:rsidRDefault="00825C89" w:rsidP="00D47C29">
            <w:pPr>
              <w:jc w:val="center"/>
              <w:rPr>
                <w:sz w:val="18"/>
                <w:szCs w:val="18"/>
              </w:rPr>
            </w:pPr>
            <w:r w:rsidRPr="00027268">
              <w:rPr>
                <w:sz w:val="18"/>
                <w:szCs w:val="18"/>
              </w:rPr>
              <w:t>18.8</w:t>
            </w:r>
          </w:p>
          <w:p w14:paraId="7887A22B" w14:textId="77777777" w:rsidR="00825C89" w:rsidRPr="00027268" w:rsidRDefault="00825C89" w:rsidP="00D47C29">
            <w:pPr>
              <w:jc w:val="center"/>
              <w:rPr>
                <w:sz w:val="18"/>
                <w:szCs w:val="18"/>
              </w:rPr>
            </w:pPr>
            <w:r w:rsidRPr="00027268">
              <w:rPr>
                <w:sz w:val="18"/>
                <w:szCs w:val="18"/>
              </w:rPr>
              <w:t>(16.</w:t>
            </w:r>
            <w:r>
              <w:rPr>
                <w:sz w:val="18"/>
                <w:szCs w:val="18"/>
              </w:rPr>
              <w:t>7</w:t>
            </w:r>
            <w:r w:rsidRPr="00027268">
              <w:rPr>
                <w:sz w:val="18"/>
                <w:szCs w:val="18"/>
              </w:rPr>
              <w:t>, 20.9)</w:t>
            </w:r>
          </w:p>
        </w:tc>
        <w:tc>
          <w:tcPr>
            <w:tcW w:w="649" w:type="pct"/>
          </w:tcPr>
          <w:p w14:paraId="066541B6" w14:textId="77777777" w:rsidR="00825C89" w:rsidRPr="00027268" w:rsidRDefault="00825C89" w:rsidP="00D47C29">
            <w:pPr>
              <w:jc w:val="center"/>
              <w:rPr>
                <w:sz w:val="18"/>
                <w:szCs w:val="18"/>
              </w:rPr>
            </w:pPr>
            <w:r w:rsidRPr="00027268">
              <w:rPr>
                <w:sz w:val="18"/>
                <w:szCs w:val="18"/>
              </w:rPr>
              <w:t>17.</w:t>
            </w:r>
            <w:r>
              <w:rPr>
                <w:sz w:val="18"/>
                <w:szCs w:val="18"/>
              </w:rPr>
              <w:t>6</w:t>
            </w:r>
          </w:p>
          <w:p w14:paraId="7596A0C8" w14:textId="77777777" w:rsidR="00825C89" w:rsidRPr="00027268" w:rsidRDefault="00825C89" w:rsidP="00D47C29">
            <w:pPr>
              <w:jc w:val="center"/>
              <w:rPr>
                <w:sz w:val="18"/>
                <w:szCs w:val="18"/>
              </w:rPr>
            </w:pPr>
            <w:r w:rsidRPr="00027268">
              <w:rPr>
                <w:sz w:val="18"/>
                <w:szCs w:val="18"/>
              </w:rPr>
              <w:t>(15.7</w:t>
            </w:r>
            <w:r>
              <w:rPr>
                <w:sz w:val="18"/>
                <w:szCs w:val="18"/>
              </w:rPr>
              <w:t>,</w:t>
            </w:r>
            <w:r w:rsidRPr="00027268">
              <w:rPr>
                <w:sz w:val="18"/>
                <w:szCs w:val="18"/>
              </w:rPr>
              <w:t xml:space="preserve"> 19.</w:t>
            </w:r>
            <w:r>
              <w:rPr>
                <w:sz w:val="18"/>
                <w:szCs w:val="18"/>
              </w:rPr>
              <w:t>5</w:t>
            </w:r>
            <w:r w:rsidRPr="00027268">
              <w:rPr>
                <w:sz w:val="18"/>
                <w:szCs w:val="18"/>
              </w:rPr>
              <w:t>)</w:t>
            </w:r>
          </w:p>
        </w:tc>
        <w:tc>
          <w:tcPr>
            <w:tcW w:w="588" w:type="pct"/>
            <w:shd w:val="clear" w:color="auto" w:fill="D9D9D9" w:themeFill="background1" w:themeFillShade="D9"/>
          </w:tcPr>
          <w:p w14:paraId="2EA3054E" w14:textId="77777777" w:rsidR="00825C89" w:rsidRPr="00243253" w:rsidRDefault="00825C89" w:rsidP="00D47C29">
            <w:pPr>
              <w:jc w:val="center"/>
              <w:rPr>
                <w:b/>
                <w:sz w:val="18"/>
                <w:szCs w:val="18"/>
              </w:rPr>
            </w:pPr>
          </w:p>
        </w:tc>
        <w:tc>
          <w:tcPr>
            <w:tcW w:w="649" w:type="pct"/>
            <w:shd w:val="clear" w:color="auto" w:fill="D9D9D9" w:themeFill="background1" w:themeFillShade="D9"/>
          </w:tcPr>
          <w:p w14:paraId="3F0F437F" w14:textId="77777777" w:rsidR="00825C89" w:rsidRPr="00690A9F" w:rsidRDefault="00825C89" w:rsidP="00D47C29">
            <w:pPr>
              <w:jc w:val="center"/>
              <w:rPr>
                <w:sz w:val="18"/>
                <w:szCs w:val="18"/>
              </w:rPr>
            </w:pPr>
          </w:p>
        </w:tc>
        <w:tc>
          <w:tcPr>
            <w:tcW w:w="788" w:type="pct"/>
            <w:shd w:val="clear" w:color="auto" w:fill="D9D9D9" w:themeFill="background1" w:themeFillShade="D9"/>
          </w:tcPr>
          <w:p w14:paraId="479D47E3" w14:textId="77777777" w:rsidR="00825C89" w:rsidRPr="00690A9F" w:rsidRDefault="00825C89" w:rsidP="00D47C29">
            <w:pPr>
              <w:jc w:val="center"/>
              <w:rPr>
                <w:sz w:val="18"/>
                <w:szCs w:val="18"/>
              </w:rPr>
            </w:pPr>
          </w:p>
        </w:tc>
        <w:tc>
          <w:tcPr>
            <w:tcW w:w="788" w:type="pct"/>
            <w:shd w:val="clear" w:color="auto" w:fill="D9D9D9" w:themeFill="background1" w:themeFillShade="D9"/>
          </w:tcPr>
          <w:p w14:paraId="77DBA6C1" w14:textId="77777777" w:rsidR="00825C89" w:rsidRPr="00690A9F" w:rsidRDefault="00825C89" w:rsidP="00D47C29">
            <w:pPr>
              <w:jc w:val="center"/>
              <w:rPr>
                <w:sz w:val="18"/>
                <w:szCs w:val="18"/>
              </w:rPr>
            </w:pPr>
          </w:p>
        </w:tc>
      </w:tr>
      <w:tr w:rsidR="00825C89" w:rsidRPr="00243253" w14:paraId="6DEEBA2B" w14:textId="77777777" w:rsidTr="00D47C29">
        <w:trPr>
          <w:trHeight w:val="236"/>
        </w:trPr>
        <w:tc>
          <w:tcPr>
            <w:tcW w:w="284" w:type="pct"/>
            <w:vMerge/>
          </w:tcPr>
          <w:p w14:paraId="4F2300D5" w14:textId="77777777" w:rsidR="00825C89" w:rsidRPr="000A4B32" w:rsidRDefault="00825C89" w:rsidP="00D47C29">
            <w:pPr>
              <w:ind w:left="113" w:right="113"/>
              <w:jc w:val="center"/>
              <w:rPr>
                <w:b/>
                <w:sz w:val="20"/>
                <w:szCs w:val="20"/>
              </w:rPr>
            </w:pPr>
          </w:p>
        </w:tc>
        <w:tc>
          <w:tcPr>
            <w:tcW w:w="778" w:type="pct"/>
            <w:shd w:val="clear" w:color="auto" w:fill="auto"/>
          </w:tcPr>
          <w:p w14:paraId="0CE3D33C" w14:textId="77777777" w:rsidR="00825C89" w:rsidRPr="00243253" w:rsidRDefault="00825C89" w:rsidP="00D47C29">
            <w:pPr>
              <w:jc w:val="center"/>
              <w:rPr>
                <w:b/>
                <w:sz w:val="18"/>
                <w:szCs w:val="18"/>
              </w:rPr>
            </w:pPr>
            <w:r w:rsidRPr="00243253">
              <w:rPr>
                <w:b/>
                <w:sz w:val="18"/>
                <w:szCs w:val="18"/>
              </w:rPr>
              <w:t>2 months</w:t>
            </w:r>
          </w:p>
        </w:tc>
        <w:tc>
          <w:tcPr>
            <w:tcW w:w="475" w:type="pct"/>
          </w:tcPr>
          <w:p w14:paraId="1B2B4ED6" w14:textId="77777777" w:rsidR="00825C89" w:rsidRPr="00027268" w:rsidRDefault="00825C89" w:rsidP="00D47C29">
            <w:pPr>
              <w:jc w:val="center"/>
              <w:rPr>
                <w:sz w:val="18"/>
                <w:szCs w:val="18"/>
              </w:rPr>
            </w:pPr>
            <w:r w:rsidRPr="00027268">
              <w:rPr>
                <w:sz w:val="18"/>
                <w:szCs w:val="18"/>
              </w:rPr>
              <w:t>21.6</w:t>
            </w:r>
          </w:p>
          <w:p w14:paraId="677C1765" w14:textId="77777777" w:rsidR="00825C89" w:rsidRPr="00027268" w:rsidRDefault="00825C89" w:rsidP="00D47C29">
            <w:pPr>
              <w:jc w:val="center"/>
              <w:rPr>
                <w:sz w:val="18"/>
                <w:szCs w:val="18"/>
              </w:rPr>
            </w:pPr>
            <w:r w:rsidRPr="00027268">
              <w:rPr>
                <w:sz w:val="18"/>
                <w:szCs w:val="18"/>
              </w:rPr>
              <w:t>(19.</w:t>
            </w:r>
            <w:r>
              <w:rPr>
                <w:sz w:val="18"/>
                <w:szCs w:val="18"/>
              </w:rPr>
              <w:t>4</w:t>
            </w:r>
            <w:r w:rsidRPr="00027268">
              <w:rPr>
                <w:sz w:val="18"/>
                <w:szCs w:val="18"/>
              </w:rPr>
              <w:t>, 23.</w:t>
            </w:r>
            <w:r>
              <w:rPr>
                <w:sz w:val="18"/>
                <w:szCs w:val="18"/>
              </w:rPr>
              <w:t>8</w:t>
            </w:r>
            <w:r w:rsidRPr="00027268">
              <w:rPr>
                <w:sz w:val="18"/>
                <w:szCs w:val="18"/>
              </w:rPr>
              <w:t>)</w:t>
            </w:r>
          </w:p>
        </w:tc>
        <w:tc>
          <w:tcPr>
            <w:tcW w:w="649" w:type="pct"/>
          </w:tcPr>
          <w:p w14:paraId="1E9A6B9D" w14:textId="77777777" w:rsidR="00825C89" w:rsidRPr="00027268" w:rsidRDefault="00825C89" w:rsidP="00D47C29">
            <w:pPr>
              <w:jc w:val="center"/>
              <w:rPr>
                <w:sz w:val="18"/>
                <w:szCs w:val="18"/>
              </w:rPr>
            </w:pPr>
            <w:r w:rsidRPr="00027268">
              <w:rPr>
                <w:sz w:val="18"/>
                <w:szCs w:val="18"/>
              </w:rPr>
              <w:t>20.1</w:t>
            </w:r>
          </w:p>
          <w:p w14:paraId="251F2B6C" w14:textId="77777777" w:rsidR="00825C89" w:rsidRPr="00027268" w:rsidRDefault="00825C89" w:rsidP="00D47C29">
            <w:pPr>
              <w:jc w:val="center"/>
              <w:rPr>
                <w:sz w:val="18"/>
                <w:szCs w:val="18"/>
              </w:rPr>
            </w:pPr>
            <w:r w:rsidRPr="00027268">
              <w:rPr>
                <w:sz w:val="18"/>
                <w:szCs w:val="18"/>
              </w:rPr>
              <w:t>(18.1, 22.1)</w:t>
            </w:r>
          </w:p>
        </w:tc>
        <w:tc>
          <w:tcPr>
            <w:tcW w:w="588" w:type="pct"/>
          </w:tcPr>
          <w:p w14:paraId="37D1895B" w14:textId="77777777" w:rsidR="00825C89" w:rsidRPr="00CC272F" w:rsidRDefault="00825C89" w:rsidP="00D47C29">
            <w:pPr>
              <w:jc w:val="center"/>
              <w:rPr>
                <w:sz w:val="18"/>
                <w:szCs w:val="18"/>
              </w:rPr>
            </w:pPr>
            <w:r w:rsidRPr="00CC272F">
              <w:rPr>
                <w:sz w:val="18"/>
                <w:szCs w:val="18"/>
              </w:rPr>
              <w:t>3.37</w:t>
            </w:r>
          </w:p>
          <w:p w14:paraId="7C8F2798" w14:textId="77777777" w:rsidR="00825C89" w:rsidRPr="00243253" w:rsidRDefault="00825C89" w:rsidP="00D47C29">
            <w:pPr>
              <w:jc w:val="center"/>
              <w:rPr>
                <w:b/>
                <w:sz w:val="18"/>
                <w:szCs w:val="18"/>
              </w:rPr>
            </w:pPr>
            <w:r w:rsidRPr="00CC272F">
              <w:rPr>
                <w:sz w:val="18"/>
                <w:szCs w:val="18"/>
              </w:rPr>
              <w:t>(1.97, 4.78)</w:t>
            </w:r>
          </w:p>
        </w:tc>
        <w:tc>
          <w:tcPr>
            <w:tcW w:w="649" w:type="pct"/>
          </w:tcPr>
          <w:p w14:paraId="1AEEF39F" w14:textId="77777777" w:rsidR="00825C89" w:rsidRPr="00690A9F" w:rsidRDefault="00825C89" w:rsidP="00D47C29">
            <w:pPr>
              <w:jc w:val="center"/>
              <w:rPr>
                <w:sz w:val="18"/>
                <w:szCs w:val="18"/>
              </w:rPr>
            </w:pPr>
            <w:r w:rsidRPr="00690A9F">
              <w:rPr>
                <w:sz w:val="18"/>
                <w:szCs w:val="18"/>
              </w:rPr>
              <w:t>2.44</w:t>
            </w:r>
          </w:p>
          <w:p w14:paraId="5C04E8E9" w14:textId="77777777" w:rsidR="00825C89" w:rsidRPr="00690A9F" w:rsidRDefault="00825C89" w:rsidP="00D47C29">
            <w:pPr>
              <w:jc w:val="center"/>
              <w:rPr>
                <w:sz w:val="18"/>
                <w:szCs w:val="18"/>
              </w:rPr>
            </w:pPr>
            <w:r w:rsidRPr="00690A9F">
              <w:rPr>
                <w:sz w:val="18"/>
                <w:szCs w:val="18"/>
              </w:rPr>
              <w:t>(1.09, 3.78)</w:t>
            </w:r>
          </w:p>
        </w:tc>
        <w:tc>
          <w:tcPr>
            <w:tcW w:w="788" w:type="pct"/>
          </w:tcPr>
          <w:p w14:paraId="43681DCB" w14:textId="77777777" w:rsidR="00825C89" w:rsidRPr="00690A9F" w:rsidRDefault="00825C89" w:rsidP="00D47C29">
            <w:pPr>
              <w:jc w:val="center"/>
              <w:rPr>
                <w:sz w:val="18"/>
                <w:szCs w:val="18"/>
              </w:rPr>
            </w:pPr>
            <w:r w:rsidRPr="00690A9F">
              <w:rPr>
                <w:sz w:val="18"/>
                <w:szCs w:val="18"/>
              </w:rPr>
              <w:t>3.33</w:t>
            </w:r>
          </w:p>
          <w:p w14:paraId="0C4BC4D9" w14:textId="77777777" w:rsidR="00825C89" w:rsidRPr="00690A9F" w:rsidRDefault="00825C89" w:rsidP="00D47C29">
            <w:pPr>
              <w:jc w:val="center"/>
              <w:rPr>
                <w:sz w:val="18"/>
                <w:szCs w:val="18"/>
              </w:rPr>
            </w:pPr>
            <w:r w:rsidRPr="00690A9F">
              <w:rPr>
                <w:sz w:val="18"/>
                <w:szCs w:val="18"/>
              </w:rPr>
              <w:t>(1.91, 4.74)</w:t>
            </w:r>
          </w:p>
        </w:tc>
        <w:tc>
          <w:tcPr>
            <w:tcW w:w="788" w:type="pct"/>
          </w:tcPr>
          <w:p w14:paraId="51CB72FA" w14:textId="77777777" w:rsidR="00825C89" w:rsidRPr="00690A9F" w:rsidRDefault="00825C89" w:rsidP="00D47C29">
            <w:pPr>
              <w:jc w:val="center"/>
              <w:rPr>
                <w:sz w:val="18"/>
                <w:szCs w:val="18"/>
              </w:rPr>
            </w:pPr>
            <w:r w:rsidRPr="00690A9F">
              <w:rPr>
                <w:sz w:val="18"/>
                <w:szCs w:val="18"/>
              </w:rPr>
              <w:t>2.39</w:t>
            </w:r>
          </w:p>
          <w:p w14:paraId="0506B8DD" w14:textId="77777777" w:rsidR="00825C89" w:rsidRPr="00690A9F" w:rsidRDefault="00825C89" w:rsidP="00D47C29">
            <w:pPr>
              <w:jc w:val="center"/>
              <w:rPr>
                <w:sz w:val="18"/>
                <w:szCs w:val="18"/>
              </w:rPr>
            </w:pPr>
            <w:r w:rsidRPr="00690A9F">
              <w:rPr>
                <w:sz w:val="18"/>
                <w:szCs w:val="18"/>
              </w:rPr>
              <w:t>(1.03, 3.74)</w:t>
            </w:r>
          </w:p>
        </w:tc>
      </w:tr>
      <w:tr w:rsidR="00825C89" w:rsidRPr="00243253" w14:paraId="5346B53E" w14:textId="77777777" w:rsidTr="00D47C29">
        <w:trPr>
          <w:trHeight w:val="236"/>
        </w:trPr>
        <w:tc>
          <w:tcPr>
            <w:tcW w:w="284" w:type="pct"/>
            <w:vMerge/>
          </w:tcPr>
          <w:p w14:paraId="7A68F330" w14:textId="77777777" w:rsidR="00825C89" w:rsidRPr="000A4B32" w:rsidRDefault="00825C89" w:rsidP="00D47C29">
            <w:pPr>
              <w:ind w:left="113" w:right="113"/>
              <w:jc w:val="center"/>
              <w:rPr>
                <w:b/>
                <w:sz w:val="20"/>
                <w:szCs w:val="20"/>
              </w:rPr>
            </w:pPr>
          </w:p>
        </w:tc>
        <w:tc>
          <w:tcPr>
            <w:tcW w:w="778" w:type="pct"/>
            <w:shd w:val="clear" w:color="auto" w:fill="auto"/>
          </w:tcPr>
          <w:p w14:paraId="2746641C" w14:textId="77777777" w:rsidR="00825C89" w:rsidRPr="00243253" w:rsidRDefault="00825C89" w:rsidP="00D47C29">
            <w:pPr>
              <w:jc w:val="center"/>
              <w:rPr>
                <w:b/>
                <w:sz w:val="18"/>
                <w:szCs w:val="18"/>
              </w:rPr>
            </w:pPr>
            <w:r w:rsidRPr="00243253">
              <w:rPr>
                <w:b/>
                <w:sz w:val="18"/>
                <w:szCs w:val="18"/>
              </w:rPr>
              <w:t>8 months</w:t>
            </w:r>
          </w:p>
        </w:tc>
        <w:tc>
          <w:tcPr>
            <w:tcW w:w="475" w:type="pct"/>
          </w:tcPr>
          <w:p w14:paraId="527B60C2" w14:textId="77777777" w:rsidR="00825C89" w:rsidRPr="00027268" w:rsidRDefault="00825C89" w:rsidP="00D47C29">
            <w:pPr>
              <w:jc w:val="center"/>
              <w:rPr>
                <w:sz w:val="18"/>
                <w:szCs w:val="18"/>
              </w:rPr>
            </w:pPr>
            <w:r w:rsidRPr="00027268">
              <w:rPr>
                <w:sz w:val="18"/>
                <w:szCs w:val="18"/>
              </w:rPr>
              <w:t>22.7</w:t>
            </w:r>
          </w:p>
          <w:p w14:paraId="623BE377" w14:textId="77777777" w:rsidR="00825C89" w:rsidRPr="00027268" w:rsidRDefault="00825C89" w:rsidP="00D47C29">
            <w:pPr>
              <w:jc w:val="center"/>
              <w:rPr>
                <w:sz w:val="18"/>
                <w:szCs w:val="18"/>
              </w:rPr>
            </w:pPr>
            <w:r w:rsidRPr="00027268">
              <w:rPr>
                <w:sz w:val="18"/>
                <w:szCs w:val="18"/>
              </w:rPr>
              <w:t>(20.</w:t>
            </w:r>
            <w:r>
              <w:rPr>
                <w:sz w:val="18"/>
                <w:szCs w:val="18"/>
              </w:rPr>
              <w:t>2</w:t>
            </w:r>
            <w:r w:rsidRPr="00027268">
              <w:rPr>
                <w:sz w:val="18"/>
                <w:szCs w:val="18"/>
              </w:rPr>
              <w:t>, 25.6)</w:t>
            </w:r>
          </w:p>
        </w:tc>
        <w:tc>
          <w:tcPr>
            <w:tcW w:w="649" w:type="pct"/>
          </w:tcPr>
          <w:p w14:paraId="2E924923" w14:textId="77777777" w:rsidR="00825C89" w:rsidRPr="00027268" w:rsidRDefault="00825C89" w:rsidP="00D47C29">
            <w:pPr>
              <w:jc w:val="center"/>
              <w:rPr>
                <w:sz w:val="18"/>
                <w:szCs w:val="18"/>
              </w:rPr>
            </w:pPr>
            <w:r w:rsidRPr="00027268">
              <w:rPr>
                <w:sz w:val="18"/>
                <w:szCs w:val="18"/>
              </w:rPr>
              <w:t>20.6</w:t>
            </w:r>
          </w:p>
          <w:p w14:paraId="3D0C95B0" w14:textId="77777777" w:rsidR="00825C89" w:rsidRPr="00027268" w:rsidRDefault="00825C89" w:rsidP="00D47C29">
            <w:pPr>
              <w:jc w:val="center"/>
              <w:rPr>
                <w:sz w:val="18"/>
                <w:szCs w:val="18"/>
              </w:rPr>
            </w:pPr>
            <w:r w:rsidRPr="00027268">
              <w:rPr>
                <w:sz w:val="18"/>
                <w:szCs w:val="18"/>
              </w:rPr>
              <w:t>(18.</w:t>
            </w:r>
            <w:r>
              <w:rPr>
                <w:sz w:val="18"/>
                <w:szCs w:val="18"/>
              </w:rPr>
              <w:t>2</w:t>
            </w:r>
            <w:r w:rsidRPr="00027268">
              <w:rPr>
                <w:sz w:val="18"/>
                <w:szCs w:val="18"/>
              </w:rPr>
              <w:t>, 23.0)</w:t>
            </w:r>
          </w:p>
        </w:tc>
        <w:tc>
          <w:tcPr>
            <w:tcW w:w="588" w:type="pct"/>
          </w:tcPr>
          <w:p w14:paraId="26D74FD7" w14:textId="77777777" w:rsidR="00825C89" w:rsidRPr="00CC272F" w:rsidRDefault="00825C89" w:rsidP="00D47C29">
            <w:pPr>
              <w:jc w:val="center"/>
              <w:rPr>
                <w:sz w:val="18"/>
                <w:szCs w:val="18"/>
              </w:rPr>
            </w:pPr>
            <w:r w:rsidRPr="00CC272F">
              <w:rPr>
                <w:sz w:val="18"/>
                <w:szCs w:val="18"/>
              </w:rPr>
              <w:t>4.10</w:t>
            </w:r>
          </w:p>
          <w:p w14:paraId="2D1EA8D9" w14:textId="77777777" w:rsidR="00825C89" w:rsidRPr="00243253" w:rsidRDefault="00825C89" w:rsidP="00D47C29">
            <w:pPr>
              <w:jc w:val="center"/>
              <w:rPr>
                <w:b/>
                <w:sz w:val="18"/>
                <w:szCs w:val="18"/>
              </w:rPr>
            </w:pPr>
            <w:r w:rsidRPr="00CC272F">
              <w:rPr>
                <w:sz w:val="18"/>
                <w:szCs w:val="18"/>
              </w:rPr>
              <w:t>(2.48, 5.72)</w:t>
            </w:r>
          </w:p>
        </w:tc>
        <w:tc>
          <w:tcPr>
            <w:tcW w:w="649" w:type="pct"/>
          </w:tcPr>
          <w:p w14:paraId="0C405A16" w14:textId="77777777" w:rsidR="00825C89" w:rsidRPr="00CC272F" w:rsidRDefault="00825C89" w:rsidP="00D47C29">
            <w:pPr>
              <w:jc w:val="center"/>
              <w:rPr>
                <w:sz w:val="18"/>
                <w:szCs w:val="18"/>
              </w:rPr>
            </w:pPr>
            <w:r w:rsidRPr="00CC272F">
              <w:rPr>
                <w:sz w:val="18"/>
                <w:szCs w:val="18"/>
              </w:rPr>
              <w:t>3.16</w:t>
            </w:r>
          </w:p>
          <w:p w14:paraId="1BCCBBE3" w14:textId="77777777" w:rsidR="00825C89" w:rsidRPr="00CC272F" w:rsidRDefault="00825C89" w:rsidP="00D47C29">
            <w:pPr>
              <w:jc w:val="center"/>
              <w:rPr>
                <w:sz w:val="18"/>
                <w:szCs w:val="18"/>
              </w:rPr>
            </w:pPr>
            <w:r w:rsidRPr="00CC272F">
              <w:rPr>
                <w:sz w:val="18"/>
                <w:szCs w:val="18"/>
              </w:rPr>
              <w:t>(1.55, 4.78)</w:t>
            </w:r>
          </w:p>
        </w:tc>
        <w:tc>
          <w:tcPr>
            <w:tcW w:w="788" w:type="pct"/>
          </w:tcPr>
          <w:p w14:paraId="1850A84B" w14:textId="77777777" w:rsidR="00825C89" w:rsidRPr="00CC272F" w:rsidRDefault="00825C89" w:rsidP="00D47C29">
            <w:pPr>
              <w:jc w:val="center"/>
              <w:rPr>
                <w:sz w:val="18"/>
                <w:szCs w:val="18"/>
              </w:rPr>
            </w:pPr>
            <w:r w:rsidRPr="00CC272F">
              <w:rPr>
                <w:sz w:val="18"/>
                <w:szCs w:val="18"/>
              </w:rPr>
              <w:t>4.</w:t>
            </w:r>
            <w:r>
              <w:rPr>
                <w:sz w:val="18"/>
                <w:szCs w:val="18"/>
              </w:rPr>
              <w:t>06</w:t>
            </w:r>
          </w:p>
          <w:p w14:paraId="6954FAE4" w14:textId="77777777" w:rsidR="00825C89" w:rsidRPr="00243253" w:rsidRDefault="00825C89" w:rsidP="00D47C29">
            <w:pPr>
              <w:jc w:val="center"/>
              <w:rPr>
                <w:b/>
                <w:sz w:val="18"/>
                <w:szCs w:val="18"/>
              </w:rPr>
            </w:pPr>
            <w:r w:rsidRPr="00CC272F">
              <w:rPr>
                <w:sz w:val="18"/>
                <w:szCs w:val="18"/>
              </w:rPr>
              <w:t>(2.4</w:t>
            </w:r>
            <w:r>
              <w:rPr>
                <w:sz w:val="18"/>
                <w:szCs w:val="18"/>
              </w:rPr>
              <w:t>6</w:t>
            </w:r>
            <w:r w:rsidRPr="00CC272F">
              <w:rPr>
                <w:sz w:val="18"/>
                <w:szCs w:val="18"/>
              </w:rPr>
              <w:t>, 5.</w:t>
            </w:r>
            <w:r>
              <w:rPr>
                <w:sz w:val="18"/>
                <w:szCs w:val="18"/>
              </w:rPr>
              <w:t>65</w:t>
            </w:r>
            <w:r w:rsidRPr="00CC272F">
              <w:rPr>
                <w:sz w:val="18"/>
                <w:szCs w:val="18"/>
              </w:rPr>
              <w:t>)</w:t>
            </w:r>
          </w:p>
        </w:tc>
        <w:tc>
          <w:tcPr>
            <w:tcW w:w="788" w:type="pct"/>
          </w:tcPr>
          <w:p w14:paraId="7C29FF20" w14:textId="77777777" w:rsidR="00825C89" w:rsidRPr="00CC272F" w:rsidRDefault="00825C89" w:rsidP="00D47C29">
            <w:pPr>
              <w:jc w:val="center"/>
              <w:rPr>
                <w:sz w:val="18"/>
                <w:szCs w:val="18"/>
              </w:rPr>
            </w:pPr>
            <w:r w:rsidRPr="00CC272F">
              <w:rPr>
                <w:sz w:val="18"/>
                <w:szCs w:val="18"/>
              </w:rPr>
              <w:t>3.1</w:t>
            </w:r>
            <w:r>
              <w:rPr>
                <w:sz w:val="18"/>
                <w:szCs w:val="18"/>
              </w:rPr>
              <w:t>2</w:t>
            </w:r>
          </w:p>
          <w:p w14:paraId="722D69F4" w14:textId="77777777" w:rsidR="00825C89" w:rsidRPr="00CC272F" w:rsidRDefault="00825C89" w:rsidP="00D47C29">
            <w:pPr>
              <w:jc w:val="center"/>
              <w:rPr>
                <w:sz w:val="18"/>
                <w:szCs w:val="18"/>
              </w:rPr>
            </w:pPr>
            <w:r w:rsidRPr="00CC272F">
              <w:rPr>
                <w:sz w:val="18"/>
                <w:szCs w:val="18"/>
              </w:rPr>
              <w:t>(1.5</w:t>
            </w:r>
            <w:r>
              <w:rPr>
                <w:sz w:val="18"/>
                <w:szCs w:val="18"/>
              </w:rPr>
              <w:t>2</w:t>
            </w:r>
            <w:r w:rsidRPr="00CC272F">
              <w:rPr>
                <w:sz w:val="18"/>
                <w:szCs w:val="18"/>
              </w:rPr>
              <w:t>, 4.7</w:t>
            </w:r>
            <w:r>
              <w:rPr>
                <w:sz w:val="18"/>
                <w:szCs w:val="18"/>
              </w:rPr>
              <w:t>1</w:t>
            </w:r>
            <w:r w:rsidRPr="00CC272F">
              <w:rPr>
                <w:sz w:val="18"/>
                <w:szCs w:val="18"/>
              </w:rPr>
              <w:t>)</w:t>
            </w:r>
          </w:p>
        </w:tc>
      </w:tr>
      <w:tr w:rsidR="00825C89" w:rsidRPr="00243253" w14:paraId="41C18992" w14:textId="77777777" w:rsidTr="00D47C29">
        <w:trPr>
          <w:trHeight w:val="236"/>
        </w:trPr>
        <w:tc>
          <w:tcPr>
            <w:tcW w:w="284" w:type="pct"/>
            <w:vMerge/>
          </w:tcPr>
          <w:p w14:paraId="5AA3F240" w14:textId="77777777" w:rsidR="00825C89" w:rsidRPr="000A4B32" w:rsidRDefault="00825C89" w:rsidP="00D47C29">
            <w:pPr>
              <w:ind w:left="113" w:right="113"/>
              <w:jc w:val="center"/>
              <w:rPr>
                <w:b/>
                <w:sz w:val="20"/>
                <w:szCs w:val="20"/>
              </w:rPr>
            </w:pPr>
          </w:p>
        </w:tc>
        <w:tc>
          <w:tcPr>
            <w:tcW w:w="778" w:type="pct"/>
            <w:shd w:val="clear" w:color="auto" w:fill="auto"/>
          </w:tcPr>
          <w:p w14:paraId="5E915C36" w14:textId="77777777" w:rsidR="00825C89" w:rsidRPr="00243253" w:rsidRDefault="00825C89" w:rsidP="00D47C29">
            <w:pPr>
              <w:jc w:val="center"/>
              <w:rPr>
                <w:b/>
                <w:sz w:val="18"/>
                <w:szCs w:val="18"/>
              </w:rPr>
            </w:pPr>
            <w:r w:rsidRPr="00243253">
              <w:rPr>
                <w:b/>
                <w:sz w:val="18"/>
                <w:szCs w:val="18"/>
              </w:rPr>
              <w:t>Peak value</w:t>
            </w:r>
          </w:p>
        </w:tc>
        <w:tc>
          <w:tcPr>
            <w:tcW w:w="475" w:type="pct"/>
          </w:tcPr>
          <w:p w14:paraId="098B7117" w14:textId="77777777" w:rsidR="00825C89" w:rsidRPr="00027268" w:rsidRDefault="00825C89" w:rsidP="00D47C29">
            <w:pPr>
              <w:jc w:val="center"/>
              <w:rPr>
                <w:sz w:val="18"/>
                <w:szCs w:val="18"/>
              </w:rPr>
            </w:pPr>
            <w:r w:rsidRPr="00027268">
              <w:rPr>
                <w:sz w:val="18"/>
                <w:szCs w:val="18"/>
              </w:rPr>
              <w:t>23.5</w:t>
            </w:r>
          </w:p>
          <w:p w14:paraId="457E414B" w14:textId="77777777" w:rsidR="00825C89" w:rsidRPr="00027268" w:rsidRDefault="00825C89" w:rsidP="00D47C29">
            <w:pPr>
              <w:jc w:val="center"/>
              <w:rPr>
                <w:sz w:val="18"/>
                <w:szCs w:val="18"/>
              </w:rPr>
            </w:pPr>
            <w:r w:rsidRPr="00027268">
              <w:rPr>
                <w:sz w:val="18"/>
                <w:szCs w:val="18"/>
              </w:rPr>
              <w:t>(21.0, 26.0)</w:t>
            </w:r>
          </w:p>
        </w:tc>
        <w:tc>
          <w:tcPr>
            <w:tcW w:w="649" w:type="pct"/>
          </w:tcPr>
          <w:p w14:paraId="179BAE18" w14:textId="77777777" w:rsidR="00825C89" w:rsidRPr="00027268" w:rsidRDefault="00825C89" w:rsidP="00D47C29">
            <w:pPr>
              <w:jc w:val="center"/>
              <w:rPr>
                <w:sz w:val="18"/>
                <w:szCs w:val="18"/>
              </w:rPr>
            </w:pPr>
            <w:r w:rsidRPr="00027268">
              <w:rPr>
                <w:sz w:val="18"/>
                <w:szCs w:val="18"/>
              </w:rPr>
              <w:t>21.7</w:t>
            </w:r>
          </w:p>
          <w:p w14:paraId="4A728C03" w14:textId="77777777" w:rsidR="00825C89" w:rsidRPr="00027268" w:rsidRDefault="00825C89" w:rsidP="00D47C29">
            <w:pPr>
              <w:jc w:val="center"/>
              <w:rPr>
                <w:sz w:val="18"/>
                <w:szCs w:val="18"/>
              </w:rPr>
            </w:pPr>
            <w:r w:rsidRPr="00027268">
              <w:rPr>
                <w:sz w:val="18"/>
                <w:szCs w:val="18"/>
              </w:rPr>
              <w:t>(19.3, 24.</w:t>
            </w:r>
            <w:r>
              <w:rPr>
                <w:sz w:val="18"/>
                <w:szCs w:val="18"/>
              </w:rPr>
              <w:t>1</w:t>
            </w:r>
            <w:r w:rsidRPr="00027268">
              <w:rPr>
                <w:sz w:val="18"/>
                <w:szCs w:val="18"/>
              </w:rPr>
              <w:t>)</w:t>
            </w:r>
          </w:p>
        </w:tc>
        <w:tc>
          <w:tcPr>
            <w:tcW w:w="588" w:type="pct"/>
          </w:tcPr>
          <w:p w14:paraId="277218E5" w14:textId="77777777" w:rsidR="00825C89" w:rsidRPr="00CC272F" w:rsidRDefault="00825C89" w:rsidP="00D47C29">
            <w:pPr>
              <w:jc w:val="center"/>
              <w:rPr>
                <w:sz w:val="18"/>
                <w:szCs w:val="18"/>
              </w:rPr>
            </w:pPr>
            <w:r w:rsidRPr="00CC272F">
              <w:rPr>
                <w:sz w:val="18"/>
                <w:szCs w:val="18"/>
              </w:rPr>
              <w:t>3.82</w:t>
            </w:r>
          </w:p>
          <w:p w14:paraId="5F31DFCF" w14:textId="77777777" w:rsidR="00825C89" w:rsidRPr="00243253" w:rsidRDefault="00825C89" w:rsidP="00D47C29">
            <w:pPr>
              <w:jc w:val="center"/>
              <w:rPr>
                <w:b/>
                <w:sz w:val="18"/>
                <w:szCs w:val="18"/>
              </w:rPr>
            </w:pPr>
            <w:r w:rsidRPr="00CC272F">
              <w:rPr>
                <w:sz w:val="18"/>
                <w:szCs w:val="18"/>
              </w:rPr>
              <w:t>(2.46, 5.17)</w:t>
            </w:r>
          </w:p>
        </w:tc>
        <w:tc>
          <w:tcPr>
            <w:tcW w:w="649" w:type="pct"/>
          </w:tcPr>
          <w:p w14:paraId="1763E124" w14:textId="77777777" w:rsidR="00825C89" w:rsidRPr="00CC272F" w:rsidRDefault="00825C89" w:rsidP="00D47C29">
            <w:pPr>
              <w:jc w:val="center"/>
              <w:rPr>
                <w:sz w:val="18"/>
                <w:szCs w:val="18"/>
              </w:rPr>
            </w:pPr>
            <w:r w:rsidRPr="00CC272F">
              <w:rPr>
                <w:sz w:val="18"/>
                <w:szCs w:val="18"/>
              </w:rPr>
              <w:t>2.83</w:t>
            </w:r>
          </w:p>
          <w:p w14:paraId="6DC0ECDB" w14:textId="77777777" w:rsidR="00825C89" w:rsidRPr="00CC272F" w:rsidRDefault="00825C89" w:rsidP="00D47C29">
            <w:pPr>
              <w:jc w:val="center"/>
              <w:rPr>
                <w:sz w:val="18"/>
                <w:szCs w:val="18"/>
              </w:rPr>
            </w:pPr>
            <w:r w:rsidRPr="00CC272F">
              <w:rPr>
                <w:sz w:val="18"/>
                <w:szCs w:val="18"/>
              </w:rPr>
              <w:t>(1.53, 4.13)</w:t>
            </w:r>
          </w:p>
        </w:tc>
        <w:tc>
          <w:tcPr>
            <w:tcW w:w="788" w:type="pct"/>
          </w:tcPr>
          <w:p w14:paraId="1D4B720A" w14:textId="77777777" w:rsidR="00825C89" w:rsidRPr="00CC272F" w:rsidRDefault="00825C89" w:rsidP="00D47C29">
            <w:pPr>
              <w:jc w:val="center"/>
              <w:rPr>
                <w:sz w:val="18"/>
                <w:szCs w:val="18"/>
              </w:rPr>
            </w:pPr>
            <w:r w:rsidRPr="00CC272F">
              <w:rPr>
                <w:sz w:val="18"/>
                <w:szCs w:val="18"/>
              </w:rPr>
              <w:t>3.</w:t>
            </w:r>
            <w:r>
              <w:rPr>
                <w:sz w:val="18"/>
                <w:szCs w:val="18"/>
              </w:rPr>
              <w:t>77</w:t>
            </w:r>
          </w:p>
          <w:p w14:paraId="7262B36F" w14:textId="77777777" w:rsidR="00825C89" w:rsidRPr="00243253" w:rsidRDefault="00825C89" w:rsidP="00D47C29">
            <w:pPr>
              <w:jc w:val="center"/>
              <w:rPr>
                <w:b/>
                <w:sz w:val="18"/>
                <w:szCs w:val="18"/>
              </w:rPr>
            </w:pPr>
            <w:r w:rsidRPr="00CC272F">
              <w:rPr>
                <w:sz w:val="18"/>
                <w:szCs w:val="18"/>
              </w:rPr>
              <w:t>(2.4</w:t>
            </w:r>
            <w:r>
              <w:rPr>
                <w:sz w:val="18"/>
                <w:szCs w:val="18"/>
              </w:rPr>
              <w:t>3</w:t>
            </w:r>
            <w:r w:rsidRPr="00CC272F">
              <w:rPr>
                <w:sz w:val="18"/>
                <w:szCs w:val="18"/>
              </w:rPr>
              <w:t>, 5.1</w:t>
            </w:r>
            <w:r>
              <w:rPr>
                <w:sz w:val="18"/>
                <w:szCs w:val="18"/>
              </w:rPr>
              <w:t>1</w:t>
            </w:r>
            <w:r w:rsidRPr="00CC272F">
              <w:rPr>
                <w:sz w:val="18"/>
                <w:szCs w:val="18"/>
              </w:rPr>
              <w:t>)</w:t>
            </w:r>
          </w:p>
        </w:tc>
        <w:tc>
          <w:tcPr>
            <w:tcW w:w="788" w:type="pct"/>
          </w:tcPr>
          <w:p w14:paraId="4F8AA64E" w14:textId="77777777" w:rsidR="00825C89" w:rsidRPr="00CC272F" w:rsidRDefault="00825C89" w:rsidP="00D47C29">
            <w:pPr>
              <w:jc w:val="center"/>
              <w:rPr>
                <w:sz w:val="18"/>
                <w:szCs w:val="18"/>
              </w:rPr>
            </w:pPr>
            <w:r w:rsidRPr="00CC272F">
              <w:rPr>
                <w:sz w:val="18"/>
                <w:szCs w:val="18"/>
              </w:rPr>
              <w:t>2.</w:t>
            </w:r>
            <w:r>
              <w:rPr>
                <w:sz w:val="18"/>
                <w:szCs w:val="18"/>
              </w:rPr>
              <w:t>78</w:t>
            </w:r>
          </w:p>
          <w:p w14:paraId="151AD747" w14:textId="77777777" w:rsidR="00825C89" w:rsidRPr="00CC272F" w:rsidRDefault="00825C89" w:rsidP="00D47C29">
            <w:pPr>
              <w:jc w:val="center"/>
              <w:rPr>
                <w:sz w:val="18"/>
                <w:szCs w:val="18"/>
              </w:rPr>
            </w:pPr>
            <w:r w:rsidRPr="00CC272F">
              <w:rPr>
                <w:sz w:val="18"/>
                <w:szCs w:val="18"/>
              </w:rPr>
              <w:t>(1.</w:t>
            </w:r>
            <w:r>
              <w:rPr>
                <w:sz w:val="18"/>
                <w:szCs w:val="18"/>
              </w:rPr>
              <w:t>49</w:t>
            </w:r>
            <w:r w:rsidRPr="00CC272F">
              <w:rPr>
                <w:sz w:val="18"/>
                <w:szCs w:val="18"/>
              </w:rPr>
              <w:t>, 4.</w:t>
            </w:r>
            <w:r>
              <w:rPr>
                <w:sz w:val="18"/>
                <w:szCs w:val="18"/>
              </w:rPr>
              <w:t>07</w:t>
            </w:r>
            <w:r w:rsidRPr="00CC272F">
              <w:rPr>
                <w:sz w:val="18"/>
                <w:szCs w:val="18"/>
              </w:rPr>
              <w:t>)</w:t>
            </w:r>
          </w:p>
        </w:tc>
      </w:tr>
      <w:tr w:rsidR="00825C89" w:rsidRPr="00243253" w14:paraId="07ECAFFF" w14:textId="77777777" w:rsidTr="00D47C29">
        <w:trPr>
          <w:trHeight w:val="253"/>
        </w:trPr>
        <w:tc>
          <w:tcPr>
            <w:tcW w:w="284" w:type="pct"/>
            <w:vMerge/>
          </w:tcPr>
          <w:p w14:paraId="38C78A85" w14:textId="77777777" w:rsidR="00825C89" w:rsidRPr="000A4B32" w:rsidRDefault="00825C89" w:rsidP="00D47C29">
            <w:pPr>
              <w:ind w:left="113" w:right="113"/>
              <w:jc w:val="center"/>
              <w:rPr>
                <w:b/>
                <w:sz w:val="20"/>
                <w:szCs w:val="20"/>
              </w:rPr>
            </w:pPr>
          </w:p>
        </w:tc>
        <w:tc>
          <w:tcPr>
            <w:tcW w:w="778" w:type="pct"/>
            <w:shd w:val="clear" w:color="auto" w:fill="F7CAAC" w:themeFill="accent2" w:themeFillTint="66"/>
          </w:tcPr>
          <w:p w14:paraId="5A19DA0B" w14:textId="77777777" w:rsidR="00825C89" w:rsidRPr="00243253" w:rsidRDefault="00825C89" w:rsidP="00D47C29">
            <w:pPr>
              <w:jc w:val="center"/>
              <w:rPr>
                <w:b/>
                <w:sz w:val="18"/>
                <w:szCs w:val="18"/>
              </w:rPr>
            </w:pPr>
            <w:r w:rsidRPr="00243253">
              <w:rPr>
                <w:b/>
                <w:sz w:val="18"/>
                <w:szCs w:val="18"/>
              </w:rPr>
              <w:t>Peak time</w:t>
            </w:r>
            <w:r>
              <w:rPr>
                <w:b/>
                <w:sz w:val="18"/>
                <w:szCs w:val="18"/>
              </w:rPr>
              <w:t>-months</w:t>
            </w:r>
          </w:p>
        </w:tc>
        <w:tc>
          <w:tcPr>
            <w:tcW w:w="475" w:type="pct"/>
            <w:shd w:val="clear" w:color="auto" w:fill="F7CAAC" w:themeFill="accent2" w:themeFillTint="66"/>
          </w:tcPr>
          <w:p w14:paraId="2CCECE02" w14:textId="77777777" w:rsidR="00825C89" w:rsidRPr="00027268" w:rsidRDefault="00825C89" w:rsidP="00D47C29">
            <w:pPr>
              <w:jc w:val="center"/>
              <w:rPr>
                <w:sz w:val="18"/>
                <w:szCs w:val="18"/>
              </w:rPr>
            </w:pPr>
            <w:r w:rsidRPr="00027268">
              <w:rPr>
                <w:sz w:val="18"/>
                <w:szCs w:val="18"/>
              </w:rPr>
              <w:t>5.65</w:t>
            </w:r>
          </w:p>
          <w:p w14:paraId="14C1FFCA" w14:textId="77777777" w:rsidR="00825C89" w:rsidRPr="00027268" w:rsidRDefault="00825C89" w:rsidP="00D47C29">
            <w:pPr>
              <w:jc w:val="center"/>
              <w:rPr>
                <w:sz w:val="18"/>
                <w:szCs w:val="18"/>
              </w:rPr>
            </w:pPr>
            <w:r w:rsidRPr="00027268">
              <w:rPr>
                <w:sz w:val="18"/>
                <w:szCs w:val="18"/>
              </w:rPr>
              <w:t>(4.39,6.91)</w:t>
            </w:r>
          </w:p>
        </w:tc>
        <w:tc>
          <w:tcPr>
            <w:tcW w:w="649" w:type="pct"/>
            <w:shd w:val="clear" w:color="auto" w:fill="F7CAAC" w:themeFill="accent2" w:themeFillTint="66"/>
          </w:tcPr>
          <w:p w14:paraId="717EB2C9" w14:textId="77777777" w:rsidR="00825C89" w:rsidRPr="00027268" w:rsidRDefault="00825C89" w:rsidP="00D47C29">
            <w:pPr>
              <w:jc w:val="center"/>
              <w:rPr>
                <w:sz w:val="18"/>
                <w:szCs w:val="18"/>
              </w:rPr>
            </w:pPr>
            <w:r w:rsidRPr="00027268">
              <w:rPr>
                <w:sz w:val="18"/>
                <w:szCs w:val="18"/>
              </w:rPr>
              <w:t>5.27</w:t>
            </w:r>
          </w:p>
          <w:p w14:paraId="249DB106" w14:textId="77777777" w:rsidR="00825C89" w:rsidRPr="00027268" w:rsidRDefault="00825C89" w:rsidP="00D47C29">
            <w:pPr>
              <w:jc w:val="center"/>
              <w:rPr>
                <w:sz w:val="18"/>
                <w:szCs w:val="18"/>
              </w:rPr>
            </w:pPr>
            <w:r w:rsidRPr="00027268">
              <w:rPr>
                <w:sz w:val="18"/>
                <w:szCs w:val="18"/>
              </w:rPr>
              <w:t>(4.19, 6.36)</w:t>
            </w:r>
          </w:p>
        </w:tc>
        <w:tc>
          <w:tcPr>
            <w:tcW w:w="588" w:type="pct"/>
            <w:shd w:val="clear" w:color="auto" w:fill="D9D9D9" w:themeFill="background1" w:themeFillShade="D9"/>
          </w:tcPr>
          <w:p w14:paraId="509CEB27" w14:textId="77777777" w:rsidR="00825C89" w:rsidRPr="00243253" w:rsidRDefault="00825C89" w:rsidP="00D47C29">
            <w:pPr>
              <w:jc w:val="center"/>
              <w:rPr>
                <w:b/>
                <w:sz w:val="18"/>
                <w:szCs w:val="18"/>
              </w:rPr>
            </w:pPr>
          </w:p>
        </w:tc>
        <w:tc>
          <w:tcPr>
            <w:tcW w:w="649" w:type="pct"/>
            <w:shd w:val="clear" w:color="auto" w:fill="D9D9D9" w:themeFill="background1" w:themeFillShade="D9"/>
          </w:tcPr>
          <w:p w14:paraId="2EF604F2" w14:textId="77777777" w:rsidR="00825C89" w:rsidRPr="00243253" w:rsidRDefault="00825C89" w:rsidP="00D47C29">
            <w:pPr>
              <w:jc w:val="center"/>
              <w:rPr>
                <w:b/>
                <w:sz w:val="18"/>
                <w:szCs w:val="18"/>
              </w:rPr>
            </w:pPr>
          </w:p>
        </w:tc>
        <w:tc>
          <w:tcPr>
            <w:tcW w:w="788" w:type="pct"/>
            <w:shd w:val="clear" w:color="auto" w:fill="D9D9D9" w:themeFill="background1" w:themeFillShade="D9"/>
          </w:tcPr>
          <w:p w14:paraId="2F288039" w14:textId="77777777" w:rsidR="00825C89" w:rsidRPr="00243253" w:rsidRDefault="00825C89" w:rsidP="00D47C29">
            <w:pPr>
              <w:jc w:val="center"/>
              <w:rPr>
                <w:b/>
                <w:sz w:val="18"/>
                <w:szCs w:val="18"/>
              </w:rPr>
            </w:pPr>
          </w:p>
        </w:tc>
        <w:tc>
          <w:tcPr>
            <w:tcW w:w="788" w:type="pct"/>
            <w:shd w:val="clear" w:color="auto" w:fill="D9D9D9" w:themeFill="background1" w:themeFillShade="D9"/>
          </w:tcPr>
          <w:p w14:paraId="3FCBC90C" w14:textId="77777777" w:rsidR="00825C89" w:rsidRPr="00243253" w:rsidRDefault="00825C89" w:rsidP="00D47C29">
            <w:pPr>
              <w:jc w:val="center"/>
              <w:rPr>
                <w:b/>
                <w:sz w:val="18"/>
                <w:szCs w:val="18"/>
              </w:rPr>
            </w:pPr>
          </w:p>
        </w:tc>
      </w:tr>
      <w:tr w:rsidR="00825C89" w:rsidRPr="00243253" w14:paraId="6B95057C" w14:textId="77777777" w:rsidTr="00D47C29">
        <w:trPr>
          <w:trHeight w:val="236"/>
        </w:trPr>
        <w:tc>
          <w:tcPr>
            <w:tcW w:w="284" w:type="pct"/>
            <w:vMerge w:val="restart"/>
            <w:textDirection w:val="btLr"/>
          </w:tcPr>
          <w:p w14:paraId="1E288CED" w14:textId="77777777" w:rsidR="00825C89" w:rsidRDefault="00825C89" w:rsidP="00D47C29">
            <w:pPr>
              <w:jc w:val="center"/>
            </w:pPr>
            <w:r w:rsidRPr="000A4B32">
              <w:rPr>
                <w:b/>
                <w:sz w:val="20"/>
                <w:szCs w:val="20"/>
              </w:rPr>
              <w:t>S</w:t>
            </w:r>
            <w:r>
              <w:rPr>
                <w:b/>
                <w:sz w:val="20"/>
                <w:szCs w:val="20"/>
              </w:rPr>
              <w:t>G</w:t>
            </w:r>
            <w:r w:rsidRPr="000A4B32">
              <w:rPr>
                <w:b/>
                <w:sz w:val="20"/>
                <w:szCs w:val="20"/>
              </w:rPr>
              <w:t>R</w:t>
            </w:r>
            <w:r>
              <w:rPr>
                <w:b/>
                <w:sz w:val="20"/>
                <w:szCs w:val="20"/>
              </w:rPr>
              <w:t>Q-</w:t>
            </w:r>
            <w:r w:rsidRPr="000A4B32">
              <w:rPr>
                <w:b/>
                <w:sz w:val="20"/>
                <w:szCs w:val="20"/>
              </w:rPr>
              <w:t>I</w:t>
            </w:r>
            <w:r>
              <w:rPr>
                <w:b/>
                <w:sz w:val="20"/>
                <w:szCs w:val="20"/>
              </w:rPr>
              <w:t xml:space="preserve"> (Total score)</w:t>
            </w:r>
          </w:p>
          <w:p w14:paraId="14B317EC" w14:textId="77777777" w:rsidR="00825C89" w:rsidRPr="000A4B32" w:rsidRDefault="00825C89" w:rsidP="00D47C29">
            <w:pPr>
              <w:ind w:left="113" w:right="113"/>
              <w:jc w:val="center"/>
              <w:rPr>
                <w:b/>
                <w:sz w:val="20"/>
                <w:szCs w:val="20"/>
              </w:rPr>
            </w:pPr>
          </w:p>
        </w:tc>
        <w:tc>
          <w:tcPr>
            <w:tcW w:w="778" w:type="pct"/>
            <w:shd w:val="clear" w:color="auto" w:fill="auto"/>
          </w:tcPr>
          <w:p w14:paraId="35A97893" w14:textId="77777777" w:rsidR="00825C89" w:rsidRPr="00243253" w:rsidRDefault="00825C89" w:rsidP="00D47C29">
            <w:pPr>
              <w:jc w:val="center"/>
              <w:rPr>
                <w:b/>
                <w:sz w:val="18"/>
                <w:szCs w:val="18"/>
              </w:rPr>
            </w:pPr>
            <w:r w:rsidRPr="00243253">
              <w:rPr>
                <w:b/>
                <w:sz w:val="18"/>
                <w:szCs w:val="18"/>
              </w:rPr>
              <w:t>Baseline</w:t>
            </w:r>
          </w:p>
        </w:tc>
        <w:tc>
          <w:tcPr>
            <w:tcW w:w="475" w:type="pct"/>
          </w:tcPr>
          <w:p w14:paraId="41836FF3" w14:textId="77777777" w:rsidR="00825C89" w:rsidRPr="00027268" w:rsidRDefault="00825C89" w:rsidP="00D47C29">
            <w:pPr>
              <w:jc w:val="center"/>
              <w:rPr>
                <w:sz w:val="18"/>
                <w:szCs w:val="18"/>
              </w:rPr>
            </w:pPr>
            <w:r w:rsidRPr="00027268">
              <w:rPr>
                <w:sz w:val="18"/>
                <w:szCs w:val="18"/>
              </w:rPr>
              <w:t>43.2</w:t>
            </w:r>
          </w:p>
          <w:p w14:paraId="6A6AA13B" w14:textId="77777777" w:rsidR="00825C89" w:rsidRPr="00027268" w:rsidRDefault="00825C89" w:rsidP="00D47C29">
            <w:pPr>
              <w:jc w:val="center"/>
              <w:rPr>
                <w:sz w:val="18"/>
                <w:szCs w:val="18"/>
              </w:rPr>
            </w:pPr>
            <w:r w:rsidRPr="00027268">
              <w:rPr>
                <w:sz w:val="18"/>
                <w:szCs w:val="18"/>
              </w:rPr>
              <w:t>(35.</w:t>
            </w:r>
            <w:r>
              <w:rPr>
                <w:sz w:val="18"/>
                <w:szCs w:val="18"/>
              </w:rPr>
              <w:t>4</w:t>
            </w:r>
            <w:r w:rsidRPr="00027268">
              <w:rPr>
                <w:sz w:val="18"/>
                <w:szCs w:val="18"/>
              </w:rPr>
              <w:t>, 51.1)</w:t>
            </w:r>
          </w:p>
        </w:tc>
        <w:tc>
          <w:tcPr>
            <w:tcW w:w="649" w:type="pct"/>
          </w:tcPr>
          <w:p w14:paraId="17B83A1D" w14:textId="77777777" w:rsidR="00825C89" w:rsidRPr="00027268" w:rsidRDefault="00825C89" w:rsidP="00D47C29">
            <w:pPr>
              <w:jc w:val="center"/>
              <w:rPr>
                <w:sz w:val="18"/>
                <w:szCs w:val="18"/>
              </w:rPr>
            </w:pPr>
            <w:r w:rsidRPr="00027268">
              <w:rPr>
                <w:sz w:val="18"/>
                <w:szCs w:val="18"/>
              </w:rPr>
              <w:t>48.</w:t>
            </w:r>
            <w:r>
              <w:rPr>
                <w:sz w:val="18"/>
                <w:szCs w:val="18"/>
              </w:rPr>
              <w:t>8</w:t>
            </w:r>
          </w:p>
          <w:p w14:paraId="119A30AC" w14:textId="77777777" w:rsidR="00825C89" w:rsidRPr="003C650E" w:rsidRDefault="00825C89" w:rsidP="00D47C29">
            <w:pPr>
              <w:jc w:val="center"/>
              <w:rPr>
                <w:sz w:val="18"/>
                <w:szCs w:val="18"/>
              </w:rPr>
            </w:pPr>
            <w:r w:rsidRPr="00027268">
              <w:rPr>
                <w:sz w:val="18"/>
                <w:szCs w:val="18"/>
              </w:rPr>
              <w:t>(41.</w:t>
            </w:r>
            <w:r>
              <w:rPr>
                <w:sz w:val="18"/>
                <w:szCs w:val="18"/>
              </w:rPr>
              <w:t>9</w:t>
            </w:r>
            <w:r w:rsidRPr="00027268">
              <w:rPr>
                <w:sz w:val="18"/>
                <w:szCs w:val="18"/>
              </w:rPr>
              <w:t>, 55.</w:t>
            </w:r>
            <w:r>
              <w:rPr>
                <w:sz w:val="18"/>
                <w:szCs w:val="18"/>
              </w:rPr>
              <w:t>7</w:t>
            </w:r>
            <w:r w:rsidRPr="00027268">
              <w:rPr>
                <w:sz w:val="18"/>
                <w:szCs w:val="18"/>
              </w:rPr>
              <w:t>)</w:t>
            </w:r>
          </w:p>
        </w:tc>
        <w:tc>
          <w:tcPr>
            <w:tcW w:w="588" w:type="pct"/>
            <w:shd w:val="clear" w:color="auto" w:fill="D9D9D9" w:themeFill="background1" w:themeFillShade="D9"/>
          </w:tcPr>
          <w:p w14:paraId="6349EA8F" w14:textId="77777777" w:rsidR="00825C89" w:rsidRPr="00243253" w:rsidRDefault="00825C89" w:rsidP="00D47C29">
            <w:pPr>
              <w:jc w:val="center"/>
              <w:rPr>
                <w:b/>
                <w:sz w:val="18"/>
                <w:szCs w:val="18"/>
              </w:rPr>
            </w:pPr>
          </w:p>
        </w:tc>
        <w:tc>
          <w:tcPr>
            <w:tcW w:w="649" w:type="pct"/>
            <w:shd w:val="clear" w:color="auto" w:fill="D9D9D9" w:themeFill="background1" w:themeFillShade="D9"/>
          </w:tcPr>
          <w:p w14:paraId="25B85302" w14:textId="77777777" w:rsidR="00825C89" w:rsidRPr="00243253" w:rsidRDefault="00825C89" w:rsidP="00D47C29">
            <w:pPr>
              <w:jc w:val="center"/>
              <w:rPr>
                <w:b/>
                <w:sz w:val="18"/>
                <w:szCs w:val="18"/>
              </w:rPr>
            </w:pPr>
          </w:p>
        </w:tc>
        <w:tc>
          <w:tcPr>
            <w:tcW w:w="788" w:type="pct"/>
            <w:shd w:val="clear" w:color="auto" w:fill="D9D9D9" w:themeFill="background1" w:themeFillShade="D9"/>
          </w:tcPr>
          <w:p w14:paraId="2B552C26" w14:textId="77777777" w:rsidR="00825C89" w:rsidRPr="00243253" w:rsidRDefault="00825C89" w:rsidP="00D47C29">
            <w:pPr>
              <w:jc w:val="center"/>
              <w:rPr>
                <w:b/>
                <w:sz w:val="18"/>
                <w:szCs w:val="18"/>
              </w:rPr>
            </w:pPr>
          </w:p>
        </w:tc>
        <w:tc>
          <w:tcPr>
            <w:tcW w:w="788" w:type="pct"/>
            <w:shd w:val="clear" w:color="auto" w:fill="D9D9D9" w:themeFill="background1" w:themeFillShade="D9"/>
          </w:tcPr>
          <w:p w14:paraId="7D8B7F06" w14:textId="77777777" w:rsidR="00825C89" w:rsidRPr="00243253" w:rsidRDefault="00825C89" w:rsidP="00D47C29">
            <w:pPr>
              <w:jc w:val="center"/>
              <w:rPr>
                <w:b/>
                <w:sz w:val="18"/>
                <w:szCs w:val="18"/>
              </w:rPr>
            </w:pPr>
          </w:p>
        </w:tc>
      </w:tr>
      <w:tr w:rsidR="00825C89" w:rsidRPr="00243253" w14:paraId="5E34353C" w14:textId="77777777" w:rsidTr="00D47C29">
        <w:trPr>
          <w:trHeight w:val="236"/>
        </w:trPr>
        <w:tc>
          <w:tcPr>
            <w:tcW w:w="284" w:type="pct"/>
            <w:vMerge/>
          </w:tcPr>
          <w:p w14:paraId="4F004D13" w14:textId="77777777" w:rsidR="00825C89" w:rsidRPr="00951BB6" w:rsidRDefault="00825C89" w:rsidP="00D47C29">
            <w:pPr>
              <w:jc w:val="center"/>
              <w:rPr>
                <w:sz w:val="18"/>
                <w:szCs w:val="18"/>
              </w:rPr>
            </w:pPr>
          </w:p>
        </w:tc>
        <w:tc>
          <w:tcPr>
            <w:tcW w:w="778" w:type="pct"/>
            <w:shd w:val="clear" w:color="auto" w:fill="auto"/>
          </w:tcPr>
          <w:p w14:paraId="5999A273" w14:textId="77777777" w:rsidR="00825C89" w:rsidRPr="00243253" w:rsidRDefault="00825C89" w:rsidP="00D47C29">
            <w:pPr>
              <w:jc w:val="center"/>
              <w:rPr>
                <w:b/>
                <w:sz w:val="18"/>
                <w:szCs w:val="18"/>
              </w:rPr>
            </w:pPr>
            <w:r w:rsidRPr="00243253">
              <w:rPr>
                <w:b/>
                <w:sz w:val="18"/>
                <w:szCs w:val="18"/>
              </w:rPr>
              <w:t>2 months</w:t>
            </w:r>
          </w:p>
        </w:tc>
        <w:tc>
          <w:tcPr>
            <w:tcW w:w="475" w:type="pct"/>
          </w:tcPr>
          <w:p w14:paraId="75F9F9BB" w14:textId="77777777" w:rsidR="00825C89" w:rsidRPr="003C650E" w:rsidRDefault="00825C89" w:rsidP="00D47C29">
            <w:pPr>
              <w:jc w:val="center"/>
              <w:rPr>
                <w:sz w:val="18"/>
                <w:szCs w:val="18"/>
              </w:rPr>
            </w:pPr>
            <w:r w:rsidRPr="003C650E">
              <w:rPr>
                <w:sz w:val="18"/>
                <w:szCs w:val="18"/>
              </w:rPr>
              <w:t>36.6</w:t>
            </w:r>
          </w:p>
          <w:p w14:paraId="11EE609D" w14:textId="77777777" w:rsidR="00825C89" w:rsidRPr="00027268" w:rsidRDefault="00825C89" w:rsidP="00D47C29">
            <w:pPr>
              <w:jc w:val="center"/>
              <w:rPr>
                <w:sz w:val="18"/>
                <w:szCs w:val="18"/>
              </w:rPr>
            </w:pPr>
            <w:r w:rsidRPr="003C650E">
              <w:rPr>
                <w:sz w:val="18"/>
                <w:szCs w:val="18"/>
              </w:rPr>
              <w:t>(28.5, 44.</w:t>
            </w:r>
            <w:r>
              <w:rPr>
                <w:sz w:val="18"/>
                <w:szCs w:val="18"/>
              </w:rPr>
              <w:t>7</w:t>
            </w:r>
            <w:r w:rsidRPr="003C650E">
              <w:rPr>
                <w:sz w:val="18"/>
                <w:szCs w:val="18"/>
              </w:rPr>
              <w:t>)</w:t>
            </w:r>
          </w:p>
        </w:tc>
        <w:tc>
          <w:tcPr>
            <w:tcW w:w="649" w:type="pct"/>
          </w:tcPr>
          <w:p w14:paraId="00FD2D3F" w14:textId="77777777" w:rsidR="00825C89" w:rsidRPr="003C650E" w:rsidRDefault="00825C89" w:rsidP="00D47C29">
            <w:pPr>
              <w:jc w:val="center"/>
              <w:rPr>
                <w:sz w:val="18"/>
                <w:szCs w:val="18"/>
              </w:rPr>
            </w:pPr>
            <w:r w:rsidRPr="003C650E">
              <w:rPr>
                <w:sz w:val="18"/>
                <w:szCs w:val="18"/>
              </w:rPr>
              <w:t>43.0</w:t>
            </w:r>
          </w:p>
          <w:p w14:paraId="0BBD84EF" w14:textId="77777777" w:rsidR="00825C89" w:rsidRPr="003C650E" w:rsidRDefault="00825C89" w:rsidP="00D47C29">
            <w:pPr>
              <w:jc w:val="center"/>
              <w:rPr>
                <w:sz w:val="18"/>
                <w:szCs w:val="18"/>
              </w:rPr>
            </w:pPr>
            <w:r w:rsidRPr="003C650E">
              <w:rPr>
                <w:sz w:val="18"/>
                <w:szCs w:val="18"/>
              </w:rPr>
              <w:t>(35.</w:t>
            </w:r>
            <w:r>
              <w:rPr>
                <w:sz w:val="18"/>
                <w:szCs w:val="18"/>
              </w:rPr>
              <w:t>8</w:t>
            </w:r>
            <w:r w:rsidRPr="003C650E">
              <w:rPr>
                <w:sz w:val="18"/>
                <w:szCs w:val="18"/>
              </w:rPr>
              <w:t xml:space="preserve">, 50.2) </w:t>
            </w:r>
          </w:p>
        </w:tc>
        <w:tc>
          <w:tcPr>
            <w:tcW w:w="588" w:type="pct"/>
          </w:tcPr>
          <w:p w14:paraId="00A17D67" w14:textId="77777777" w:rsidR="00825C89" w:rsidRPr="00CC272F" w:rsidRDefault="00825C89" w:rsidP="00D47C29">
            <w:pPr>
              <w:jc w:val="center"/>
              <w:rPr>
                <w:sz w:val="18"/>
                <w:szCs w:val="18"/>
              </w:rPr>
            </w:pPr>
            <w:r w:rsidRPr="00CC272F">
              <w:rPr>
                <w:sz w:val="18"/>
                <w:szCs w:val="18"/>
              </w:rPr>
              <w:t>-6.57</w:t>
            </w:r>
          </w:p>
          <w:p w14:paraId="4E54765A" w14:textId="77777777" w:rsidR="00825C89" w:rsidRPr="00CC272F" w:rsidRDefault="00825C89" w:rsidP="00D47C29">
            <w:pPr>
              <w:jc w:val="center"/>
              <w:rPr>
                <w:sz w:val="18"/>
                <w:szCs w:val="18"/>
              </w:rPr>
            </w:pPr>
            <w:r w:rsidRPr="00CC272F">
              <w:rPr>
                <w:sz w:val="18"/>
                <w:szCs w:val="18"/>
              </w:rPr>
              <w:t>(-11.81, -1.33)</w:t>
            </w:r>
          </w:p>
        </w:tc>
        <w:tc>
          <w:tcPr>
            <w:tcW w:w="649" w:type="pct"/>
          </w:tcPr>
          <w:p w14:paraId="194D370C" w14:textId="77777777" w:rsidR="00825C89" w:rsidRPr="008D7EFD" w:rsidRDefault="00825C89" w:rsidP="00D47C29">
            <w:pPr>
              <w:jc w:val="center"/>
              <w:rPr>
                <w:sz w:val="18"/>
                <w:szCs w:val="18"/>
              </w:rPr>
            </w:pPr>
            <w:r w:rsidRPr="008D7EFD">
              <w:rPr>
                <w:sz w:val="18"/>
                <w:szCs w:val="18"/>
              </w:rPr>
              <w:t>-3.75</w:t>
            </w:r>
          </w:p>
          <w:p w14:paraId="4245949C" w14:textId="77777777" w:rsidR="00825C89" w:rsidRPr="008D7EFD" w:rsidRDefault="00825C89" w:rsidP="00D47C29">
            <w:pPr>
              <w:jc w:val="center"/>
              <w:rPr>
                <w:sz w:val="18"/>
                <w:szCs w:val="18"/>
              </w:rPr>
            </w:pPr>
            <w:r w:rsidRPr="008D7EFD">
              <w:rPr>
                <w:sz w:val="18"/>
                <w:szCs w:val="18"/>
              </w:rPr>
              <w:t>(-8.92, 1.42)</w:t>
            </w:r>
          </w:p>
        </w:tc>
        <w:tc>
          <w:tcPr>
            <w:tcW w:w="788" w:type="pct"/>
          </w:tcPr>
          <w:p w14:paraId="026308EE" w14:textId="77777777" w:rsidR="00825C89" w:rsidRPr="00CC272F" w:rsidRDefault="00825C89" w:rsidP="00D47C29">
            <w:pPr>
              <w:jc w:val="center"/>
              <w:rPr>
                <w:sz w:val="18"/>
                <w:szCs w:val="18"/>
              </w:rPr>
            </w:pPr>
            <w:r w:rsidRPr="00CC272F">
              <w:rPr>
                <w:sz w:val="18"/>
                <w:szCs w:val="18"/>
              </w:rPr>
              <w:t>-6.</w:t>
            </w:r>
            <w:r>
              <w:rPr>
                <w:sz w:val="18"/>
                <w:szCs w:val="18"/>
              </w:rPr>
              <w:t>39</w:t>
            </w:r>
          </w:p>
          <w:p w14:paraId="2C5A4749" w14:textId="77777777" w:rsidR="00825C89" w:rsidRPr="00CC272F" w:rsidRDefault="00825C89" w:rsidP="00D47C29">
            <w:pPr>
              <w:jc w:val="center"/>
              <w:rPr>
                <w:sz w:val="18"/>
                <w:szCs w:val="18"/>
              </w:rPr>
            </w:pPr>
            <w:r w:rsidRPr="00CC272F">
              <w:rPr>
                <w:sz w:val="18"/>
                <w:szCs w:val="18"/>
              </w:rPr>
              <w:t>(-11.</w:t>
            </w:r>
            <w:r>
              <w:rPr>
                <w:sz w:val="18"/>
                <w:szCs w:val="18"/>
              </w:rPr>
              <w:t>62</w:t>
            </w:r>
            <w:r w:rsidRPr="00CC272F">
              <w:rPr>
                <w:sz w:val="18"/>
                <w:szCs w:val="18"/>
              </w:rPr>
              <w:t>, -1.</w:t>
            </w:r>
            <w:r>
              <w:rPr>
                <w:sz w:val="18"/>
                <w:szCs w:val="18"/>
              </w:rPr>
              <w:t>17</w:t>
            </w:r>
            <w:r w:rsidRPr="00CC272F">
              <w:rPr>
                <w:sz w:val="18"/>
                <w:szCs w:val="18"/>
              </w:rPr>
              <w:t>)</w:t>
            </w:r>
          </w:p>
        </w:tc>
        <w:tc>
          <w:tcPr>
            <w:tcW w:w="788" w:type="pct"/>
          </w:tcPr>
          <w:p w14:paraId="1E6D9789" w14:textId="77777777" w:rsidR="00825C89" w:rsidRPr="008D7EFD" w:rsidRDefault="00825C89" w:rsidP="00D47C29">
            <w:pPr>
              <w:jc w:val="center"/>
              <w:rPr>
                <w:sz w:val="18"/>
                <w:szCs w:val="18"/>
              </w:rPr>
            </w:pPr>
            <w:r w:rsidRPr="008D7EFD">
              <w:rPr>
                <w:sz w:val="18"/>
                <w:szCs w:val="18"/>
              </w:rPr>
              <w:t>-3.</w:t>
            </w:r>
            <w:r>
              <w:rPr>
                <w:sz w:val="18"/>
                <w:szCs w:val="18"/>
              </w:rPr>
              <w:t>54</w:t>
            </w:r>
          </w:p>
          <w:p w14:paraId="6D5B2F58" w14:textId="77777777" w:rsidR="00825C89" w:rsidRPr="008D7EFD" w:rsidRDefault="00825C89" w:rsidP="00D47C29">
            <w:pPr>
              <w:jc w:val="center"/>
              <w:rPr>
                <w:sz w:val="18"/>
                <w:szCs w:val="18"/>
              </w:rPr>
            </w:pPr>
            <w:r w:rsidRPr="008D7EFD">
              <w:rPr>
                <w:sz w:val="18"/>
                <w:szCs w:val="18"/>
              </w:rPr>
              <w:t>(-8.</w:t>
            </w:r>
            <w:r>
              <w:rPr>
                <w:sz w:val="18"/>
                <w:szCs w:val="18"/>
              </w:rPr>
              <w:t>71</w:t>
            </w:r>
            <w:r w:rsidRPr="008D7EFD">
              <w:rPr>
                <w:sz w:val="18"/>
                <w:szCs w:val="18"/>
              </w:rPr>
              <w:t>, 1.</w:t>
            </w:r>
            <w:r>
              <w:rPr>
                <w:sz w:val="18"/>
                <w:szCs w:val="18"/>
              </w:rPr>
              <w:t>63</w:t>
            </w:r>
            <w:r w:rsidRPr="008D7EFD">
              <w:rPr>
                <w:sz w:val="18"/>
                <w:szCs w:val="18"/>
              </w:rPr>
              <w:t>)</w:t>
            </w:r>
          </w:p>
        </w:tc>
      </w:tr>
      <w:tr w:rsidR="00825C89" w:rsidRPr="00243253" w14:paraId="1BD04489" w14:textId="77777777" w:rsidTr="00D47C29">
        <w:trPr>
          <w:trHeight w:val="236"/>
        </w:trPr>
        <w:tc>
          <w:tcPr>
            <w:tcW w:w="284" w:type="pct"/>
            <w:vMerge/>
          </w:tcPr>
          <w:p w14:paraId="13EB18CA" w14:textId="77777777" w:rsidR="00825C89" w:rsidRPr="00951BB6" w:rsidRDefault="00825C89" w:rsidP="00D47C29">
            <w:pPr>
              <w:jc w:val="center"/>
              <w:rPr>
                <w:sz w:val="18"/>
                <w:szCs w:val="18"/>
              </w:rPr>
            </w:pPr>
          </w:p>
        </w:tc>
        <w:tc>
          <w:tcPr>
            <w:tcW w:w="778" w:type="pct"/>
            <w:shd w:val="clear" w:color="auto" w:fill="auto"/>
          </w:tcPr>
          <w:p w14:paraId="3D22B6A1" w14:textId="77777777" w:rsidR="00825C89" w:rsidRPr="00243253" w:rsidRDefault="00825C89" w:rsidP="00D47C29">
            <w:pPr>
              <w:jc w:val="center"/>
              <w:rPr>
                <w:b/>
                <w:sz w:val="18"/>
                <w:szCs w:val="18"/>
              </w:rPr>
            </w:pPr>
            <w:r w:rsidRPr="00243253">
              <w:rPr>
                <w:b/>
                <w:sz w:val="18"/>
                <w:szCs w:val="18"/>
              </w:rPr>
              <w:t>8 months</w:t>
            </w:r>
          </w:p>
        </w:tc>
        <w:tc>
          <w:tcPr>
            <w:tcW w:w="475" w:type="pct"/>
          </w:tcPr>
          <w:p w14:paraId="77C50FA2" w14:textId="77777777" w:rsidR="00825C89" w:rsidRPr="00027268" w:rsidRDefault="00825C89" w:rsidP="00D47C29">
            <w:pPr>
              <w:jc w:val="center"/>
              <w:rPr>
                <w:sz w:val="18"/>
                <w:szCs w:val="18"/>
              </w:rPr>
            </w:pPr>
            <w:r w:rsidRPr="00027268">
              <w:rPr>
                <w:sz w:val="18"/>
                <w:szCs w:val="18"/>
              </w:rPr>
              <w:t>40.</w:t>
            </w:r>
            <w:r>
              <w:rPr>
                <w:sz w:val="18"/>
                <w:szCs w:val="18"/>
              </w:rPr>
              <w:t>3</w:t>
            </w:r>
          </w:p>
          <w:p w14:paraId="5DF5AF30" w14:textId="77777777" w:rsidR="00825C89" w:rsidRPr="00027268" w:rsidRDefault="00825C89" w:rsidP="00D47C29">
            <w:pPr>
              <w:jc w:val="center"/>
              <w:rPr>
                <w:sz w:val="18"/>
                <w:szCs w:val="18"/>
              </w:rPr>
            </w:pPr>
            <w:r w:rsidRPr="00027268">
              <w:rPr>
                <w:sz w:val="18"/>
                <w:szCs w:val="18"/>
              </w:rPr>
              <w:t>(31.</w:t>
            </w:r>
            <w:r>
              <w:rPr>
                <w:sz w:val="18"/>
                <w:szCs w:val="18"/>
              </w:rPr>
              <w:t>8</w:t>
            </w:r>
            <w:r w:rsidRPr="00027268">
              <w:rPr>
                <w:sz w:val="18"/>
                <w:szCs w:val="18"/>
              </w:rPr>
              <w:t>, 48.8)</w:t>
            </w:r>
          </w:p>
        </w:tc>
        <w:tc>
          <w:tcPr>
            <w:tcW w:w="649" w:type="pct"/>
          </w:tcPr>
          <w:p w14:paraId="354EAFA9" w14:textId="77777777" w:rsidR="00825C89" w:rsidRPr="003C650E" w:rsidRDefault="00825C89" w:rsidP="00D47C29">
            <w:pPr>
              <w:jc w:val="center"/>
              <w:rPr>
                <w:sz w:val="18"/>
                <w:szCs w:val="18"/>
              </w:rPr>
            </w:pPr>
            <w:r w:rsidRPr="003C650E">
              <w:rPr>
                <w:sz w:val="18"/>
                <w:szCs w:val="18"/>
              </w:rPr>
              <w:t>49.2</w:t>
            </w:r>
          </w:p>
          <w:p w14:paraId="26B5BD77" w14:textId="77777777" w:rsidR="00825C89" w:rsidRPr="003C650E" w:rsidRDefault="00825C89" w:rsidP="00D47C29">
            <w:pPr>
              <w:jc w:val="center"/>
              <w:rPr>
                <w:sz w:val="18"/>
                <w:szCs w:val="18"/>
              </w:rPr>
            </w:pPr>
            <w:r w:rsidRPr="003C650E">
              <w:rPr>
                <w:sz w:val="18"/>
                <w:szCs w:val="18"/>
              </w:rPr>
              <w:t>(41.3, 57.</w:t>
            </w:r>
            <w:r>
              <w:rPr>
                <w:sz w:val="18"/>
                <w:szCs w:val="18"/>
              </w:rPr>
              <w:t>1</w:t>
            </w:r>
            <w:r w:rsidRPr="003C650E">
              <w:rPr>
                <w:sz w:val="18"/>
                <w:szCs w:val="18"/>
              </w:rPr>
              <w:t>)</w:t>
            </w:r>
          </w:p>
        </w:tc>
        <w:tc>
          <w:tcPr>
            <w:tcW w:w="588" w:type="pct"/>
          </w:tcPr>
          <w:p w14:paraId="25323441" w14:textId="77777777" w:rsidR="00825C89" w:rsidRPr="00CC272F" w:rsidRDefault="00825C89" w:rsidP="00D47C29">
            <w:pPr>
              <w:jc w:val="center"/>
              <w:rPr>
                <w:sz w:val="18"/>
                <w:szCs w:val="18"/>
              </w:rPr>
            </w:pPr>
            <w:r w:rsidRPr="00CC272F">
              <w:rPr>
                <w:sz w:val="18"/>
                <w:szCs w:val="18"/>
              </w:rPr>
              <w:t>-2.57</w:t>
            </w:r>
          </w:p>
          <w:p w14:paraId="120B7A08" w14:textId="77777777" w:rsidR="00825C89" w:rsidRPr="00CC272F" w:rsidRDefault="00825C89" w:rsidP="00D47C29">
            <w:pPr>
              <w:jc w:val="center"/>
              <w:rPr>
                <w:sz w:val="18"/>
                <w:szCs w:val="18"/>
              </w:rPr>
            </w:pPr>
            <w:r w:rsidRPr="00CC272F">
              <w:rPr>
                <w:sz w:val="18"/>
                <w:szCs w:val="18"/>
              </w:rPr>
              <w:t>(-8.06, 2.92)</w:t>
            </w:r>
          </w:p>
        </w:tc>
        <w:tc>
          <w:tcPr>
            <w:tcW w:w="649" w:type="pct"/>
          </w:tcPr>
          <w:p w14:paraId="5D554545" w14:textId="77777777" w:rsidR="00825C89" w:rsidRPr="008D7EFD" w:rsidRDefault="00825C89" w:rsidP="00D47C29">
            <w:pPr>
              <w:jc w:val="center"/>
              <w:rPr>
                <w:sz w:val="18"/>
                <w:szCs w:val="18"/>
              </w:rPr>
            </w:pPr>
            <w:r w:rsidRPr="008D7EFD">
              <w:rPr>
                <w:sz w:val="18"/>
                <w:szCs w:val="18"/>
              </w:rPr>
              <w:t>2.15</w:t>
            </w:r>
          </w:p>
          <w:p w14:paraId="2B4F4308" w14:textId="77777777" w:rsidR="00825C89" w:rsidRPr="008D7EFD" w:rsidRDefault="00825C89" w:rsidP="00D47C29">
            <w:pPr>
              <w:jc w:val="center"/>
              <w:rPr>
                <w:sz w:val="18"/>
                <w:szCs w:val="18"/>
              </w:rPr>
            </w:pPr>
            <w:r w:rsidRPr="008D7EFD">
              <w:rPr>
                <w:sz w:val="18"/>
                <w:szCs w:val="18"/>
              </w:rPr>
              <w:t>(-3.39, 7.68)</w:t>
            </w:r>
          </w:p>
        </w:tc>
        <w:tc>
          <w:tcPr>
            <w:tcW w:w="788" w:type="pct"/>
          </w:tcPr>
          <w:p w14:paraId="1ACB5104" w14:textId="77777777" w:rsidR="00825C89" w:rsidRPr="00CC272F" w:rsidRDefault="00825C89" w:rsidP="00D47C29">
            <w:pPr>
              <w:jc w:val="center"/>
              <w:rPr>
                <w:sz w:val="18"/>
                <w:szCs w:val="18"/>
              </w:rPr>
            </w:pPr>
            <w:r w:rsidRPr="00CC272F">
              <w:rPr>
                <w:sz w:val="18"/>
                <w:szCs w:val="18"/>
              </w:rPr>
              <w:t>-2.</w:t>
            </w:r>
            <w:r>
              <w:rPr>
                <w:sz w:val="18"/>
                <w:szCs w:val="18"/>
              </w:rPr>
              <w:t>40</w:t>
            </w:r>
          </w:p>
          <w:p w14:paraId="04EFC865" w14:textId="77777777" w:rsidR="00825C89" w:rsidRPr="00CC272F" w:rsidRDefault="00825C89" w:rsidP="00D47C29">
            <w:pPr>
              <w:jc w:val="center"/>
              <w:rPr>
                <w:sz w:val="18"/>
                <w:szCs w:val="18"/>
              </w:rPr>
            </w:pPr>
            <w:r w:rsidRPr="00CC272F">
              <w:rPr>
                <w:sz w:val="18"/>
                <w:szCs w:val="18"/>
              </w:rPr>
              <w:t>(-</w:t>
            </w:r>
            <w:r>
              <w:rPr>
                <w:sz w:val="18"/>
                <w:szCs w:val="18"/>
              </w:rPr>
              <w:t>7</w:t>
            </w:r>
            <w:r w:rsidRPr="00CC272F">
              <w:rPr>
                <w:sz w:val="18"/>
                <w:szCs w:val="18"/>
              </w:rPr>
              <w:t>.</w:t>
            </w:r>
            <w:r>
              <w:rPr>
                <w:sz w:val="18"/>
                <w:szCs w:val="18"/>
              </w:rPr>
              <w:t>89</w:t>
            </w:r>
            <w:r w:rsidRPr="00CC272F">
              <w:rPr>
                <w:sz w:val="18"/>
                <w:szCs w:val="18"/>
              </w:rPr>
              <w:t xml:space="preserve">, </w:t>
            </w:r>
            <w:r>
              <w:rPr>
                <w:sz w:val="18"/>
                <w:szCs w:val="18"/>
              </w:rPr>
              <w:t>3</w:t>
            </w:r>
            <w:r w:rsidRPr="00CC272F">
              <w:rPr>
                <w:sz w:val="18"/>
                <w:szCs w:val="18"/>
              </w:rPr>
              <w:t>.</w:t>
            </w:r>
            <w:r>
              <w:rPr>
                <w:sz w:val="18"/>
                <w:szCs w:val="18"/>
              </w:rPr>
              <w:t>09</w:t>
            </w:r>
            <w:r w:rsidRPr="00CC272F">
              <w:rPr>
                <w:sz w:val="18"/>
                <w:szCs w:val="18"/>
              </w:rPr>
              <w:t>)</w:t>
            </w:r>
          </w:p>
        </w:tc>
        <w:tc>
          <w:tcPr>
            <w:tcW w:w="788" w:type="pct"/>
          </w:tcPr>
          <w:p w14:paraId="7DE7782B" w14:textId="77777777" w:rsidR="00825C89" w:rsidRPr="008D7EFD" w:rsidRDefault="00825C89" w:rsidP="00D47C29">
            <w:pPr>
              <w:jc w:val="center"/>
              <w:rPr>
                <w:sz w:val="18"/>
                <w:szCs w:val="18"/>
              </w:rPr>
            </w:pPr>
            <w:r w:rsidRPr="008D7EFD">
              <w:rPr>
                <w:sz w:val="18"/>
                <w:szCs w:val="18"/>
              </w:rPr>
              <w:t>2.</w:t>
            </w:r>
            <w:r>
              <w:rPr>
                <w:sz w:val="18"/>
                <w:szCs w:val="18"/>
              </w:rPr>
              <w:t>37</w:t>
            </w:r>
          </w:p>
          <w:p w14:paraId="33FA13A4" w14:textId="77777777" w:rsidR="00825C89" w:rsidRPr="008D7EFD" w:rsidRDefault="00825C89" w:rsidP="00D47C29">
            <w:pPr>
              <w:jc w:val="center"/>
              <w:rPr>
                <w:sz w:val="18"/>
                <w:szCs w:val="18"/>
              </w:rPr>
            </w:pPr>
            <w:r w:rsidRPr="008D7EFD">
              <w:rPr>
                <w:sz w:val="18"/>
                <w:szCs w:val="18"/>
              </w:rPr>
              <w:t>(-3.</w:t>
            </w:r>
            <w:r>
              <w:rPr>
                <w:sz w:val="18"/>
                <w:szCs w:val="18"/>
              </w:rPr>
              <w:t>18</w:t>
            </w:r>
            <w:r w:rsidRPr="008D7EFD">
              <w:rPr>
                <w:sz w:val="18"/>
                <w:szCs w:val="18"/>
              </w:rPr>
              <w:t>, 7.</w:t>
            </w:r>
            <w:r>
              <w:rPr>
                <w:sz w:val="18"/>
                <w:szCs w:val="18"/>
              </w:rPr>
              <w:t>93</w:t>
            </w:r>
            <w:r w:rsidRPr="008D7EFD">
              <w:rPr>
                <w:sz w:val="18"/>
                <w:szCs w:val="18"/>
              </w:rPr>
              <w:t>)</w:t>
            </w:r>
          </w:p>
        </w:tc>
      </w:tr>
      <w:tr w:rsidR="00825C89" w:rsidRPr="00243253" w14:paraId="67E4D949" w14:textId="77777777" w:rsidTr="00D47C29">
        <w:trPr>
          <w:trHeight w:val="236"/>
        </w:trPr>
        <w:tc>
          <w:tcPr>
            <w:tcW w:w="284" w:type="pct"/>
            <w:vMerge/>
          </w:tcPr>
          <w:p w14:paraId="1FE1F9F6" w14:textId="77777777" w:rsidR="00825C89" w:rsidRPr="00951BB6" w:rsidRDefault="00825C89" w:rsidP="00D47C29">
            <w:pPr>
              <w:jc w:val="center"/>
              <w:rPr>
                <w:sz w:val="18"/>
                <w:szCs w:val="18"/>
              </w:rPr>
            </w:pPr>
          </w:p>
        </w:tc>
        <w:tc>
          <w:tcPr>
            <w:tcW w:w="778" w:type="pct"/>
            <w:tcBorders>
              <w:bottom w:val="single" w:sz="4" w:space="0" w:color="auto"/>
            </w:tcBorders>
            <w:shd w:val="clear" w:color="auto" w:fill="auto"/>
          </w:tcPr>
          <w:p w14:paraId="3B3F2311" w14:textId="77777777" w:rsidR="00825C89" w:rsidRPr="00243253" w:rsidRDefault="00825C89" w:rsidP="00D47C29">
            <w:pPr>
              <w:jc w:val="center"/>
              <w:rPr>
                <w:b/>
                <w:sz w:val="18"/>
                <w:szCs w:val="18"/>
              </w:rPr>
            </w:pPr>
            <w:r>
              <w:rPr>
                <w:b/>
                <w:sz w:val="18"/>
                <w:szCs w:val="18"/>
              </w:rPr>
              <w:t>Min value</w:t>
            </w:r>
          </w:p>
        </w:tc>
        <w:tc>
          <w:tcPr>
            <w:tcW w:w="475" w:type="pct"/>
            <w:tcBorders>
              <w:bottom w:val="single" w:sz="4" w:space="0" w:color="auto"/>
            </w:tcBorders>
          </w:tcPr>
          <w:p w14:paraId="00310EB5" w14:textId="77777777" w:rsidR="00825C89" w:rsidRPr="00027268" w:rsidRDefault="00825C89" w:rsidP="00D47C29">
            <w:pPr>
              <w:jc w:val="center"/>
              <w:rPr>
                <w:sz w:val="18"/>
                <w:szCs w:val="18"/>
              </w:rPr>
            </w:pPr>
            <w:r w:rsidRPr="00027268">
              <w:rPr>
                <w:sz w:val="18"/>
                <w:szCs w:val="18"/>
              </w:rPr>
              <w:t>33.</w:t>
            </w:r>
            <w:r>
              <w:rPr>
                <w:sz w:val="18"/>
                <w:szCs w:val="18"/>
              </w:rPr>
              <w:t>9</w:t>
            </w:r>
          </w:p>
          <w:p w14:paraId="750DECD3" w14:textId="77777777" w:rsidR="00825C89" w:rsidRPr="00027268" w:rsidRDefault="00825C89" w:rsidP="00D47C29">
            <w:pPr>
              <w:jc w:val="center"/>
              <w:rPr>
                <w:sz w:val="18"/>
                <w:szCs w:val="18"/>
              </w:rPr>
            </w:pPr>
            <w:r w:rsidRPr="00027268">
              <w:rPr>
                <w:sz w:val="18"/>
                <w:szCs w:val="18"/>
              </w:rPr>
              <w:t>(25.1, 42.</w:t>
            </w:r>
            <w:r>
              <w:rPr>
                <w:sz w:val="18"/>
                <w:szCs w:val="18"/>
              </w:rPr>
              <w:t>6</w:t>
            </w:r>
            <w:r w:rsidRPr="00027268">
              <w:rPr>
                <w:sz w:val="18"/>
                <w:szCs w:val="18"/>
              </w:rPr>
              <w:t>)</w:t>
            </w:r>
          </w:p>
        </w:tc>
        <w:tc>
          <w:tcPr>
            <w:tcW w:w="649" w:type="pct"/>
            <w:tcBorders>
              <w:bottom w:val="single" w:sz="4" w:space="0" w:color="auto"/>
            </w:tcBorders>
          </w:tcPr>
          <w:p w14:paraId="324347E7" w14:textId="77777777" w:rsidR="00825C89" w:rsidRPr="003C650E" w:rsidRDefault="00825C89" w:rsidP="00D47C29">
            <w:pPr>
              <w:jc w:val="center"/>
              <w:rPr>
                <w:sz w:val="18"/>
                <w:szCs w:val="18"/>
              </w:rPr>
            </w:pPr>
            <w:r w:rsidRPr="003C650E">
              <w:rPr>
                <w:sz w:val="18"/>
                <w:szCs w:val="18"/>
              </w:rPr>
              <w:t>41.1</w:t>
            </w:r>
          </w:p>
          <w:p w14:paraId="5A2A2456" w14:textId="77777777" w:rsidR="00825C89" w:rsidRPr="003C650E" w:rsidRDefault="00825C89" w:rsidP="00D47C29">
            <w:pPr>
              <w:jc w:val="center"/>
              <w:rPr>
                <w:sz w:val="18"/>
                <w:szCs w:val="18"/>
              </w:rPr>
            </w:pPr>
            <w:r w:rsidRPr="003C650E">
              <w:rPr>
                <w:sz w:val="18"/>
                <w:szCs w:val="18"/>
              </w:rPr>
              <w:t>(33.1, 49.1)</w:t>
            </w:r>
          </w:p>
        </w:tc>
        <w:tc>
          <w:tcPr>
            <w:tcW w:w="588" w:type="pct"/>
            <w:tcBorders>
              <w:bottom w:val="single" w:sz="4" w:space="0" w:color="auto"/>
            </w:tcBorders>
          </w:tcPr>
          <w:p w14:paraId="1DC0D2A8" w14:textId="77777777" w:rsidR="00825C89" w:rsidRPr="00CC272F" w:rsidRDefault="00825C89" w:rsidP="00D47C29">
            <w:pPr>
              <w:jc w:val="center"/>
              <w:rPr>
                <w:sz w:val="18"/>
                <w:szCs w:val="18"/>
              </w:rPr>
            </w:pPr>
            <w:r w:rsidRPr="00CC272F">
              <w:rPr>
                <w:sz w:val="18"/>
                <w:szCs w:val="18"/>
              </w:rPr>
              <w:t>-4.99</w:t>
            </w:r>
          </w:p>
          <w:p w14:paraId="095E4197" w14:textId="77777777" w:rsidR="00825C89" w:rsidRPr="00CC272F" w:rsidRDefault="00825C89" w:rsidP="00D47C29">
            <w:pPr>
              <w:jc w:val="center"/>
              <w:rPr>
                <w:sz w:val="18"/>
                <w:szCs w:val="18"/>
              </w:rPr>
            </w:pPr>
            <w:r w:rsidRPr="00CC272F">
              <w:rPr>
                <w:sz w:val="18"/>
                <w:szCs w:val="18"/>
              </w:rPr>
              <w:t>(-9.62, -0.36)</w:t>
            </w:r>
          </w:p>
        </w:tc>
        <w:tc>
          <w:tcPr>
            <w:tcW w:w="649" w:type="pct"/>
            <w:tcBorders>
              <w:bottom w:val="single" w:sz="4" w:space="0" w:color="auto"/>
            </w:tcBorders>
          </w:tcPr>
          <w:p w14:paraId="0006E712" w14:textId="77777777" w:rsidR="00825C89" w:rsidRPr="008D7EFD" w:rsidRDefault="00825C89" w:rsidP="00D47C29">
            <w:pPr>
              <w:jc w:val="center"/>
              <w:rPr>
                <w:sz w:val="18"/>
                <w:szCs w:val="18"/>
              </w:rPr>
            </w:pPr>
            <w:r w:rsidRPr="008D7EFD">
              <w:rPr>
                <w:sz w:val="18"/>
                <w:szCs w:val="18"/>
              </w:rPr>
              <w:t>-1.84</w:t>
            </w:r>
          </w:p>
          <w:p w14:paraId="23DB4D45" w14:textId="77777777" w:rsidR="00825C89" w:rsidRPr="008D7EFD" w:rsidRDefault="00825C89" w:rsidP="00D47C29">
            <w:pPr>
              <w:jc w:val="center"/>
              <w:rPr>
                <w:sz w:val="18"/>
                <w:szCs w:val="18"/>
              </w:rPr>
            </w:pPr>
            <w:r w:rsidRPr="008D7EFD">
              <w:rPr>
                <w:sz w:val="18"/>
                <w:szCs w:val="18"/>
              </w:rPr>
              <w:t>(-6.51, 2.83)</w:t>
            </w:r>
          </w:p>
        </w:tc>
        <w:tc>
          <w:tcPr>
            <w:tcW w:w="788" w:type="pct"/>
            <w:tcBorders>
              <w:bottom w:val="single" w:sz="4" w:space="0" w:color="auto"/>
            </w:tcBorders>
          </w:tcPr>
          <w:p w14:paraId="2F301E98" w14:textId="77777777" w:rsidR="00825C89" w:rsidRPr="00CC272F" w:rsidRDefault="00825C89" w:rsidP="00D47C29">
            <w:pPr>
              <w:jc w:val="center"/>
              <w:rPr>
                <w:sz w:val="18"/>
                <w:szCs w:val="18"/>
              </w:rPr>
            </w:pPr>
            <w:r w:rsidRPr="00CC272F">
              <w:rPr>
                <w:sz w:val="18"/>
                <w:szCs w:val="18"/>
              </w:rPr>
              <w:t>-4.</w:t>
            </w:r>
            <w:r>
              <w:rPr>
                <w:sz w:val="18"/>
                <w:szCs w:val="18"/>
              </w:rPr>
              <w:t>82</w:t>
            </w:r>
          </w:p>
          <w:p w14:paraId="64127C1E" w14:textId="77777777" w:rsidR="00825C89" w:rsidRPr="00CC272F" w:rsidRDefault="00825C89" w:rsidP="00D47C29">
            <w:pPr>
              <w:jc w:val="center"/>
              <w:rPr>
                <w:sz w:val="18"/>
                <w:szCs w:val="18"/>
              </w:rPr>
            </w:pPr>
            <w:r w:rsidRPr="00CC272F">
              <w:rPr>
                <w:sz w:val="18"/>
                <w:szCs w:val="18"/>
              </w:rPr>
              <w:t>(-9.</w:t>
            </w:r>
            <w:r>
              <w:rPr>
                <w:sz w:val="18"/>
                <w:szCs w:val="18"/>
              </w:rPr>
              <w:t>44</w:t>
            </w:r>
            <w:r w:rsidRPr="00CC272F">
              <w:rPr>
                <w:sz w:val="18"/>
                <w:szCs w:val="18"/>
              </w:rPr>
              <w:t>, -0.</w:t>
            </w:r>
            <w:r>
              <w:rPr>
                <w:sz w:val="18"/>
                <w:szCs w:val="18"/>
              </w:rPr>
              <w:t>19</w:t>
            </w:r>
            <w:r w:rsidRPr="00CC272F">
              <w:rPr>
                <w:sz w:val="18"/>
                <w:szCs w:val="18"/>
              </w:rPr>
              <w:t>)</w:t>
            </w:r>
          </w:p>
        </w:tc>
        <w:tc>
          <w:tcPr>
            <w:tcW w:w="788" w:type="pct"/>
            <w:tcBorders>
              <w:bottom w:val="single" w:sz="4" w:space="0" w:color="auto"/>
            </w:tcBorders>
          </w:tcPr>
          <w:p w14:paraId="34306F01" w14:textId="77777777" w:rsidR="00825C89" w:rsidRPr="008D7EFD" w:rsidRDefault="00825C89" w:rsidP="00D47C29">
            <w:pPr>
              <w:jc w:val="center"/>
              <w:rPr>
                <w:sz w:val="18"/>
                <w:szCs w:val="18"/>
              </w:rPr>
            </w:pPr>
            <w:r w:rsidRPr="008D7EFD">
              <w:rPr>
                <w:sz w:val="18"/>
                <w:szCs w:val="18"/>
              </w:rPr>
              <w:t>-1.</w:t>
            </w:r>
            <w:r>
              <w:rPr>
                <w:sz w:val="18"/>
                <w:szCs w:val="18"/>
              </w:rPr>
              <w:t>63</w:t>
            </w:r>
          </w:p>
          <w:p w14:paraId="411F469D" w14:textId="77777777" w:rsidR="00825C89" w:rsidRPr="008D7EFD" w:rsidRDefault="00825C89" w:rsidP="00D47C29">
            <w:pPr>
              <w:jc w:val="center"/>
              <w:rPr>
                <w:sz w:val="18"/>
                <w:szCs w:val="18"/>
              </w:rPr>
            </w:pPr>
            <w:r w:rsidRPr="008D7EFD">
              <w:rPr>
                <w:sz w:val="18"/>
                <w:szCs w:val="18"/>
              </w:rPr>
              <w:t>(-6.</w:t>
            </w:r>
            <w:r>
              <w:rPr>
                <w:sz w:val="18"/>
                <w:szCs w:val="18"/>
              </w:rPr>
              <w:t>3</w:t>
            </w:r>
            <w:r w:rsidRPr="008D7EFD">
              <w:rPr>
                <w:sz w:val="18"/>
                <w:szCs w:val="18"/>
              </w:rPr>
              <w:t xml:space="preserve">1, </w:t>
            </w:r>
            <w:r>
              <w:rPr>
                <w:sz w:val="18"/>
                <w:szCs w:val="18"/>
              </w:rPr>
              <w:t>3.05</w:t>
            </w:r>
            <w:r w:rsidRPr="008D7EFD">
              <w:rPr>
                <w:sz w:val="18"/>
                <w:szCs w:val="18"/>
              </w:rPr>
              <w:t>)</w:t>
            </w:r>
          </w:p>
        </w:tc>
      </w:tr>
      <w:tr w:rsidR="00825C89" w:rsidRPr="00243253" w14:paraId="6DBE67FF" w14:textId="77777777" w:rsidTr="00D47C29">
        <w:trPr>
          <w:trHeight w:val="236"/>
        </w:trPr>
        <w:tc>
          <w:tcPr>
            <w:tcW w:w="284" w:type="pct"/>
            <w:vMerge/>
            <w:tcBorders>
              <w:right w:val="single" w:sz="4" w:space="0" w:color="auto"/>
            </w:tcBorders>
          </w:tcPr>
          <w:p w14:paraId="5170C712" w14:textId="77777777" w:rsidR="00825C89" w:rsidRPr="00951BB6" w:rsidRDefault="00825C89" w:rsidP="00D47C29">
            <w:pPr>
              <w:jc w:val="center"/>
              <w:rPr>
                <w:sz w:val="18"/>
                <w:szCs w:val="18"/>
              </w:rPr>
            </w:pPr>
          </w:p>
        </w:tc>
        <w:tc>
          <w:tcPr>
            <w:tcW w:w="778"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91D98C" w14:textId="77777777" w:rsidR="00825C89" w:rsidRPr="00243253" w:rsidRDefault="00825C89" w:rsidP="00D47C29">
            <w:pPr>
              <w:jc w:val="center"/>
              <w:rPr>
                <w:b/>
                <w:sz w:val="18"/>
                <w:szCs w:val="18"/>
              </w:rPr>
            </w:pPr>
            <w:r>
              <w:rPr>
                <w:b/>
                <w:sz w:val="18"/>
                <w:szCs w:val="18"/>
              </w:rPr>
              <w:t>Min time-months</w:t>
            </w:r>
          </w:p>
        </w:tc>
        <w:tc>
          <w:tcPr>
            <w:tcW w:w="4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53D228" w14:textId="77777777" w:rsidR="00825C89" w:rsidRPr="00027268" w:rsidRDefault="00825C89" w:rsidP="00D47C29">
            <w:pPr>
              <w:jc w:val="center"/>
              <w:rPr>
                <w:sz w:val="18"/>
                <w:szCs w:val="18"/>
              </w:rPr>
            </w:pPr>
            <w:r w:rsidRPr="00027268">
              <w:rPr>
                <w:sz w:val="18"/>
                <w:szCs w:val="18"/>
              </w:rPr>
              <w:t>4.37</w:t>
            </w:r>
          </w:p>
          <w:p w14:paraId="66B243F0" w14:textId="77777777" w:rsidR="00825C89" w:rsidRPr="00027268" w:rsidRDefault="00825C89" w:rsidP="00D47C29">
            <w:pPr>
              <w:jc w:val="center"/>
              <w:rPr>
                <w:sz w:val="18"/>
                <w:szCs w:val="18"/>
              </w:rPr>
            </w:pPr>
            <w:r w:rsidRPr="00027268">
              <w:rPr>
                <w:sz w:val="18"/>
                <w:szCs w:val="18"/>
              </w:rPr>
              <w:t>(3.68, 5.07)</w:t>
            </w:r>
          </w:p>
        </w:tc>
        <w:tc>
          <w:tcPr>
            <w:tcW w:w="64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E52E52" w14:textId="77777777" w:rsidR="00825C89" w:rsidRPr="003C650E" w:rsidRDefault="00825C89" w:rsidP="00D47C29">
            <w:pPr>
              <w:jc w:val="center"/>
              <w:rPr>
                <w:sz w:val="18"/>
                <w:szCs w:val="18"/>
              </w:rPr>
            </w:pPr>
            <w:r w:rsidRPr="003C650E">
              <w:rPr>
                <w:sz w:val="18"/>
                <w:szCs w:val="18"/>
              </w:rPr>
              <w:t>3.94</w:t>
            </w:r>
          </w:p>
          <w:p w14:paraId="762EDB59" w14:textId="77777777" w:rsidR="00825C89" w:rsidRPr="003C650E" w:rsidRDefault="00825C89" w:rsidP="00D47C29">
            <w:pPr>
              <w:jc w:val="center"/>
              <w:rPr>
                <w:sz w:val="18"/>
                <w:szCs w:val="18"/>
              </w:rPr>
            </w:pPr>
            <w:r w:rsidRPr="003C650E">
              <w:rPr>
                <w:sz w:val="18"/>
                <w:szCs w:val="18"/>
              </w:rPr>
              <w:t>(3.24, 4.65)</w:t>
            </w: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1E42F" w14:textId="77777777" w:rsidR="00825C89" w:rsidRPr="00243253" w:rsidRDefault="00825C89" w:rsidP="00D47C29">
            <w:pPr>
              <w:jc w:val="center"/>
              <w:rPr>
                <w:b/>
                <w:sz w:val="18"/>
                <w:szCs w:val="18"/>
              </w:rPr>
            </w:pP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BCCD9" w14:textId="77777777" w:rsidR="00825C89" w:rsidRPr="00243253" w:rsidRDefault="00825C89" w:rsidP="00D47C29">
            <w:pPr>
              <w:jc w:val="center"/>
              <w:rPr>
                <w:b/>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E585A" w14:textId="77777777" w:rsidR="00825C89" w:rsidRPr="00243253" w:rsidRDefault="00825C89" w:rsidP="00D47C29">
            <w:pPr>
              <w:jc w:val="center"/>
              <w:rPr>
                <w:b/>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06564" w14:textId="77777777" w:rsidR="00825C89" w:rsidRPr="00243253" w:rsidRDefault="00825C89" w:rsidP="00D47C29">
            <w:pPr>
              <w:jc w:val="center"/>
              <w:rPr>
                <w:b/>
                <w:sz w:val="18"/>
                <w:szCs w:val="18"/>
              </w:rPr>
            </w:pPr>
          </w:p>
        </w:tc>
      </w:tr>
    </w:tbl>
    <w:p w14:paraId="3CA88418" w14:textId="77777777" w:rsidR="00825C89" w:rsidRPr="00A42D9D" w:rsidRDefault="00825C89" w:rsidP="00825C89">
      <w:pPr>
        <w:spacing w:line="360" w:lineRule="auto"/>
        <w:jc w:val="center"/>
        <w:rPr>
          <w:rFonts w:cstheme="minorHAnsi"/>
          <w:i/>
          <w:sz w:val="24"/>
        </w:rPr>
      </w:pPr>
    </w:p>
    <w:p w14:paraId="27E05A45" w14:textId="77777777" w:rsidR="00825C89" w:rsidRPr="00A42D9D" w:rsidRDefault="00825C89" w:rsidP="00825C89">
      <w:pPr>
        <w:spacing w:line="480" w:lineRule="auto"/>
        <w:jc w:val="both"/>
        <w:rPr>
          <w:rFonts w:cstheme="minorHAnsi"/>
          <w:sz w:val="24"/>
          <w:szCs w:val="24"/>
        </w:rPr>
      </w:pPr>
    </w:p>
    <w:p w14:paraId="64F3E2D4" w14:textId="77777777" w:rsidR="00825C89" w:rsidRPr="00A42D9D" w:rsidRDefault="00825C89" w:rsidP="00825C89">
      <w:pPr>
        <w:spacing w:line="480" w:lineRule="auto"/>
        <w:jc w:val="both"/>
        <w:rPr>
          <w:rFonts w:cstheme="minorHAnsi"/>
          <w:sz w:val="24"/>
        </w:rPr>
      </w:pPr>
      <w:r w:rsidRPr="00A42D9D">
        <w:rPr>
          <w:rFonts w:cstheme="minorHAnsi"/>
          <w:sz w:val="24"/>
        </w:rPr>
        <w:t xml:space="preserve">The quadratic term was significant for all secondary outcomes (p=0.0014 for SNIP, p= 0.004 for QUADS-DOM and p= 0.0014 for SGRQ-I), </w:t>
      </w:r>
      <w:r>
        <w:rPr>
          <w:rFonts w:cstheme="minorHAnsi"/>
          <w:sz w:val="24"/>
        </w:rPr>
        <w:t>(</w:t>
      </w:r>
      <w:r w:rsidRPr="00A42D9D">
        <w:rPr>
          <w:rFonts w:cstheme="minorHAnsi"/>
          <w:sz w:val="24"/>
        </w:rPr>
        <w:t>Figure 3</w:t>
      </w:r>
      <w:r>
        <w:rPr>
          <w:rFonts w:cstheme="minorHAnsi"/>
          <w:sz w:val="24"/>
        </w:rPr>
        <w:t>)</w:t>
      </w:r>
      <w:r w:rsidRPr="00A42D9D">
        <w:rPr>
          <w:rFonts w:cstheme="minorHAnsi"/>
          <w:sz w:val="24"/>
        </w:rPr>
        <w:t xml:space="preserve">. </w:t>
      </w:r>
    </w:p>
    <w:p w14:paraId="7B51D014" w14:textId="77777777" w:rsidR="00825C89" w:rsidRPr="00A42D9D" w:rsidRDefault="00825C89" w:rsidP="00825C89">
      <w:pPr>
        <w:spacing w:line="480" w:lineRule="auto"/>
        <w:jc w:val="both"/>
        <w:rPr>
          <w:rFonts w:cstheme="minorHAnsi"/>
          <w:sz w:val="24"/>
        </w:rPr>
      </w:pPr>
      <w:r w:rsidRPr="00A42D9D">
        <w:rPr>
          <w:rFonts w:cstheme="minorHAnsi"/>
          <w:sz w:val="24"/>
        </w:rPr>
        <w:t xml:space="preserve">SNIP values peaked earlier than 6MWD values in both groups by approximately 2 weeks (Figure 3).  QUADS-DOM values were maintained above baseline levels in both groups (Figure 2) and showed a similar time course of change. </w:t>
      </w:r>
    </w:p>
    <w:p w14:paraId="0CA89325" w14:textId="77777777" w:rsidR="00825C89" w:rsidRPr="00A42D9D" w:rsidRDefault="00825C89" w:rsidP="00825C89">
      <w:pPr>
        <w:spacing w:line="480" w:lineRule="auto"/>
        <w:jc w:val="both"/>
        <w:rPr>
          <w:rFonts w:cstheme="minorHAnsi"/>
          <w:sz w:val="24"/>
        </w:rPr>
      </w:pPr>
      <w:r w:rsidRPr="00A42D9D">
        <w:rPr>
          <w:rFonts w:cstheme="minorHAnsi"/>
          <w:sz w:val="24"/>
        </w:rPr>
        <w:t>There was no evidence for a difference between treatment groups for the SGRQ-I values. The time to reaching the greatest improvement in SGRQ-I score was shorter in the HIIT group, but the changes in the HIIT group were of smaller magnitude at all time-points (</w:t>
      </w:r>
      <w:r>
        <w:rPr>
          <w:rFonts w:cstheme="minorHAnsi"/>
          <w:sz w:val="24"/>
        </w:rPr>
        <w:t xml:space="preserve">Supplementary </w:t>
      </w:r>
      <w:r w:rsidRPr="00A42D9D">
        <w:rPr>
          <w:rFonts w:cstheme="minorHAnsi"/>
          <w:sz w:val="24"/>
        </w:rPr>
        <w:t xml:space="preserve">Tables </w:t>
      </w:r>
      <w:r>
        <w:rPr>
          <w:rFonts w:cstheme="minorHAnsi"/>
          <w:sz w:val="24"/>
        </w:rPr>
        <w:t>1 and 2</w:t>
      </w:r>
      <w:r w:rsidRPr="00A42D9D">
        <w:rPr>
          <w:rFonts w:cstheme="minorHAnsi"/>
          <w:sz w:val="24"/>
        </w:rPr>
        <w:t xml:space="preserve">). </w:t>
      </w:r>
    </w:p>
    <w:p w14:paraId="3A2199EE" w14:textId="77777777" w:rsidR="00825C89" w:rsidRPr="00A42D9D" w:rsidRDefault="00825C89" w:rsidP="00825C89">
      <w:pPr>
        <w:spacing w:line="360" w:lineRule="auto"/>
        <w:jc w:val="center"/>
        <w:rPr>
          <w:rFonts w:cstheme="minorHAnsi"/>
          <w:sz w:val="24"/>
        </w:rPr>
      </w:pPr>
    </w:p>
    <w:p w14:paraId="361B0EBC" w14:textId="77777777" w:rsidR="00825C89" w:rsidRPr="00A42D9D" w:rsidRDefault="00825C89" w:rsidP="00825C89">
      <w:pPr>
        <w:spacing w:line="480" w:lineRule="auto"/>
        <w:jc w:val="both"/>
        <w:rPr>
          <w:rFonts w:cstheme="minorHAnsi"/>
          <w:b/>
          <w:sz w:val="24"/>
          <w:szCs w:val="24"/>
        </w:rPr>
      </w:pPr>
      <w:r w:rsidRPr="00A42D9D">
        <w:rPr>
          <w:rFonts w:cstheme="minorHAnsi"/>
          <w:b/>
          <w:sz w:val="24"/>
          <w:szCs w:val="24"/>
        </w:rPr>
        <w:lastRenderedPageBreak/>
        <w:t xml:space="preserve">Effects of HIIT on different aetiology ILD </w:t>
      </w:r>
    </w:p>
    <w:p w14:paraId="471122E1" w14:textId="77777777" w:rsidR="00825C89" w:rsidRDefault="00825C89" w:rsidP="00825C89">
      <w:pPr>
        <w:spacing w:line="480" w:lineRule="auto"/>
        <w:jc w:val="both"/>
        <w:rPr>
          <w:rFonts w:cstheme="minorHAnsi"/>
          <w:sz w:val="24"/>
          <w:szCs w:val="24"/>
        </w:rPr>
      </w:pPr>
      <w:r w:rsidRPr="00A42D9D">
        <w:rPr>
          <w:rFonts w:cstheme="minorHAnsi"/>
          <w:sz w:val="24"/>
          <w:szCs w:val="24"/>
        </w:rPr>
        <w:t>Our models included 3-way interactions between time, intervention (HIIT or MICT) and clinical group, to predict changes from baseline in the combined fibrosis (IPF and CHP group) and CTD-ILD groups. The patterns of change are consistent with the primary analysis – i.e. that whilst the HIIT group peaked faster than the MICT group, the level of improvement was less (</w:t>
      </w:r>
      <w:r>
        <w:rPr>
          <w:rFonts w:cstheme="minorHAnsi"/>
          <w:sz w:val="24"/>
          <w:szCs w:val="24"/>
        </w:rPr>
        <w:t xml:space="preserve">Supplementary </w:t>
      </w:r>
      <w:r w:rsidRPr="00A42D9D">
        <w:rPr>
          <w:rFonts w:cstheme="minorHAnsi"/>
          <w:sz w:val="24"/>
          <w:szCs w:val="24"/>
        </w:rPr>
        <w:t xml:space="preserve">Tables </w:t>
      </w:r>
      <w:r>
        <w:rPr>
          <w:rFonts w:cstheme="minorHAnsi"/>
          <w:sz w:val="24"/>
          <w:szCs w:val="24"/>
        </w:rPr>
        <w:t xml:space="preserve">1 and 2 and Supplementary </w:t>
      </w:r>
      <w:r w:rsidRPr="00A42D9D">
        <w:rPr>
          <w:rFonts w:cstheme="minorHAnsi"/>
          <w:sz w:val="24"/>
          <w:szCs w:val="24"/>
        </w:rPr>
        <w:t xml:space="preserve">Figures </w:t>
      </w:r>
      <w:r>
        <w:rPr>
          <w:rFonts w:cstheme="minorHAnsi"/>
          <w:sz w:val="24"/>
          <w:szCs w:val="24"/>
        </w:rPr>
        <w:t>1-4</w:t>
      </w:r>
      <w:r w:rsidRPr="00A42D9D">
        <w:rPr>
          <w:rFonts w:cstheme="minorHAnsi"/>
          <w:sz w:val="24"/>
          <w:szCs w:val="24"/>
        </w:rPr>
        <w:t xml:space="preserve">). </w:t>
      </w:r>
    </w:p>
    <w:p w14:paraId="7773F0BF" w14:textId="77777777" w:rsidR="00825C89" w:rsidRPr="00651809" w:rsidRDefault="00825C89" w:rsidP="00825C89">
      <w:pPr>
        <w:spacing w:line="480" w:lineRule="auto"/>
        <w:jc w:val="both"/>
        <w:rPr>
          <w:rFonts w:cstheme="minorHAnsi"/>
          <w:b/>
          <w:sz w:val="24"/>
          <w:szCs w:val="28"/>
        </w:rPr>
      </w:pPr>
      <w:r w:rsidRPr="00651809">
        <w:rPr>
          <w:rFonts w:cstheme="minorHAnsi"/>
          <w:b/>
          <w:bCs/>
          <w:sz w:val="24"/>
          <w:szCs w:val="24"/>
        </w:rPr>
        <w:t xml:space="preserve">The effect of baseline DLCO on HIIT </w:t>
      </w:r>
    </w:p>
    <w:p w14:paraId="35E7B584" w14:textId="77777777" w:rsidR="00825C89" w:rsidRPr="00D47C29" w:rsidRDefault="00825C89" w:rsidP="00825C89">
      <w:pPr>
        <w:spacing w:line="480" w:lineRule="auto"/>
        <w:jc w:val="both"/>
        <w:rPr>
          <w:rFonts w:cstheme="minorHAnsi"/>
          <w:bCs/>
          <w:sz w:val="28"/>
          <w:szCs w:val="28"/>
        </w:rPr>
      </w:pPr>
      <w:r w:rsidRPr="00D47C29">
        <w:rPr>
          <w:sz w:val="24"/>
          <w:szCs w:val="24"/>
        </w:rPr>
        <w:t>Despite stratified randomisation, DLCO seemed to differ between intervention groups. (Table 1). We therefore performed additional, post-hoc analyses to examine its possible effect on outcomes. Based on these data, there was no evidence to suggest that DLCO further explained differences in the outcomes after accounting for time, age at the recruitment, intervention and clinical groups and their interactions (see Supplementary file</w:t>
      </w:r>
      <w:r>
        <w:rPr>
          <w:sz w:val="24"/>
          <w:szCs w:val="24"/>
        </w:rPr>
        <w:t xml:space="preserve"> 3</w:t>
      </w:r>
      <w:r w:rsidRPr="00D47C29">
        <w:rPr>
          <w:sz w:val="24"/>
          <w:szCs w:val="24"/>
        </w:rPr>
        <w:t>).</w:t>
      </w:r>
    </w:p>
    <w:p w14:paraId="152B529C" w14:textId="77777777" w:rsidR="00825C89" w:rsidRDefault="00825C89" w:rsidP="00825C89">
      <w:pPr>
        <w:spacing w:line="480" w:lineRule="auto"/>
        <w:jc w:val="both"/>
        <w:rPr>
          <w:rFonts w:cstheme="minorHAnsi"/>
          <w:sz w:val="24"/>
          <w:szCs w:val="24"/>
        </w:rPr>
      </w:pPr>
    </w:p>
    <w:p w14:paraId="3A0CF35A" w14:textId="77777777" w:rsidR="00825C89" w:rsidRPr="00A42D9D" w:rsidRDefault="00825C89" w:rsidP="00825C89">
      <w:pPr>
        <w:spacing w:line="480" w:lineRule="auto"/>
        <w:jc w:val="both"/>
        <w:rPr>
          <w:rFonts w:cstheme="minorHAnsi"/>
          <w:sz w:val="24"/>
          <w:szCs w:val="24"/>
        </w:rPr>
      </w:pPr>
    </w:p>
    <w:p w14:paraId="1DE0A4E1" w14:textId="77777777" w:rsidR="00825C89" w:rsidRPr="00A42D9D" w:rsidRDefault="00825C89" w:rsidP="00825C89">
      <w:pPr>
        <w:spacing w:line="480" w:lineRule="auto"/>
        <w:jc w:val="both"/>
        <w:rPr>
          <w:rFonts w:cstheme="minorHAnsi"/>
          <w:b/>
          <w:sz w:val="28"/>
          <w:szCs w:val="24"/>
        </w:rPr>
      </w:pPr>
      <w:r w:rsidRPr="00A42D9D">
        <w:rPr>
          <w:rFonts w:cstheme="minorHAnsi"/>
          <w:b/>
          <w:sz w:val="28"/>
          <w:szCs w:val="24"/>
        </w:rPr>
        <w:t xml:space="preserve">Discussion </w:t>
      </w:r>
    </w:p>
    <w:p w14:paraId="4E2215C4"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 xml:space="preserve">To our knowledge, this is the first study to investigate the feasibility and potential efficacy of HIIT in the context of a circuit-based clinical PR programme for ILD and compare it with MICT. It demonstrated the feasibility of HIIT, in PR for ILD patients and provided preliminary data on the exercise mode more likely to maintain benefits 6 months after programme completion. In addition, we identified the time of peak benefit and time course of subsequent deterioration.  </w:t>
      </w:r>
    </w:p>
    <w:p w14:paraId="0CA9EBBB"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 xml:space="preserve">HIIT proved to be feasible and well tolerated but required closer supervision and careful instructions for patients to continue this mode of training than MICT. The attrition rate was higher in the HIIT group </w:t>
      </w:r>
      <w:r w:rsidRPr="00A42D9D">
        <w:rPr>
          <w:rFonts w:cstheme="minorHAnsi"/>
          <w:sz w:val="24"/>
          <w:szCs w:val="24"/>
        </w:rPr>
        <w:lastRenderedPageBreak/>
        <w:t xml:space="preserve">compared to the MICT group and more contact was needed in the 6-month period to ensure the HIIT mode of training met the protocol requirements.  </w:t>
      </w:r>
    </w:p>
    <w:p w14:paraId="6DC50B25" w14:textId="77777777" w:rsidR="00825C89" w:rsidRPr="00A42D9D" w:rsidRDefault="00825C89" w:rsidP="00825C89">
      <w:pPr>
        <w:spacing w:line="480" w:lineRule="auto"/>
        <w:rPr>
          <w:rFonts w:cstheme="minorHAnsi"/>
          <w:sz w:val="24"/>
          <w:szCs w:val="24"/>
        </w:rPr>
      </w:pPr>
      <w:r w:rsidRPr="00A42D9D">
        <w:rPr>
          <w:rFonts w:cstheme="minorHAnsi"/>
          <w:sz w:val="24"/>
          <w:szCs w:val="24"/>
        </w:rPr>
        <w:t xml:space="preserve">The preliminary efficacy of HIIT over MICT was tested using random effects models. Their aim was to understand the </w:t>
      </w:r>
      <w:r w:rsidRPr="00A42D9D">
        <w:rPr>
          <w:rFonts w:cstheme="minorHAnsi"/>
          <w:iCs/>
          <w:sz w:val="24"/>
          <w:szCs w:val="24"/>
        </w:rPr>
        <w:t>average</w:t>
      </w:r>
      <w:r w:rsidRPr="00A42D9D">
        <w:rPr>
          <w:rFonts w:cstheme="minorHAnsi"/>
          <w:sz w:val="24"/>
          <w:szCs w:val="24"/>
        </w:rPr>
        <w:t xml:space="preserve"> variation of the four key outcomes through time across groups to answer five main questions: a) How do these measurements change over time?; b) Does the benefit differ between groups?; c) How sustainable is the benefit? d) Does the attrition rate differ between groups? e) What is the influence of age? The study was primarily designed to compare the two treatment groups, but an exploratory analysis was performed to look for differences between clinical groups, although this resulted in small numbers in the subgroups. </w:t>
      </w:r>
    </w:p>
    <w:p w14:paraId="3B497CB5"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Contrary to our initial hypothesis, our data showed no evidence of greater benefit with HIIT compared to that achieved with MICT in exercise capacity, respiratory and peripheral muscle function or health status in the medium-term.  The study was designed as a pilot to test the potential for a trial of HIIT in a larger, definitive study, but we are forced to conclude that a study of the same design may not be worthwhile.</w:t>
      </w:r>
    </w:p>
    <w:p w14:paraId="0D4205BF"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At 2 months, both groups improved &gt; 34 meters in the 6MWD, which is the reported minimal clinical important difference (MCID) in IPF patients [</w:t>
      </w:r>
      <w:r>
        <w:rPr>
          <w:rFonts w:cstheme="minorHAnsi"/>
          <w:sz w:val="24"/>
          <w:szCs w:val="24"/>
        </w:rPr>
        <w:t>32</w:t>
      </w:r>
      <w:r w:rsidRPr="00A42D9D">
        <w:rPr>
          <w:rFonts w:cstheme="minorHAnsi"/>
          <w:sz w:val="24"/>
          <w:szCs w:val="24"/>
        </w:rPr>
        <w:t xml:space="preserve">, </w:t>
      </w:r>
      <w:r>
        <w:rPr>
          <w:rFonts w:cstheme="minorHAnsi"/>
          <w:sz w:val="24"/>
          <w:szCs w:val="24"/>
        </w:rPr>
        <w:t>36</w:t>
      </w:r>
      <w:r w:rsidRPr="00A42D9D">
        <w:rPr>
          <w:rFonts w:cstheme="minorHAnsi"/>
          <w:sz w:val="24"/>
          <w:szCs w:val="24"/>
        </w:rPr>
        <w:t xml:space="preserve">, </w:t>
      </w:r>
      <w:r>
        <w:rPr>
          <w:rFonts w:cstheme="minorHAnsi"/>
          <w:sz w:val="24"/>
          <w:szCs w:val="24"/>
        </w:rPr>
        <w:t>37</w:t>
      </w:r>
      <w:r w:rsidRPr="00A42D9D">
        <w:rPr>
          <w:rFonts w:cstheme="minorHAnsi"/>
          <w:sz w:val="24"/>
          <w:szCs w:val="24"/>
        </w:rPr>
        <w:t>], adding to existing evidence on the benefits of PR in ILD [</w:t>
      </w:r>
      <w:r>
        <w:rPr>
          <w:rFonts w:cstheme="minorHAnsi"/>
          <w:sz w:val="24"/>
          <w:szCs w:val="24"/>
        </w:rPr>
        <w:t>11</w:t>
      </w:r>
      <w:r w:rsidRPr="00A42D9D">
        <w:rPr>
          <w:rFonts w:cstheme="minorHAnsi"/>
          <w:sz w:val="24"/>
          <w:szCs w:val="24"/>
        </w:rPr>
        <w:t xml:space="preserve">, </w:t>
      </w:r>
      <w:r>
        <w:rPr>
          <w:rFonts w:cstheme="minorHAnsi"/>
          <w:sz w:val="24"/>
          <w:szCs w:val="24"/>
        </w:rPr>
        <w:t>32</w:t>
      </w:r>
      <w:r w:rsidRPr="00A42D9D">
        <w:rPr>
          <w:rFonts w:cstheme="minorHAnsi"/>
          <w:sz w:val="24"/>
          <w:szCs w:val="24"/>
        </w:rPr>
        <w:t>-</w:t>
      </w:r>
      <w:r>
        <w:rPr>
          <w:rFonts w:cstheme="minorHAnsi"/>
          <w:sz w:val="24"/>
          <w:szCs w:val="24"/>
        </w:rPr>
        <w:t>33</w:t>
      </w:r>
      <w:r w:rsidRPr="00A42D9D">
        <w:rPr>
          <w:rFonts w:cstheme="minorHAnsi"/>
          <w:sz w:val="24"/>
          <w:szCs w:val="24"/>
        </w:rPr>
        <w:t xml:space="preserve">, </w:t>
      </w:r>
      <w:r>
        <w:rPr>
          <w:rFonts w:cstheme="minorHAnsi"/>
          <w:sz w:val="24"/>
          <w:szCs w:val="24"/>
        </w:rPr>
        <w:t>38</w:t>
      </w:r>
      <w:r w:rsidRPr="00A42D9D">
        <w:rPr>
          <w:rFonts w:cstheme="minorHAnsi"/>
          <w:sz w:val="24"/>
          <w:szCs w:val="24"/>
        </w:rPr>
        <w:t>-</w:t>
      </w:r>
      <w:r>
        <w:rPr>
          <w:rFonts w:cstheme="minorHAnsi"/>
          <w:sz w:val="24"/>
          <w:szCs w:val="24"/>
        </w:rPr>
        <w:t>42</w:t>
      </w:r>
      <w:r w:rsidRPr="00A42D9D">
        <w:rPr>
          <w:rFonts w:cstheme="minorHAnsi"/>
          <w:sz w:val="24"/>
          <w:szCs w:val="24"/>
        </w:rPr>
        <w:t>]. However, although the 6MWD improved earlier in the HIIT group (peaking at 4 months instead of 5 months) differences from baseline were consistently lower and not as well maintained at 8 months compared with the MICT group. A similar pattern emerged when the effect of age was added to the model. Age is an important factor in indices associated with mortality risk in ILD [3, 4] and our results showed lower 6MWD with greater age. Despite this age effect, PR had a positive effect in all age groups regardless of baseline levels, contrary to previous studies reporting greater improvement in patients with lower baseline 6MWD [</w:t>
      </w:r>
      <w:r>
        <w:rPr>
          <w:rFonts w:cstheme="minorHAnsi"/>
          <w:sz w:val="24"/>
          <w:szCs w:val="24"/>
        </w:rPr>
        <w:t>11</w:t>
      </w:r>
      <w:r w:rsidRPr="00A42D9D">
        <w:rPr>
          <w:rFonts w:cstheme="minorHAnsi"/>
          <w:sz w:val="24"/>
          <w:szCs w:val="24"/>
        </w:rPr>
        <w:t xml:space="preserve">, </w:t>
      </w:r>
      <w:r>
        <w:rPr>
          <w:rFonts w:cstheme="minorHAnsi"/>
          <w:sz w:val="24"/>
          <w:szCs w:val="24"/>
        </w:rPr>
        <w:t>37</w:t>
      </w:r>
      <w:r w:rsidRPr="00A42D9D">
        <w:rPr>
          <w:rFonts w:cstheme="minorHAnsi"/>
          <w:sz w:val="24"/>
          <w:szCs w:val="24"/>
        </w:rPr>
        <w:t xml:space="preserve">, </w:t>
      </w:r>
      <w:r>
        <w:rPr>
          <w:rFonts w:cstheme="minorHAnsi"/>
          <w:sz w:val="24"/>
          <w:szCs w:val="24"/>
        </w:rPr>
        <w:t>41</w:t>
      </w:r>
      <w:r w:rsidRPr="00A42D9D">
        <w:rPr>
          <w:rFonts w:cstheme="minorHAnsi"/>
          <w:sz w:val="24"/>
          <w:szCs w:val="24"/>
        </w:rPr>
        <w:t xml:space="preserve">, </w:t>
      </w:r>
      <w:r>
        <w:rPr>
          <w:rFonts w:cstheme="minorHAnsi"/>
          <w:sz w:val="24"/>
          <w:szCs w:val="24"/>
        </w:rPr>
        <w:t>43</w:t>
      </w:r>
      <w:r w:rsidRPr="00A42D9D">
        <w:rPr>
          <w:rFonts w:cstheme="minorHAnsi"/>
          <w:sz w:val="24"/>
          <w:szCs w:val="24"/>
        </w:rPr>
        <w:t>]. However, HIIT did not offer additional or preferential benefits to any specific age group and tended to decline below baseline levels at 8 months in the older group. In contrast, the benefit seen in the older MICT group was maintained above baseline levels.</w:t>
      </w:r>
    </w:p>
    <w:p w14:paraId="38E329A2"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lastRenderedPageBreak/>
        <w:t>In addition to functional exercise capacity, patients improved quadriceps muscle strength post-PR but similarly, there was no difference between treatment groups. Age-adjusted results for quadriceps force were less variable than for 6MWD and benefits were well maintained above baseline in both groups.  The modelling suggested that quadriceps force peaked a little later than other outcomes at 5.5 months in the MICT group and at 5 months at the HIIT group. Our results support the inclusion of strength training in ILD-PR programmes and suggest that it may explain why some studies showed greater improvement and maintenance in functional capacity [</w:t>
      </w:r>
      <w:r>
        <w:rPr>
          <w:rFonts w:cstheme="minorHAnsi"/>
          <w:sz w:val="24"/>
          <w:szCs w:val="24"/>
        </w:rPr>
        <w:t>33</w:t>
      </w:r>
      <w:r w:rsidRPr="00A42D9D">
        <w:rPr>
          <w:rFonts w:cstheme="minorHAnsi"/>
          <w:sz w:val="24"/>
          <w:szCs w:val="24"/>
        </w:rPr>
        <w:t>] while others that focused on endurance training did not [</w:t>
      </w:r>
      <w:r>
        <w:rPr>
          <w:rFonts w:cstheme="minorHAnsi"/>
          <w:sz w:val="24"/>
          <w:szCs w:val="24"/>
        </w:rPr>
        <w:t>11</w:t>
      </w:r>
      <w:r w:rsidRPr="00A42D9D">
        <w:rPr>
          <w:rFonts w:cstheme="minorHAnsi"/>
          <w:sz w:val="24"/>
          <w:szCs w:val="24"/>
        </w:rPr>
        <w:t>].  The time course of peak improvement and subsequent decline in quadriceps strength did not follow the pattern seen with 6MWD, in either group. Quadriceps strength has been shown to deteriorate in line with ageing and severity in other chronic respiratory disorders [</w:t>
      </w:r>
      <w:r>
        <w:rPr>
          <w:rFonts w:cstheme="minorHAnsi"/>
          <w:sz w:val="24"/>
          <w:szCs w:val="24"/>
        </w:rPr>
        <w:t>44</w:t>
      </w:r>
      <w:r w:rsidRPr="00A42D9D">
        <w:rPr>
          <w:rFonts w:cstheme="minorHAnsi"/>
          <w:sz w:val="24"/>
          <w:szCs w:val="24"/>
        </w:rPr>
        <w:t>] and has been identified as an important predictor of mortality in COPD [</w:t>
      </w:r>
      <w:r>
        <w:rPr>
          <w:rFonts w:cstheme="minorHAnsi"/>
          <w:sz w:val="24"/>
          <w:szCs w:val="24"/>
        </w:rPr>
        <w:t>45</w:t>
      </w:r>
      <w:r w:rsidRPr="00A42D9D">
        <w:rPr>
          <w:rFonts w:cstheme="minorHAnsi"/>
          <w:sz w:val="24"/>
          <w:szCs w:val="24"/>
        </w:rPr>
        <w:t>]. Skeletal muscle atrophy has also been identified in advanced ILD [</w:t>
      </w:r>
      <w:r>
        <w:rPr>
          <w:rFonts w:cstheme="minorHAnsi"/>
          <w:sz w:val="24"/>
          <w:szCs w:val="24"/>
        </w:rPr>
        <w:t>46</w:t>
      </w:r>
      <w:r w:rsidRPr="00A42D9D">
        <w:rPr>
          <w:rFonts w:cstheme="minorHAnsi"/>
          <w:sz w:val="24"/>
          <w:szCs w:val="24"/>
        </w:rPr>
        <w:t>].  Our ILD g</w:t>
      </w:r>
      <w:r>
        <w:rPr>
          <w:rFonts w:cstheme="minorHAnsi"/>
          <w:sz w:val="24"/>
          <w:szCs w:val="24"/>
        </w:rPr>
        <w:t>roup, which included people</w:t>
      </w:r>
      <w:r w:rsidRPr="00A42D9D">
        <w:rPr>
          <w:rFonts w:cstheme="minorHAnsi"/>
          <w:sz w:val="24"/>
          <w:szCs w:val="24"/>
        </w:rPr>
        <w:t xml:space="preserve"> in advanced stage (as defined by the ILD-GAP score &gt; 5, Table 1) showed improvement in mean quadriceps force post-PR in both groups and across all age groups. We found no evidence that older individuals benefited more from PR. </w:t>
      </w:r>
    </w:p>
    <w:p w14:paraId="7DC0FCFF"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Respiratory muscle strength was preserved at baseline (mean SNIP, MIP and MEP &gt; 70 cmH</w:t>
      </w:r>
      <w:r w:rsidRPr="00A42D9D">
        <w:rPr>
          <w:rFonts w:cstheme="minorHAnsi"/>
          <w:sz w:val="20"/>
          <w:szCs w:val="24"/>
        </w:rPr>
        <w:t>2</w:t>
      </w:r>
      <w:r w:rsidRPr="00A42D9D">
        <w:rPr>
          <w:rFonts w:cstheme="minorHAnsi"/>
          <w:sz w:val="24"/>
          <w:szCs w:val="24"/>
        </w:rPr>
        <w:t>O in both groups) as previous described [</w:t>
      </w:r>
      <w:r>
        <w:rPr>
          <w:rFonts w:cstheme="minorHAnsi"/>
          <w:sz w:val="24"/>
          <w:szCs w:val="24"/>
        </w:rPr>
        <w:t>47</w:t>
      </w:r>
      <w:r w:rsidRPr="00A42D9D">
        <w:rPr>
          <w:rFonts w:cstheme="minorHAnsi"/>
          <w:sz w:val="24"/>
          <w:szCs w:val="24"/>
        </w:rPr>
        <w:t xml:space="preserve">, </w:t>
      </w:r>
      <w:r>
        <w:rPr>
          <w:rFonts w:cstheme="minorHAnsi"/>
          <w:sz w:val="24"/>
          <w:szCs w:val="24"/>
        </w:rPr>
        <w:t>48</w:t>
      </w:r>
      <w:r w:rsidRPr="00A42D9D">
        <w:rPr>
          <w:rFonts w:cstheme="minorHAnsi"/>
          <w:sz w:val="24"/>
          <w:szCs w:val="24"/>
        </w:rPr>
        <w:t>] and improved post-PR in both groups even though there was no inclusion of specific inspiratory muscle training in our programme. In addition, the SNIP followed a similar pattern over time to 6MWD and peaked approximately two weeks earlier than the 6MWD in both the HIIT and MICT group. Although there was no additional benefit with HIIT, our results suggest that SNIP may be more useful in monitoring changes following PR than quadriceps force in ILD patients. In support of this conclusion, Mendoza and colleagues [</w:t>
      </w:r>
      <w:r>
        <w:rPr>
          <w:rFonts w:cstheme="minorHAnsi"/>
          <w:sz w:val="24"/>
          <w:szCs w:val="24"/>
        </w:rPr>
        <w:t>47</w:t>
      </w:r>
      <w:r w:rsidRPr="00A42D9D">
        <w:rPr>
          <w:rFonts w:cstheme="minorHAnsi"/>
          <w:sz w:val="24"/>
          <w:szCs w:val="24"/>
        </w:rPr>
        <w:t xml:space="preserve">] showed that inspiratory muscle strength correlated better with 6MWD than quadriceps twitch force in patients with fibrotic idiopathic interstitial pneumonia. Although our ILD group was more mixed and included CTD-ILD patients, our results confirm that respiratory muscle strength appears preserved in ILD and that inspiratory muscle strength correlates well with the 6MWD. Our </w:t>
      </w:r>
      <w:r w:rsidRPr="00A42D9D">
        <w:rPr>
          <w:rFonts w:cstheme="minorHAnsi"/>
          <w:sz w:val="24"/>
          <w:szCs w:val="24"/>
        </w:rPr>
        <w:lastRenderedPageBreak/>
        <w:t>study is the first to show that inspiratory muscle strength changes in tandem with the 6MWD following PR, regardless of the chosen mode of training.</w:t>
      </w:r>
    </w:p>
    <w:p w14:paraId="6FB6B7F9"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Health status, as defined by the SGRQ-I and HAD scale improved post-PR and was maintained at 8 months, but again, there was no evidence of superiority of HIIT over the MICT group (Table 1- online supplement).</w:t>
      </w:r>
    </w:p>
    <w:p w14:paraId="4FBCB6AE" w14:textId="77777777" w:rsidR="00825C89" w:rsidRPr="00A42D9D" w:rsidRDefault="00825C89" w:rsidP="00825C89">
      <w:pPr>
        <w:spacing w:line="480" w:lineRule="auto"/>
        <w:jc w:val="both"/>
        <w:rPr>
          <w:rFonts w:cstheme="minorHAnsi"/>
          <w:i/>
          <w:sz w:val="24"/>
          <w:szCs w:val="24"/>
        </w:rPr>
      </w:pPr>
      <w:r w:rsidRPr="00A42D9D">
        <w:rPr>
          <w:rFonts w:cstheme="minorHAnsi"/>
          <w:i/>
          <w:sz w:val="24"/>
          <w:szCs w:val="24"/>
        </w:rPr>
        <w:t xml:space="preserve">Effects of HIIT on different aetiology ILD </w:t>
      </w:r>
    </w:p>
    <w:p w14:paraId="15B9085B"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Random effect models were also created based on ILD type (clinical subgroups). We combined the IPF and CHP subgroups into the combined ‘Fibrosis’ clinical group. This was due to</w:t>
      </w:r>
      <w:r>
        <w:rPr>
          <w:rFonts w:cstheme="minorHAnsi"/>
          <w:sz w:val="24"/>
          <w:szCs w:val="24"/>
        </w:rPr>
        <w:t xml:space="preserve"> smaller numbers of IPF participants</w:t>
      </w:r>
      <w:r w:rsidRPr="00A42D9D">
        <w:rPr>
          <w:rFonts w:cstheme="minorHAnsi"/>
          <w:sz w:val="24"/>
          <w:szCs w:val="24"/>
        </w:rPr>
        <w:t xml:space="preserve"> at the end of the study which did not allow for independent evaluation of this subgroup. </w:t>
      </w:r>
    </w:p>
    <w:p w14:paraId="7682480C"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 xml:space="preserve">The effects of HIIT on ILD of different aetiology were consistent with our primary analysis, i.e. that HIIT peaked faster and the level of improvement was less. This result seemed to be largely attributable to the fibrosis group, which peaked fastest but showed the lowest improvement from baseline compared to the CTD-ILD group. Similar findings were observed for the other outcomes, again showing lack of preferential benefit from HIIT in any subgroup. Whilst the CTD-ILD subgroup improved in most variables, the HIIT mode was not superior to MICT. </w:t>
      </w:r>
    </w:p>
    <w:p w14:paraId="7F12EF03" w14:textId="77777777" w:rsidR="00825C89" w:rsidRPr="00A42D9D" w:rsidRDefault="00825C89" w:rsidP="00825C89">
      <w:pPr>
        <w:spacing w:line="480" w:lineRule="auto"/>
        <w:jc w:val="both"/>
        <w:rPr>
          <w:rFonts w:cstheme="minorHAnsi"/>
          <w:sz w:val="24"/>
          <w:szCs w:val="24"/>
        </w:rPr>
      </w:pPr>
      <w:r w:rsidRPr="00A42D9D">
        <w:rPr>
          <w:rFonts w:cstheme="minorHAnsi"/>
          <w:i/>
          <w:sz w:val="24"/>
          <w:szCs w:val="24"/>
        </w:rPr>
        <w:t>Limitations</w:t>
      </w:r>
    </w:p>
    <w:p w14:paraId="146853A2"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 xml:space="preserve">The study has limitations. </w:t>
      </w:r>
      <w:r w:rsidRPr="002E2B6A">
        <w:rPr>
          <w:rFonts w:cstheme="minorHAnsi"/>
          <w:sz w:val="24"/>
          <w:szCs w:val="24"/>
        </w:rPr>
        <w:t>First, although our retrospective analysis showed no evidence that baseline DLCO had an effect on outcomes following our training programme (Supplementary file</w:t>
      </w:r>
      <w:r>
        <w:rPr>
          <w:rFonts w:cstheme="minorHAnsi"/>
          <w:sz w:val="24"/>
          <w:szCs w:val="24"/>
        </w:rPr>
        <w:t xml:space="preserve"> 3</w:t>
      </w:r>
      <w:r w:rsidRPr="002E2B6A">
        <w:rPr>
          <w:rFonts w:cstheme="minorHAnsi"/>
          <w:sz w:val="24"/>
          <w:szCs w:val="24"/>
        </w:rPr>
        <w:t xml:space="preserve">), the effect may have been concealed by the size of this pilot study. </w:t>
      </w:r>
      <w:r>
        <w:rPr>
          <w:rFonts w:cstheme="minorHAnsi"/>
          <w:sz w:val="24"/>
          <w:szCs w:val="24"/>
        </w:rPr>
        <w:t xml:space="preserve">Imbalance in randomisation can happen by chance in clinical trial settings, particularly in pilot/feasibility studies [49]. </w:t>
      </w:r>
      <w:r w:rsidRPr="002E2B6A">
        <w:rPr>
          <w:rFonts w:cstheme="minorHAnsi"/>
          <w:sz w:val="24"/>
          <w:szCs w:val="24"/>
        </w:rPr>
        <w:t>However, DLCO did not affect PR benefits in a previous study [</w:t>
      </w:r>
      <w:r>
        <w:rPr>
          <w:rFonts w:cstheme="minorHAnsi"/>
          <w:sz w:val="24"/>
          <w:szCs w:val="24"/>
        </w:rPr>
        <w:t>50</w:t>
      </w:r>
      <w:r w:rsidRPr="002E2B6A">
        <w:rPr>
          <w:rFonts w:cstheme="minorHAnsi"/>
          <w:sz w:val="24"/>
          <w:szCs w:val="24"/>
        </w:rPr>
        <w:t>], but future definitive studies may need to consider controlling this factor at randomisation.</w:t>
      </w:r>
    </w:p>
    <w:p w14:paraId="015D25FA" w14:textId="77777777" w:rsidR="00825C89" w:rsidRDefault="00825C89" w:rsidP="00825C89">
      <w:pPr>
        <w:spacing w:line="480" w:lineRule="auto"/>
        <w:jc w:val="both"/>
        <w:rPr>
          <w:rFonts w:cstheme="minorHAnsi"/>
          <w:sz w:val="24"/>
          <w:szCs w:val="24"/>
        </w:rPr>
      </w:pPr>
      <w:r>
        <w:rPr>
          <w:rFonts w:cstheme="minorHAnsi"/>
          <w:sz w:val="24"/>
          <w:szCs w:val="24"/>
        </w:rPr>
        <w:t>Second, w</w:t>
      </w:r>
      <w:r w:rsidRPr="00A42D9D">
        <w:rPr>
          <w:rFonts w:cstheme="minorHAnsi"/>
          <w:sz w:val="24"/>
          <w:szCs w:val="24"/>
        </w:rPr>
        <w:t>e did not use supplementa</w:t>
      </w:r>
      <w:r>
        <w:rPr>
          <w:rFonts w:cstheme="minorHAnsi"/>
          <w:sz w:val="24"/>
          <w:szCs w:val="24"/>
        </w:rPr>
        <w:t>ry oxygen during PR for participants</w:t>
      </w:r>
      <w:r w:rsidRPr="00A42D9D">
        <w:rPr>
          <w:rFonts w:cstheme="minorHAnsi"/>
          <w:sz w:val="24"/>
          <w:szCs w:val="24"/>
        </w:rPr>
        <w:t xml:space="preserve"> other than for those already on long term oxygen therapy (LTOT). Although promising benefits have been reported with acute oxygen </w:t>
      </w:r>
      <w:r w:rsidRPr="00A42D9D">
        <w:rPr>
          <w:rFonts w:cstheme="minorHAnsi"/>
          <w:sz w:val="24"/>
          <w:szCs w:val="24"/>
        </w:rPr>
        <w:lastRenderedPageBreak/>
        <w:t>supplementation during exercise in IPF patients [</w:t>
      </w:r>
      <w:r>
        <w:rPr>
          <w:rFonts w:cstheme="minorHAnsi"/>
          <w:sz w:val="24"/>
          <w:szCs w:val="24"/>
        </w:rPr>
        <w:t>51</w:t>
      </w:r>
      <w:r w:rsidRPr="00A42D9D">
        <w:rPr>
          <w:rFonts w:cstheme="minorHAnsi"/>
          <w:sz w:val="24"/>
          <w:szCs w:val="24"/>
        </w:rPr>
        <w:t>], there is still insufficient evidence about medium to long-term benefits in ILD patients [</w:t>
      </w:r>
      <w:r>
        <w:rPr>
          <w:rFonts w:cstheme="minorHAnsi"/>
          <w:sz w:val="24"/>
          <w:szCs w:val="24"/>
        </w:rPr>
        <w:t>34</w:t>
      </w:r>
      <w:r w:rsidRPr="00A42D9D">
        <w:rPr>
          <w:rFonts w:cstheme="minorHAnsi"/>
          <w:sz w:val="24"/>
          <w:szCs w:val="24"/>
        </w:rPr>
        <w:t>] For our study, we felt it</w:t>
      </w:r>
      <w:r>
        <w:rPr>
          <w:rFonts w:cstheme="minorHAnsi"/>
          <w:sz w:val="24"/>
          <w:szCs w:val="24"/>
        </w:rPr>
        <w:t xml:space="preserve"> was important to train participants</w:t>
      </w:r>
      <w:r w:rsidRPr="00A42D9D">
        <w:rPr>
          <w:rFonts w:cstheme="minorHAnsi"/>
          <w:sz w:val="24"/>
          <w:szCs w:val="24"/>
        </w:rPr>
        <w:t xml:space="preserve"> to recognise the time it took before desaturation occurred, so that they were able to continue that pattern of training and monitor themselves when uns</w:t>
      </w:r>
      <w:r>
        <w:rPr>
          <w:rFonts w:cstheme="minorHAnsi"/>
          <w:sz w:val="24"/>
          <w:szCs w:val="24"/>
        </w:rPr>
        <w:t>upervised in community. Participants</w:t>
      </w:r>
      <w:r w:rsidRPr="00A42D9D">
        <w:rPr>
          <w:rFonts w:cstheme="minorHAnsi"/>
          <w:sz w:val="24"/>
          <w:szCs w:val="24"/>
        </w:rPr>
        <w:t xml:space="preserve"> already on LTOT continued to exercise with oxygen. How</w:t>
      </w:r>
      <w:r>
        <w:rPr>
          <w:rFonts w:cstheme="minorHAnsi"/>
          <w:sz w:val="24"/>
          <w:szCs w:val="24"/>
        </w:rPr>
        <w:t>ever, none of the three participants</w:t>
      </w:r>
      <w:r w:rsidRPr="00A42D9D">
        <w:rPr>
          <w:rFonts w:cstheme="minorHAnsi"/>
          <w:sz w:val="24"/>
          <w:szCs w:val="24"/>
        </w:rPr>
        <w:t xml:space="preserve"> on LTOT finished PR, regardless of group allocation, supporting previous reports that PR may not be appropriate for them [</w:t>
      </w:r>
      <w:r>
        <w:rPr>
          <w:rFonts w:cstheme="minorHAnsi"/>
          <w:sz w:val="24"/>
          <w:szCs w:val="24"/>
        </w:rPr>
        <w:t>52</w:t>
      </w:r>
      <w:r w:rsidRPr="00A42D9D">
        <w:rPr>
          <w:rFonts w:cstheme="minorHAnsi"/>
          <w:sz w:val="24"/>
          <w:szCs w:val="24"/>
        </w:rPr>
        <w:t xml:space="preserve">]. Future studies need to explore different models of training for </w:t>
      </w:r>
      <w:r>
        <w:rPr>
          <w:rFonts w:cstheme="minorHAnsi"/>
          <w:sz w:val="24"/>
          <w:szCs w:val="24"/>
        </w:rPr>
        <w:t>these cases,</w:t>
      </w:r>
      <w:r w:rsidRPr="00A42D9D">
        <w:rPr>
          <w:rFonts w:cstheme="minorHAnsi"/>
          <w:sz w:val="24"/>
          <w:szCs w:val="24"/>
        </w:rPr>
        <w:t xml:space="preserve"> such as home-based programmes. </w:t>
      </w:r>
    </w:p>
    <w:p w14:paraId="6D869D2B" w14:textId="77777777" w:rsidR="00825C89" w:rsidRPr="00A42D9D" w:rsidRDefault="00825C89" w:rsidP="00825C89">
      <w:pPr>
        <w:spacing w:line="480" w:lineRule="auto"/>
        <w:jc w:val="both"/>
        <w:rPr>
          <w:rFonts w:cstheme="minorHAnsi"/>
          <w:sz w:val="24"/>
          <w:szCs w:val="24"/>
        </w:rPr>
      </w:pPr>
      <w:r w:rsidRPr="00D47C29">
        <w:rPr>
          <w:rFonts w:cstheme="minorHAnsi"/>
          <w:sz w:val="24"/>
          <w:szCs w:val="24"/>
        </w:rPr>
        <w:t>Finally,</w:t>
      </w:r>
      <w:r w:rsidRPr="00F56F82">
        <w:rPr>
          <w:rFonts w:cstheme="minorHAnsi"/>
          <w:sz w:val="24"/>
          <w:szCs w:val="24"/>
        </w:rPr>
        <w:t xml:space="preserve"> the number of IPF participants who remained in the study was small and did not allow us to</w:t>
      </w:r>
      <w:r w:rsidRPr="00A42D9D">
        <w:rPr>
          <w:rFonts w:cstheme="minorHAnsi"/>
          <w:sz w:val="24"/>
          <w:szCs w:val="24"/>
        </w:rPr>
        <w:t xml:space="preserve"> investigate the effect of HIIT over time in this particular group.</w:t>
      </w:r>
    </w:p>
    <w:p w14:paraId="6048610C" w14:textId="77777777" w:rsidR="00825C89" w:rsidRPr="00A42D9D" w:rsidRDefault="00825C89" w:rsidP="00825C89">
      <w:pPr>
        <w:spacing w:line="480" w:lineRule="auto"/>
        <w:jc w:val="both"/>
        <w:rPr>
          <w:rFonts w:cstheme="minorHAnsi"/>
          <w:i/>
          <w:sz w:val="24"/>
          <w:szCs w:val="24"/>
        </w:rPr>
      </w:pPr>
      <w:r w:rsidRPr="00A42D9D">
        <w:rPr>
          <w:rFonts w:cstheme="minorHAnsi"/>
          <w:i/>
          <w:sz w:val="24"/>
          <w:szCs w:val="24"/>
        </w:rPr>
        <w:t>Implications for future definitive studies</w:t>
      </w:r>
    </w:p>
    <w:p w14:paraId="53BFFA6D" w14:textId="77777777" w:rsidR="00825C89" w:rsidRPr="00A42D9D" w:rsidRDefault="00825C89" w:rsidP="00825C89">
      <w:pPr>
        <w:spacing w:line="480" w:lineRule="auto"/>
        <w:jc w:val="both"/>
        <w:rPr>
          <w:rFonts w:cstheme="minorHAnsi"/>
          <w:sz w:val="24"/>
          <w:szCs w:val="24"/>
        </w:rPr>
      </w:pPr>
      <w:r w:rsidRPr="00A42D9D">
        <w:rPr>
          <w:rFonts w:cstheme="minorHAnsi"/>
          <w:sz w:val="24"/>
          <w:szCs w:val="24"/>
        </w:rPr>
        <w:t>This pilot, enabled us to explore the effect of mode of training on an ILD-PR programme of 8-weeks duration followed by community-based training for 6 months. Our programme duration reflects current UK-based clinical programmes and showed improvements that were maintained at 8 months and were similar to a recent study of a much longer PR programme duration [</w:t>
      </w:r>
      <w:r>
        <w:rPr>
          <w:rFonts w:cstheme="minorHAnsi"/>
          <w:sz w:val="24"/>
          <w:szCs w:val="24"/>
        </w:rPr>
        <w:t>33</w:t>
      </w:r>
      <w:r w:rsidRPr="00A42D9D">
        <w:rPr>
          <w:rFonts w:cstheme="minorHAnsi"/>
          <w:sz w:val="24"/>
          <w:szCs w:val="24"/>
        </w:rPr>
        <w:t>]. Although we conclude that there is no evidence to support the use of HIIT in a future definitive study of similar design to this pilot, our results suggest that HIIT may have a role when quicker improvements are required, such as in pre-operative rehabilitation for ILD and that HIIT is feasible to be investigated further in a larger, definitive study of different design. Our results also provide valuable information on the time point where 6MWD and other variables start to deteriorate post-PR and therefore, an estimate of time when additional PR support may be needed, thus optimising PR provision for ILD patients.</w:t>
      </w:r>
    </w:p>
    <w:p w14:paraId="06F7051D" w14:textId="77777777" w:rsidR="00825C89" w:rsidRPr="00A42D9D" w:rsidRDefault="00825C89" w:rsidP="00825C89">
      <w:pPr>
        <w:spacing w:line="480" w:lineRule="auto"/>
        <w:jc w:val="both"/>
        <w:rPr>
          <w:rFonts w:cstheme="minorHAnsi"/>
          <w:sz w:val="24"/>
          <w:szCs w:val="24"/>
        </w:rPr>
      </w:pPr>
    </w:p>
    <w:p w14:paraId="4D8BD106" w14:textId="77777777" w:rsidR="00825C89" w:rsidRPr="00A42D9D" w:rsidRDefault="00825C89" w:rsidP="00825C89">
      <w:pPr>
        <w:spacing w:line="480" w:lineRule="auto"/>
        <w:jc w:val="both"/>
        <w:rPr>
          <w:rFonts w:cstheme="minorHAnsi"/>
          <w:b/>
          <w:sz w:val="24"/>
          <w:szCs w:val="24"/>
        </w:rPr>
      </w:pPr>
      <w:r w:rsidRPr="00A42D9D">
        <w:rPr>
          <w:rFonts w:cstheme="minorHAnsi"/>
          <w:b/>
          <w:sz w:val="24"/>
          <w:szCs w:val="24"/>
        </w:rPr>
        <w:t>Conclusions</w:t>
      </w:r>
    </w:p>
    <w:p w14:paraId="07DEA275" w14:textId="77777777" w:rsidR="00825C89" w:rsidRPr="00A42D9D" w:rsidRDefault="00825C89" w:rsidP="00825C89">
      <w:pPr>
        <w:spacing w:line="480" w:lineRule="auto"/>
        <w:jc w:val="both"/>
        <w:rPr>
          <w:rFonts w:cstheme="minorHAnsi"/>
          <w:sz w:val="24"/>
          <w:szCs w:val="24"/>
        </w:rPr>
      </w:pPr>
      <w:r>
        <w:rPr>
          <w:rFonts w:cstheme="minorHAnsi"/>
          <w:sz w:val="24"/>
          <w:szCs w:val="24"/>
        </w:rPr>
        <w:lastRenderedPageBreak/>
        <w:t xml:space="preserve">In the current study, </w:t>
      </w:r>
      <w:r w:rsidRPr="00A42D9D">
        <w:rPr>
          <w:rFonts w:cstheme="minorHAnsi"/>
          <w:sz w:val="24"/>
          <w:szCs w:val="24"/>
        </w:rPr>
        <w:t xml:space="preserve">HIIT </w:t>
      </w:r>
      <w:r>
        <w:rPr>
          <w:rFonts w:cstheme="minorHAnsi"/>
          <w:sz w:val="24"/>
          <w:szCs w:val="24"/>
        </w:rPr>
        <w:t xml:space="preserve">was found to be </w:t>
      </w:r>
      <w:r w:rsidRPr="00A42D9D">
        <w:rPr>
          <w:rFonts w:cstheme="minorHAnsi"/>
          <w:sz w:val="24"/>
          <w:szCs w:val="24"/>
        </w:rPr>
        <w:t>feasible and improve</w:t>
      </w:r>
      <w:r>
        <w:rPr>
          <w:rFonts w:cstheme="minorHAnsi"/>
          <w:sz w:val="24"/>
          <w:szCs w:val="24"/>
        </w:rPr>
        <w:t>d</w:t>
      </w:r>
      <w:r w:rsidRPr="00A42D9D">
        <w:rPr>
          <w:rFonts w:cstheme="minorHAnsi"/>
          <w:sz w:val="24"/>
          <w:szCs w:val="24"/>
        </w:rPr>
        <w:t xml:space="preserve"> exercise capacity </w:t>
      </w:r>
      <w:r>
        <w:rPr>
          <w:rFonts w:cstheme="minorHAnsi"/>
          <w:sz w:val="24"/>
          <w:szCs w:val="24"/>
        </w:rPr>
        <w:t xml:space="preserve">in an ILD-PR programme, </w:t>
      </w:r>
      <w:r w:rsidRPr="00A42D9D">
        <w:rPr>
          <w:rFonts w:cstheme="minorHAnsi"/>
          <w:sz w:val="24"/>
          <w:szCs w:val="24"/>
        </w:rPr>
        <w:t xml:space="preserve">but this exercise modality showed no evidence of superiority over </w:t>
      </w:r>
      <w:proofErr w:type="spellStart"/>
      <w:r w:rsidRPr="00A42D9D">
        <w:rPr>
          <w:rFonts w:cstheme="minorHAnsi"/>
          <w:sz w:val="24"/>
          <w:szCs w:val="24"/>
        </w:rPr>
        <w:t>MICT</w:t>
      </w:r>
      <w:r>
        <w:rPr>
          <w:rFonts w:cstheme="minorHAnsi"/>
          <w:sz w:val="24"/>
          <w:szCs w:val="24"/>
        </w:rPr>
        <w:t>.</w:t>
      </w:r>
      <w:r w:rsidRPr="00A42D9D">
        <w:rPr>
          <w:rFonts w:cstheme="minorHAnsi"/>
          <w:sz w:val="24"/>
          <w:szCs w:val="24"/>
        </w:rPr>
        <w:t>Indeed</w:t>
      </w:r>
      <w:proofErr w:type="spellEnd"/>
      <w:r w:rsidRPr="00A42D9D">
        <w:rPr>
          <w:rFonts w:cstheme="minorHAnsi"/>
          <w:sz w:val="24"/>
          <w:szCs w:val="24"/>
        </w:rPr>
        <w:t xml:space="preserve">, our findings suggest that it may be less effective and may require closer monitoring to avoid exercise-induced desaturation so, until further evidence becomes available, MICT appears to be more appropriate in the general clinical setting.  </w:t>
      </w:r>
    </w:p>
    <w:p w14:paraId="030B1CBA" w14:textId="77777777" w:rsidR="00825C89" w:rsidRDefault="00825C89" w:rsidP="00825C89">
      <w:pPr>
        <w:spacing w:line="360" w:lineRule="auto"/>
        <w:jc w:val="both"/>
        <w:rPr>
          <w:rFonts w:cstheme="minorHAnsi"/>
          <w:b/>
          <w:sz w:val="24"/>
          <w:szCs w:val="24"/>
        </w:rPr>
      </w:pPr>
    </w:p>
    <w:p w14:paraId="5C59C437" w14:textId="77777777" w:rsidR="00825C89" w:rsidRPr="00A42D9D" w:rsidRDefault="00825C89" w:rsidP="00825C89">
      <w:pPr>
        <w:spacing w:line="360" w:lineRule="auto"/>
        <w:jc w:val="both"/>
        <w:rPr>
          <w:rFonts w:cstheme="minorHAnsi"/>
          <w:b/>
          <w:i/>
          <w:sz w:val="24"/>
          <w:szCs w:val="24"/>
        </w:rPr>
      </w:pPr>
      <w:r w:rsidRPr="00A42D9D">
        <w:rPr>
          <w:rFonts w:cstheme="minorHAnsi"/>
          <w:b/>
          <w:i/>
          <w:sz w:val="24"/>
          <w:szCs w:val="24"/>
        </w:rPr>
        <w:t xml:space="preserve">Author Contributions: </w:t>
      </w:r>
      <w:r w:rsidRPr="00A42D9D">
        <w:rPr>
          <w:rFonts w:eastAsia="TimesNewRoman" w:cstheme="minorHAnsi"/>
          <w:sz w:val="24"/>
          <w:szCs w:val="24"/>
        </w:rPr>
        <w:t xml:space="preserve">Concept and Design of Study: DN, PJ, FC, RA, IC-S; Acquisition of Data: DN, CL, </w:t>
      </w:r>
      <w:proofErr w:type="spellStart"/>
      <w:r w:rsidRPr="00A42D9D">
        <w:rPr>
          <w:rFonts w:eastAsia="TimesNewRoman" w:cstheme="minorHAnsi"/>
          <w:sz w:val="24"/>
          <w:szCs w:val="24"/>
        </w:rPr>
        <w:t>IMcN</w:t>
      </w:r>
      <w:proofErr w:type="spellEnd"/>
      <w:r w:rsidRPr="00A42D9D">
        <w:rPr>
          <w:rFonts w:eastAsia="TimesNewRoman" w:cstheme="minorHAnsi"/>
          <w:sz w:val="24"/>
          <w:szCs w:val="24"/>
        </w:rPr>
        <w:t xml:space="preserve"> ; </w:t>
      </w:r>
      <w:r>
        <w:rPr>
          <w:rFonts w:eastAsia="TimesNewRoman" w:cstheme="minorHAnsi"/>
          <w:sz w:val="24"/>
          <w:szCs w:val="24"/>
        </w:rPr>
        <w:t xml:space="preserve">Statistical Analytical Strategy: ICS, </w:t>
      </w:r>
      <w:r w:rsidRPr="00A42D9D">
        <w:rPr>
          <w:rFonts w:eastAsia="TimesNewRoman" w:cstheme="minorHAnsi"/>
          <w:sz w:val="24"/>
          <w:szCs w:val="24"/>
        </w:rPr>
        <w:t>Analysis of Data: DN, IC-S; Drafting of Manuscript: DN, IC-S, PJ ; Revision of manuscript critically for important intellectual content: All authors; Approval of final manuscript: All authors</w:t>
      </w:r>
    </w:p>
    <w:p w14:paraId="7AC9581B" w14:textId="77777777" w:rsidR="00825C89" w:rsidRDefault="00825C89" w:rsidP="00825C89">
      <w:pPr>
        <w:jc w:val="both"/>
        <w:rPr>
          <w:rFonts w:cstheme="minorHAnsi"/>
          <w:sz w:val="24"/>
          <w:szCs w:val="24"/>
        </w:rPr>
      </w:pPr>
      <w:r w:rsidRPr="00A42D9D">
        <w:rPr>
          <w:rFonts w:cstheme="minorHAnsi"/>
          <w:b/>
          <w:i/>
          <w:sz w:val="24"/>
          <w:szCs w:val="24"/>
        </w:rPr>
        <w:t>Competing interests</w:t>
      </w:r>
      <w:r w:rsidRPr="00A42D9D">
        <w:rPr>
          <w:rFonts w:cstheme="minorHAnsi"/>
          <w:sz w:val="24"/>
          <w:szCs w:val="24"/>
        </w:rPr>
        <w:t xml:space="preserve">: </w:t>
      </w:r>
      <w:r>
        <w:rPr>
          <w:rFonts w:cstheme="minorHAnsi"/>
          <w:sz w:val="24"/>
          <w:szCs w:val="24"/>
        </w:rPr>
        <w:t>In the last 36 months:</w:t>
      </w:r>
    </w:p>
    <w:p w14:paraId="19460AC2" w14:textId="77777777" w:rsidR="00825C89" w:rsidRDefault="00825C89" w:rsidP="00825C89">
      <w:pPr>
        <w:jc w:val="both"/>
        <w:rPr>
          <w:rFonts w:cstheme="minorHAnsi"/>
          <w:sz w:val="24"/>
          <w:szCs w:val="24"/>
        </w:rPr>
      </w:pPr>
      <w:r>
        <w:rPr>
          <w:rFonts w:cstheme="minorHAnsi"/>
          <w:sz w:val="24"/>
          <w:szCs w:val="24"/>
        </w:rPr>
        <w:t>DN, IMN and CYL</w:t>
      </w:r>
      <w:r w:rsidRPr="00A42D9D">
        <w:rPr>
          <w:rFonts w:cstheme="minorHAnsi"/>
          <w:sz w:val="24"/>
          <w:szCs w:val="24"/>
        </w:rPr>
        <w:t xml:space="preserve"> </w:t>
      </w:r>
      <w:r>
        <w:rPr>
          <w:rFonts w:cstheme="minorHAnsi"/>
          <w:sz w:val="24"/>
          <w:szCs w:val="24"/>
        </w:rPr>
        <w:t>declare no financial interests.</w:t>
      </w:r>
    </w:p>
    <w:p w14:paraId="2F176D33" w14:textId="77777777" w:rsidR="00825C89" w:rsidRDefault="00825C89" w:rsidP="00825C89">
      <w:pPr>
        <w:jc w:val="both"/>
        <w:rPr>
          <w:rFonts w:cstheme="minorHAnsi"/>
          <w:sz w:val="24"/>
          <w:szCs w:val="24"/>
        </w:rPr>
      </w:pPr>
      <w:r>
        <w:rPr>
          <w:rFonts w:cstheme="minorHAnsi"/>
          <w:sz w:val="24"/>
          <w:szCs w:val="24"/>
        </w:rPr>
        <w:t>ICS- has had grants from NIHR, Astra-Zeneca and BHF and is a statistical expert for the Health Research Authority</w:t>
      </w:r>
    </w:p>
    <w:p w14:paraId="30C50443" w14:textId="77777777" w:rsidR="00825C89" w:rsidRDefault="00825C89" w:rsidP="00825C89">
      <w:pPr>
        <w:jc w:val="both"/>
        <w:rPr>
          <w:rFonts w:cstheme="minorHAnsi"/>
          <w:sz w:val="24"/>
          <w:szCs w:val="24"/>
        </w:rPr>
      </w:pPr>
      <w:r>
        <w:rPr>
          <w:rFonts w:cstheme="minorHAnsi"/>
          <w:sz w:val="24"/>
          <w:szCs w:val="24"/>
        </w:rPr>
        <w:t xml:space="preserve">FC- has received speaker fees and financial sponsorship for conducting meetings by Boehringer-Ingelheim and Roche </w:t>
      </w:r>
    </w:p>
    <w:p w14:paraId="114143CD" w14:textId="77777777" w:rsidR="00825C89" w:rsidRDefault="00825C89" w:rsidP="00825C89">
      <w:pPr>
        <w:jc w:val="both"/>
        <w:rPr>
          <w:rFonts w:cstheme="minorHAnsi"/>
          <w:sz w:val="24"/>
          <w:szCs w:val="24"/>
        </w:rPr>
      </w:pPr>
      <w:r>
        <w:rPr>
          <w:rFonts w:cstheme="minorHAnsi"/>
          <w:sz w:val="24"/>
          <w:szCs w:val="24"/>
        </w:rPr>
        <w:t>RA- has received lecture fees from Pfizer and Novartis</w:t>
      </w:r>
    </w:p>
    <w:p w14:paraId="0FD2D190" w14:textId="77777777" w:rsidR="00825C89" w:rsidRPr="002801E8" w:rsidRDefault="00825C89" w:rsidP="00825C89">
      <w:pPr>
        <w:jc w:val="both"/>
        <w:rPr>
          <w:rFonts w:cstheme="minorHAnsi"/>
          <w:sz w:val="24"/>
          <w:szCs w:val="24"/>
        </w:rPr>
      </w:pPr>
      <w:r>
        <w:rPr>
          <w:rFonts w:cstheme="minorHAnsi"/>
          <w:sz w:val="24"/>
          <w:szCs w:val="24"/>
        </w:rPr>
        <w:t>PJ- owns GlaxoSmithKline shares</w:t>
      </w:r>
    </w:p>
    <w:p w14:paraId="25BE3CBC" w14:textId="77777777" w:rsidR="00825C89" w:rsidRPr="00A42D9D" w:rsidRDefault="00825C89" w:rsidP="00825C89">
      <w:pPr>
        <w:jc w:val="both"/>
        <w:rPr>
          <w:rFonts w:cstheme="minorHAnsi"/>
          <w:sz w:val="24"/>
          <w:szCs w:val="24"/>
        </w:rPr>
      </w:pPr>
      <w:r w:rsidRPr="00A42D9D">
        <w:rPr>
          <w:rFonts w:cstheme="minorHAnsi"/>
          <w:b/>
          <w:i/>
          <w:sz w:val="24"/>
          <w:szCs w:val="24"/>
        </w:rPr>
        <w:t xml:space="preserve">Ethics </w:t>
      </w:r>
      <w:r>
        <w:rPr>
          <w:rFonts w:cstheme="minorHAnsi"/>
          <w:b/>
          <w:i/>
          <w:sz w:val="24"/>
          <w:szCs w:val="24"/>
        </w:rPr>
        <w:t>statement</w:t>
      </w:r>
      <w:r w:rsidRPr="00A42D9D">
        <w:rPr>
          <w:rFonts w:cstheme="minorHAnsi"/>
          <w:b/>
          <w:i/>
          <w:sz w:val="24"/>
          <w:szCs w:val="24"/>
        </w:rPr>
        <w:t>:</w:t>
      </w:r>
      <w:r w:rsidRPr="00A42D9D">
        <w:rPr>
          <w:rFonts w:cstheme="minorHAnsi"/>
          <w:sz w:val="24"/>
          <w:szCs w:val="24"/>
        </w:rPr>
        <w:t xml:space="preserve"> Ethical approval was secured through the South East Coast-Surrey NRES committee (REC reference: 14/LO/0149) on the 14</w:t>
      </w:r>
      <w:r w:rsidRPr="00A42D9D">
        <w:rPr>
          <w:rFonts w:cstheme="minorHAnsi"/>
          <w:sz w:val="24"/>
          <w:szCs w:val="24"/>
          <w:vertAlign w:val="superscript"/>
        </w:rPr>
        <w:t>th</w:t>
      </w:r>
      <w:r w:rsidRPr="00A42D9D">
        <w:rPr>
          <w:rFonts w:cstheme="minorHAnsi"/>
          <w:sz w:val="24"/>
          <w:szCs w:val="24"/>
        </w:rPr>
        <w:t xml:space="preserve"> February 2014.</w:t>
      </w:r>
    </w:p>
    <w:p w14:paraId="0E2CAD59" w14:textId="77777777" w:rsidR="00825C89" w:rsidRPr="00A42D9D" w:rsidRDefault="00825C89" w:rsidP="00825C89">
      <w:pPr>
        <w:jc w:val="both"/>
        <w:rPr>
          <w:rFonts w:cstheme="minorHAnsi"/>
          <w:sz w:val="24"/>
          <w:szCs w:val="24"/>
        </w:rPr>
      </w:pPr>
      <w:r w:rsidRPr="00A42D9D">
        <w:rPr>
          <w:rFonts w:cstheme="minorHAnsi"/>
          <w:b/>
          <w:i/>
          <w:sz w:val="24"/>
          <w:szCs w:val="24"/>
        </w:rPr>
        <w:t>Funding statement:</w:t>
      </w:r>
      <w:r w:rsidRPr="00A42D9D">
        <w:rPr>
          <w:rFonts w:cstheme="minorHAnsi"/>
          <w:sz w:val="24"/>
          <w:szCs w:val="24"/>
        </w:rPr>
        <w:t xml:space="preserve"> The study was funded by the National Institute for Health Research (NIHR) Research for Patient Benefit (RfPB) Programme (Grant Reference Number PB-PG-1112-29067). The views expressed are those of the authors and not necessarily those of the NHS, the NIHR or the Department of Health. </w:t>
      </w:r>
    </w:p>
    <w:p w14:paraId="6302F9E2" w14:textId="77777777" w:rsidR="00825C89" w:rsidRDefault="00825C89" w:rsidP="00825C89">
      <w:pPr>
        <w:jc w:val="both"/>
        <w:rPr>
          <w:rFonts w:cstheme="minorHAnsi"/>
          <w:b/>
          <w:i/>
          <w:sz w:val="24"/>
          <w:szCs w:val="24"/>
        </w:rPr>
      </w:pPr>
      <w:r>
        <w:rPr>
          <w:rFonts w:cstheme="minorHAnsi"/>
          <w:b/>
          <w:i/>
          <w:sz w:val="24"/>
          <w:szCs w:val="24"/>
        </w:rPr>
        <w:t xml:space="preserve">Study registration and timeline: </w:t>
      </w:r>
      <w:r w:rsidRPr="00A42D9D">
        <w:rPr>
          <w:rFonts w:cstheme="minorHAnsi"/>
          <w:sz w:val="24"/>
          <w:szCs w:val="24"/>
        </w:rPr>
        <w:t>The trial protocol was pre-registered with the ISRCTN registry (ISRCTN55846300)</w:t>
      </w:r>
      <w:r>
        <w:rPr>
          <w:rFonts w:cstheme="minorHAnsi"/>
          <w:sz w:val="24"/>
          <w:szCs w:val="24"/>
        </w:rPr>
        <w:t xml:space="preserve">. Study duration: </w:t>
      </w:r>
      <w:r w:rsidRPr="00664BD3">
        <w:rPr>
          <w:rFonts w:cstheme="minorHAnsi"/>
          <w:bCs/>
          <w:iCs/>
          <w:sz w:val="24"/>
          <w:szCs w:val="24"/>
        </w:rPr>
        <w:t>02/05/2014 to 30/09/2016 (last participant assessment), Analysis completed: 2017.</w:t>
      </w:r>
      <w:r>
        <w:rPr>
          <w:rFonts w:cstheme="minorHAnsi"/>
          <w:b/>
          <w:i/>
          <w:sz w:val="24"/>
          <w:szCs w:val="24"/>
        </w:rPr>
        <w:t xml:space="preserve"> </w:t>
      </w:r>
    </w:p>
    <w:p w14:paraId="0439490B" w14:textId="77777777" w:rsidR="00825C89" w:rsidRPr="00A42D9D" w:rsidRDefault="00825C89" w:rsidP="00825C89">
      <w:pPr>
        <w:jc w:val="both"/>
        <w:rPr>
          <w:rFonts w:cstheme="minorHAnsi"/>
          <w:b/>
          <w:i/>
          <w:sz w:val="24"/>
          <w:szCs w:val="24"/>
        </w:rPr>
      </w:pPr>
      <w:r w:rsidRPr="00A42D9D">
        <w:rPr>
          <w:rFonts w:cstheme="minorHAnsi"/>
          <w:b/>
          <w:i/>
          <w:sz w:val="24"/>
          <w:szCs w:val="24"/>
        </w:rPr>
        <w:t xml:space="preserve">Data sharing statement: </w:t>
      </w:r>
      <w:r w:rsidRPr="00A42D9D">
        <w:rPr>
          <w:rFonts w:cstheme="minorHAnsi"/>
          <w:sz w:val="24"/>
          <w:szCs w:val="24"/>
        </w:rPr>
        <w:t xml:space="preserve">Data are available upon reasonable request. </w:t>
      </w:r>
      <w:r w:rsidRPr="00A42D9D">
        <w:rPr>
          <w:rFonts w:cstheme="minorHAnsi"/>
          <w:color w:val="333333"/>
          <w:sz w:val="24"/>
          <w:szCs w:val="26"/>
          <w:shd w:val="clear" w:color="auto" w:fill="FFFFFF"/>
        </w:rPr>
        <w:t>All relevant data are presented in this paper; and more information can be provided upon reasonable request from the corresponding author</w:t>
      </w:r>
    </w:p>
    <w:p w14:paraId="24B3DABA" w14:textId="77777777" w:rsidR="00825C89" w:rsidRPr="00664BD3" w:rsidRDefault="00825C89" w:rsidP="00825C89">
      <w:pPr>
        <w:jc w:val="both"/>
        <w:rPr>
          <w:rFonts w:cstheme="minorHAnsi"/>
          <w:bCs/>
          <w:sz w:val="24"/>
        </w:rPr>
      </w:pPr>
      <w:r w:rsidRPr="00664BD3">
        <w:rPr>
          <w:rFonts w:cstheme="minorHAnsi"/>
          <w:b/>
          <w:sz w:val="24"/>
        </w:rPr>
        <w:t xml:space="preserve">Acknowledgements: </w:t>
      </w:r>
      <w:r w:rsidRPr="00664BD3">
        <w:rPr>
          <w:rFonts w:cstheme="minorHAnsi"/>
          <w:bCs/>
          <w:sz w:val="24"/>
        </w:rPr>
        <w:t>The authors would like to thank all ILD patients</w:t>
      </w:r>
      <w:r>
        <w:rPr>
          <w:rFonts w:cstheme="minorHAnsi"/>
          <w:bCs/>
          <w:sz w:val="24"/>
        </w:rPr>
        <w:t xml:space="preserve"> </w:t>
      </w:r>
      <w:r w:rsidRPr="00D11604">
        <w:rPr>
          <w:rFonts w:cstheme="minorHAnsi"/>
          <w:bCs/>
          <w:sz w:val="24"/>
        </w:rPr>
        <w:t>and particularly the St George’s Interstitial Lung Disease Support Group</w:t>
      </w:r>
      <w:r>
        <w:rPr>
          <w:rFonts w:cstheme="minorHAnsi"/>
          <w:bCs/>
          <w:sz w:val="24"/>
        </w:rPr>
        <w:t xml:space="preserve"> for their participation and input</w:t>
      </w:r>
      <w:r w:rsidRPr="00664BD3">
        <w:rPr>
          <w:rFonts w:cstheme="minorHAnsi"/>
          <w:bCs/>
          <w:sz w:val="24"/>
        </w:rPr>
        <w:t xml:space="preserve"> in this study</w:t>
      </w:r>
      <w:r>
        <w:rPr>
          <w:rFonts w:cstheme="minorHAnsi"/>
          <w:bCs/>
          <w:sz w:val="24"/>
        </w:rPr>
        <w:t>.</w:t>
      </w:r>
    </w:p>
    <w:p w14:paraId="22DAE019" w14:textId="77777777" w:rsidR="00825C89" w:rsidRDefault="00825C89" w:rsidP="00825C89">
      <w:pPr>
        <w:spacing w:line="480" w:lineRule="auto"/>
        <w:jc w:val="both"/>
        <w:rPr>
          <w:rFonts w:cstheme="minorHAnsi"/>
          <w:b/>
          <w:sz w:val="28"/>
          <w:szCs w:val="24"/>
        </w:rPr>
      </w:pPr>
    </w:p>
    <w:p w14:paraId="12865DE7" w14:textId="77777777" w:rsidR="00A21751" w:rsidRDefault="00A21751" w:rsidP="00A21751">
      <w:pPr>
        <w:spacing w:line="480" w:lineRule="auto"/>
        <w:jc w:val="both"/>
        <w:rPr>
          <w:rFonts w:cstheme="minorHAnsi"/>
          <w:b/>
          <w:sz w:val="28"/>
          <w:szCs w:val="24"/>
        </w:rPr>
      </w:pPr>
      <w:r>
        <w:rPr>
          <w:rFonts w:cstheme="minorHAnsi"/>
          <w:b/>
          <w:sz w:val="28"/>
          <w:szCs w:val="24"/>
        </w:rPr>
        <w:lastRenderedPageBreak/>
        <w:t>List of figures:</w:t>
      </w:r>
    </w:p>
    <w:p w14:paraId="47CD1EBD" w14:textId="77777777" w:rsidR="00A21751" w:rsidRPr="00FA5D3C" w:rsidRDefault="00A21751" w:rsidP="00A21751">
      <w:pPr>
        <w:spacing w:line="360" w:lineRule="auto"/>
        <w:jc w:val="both"/>
        <w:rPr>
          <w:bCs/>
          <w:sz w:val="24"/>
          <w:szCs w:val="24"/>
        </w:rPr>
      </w:pPr>
      <w:r w:rsidRPr="00FA5D3C">
        <w:rPr>
          <w:b/>
          <w:bCs/>
          <w:sz w:val="24"/>
          <w:szCs w:val="24"/>
        </w:rPr>
        <w:t xml:space="preserve">Figure 1: </w:t>
      </w:r>
      <w:r w:rsidRPr="00FA5D3C">
        <w:rPr>
          <w:sz w:val="24"/>
          <w:szCs w:val="24"/>
        </w:rPr>
        <w:t xml:space="preserve">CONSORT diagram of participants’ flow in the study. </w:t>
      </w:r>
      <w:r w:rsidRPr="0036336A">
        <w:t xml:space="preserve">ILD-PR= pulmonary rehabilitation programme tailored for interstitial lung disease patients, MICT= moderate intensity continuous training, HIIT= high intensity interval training, IPF= idiopathic pulmonary fibrosis, CTD-ILD= connective tissue disease related interstitial lung disease, CHP= chronic hypersensitivity pneumonitis. </w:t>
      </w:r>
    </w:p>
    <w:p w14:paraId="23211EDD" w14:textId="77777777" w:rsidR="00A21751" w:rsidRPr="00FA5D3C" w:rsidRDefault="00A21751" w:rsidP="00A21751">
      <w:pPr>
        <w:rPr>
          <w:sz w:val="24"/>
          <w:szCs w:val="24"/>
        </w:rPr>
      </w:pPr>
      <w:r w:rsidRPr="00DA4A26">
        <w:rPr>
          <w:b/>
          <w:sz w:val="24"/>
          <w:szCs w:val="24"/>
        </w:rPr>
        <w:t>Figure 2:</w:t>
      </w:r>
      <w:r w:rsidRPr="00DA4A26">
        <w:rPr>
          <w:sz w:val="24"/>
          <w:szCs w:val="24"/>
        </w:rPr>
        <w:t xml:space="preserve"> Change from baseline in 4 key outcomes by intervention group over time.</w:t>
      </w:r>
    </w:p>
    <w:p w14:paraId="48A9D4D5" w14:textId="77777777" w:rsidR="00A21751" w:rsidRPr="00FA5D3C" w:rsidRDefault="00A21751" w:rsidP="00A21751">
      <w:pPr>
        <w:spacing w:line="480" w:lineRule="auto"/>
        <w:rPr>
          <w:noProof/>
          <w:lang w:eastAsia="en-GB"/>
        </w:rPr>
      </w:pPr>
      <w:r w:rsidRPr="00FA5D3C">
        <w:rPr>
          <w:b/>
          <w:noProof/>
          <w:sz w:val="24"/>
          <w:szCs w:val="24"/>
          <w:lang w:eastAsia="en-GB"/>
        </w:rPr>
        <w:t>Figure 3:</w:t>
      </w:r>
      <w:r w:rsidRPr="00FA5D3C">
        <w:rPr>
          <w:noProof/>
          <w:sz w:val="24"/>
          <w:szCs w:val="24"/>
          <w:lang w:eastAsia="en-GB"/>
        </w:rPr>
        <w:t xml:space="preserve"> Age-related variations in the 4 key outcomes (6MWD, SNIP, QUADS-DOM (Quadriceps strength) and SGRQ-I total score) per training group using random effects models. </w:t>
      </w:r>
      <w:r w:rsidRPr="0036336A">
        <w:rPr>
          <w:noProof/>
          <w:lang w:eastAsia="en-GB"/>
        </w:rPr>
        <w:t>The vertical line indicates the inflection point (i.e. highest or lowest values) in each age group. The ages are the mean values in each tertile</w:t>
      </w:r>
    </w:p>
    <w:p w14:paraId="3656D356" w14:textId="77777777" w:rsidR="00A21751" w:rsidRDefault="00A21751" w:rsidP="00A21751">
      <w:pPr>
        <w:spacing w:line="480" w:lineRule="auto"/>
        <w:rPr>
          <w:noProof/>
          <w:sz w:val="24"/>
          <w:szCs w:val="24"/>
          <w:lang w:eastAsia="en-GB"/>
        </w:rPr>
      </w:pPr>
      <w:r w:rsidRPr="00FA5D3C">
        <w:rPr>
          <w:b/>
          <w:bCs/>
          <w:noProof/>
          <w:sz w:val="24"/>
          <w:szCs w:val="24"/>
          <w:lang w:eastAsia="en-GB"/>
        </w:rPr>
        <w:t>Supplementary Figure 1</w:t>
      </w:r>
      <w:r>
        <w:rPr>
          <w:noProof/>
          <w:sz w:val="24"/>
          <w:szCs w:val="24"/>
          <w:lang w:eastAsia="en-GB"/>
        </w:rPr>
        <w:t xml:space="preserve">: </w:t>
      </w:r>
      <w:r w:rsidRPr="00FA5D3C">
        <w:rPr>
          <w:sz w:val="24"/>
          <w:szCs w:val="24"/>
        </w:rPr>
        <w:t>Changes in key outcomes by intervention and ILD clinical groups</w:t>
      </w:r>
    </w:p>
    <w:p w14:paraId="3BF6498F" w14:textId="77777777" w:rsidR="00A21751" w:rsidRDefault="00A21751" w:rsidP="00A21751">
      <w:r w:rsidRPr="00FA5D3C">
        <w:rPr>
          <w:b/>
          <w:bCs/>
          <w:noProof/>
          <w:sz w:val="24"/>
          <w:szCs w:val="24"/>
          <w:lang w:eastAsia="en-GB"/>
        </w:rPr>
        <w:t>Supplementary Figure 2</w:t>
      </w:r>
      <w:r>
        <w:rPr>
          <w:noProof/>
          <w:sz w:val="24"/>
          <w:szCs w:val="24"/>
          <w:lang w:eastAsia="en-GB"/>
        </w:rPr>
        <w:t xml:space="preserve">: </w:t>
      </w:r>
      <w:r w:rsidRPr="00FA5D3C">
        <w:rPr>
          <w:sz w:val="24"/>
          <w:szCs w:val="24"/>
        </w:rPr>
        <w:t>Random effects models for the 6MWD by intervention (HIIT vs MICT) and ILD clinical subgroup (Fibrosis vs CTD-ILD)</w:t>
      </w:r>
    </w:p>
    <w:p w14:paraId="7270B914" w14:textId="77777777" w:rsidR="00A21751" w:rsidRPr="00FA5D3C" w:rsidRDefault="00A21751" w:rsidP="00A21751"/>
    <w:p w14:paraId="69793511" w14:textId="77777777" w:rsidR="00A21751" w:rsidRDefault="00A21751" w:rsidP="00A21751">
      <w:pPr>
        <w:spacing w:line="480" w:lineRule="auto"/>
        <w:rPr>
          <w:noProof/>
          <w:sz w:val="24"/>
          <w:szCs w:val="24"/>
          <w:lang w:eastAsia="en-GB"/>
        </w:rPr>
      </w:pPr>
      <w:r w:rsidRPr="00FA5D3C">
        <w:rPr>
          <w:b/>
          <w:bCs/>
          <w:noProof/>
          <w:sz w:val="24"/>
          <w:szCs w:val="24"/>
          <w:lang w:eastAsia="en-GB"/>
        </w:rPr>
        <w:t>Supplementary Figure 3</w:t>
      </w:r>
      <w:r>
        <w:rPr>
          <w:noProof/>
          <w:sz w:val="24"/>
          <w:szCs w:val="24"/>
          <w:lang w:eastAsia="en-GB"/>
        </w:rPr>
        <w:t xml:space="preserve">: </w:t>
      </w:r>
      <w:r w:rsidRPr="00FA5D3C">
        <w:rPr>
          <w:rFonts w:cstheme="minorHAnsi"/>
          <w:noProof/>
          <w:sz w:val="24"/>
          <w:szCs w:val="24"/>
          <w:lang w:eastAsia="en-GB"/>
        </w:rPr>
        <w:t>Random effects models for SNIP by intervention (HIIT vs MICT) and ILD clinical subgroup (Fibrosis vs CTD-ILD)</w:t>
      </w:r>
    </w:p>
    <w:p w14:paraId="69F5B04E" w14:textId="77777777" w:rsidR="00A21751" w:rsidRPr="00FA5D3C" w:rsidRDefault="00A21751" w:rsidP="00A21751">
      <w:pPr>
        <w:spacing w:line="480" w:lineRule="auto"/>
        <w:rPr>
          <w:noProof/>
          <w:sz w:val="24"/>
          <w:szCs w:val="24"/>
          <w:lang w:eastAsia="en-GB"/>
        </w:rPr>
      </w:pPr>
      <w:r w:rsidRPr="00FA5D3C">
        <w:rPr>
          <w:b/>
          <w:bCs/>
          <w:noProof/>
          <w:sz w:val="24"/>
          <w:szCs w:val="24"/>
          <w:lang w:eastAsia="en-GB"/>
        </w:rPr>
        <w:t>Supplementary Figure 4</w:t>
      </w:r>
      <w:r>
        <w:rPr>
          <w:noProof/>
          <w:sz w:val="24"/>
          <w:szCs w:val="24"/>
          <w:lang w:eastAsia="en-GB"/>
        </w:rPr>
        <w:t xml:space="preserve">: </w:t>
      </w:r>
      <w:r w:rsidRPr="00FA5D3C">
        <w:rPr>
          <w:noProof/>
          <w:sz w:val="24"/>
          <w:szCs w:val="24"/>
          <w:lang w:eastAsia="en-GB"/>
        </w:rPr>
        <w:t>Random effects models for quadriceps strength-dominant side (Quad_dom) by MICT vs HIIT and ILD clinical subgroups.</w:t>
      </w:r>
    </w:p>
    <w:p w14:paraId="454BDFE0" w14:textId="77777777" w:rsidR="00CC1F80" w:rsidRDefault="00CC1F80" w:rsidP="00825C89">
      <w:pPr>
        <w:spacing w:line="480" w:lineRule="auto"/>
        <w:jc w:val="both"/>
        <w:rPr>
          <w:rFonts w:cstheme="minorHAnsi"/>
          <w:b/>
          <w:sz w:val="28"/>
          <w:szCs w:val="24"/>
        </w:rPr>
      </w:pPr>
    </w:p>
    <w:p w14:paraId="5990FD4E" w14:textId="77777777" w:rsidR="00A21751" w:rsidRDefault="00A21751" w:rsidP="00825C89">
      <w:pPr>
        <w:spacing w:line="480" w:lineRule="auto"/>
        <w:jc w:val="both"/>
        <w:rPr>
          <w:rFonts w:cstheme="minorHAnsi"/>
          <w:b/>
          <w:sz w:val="28"/>
          <w:szCs w:val="24"/>
        </w:rPr>
      </w:pPr>
    </w:p>
    <w:p w14:paraId="3AF0964D" w14:textId="77777777" w:rsidR="00A21751" w:rsidRDefault="00A21751" w:rsidP="00825C89">
      <w:pPr>
        <w:spacing w:line="480" w:lineRule="auto"/>
        <w:jc w:val="both"/>
        <w:rPr>
          <w:rFonts w:cstheme="minorHAnsi"/>
          <w:b/>
          <w:sz w:val="28"/>
          <w:szCs w:val="24"/>
        </w:rPr>
      </w:pPr>
    </w:p>
    <w:p w14:paraId="6046E6C7" w14:textId="77777777" w:rsidR="00A21751" w:rsidRDefault="00A21751" w:rsidP="00825C89">
      <w:pPr>
        <w:spacing w:line="480" w:lineRule="auto"/>
        <w:jc w:val="both"/>
        <w:rPr>
          <w:rFonts w:cstheme="minorHAnsi"/>
          <w:b/>
          <w:sz w:val="28"/>
          <w:szCs w:val="24"/>
        </w:rPr>
      </w:pPr>
    </w:p>
    <w:p w14:paraId="3E3C68A5" w14:textId="77777777" w:rsidR="00A21751" w:rsidRDefault="00A21751" w:rsidP="00825C89">
      <w:pPr>
        <w:spacing w:line="480" w:lineRule="auto"/>
        <w:jc w:val="both"/>
        <w:rPr>
          <w:rFonts w:cstheme="minorHAnsi"/>
          <w:b/>
          <w:sz w:val="28"/>
          <w:szCs w:val="24"/>
        </w:rPr>
      </w:pPr>
    </w:p>
    <w:p w14:paraId="41D3E058" w14:textId="77777777" w:rsidR="00825C89" w:rsidRPr="00A42D9D" w:rsidRDefault="00825C89" w:rsidP="00825C89">
      <w:pPr>
        <w:spacing w:line="480" w:lineRule="auto"/>
        <w:jc w:val="both"/>
        <w:rPr>
          <w:rFonts w:cstheme="minorHAnsi"/>
          <w:b/>
          <w:sz w:val="28"/>
          <w:szCs w:val="24"/>
        </w:rPr>
      </w:pPr>
      <w:r w:rsidRPr="00A42D9D">
        <w:rPr>
          <w:rFonts w:cstheme="minorHAnsi"/>
          <w:b/>
          <w:sz w:val="28"/>
          <w:szCs w:val="24"/>
        </w:rPr>
        <w:lastRenderedPageBreak/>
        <w:t>References</w:t>
      </w:r>
    </w:p>
    <w:p w14:paraId="785271D2"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Travis WD, </w:t>
      </w:r>
      <w:proofErr w:type="spellStart"/>
      <w:r w:rsidRPr="00145662">
        <w:rPr>
          <w:rFonts w:cstheme="minorHAnsi"/>
          <w:sz w:val="24"/>
          <w:szCs w:val="24"/>
        </w:rPr>
        <w:t>Costabel</w:t>
      </w:r>
      <w:proofErr w:type="spellEnd"/>
      <w:r w:rsidRPr="00145662">
        <w:rPr>
          <w:rFonts w:cstheme="minorHAnsi"/>
          <w:sz w:val="24"/>
          <w:szCs w:val="24"/>
        </w:rPr>
        <w:t xml:space="preserve"> U, Hansell DM, et al. ATS/ERS Committee on Idiopathic Interstitial Pneumonias. An official American Thoracic Society/European Respiratory Society statement: Update of the international multidisciplinary classification of the idiopathic interstitial pneumonias. </w:t>
      </w:r>
      <w:r w:rsidRPr="00D47C29">
        <w:rPr>
          <w:rFonts w:cstheme="minorHAnsi"/>
          <w:i/>
          <w:iCs/>
          <w:sz w:val="24"/>
          <w:szCs w:val="24"/>
        </w:rPr>
        <w:t>Am J Respir Crit Care Med</w:t>
      </w:r>
      <w:r w:rsidRPr="00145662">
        <w:rPr>
          <w:rFonts w:cstheme="minorHAnsi"/>
          <w:sz w:val="24"/>
          <w:szCs w:val="24"/>
        </w:rPr>
        <w:t xml:space="preserve"> 2013 Sep 15; 188 (6): 733-48.</w:t>
      </w:r>
    </w:p>
    <w:p w14:paraId="0DE58E09"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Wells AU and Hirani N. BTS Interstitial lung disease guideline: the British Thoracic Society in collaboration with the Thoracic Society of Australia and New Zealand and the Irish Thoracic Society. </w:t>
      </w:r>
      <w:r w:rsidRPr="00D47C29">
        <w:rPr>
          <w:rFonts w:cstheme="minorHAnsi"/>
          <w:i/>
          <w:iCs/>
          <w:sz w:val="24"/>
          <w:szCs w:val="24"/>
        </w:rPr>
        <w:t>Thorax</w:t>
      </w:r>
      <w:r w:rsidRPr="00145662">
        <w:rPr>
          <w:rFonts w:cstheme="minorHAnsi"/>
          <w:sz w:val="24"/>
          <w:szCs w:val="24"/>
        </w:rPr>
        <w:t xml:space="preserve"> 2008; 63 (</w:t>
      </w:r>
      <w:proofErr w:type="spellStart"/>
      <w:r w:rsidRPr="00145662">
        <w:rPr>
          <w:rFonts w:cstheme="minorHAnsi"/>
          <w:sz w:val="24"/>
          <w:szCs w:val="24"/>
        </w:rPr>
        <w:t>Suppl</w:t>
      </w:r>
      <w:proofErr w:type="spellEnd"/>
      <w:r w:rsidRPr="00145662">
        <w:rPr>
          <w:rFonts w:cstheme="minorHAnsi"/>
          <w:sz w:val="24"/>
          <w:szCs w:val="24"/>
        </w:rPr>
        <w:t xml:space="preserve"> V): v1- v58.</w:t>
      </w:r>
    </w:p>
    <w:p w14:paraId="3A86B5C7"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Ley B, Ryerson CJ, </w:t>
      </w:r>
      <w:proofErr w:type="spellStart"/>
      <w:r w:rsidRPr="00145662">
        <w:rPr>
          <w:rFonts w:cstheme="minorHAnsi"/>
          <w:sz w:val="24"/>
          <w:szCs w:val="24"/>
        </w:rPr>
        <w:t>Vittinghoff</w:t>
      </w:r>
      <w:proofErr w:type="spellEnd"/>
      <w:r w:rsidRPr="00145662">
        <w:rPr>
          <w:rFonts w:cstheme="minorHAnsi"/>
          <w:sz w:val="24"/>
          <w:szCs w:val="24"/>
        </w:rPr>
        <w:t xml:space="preserve"> E, et al. A multidimensional index and staging system for idiopathic pulmonary fibrosis. </w:t>
      </w:r>
      <w:r w:rsidRPr="00D47C29">
        <w:rPr>
          <w:rFonts w:cstheme="minorHAnsi"/>
          <w:i/>
          <w:iCs/>
          <w:sz w:val="24"/>
          <w:szCs w:val="24"/>
        </w:rPr>
        <w:t>Ann Intern Med.</w:t>
      </w:r>
      <w:r w:rsidRPr="00145662">
        <w:rPr>
          <w:rFonts w:cstheme="minorHAnsi"/>
          <w:sz w:val="24"/>
          <w:szCs w:val="24"/>
        </w:rPr>
        <w:t xml:space="preserve"> 2012; 156 (10): 684-91. </w:t>
      </w:r>
    </w:p>
    <w:p w14:paraId="5CF86A35"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Ryerson CJ, </w:t>
      </w:r>
      <w:proofErr w:type="spellStart"/>
      <w:r w:rsidRPr="00145662">
        <w:rPr>
          <w:rFonts w:cstheme="minorHAnsi"/>
          <w:sz w:val="24"/>
          <w:szCs w:val="24"/>
        </w:rPr>
        <w:t>Vittinghoff</w:t>
      </w:r>
      <w:proofErr w:type="spellEnd"/>
      <w:r w:rsidRPr="00145662">
        <w:rPr>
          <w:rFonts w:cstheme="minorHAnsi"/>
          <w:sz w:val="24"/>
          <w:szCs w:val="24"/>
        </w:rPr>
        <w:t xml:space="preserve"> E, Ley B, et al. Predicting survival across chronic Interstitial Lung Disease- The ILD-GAP model.</w:t>
      </w:r>
      <w:r w:rsidRPr="00D47C29">
        <w:rPr>
          <w:rFonts w:cstheme="minorHAnsi"/>
          <w:i/>
          <w:iCs/>
          <w:sz w:val="24"/>
          <w:szCs w:val="24"/>
        </w:rPr>
        <w:t xml:space="preserve"> Chest</w:t>
      </w:r>
      <w:r w:rsidRPr="00145662">
        <w:rPr>
          <w:rFonts w:cstheme="minorHAnsi"/>
          <w:sz w:val="24"/>
          <w:szCs w:val="24"/>
        </w:rPr>
        <w:t xml:space="preserve"> 2014; 145 (4): 723-28.</w:t>
      </w:r>
    </w:p>
    <w:p w14:paraId="410F6811"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Dowman</w:t>
      </w:r>
      <w:proofErr w:type="spellEnd"/>
      <w:r w:rsidRPr="00145662">
        <w:rPr>
          <w:rFonts w:cstheme="minorHAnsi"/>
          <w:sz w:val="24"/>
          <w:szCs w:val="24"/>
        </w:rPr>
        <w:t xml:space="preserve"> L, Hill CJ, May A, Holland AE. Pulmonary rehabilitation for interstitial lung disease. </w:t>
      </w:r>
      <w:r w:rsidRPr="00D47C29">
        <w:rPr>
          <w:rFonts w:cstheme="minorHAnsi"/>
          <w:i/>
          <w:iCs/>
          <w:sz w:val="24"/>
          <w:szCs w:val="24"/>
        </w:rPr>
        <w:t xml:space="preserve">Cochrane Database </w:t>
      </w:r>
      <w:proofErr w:type="spellStart"/>
      <w:r w:rsidRPr="00D47C29">
        <w:rPr>
          <w:rFonts w:cstheme="minorHAnsi"/>
          <w:i/>
          <w:iCs/>
          <w:sz w:val="24"/>
          <w:szCs w:val="24"/>
        </w:rPr>
        <w:t>Syst</w:t>
      </w:r>
      <w:proofErr w:type="spellEnd"/>
      <w:r w:rsidRPr="00D47C29">
        <w:rPr>
          <w:rFonts w:cstheme="minorHAnsi"/>
          <w:i/>
          <w:iCs/>
          <w:sz w:val="24"/>
          <w:szCs w:val="24"/>
        </w:rPr>
        <w:t xml:space="preserve"> Rev. </w:t>
      </w:r>
      <w:r w:rsidRPr="00145662">
        <w:rPr>
          <w:rFonts w:cstheme="minorHAnsi"/>
          <w:sz w:val="24"/>
          <w:szCs w:val="24"/>
        </w:rPr>
        <w:t>2021 J; 2 (2):CD006322.</w:t>
      </w:r>
    </w:p>
    <w:p w14:paraId="071834D6"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Cottin</w:t>
      </w:r>
      <w:proofErr w:type="spellEnd"/>
      <w:r w:rsidRPr="00145662">
        <w:rPr>
          <w:rFonts w:cstheme="minorHAnsi"/>
          <w:sz w:val="24"/>
          <w:szCs w:val="24"/>
        </w:rPr>
        <w:t xml:space="preserve"> V, </w:t>
      </w:r>
      <w:proofErr w:type="spellStart"/>
      <w:r w:rsidRPr="00145662">
        <w:rPr>
          <w:rFonts w:cstheme="minorHAnsi"/>
          <w:sz w:val="24"/>
          <w:szCs w:val="24"/>
        </w:rPr>
        <w:t>Wollin</w:t>
      </w:r>
      <w:proofErr w:type="spellEnd"/>
      <w:r w:rsidRPr="00145662">
        <w:rPr>
          <w:rFonts w:cstheme="minorHAnsi"/>
          <w:sz w:val="24"/>
          <w:szCs w:val="24"/>
        </w:rPr>
        <w:t xml:space="preserve"> L, Fisher A, et al. Fibrosing interstitial lung diseases: knowns and unknowns. </w:t>
      </w:r>
      <w:proofErr w:type="spellStart"/>
      <w:r w:rsidRPr="00D47C29">
        <w:rPr>
          <w:rFonts w:cstheme="minorHAnsi"/>
          <w:i/>
          <w:iCs/>
          <w:sz w:val="24"/>
          <w:szCs w:val="24"/>
        </w:rPr>
        <w:t>Eur</w:t>
      </w:r>
      <w:proofErr w:type="spellEnd"/>
      <w:r w:rsidRPr="00D47C29">
        <w:rPr>
          <w:rFonts w:cstheme="minorHAnsi"/>
          <w:i/>
          <w:iCs/>
          <w:sz w:val="24"/>
          <w:szCs w:val="24"/>
        </w:rPr>
        <w:t xml:space="preserve"> Respir Rev</w:t>
      </w:r>
      <w:r w:rsidRPr="00145662">
        <w:rPr>
          <w:rFonts w:cstheme="minorHAnsi"/>
          <w:sz w:val="24"/>
          <w:szCs w:val="24"/>
        </w:rPr>
        <w:t xml:space="preserve"> 2019; 28: 180100 [https://doi.org/10.1183/16000617.0100-2018].</w:t>
      </w:r>
    </w:p>
    <w:p w14:paraId="46AFB55B"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Leong S W, Bos S, </w:t>
      </w:r>
      <w:proofErr w:type="spellStart"/>
      <w:r w:rsidRPr="00145662">
        <w:rPr>
          <w:rFonts w:cstheme="minorHAnsi"/>
          <w:sz w:val="24"/>
          <w:szCs w:val="24"/>
        </w:rPr>
        <w:t>Lordan</w:t>
      </w:r>
      <w:proofErr w:type="spellEnd"/>
      <w:r w:rsidRPr="00145662">
        <w:rPr>
          <w:rFonts w:cstheme="minorHAnsi"/>
          <w:sz w:val="24"/>
          <w:szCs w:val="24"/>
        </w:rPr>
        <w:t xml:space="preserve"> J L, et al. Lung transplantation for interstitial lung disease: evolution over three decades. </w:t>
      </w:r>
      <w:r w:rsidRPr="00D47C29">
        <w:rPr>
          <w:rFonts w:cstheme="minorHAnsi"/>
          <w:i/>
          <w:iCs/>
          <w:sz w:val="24"/>
          <w:szCs w:val="24"/>
        </w:rPr>
        <w:t xml:space="preserve">BMJ Open </w:t>
      </w:r>
      <w:proofErr w:type="spellStart"/>
      <w:r w:rsidRPr="00D47C29">
        <w:rPr>
          <w:rFonts w:cstheme="minorHAnsi"/>
          <w:i/>
          <w:iCs/>
          <w:sz w:val="24"/>
          <w:szCs w:val="24"/>
        </w:rPr>
        <w:t>Resp</w:t>
      </w:r>
      <w:proofErr w:type="spellEnd"/>
      <w:r w:rsidRPr="00D47C29">
        <w:rPr>
          <w:rFonts w:cstheme="minorHAnsi"/>
          <w:i/>
          <w:iCs/>
          <w:sz w:val="24"/>
          <w:szCs w:val="24"/>
        </w:rPr>
        <w:t xml:space="preserve"> Res</w:t>
      </w:r>
      <w:r w:rsidRPr="00145662">
        <w:rPr>
          <w:rFonts w:cstheme="minorHAnsi"/>
          <w:sz w:val="24"/>
          <w:szCs w:val="24"/>
        </w:rPr>
        <w:t xml:space="preserve"> 2023; 10: e001387. doi:10.1136/bmjresp-2022-001387.</w:t>
      </w:r>
    </w:p>
    <w:p w14:paraId="5DCD4610" w14:textId="77777777" w:rsidR="00825C89" w:rsidRPr="0021785F"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Kapnadak</w:t>
      </w:r>
      <w:proofErr w:type="spellEnd"/>
      <w:r w:rsidRPr="00145662">
        <w:rPr>
          <w:rFonts w:cstheme="minorHAnsi"/>
          <w:sz w:val="24"/>
          <w:szCs w:val="24"/>
        </w:rPr>
        <w:t xml:space="preserve"> SG, Raghu G. Lung transplantation for interstitial lung disease. </w:t>
      </w:r>
      <w:proofErr w:type="spellStart"/>
      <w:r w:rsidRPr="00D47C29">
        <w:rPr>
          <w:rFonts w:cstheme="minorHAnsi"/>
          <w:i/>
          <w:iCs/>
          <w:sz w:val="24"/>
          <w:szCs w:val="24"/>
        </w:rPr>
        <w:t>Eur</w:t>
      </w:r>
      <w:proofErr w:type="spellEnd"/>
      <w:r w:rsidRPr="00D47C29">
        <w:rPr>
          <w:rFonts w:cstheme="minorHAnsi"/>
          <w:i/>
          <w:iCs/>
          <w:sz w:val="24"/>
          <w:szCs w:val="24"/>
        </w:rPr>
        <w:t xml:space="preserve"> Respir Rev</w:t>
      </w:r>
      <w:r w:rsidRPr="00145662">
        <w:rPr>
          <w:rFonts w:cstheme="minorHAnsi"/>
          <w:sz w:val="24"/>
          <w:szCs w:val="24"/>
        </w:rPr>
        <w:t xml:space="preserve"> 2021; 30: 210017 [DOI: 10.1183/16000617.0017-2021]</w:t>
      </w:r>
    </w:p>
    <w:p w14:paraId="2705C422"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Spruit M. A., Singh S., Garvey C, et al. An Official American Thoracic Society/European Respiratory Society statement: Key concepts and advances in Pulmonary Rehabilitation. </w:t>
      </w:r>
      <w:r w:rsidRPr="00D47C29">
        <w:rPr>
          <w:rFonts w:cstheme="minorHAnsi"/>
          <w:i/>
          <w:iCs/>
          <w:sz w:val="24"/>
          <w:szCs w:val="24"/>
        </w:rPr>
        <w:t xml:space="preserve">Am J </w:t>
      </w:r>
      <w:proofErr w:type="spellStart"/>
      <w:r w:rsidRPr="00D47C29">
        <w:rPr>
          <w:rFonts w:cstheme="minorHAnsi"/>
          <w:i/>
          <w:iCs/>
          <w:sz w:val="24"/>
          <w:szCs w:val="24"/>
        </w:rPr>
        <w:t>Resp</w:t>
      </w:r>
      <w:proofErr w:type="spellEnd"/>
      <w:r w:rsidRPr="00D47C29">
        <w:rPr>
          <w:rFonts w:cstheme="minorHAnsi"/>
          <w:i/>
          <w:iCs/>
          <w:sz w:val="24"/>
          <w:szCs w:val="24"/>
        </w:rPr>
        <w:t xml:space="preserve"> Crit Care Med</w:t>
      </w:r>
      <w:r w:rsidRPr="00145662">
        <w:rPr>
          <w:rFonts w:cstheme="minorHAnsi"/>
          <w:sz w:val="24"/>
          <w:szCs w:val="24"/>
        </w:rPr>
        <w:t xml:space="preserve"> 2013; Vol 188 (no 8): e13-e64.</w:t>
      </w:r>
    </w:p>
    <w:p w14:paraId="23420A8B"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Holland AE, Hill CJ, </w:t>
      </w:r>
      <w:proofErr w:type="spellStart"/>
      <w:r w:rsidRPr="00145662">
        <w:rPr>
          <w:rFonts w:cstheme="minorHAnsi"/>
          <w:sz w:val="24"/>
          <w:szCs w:val="24"/>
        </w:rPr>
        <w:t>Conron</w:t>
      </w:r>
      <w:proofErr w:type="spellEnd"/>
      <w:r w:rsidRPr="00145662">
        <w:rPr>
          <w:rFonts w:cstheme="minorHAnsi"/>
          <w:sz w:val="24"/>
          <w:szCs w:val="24"/>
        </w:rPr>
        <w:t xml:space="preserve"> M, </w:t>
      </w:r>
      <w:r w:rsidRPr="00145662">
        <w:rPr>
          <w:rFonts w:cstheme="minorHAnsi"/>
          <w:i/>
          <w:iCs/>
          <w:sz w:val="24"/>
          <w:szCs w:val="24"/>
        </w:rPr>
        <w:t>et al</w:t>
      </w:r>
      <w:r w:rsidRPr="00145662">
        <w:rPr>
          <w:rFonts w:cstheme="minorHAnsi"/>
          <w:sz w:val="24"/>
          <w:szCs w:val="24"/>
        </w:rPr>
        <w:t xml:space="preserve">. Short term improvement in exercise capacity and symptoms following exercise training in interstitial lung disease. </w:t>
      </w:r>
      <w:r w:rsidRPr="00D47C29">
        <w:rPr>
          <w:rFonts w:cstheme="minorHAnsi"/>
          <w:i/>
          <w:iCs/>
          <w:sz w:val="24"/>
          <w:szCs w:val="24"/>
        </w:rPr>
        <w:t xml:space="preserve">Thorax </w:t>
      </w:r>
      <w:r w:rsidRPr="00145662">
        <w:rPr>
          <w:rFonts w:cstheme="minorHAnsi"/>
          <w:sz w:val="24"/>
          <w:szCs w:val="24"/>
        </w:rPr>
        <w:t>2008; 63: 549-554.</w:t>
      </w:r>
    </w:p>
    <w:p w14:paraId="379B4732"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Dowman</w:t>
      </w:r>
      <w:proofErr w:type="spellEnd"/>
      <w:r w:rsidRPr="00145662">
        <w:rPr>
          <w:rFonts w:cstheme="minorHAnsi"/>
          <w:sz w:val="24"/>
          <w:szCs w:val="24"/>
        </w:rPr>
        <w:t xml:space="preserve"> L. M, McDonald C.F., Hill C.J, </w:t>
      </w:r>
      <w:r w:rsidRPr="00145662">
        <w:rPr>
          <w:rFonts w:cstheme="minorHAnsi"/>
          <w:i/>
          <w:sz w:val="24"/>
          <w:szCs w:val="24"/>
        </w:rPr>
        <w:t>et al.</w:t>
      </w:r>
      <w:r w:rsidRPr="00145662">
        <w:rPr>
          <w:rFonts w:cstheme="minorHAnsi"/>
          <w:sz w:val="24"/>
          <w:szCs w:val="24"/>
        </w:rPr>
        <w:t xml:space="preserve"> The evidence of benefits of exercise training in interstitial lung disease: a randomised controlled trial. </w:t>
      </w:r>
      <w:r w:rsidRPr="00D47C29">
        <w:rPr>
          <w:rFonts w:cstheme="minorHAnsi"/>
          <w:i/>
          <w:iCs/>
          <w:sz w:val="24"/>
          <w:szCs w:val="24"/>
        </w:rPr>
        <w:t>Thorax</w:t>
      </w:r>
      <w:r w:rsidRPr="00145662">
        <w:rPr>
          <w:rFonts w:cstheme="minorHAnsi"/>
          <w:sz w:val="24"/>
          <w:szCs w:val="24"/>
        </w:rPr>
        <w:t xml:space="preserve"> 2017; 0: 1-10.</w:t>
      </w:r>
    </w:p>
    <w:p w14:paraId="5B0714B1"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American College of Sports Medicine (ACSM)Guidelines for exercise testing and prescription. (2022) 11</w:t>
      </w:r>
      <w:r w:rsidRPr="00145662">
        <w:rPr>
          <w:rFonts w:cstheme="minorHAnsi"/>
          <w:sz w:val="24"/>
          <w:szCs w:val="24"/>
          <w:vertAlign w:val="superscript"/>
        </w:rPr>
        <w:t>th</w:t>
      </w:r>
      <w:r w:rsidRPr="00145662">
        <w:rPr>
          <w:rFonts w:cstheme="minorHAnsi"/>
          <w:sz w:val="24"/>
          <w:szCs w:val="24"/>
        </w:rPr>
        <w:t xml:space="preserve"> edition. Wolters Kluwer Health</w:t>
      </w:r>
    </w:p>
    <w:p w14:paraId="39B1A7BD"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Helgerud</w:t>
      </w:r>
      <w:proofErr w:type="spellEnd"/>
      <w:r w:rsidRPr="00145662">
        <w:rPr>
          <w:rFonts w:cstheme="minorHAnsi"/>
          <w:sz w:val="24"/>
          <w:szCs w:val="24"/>
        </w:rPr>
        <w:t xml:space="preserve"> J, </w:t>
      </w:r>
      <w:proofErr w:type="spellStart"/>
      <w:r w:rsidRPr="00145662">
        <w:rPr>
          <w:rFonts w:cstheme="minorHAnsi"/>
          <w:sz w:val="24"/>
          <w:szCs w:val="24"/>
        </w:rPr>
        <w:t>Høydal</w:t>
      </w:r>
      <w:proofErr w:type="spellEnd"/>
      <w:r w:rsidRPr="00145662">
        <w:rPr>
          <w:rFonts w:cstheme="minorHAnsi"/>
          <w:sz w:val="24"/>
          <w:szCs w:val="24"/>
        </w:rPr>
        <w:t xml:space="preserve"> K, Wang E, Karlsen T, Berg P, </w:t>
      </w:r>
      <w:proofErr w:type="spellStart"/>
      <w:r w:rsidRPr="00145662">
        <w:rPr>
          <w:rFonts w:cstheme="minorHAnsi"/>
          <w:sz w:val="24"/>
          <w:szCs w:val="24"/>
        </w:rPr>
        <w:t>Bjerkaas</w:t>
      </w:r>
      <w:proofErr w:type="spellEnd"/>
      <w:r w:rsidRPr="00145662">
        <w:rPr>
          <w:rFonts w:cstheme="minorHAnsi"/>
          <w:sz w:val="24"/>
          <w:szCs w:val="24"/>
        </w:rPr>
        <w:t xml:space="preserve"> M, et al. Aerobic high-intensity intervals improve VO</w:t>
      </w:r>
      <w:r w:rsidRPr="00145662">
        <w:rPr>
          <w:rFonts w:cstheme="minorHAnsi"/>
          <w:sz w:val="24"/>
          <w:szCs w:val="24"/>
          <w:vertAlign w:val="subscript"/>
        </w:rPr>
        <w:t>2</w:t>
      </w:r>
      <w:r w:rsidRPr="00145662">
        <w:rPr>
          <w:rFonts w:cstheme="minorHAnsi"/>
          <w:sz w:val="24"/>
          <w:szCs w:val="24"/>
        </w:rPr>
        <w:t xml:space="preserve">max more than moderate training. </w:t>
      </w:r>
      <w:r w:rsidRPr="00D47C29">
        <w:rPr>
          <w:rFonts w:cstheme="minorHAnsi"/>
          <w:i/>
          <w:iCs/>
          <w:sz w:val="24"/>
          <w:szCs w:val="24"/>
        </w:rPr>
        <w:t xml:space="preserve">Med Sci Sports </w:t>
      </w:r>
      <w:proofErr w:type="spellStart"/>
      <w:r w:rsidRPr="00D47C29">
        <w:rPr>
          <w:rFonts w:cstheme="minorHAnsi"/>
          <w:i/>
          <w:iCs/>
          <w:sz w:val="24"/>
          <w:szCs w:val="24"/>
        </w:rPr>
        <w:t>Exerc</w:t>
      </w:r>
      <w:proofErr w:type="spellEnd"/>
      <w:r w:rsidRPr="00145662">
        <w:rPr>
          <w:rFonts w:cstheme="minorHAnsi"/>
          <w:sz w:val="24"/>
          <w:szCs w:val="24"/>
        </w:rPr>
        <w:t xml:space="preserve"> 2007; 39 (4):665–71.</w:t>
      </w:r>
    </w:p>
    <w:p w14:paraId="6F7CC48A"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Levinger et al. What Doesn’t Kill You Makes You Fitter: A Systematic Review of High-Intensity Interval Exercise for Patients with Cardiovascular and Metabolic Diseases. </w:t>
      </w:r>
      <w:r w:rsidRPr="00145662">
        <w:rPr>
          <w:rFonts w:cstheme="minorHAnsi"/>
          <w:i/>
          <w:iCs/>
          <w:sz w:val="24"/>
          <w:szCs w:val="24"/>
        </w:rPr>
        <w:t xml:space="preserve">Clinical Medicine Insights: Cardiology </w:t>
      </w:r>
      <w:r w:rsidRPr="00145662">
        <w:rPr>
          <w:rFonts w:cstheme="minorHAnsi"/>
          <w:sz w:val="24"/>
          <w:szCs w:val="24"/>
        </w:rPr>
        <w:t>2015:9 53–63.</w:t>
      </w:r>
    </w:p>
    <w:p w14:paraId="208CDBE5"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Arena R, Myers J, Forman DE, </w:t>
      </w:r>
      <w:proofErr w:type="spellStart"/>
      <w:r w:rsidRPr="00145662">
        <w:rPr>
          <w:rFonts w:cstheme="minorHAnsi"/>
          <w:sz w:val="24"/>
          <w:szCs w:val="24"/>
        </w:rPr>
        <w:t>Lavie</w:t>
      </w:r>
      <w:proofErr w:type="spellEnd"/>
      <w:r w:rsidRPr="00145662">
        <w:rPr>
          <w:rFonts w:cstheme="minorHAnsi"/>
          <w:sz w:val="24"/>
          <w:szCs w:val="24"/>
        </w:rPr>
        <w:t xml:space="preserve"> CJ, </w:t>
      </w:r>
      <w:proofErr w:type="spellStart"/>
      <w:r w:rsidRPr="00145662">
        <w:rPr>
          <w:rFonts w:cstheme="minorHAnsi"/>
          <w:sz w:val="24"/>
          <w:szCs w:val="24"/>
        </w:rPr>
        <w:t>Guazzi</w:t>
      </w:r>
      <w:proofErr w:type="spellEnd"/>
      <w:r w:rsidRPr="00145662">
        <w:rPr>
          <w:rFonts w:cstheme="minorHAnsi"/>
          <w:sz w:val="24"/>
          <w:szCs w:val="24"/>
        </w:rPr>
        <w:t xml:space="preserve"> M. Should high-intensity-aerobic interval training become the clinical standard in heart failure? </w:t>
      </w:r>
      <w:r w:rsidRPr="00145662">
        <w:rPr>
          <w:rFonts w:cstheme="minorHAnsi"/>
          <w:i/>
          <w:iCs/>
          <w:sz w:val="24"/>
          <w:szCs w:val="24"/>
        </w:rPr>
        <w:t>Heart Fail Rev</w:t>
      </w:r>
      <w:r w:rsidRPr="00145662">
        <w:rPr>
          <w:rFonts w:cstheme="minorHAnsi"/>
          <w:sz w:val="24"/>
          <w:szCs w:val="24"/>
        </w:rPr>
        <w:t>. 2013; 18 (1): 95–105.</w:t>
      </w:r>
    </w:p>
    <w:p w14:paraId="56DC9A1C"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Shiraev</w:t>
      </w:r>
      <w:proofErr w:type="spellEnd"/>
      <w:r w:rsidRPr="00145662">
        <w:rPr>
          <w:rFonts w:cstheme="minorHAnsi"/>
          <w:sz w:val="24"/>
          <w:szCs w:val="24"/>
        </w:rPr>
        <w:t xml:space="preserve"> T and </w:t>
      </w:r>
      <w:proofErr w:type="spellStart"/>
      <w:r w:rsidRPr="00145662">
        <w:rPr>
          <w:rFonts w:cstheme="minorHAnsi"/>
          <w:sz w:val="24"/>
          <w:szCs w:val="24"/>
        </w:rPr>
        <w:t>Barclav</w:t>
      </w:r>
      <w:proofErr w:type="spellEnd"/>
      <w:r w:rsidRPr="00145662">
        <w:rPr>
          <w:rFonts w:cstheme="minorHAnsi"/>
          <w:sz w:val="24"/>
          <w:szCs w:val="24"/>
        </w:rPr>
        <w:t xml:space="preserve"> G. Evidence based exercise- Clinical benefits of high intensity interval training. </w:t>
      </w:r>
      <w:proofErr w:type="spellStart"/>
      <w:r w:rsidRPr="00D47C29">
        <w:rPr>
          <w:rFonts w:cstheme="minorHAnsi"/>
          <w:i/>
          <w:iCs/>
          <w:sz w:val="24"/>
          <w:szCs w:val="24"/>
        </w:rPr>
        <w:t>Aust</w:t>
      </w:r>
      <w:proofErr w:type="spellEnd"/>
      <w:r w:rsidRPr="00D47C29">
        <w:rPr>
          <w:rFonts w:cstheme="minorHAnsi"/>
          <w:i/>
          <w:iCs/>
          <w:sz w:val="24"/>
          <w:szCs w:val="24"/>
        </w:rPr>
        <w:t xml:space="preserve"> Fam Physician </w:t>
      </w:r>
      <w:r w:rsidRPr="00145662">
        <w:rPr>
          <w:rFonts w:cstheme="minorHAnsi"/>
          <w:sz w:val="24"/>
          <w:szCs w:val="24"/>
        </w:rPr>
        <w:t>2012; 41 (12): 960-962.</w:t>
      </w:r>
    </w:p>
    <w:p w14:paraId="68110DAB"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Wisloff</w:t>
      </w:r>
      <w:proofErr w:type="spellEnd"/>
      <w:r w:rsidRPr="00145662">
        <w:rPr>
          <w:rFonts w:cstheme="minorHAnsi"/>
          <w:sz w:val="24"/>
          <w:szCs w:val="24"/>
        </w:rPr>
        <w:t xml:space="preserve"> U, </w:t>
      </w:r>
      <w:proofErr w:type="spellStart"/>
      <w:r w:rsidRPr="00145662">
        <w:rPr>
          <w:rFonts w:cstheme="minorHAnsi"/>
          <w:sz w:val="24"/>
          <w:szCs w:val="24"/>
        </w:rPr>
        <w:t>Stovlen</w:t>
      </w:r>
      <w:proofErr w:type="spellEnd"/>
      <w:r w:rsidRPr="00145662">
        <w:rPr>
          <w:rFonts w:cstheme="minorHAnsi"/>
          <w:sz w:val="24"/>
          <w:szCs w:val="24"/>
        </w:rPr>
        <w:t xml:space="preserve"> A, </w:t>
      </w:r>
      <w:proofErr w:type="spellStart"/>
      <w:r w:rsidRPr="00145662">
        <w:rPr>
          <w:rFonts w:cstheme="minorHAnsi"/>
          <w:sz w:val="24"/>
          <w:szCs w:val="24"/>
        </w:rPr>
        <w:t>Loennechen</w:t>
      </w:r>
      <w:proofErr w:type="spellEnd"/>
      <w:r w:rsidRPr="00145662">
        <w:rPr>
          <w:rFonts w:cstheme="minorHAnsi"/>
          <w:sz w:val="24"/>
          <w:szCs w:val="24"/>
        </w:rPr>
        <w:t xml:space="preserve"> JP, et al. Superior cardiovascular effect of aerobic interval training versus moderate continuous training in heart failure patients. </w:t>
      </w:r>
      <w:r w:rsidRPr="00D47C29">
        <w:rPr>
          <w:rFonts w:cstheme="minorHAnsi"/>
          <w:i/>
          <w:iCs/>
          <w:sz w:val="24"/>
          <w:szCs w:val="24"/>
        </w:rPr>
        <w:t>Circulation</w:t>
      </w:r>
      <w:r w:rsidRPr="00145662">
        <w:rPr>
          <w:rFonts w:cstheme="minorHAnsi"/>
          <w:sz w:val="24"/>
          <w:szCs w:val="24"/>
        </w:rPr>
        <w:t xml:space="preserve"> 2007; 115: 3086-3094.</w:t>
      </w:r>
    </w:p>
    <w:p w14:paraId="71464FBB"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lastRenderedPageBreak/>
        <w:t>Vogiatzis</w:t>
      </w:r>
      <w:proofErr w:type="spellEnd"/>
      <w:r w:rsidRPr="00145662">
        <w:rPr>
          <w:rFonts w:cstheme="minorHAnsi"/>
          <w:sz w:val="24"/>
          <w:szCs w:val="24"/>
        </w:rPr>
        <w:t xml:space="preserve"> I, </w:t>
      </w:r>
      <w:proofErr w:type="spellStart"/>
      <w:r w:rsidRPr="00145662">
        <w:rPr>
          <w:rFonts w:cstheme="minorHAnsi"/>
          <w:sz w:val="24"/>
          <w:szCs w:val="24"/>
        </w:rPr>
        <w:t>Gerasimos</w:t>
      </w:r>
      <w:proofErr w:type="spellEnd"/>
      <w:r w:rsidRPr="00145662">
        <w:rPr>
          <w:rFonts w:cstheme="minorHAnsi"/>
          <w:sz w:val="24"/>
          <w:szCs w:val="24"/>
        </w:rPr>
        <w:t xml:space="preserve"> Terzis, </w:t>
      </w:r>
      <w:proofErr w:type="spellStart"/>
      <w:r w:rsidRPr="00145662">
        <w:rPr>
          <w:rFonts w:cstheme="minorHAnsi"/>
          <w:sz w:val="24"/>
          <w:szCs w:val="24"/>
        </w:rPr>
        <w:t>Serafeim</w:t>
      </w:r>
      <w:proofErr w:type="spellEnd"/>
      <w:r w:rsidRPr="00145662">
        <w:rPr>
          <w:rFonts w:cstheme="minorHAnsi"/>
          <w:sz w:val="24"/>
          <w:szCs w:val="24"/>
        </w:rPr>
        <w:t xml:space="preserve"> Nanas, </w:t>
      </w:r>
      <w:r w:rsidRPr="00145662">
        <w:rPr>
          <w:rFonts w:cstheme="minorHAnsi"/>
          <w:i/>
          <w:iCs/>
          <w:sz w:val="24"/>
          <w:szCs w:val="24"/>
        </w:rPr>
        <w:t>et al</w:t>
      </w:r>
      <w:r w:rsidRPr="00145662">
        <w:rPr>
          <w:rFonts w:cstheme="minorHAnsi"/>
          <w:sz w:val="24"/>
          <w:szCs w:val="24"/>
        </w:rPr>
        <w:t xml:space="preserve">. Skeletal muscle adaptations to interval training in patients with advanced COPD. </w:t>
      </w:r>
      <w:r w:rsidRPr="00D47C29">
        <w:rPr>
          <w:rFonts w:cstheme="minorHAnsi"/>
          <w:i/>
          <w:iCs/>
          <w:sz w:val="24"/>
          <w:szCs w:val="24"/>
        </w:rPr>
        <w:t>Chest</w:t>
      </w:r>
      <w:r w:rsidRPr="00145662">
        <w:rPr>
          <w:rFonts w:cstheme="minorHAnsi"/>
          <w:sz w:val="24"/>
          <w:szCs w:val="24"/>
        </w:rPr>
        <w:t xml:space="preserve"> 2005; 128: 3838-3845.</w:t>
      </w:r>
    </w:p>
    <w:p w14:paraId="316DA761"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Vogiatzis</w:t>
      </w:r>
      <w:proofErr w:type="spellEnd"/>
      <w:r w:rsidRPr="00145662">
        <w:rPr>
          <w:rFonts w:cstheme="minorHAnsi"/>
          <w:sz w:val="24"/>
          <w:szCs w:val="24"/>
        </w:rPr>
        <w:t xml:space="preserve"> I, Nanas S, </w:t>
      </w:r>
      <w:proofErr w:type="spellStart"/>
      <w:r w:rsidRPr="00145662">
        <w:rPr>
          <w:rFonts w:cstheme="minorHAnsi"/>
          <w:sz w:val="24"/>
          <w:szCs w:val="24"/>
        </w:rPr>
        <w:t>Kastanakis</w:t>
      </w:r>
      <w:proofErr w:type="spellEnd"/>
      <w:r w:rsidRPr="00145662">
        <w:rPr>
          <w:rFonts w:cstheme="minorHAnsi"/>
          <w:sz w:val="24"/>
          <w:szCs w:val="24"/>
        </w:rPr>
        <w:t xml:space="preserve"> E, et al. Dynamic hyperinflation and tolerance to interval exercise in patients with advanced COPD. </w:t>
      </w:r>
      <w:proofErr w:type="spellStart"/>
      <w:r w:rsidRPr="00D47C29">
        <w:rPr>
          <w:rFonts w:cstheme="minorHAnsi"/>
          <w:i/>
          <w:iCs/>
          <w:sz w:val="24"/>
          <w:szCs w:val="24"/>
        </w:rPr>
        <w:t>Eur</w:t>
      </w:r>
      <w:proofErr w:type="spellEnd"/>
      <w:r w:rsidRPr="00D47C29">
        <w:rPr>
          <w:rFonts w:cstheme="minorHAnsi"/>
          <w:i/>
          <w:iCs/>
          <w:sz w:val="24"/>
          <w:szCs w:val="24"/>
        </w:rPr>
        <w:t xml:space="preserve"> Respir J</w:t>
      </w:r>
      <w:r w:rsidRPr="00145662">
        <w:rPr>
          <w:rFonts w:cstheme="minorHAnsi"/>
          <w:sz w:val="24"/>
          <w:szCs w:val="24"/>
        </w:rPr>
        <w:t xml:space="preserve"> 2004; 24: 385–390.</w:t>
      </w:r>
    </w:p>
    <w:p w14:paraId="56BB0430"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Kortianou</w:t>
      </w:r>
      <w:proofErr w:type="spellEnd"/>
      <w:r w:rsidRPr="00145662">
        <w:rPr>
          <w:rFonts w:cstheme="minorHAnsi"/>
          <w:sz w:val="24"/>
          <w:szCs w:val="24"/>
        </w:rPr>
        <w:t xml:space="preserve"> EA, </w:t>
      </w:r>
      <w:proofErr w:type="spellStart"/>
      <w:r w:rsidRPr="00145662">
        <w:rPr>
          <w:rFonts w:cstheme="minorHAnsi"/>
          <w:sz w:val="24"/>
          <w:szCs w:val="24"/>
        </w:rPr>
        <w:t>Nasis</w:t>
      </w:r>
      <w:proofErr w:type="spellEnd"/>
      <w:r w:rsidRPr="00145662">
        <w:rPr>
          <w:rFonts w:cstheme="minorHAnsi"/>
          <w:sz w:val="24"/>
          <w:szCs w:val="24"/>
        </w:rPr>
        <w:t xml:space="preserve"> IG, </w:t>
      </w:r>
      <w:proofErr w:type="spellStart"/>
      <w:r w:rsidRPr="00145662">
        <w:rPr>
          <w:rFonts w:cstheme="minorHAnsi"/>
          <w:sz w:val="24"/>
          <w:szCs w:val="24"/>
        </w:rPr>
        <w:t>Spetsioti</w:t>
      </w:r>
      <w:proofErr w:type="spellEnd"/>
      <w:r w:rsidRPr="00145662">
        <w:rPr>
          <w:rFonts w:cstheme="minorHAnsi"/>
          <w:sz w:val="24"/>
          <w:szCs w:val="24"/>
        </w:rPr>
        <w:t xml:space="preserve"> ST, et al. Effectiveness of interval exercise training in patients with COPD. </w:t>
      </w:r>
      <w:proofErr w:type="spellStart"/>
      <w:r w:rsidRPr="00D47C29">
        <w:rPr>
          <w:rFonts w:cstheme="minorHAnsi"/>
          <w:i/>
          <w:iCs/>
          <w:sz w:val="24"/>
          <w:szCs w:val="24"/>
        </w:rPr>
        <w:t>Cardiopulm</w:t>
      </w:r>
      <w:proofErr w:type="spellEnd"/>
      <w:r w:rsidRPr="00D47C29">
        <w:rPr>
          <w:rFonts w:cstheme="minorHAnsi"/>
          <w:i/>
          <w:iCs/>
          <w:sz w:val="24"/>
          <w:szCs w:val="24"/>
        </w:rPr>
        <w:t xml:space="preserve"> Phys </w:t>
      </w:r>
      <w:proofErr w:type="spellStart"/>
      <w:r w:rsidRPr="00D47C29">
        <w:rPr>
          <w:rFonts w:cstheme="minorHAnsi"/>
          <w:i/>
          <w:iCs/>
          <w:sz w:val="24"/>
          <w:szCs w:val="24"/>
        </w:rPr>
        <w:t>Ther</w:t>
      </w:r>
      <w:proofErr w:type="spellEnd"/>
      <w:r w:rsidRPr="00D47C29">
        <w:rPr>
          <w:rFonts w:cstheme="minorHAnsi"/>
          <w:i/>
          <w:iCs/>
          <w:sz w:val="24"/>
          <w:szCs w:val="24"/>
        </w:rPr>
        <w:t xml:space="preserve"> J</w:t>
      </w:r>
      <w:r w:rsidRPr="00145662">
        <w:rPr>
          <w:rFonts w:cstheme="minorHAnsi"/>
          <w:sz w:val="24"/>
          <w:szCs w:val="24"/>
        </w:rPr>
        <w:t xml:space="preserve"> 2010; 21: 12–19.</w:t>
      </w:r>
    </w:p>
    <w:p w14:paraId="5F9C7802"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 Beauchamp M. A, </w:t>
      </w:r>
      <w:proofErr w:type="spellStart"/>
      <w:r w:rsidRPr="00145662">
        <w:rPr>
          <w:rFonts w:cstheme="minorHAnsi"/>
          <w:sz w:val="24"/>
          <w:szCs w:val="24"/>
        </w:rPr>
        <w:t>Nonoyama</w:t>
      </w:r>
      <w:proofErr w:type="spellEnd"/>
      <w:r w:rsidRPr="00145662">
        <w:rPr>
          <w:rFonts w:cstheme="minorHAnsi"/>
          <w:sz w:val="24"/>
          <w:szCs w:val="24"/>
        </w:rPr>
        <w:t xml:space="preserve"> M., Goldstein R. S., et al. Interval versus continuous training in individuals with chronic obstructive pulmonary disease- a systematic review. </w:t>
      </w:r>
      <w:r w:rsidRPr="00D47C29">
        <w:rPr>
          <w:rFonts w:cstheme="minorHAnsi"/>
          <w:i/>
          <w:iCs/>
          <w:sz w:val="24"/>
          <w:szCs w:val="24"/>
        </w:rPr>
        <w:t>Thorax</w:t>
      </w:r>
      <w:r w:rsidRPr="00145662">
        <w:rPr>
          <w:rFonts w:cstheme="minorHAnsi"/>
          <w:sz w:val="24"/>
          <w:szCs w:val="24"/>
        </w:rPr>
        <w:t xml:space="preserve"> 2010; 65: 157-164.</w:t>
      </w:r>
    </w:p>
    <w:p w14:paraId="10B4C503"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Gloeckl</w:t>
      </w:r>
      <w:proofErr w:type="spellEnd"/>
      <w:r w:rsidRPr="00145662">
        <w:rPr>
          <w:rFonts w:cstheme="minorHAnsi"/>
          <w:sz w:val="24"/>
          <w:szCs w:val="24"/>
        </w:rPr>
        <w:t xml:space="preserve"> R, Halle M, Kenn K. Interval versus continuous training in lung transplant candidates: a randomized trial. </w:t>
      </w:r>
      <w:r w:rsidRPr="00D47C29">
        <w:rPr>
          <w:rFonts w:cstheme="minorHAnsi"/>
          <w:i/>
          <w:iCs/>
          <w:sz w:val="24"/>
          <w:szCs w:val="24"/>
        </w:rPr>
        <w:t xml:space="preserve">J Heart Lung Transplant </w:t>
      </w:r>
      <w:r w:rsidRPr="00145662">
        <w:rPr>
          <w:rFonts w:cstheme="minorHAnsi"/>
          <w:sz w:val="24"/>
          <w:szCs w:val="24"/>
        </w:rPr>
        <w:t xml:space="preserve">2012; 31: 934–941. </w:t>
      </w:r>
    </w:p>
    <w:p w14:paraId="01F6C73B"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Nikoletou D, Lech C. Y., MacNaughton I.S, Chis-Ster I., Chua F., Aul R., Jones P.. High intensity interval versus moderate intensity continuous training in pulmonary rehabilitation for patients with interstitial lung disease. - American Thoracic Society Conference-</w:t>
      </w:r>
      <w:r w:rsidRPr="00145662">
        <w:rPr>
          <w:rStyle w:val="Heading5Char"/>
          <w:rFonts w:asciiTheme="minorHAnsi" w:eastAsiaTheme="minorHAnsi" w:hAnsiTheme="minorHAnsi" w:cstheme="minorHAnsi"/>
          <w:sz w:val="24"/>
          <w:szCs w:val="24"/>
          <w:shd w:val="clear" w:color="auto" w:fill="FFFFFF"/>
        </w:rPr>
        <w:t xml:space="preserve"> </w:t>
      </w:r>
      <w:r w:rsidRPr="00145662">
        <w:rPr>
          <w:rStyle w:val="journalname"/>
          <w:rFonts w:cstheme="minorHAnsi"/>
          <w:sz w:val="24"/>
          <w:szCs w:val="24"/>
          <w:shd w:val="clear" w:color="auto" w:fill="FFFFFF"/>
        </w:rPr>
        <w:t xml:space="preserve">B109. HIGHLIGHTS AND ADVANCES IN PULMONARY REHABILITATION. </w:t>
      </w:r>
      <w:r w:rsidRPr="00145662">
        <w:rPr>
          <w:rStyle w:val="year"/>
          <w:rFonts w:cstheme="minorHAnsi"/>
          <w:sz w:val="24"/>
          <w:szCs w:val="24"/>
          <w:shd w:val="clear" w:color="auto" w:fill="FFFFFF"/>
        </w:rPr>
        <w:t>May 2016</w:t>
      </w:r>
      <w:r w:rsidRPr="00145662">
        <w:rPr>
          <w:rFonts w:cstheme="minorHAnsi"/>
          <w:sz w:val="24"/>
          <w:szCs w:val="24"/>
          <w:shd w:val="clear" w:color="auto" w:fill="FFFFFF"/>
        </w:rPr>
        <w:t xml:space="preserve">, </w:t>
      </w:r>
      <w:r w:rsidRPr="00145662">
        <w:rPr>
          <w:rStyle w:val="page"/>
          <w:rFonts w:cstheme="minorHAnsi"/>
          <w:sz w:val="24"/>
          <w:szCs w:val="24"/>
          <w:shd w:val="clear" w:color="auto" w:fill="FFFFFF"/>
        </w:rPr>
        <w:t>A4520-A4520</w:t>
      </w:r>
      <w:r w:rsidRPr="00145662">
        <w:rPr>
          <w:rFonts w:cstheme="minorHAnsi"/>
          <w:sz w:val="24"/>
          <w:szCs w:val="24"/>
        </w:rPr>
        <w:t xml:space="preserve"> San Francisco, USA.</w:t>
      </w:r>
    </w:p>
    <w:p w14:paraId="7345CC51"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shd w:val="clear" w:color="auto" w:fill="FFFFFF"/>
        </w:rPr>
        <w:t xml:space="preserve">Manali, E.D., </w:t>
      </w:r>
      <w:proofErr w:type="spellStart"/>
      <w:r w:rsidRPr="00145662">
        <w:rPr>
          <w:rFonts w:cstheme="minorHAnsi"/>
          <w:sz w:val="24"/>
          <w:szCs w:val="24"/>
          <w:shd w:val="clear" w:color="auto" w:fill="FFFFFF"/>
        </w:rPr>
        <w:t>Lyberopoulos</w:t>
      </w:r>
      <w:proofErr w:type="spellEnd"/>
      <w:r w:rsidRPr="00145662">
        <w:rPr>
          <w:rFonts w:cstheme="minorHAnsi"/>
          <w:sz w:val="24"/>
          <w:szCs w:val="24"/>
          <w:shd w:val="clear" w:color="auto" w:fill="FFFFFF"/>
        </w:rPr>
        <w:t xml:space="preserve">, P., </w:t>
      </w:r>
      <w:proofErr w:type="spellStart"/>
      <w:r w:rsidRPr="00145662">
        <w:rPr>
          <w:rFonts w:cstheme="minorHAnsi"/>
          <w:sz w:val="24"/>
          <w:szCs w:val="24"/>
          <w:shd w:val="clear" w:color="auto" w:fill="FFFFFF"/>
        </w:rPr>
        <w:t>Triantafillidou</w:t>
      </w:r>
      <w:proofErr w:type="spellEnd"/>
      <w:r w:rsidRPr="00145662">
        <w:rPr>
          <w:rFonts w:cstheme="minorHAnsi"/>
          <w:sz w:val="24"/>
          <w:szCs w:val="24"/>
          <w:shd w:val="clear" w:color="auto" w:fill="FFFFFF"/>
        </w:rPr>
        <w:t>, C. </w:t>
      </w:r>
      <w:r w:rsidRPr="00145662">
        <w:rPr>
          <w:rFonts w:cstheme="minorHAnsi"/>
          <w:i/>
          <w:iCs/>
          <w:sz w:val="24"/>
          <w:szCs w:val="24"/>
          <w:shd w:val="clear" w:color="auto" w:fill="FFFFFF"/>
        </w:rPr>
        <w:t>et al.</w:t>
      </w:r>
      <w:r w:rsidRPr="00145662">
        <w:rPr>
          <w:rFonts w:cstheme="minorHAnsi"/>
          <w:sz w:val="24"/>
          <w:szCs w:val="24"/>
          <w:shd w:val="clear" w:color="auto" w:fill="FFFFFF"/>
        </w:rPr>
        <w:t xml:space="preserve"> MRC chronic </w:t>
      </w:r>
      <w:proofErr w:type="spellStart"/>
      <w:r w:rsidRPr="00145662">
        <w:rPr>
          <w:rFonts w:cstheme="minorHAnsi"/>
          <w:sz w:val="24"/>
          <w:szCs w:val="24"/>
          <w:shd w:val="clear" w:color="auto" w:fill="FFFFFF"/>
        </w:rPr>
        <w:t>Dyspnea</w:t>
      </w:r>
      <w:proofErr w:type="spellEnd"/>
      <w:r w:rsidRPr="00145662">
        <w:rPr>
          <w:rFonts w:cstheme="minorHAnsi"/>
          <w:sz w:val="24"/>
          <w:szCs w:val="24"/>
          <w:shd w:val="clear" w:color="auto" w:fill="FFFFFF"/>
        </w:rPr>
        <w:t xml:space="preserve"> Scale: Relationships with cardiopulmonary exercise testing and 6-minute walk test in idiopathic pulmonary fibrosis patients: a prospective study. </w:t>
      </w:r>
      <w:r w:rsidRPr="00145662">
        <w:rPr>
          <w:rFonts w:cstheme="minorHAnsi"/>
          <w:i/>
          <w:iCs/>
          <w:sz w:val="24"/>
          <w:szCs w:val="24"/>
          <w:shd w:val="clear" w:color="auto" w:fill="FFFFFF"/>
        </w:rPr>
        <w:t xml:space="preserve">BMC </w:t>
      </w:r>
      <w:proofErr w:type="spellStart"/>
      <w:r w:rsidRPr="00145662">
        <w:rPr>
          <w:rFonts w:cstheme="minorHAnsi"/>
          <w:i/>
          <w:iCs/>
          <w:sz w:val="24"/>
          <w:szCs w:val="24"/>
          <w:shd w:val="clear" w:color="auto" w:fill="FFFFFF"/>
        </w:rPr>
        <w:t>Pulm</w:t>
      </w:r>
      <w:proofErr w:type="spellEnd"/>
      <w:r w:rsidRPr="00145662">
        <w:rPr>
          <w:rFonts w:cstheme="minorHAnsi"/>
          <w:i/>
          <w:iCs/>
          <w:sz w:val="24"/>
          <w:szCs w:val="24"/>
          <w:shd w:val="clear" w:color="auto" w:fill="FFFFFF"/>
        </w:rPr>
        <w:t xml:space="preserve"> Med</w:t>
      </w:r>
      <w:r w:rsidRPr="00145662">
        <w:rPr>
          <w:rFonts w:cstheme="minorHAnsi"/>
          <w:sz w:val="24"/>
          <w:szCs w:val="24"/>
          <w:shd w:val="clear" w:color="auto" w:fill="FFFFFF"/>
        </w:rPr>
        <w:t> </w:t>
      </w:r>
      <w:r w:rsidRPr="00145662">
        <w:rPr>
          <w:rFonts w:cstheme="minorHAnsi"/>
          <w:b/>
          <w:bCs/>
          <w:sz w:val="24"/>
          <w:szCs w:val="24"/>
          <w:shd w:val="clear" w:color="auto" w:fill="FFFFFF"/>
        </w:rPr>
        <w:t>10</w:t>
      </w:r>
      <w:r w:rsidRPr="00145662">
        <w:rPr>
          <w:rFonts w:cstheme="minorHAnsi"/>
          <w:sz w:val="24"/>
          <w:szCs w:val="24"/>
          <w:shd w:val="clear" w:color="auto" w:fill="FFFFFF"/>
        </w:rPr>
        <w:t>, 32 (2010). https://doi.org/10.1186/1471-2466-10-32</w:t>
      </w:r>
    </w:p>
    <w:p w14:paraId="57BC2DDF" w14:textId="77777777" w:rsidR="00825C89" w:rsidRPr="00145662" w:rsidRDefault="00825C89" w:rsidP="00825C89">
      <w:pPr>
        <w:pStyle w:val="ListParagraph"/>
        <w:numPr>
          <w:ilvl w:val="0"/>
          <w:numId w:val="10"/>
        </w:numPr>
        <w:autoSpaceDE w:val="0"/>
        <w:autoSpaceDN w:val="0"/>
        <w:adjustRightInd w:val="0"/>
        <w:spacing w:after="0"/>
        <w:jc w:val="both"/>
        <w:rPr>
          <w:rStyle w:val="HTMLCite"/>
          <w:rFonts w:cstheme="minorHAnsi"/>
          <w:i w:val="0"/>
          <w:iCs w:val="0"/>
          <w:sz w:val="24"/>
          <w:szCs w:val="24"/>
        </w:rPr>
      </w:pPr>
      <w:r w:rsidRPr="00145662">
        <w:rPr>
          <w:rStyle w:val="HTMLCite"/>
          <w:rFonts w:cstheme="minorHAnsi"/>
          <w:i w:val="0"/>
          <w:sz w:val="24"/>
          <w:szCs w:val="24"/>
        </w:rPr>
        <w:t xml:space="preserve">Borg G: Perceived exertion as an indicator of somatic stress. </w:t>
      </w:r>
      <w:proofErr w:type="spellStart"/>
      <w:r w:rsidRPr="00D47C29">
        <w:rPr>
          <w:rStyle w:val="HTMLCite"/>
          <w:rFonts w:cstheme="minorHAnsi"/>
          <w:iCs w:val="0"/>
          <w:sz w:val="24"/>
          <w:szCs w:val="24"/>
        </w:rPr>
        <w:t>Scand</w:t>
      </w:r>
      <w:proofErr w:type="spellEnd"/>
      <w:r w:rsidRPr="00D47C29">
        <w:rPr>
          <w:rStyle w:val="HTMLCite"/>
          <w:rFonts w:cstheme="minorHAnsi"/>
          <w:iCs w:val="0"/>
          <w:sz w:val="24"/>
          <w:szCs w:val="24"/>
        </w:rPr>
        <w:t xml:space="preserve"> J </w:t>
      </w:r>
      <w:proofErr w:type="spellStart"/>
      <w:r w:rsidRPr="00D47C29">
        <w:rPr>
          <w:rStyle w:val="HTMLCite"/>
          <w:rFonts w:cstheme="minorHAnsi"/>
          <w:iCs w:val="0"/>
          <w:sz w:val="24"/>
          <w:szCs w:val="24"/>
        </w:rPr>
        <w:t>Rehabil</w:t>
      </w:r>
      <w:proofErr w:type="spellEnd"/>
      <w:r w:rsidRPr="00D47C29">
        <w:rPr>
          <w:rStyle w:val="HTMLCite"/>
          <w:rFonts w:cstheme="minorHAnsi"/>
          <w:iCs w:val="0"/>
          <w:sz w:val="24"/>
          <w:szCs w:val="24"/>
        </w:rPr>
        <w:t xml:space="preserve"> Med</w:t>
      </w:r>
      <w:r w:rsidRPr="00145662">
        <w:rPr>
          <w:rStyle w:val="HTMLCite"/>
          <w:rFonts w:cstheme="minorHAnsi"/>
          <w:i w:val="0"/>
          <w:sz w:val="24"/>
          <w:szCs w:val="24"/>
        </w:rPr>
        <w:t>. 1970, 2: 92-98.</w:t>
      </w:r>
    </w:p>
    <w:p w14:paraId="6938AAE3" w14:textId="77777777" w:rsidR="00825C89" w:rsidRPr="00145662" w:rsidRDefault="00825C89" w:rsidP="00825C89">
      <w:pPr>
        <w:pStyle w:val="ListParagraph"/>
        <w:numPr>
          <w:ilvl w:val="0"/>
          <w:numId w:val="10"/>
        </w:numPr>
        <w:autoSpaceDE w:val="0"/>
        <w:autoSpaceDN w:val="0"/>
        <w:adjustRightInd w:val="0"/>
        <w:spacing w:after="0"/>
        <w:jc w:val="both"/>
        <w:rPr>
          <w:rStyle w:val="HTMLCite"/>
          <w:rFonts w:cstheme="minorHAnsi"/>
          <w:i w:val="0"/>
          <w:iCs w:val="0"/>
          <w:sz w:val="24"/>
          <w:szCs w:val="24"/>
        </w:rPr>
      </w:pPr>
      <w:r w:rsidRPr="00145662">
        <w:rPr>
          <w:rStyle w:val="HTMLCite"/>
          <w:rFonts w:cstheme="minorHAnsi"/>
          <w:i w:val="0"/>
          <w:sz w:val="24"/>
          <w:szCs w:val="24"/>
        </w:rPr>
        <w:t xml:space="preserve">Borg GA: Psychophysical bases of perceived exertion. </w:t>
      </w:r>
      <w:r w:rsidRPr="00D47C29">
        <w:rPr>
          <w:rStyle w:val="HTMLCite"/>
          <w:rFonts w:cstheme="minorHAnsi"/>
          <w:iCs w:val="0"/>
          <w:sz w:val="24"/>
          <w:szCs w:val="24"/>
        </w:rPr>
        <w:t xml:space="preserve">Med Sci Sports </w:t>
      </w:r>
      <w:proofErr w:type="spellStart"/>
      <w:r w:rsidRPr="00D47C29">
        <w:rPr>
          <w:rStyle w:val="HTMLCite"/>
          <w:rFonts w:cstheme="minorHAnsi"/>
          <w:iCs w:val="0"/>
          <w:sz w:val="24"/>
          <w:szCs w:val="24"/>
        </w:rPr>
        <w:t>Exerc</w:t>
      </w:r>
      <w:proofErr w:type="spellEnd"/>
      <w:r w:rsidRPr="00D47C29">
        <w:rPr>
          <w:rStyle w:val="HTMLCite"/>
          <w:rFonts w:cstheme="minorHAnsi"/>
          <w:iCs w:val="0"/>
          <w:sz w:val="24"/>
          <w:szCs w:val="24"/>
        </w:rPr>
        <w:t>.</w:t>
      </w:r>
      <w:r w:rsidRPr="00145662">
        <w:rPr>
          <w:rStyle w:val="HTMLCite"/>
          <w:rFonts w:cstheme="minorHAnsi"/>
          <w:i w:val="0"/>
          <w:sz w:val="24"/>
          <w:szCs w:val="24"/>
        </w:rPr>
        <w:t xml:space="preserve"> 1982, 14: 377-381</w:t>
      </w:r>
    </w:p>
    <w:p w14:paraId="3E00AF5D"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ATS statement: guidelines for the six-minute walk test. </w:t>
      </w:r>
      <w:r w:rsidRPr="00D47C29">
        <w:rPr>
          <w:rFonts w:cstheme="minorHAnsi"/>
          <w:i/>
          <w:iCs/>
          <w:sz w:val="24"/>
          <w:szCs w:val="24"/>
        </w:rPr>
        <w:t>Am J Respir Crit Care Med</w:t>
      </w:r>
      <w:r w:rsidRPr="00145662">
        <w:rPr>
          <w:rFonts w:cstheme="minorHAnsi"/>
          <w:sz w:val="24"/>
          <w:szCs w:val="24"/>
        </w:rPr>
        <w:t xml:space="preserve"> 2002; 166: 111–17.</w:t>
      </w:r>
    </w:p>
    <w:p w14:paraId="3B546804"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Yorke J, Jones P, </w:t>
      </w:r>
      <w:proofErr w:type="spellStart"/>
      <w:r w:rsidRPr="00145662">
        <w:rPr>
          <w:rFonts w:cstheme="minorHAnsi"/>
          <w:sz w:val="24"/>
          <w:szCs w:val="24"/>
        </w:rPr>
        <w:t>Swigris</w:t>
      </w:r>
      <w:proofErr w:type="spellEnd"/>
      <w:r w:rsidRPr="00145662">
        <w:rPr>
          <w:rFonts w:cstheme="minorHAnsi"/>
          <w:sz w:val="24"/>
          <w:szCs w:val="24"/>
        </w:rPr>
        <w:t xml:space="preserve"> J </w:t>
      </w:r>
      <w:proofErr w:type="spellStart"/>
      <w:r w:rsidRPr="00145662">
        <w:rPr>
          <w:rFonts w:cstheme="minorHAnsi"/>
          <w:sz w:val="24"/>
          <w:szCs w:val="24"/>
        </w:rPr>
        <w:t>J</w:t>
      </w:r>
      <w:proofErr w:type="spellEnd"/>
      <w:r w:rsidRPr="00145662">
        <w:rPr>
          <w:rFonts w:cstheme="minorHAnsi"/>
          <w:sz w:val="24"/>
          <w:szCs w:val="24"/>
        </w:rPr>
        <w:t xml:space="preserve">. Development and validity testing of an IPF-specific version of the St George’s Respiratory questionnaire. </w:t>
      </w:r>
      <w:r w:rsidRPr="00D47C29">
        <w:rPr>
          <w:rFonts w:cstheme="minorHAnsi"/>
          <w:i/>
          <w:iCs/>
          <w:sz w:val="24"/>
          <w:szCs w:val="24"/>
        </w:rPr>
        <w:t>Thorax</w:t>
      </w:r>
      <w:r w:rsidRPr="00145662">
        <w:rPr>
          <w:rFonts w:cstheme="minorHAnsi"/>
          <w:sz w:val="24"/>
          <w:szCs w:val="24"/>
        </w:rPr>
        <w:t xml:space="preserve"> 2010; 65: 921-926.</w:t>
      </w:r>
    </w:p>
    <w:p w14:paraId="30272424"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Zigmond</w:t>
      </w:r>
      <w:proofErr w:type="spellEnd"/>
      <w:r w:rsidRPr="00145662">
        <w:rPr>
          <w:rFonts w:cstheme="minorHAnsi"/>
          <w:sz w:val="24"/>
          <w:szCs w:val="24"/>
        </w:rPr>
        <w:t xml:space="preserve"> AS and Snaith RP: The Hospital Anxiety And Depression Scale</w:t>
      </w:r>
      <w:r>
        <w:rPr>
          <w:rFonts w:cstheme="minorHAnsi"/>
          <w:sz w:val="24"/>
          <w:szCs w:val="24"/>
        </w:rPr>
        <w:t xml:space="preserve">. </w:t>
      </w:r>
      <w:r w:rsidRPr="00D47C29">
        <w:rPr>
          <w:rFonts w:cstheme="minorHAnsi"/>
          <w:i/>
          <w:iCs/>
          <w:sz w:val="24"/>
          <w:szCs w:val="24"/>
        </w:rPr>
        <w:t xml:space="preserve">Acta </w:t>
      </w:r>
      <w:proofErr w:type="spellStart"/>
      <w:r w:rsidRPr="00D47C29">
        <w:rPr>
          <w:rFonts w:cstheme="minorHAnsi"/>
          <w:i/>
          <w:iCs/>
          <w:sz w:val="24"/>
          <w:szCs w:val="24"/>
        </w:rPr>
        <w:t>Psychiatr</w:t>
      </w:r>
      <w:proofErr w:type="spellEnd"/>
      <w:r w:rsidRPr="00D47C29">
        <w:rPr>
          <w:rFonts w:cstheme="minorHAnsi"/>
          <w:i/>
          <w:iCs/>
          <w:sz w:val="24"/>
          <w:szCs w:val="24"/>
        </w:rPr>
        <w:t xml:space="preserve"> </w:t>
      </w:r>
      <w:proofErr w:type="spellStart"/>
      <w:r w:rsidRPr="00D47C29">
        <w:rPr>
          <w:rFonts w:cstheme="minorHAnsi"/>
          <w:i/>
          <w:iCs/>
          <w:sz w:val="24"/>
          <w:szCs w:val="24"/>
        </w:rPr>
        <w:t>Scand</w:t>
      </w:r>
      <w:proofErr w:type="spellEnd"/>
      <w:r w:rsidRPr="00145662">
        <w:rPr>
          <w:rFonts w:cstheme="minorHAnsi"/>
          <w:sz w:val="24"/>
          <w:szCs w:val="24"/>
        </w:rPr>
        <w:t xml:space="preserve"> 1983, 67:361-70</w:t>
      </w:r>
    </w:p>
    <w:p w14:paraId="68A245E1"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shd w:val="clear" w:color="auto" w:fill="FFFFFF"/>
        </w:rPr>
        <w:t xml:space="preserve">PA Harris, R Taylor, BL Minor, V Elliott, M Fernandez, L O’Neal, L McLeod, G </w:t>
      </w:r>
      <w:proofErr w:type="spellStart"/>
      <w:r w:rsidRPr="00145662">
        <w:rPr>
          <w:rFonts w:cstheme="minorHAnsi"/>
          <w:sz w:val="24"/>
          <w:szCs w:val="24"/>
          <w:shd w:val="clear" w:color="auto" w:fill="FFFFFF"/>
        </w:rPr>
        <w:t>Delacqua</w:t>
      </w:r>
      <w:proofErr w:type="spellEnd"/>
      <w:r w:rsidRPr="00145662">
        <w:rPr>
          <w:rFonts w:cstheme="minorHAnsi"/>
          <w:sz w:val="24"/>
          <w:szCs w:val="24"/>
          <w:shd w:val="clear" w:color="auto" w:fill="FFFFFF"/>
        </w:rPr>
        <w:t xml:space="preserve">, F </w:t>
      </w:r>
      <w:proofErr w:type="spellStart"/>
      <w:r w:rsidRPr="00145662">
        <w:rPr>
          <w:rFonts w:cstheme="minorHAnsi"/>
          <w:sz w:val="24"/>
          <w:szCs w:val="24"/>
          <w:shd w:val="clear" w:color="auto" w:fill="FFFFFF"/>
        </w:rPr>
        <w:t>Delacqua</w:t>
      </w:r>
      <w:proofErr w:type="spellEnd"/>
      <w:r w:rsidRPr="00145662">
        <w:rPr>
          <w:rFonts w:cstheme="minorHAnsi"/>
          <w:sz w:val="24"/>
          <w:szCs w:val="24"/>
          <w:shd w:val="clear" w:color="auto" w:fill="FFFFFF"/>
        </w:rPr>
        <w:t xml:space="preserve">, J Kirby, SN </w:t>
      </w:r>
      <w:proofErr w:type="spellStart"/>
      <w:r w:rsidRPr="00145662">
        <w:rPr>
          <w:rFonts w:cstheme="minorHAnsi"/>
          <w:sz w:val="24"/>
          <w:szCs w:val="24"/>
          <w:shd w:val="clear" w:color="auto" w:fill="FFFFFF"/>
        </w:rPr>
        <w:t>Duda</w:t>
      </w:r>
      <w:proofErr w:type="spellEnd"/>
      <w:r w:rsidRPr="00145662">
        <w:rPr>
          <w:rFonts w:cstheme="minorHAnsi"/>
          <w:sz w:val="24"/>
          <w:szCs w:val="24"/>
          <w:shd w:val="clear" w:color="auto" w:fill="FFFFFF"/>
        </w:rPr>
        <w:t xml:space="preserve">, </w:t>
      </w:r>
      <w:proofErr w:type="spellStart"/>
      <w:r w:rsidRPr="00145662">
        <w:rPr>
          <w:rFonts w:cstheme="minorHAnsi"/>
          <w:sz w:val="24"/>
          <w:szCs w:val="24"/>
          <w:shd w:val="clear" w:color="auto" w:fill="FFFFFF"/>
        </w:rPr>
        <w:t>REDCap</w:t>
      </w:r>
      <w:proofErr w:type="spellEnd"/>
      <w:r w:rsidRPr="00145662">
        <w:rPr>
          <w:rFonts w:cstheme="minorHAnsi"/>
          <w:sz w:val="24"/>
          <w:szCs w:val="24"/>
          <w:shd w:val="clear" w:color="auto" w:fill="FFFFFF"/>
        </w:rPr>
        <w:t xml:space="preserve"> Consortium, </w:t>
      </w:r>
      <w:r w:rsidRPr="00145662">
        <w:rPr>
          <w:rStyle w:val="Strong"/>
          <w:rFonts w:cstheme="minorHAnsi"/>
          <w:b w:val="0"/>
          <w:bCs w:val="0"/>
          <w:sz w:val="24"/>
          <w:szCs w:val="24"/>
          <w:shd w:val="clear" w:color="auto" w:fill="FFFFFF"/>
        </w:rPr>
        <w:t xml:space="preserve">The </w:t>
      </w:r>
      <w:proofErr w:type="spellStart"/>
      <w:r w:rsidRPr="00145662">
        <w:rPr>
          <w:rStyle w:val="Strong"/>
          <w:rFonts w:cstheme="minorHAnsi"/>
          <w:b w:val="0"/>
          <w:bCs w:val="0"/>
          <w:sz w:val="24"/>
          <w:szCs w:val="24"/>
          <w:shd w:val="clear" w:color="auto" w:fill="FFFFFF"/>
        </w:rPr>
        <w:t>REDCap</w:t>
      </w:r>
      <w:proofErr w:type="spellEnd"/>
      <w:r w:rsidRPr="00145662">
        <w:rPr>
          <w:rStyle w:val="Strong"/>
          <w:rFonts w:cstheme="minorHAnsi"/>
          <w:b w:val="0"/>
          <w:bCs w:val="0"/>
          <w:sz w:val="24"/>
          <w:szCs w:val="24"/>
          <w:shd w:val="clear" w:color="auto" w:fill="FFFFFF"/>
        </w:rPr>
        <w:t xml:space="preserve"> consortium: Building an international community of software partners</w:t>
      </w:r>
      <w:r>
        <w:rPr>
          <w:rFonts w:cstheme="minorHAnsi"/>
          <w:sz w:val="24"/>
          <w:szCs w:val="24"/>
          <w:shd w:val="clear" w:color="auto" w:fill="FFFFFF"/>
        </w:rPr>
        <w:t>.</w:t>
      </w:r>
      <w:r w:rsidRPr="00145662">
        <w:rPr>
          <w:rFonts w:cstheme="minorHAnsi"/>
          <w:sz w:val="24"/>
          <w:szCs w:val="24"/>
          <w:shd w:val="clear" w:color="auto" w:fill="FFFFFF"/>
        </w:rPr>
        <w:t> </w:t>
      </w:r>
      <w:r w:rsidRPr="00145662">
        <w:rPr>
          <w:rStyle w:val="Emphasis"/>
          <w:rFonts w:cstheme="minorHAnsi"/>
          <w:sz w:val="24"/>
          <w:szCs w:val="24"/>
          <w:shd w:val="clear" w:color="auto" w:fill="FFFFFF"/>
        </w:rPr>
        <w:t>J Biomed Inform. 2019 May 9 [</w:t>
      </w:r>
      <w:proofErr w:type="spellStart"/>
      <w:r w:rsidRPr="00145662">
        <w:rPr>
          <w:rStyle w:val="Emphasis"/>
          <w:rFonts w:cstheme="minorHAnsi"/>
          <w:sz w:val="24"/>
          <w:szCs w:val="24"/>
          <w:shd w:val="clear" w:color="auto" w:fill="FFFFFF"/>
        </w:rPr>
        <w:t>doi</w:t>
      </w:r>
      <w:proofErr w:type="spellEnd"/>
      <w:r w:rsidRPr="00145662">
        <w:rPr>
          <w:rStyle w:val="Emphasis"/>
          <w:rFonts w:cstheme="minorHAnsi"/>
          <w:sz w:val="24"/>
          <w:szCs w:val="24"/>
          <w:shd w:val="clear" w:color="auto" w:fill="FFFFFF"/>
        </w:rPr>
        <w:t>: 10.1016/j.jbi.2019.103208]</w:t>
      </w:r>
    </w:p>
    <w:p w14:paraId="345FA98C" w14:textId="77777777" w:rsidR="00825C89" w:rsidRDefault="00825C89" w:rsidP="00825C89">
      <w:pPr>
        <w:pStyle w:val="ListParagraph"/>
        <w:numPr>
          <w:ilvl w:val="0"/>
          <w:numId w:val="10"/>
        </w:numPr>
        <w:autoSpaceDE w:val="0"/>
        <w:autoSpaceDN w:val="0"/>
        <w:adjustRightInd w:val="0"/>
        <w:spacing w:after="0"/>
        <w:jc w:val="both"/>
        <w:rPr>
          <w:rFonts w:cstheme="minorHAnsi"/>
          <w:sz w:val="24"/>
          <w:szCs w:val="24"/>
        </w:rPr>
      </w:pPr>
      <w:r>
        <w:rPr>
          <w:rFonts w:cstheme="minorHAnsi"/>
          <w:sz w:val="24"/>
          <w:szCs w:val="24"/>
        </w:rPr>
        <w:t xml:space="preserve">Resources for pilot and feasibility studies. Available from: </w:t>
      </w:r>
      <w:hyperlink r:id="rId15" w:history="1">
        <w:r w:rsidRPr="00117143">
          <w:rPr>
            <w:rStyle w:val="Hyperlink"/>
            <w:rFonts w:cstheme="minorHAnsi"/>
            <w:sz w:val="24"/>
            <w:szCs w:val="24"/>
          </w:rPr>
          <w:t>https://pilotandfeasibilitystudies.qmul.ac.uk/</w:t>
        </w:r>
      </w:hyperlink>
      <w:r>
        <w:rPr>
          <w:rFonts w:cstheme="minorHAnsi"/>
          <w:sz w:val="24"/>
          <w:szCs w:val="24"/>
        </w:rPr>
        <w:t xml:space="preserve"> resources/.</w:t>
      </w:r>
    </w:p>
    <w:p w14:paraId="54F82D69"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Holland AE, Hill CJ, </w:t>
      </w:r>
      <w:proofErr w:type="spellStart"/>
      <w:r w:rsidRPr="00145662">
        <w:rPr>
          <w:rFonts w:cstheme="minorHAnsi"/>
          <w:sz w:val="24"/>
          <w:szCs w:val="24"/>
        </w:rPr>
        <w:t>Connon</w:t>
      </w:r>
      <w:proofErr w:type="spellEnd"/>
      <w:r w:rsidRPr="00145662">
        <w:rPr>
          <w:rFonts w:cstheme="minorHAnsi"/>
          <w:sz w:val="24"/>
          <w:szCs w:val="24"/>
        </w:rPr>
        <w:t xml:space="preserve"> M, </w:t>
      </w:r>
      <w:r w:rsidRPr="00145662">
        <w:rPr>
          <w:rFonts w:cstheme="minorHAnsi"/>
          <w:i/>
          <w:sz w:val="24"/>
          <w:szCs w:val="24"/>
        </w:rPr>
        <w:t>et al</w:t>
      </w:r>
      <w:r w:rsidRPr="00145662">
        <w:rPr>
          <w:rFonts w:cstheme="minorHAnsi"/>
          <w:sz w:val="24"/>
          <w:szCs w:val="24"/>
        </w:rPr>
        <w:t xml:space="preserve">. Short term improvement in exercise capacity and symptoms following exercise training in interstitial lung disease. </w:t>
      </w:r>
      <w:r w:rsidRPr="00D47C29">
        <w:rPr>
          <w:rFonts w:cstheme="minorHAnsi"/>
          <w:i/>
          <w:iCs/>
          <w:sz w:val="24"/>
          <w:szCs w:val="24"/>
        </w:rPr>
        <w:t>Thorax</w:t>
      </w:r>
      <w:r w:rsidRPr="00145662">
        <w:rPr>
          <w:rFonts w:cstheme="minorHAnsi"/>
          <w:sz w:val="24"/>
          <w:szCs w:val="24"/>
        </w:rPr>
        <w:t xml:space="preserve"> 2008; 63: 549-554.</w:t>
      </w:r>
    </w:p>
    <w:p w14:paraId="4FF2EEE8"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Perez-</w:t>
      </w:r>
      <w:proofErr w:type="spellStart"/>
      <w:r w:rsidRPr="00145662">
        <w:rPr>
          <w:rFonts w:cstheme="minorHAnsi"/>
          <w:sz w:val="24"/>
          <w:szCs w:val="24"/>
        </w:rPr>
        <w:t>Bogerd</w:t>
      </w:r>
      <w:proofErr w:type="spellEnd"/>
      <w:r w:rsidRPr="00145662">
        <w:rPr>
          <w:rFonts w:cstheme="minorHAnsi"/>
          <w:sz w:val="24"/>
          <w:szCs w:val="24"/>
        </w:rPr>
        <w:t xml:space="preserve"> S., </w:t>
      </w:r>
      <w:proofErr w:type="spellStart"/>
      <w:r w:rsidRPr="00145662">
        <w:rPr>
          <w:rFonts w:cstheme="minorHAnsi"/>
          <w:sz w:val="24"/>
          <w:szCs w:val="24"/>
        </w:rPr>
        <w:t>Wuyts</w:t>
      </w:r>
      <w:proofErr w:type="spellEnd"/>
      <w:r w:rsidRPr="00145662">
        <w:rPr>
          <w:rFonts w:cstheme="minorHAnsi"/>
          <w:sz w:val="24"/>
          <w:szCs w:val="24"/>
        </w:rPr>
        <w:t xml:space="preserve"> W, </w:t>
      </w:r>
      <w:proofErr w:type="spellStart"/>
      <w:r w:rsidRPr="00145662">
        <w:rPr>
          <w:rFonts w:cstheme="minorHAnsi"/>
          <w:sz w:val="24"/>
          <w:szCs w:val="24"/>
        </w:rPr>
        <w:t>Barbier</w:t>
      </w:r>
      <w:proofErr w:type="spellEnd"/>
      <w:r w:rsidRPr="00145662">
        <w:rPr>
          <w:rFonts w:cstheme="minorHAnsi"/>
          <w:sz w:val="24"/>
          <w:szCs w:val="24"/>
        </w:rPr>
        <w:t xml:space="preserve"> V, </w:t>
      </w:r>
      <w:proofErr w:type="spellStart"/>
      <w:r w:rsidRPr="00145662">
        <w:rPr>
          <w:rFonts w:cstheme="minorHAnsi"/>
          <w:sz w:val="24"/>
          <w:szCs w:val="24"/>
        </w:rPr>
        <w:t>Demeyer</w:t>
      </w:r>
      <w:proofErr w:type="spellEnd"/>
      <w:r w:rsidRPr="00145662">
        <w:rPr>
          <w:rFonts w:cstheme="minorHAnsi"/>
          <w:sz w:val="24"/>
          <w:szCs w:val="24"/>
        </w:rPr>
        <w:t xml:space="preserve"> H, Van </w:t>
      </w:r>
      <w:proofErr w:type="spellStart"/>
      <w:r w:rsidRPr="00145662">
        <w:rPr>
          <w:rFonts w:cstheme="minorHAnsi"/>
          <w:sz w:val="24"/>
          <w:szCs w:val="24"/>
        </w:rPr>
        <w:t>Muylem</w:t>
      </w:r>
      <w:proofErr w:type="spellEnd"/>
      <w:r w:rsidRPr="00145662">
        <w:rPr>
          <w:rFonts w:cstheme="minorHAnsi"/>
          <w:sz w:val="24"/>
          <w:szCs w:val="24"/>
        </w:rPr>
        <w:t xml:space="preserve"> A, Janssens W, </w:t>
      </w:r>
      <w:proofErr w:type="spellStart"/>
      <w:r w:rsidRPr="00145662">
        <w:rPr>
          <w:rFonts w:cstheme="minorHAnsi"/>
          <w:sz w:val="24"/>
          <w:szCs w:val="24"/>
        </w:rPr>
        <w:t>Troosters</w:t>
      </w:r>
      <w:proofErr w:type="spellEnd"/>
      <w:r w:rsidRPr="00145662">
        <w:rPr>
          <w:rFonts w:cstheme="minorHAnsi"/>
          <w:sz w:val="24"/>
          <w:szCs w:val="24"/>
        </w:rPr>
        <w:t xml:space="preserve"> T. Short and long-term effects of pulmonary rehabilitation in interstitial lung diseases: a randomised controlled trial. </w:t>
      </w:r>
      <w:r w:rsidRPr="00D47C29">
        <w:rPr>
          <w:rFonts w:cstheme="minorHAnsi"/>
          <w:i/>
          <w:iCs/>
          <w:sz w:val="24"/>
          <w:szCs w:val="24"/>
        </w:rPr>
        <w:t>Respiratory Research</w:t>
      </w:r>
      <w:r w:rsidRPr="00145662">
        <w:rPr>
          <w:rFonts w:cstheme="minorHAnsi"/>
          <w:sz w:val="24"/>
          <w:szCs w:val="24"/>
        </w:rPr>
        <w:t xml:space="preserve"> 2018; 19 (1): 182. </w:t>
      </w:r>
    </w:p>
    <w:p w14:paraId="35C42B59"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Bell EC, Cox NS, Goh N, et al. Oxygen therapy for interstitial lung disease: a systematic review. </w:t>
      </w:r>
      <w:proofErr w:type="spellStart"/>
      <w:r w:rsidRPr="00D47C29">
        <w:rPr>
          <w:rFonts w:cstheme="minorHAnsi"/>
          <w:i/>
          <w:iCs/>
          <w:sz w:val="24"/>
          <w:szCs w:val="24"/>
        </w:rPr>
        <w:t>Eur</w:t>
      </w:r>
      <w:proofErr w:type="spellEnd"/>
      <w:r w:rsidRPr="00D47C29">
        <w:rPr>
          <w:rFonts w:cstheme="minorHAnsi"/>
          <w:i/>
          <w:iCs/>
          <w:sz w:val="24"/>
          <w:szCs w:val="24"/>
        </w:rPr>
        <w:t xml:space="preserve"> Respir Rev</w:t>
      </w:r>
      <w:r w:rsidRPr="00145662">
        <w:rPr>
          <w:rFonts w:cstheme="minorHAnsi"/>
          <w:sz w:val="24"/>
          <w:szCs w:val="24"/>
        </w:rPr>
        <w:t xml:space="preserve"> 2017: 26: 160080 [https://doi.org/10.1183/16000617.0080-2016]</w:t>
      </w:r>
    </w:p>
    <w:p w14:paraId="41BFD2D8" w14:textId="77777777" w:rsidR="00825C89" w:rsidRPr="004F5ADA" w:rsidRDefault="00825C89" w:rsidP="00825C89">
      <w:pPr>
        <w:pStyle w:val="ListParagraph"/>
        <w:numPr>
          <w:ilvl w:val="0"/>
          <w:numId w:val="10"/>
        </w:numPr>
        <w:autoSpaceDE w:val="0"/>
        <w:autoSpaceDN w:val="0"/>
        <w:adjustRightInd w:val="0"/>
        <w:spacing w:after="0"/>
        <w:jc w:val="both"/>
        <w:rPr>
          <w:rFonts w:cstheme="minorHAnsi"/>
          <w:sz w:val="28"/>
          <w:szCs w:val="28"/>
        </w:rPr>
      </w:pPr>
      <w:r w:rsidRPr="004F5ADA">
        <w:rPr>
          <w:rStyle w:val="nlm-surname"/>
          <w:rFonts w:cstheme="minorHAnsi"/>
          <w:color w:val="333333"/>
          <w:sz w:val="24"/>
          <w:szCs w:val="24"/>
          <w:bdr w:val="none" w:sz="0" w:space="0" w:color="auto" w:frame="1"/>
          <w:shd w:val="clear" w:color="auto" w:fill="EEEEEE"/>
        </w:rPr>
        <w:t>Sterne</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nlm-given-names"/>
          <w:rFonts w:cstheme="minorHAnsi"/>
          <w:color w:val="333333"/>
          <w:sz w:val="24"/>
          <w:szCs w:val="24"/>
          <w:bdr w:val="none" w:sz="0" w:space="0" w:color="auto" w:frame="1"/>
          <w:shd w:val="clear" w:color="auto" w:fill="EEEEEE"/>
        </w:rPr>
        <w:t>J A C</w:t>
      </w:r>
      <w:r w:rsidRPr="004F5ADA">
        <w:rPr>
          <w:rStyle w:val="highwire-cite-authors"/>
          <w:rFonts w:cstheme="minorHAnsi"/>
          <w:color w:val="333333"/>
          <w:sz w:val="24"/>
          <w:szCs w:val="24"/>
          <w:bdr w:val="none" w:sz="0" w:space="0" w:color="auto" w:frame="1"/>
          <w:shd w:val="clear" w:color="auto" w:fill="EEEEEE"/>
        </w:rPr>
        <w:t>,</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nlm-surname"/>
          <w:rFonts w:cstheme="minorHAnsi"/>
          <w:color w:val="333333"/>
          <w:sz w:val="24"/>
          <w:szCs w:val="24"/>
          <w:bdr w:val="none" w:sz="0" w:space="0" w:color="auto" w:frame="1"/>
          <w:shd w:val="clear" w:color="auto" w:fill="EEEEEE"/>
        </w:rPr>
        <w:t>White</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nlm-given-names"/>
          <w:rFonts w:cstheme="minorHAnsi"/>
          <w:color w:val="333333"/>
          <w:sz w:val="24"/>
          <w:szCs w:val="24"/>
          <w:bdr w:val="none" w:sz="0" w:space="0" w:color="auto" w:frame="1"/>
          <w:shd w:val="clear" w:color="auto" w:fill="EEEEEE"/>
        </w:rPr>
        <w:t>I R</w:t>
      </w:r>
      <w:r w:rsidRPr="004F5ADA">
        <w:rPr>
          <w:rStyle w:val="highwire-cite-authors"/>
          <w:rFonts w:cstheme="minorHAnsi"/>
          <w:color w:val="333333"/>
          <w:sz w:val="24"/>
          <w:szCs w:val="24"/>
          <w:bdr w:val="none" w:sz="0" w:space="0" w:color="auto" w:frame="1"/>
          <w:shd w:val="clear" w:color="auto" w:fill="EEEEEE"/>
        </w:rPr>
        <w:t>,</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nlm-surname"/>
          <w:rFonts w:cstheme="minorHAnsi"/>
          <w:color w:val="333333"/>
          <w:sz w:val="24"/>
          <w:szCs w:val="24"/>
          <w:bdr w:val="none" w:sz="0" w:space="0" w:color="auto" w:frame="1"/>
          <w:shd w:val="clear" w:color="auto" w:fill="EEEEEE"/>
        </w:rPr>
        <w:t>Carlin</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nlm-given-names"/>
          <w:rFonts w:cstheme="minorHAnsi"/>
          <w:color w:val="333333"/>
          <w:sz w:val="24"/>
          <w:szCs w:val="24"/>
          <w:bdr w:val="none" w:sz="0" w:space="0" w:color="auto" w:frame="1"/>
          <w:shd w:val="clear" w:color="auto" w:fill="EEEEEE"/>
        </w:rPr>
        <w:t>J B</w:t>
      </w:r>
      <w:r w:rsidRPr="004F5ADA">
        <w:rPr>
          <w:rStyle w:val="highwire-cite-authors"/>
          <w:rFonts w:cstheme="minorHAnsi"/>
          <w:color w:val="333333"/>
          <w:sz w:val="24"/>
          <w:szCs w:val="24"/>
          <w:bdr w:val="none" w:sz="0" w:space="0" w:color="auto" w:frame="1"/>
          <w:shd w:val="clear" w:color="auto" w:fill="EEEEEE"/>
        </w:rPr>
        <w:t>,</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nlm-surname"/>
          <w:rFonts w:cstheme="minorHAnsi"/>
          <w:color w:val="333333"/>
          <w:sz w:val="24"/>
          <w:szCs w:val="24"/>
          <w:bdr w:val="none" w:sz="0" w:space="0" w:color="auto" w:frame="1"/>
          <w:shd w:val="clear" w:color="auto" w:fill="EEEEEE"/>
        </w:rPr>
        <w:t>Spratt</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nlm-given-names"/>
          <w:rFonts w:cstheme="minorHAnsi"/>
          <w:color w:val="333333"/>
          <w:sz w:val="24"/>
          <w:szCs w:val="24"/>
          <w:bdr w:val="none" w:sz="0" w:space="0" w:color="auto" w:frame="1"/>
          <w:shd w:val="clear" w:color="auto" w:fill="EEEEEE"/>
        </w:rPr>
        <w:t>M</w:t>
      </w:r>
      <w:r w:rsidRPr="004F5ADA">
        <w:rPr>
          <w:rStyle w:val="highwire-cite-authors"/>
          <w:rFonts w:cstheme="minorHAnsi"/>
          <w:color w:val="333333"/>
          <w:sz w:val="24"/>
          <w:szCs w:val="24"/>
          <w:bdr w:val="none" w:sz="0" w:space="0" w:color="auto" w:frame="1"/>
          <w:shd w:val="clear" w:color="auto" w:fill="EEEEEE"/>
        </w:rPr>
        <w:t>,</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nlm-surname"/>
          <w:rFonts w:cstheme="minorHAnsi"/>
          <w:color w:val="333333"/>
          <w:sz w:val="24"/>
          <w:szCs w:val="24"/>
          <w:bdr w:val="none" w:sz="0" w:space="0" w:color="auto" w:frame="1"/>
          <w:shd w:val="clear" w:color="auto" w:fill="EEEEEE"/>
        </w:rPr>
        <w:t>Royston</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nlm-given-names"/>
          <w:rFonts w:cstheme="minorHAnsi"/>
          <w:color w:val="333333"/>
          <w:sz w:val="24"/>
          <w:szCs w:val="24"/>
          <w:bdr w:val="none" w:sz="0" w:space="0" w:color="auto" w:frame="1"/>
          <w:shd w:val="clear" w:color="auto" w:fill="EEEEEE"/>
        </w:rPr>
        <w:t>P</w:t>
      </w:r>
      <w:r w:rsidRPr="004F5ADA">
        <w:rPr>
          <w:rStyle w:val="highwire-cite-authors"/>
          <w:rFonts w:cstheme="minorHAnsi"/>
          <w:color w:val="333333"/>
          <w:sz w:val="24"/>
          <w:szCs w:val="24"/>
          <w:bdr w:val="none" w:sz="0" w:space="0" w:color="auto" w:frame="1"/>
          <w:shd w:val="clear" w:color="auto" w:fill="EEEEEE"/>
        </w:rPr>
        <w:t>,</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nlm-surname"/>
          <w:rFonts w:cstheme="minorHAnsi"/>
          <w:color w:val="333333"/>
          <w:sz w:val="24"/>
          <w:szCs w:val="24"/>
          <w:bdr w:val="none" w:sz="0" w:space="0" w:color="auto" w:frame="1"/>
          <w:shd w:val="clear" w:color="auto" w:fill="EEEEEE"/>
        </w:rPr>
        <w:t>Kenward</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nlm-given-names"/>
          <w:rFonts w:cstheme="minorHAnsi"/>
          <w:color w:val="333333"/>
          <w:sz w:val="24"/>
          <w:szCs w:val="24"/>
          <w:bdr w:val="none" w:sz="0" w:space="0" w:color="auto" w:frame="1"/>
          <w:shd w:val="clear" w:color="auto" w:fill="EEEEEE"/>
        </w:rPr>
        <w:t>M G</w:t>
      </w:r>
      <w:r w:rsidRPr="004F5ADA">
        <w:rPr>
          <w:rStyle w:val="highwire-cite-authors"/>
          <w:rFonts w:cstheme="minorHAnsi" w:hint="eastAsia"/>
          <w:color w:val="333333"/>
          <w:sz w:val="24"/>
          <w:szCs w:val="24"/>
          <w:bdr w:val="none" w:sz="0" w:space="0" w:color="auto" w:frame="1"/>
          <w:shd w:val="clear" w:color="auto" w:fill="EEEEEE"/>
        </w:rPr>
        <w:t> </w:t>
      </w:r>
      <w:r w:rsidRPr="004F5ADA">
        <w:rPr>
          <w:rStyle w:val="highwire-cite-authors"/>
          <w:rFonts w:cstheme="minorHAnsi"/>
          <w:color w:val="333333"/>
          <w:sz w:val="24"/>
          <w:szCs w:val="24"/>
          <w:bdr w:val="none" w:sz="0" w:space="0" w:color="auto" w:frame="1"/>
          <w:shd w:val="clear" w:color="auto" w:fill="EEEEEE"/>
        </w:rPr>
        <w:t>et al.</w:t>
      </w:r>
      <w:r w:rsidRPr="004F5ADA">
        <w:rPr>
          <w:rStyle w:val="highwire-cite-authors"/>
          <w:rFonts w:cstheme="minorHAnsi" w:hint="eastAsia"/>
          <w:color w:val="333333"/>
          <w:sz w:val="24"/>
          <w:szCs w:val="24"/>
          <w:bdr w:val="none" w:sz="0" w:space="0" w:color="auto" w:frame="1"/>
          <w:shd w:val="clear" w:color="auto" w:fill="EEEEEE"/>
        </w:rPr>
        <w:t> </w:t>
      </w:r>
      <w:r>
        <w:rPr>
          <w:rStyle w:val="highwire-cite-authors"/>
          <w:rFonts w:cstheme="minorHAnsi"/>
          <w:color w:val="333333"/>
          <w:sz w:val="24"/>
          <w:szCs w:val="24"/>
          <w:bdr w:val="none" w:sz="0" w:space="0" w:color="auto" w:frame="1"/>
          <w:shd w:val="clear" w:color="auto" w:fill="EEEEEE"/>
        </w:rPr>
        <w:t xml:space="preserve">Multiple imputation for missing data in epidemiological and clinical research: potential and pitfalls. </w:t>
      </w:r>
      <w:r w:rsidRPr="004F5ADA">
        <w:rPr>
          <w:rStyle w:val="highwire-cite-authors"/>
          <w:rFonts w:cstheme="minorHAnsi"/>
          <w:i/>
          <w:iCs/>
          <w:color w:val="333333"/>
          <w:sz w:val="24"/>
          <w:szCs w:val="24"/>
          <w:bdr w:val="none" w:sz="0" w:space="0" w:color="auto" w:frame="1"/>
          <w:shd w:val="clear" w:color="auto" w:fill="EEEEEE"/>
        </w:rPr>
        <w:t>BMJ</w:t>
      </w:r>
      <w:r>
        <w:rPr>
          <w:rStyle w:val="highwire-cite-authors"/>
          <w:rFonts w:cstheme="minorHAnsi"/>
          <w:color w:val="333333"/>
          <w:sz w:val="24"/>
          <w:szCs w:val="24"/>
          <w:bdr w:val="none" w:sz="0" w:space="0" w:color="auto" w:frame="1"/>
          <w:shd w:val="clear" w:color="auto" w:fill="EEEEEE"/>
        </w:rPr>
        <w:t xml:space="preserve"> 2009; 338: b2393 </w:t>
      </w:r>
      <w:proofErr w:type="spellStart"/>
      <w:r>
        <w:rPr>
          <w:rStyle w:val="highwire-cite-authors"/>
          <w:rFonts w:cstheme="minorHAnsi"/>
          <w:color w:val="333333"/>
          <w:sz w:val="24"/>
          <w:szCs w:val="24"/>
          <w:bdr w:val="none" w:sz="0" w:space="0" w:color="auto" w:frame="1"/>
          <w:shd w:val="clear" w:color="auto" w:fill="EEEEEE"/>
        </w:rPr>
        <w:t>doi</w:t>
      </w:r>
      <w:proofErr w:type="spellEnd"/>
      <w:r>
        <w:rPr>
          <w:rStyle w:val="highwire-cite-authors"/>
          <w:rFonts w:cstheme="minorHAnsi"/>
          <w:color w:val="333333"/>
          <w:sz w:val="24"/>
          <w:szCs w:val="24"/>
          <w:bdr w:val="none" w:sz="0" w:space="0" w:color="auto" w:frame="1"/>
          <w:shd w:val="clear" w:color="auto" w:fill="EEEEEE"/>
        </w:rPr>
        <w:t xml:space="preserve">: 10.1136/bmj.b2393. </w:t>
      </w:r>
    </w:p>
    <w:p w14:paraId="77087651"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Holland AE, Hill CJ, </w:t>
      </w:r>
      <w:proofErr w:type="spellStart"/>
      <w:r w:rsidRPr="00145662">
        <w:rPr>
          <w:rFonts w:cstheme="minorHAnsi"/>
          <w:sz w:val="24"/>
          <w:szCs w:val="24"/>
        </w:rPr>
        <w:t>Connon</w:t>
      </w:r>
      <w:proofErr w:type="spellEnd"/>
      <w:r w:rsidRPr="00145662">
        <w:rPr>
          <w:rFonts w:cstheme="minorHAnsi"/>
          <w:sz w:val="24"/>
          <w:szCs w:val="24"/>
        </w:rPr>
        <w:t xml:space="preserve"> M, </w:t>
      </w:r>
      <w:r w:rsidRPr="00145662">
        <w:rPr>
          <w:rFonts w:cstheme="minorHAnsi"/>
          <w:i/>
          <w:sz w:val="24"/>
          <w:szCs w:val="24"/>
        </w:rPr>
        <w:t>et al</w:t>
      </w:r>
      <w:r w:rsidRPr="00145662">
        <w:rPr>
          <w:rFonts w:cstheme="minorHAnsi"/>
          <w:sz w:val="24"/>
          <w:szCs w:val="24"/>
        </w:rPr>
        <w:t xml:space="preserve">. Small changes in six-minute walk distance are important in diffuse parenchymal lung disease. </w:t>
      </w:r>
      <w:r w:rsidRPr="00D47C29">
        <w:rPr>
          <w:rFonts w:cstheme="minorHAnsi"/>
          <w:i/>
          <w:iCs/>
          <w:sz w:val="24"/>
          <w:szCs w:val="24"/>
        </w:rPr>
        <w:t>Respir Med</w:t>
      </w:r>
      <w:r w:rsidRPr="00145662">
        <w:rPr>
          <w:rFonts w:cstheme="minorHAnsi"/>
          <w:sz w:val="24"/>
          <w:szCs w:val="24"/>
        </w:rPr>
        <w:t xml:space="preserve"> 2009; 103:1430-5.</w:t>
      </w:r>
    </w:p>
    <w:p w14:paraId="1AAFF711"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du </w:t>
      </w:r>
      <w:proofErr w:type="spellStart"/>
      <w:r w:rsidRPr="00145662">
        <w:rPr>
          <w:rFonts w:cstheme="minorHAnsi"/>
          <w:sz w:val="24"/>
          <w:szCs w:val="24"/>
        </w:rPr>
        <w:t>Bois</w:t>
      </w:r>
      <w:proofErr w:type="spellEnd"/>
      <w:r w:rsidRPr="00145662">
        <w:rPr>
          <w:rFonts w:cstheme="minorHAnsi"/>
          <w:sz w:val="24"/>
          <w:szCs w:val="24"/>
        </w:rPr>
        <w:t xml:space="preserve"> RM, </w:t>
      </w:r>
      <w:proofErr w:type="spellStart"/>
      <w:r w:rsidRPr="00145662">
        <w:rPr>
          <w:rFonts w:cstheme="minorHAnsi"/>
          <w:sz w:val="24"/>
          <w:szCs w:val="24"/>
        </w:rPr>
        <w:t>Weycker</w:t>
      </w:r>
      <w:proofErr w:type="spellEnd"/>
      <w:r w:rsidRPr="00145662">
        <w:rPr>
          <w:rFonts w:cstheme="minorHAnsi"/>
          <w:sz w:val="24"/>
          <w:szCs w:val="24"/>
        </w:rPr>
        <w:t xml:space="preserve"> D, </w:t>
      </w:r>
      <w:proofErr w:type="spellStart"/>
      <w:r w:rsidRPr="00145662">
        <w:rPr>
          <w:rFonts w:cstheme="minorHAnsi"/>
          <w:sz w:val="24"/>
          <w:szCs w:val="24"/>
        </w:rPr>
        <w:t>Albera</w:t>
      </w:r>
      <w:proofErr w:type="spellEnd"/>
      <w:r w:rsidRPr="00145662">
        <w:rPr>
          <w:rFonts w:cstheme="minorHAnsi"/>
          <w:sz w:val="24"/>
          <w:szCs w:val="24"/>
        </w:rPr>
        <w:t xml:space="preserve"> C, et al. Six-minute walk test in idiopathic pulmonary fibrosis; test validation and minimal clinically important difference. </w:t>
      </w:r>
      <w:r w:rsidRPr="00D47C29">
        <w:rPr>
          <w:rFonts w:cstheme="minorHAnsi"/>
          <w:i/>
          <w:iCs/>
          <w:sz w:val="24"/>
          <w:szCs w:val="24"/>
        </w:rPr>
        <w:t>Am J Respir Crit Care Med</w:t>
      </w:r>
      <w:r w:rsidRPr="00145662">
        <w:rPr>
          <w:rFonts w:cstheme="minorHAnsi"/>
          <w:sz w:val="24"/>
          <w:szCs w:val="24"/>
        </w:rPr>
        <w:t xml:space="preserve"> 2011; 183: 1231-1237.</w:t>
      </w:r>
    </w:p>
    <w:p w14:paraId="6BA6018B"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lastRenderedPageBreak/>
        <w:t xml:space="preserve">Tonelli R, </w:t>
      </w:r>
      <w:proofErr w:type="spellStart"/>
      <w:r w:rsidRPr="00145662">
        <w:rPr>
          <w:rFonts w:cstheme="minorHAnsi"/>
          <w:sz w:val="24"/>
          <w:szCs w:val="24"/>
        </w:rPr>
        <w:t>Cocconcelli</w:t>
      </w:r>
      <w:proofErr w:type="spellEnd"/>
      <w:r w:rsidRPr="00145662">
        <w:rPr>
          <w:rFonts w:cstheme="minorHAnsi"/>
          <w:sz w:val="24"/>
          <w:szCs w:val="24"/>
        </w:rPr>
        <w:t xml:space="preserve"> E, </w:t>
      </w:r>
      <w:proofErr w:type="spellStart"/>
      <w:r w:rsidRPr="00145662">
        <w:rPr>
          <w:rFonts w:cstheme="minorHAnsi"/>
          <w:sz w:val="24"/>
          <w:szCs w:val="24"/>
        </w:rPr>
        <w:t>Lanini</w:t>
      </w:r>
      <w:proofErr w:type="spellEnd"/>
      <w:r w:rsidRPr="00145662">
        <w:rPr>
          <w:rFonts w:cstheme="minorHAnsi"/>
          <w:sz w:val="24"/>
          <w:szCs w:val="24"/>
        </w:rPr>
        <w:t xml:space="preserve"> B, </w:t>
      </w:r>
      <w:proofErr w:type="spellStart"/>
      <w:r w:rsidRPr="00145662">
        <w:rPr>
          <w:rFonts w:cstheme="minorHAnsi"/>
          <w:sz w:val="24"/>
          <w:szCs w:val="24"/>
        </w:rPr>
        <w:t>Romagnoli</w:t>
      </w:r>
      <w:proofErr w:type="spellEnd"/>
      <w:r w:rsidRPr="00145662">
        <w:rPr>
          <w:rFonts w:cstheme="minorHAnsi"/>
          <w:sz w:val="24"/>
          <w:szCs w:val="24"/>
        </w:rPr>
        <w:t xml:space="preserve"> I et al. Effectiveness of pulmonary rehabilitation in patients with interstitial lung disease of different </w:t>
      </w:r>
      <w:proofErr w:type="spellStart"/>
      <w:r w:rsidRPr="00145662">
        <w:rPr>
          <w:rFonts w:cstheme="minorHAnsi"/>
          <w:sz w:val="24"/>
          <w:szCs w:val="24"/>
        </w:rPr>
        <w:t>etiology</w:t>
      </w:r>
      <w:proofErr w:type="spellEnd"/>
      <w:r w:rsidRPr="00145662">
        <w:rPr>
          <w:rFonts w:cstheme="minorHAnsi"/>
          <w:sz w:val="24"/>
          <w:szCs w:val="24"/>
        </w:rPr>
        <w:t xml:space="preserve">; a multicentre prospective study. </w:t>
      </w:r>
      <w:r w:rsidRPr="00D47C29">
        <w:rPr>
          <w:rFonts w:cstheme="minorHAnsi"/>
          <w:i/>
          <w:iCs/>
          <w:sz w:val="24"/>
          <w:szCs w:val="24"/>
        </w:rPr>
        <w:t xml:space="preserve">BMC Pulmonary Medicine </w:t>
      </w:r>
      <w:r w:rsidRPr="00145662">
        <w:rPr>
          <w:rFonts w:cstheme="minorHAnsi"/>
          <w:sz w:val="24"/>
          <w:szCs w:val="24"/>
        </w:rPr>
        <w:t>2017; 17: 1-9.</w:t>
      </w:r>
    </w:p>
    <w:p w14:paraId="5A961E71"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Nishiyama O, </w:t>
      </w:r>
      <w:proofErr w:type="spellStart"/>
      <w:r w:rsidRPr="00145662">
        <w:rPr>
          <w:rFonts w:cstheme="minorHAnsi"/>
          <w:sz w:val="24"/>
          <w:szCs w:val="24"/>
        </w:rPr>
        <w:t>Kondoh</w:t>
      </w:r>
      <w:proofErr w:type="spellEnd"/>
      <w:r w:rsidRPr="00145662">
        <w:rPr>
          <w:rFonts w:cstheme="minorHAnsi"/>
          <w:sz w:val="24"/>
          <w:szCs w:val="24"/>
        </w:rPr>
        <w:t xml:space="preserve"> Y, Kimura T, Kato K, Kataoka K, Ogawa T, Watanabe F, </w:t>
      </w:r>
      <w:proofErr w:type="spellStart"/>
      <w:r w:rsidRPr="00145662">
        <w:rPr>
          <w:rFonts w:cstheme="minorHAnsi"/>
          <w:sz w:val="24"/>
          <w:szCs w:val="24"/>
        </w:rPr>
        <w:t>Arizono</w:t>
      </w:r>
      <w:proofErr w:type="spellEnd"/>
      <w:r w:rsidRPr="00145662">
        <w:rPr>
          <w:rFonts w:cstheme="minorHAnsi"/>
          <w:sz w:val="24"/>
          <w:szCs w:val="24"/>
        </w:rPr>
        <w:t xml:space="preserve"> S, Nishimura K, Taniguchi H. Effects of pulmonary rehabilitation in patients with idiopathic pulmonary fibrosis. </w:t>
      </w:r>
      <w:r w:rsidRPr="00D47C29">
        <w:rPr>
          <w:rFonts w:cstheme="minorHAnsi"/>
          <w:i/>
          <w:iCs/>
          <w:sz w:val="24"/>
          <w:szCs w:val="24"/>
        </w:rPr>
        <w:t>Respirology</w:t>
      </w:r>
      <w:r w:rsidRPr="00145662">
        <w:rPr>
          <w:rFonts w:cstheme="minorHAnsi"/>
          <w:sz w:val="24"/>
          <w:szCs w:val="24"/>
        </w:rPr>
        <w:t xml:space="preserve"> 2008;13:394–9. </w:t>
      </w:r>
    </w:p>
    <w:p w14:paraId="4C1AB316"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Vainshelboim</w:t>
      </w:r>
      <w:proofErr w:type="spellEnd"/>
      <w:r w:rsidRPr="00145662">
        <w:rPr>
          <w:rFonts w:cstheme="minorHAnsi"/>
          <w:sz w:val="24"/>
          <w:szCs w:val="24"/>
        </w:rPr>
        <w:t xml:space="preserve"> B, Oliveira J, Yehoshua L, Weiss I, Fox BD, </w:t>
      </w:r>
      <w:proofErr w:type="spellStart"/>
      <w:r w:rsidRPr="00145662">
        <w:rPr>
          <w:rFonts w:cstheme="minorHAnsi"/>
          <w:sz w:val="24"/>
          <w:szCs w:val="24"/>
        </w:rPr>
        <w:t>Fruchter</w:t>
      </w:r>
      <w:proofErr w:type="spellEnd"/>
      <w:r w:rsidRPr="00145662">
        <w:rPr>
          <w:rFonts w:cstheme="minorHAnsi"/>
          <w:sz w:val="24"/>
          <w:szCs w:val="24"/>
        </w:rPr>
        <w:t xml:space="preserve"> O, Kramer MR. Exercise training-based pulmonary rehabilitation program is clinically beneficial for idiopathic pulmonary fibrosis. </w:t>
      </w:r>
      <w:r w:rsidRPr="00D47C29">
        <w:rPr>
          <w:rFonts w:cstheme="minorHAnsi"/>
          <w:i/>
          <w:iCs/>
          <w:sz w:val="24"/>
          <w:szCs w:val="24"/>
        </w:rPr>
        <w:t>Respiration</w:t>
      </w:r>
      <w:r w:rsidRPr="00145662">
        <w:rPr>
          <w:rFonts w:cstheme="minorHAnsi"/>
          <w:sz w:val="24"/>
          <w:szCs w:val="24"/>
        </w:rPr>
        <w:t xml:space="preserve">. 2014;88:378–88. </w:t>
      </w:r>
    </w:p>
    <w:p w14:paraId="37552B42"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Ferreira A, Garvey C, Connors GL, Hilling L, </w:t>
      </w:r>
      <w:proofErr w:type="spellStart"/>
      <w:r w:rsidRPr="00145662">
        <w:rPr>
          <w:rFonts w:cstheme="minorHAnsi"/>
          <w:sz w:val="24"/>
          <w:szCs w:val="24"/>
        </w:rPr>
        <w:t>Rigler</w:t>
      </w:r>
      <w:proofErr w:type="spellEnd"/>
      <w:r w:rsidRPr="00145662">
        <w:rPr>
          <w:rFonts w:cstheme="minorHAnsi"/>
          <w:sz w:val="24"/>
          <w:szCs w:val="24"/>
        </w:rPr>
        <w:t xml:space="preserve"> J, Farrell S, </w:t>
      </w:r>
      <w:proofErr w:type="spellStart"/>
      <w:r w:rsidRPr="00145662">
        <w:rPr>
          <w:rFonts w:cstheme="minorHAnsi"/>
          <w:sz w:val="24"/>
          <w:szCs w:val="24"/>
        </w:rPr>
        <w:t>Cayou</w:t>
      </w:r>
      <w:proofErr w:type="spellEnd"/>
      <w:r w:rsidRPr="00145662">
        <w:rPr>
          <w:rFonts w:cstheme="minorHAnsi"/>
          <w:sz w:val="24"/>
          <w:szCs w:val="24"/>
        </w:rPr>
        <w:t xml:space="preserve"> C, </w:t>
      </w:r>
      <w:proofErr w:type="spellStart"/>
      <w:r w:rsidRPr="00145662">
        <w:rPr>
          <w:rFonts w:cstheme="minorHAnsi"/>
          <w:sz w:val="24"/>
          <w:szCs w:val="24"/>
        </w:rPr>
        <w:t>Shariat</w:t>
      </w:r>
      <w:proofErr w:type="spellEnd"/>
      <w:r w:rsidRPr="00145662">
        <w:rPr>
          <w:rFonts w:cstheme="minorHAnsi"/>
          <w:sz w:val="24"/>
          <w:szCs w:val="24"/>
        </w:rPr>
        <w:t xml:space="preserve"> C, Collard HR. Pulmonary rehabilitation in interstitial lung disease: benefits and predictors of response. </w:t>
      </w:r>
      <w:r w:rsidRPr="00D47C29">
        <w:rPr>
          <w:rFonts w:cstheme="minorHAnsi"/>
          <w:i/>
          <w:iCs/>
          <w:sz w:val="24"/>
          <w:szCs w:val="24"/>
        </w:rPr>
        <w:t>Chest</w:t>
      </w:r>
      <w:r w:rsidRPr="00145662">
        <w:rPr>
          <w:rFonts w:cstheme="minorHAnsi"/>
          <w:sz w:val="24"/>
          <w:szCs w:val="24"/>
        </w:rPr>
        <w:t xml:space="preserve"> 2009;135:442–7.</w:t>
      </w:r>
    </w:p>
    <w:p w14:paraId="59695BC4"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Jackson RM, Gomez-Marin OW, Ramos CF, Sol CM, Cohen MI, </w:t>
      </w:r>
      <w:proofErr w:type="spellStart"/>
      <w:r w:rsidRPr="00145662">
        <w:rPr>
          <w:rFonts w:cstheme="minorHAnsi"/>
          <w:sz w:val="24"/>
          <w:szCs w:val="24"/>
        </w:rPr>
        <w:t>Gaunaurd</w:t>
      </w:r>
      <w:proofErr w:type="spellEnd"/>
      <w:r w:rsidRPr="00145662">
        <w:rPr>
          <w:rFonts w:cstheme="minorHAnsi"/>
          <w:sz w:val="24"/>
          <w:szCs w:val="24"/>
        </w:rPr>
        <w:t xml:space="preserve"> IA, </w:t>
      </w:r>
      <w:proofErr w:type="spellStart"/>
      <w:r w:rsidRPr="00145662">
        <w:rPr>
          <w:rFonts w:cstheme="minorHAnsi"/>
          <w:sz w:val="24"/>
          <w:szCs w:val="24"/>
        </w:rPr>
        <w:t>Cahalin</w:t>
      </w:r>
      <w:proofErr w:type="spellEnd"/>
      <w:r w:rsidRPr="00145662">
        <w:rPr>
          <w:rFonts w:cstheme="minorHAnsi"/>
          <w:sz w:val="24"/>
          <w:szCs w:val="24"/>
        </w:rPr>
        <w:t xml:space="preserve"> LP, Cardenas DD. Exercise limitation in IPF patients: a randomized trial of pulmonary rehabilitation. </w:t>
      </w:r>
      <w:r w:rsidRPr="00D47C29">
        <w:rPr>
          <w:rFonts w:cstheme="minorHAnsi"/>
          <w:i/>
          <w:iCs/>
          <w:sz w:val="24"/>
          <w:szCs w:val="24"/>
        </w:rPr>
        <w:t>Lung</w:t>
      </w:r>
      <w:r w:rsidRPr="00145662">
        <w:rPr>
          <w:rFonts w:cstheme="minorHAnsi"/>
          <w:sz w:val="24"/>
          <w:szCs w:val="24"/>
        </w:rPr>
        <w:t xml:space="preserve"> 2014;192:367–76.</w:t>
      </w:r>
    </w:p>
    <w:p w14:paraId="39F25169"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Ryerson CJ, </w:t>
      </w:r>
      <w:proofErr w:type="spellStart"/>
      <w:r w:rsidRPr="00145662">
        <w:rPr>
          <w:rFonts w:cstheme="minorHAnsi"/>
          <w:sz w:val="24"/>
          <w:szCs w:val="24"/>
        </w:rPr>
        <w:t>Cayou</w:t>
      </w:r>
      <w:proofErr w:type="spellEnd"/>
      <w:r w:rsidRPr="00145662">
        <w:rPr>
          <w:rFonts w:cstheme="minorHAnsi"/>
          <w:sz w:val="24"/>
          <w:szCs w:val="24"/>
        </w:rPr>
        <w:t xml:space="preserve"> C, </w:t>
      </w:r>
      <w:proofErr w:type="spellStart"/>
      <w:r w:rsidRPr="00145662">
        <w:rPr>
          <w:rFonts w:cstheme="minorHAnsi"/>
          <w:sz w:val="24"/>
          <w:szCs w:val="24"/>
        </w:rPr>
        <w:t>Topp</w:t>
      </w:r>
      <w:proofErr w:type="spellEnd"/>
      <w:r w:rsidRPr="00145662">
        <w:rPr>
          <w:rFonts w:cstheme="minorHAnsi"/>
          <w:sz w:val="24"/>
          <w:szCs w:val="24"/>
        </w:rPr>
        <w:t xml:space="preserve"> F, et al. Pulmonary rehabilitation improves long-term outcomes in interstitial lung disease: a prospective cohort study. </w:t>
      </w:r>
      <w:r w:rsidRPr="00D47C29">
        <w:rPr>
          <w:rFonts w:cstheme="minorHAnsi"/>
          <w:i/>
          <w:iCs/>
          <w:sz w:val="24"/>
          <w:szCs w:val="24"/>
        </w:rPr>
        <w:t>Respir Med</w:t>
      </w:r>
      <w:r w:rsidRPr="00145662">
        <w:rPr>
          <w:rFonts w:cstheme="minorHAnsi"/>
          <w:sz w:val="24"/>
          <w:szCs w:val="24"/>
        </w:rPr>
        <w:t xml:space="preserve"> 2014;108:203–10.</w:t>
      </w:r>
    </w:p>
    <w:p w14:paraId="2029EF81"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Seymour JM, Spruit MA, Hopkinson NS, et al. The prevalence of quadriceps weakness in COPD and the relationship with disease severity. </w:t>
      </w:r>
      <w:proofErr w:type="spellStart"/>
      <w:r w:rsidRPr="00D47C29">
        <w:rPr>
          <w:rFonts w:cstheme="minorHAnsi"/>
          <w:i/>
          <w:iCs/>
          <w:sz w:val="24"/>
          <w:szCs w:val="24"/>
        </w:rPr>
        <w:t>Eur</w:t>
      </w:r>
      <w:proofErr w:type="spellEnd"/>
      <w:r w:rsidRPr="00D47C29">
        <w:rPr>
          <w:rFonts w:cstheme="minorHAnsi"/>
          <w:i/>
          <w:iCs/>
          <w:sz w:val="24"/>
          <w:szCs w:val="24"/>
        </w:rPr>
        <w:t xml:space="preserve"> Respir J</w:t>
      </w:r>
      <w:r w:rsidRPr="00145662">
        <w:rPr>
          <w:rFonts w:cstheme="minorHAnsi"/>
          <w:sz w:val="24"/>
          <w:szCs w:val="24"/>
        </w:rPr>
        <w:t xml:space="preserve"> 2010; 36(1): 81–88.</w:t>
      </w:r>
    </w:p>
    <w:p w14:paraId="03D5F0D9"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Swallow EB, Reyes D, Hopkinson NS, et al. Quadriceps strength predicts mortality in patients with moderate to severe chronic obstructive pulmonary disease. </w:t>
      </w:r>
      <w:r w:rsidRPr="00D47C29">
        <w:rPr>
          <w:rFonts w:cstheme="minorHAnsi"/>
          <w:i/>
          <w:iCs/>
          <w:sz w:val="24"/>
          <w:szCs w:val="24"/>
        </w:rPr>
        <w:t>Thorax</w:t>
      </w:r>
      <w:r w:rsidRPr="00145662">
        <w:rPr>
          <w:rFonts w:cstheme="minorHAnsi"/>
          <w:sz w:val="24"/>
          <w:szCs w:val="24"/>
        </w:rPr>
        <w:t xml:space="preserve"> 2007; 62(2): 115–120.</w:t>
      </w:r>
    </w:p>
    <w:p w14:paraId="41856529"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Mendes P, </w:t>
      </w:r>
      <w:proofErr w:type="spellStart"/>
      <w:r w:rsidRPr="00145662">
        <w:rPr>
          <w:rFonts w:cstheme="minorHAnsi"/>
          <w:sz w:val="24"/>
          <w:szCs w:val="24"/>
        </w:rPr>
        <w:t>Wicherson</w:t>
      </w:r>
      <w:proofErr w:type="spellEnd"/>
      <w:r w:rsidRPr="00145662">
        <w:rPr>
          <w:rFonts w:cstheme="minorHAnsi"/>
          <w:sz w:val="24"/>
          <w:szCs w:val="24"/>
        </w:rPr>
        <w:t xml:space="preserve"> L, Helm D, et al. Skeletal muscle atrophy in advanced interstitial lung disease. </w:t>
      </w:r>
      <w:r w:rsidRPr="00D47C29">
        <w:rPr>
          <w:rFonts w:cstheme="minorHAnsi"/>
          <w:i/>
          <w:iCs/>
          <w:sz w:val="24"/>
          <w:szCs w:val="24"/>
        </w:rPr>
        <w:t>Respirology</w:t>
      </w:r>
      <w:r w:rsidRPr="00145662">
        <w:rPr>
          <w:rFonts w:cstheme="minorHAnsi"/>
          <w:sz w:val="24"/>
          <w:szCs w:val="24"/>
        </w:rPr>
        <w:t xml:space="preserve"> 2015; 20: 953-959.</w:t>
      </w:r>
    </w:p>
    <w:p w14:paraId="3586B5CE"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Mendoza L, </w:t>
      </w:r>
      <w:proofErr w:type="spellStart"/>
      <w:r w:rsidRPr="00145662">
        <w:rPr>
          <w:rFonts w:cstheme="minorHAnsi"/>
          <w:sz w:val="24"/>
          <w:szCs w:val="24"/>
        </w:rPr>
        <w:t>Gogali</w:t>
      </w:r>
      <w:proofErr w:type="spellEnd"/>
      <w:r w:rsidRPr="00145662">
        <w:rPr>
          <w:rFonts w:cstheme="minorHAnsi"/>
          <w:sz w:val="24"/>
          <w:szCs w:val="24"/>
        </w:rPr>
        <w:t xml:space="preserve"> A, </w:t>
      </w:r>
      <w:proofErr w:type="spellStart"/>
      <w:r w:rsidRPr="00145662">
        <w:rPr>
          <w:rFonts w:cstheme="minorHAnsi"/>
          <w:sz w:val="24"/>
          <w:szCs w:val="24"/>
        </w:rPr>
        <w:t>Shrikrishna</w:t>
      </w:r>
      <w:proofErr w:type="spellEnd"/>
      <w:r w:rsidRPr="00145662">
        <w:rPr>
          <w:rFonts w:cstheme="minorHAnsi"/>
          <w:sz w:val="24"/>
          <w:szCs w:val="24"/>
        </w:rPr>
        <w:t xml:space="preserve"> D, </w:t>
      </w:r>
      <w:proofErr w:type="spellStart"/>
      <w:r w:rsidRPr="00145662">
        <w:rPr>
          <w:rFonts w:cstheme="minorHAnsi"/>
          <w:sz w:val="24"/>
          <w:szCs w:val="24"/>
        </w:rPr>
        <w:t>Cavada</w:t>
      </w:r>
      <w:proofErr w:type="spellEnd"/>
      <w:r w:rsidRPr="00145662">
        <w:rPr>
          <w:rFonts w:cstheme="minorHAnsi"/>
          <w:sz w:val="24"/>
          <w:szCs w:val="24"/>
        </w:rPr>
        <w:t xml:space="preserve"> G, et al. Quadriceps strength and endurance in fibrotic idiopathic interstitial pneumonia. </w:t>
      </w:r>
      <w:r w:rsidRPr="00D47C29">
        <w:rPr>
          <w:rFonts w:cstheme="minorHAnsi"/>
          <w:i/>
          <w:iCs/>
          <w:sz w:val="24"/>
          <w:szCs w:val="24"/>
        </w:rPr>
        <w:t>Respirology</w:t>
      </w:r>
      <w:r w:rsidRPr="00145662">
        <w:rPr>
          <w:rFonts w:cstheme="minorHAnsi"/>
          <w:sz w:val="24"/>
          <w:szCs w:val="24"/>
        </w:rPr>
        <w:t xml:space="preserve"> 2014; 19: 138-143.</w:t>
      </w:r>
    </w:p>
    <w:p w14:paraId="0BF9667F"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de Troyer A, </w:t>
      </w:r>
      <w:proofErr w:type="spellStart"/>
      <w:r w:rsidRPr="00145662">
        <w:rPr>
          <w:rFonts w:cstheme="minorHAnsi"/>
          <w:sz w:val="24"/>
          <w:szCs w:val="24"/>
        </w:rPr>
        <w:t>Yernault</w:t>
      </w:r>
      <w:proofErr w:type="spellEnd"/>
      <w:r w:rsidRPr="00145662">
        <w:rPr>
          <w:rFonts w:cstheme="minorHAnsi"/>
          <w:sz w:val="24"/>
          <w:szCs w:val="24"/>
        </w:rPr>
        <w:t xml:space="preserve"> JC, Inspiratory muscle force in normal subjects and patients with interstitial lung disease. </w:t>
      </w:r>
      <w:r w:rsidRPr="00D47C29">
        <w:rPr>
          <w:rFonts w:cstheme="minorHAnsi"/>
          <w:i/>
          <w:iCs/>
          <w:sz w:val="24"/>
          <w:szCs w:val="24"/>
        </w:rPr>
        <w:t>Thorax</w:t>
      </w:r>
      <w:r w:rsidRPr="00145662">
        <w:rPr>
          <w:rFonts w:cstheme="minorHAnsi"/>
          <w:sz w:val="24"/>
          <w:szCs w:val="24"/>
        </w:rPr>
        <w:t xml:space="preserve"> 1980; 35: 92-100.</w:t>
      </w:r>
    </w:p>
    <w:p w14:paraId="79DDD4A0" w14:textId="77777777" w:rsidR="00825C89" w:rsidRPr="00D47C29" w:rsidRDefault="00825C89" w:rsidP="00825C89">
      <w:pPr>
        <w:pStyle w:val="ListParagraph"/>
        <w:numPr>
          <w:ilvl w:val="0"/>
          <w:numId w:val="10"/>
        </w:numPr>
        <w:autoSpaceDE w:val="0"/>
        <w:autoSpaceDN w:val="0"/>
        <w:adjustRightInd w:val="0"/>
        <w:spacing w:after="0"/>
        <w:jc w:val="both"/>
        <w:rPr>
          <w:rFonts w:cstheme="minorHAnsi"/>
          <w:sz w:val="24"/>
          <w:szCs w:val="24"/>
        </w:rPr>
      </w:pPr>
      <w:r>
        <w:rPr>
          <w:rFonts w:cstheme="minorHAnsi"/>
          <w:sz w:val="24"/>
          <w:szCs w:val="24"/>
        </w:rPr>
        <w:t xml:space="preserve">Roberts C, Torgerson D J. Baseline imbalance in randomised controlled trials. </w:t>
      </w:r>
      <w:r w:rsidRPr="006B45CD">
        <w:rPr>
          <w:rFonts w:cstheme="minorHAnsi"/>
          <w:i/>
          <w:iCs/>
          <w:sz w:val="24"/>
          <w:szCs w:val="24"/>
        </w:rPr>
        <w:t>BMJ</w:t>
      </w:r>
      <w:r>
        <w:rPr>
          <w:rFonts w:cstheme="minorHAnsi"/>
          <w:sz w:val="24"/>
          <w:szCs w:val="24"/>
        </w:rPr>
        <w:t xml:space="preserve"> 1999; 319: 185.</w:t>
      </w:r>
    </w:p>
    <w:p w14:paraId="4E32EAB2"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Tonelli R, </w:t>
      </w:r>
      <w:proofErr w:type="spellStart"/>
      <w:r w:rsidRPr="00145662">
        <w:rPr>
          <w:rFonts w:cstheme="minorHAnsi"/>
          <w:sz w:val="24"/>
          <w:szCs w:val="24"/>
        </w:rPr>
        <w:t>Cocconcelli</w:t>
      </w:r>
      <w:proofErr w:type="spellEnd"/>
      <w:r w:rsidRPr="00145662">
        <w:rPr>
          <w:rFonts w:cstheme="minorHAnsi"/>
          <w:sz w:val="24"/>
          <w:szCs w:val="24"/>
        </w:rPr>
        <w:t xml:space="preserve"> E, </w:t>
      </w:r>
      <w:proofErr w:type="spellStart"/>
      <w:r w:rsidRPr="00145662">
        <w:rPr>
          <w:rFonts w:cstheme="minorHAnsi"/>
          <w:sz w:val="24"/>
          <w:szCs w:val="24"/>
        </w:rPr>
        <w:t>Lanini</w:t>
      </w:r>
      <w:proofErr w:type="spellEnd"/>
      <w:r w:rsidRPr="00145662">
        <w:rPr>
          <w:rFonts w:cstheme="minorHAnsi"/>
          <w:sz w:val="24"/>
          <w:szCs w:val="24"/>
        </w:rPr>
        <w:t xml:space="preserve"> B, et al. Effectiveness of pulmonary rehabilitation in patients with interstitial lung disease of different </w:t>
      </w:r>
      <w:proofErr w:type="spellStart"/>
      <w:r w:rsidRPr="00145662">
        <w:rPr>
          <w:rFonts w:cstheme="minorHAnsi"/>
          <w:sz w:val="24"/>
          <w:szCs w:val="24"/>
        </w:rPr>
        <w:t>etiology</w:t>
      </w:r>
      <w:proofErr w:type="spellEnd"/>
      <w:r w:rsidRPr="00145662">
        <w:rPr>
          <w:rFonts w:cstheme="minorHAnsi"/>
          <w:sz w:val="24"/>
          <w:szCs w:val="24"/>
        </w:rPr>
        <w:t xml:space="preserve">; a multicentre prospective study. </w:t>
      </w:r>
      <w:r w:rsidRPr="00D47C29">
        <w:rPr>
          <w:rFonts w:cstheme="minorHAnsi"/>
          <w:i/>
          <w:iCs/>
          <w:sz w:val="24"/>
          <w:szCs w:val="24"/>
        </w:rPr>
        <w:t>BMC Pulmonary Medicine</w:t>
      </w:r>
      <w:r w:rsidRPr="00145662">
        <w:rPr>
          <w:rFonts w:cstheme="minorHAnsi"/>
          <w:sz w:val="24"/>
          <w:szCs w:val="24"/>
        </w:rPr>
        <w:t xml:space="preserve"> 2017; 17: 130-139.</w:t>
      </w:r>
    </w:p>
    <w:p w14:paraId="12629026" w14:textId="77777777" w:rsidR="00825C89" w:rsidRPr="00145662" w:rsidRDefault="00825C89" w:rsidP="00825C89">
      <w:pPr>
        <w:pStyle w:val="ListParagraph"/>
        <w:numPr>
          <w:ilvl w:val="0"/>
          <w:numId w:val="10"/>
        </w:numPr>
        <w:autoSpaceDE w:val="0"/>
        <w:autoSpaceDN w:val="0"/>
        <w:adjustRightInd w:val="0"/>
        <w:spacing w:after="0"/>
        <w:jc w:val="both"/>
        <w:rPr>
          <w:rFonts w:cstheme="minorHAnsi"/>
          <w:sz w:val="24"/>
          <w:szCs w:val="24"/>
        </w:rPr>
      </w:pPr>
      <w:proofErr w:type="spellStart"/>
      <w:r w:rsidRPr="00145662">
        <w:rPr>
          <w:rFonts w:cstheme="minorHAnsi"/>
          <w:sz w:val="24"/>
          <w:szCs w:val="24"/>
        </w:rPr>
        <w:t>Dowman</w:t>
      </w:r>
      <w:proofErr w:type="spellEnd"/>
      <w:r w:rsidRPr="00145662">
        <w:rPr>
          <w:rFonts w:cstheme="minorHAnsi"/>
          <w:sz w:val="24"/>
          <w:szCs w:val="24"/>
        </w:rPr>
        <w:t xml:space="preserve"> LM, McDonald CF, </w:t>
      </w:r>
      <w:proofErr w:type="spellStart"/>
      <w:r w:rsidRPr="00145662">
        <w:rPr>
          <w:rFonts w:cstheme="minorHAnsi"/>
          <w:sz w:val="24"/>
          <w:szCs w:val="24"/>
        </w:rPr>
        <w:t>Bozinovski</w:t>
      </w:r>
      <w:proofErr w:type="spellEnd"/>
      <w:r w:rsidRPr="00145662">
        <w:rPr>
          <w:rFonts w:cstheme="minorHAnsi"/>
          <w:sz w:val="24"/>
          <w:szCs w:val="24"/>
        </w:rPr>
        <w:t xml:space="preserve"> S, Vlahos R, Gillies R, </w:t>
      </w:r>
      <w:proofErr w:type="spellStart"/>
      <w:r w:rsidRPr="00145662">
        <w:rPr>
          <w:rFonts w:cstheme="minorHAnsi"/>
          <w:sz w:val="24"/>
          <w:szCs w:val="24"/>
        </w:rPr>
        <w:t>Pouniotis</w:t>
      </w:r>
      <w:proofErr w:type="spellEnd"/>
      <w:r w:rsidRPr="00145662">
        <w:rPr>
          <w:rFonts w:cstheme="minorHAnsi"/>
          <w:sz w:val="24"/>
          <w:szCs w:val="24"/>
        </w:rPr>
        <w:t xml:space="preserve"> D, Hill CJ, Goh NSL, Holland AE. Greater endurance capacity and improved dyspnoea with acute oxygen supplementation in idiopathic pulmonary fibrosis patients without resting hypoxaemia. </w:t>
      </w:r>
      <w:r w:rsidRPr="00D47C29">
        <w:rPr>
          <w:rFonts w:cstheme="minorHAnsi"/>
          <w:i/>
          <w:iCs/>
          <w:sz w:val="24"/>
          <w:szCs w:val="24"/>
        </w:rPr>
        <w:t>Respirology</w:t>
      </w:r>
      <w:r w:rsidRPr="00145662">
        <w:rPr>
          <w:rFonts w:cstheme="minorHAnsi"/>
          <w:sz w:val="24"/>
          <w:szCs w:val="24"/>
        </w:rPr>
        <w:t xml:space="preserve"> 2017; 22: 957-964.</w:t>
      </w:r>
    </w:p>
    <w:p w14:paraId="6A40C157" w14:textId="77777777" w:rsidR="00825C89" w:rsidRDefault="00825C89" w:rsidP="00825C89">
      <w:pPr>
        <w:pStyle w:val="ListParagraph"/>
        <w:numPr>
          <w:ilvl w:val="0"/>
          <w:numId w:val="10"/>
        </w:numPr>
        <w:autoSpaceDE w:val="0"/>
        <w:autoSpaceDN w:val="0"/>
        <w:adjustRightInd w:val="0"/>
        <w:spacing w:after="0"/>
        <w:jc w:val="both"/>
        <w:rPr>
          <w:rFonts w:cstheme="minorHAnsi"/>
          <w:sz w:val="24"/>
          <w:szCs w:val="24"/>
        </w:rPr>
      </w:pPr>
      <w:r w:rsidRPr="00145662">
        <w:rPr>
          <w:rFonts w:cstheme="minorHAnsi"/>
          <w:sz w:val="24"/>
          <w:szCs w:val="24"/>
        </w:rPr>
        <w:t xml:space="preserve">Johnson-Warrington V, Williams J, Bankart J, Steiner M, Morgan M, Singh S. Pulmonary rehabilitation and Interstitial lung disease: Aiding the referral decision. </w:t>
      </w:r>
      <w:r w:rsidRPr="00D47C29">
        <w:rPr>
          <w:rFonts w:cstheme="minorHAnsi"/>
          <w:i/>
          <w:iCs/>
          <w:sz w:val="24"/>
          <w:szCs w:val="24"/>
        </w:rPr>
        <w:t xml:space="preserve">J </w:t>
      </w:r>
      <w:proofErr w:type="spellStart"/>
      <w:r w:rsidRPr="00D47C29">
        <w:rPr>
          <w:rFonts w:cstheme="minorHAnsi"/>
          <w:i/>
          <w:iCs/>
          <w:sz w:val="24"/>
          <w:szCs w:val="24"/>
        </w:rPr>
        <w:t>Cardiopulm</w:t>
      </w:r>
      <w:proofErr w:type="spellEnd"/>
      <w:r w:rsidRPr="00D47C29">
        <w:rPr>
          <w:rFonts w:cstheme="minorHAnsi"/>
          <w:i/>
          <w:iCs/>
          <w:sz w:val="24"/>
          <w:szCs w:val="24"/>
        </w:rPr>
        <w:t xml:space="preserve"> </w:t>
      </w:r>
      <w:proofErr w:type="spellStart"/>
      <w:r w:rsidRPr="00D47C29">
        <w:rPr>
          <w:rFonts w:cstheme="minorHAnsi"/>
          <w:i/>
          <w:iCs/>
          <w:sz w:val="24"/>
          <w:szCs w:val="24"/>
        </w:rPr>
        <w:t>Rehab</w:t>
      </w:r>
      <w:r>
        <w:rPr>
          <w:rFonts w:cstheme="minorHAnsi"/>
          <w:i/>
          <w:iCs/>
          <w:sz w:val="24"/>
          <w:szCs w:val="24"/>
        </w:rPr>
        <w:t>il</w:t>
      </w:r>
      <w:proofErr w:type="spellEnd"/>
      <w:r w:rsidRPr="00D47C29">
        <w:rPr>
          <w:rFonts w:cstheme="minorHAnsi"/>
          <w:i/>
          <w:iCs/>
          <w:sz w:val="24"/>
          <w:szCs w:val="24"/>
        </w:rPr>
        <w:t xml:space="preserve">  Prev</w:t>
      </w:r>
      <w:r w:rsidRPr="00145662">
        <w:rPr>
          <w:rFonts w:cstheme="minorHAnsi"/>
          <w:sz w:val="24"/>
          <w:szCs w:val="24"/>
        </w:rPr>
        <w:t>2013; 33 (3): 189-195.</w:t>
      </w:r>
    </w:p>
    <w:p w14:paraId="51462802" w14:textId="77777777" w:rsidR="00825C89" w:rsidRPr="00A42D9D" w:rsidRDefault="00825C89" w:rsidP="00825C89">
      <w:pPr>
        <w:autoSpaceDE w:val="0"/>
        <w:autoSpaceDN w:val="0"/>
        <w:adjustRightInd w:val="0"/>
        <w:spacing w:after="0"/>
        <w:ind w:left="567"/>
        <w:jc w:val="both"/>
        <w:rPr>
          <w:rFonts w:cstheme="minorHAnsi"/>
          <w:sz w:val="24"/>
          <w:szCs w:val="24"/>
        </w:rPr>
      </w:pPr>
    </w:p>
    <w:p w14:paraId="0B79A2CE" w14:textId="77777777" w:rsidR="00825C89" w:rsidRPr="00A42D9D" w:rsidRDefault="00825C89" w:rsidP="00825C89">
      <w:pPr>
        <w:autoSpaceDE w:val="0"/>
        <w:autoSpaceDN w:val="0"/>
        <w:adjustRightInd w:val="0"/>
        <w:spacing w:after="0" w:line="480" w:lineRule="auto"/>
        <w:jc w:val="both"/>
        <w:rPr>
          <w:rFonts w:cstheme="minorHAnsi"/>
          <w:sz w:val="24"/>
          <w:szCs w:val="24"/>
        </w:rPr>
      </w:pPr>
    </w:p>
    <w:p w14:paraId="50738757" w14:textId="77777777" w:rsidR="00541247" w:rsidRDefault="00541247"/>
    <w:sectPr w:rsidR="00541247" w:rsidSect="00283170">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B807" w14:textId="77777777" w:rsidR="00031D82" w:rsidRDefault="00CC1F80">
      <w:pPr>
        <w:spacing w:after="0" w:line="240" w:lineRule="auto"/>
      </w:pPr>
      <w:r>
        <w:separator/>
      </w:r>
    </w:p>
  </w:endnote>
  <w:endnote w:type="continuationSeparator" w:id="0">
    <w:p w14:paraId="32C3F0C5" w14:textId="77777777" w:rsidR="00031D82" w:rsidRDefault="00CC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游ゴシック"/>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F158" w14:textId="77777777" w:rsidR="00283170" w:rsidRDefault="00A21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4481"/>
      <w:docPartObj>
        <w:docPartGallery w:val="Page Numbers (Bottom of Page)"/>
        <w:docPartUnique/>
      </w:docPartObj>
    </w:sdtPr>
    <w:sdtEndPr>
      <w:rPr>
        <w:noProof/>
      </w:rPr>
    </w:sdtEndPr>
    <w:sdtContent>
      <w:p w14:paraId="27C2C0B3" w14:textId="77777777" w:rsidR="00283170" w:rsidRDefault="00825C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5674F57" w14:textId="77777777" w:rsidR="00283170" w:rsidRDefault="00A21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0A8E" w14:textId="77777777" w:rsidR="00283170" w:rsidRDefault="00A2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ADF8" w14:textId="77777777" w:rsidR="00031D82" w:rsidRDefault="00CC1F80">
      <w:pPr>
        <w:spacing w:after="0" w:line="240" w:lineRule="auto"/>
      </w:pPr>
      <w:r>
        <w:separator/>
      </w:r>
    </w:p>
  </w:footnote>
  <w:footnote w:type="continuationSeparator" w:id="0">
    <w:p w14:paraId="71B3C82F" w14:textId="77777777" w:rsidR="00031D82" w:rsidRDefault="00CC1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0C27" w14:textId="77777777" w:rsidR="00283170" w:rsidRDefault="00A21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F75C" w14:textId="77777777" w:rsidR="00283170" w:rsidRPr="0049411F" w:rsidRDefault="00A21751" w:rsidP="00283170">
    <w:pPr>
      <w:pStyle w:val="Header"/>
      <w:jc w:val="right"/>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F442" w14:textId="77777777" w:rsidR="00283170" w:rsidRDefault="00A21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23E3"/>
    <w:multiLevelType w:val="hybridMultilevel"/>
    <w:tmpl w:val="1BAC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67361"/>
    <w:multiLevelType w:val="hybridMultilevel"/>
    <w:tmpl w:val="3BF8F090"/>
    <w:lvl w:ilvl="0" w:tplc="0809000F">
      <w:start w:val="1"/>
      <w:numFmt w:val="decimal"/>
      <w:lvlText w:val="%1."/>
      <w:lvlJc w:val="left"/>
      <w:pPr>
        <w:ind w:left="927"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C387A"/>
    <w:multiLevelType w:val="hybridMultilevel"/>
    <w:tmpl w:val="A220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85B97"/>
    <w:multiLevelType w:val="hybridMultilevel"/>
    <w:tmpl w:val="39FC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83AF2"/>
    <w:multiLevelType w:val="hybridMultilevel"/>
    <w:tmpl w:val="68CAA994"/>
    <w:lvl w:ilvl="0" w:tplc="2444D11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A2069"/>
    <w:multiLevelType w:val="hybridMultilevel"/>
    <w:tmpl w:val="FF261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670AC4"/>
    <w:multiLevelType w:val="hybridMultilevel"/>
    <w:tmpl w:val="7BEEC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CA1B3B"/>
    <w:multiLevelType w:val="hybridMultilevel"/>
    <w:tmpl w:val="AED81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C2515"/>
    <w:multiLevelType w:val="hybridMultilevel"/>
    <w:tmpl w:val="382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01016"/>
    <w:multiLevelType w:val="hybridMultilevel"/>
    <w:tmpl w:val="B30A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5607210">
    <w:abstractNumId w:val="1"/>
  </w:num>
  <w:num w:numId="2" w16cid:durableId="1198588580">
    <w:abstractNumId w:val="7"/>
  </w:num>
  <w:num w:numId="3" w16cid:durableId="2039702050">
    <w:abstractNumId w:val="4"/>
  </w:num>
  <w:num w:numId="4" w16cid:durableId="2109541968">
    <w:abstractNumId w:val="5"/>
  </w:num>
  <w:num w:numId="5" w16cid:durableId="1028019255">
    <w:abstractNumId w:val="8"/>
  </w:num>
  <w:num w:numId="6" w16cid:durableId="1999728274">
    <w:abstractNumId w:val="3"/>
  </w:num>
  <w:num w:numId="7" w16cid:durableId="384718905">
    <w:abstractNumId w:val="2"/>
  </w:num>
  <w:num w:numId="8" w16cid:durableId="1026567663">
    <w:abstractNumId w:val="9"/>
  </w:num>
  <w:num w:numId="9" w16cid:durableId="1696006842">
    <w:abstractNumId w:val="0"/>
  </w:num>
  <w:num w:numId="10" w16cid:durableId="966931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89"/>
    <w:rsid w:val="00031D82"/>
    <w:rsid w:val="000E2B25"/>
    <w:rsid w:val="0015021F"/>
    <w:rsid w:val="00294304"/>
    <w:rsid w:val="002D4ED0"/>
    <w:rsid w:val="00361478"/>
    <w:rsid w:val="003A1188"/>
    <w:rsid w:val="003A15A5"/>
    <w:rsid w:val="00401395"/>
    <w:rsid w:val="004102AF"/>
    <w:rsid w:val="004712ED"/>
    <w:rsid w:val="00480AB5"/>
    <w:rsid w:val="004C299B"/>
    <w:rsid w:val="00541247"/>
    <w:rsid w:val="0056455E"/>
    <w:rsid w:val="005E69E5"/>
    <w:rsid w:val="00652720"/>
    <w:rsid w:val="00743020"/>
    <w:rsid w:val="00825C89"/>
    <w:rsid w:val="00827460"/>
    <w:rsid w:val="0083605C"/>
    <w:rsid w:val="00870A43"/>
    <w:rsid w:val="0090384F"/>
    <w:rsid w:val="009140D8"/>
    <w:rsid w:val="00967CD4"/>
    <w:rsid w:val="009C266F"/>
    <w:rsid w:val="00A04484"/>
    <w:rsid w:val="00A21751"/>
    <w:rsid w:val="00A707B2"/>
    <w:rsid w:val="00AD6CC2"/>
    <w:rsid w:val="00B85D99"/>
    <w:rsid w:val="00BC1299"/>
    <w:rsid w:val="00C042F7"/>
    <w:rsid w:val="00C66E36"/>
    <w:rsid w:val="00C761A1"/>
    <w:rsid w:val="00CC1D1A"/>
    <w:rsid w:val="00CC1F80"/>
    <w:rsid w:val="00DD1FEC"/>
    <w:rsid w:val="00DE20A7"/>
    <w:rsid w:val="00E325B6"/>
    <w:rsid w:val="00E379AB"/>
    <w:rsid w:val="00EA4CF5"/>
    <w:rsid w:val="00F46342"/>
    <w:rsid w:val="00F64C93"/>
    <w:rsid w:val="00F85D9E"/>
    <w:rsid w:val="00F86968"/>
    <w:rsid w:val="00F87CBD"/>
    <w:rsid w:val="00FA1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9D66"/>
  <w15:chartTrackingRefBased/>
  <w15:docId w15:val="{E8216676-04E5-45A8-A902-1D222109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C89"/>
    <w:pPr>
      <w:spacing w:after="200" w:line="276" w:lineRule="auto"/>
    </w:pPr>
    <w:rPr>
      <w:kern w:val="0"/>
    </w:rPr>
  </w:style>
  <w:style w:type="paragraph" w:styleId="Heading5">
    <w:name w:val="heading 5"/>
    <w:basedOn w:val="Normal"/>
    <w:link w:val="Heading5Char"/>
    <w:uiPriority w:val="9"/>
    <w:qFormat/>
    <w:rsid w:val="00825C8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25C89"/>
    <w:rPr>
      <w:rFonts w:ascii="Times New Roman" w:eastAsia="Times New Roman" w:hAnsi="Times New Roman" w:cs="Times New Roman"/>
      <w:b/>
      <w:bCs/>
      <w:kern w:val="0"/>
      <w:sz w:val="20"/>
      <w:szCs w:val="20"/>
      <w:lang w:eastAsia="en-GB"/>
    </w:rPr>
  </w:style>
  <w:style w:type="paragraph" w:styleId="ListParagraph">
    <w:name w:val="List Paragraph"/>
    <w:basedOn w:val="Normal"/>
    <w:uiPriority w:val="34"/>
    <w:qFormat/>
    <w:rsid w:val="00825C89"/>
    <w:pPr>
      <w:ind w:left="720"/>
      <w:contextualSpacing/>
    </w:pPr>
  </w:style>
  <w:style w:type="paragraph" w:styleId="Header">
    <w:name w:val="header"/>
    <w:basedOn w:val="Normal"/>
    <w:link w:val="HeaderChar"/>
    <w:uiPriority w:val="99"/>
    <w:unhideWhenUsed/>
    <w:rsid w:val="00825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C89"/>
    <w:rPr>
      <w:kern w:val="0"/>
    </w:rPr>
  </w:style>
  <w:style w:type="paragraph" w:styleId="Footer">
    <w:name w:val="footer"/>
    <w:basedOn w:val="Normal"/>
    <w:link w:val="FooterChar"/>
    <w:uiPriority w:val="99"/>
    <w:unhideWhenUsed/>
    <w:rsid w:val="00825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C89"/>
    <w:rPr>
      <w:kern w:val="0"/>
    </w:rPr>
  </w:style>
  <w:style w:type="character" w:styleId="Hyperlink">
    <w:name w:val="Hyperlink"/>
    <w:basedOn w:val="DefaultParagraphFont"/>
    <w:uiPriority w:val="99"/>
    <w:unhideWhenUsed/>
    <w:rsid w:val="00825C89"/>
    <w:rPr>
      <w:color w:val="0563C1" w:themeColor="hyperlink"/>
      <w:u w:val="single"/>
    </w:rPr>
  </w:style>
  <w:style w:type="character" w:styleId="HTMLCite">
    <w:name w:val="HTML Cite"/>
    <w:basedOn w:val="DefaultParagraphFont"/>
    <w:uiPriority w:val="99"/>
    <w:semiHidden/>
    <w:unhideWhenUsed/>
    <w:rsid w:val="00825C89"/>
    <w:rPr>
      <w:i/>
      <w:iCs/>
    </w:rPr>
  </w:style>
  <w:style w:type="character" w:customStyle="1" w:styleId="journalname">
    <w:name w:val="journalname"/>
    <w:basedOn w:val="DefaultParagraphFont"/>
    <w:rsid w:val="00825C89"/>
  </w:style>
  <w:style w:type="character" w:customStyle="1" w:styleId="year">
    <w:name w:val="year"/>
    <w:basedOn w:val="DefaultParagraphFont"/>
    <w:rsid w:val="00825C89"/>
  </w:style>
  <w:style w:type="character" w:customStyle="1" w:styleId="page">
    <w:name w:val="page"/>
    <w:basedOn w:val="DefaultParagraphFont"/>
    <w:rsid w:val="00825C89"/>
  </w:style>
  <w:style w:type="character" w:styleId="CommentReference">
    <w:name w:val="annotation reference"/>
    <w:basedOn w:val="DefaultParagraphFont"/>
    <w:uiPriority w:val="99"/>
    <w:semiHidden/>
    <w:unhideWhenUsed/>
    <w:rsid w:val="00825C89"/>
    <w:rPr>
      <w:sz w:val="16"/>
      <w:szCs w:val="16"/>
    </w:rPr>
  </w:style>
  <w:style w:type="paragraph" w:styleId="BalloonText">
    <w:name w:val="Balloon Text"/>
    <w:basedOn w:val="Normal"/>
    <w:link w:val="BalloonTextChar"/>
    <w:uiPriority w:val="99"/>
    <w:semiHidden/>
    <w:unhideWhenUsed/>
    <w:rsid w:val="0082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89"/>
    <w:rPr>
      <w:rFonts w:ascii="Segoe UI" w:hAnsi="Segoe UI" w:cs="Segoe UI"/>
      <w:kern w:val="0"/>
      <w:sz w:val="18"/>
      <w:szCs w:val="18"/>
    </w:rPr>
  </w:style>
  <w:style w:type="character" w:styleId="UnresolvedMention">
    <w:name w:val="Unresolved Mention"/>
    <w:basedOn w:val="DefaultParagraphFont"/>
    <w:uiPriority w:val="99"/>
    <w:semiHidden/>
    <w:unhideWhenUsed/>
    <w:rsid w:val="00825C89"/>
    <w:rPr>
      <w:color w:val="605E5C"/>
      <w:shd w:val="clear" w:color="auto" w:fill="E1DFDD"/>
    </w:rPr>
  </w:style>
  <w:style w:type="table" w:styleId="TableGrid">
    <w:name w:val="Table Grid"/>
    <w:basedOn w:val="TableNormal"/>
    <w:uiPriority w:val="39"/>
    <w:rsid w:val="00825C89"/>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5C89"/>
    <w:pPr>
      <w:spacing w:after="0" w:line="240" w:lineRule="auto"/>
    </w:pPr>
    <w:rPr>
      <w:kern w:val="0"/>
    </w:rPr>
  </w:style>
  <w:style w:type="character" w:styleId="Strong">
    <w:name w:val="Strong"/>
    <w:basedOn w:val="DefaultParagraphFont"/>
    <w:uiPriority w:val="22"/>
    <w:qFormat/>
    <w:rsid w:val="00825C89"/>
    <w:rPr>
      <w:b/>
      <w:bCs/>
    </w:rPr>
  </w:style>
  <w:style w:type="character" w:styleId="Emphasis">
    <w:name w:val="Emphasis"/>
    <w:basedOn w:val="DefaultParagraphFont"/>
    <w:uiPriority w:val="20"/>
    <w:qFormat/>
    <w:rsid w:val="00825C89"/>
    <w:rPr>
      <w:i/>
      <w:iCs/>
    </w:rPr>
  </w:style>
  <w:style w:type="character" w:styleId="FollowedHyperlink">
    <w:name w:val="FollowedHyperlink"/>
    <w:basedOn w:val="DefaultParagraphFont"/>
    <w:uiPriority w:val="99"/>
    <w:semiHidden/>
    <w:unhideWhenUsed/>
    <w:rsid w:val="00825C89"/>
    <w:rPr>
      <w:color w:val="954F72" w:themeColor="followedHyperlink"/>
      <w:u w:val="single"/>
    </w:rPr>
  </w:style>
  <w:style w:type="character" w:customStyle="1" w:styleId="highwire-cite-authors">
    <w:name w:val="highwire-cite-authors"/>
    <w:basedOn w:val="DefaultParagraphFont"/>
    <w:rsid w:val="00825C89"/>
  </w:style>
  <w:style w:type="character" w:customStyle="1" w:styleId="nlm-surname">
    <w:name w:val="nlm-surname"/>
    <w:basedOn w:val="DefaultParagraphFont"/>
    <w:rsid w:val="00825C89"/>
  </w:style>
  <w:style w:type="character" w:customStyle="1" w:styleId="nlm-given-names">
    <w:name w:val="nlm-given-names"/>
    <w:basedOn w:val="DefaultParagraphFont"/>
    <w:rsid w:val="00825C89"/>
  </w:style>
  <w:style w:type="character" w:customStyle="1" w:styleId="highwire-cite-title">
    <w:name w:val="highwire-cite-title"/>
    <w:basedOn w:val="DefaultParagraphFont"/>
    <w:rsid w:val="00825C89"/>
  </w:style>
  <w:style w:type="character" w:customStyle="1" w:styleId="highwire-cite-metadata-journal">
    <w:name w:val="highwire-cite-metadata-journal"/>
    <w:basedOn w:val="DefaultParagraphFont"/>
    <w:rsid w:val="00825C89"/>
  </w:style>
  <w:style w:type="character" w:customStyle="1" w:styleId="highwire-cite-metadata-date">
    <w:name w:val="highwire-cite-metadata-date"/>
    <w:basedOn w:val="DefaultParagraphFont"/>
    <w:rsid w:val="00825C89"/>
  </w:style>
  <w:style w:type="character" w:customStyle="1" w:styleId="highwire-cite-metadata-volume">
    <w:name w:val="highwire-cite-metadata-volume"/>
    <w:basedOn w:val="DefaultParagraphFont"/>
    <w:rsid w:val="00825C89"/>
  </w:style>
  <w:style w:type="character" w:customStyle="1" w:styleId="article-doi">
    <w:name w:val="article-doi"/>
    <w:basedOn w:val="DefaultParagraphFont"/>
    <w:rsid w:val="00825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sste@sgul.ac.uk" TargetMode="External"/><Relationship Id="rId13" Type="http://schemas.openxmlformats.org/officeDocument/2006/relationships/hyperlink" Target="mailto:pjones@sgul.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inikole@sgul.ac.uk" TargetMode="External"/><Relationship Id="rId12" Type="http://schemas.openxmlformats.org/officeDocument/2006/relationships/hyperlink" Target="mailto:raminder.aul@stgeorges.nhs.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hua@rbht.nhs.uk" TargetMode="External"/><Relationship Id="rId5" Type="http://schemas.openxmlformats.org/officeDocument/2006/relationships/footnotes" Target="footnotes.xml"/><Relationship Id="rId15" Type="http://schemas.openxmlformats.org/officeDocument/2006/relationships/hyperlink" Target="https://pilotandfeasibilitystudies.qmul.ac.uk/" TargetMode="External"/><Relationship Id="rId23" Type="http://schemas.openxmlformats.org/officeDocument/2006/relationships/theme" Target="theme/theme1.xml"/><Relationship Id="rId10" Type="http://schemas.openxmlformats.org/officeDocument/2006/relationships/hyperlink" Target="mailto:iainmacn62@gmai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armenyanina.lech@gmail.com" TargetMode="External"/><Relationship Id="rId14" Type="http://schemas.openxmlformats.org/officeDocument/2006/relationships/hyperlink" Target="mailto:dinikole@sgu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7623</Words>
  <Characters>43454</Characters>
  <Application>Microsoft Office Word</Application>
  <DocSecurity>0</DocSecurity>
  <Lines>362</Lines>
  <Paragraphs>101</Paragraphs>
  <ScaleCrop>false</ScaleCrop>
  <Company>St Georges, University of London</Company>
  <LinksUpToDate>false</LinksUpToDate>
  <CharactersWithSpaces>50976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Nikoletou</dc:creator>
  <cp:keywords/>
  <dc:description/>
  <cp:lastModifiedBy>Dimitra Nikoletou</cp:lastModifiedBy>
  <cp:revision>3</cp:revision>
  <dcterms:created xsi:type="dcterms:W3CDTF">2023-07-06T14:35:00Z</dcterms:created>
  <dcterms:modified xsi:type="dcterms:W3CDTF">2023-07-14T12:59:00Z</dcterms:modified>
</cp:coreProperties>
</file>