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8CE6" w14:textId="19346870" w:rsidR="006D455D" w:rsidRDefault="006D455D" w:rsidP="00201003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Correspondence</w:t>
      </w:r>
    </w:p>
    <w:p w14:paraId="483DFD85" w14:textId="6D0DC7DE" w:rsidR="00DD5574" w:rsidRPr="006D455D" w:rsidRDefault="00DD5574" w:rsidP="00201003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Plant molecular farming in the wake of the closure of Medicago Inc.</w:t>
      </w:r>
    </w:p>
    <w:p w14:paraId="7D22B62D" w14:textId="649B5018" w:rsidR="00900C4A" w:rsidRDefault="00E8783F" w:rsidP="00201003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166A8A">
        <w:rPr>
          <w:rFonts w:ascii="Arial" w:hAnsi="Arial" w:cs="Arial"/>
          <w:lang w:val="en-US"/>
        </w:rPr>
        <w:t>Eugenio Benvenuto</w:t>
      </w:r>
      <w:r w:rsidR="00CF48C9" w:rsidRPr="00CF48C9">
        <w:rPr>
          <w:rFonts w:ascii="Arial" w:hAnsi="Arial" w:cs="Arial"/>
          <w:vertAlign w:val="superscript"/>
          <w:lang w:val="en-US"/>
        </w:rPr>
        <w:t>1</w:t>
      </w:r>
      <w:r w:rsidRPr="00166A8A">
        <w:rPr>
          <w:rFonts w:ascii="Arial" w:hAnsi="Arial" w:cs="Arial"/>
          <w:lang w:val="en-US"/>
        </w:rPr>
        <w:t>, Inge Broer</w:t>
      </w:r>
      <w:r w:rsidR="00CF48C9">
        <w:rPr>
          <w:rFonts w:ascii="Arial" w:hAnsi="Arial" w:cs="Arial"/>
          <w:vertAlign w:val="superscript"/>
          <w:lang w:val="en-US"/>
        </w:rPr>
        <w:t>2</w:t>
      </w:r>
      <w:r w:rsidRPr="00166A8A">
        <w:rPr>
          <w:rFonts w:ascii="Arial" w:hAnsi="Arial" w:cs="Arial"/>
          <w:lang w:val="en-US"/>
        </w:rPr>
        <w:t>, Marc-André D'Aoust</w:t>
      </w:r>
      <w:r w:rsidR="00CF48C9">
        <w:rPr>
          <w:rFonts w:ascii="Arial" w:hAnsi="Arial" w:cs="Arial"/>
          <w:vertAlign w:val="superscript"/>
          <w:lang w:val="en-US"/>
        </w:rPr>
        <w:t>3</w:t>
      </w:r>
      <w:r w:rsidRPr="00166A8A">
        <w:rPr>
          <w:rFonts w:ascii="Arial" w:hAnsi="Arial" w:cs="Arial"/>
          <w:lang w:val="en-US"/>
        </w:rPr>
        <w:t>, Inga Hitzeroth</w:t>
      </w:r>
      <w:r w:rsidR="00CF48C9">
        <w:rPr>
          <w:rFonts w:ascii="Arial" w:hAnsi="Arial" w:cs="Arial"/>
          <w:vertAlign w:val="superscript"/>
          <w:lang w:val="en-US"/>
        </w:rPr>
        <w:t>4</w:t>
      </w:r>
      <w:r w:rsidRPr="00166A8A">
        <w:rPr>
          <w:rFonts w:ascii="Arial" w:hAnsi="Arial" w:cs="Arial"/>
          <w:lang w:val="en-US"/>
        </w:rPr>
        <w:t>, Penny Hundleby</w:t>
      </w:r>
      <w:r w:rsidR="00CF48C9">
        <w:rPr>
          <w:rFonts w:ascii="Arial" w:hAnsi="Arial" w:cs="Arial"/>
          <w:vertAlign w:val="superscript"/>
          <w:lang w:val="en-US"/>
        </w:rPr>
        <w:t>5</w:t>
      </w:r>
      <w:r w:rsidRPr="00166A8A">
        <w:rPr>
          <w:rFonts w:ascii="Arial" w:hAnsi="Arial" w:cs="Arial"/>
          <w:lang w:val="en-US"/>
        </w:rPr>
        <w:t>, , Rima Menassa</w:t>
      </w:r>
      <w:r w:rsidR="00CF48C9" w:rsidRPr="00CF48C9">
        <w:rPr>
          <w:rFonts w:ascii="Arial" w:hAnsi="Arial" w:cs="Arial"/>
          <w:vertAlign w:val="superscript"/>
          <w:lang w:val="en-US"/>
        </w:rPr>
        <w:t>6</w:t>
      </w:r>
      <w:r w:rsidRPr="00166A8A">
        <w:rPr>
          <w:rFonts w:ascii="Arial" w:hAnsi="Arial" w:cs="Arial"/>
          <w:lang w:val="en-US"/>
        </w:rPr>
        <w:t>, Kirsi-Marja Oksman</w:t>
      </w:r>
      <w:r w:rsidR="003D44AA">
        <w:rPr>
          <w:rFonts w:ascii="Arial" w:hAnsi="Arial" w:cs="Arial"/>
          <w:lang w:val="en-US"/>
        </w:rPr>
        <w:t>-Caldentey</w:t>
      </w:r>
      <w:r w:rsidR="00CF48C9">
        <w:rPr>
          <w:rFonts w:ascii="Arial" w:hAnsi="Arial" w:cs="Arial"/>
          <w:vertAlign w:val="superscript"/>
          <w:lang w:val="en-US"/>
        </w:rPr>
        <w:t>7</w:t>
      </w:r>
      <w:r w:rsidRPr="00166A8A">
        <w:rPr>
          <w:rFonts w:ascii="Arial" w:hAnsi="Arial" w:cs="Arial"/>
          <w:lang w:val="en-US"/>
        </w:rPr>
        <w:t>, Hadrien Peyret</w:t>
      </w:r>
      <w:r w:rsidR="00CF48C9">
        <w:rPr>
          <w:rFonts w:ascii="Arial" w:hAnsi="Arial" w:cs="Arial"/>
          <w:vertAlign w:val="superscript"/>
          <w:lang w:val="en-US"/>
        </w:rPr>
        <w:t>5</w:t>
      </w:r>
      <w:r w:rsidRPr="00166A8A">
        <w:rPr>
          <w:rFonts w:ascii="Arial" w:hAnsi="Arial" w:cs="Arial"/>
          <w:lang w:val="en-US"/>
        </w:rPr>
        <w:t>, Sancha Salgueiro</w:t>
      </w:r>
      <w:r w:rsidR="00CF48C9">
        <w:rPr>
          <w:rFonts w:ascii="Arial" w:hAnsi="Arial" w:cs="Arial"/>
          <w:vertAlign w:val="superscript"/>
          <w:lang w:val="en-US"/>
        </w:rPr>
        <w:t>8</w:t>
      </w:r>
      <w:r w:rsidRPr="00166A8A">
        <w:rPr>
          <w:rFonts w:ascii="Arial" w:hAnsi="Arial" w:cs="Arial"/>
          <w:lang w:val="en-US"/>
        </w:rPr>
        <w:t>, Pooja Saxena</w:t>
      </w:r>
      <w:r w:rsidR="00CF48C9">
        <w:rPr>
          <w:rFonts w:ascii="Arial" w:hAnsi="Arial" w:cs="Arial"/>
          <w:vertAlign w:val="superscript"/>
          <w:lang w:val="en-US"/>
        </w:rPr>
        <w:t>9</w:t>
      </w:r>
      <w:r w:rsidRPr="00166A8A">
        <w:rPr>
          <w:rFonts w:ascii="Arial" w:hAnsi="Arial" w:cs="Arial"/>
          <w:lang w:val="en-US"/>
        </w:rPr>
        <w:t>, Jennifer Stander</w:t>
      </w:r>
      <w:r w:rsidR="00CF48C9">
        <w:rPr>
          <w:rFonts w:ascii="Arial" w:hAnsi="Arial" w:cs="Arial"/>
          <w:vertAlign w:val="superscript"/>
          <w:lang w:val="en-US"/>
        </w:rPr>
        <w:t>10</w:t>
      </w:r>
      <w:r w:rsidRPr="00166A8A">
        <w:rPr>
          <w:rFonts w:ascii="Arial" w:hAnsi="Arial" w:cs="Arial"/>
          <w:lang w:val="en-US"/>
        </w:rPr>
        <w:t>, Heribert Warzecha</w:t>
      </w:r>
      <w:r w:rsidR="00CF48C9">
        <w:rPr>
          <w:rFonts w:ascii="Arial" w:hAnsi="Arial" w:cs="Arial"/>
          <w:vertAlign w:val="superscript"/>
          <w:lang w:val="en-US"/>
        </w:rPr>
        <w:t>11</w:t>
      </w:r>
      <w:r w:rsidR="00CF48C9">
        <w:rPr>
          <w:rFonts w:ascii="Arial" w:hAnsi="Arial" w:cs="Arial"/>
          <w:lang w:val="en-US"/>
        </w:rPr>
        <w:t xml:space="preserve"> and </w:t>
      </w:r>
      <w:r w:rsidR="00CF48C9" w:rsidRPr="00166A8A">
        <w:rPr>
          <w:rFonts w:ascii="Arial" w:hAnsi="Arial" w:cs="Arial"/>
          <w:lang w:val="en-US"/>
        </w:rPr>
        <w:t>Julian Ma*</w:t>
      </w:r>
      <w:r w:rsidR="00CF48C9">
        <w:rPr>
          <w:rFonts w:ascii="Arial" w:hAnsi="Arial" w:cs="Arial"/>
          <w:vertAlign w:val="superscript"/>
          <w:lang w:val="en-US"/>
        </w:rPr>
        <w:t>12</w:t>
      </w:r>
    </w:p>
    <w:p w14:paraId="33DCAF85" w14:textId="79C37B0F" w:rsidR="00D51E7A" w:rsidRDefault="00D51E7A" w:rsidP="00201003">
      <w:pPr>
        <w:spacing w:after="120" w:line="360" w:lineRule="auto"/>
        <w:jc w:val="both"/>
        <w:rPr>
          <w:rFonts w:ascii="Arial" w:hAnsi="Arial" w:cs="Arial"/>
          <w:lang w:val="en-US"/>
        </w:rPr>
      </w:pPr>
    </w:p>
    <w:p w14:paraId="657BCFD0" w14:textId="5EDFB143" w:rsidR="00CF48C9" w:rsidRDefault="00CF48C9" w:rsidP="00CF48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lang w:val="en-US"/>
        </w:rPr>
        <w:t xml:space="preserve">1- </w:t>
      </w:r>
      <w:r w:rsidRPr="00CF48C9">
        <w:rPr>
          <w:rFonts w:ascii="Arial" w:hAnsi="Arial" w:cs="Arial"/>
          <w:lang w:val="en-US"/>
        </w:rPr>
        <w:t>Department for Sustainability, Biotechnology and Agroindustry Division,</w:t>
      </w:r>
      <w:r>
        <w:rPr>
          <w:rFonts w:ascii="Arial" w:hAnsi="Arial" w:cs="Arial"/>
          <w:lang w:val="en-US"/>
        </w:rPr>
        <w:t xml:space="preserve"> </w:t>
      </w:r>
      <w:r w:rsidRPr="00CF48C9">
        <w:rPr>
          <w:rFonts w:ascii="Arial" w:hAnsi="Arial" w:cs="Arial"/>
          <w:lang w:val="en-US"/>
        </w:rPr>
        <w:t>ENEA, Centro Ricerche Casaccia</w:t>
      </w:r>
      <w:r>
        <w:rPr>
          <w:rFonts w:ascii="Arial" w:hAnsi="Arial" w:cs="Arial"/>
          <w:lang w:val="en-US"/>
        </w:rPr>
        <w:t xml:space="preserve">, </w:t>
      </w:r>
      <w:r w:rsidRPr="00CF48C9">
        <w:rPr>
          <w:rFonts w:ascii="Arial" w:hAnsi="Arial" w:cs="Arial"/>
          <w:lang w:val="en-US"/>
        </w:rPr>
        <w:t>Roma, Italy.</w:t>
      </w:r>
    </w:p>
    <w:p w14:paraId="13FF7A24" w14:textId="1E5641F2" w:rsidR="00CF48C9" w:rsidRPr="00CF48C9" w:rsidRDefault="00CF48C9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2 - </w:t>
      </w:r>
      <w:r w:rsidRPr="00CF48C9">
        <w:rPr>
          <w:rFonts w:ascii="Arial" w:hAnsi="Arial" w:cs="Arial"/>
          <w:lang w:val="en-US"/>
        </w:rPr>
        <w:t>Faculty of Agricultural and Environmental Sciences</w:t>
      </w:r>
      <w:r>
        <w:rPr>
          <w:rFonts w:ascii="Arial" w:hAnsi="Arial" w:cs="Arial"/>
          <w:lang w:val="en-US"/>
        </w:rPr>
        <w:t>,</w:t>
      </w:r>
      <w:r w:rsidRPr="00CF48C9">
        <w:rPr>
          <w:rFonts w:ascii="Arial" w:hAnsi="Arial" w:cs="Arial"/>
          <w:lang w:val="en-US"/>
        </w:rPr>
        <w:t xml:space="preserve"> University of Rostock</w:t>
      </w:r>
      <w:r>
        <w:rPr>
          <w:rFonts w:ascii="Arial" w:hAnsi="Arial" w:cs="Arial"/>
          <w:lang w:val="en-US"/>
        </w:rPr>
        <w:t>, Rostock, Germany.</w:t>
      </w:r>
    </w:p>
    <w:p w14:paraId="72E7E2D5" w14:textId="4D70CAA8" w:rsidR="00CF48C9" w:rsidRDefault="00CF48C9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3 - </w:t>
      </w:r>
      <w:r w:rsidRPr="00CF48C9">
        <w:rPr>
          <w:rFonts w:ascii="Arial" w:hAnsi="Arial" w:cs="Arial"/>
          <w:lang w:val="en-US"/>
        </w:rPr>
        <w:t>Medicago R&amp;D Québec</w:t>
      </w:r>
      <w:r>
        <w:rPr>
          <w:rFonts w:ascii="Arial" w:hAnsi="Arial" w:cs="Arial"/>
          <w:lang w:val="en-US"/>
        </w:rPr>
        <w:t xml:space="preserve"> City, Canada.</w:t>
      </w:r>
    </w:p>
    <w:p w14:paraId="641A75A0" w14:textId="021C5BDD" w:rsidR="00CF48C9" w:rsidRDefault="00CF48C9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 – BioPharming Research Unit, </w:t>
      </w:r>
      <w:r w:rsidR="00D7416B">
        <w:rPr>
          <w:rFonts w:ascii="Arial" w:hAnsi="Arial" w:cs="Arial"/>
          <w:lang w:val="en-US"/>
        </w:rPr>
        <w:t xml:space="preserve">Dept. of Molecular and Cell Biology, </w:t>
      </w:r>
      <w:r>
        <w:rPr>
          <w:rFonts w:ascii="Arial" w:hAnsi="Arial" w:cs="Arial"/>
          <w:lang w:val="en-US"/>
        </w:rPr>
        <w:t>University of Cape Town, South Africa</w:t>
      </w:r>
    </w:p>
    <w:p w14:paraId="24F04AA1" w14:textId="77777777" w:rsidR="00D7416B" w:rsidRDefault="00D7416B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 – John Innes Centre, </w:t>
      </w:r>
      <w:r w:rsidRPr="00D7416B">
        <w:rPr>
          <w:rFonts w:ascii="Arial" w:hAnsi="Arial" w:cs="Arial"/>
          <w:lang w:val="en-US"/>
        </w:rPr>
        <w:t>Norfolk, England</w:t>
      </w:r>
    </w:p>
    <w:p w14:paraId="093E72F3" w14:textId="44054852" w:rsidR="00D7416B" w:rsidRDefault="00A1117F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 – </w:t>
      </w:r>
      <w:r w:rsidRPr="00A1117F">
        <w:rPr>
          <w:rFonts w:ascii="Arial" w:hAnsi="Arial" w:cs="Arial"/>
          <w:lang w:val="en-US"/>
        </w:rPr>
        <w:t>Univ</w:t>
      </w:r>
      <w:r>
        <w:rPr>
          <w:rFonts w:ascii="Arial" w:hAnsi="Arial" w:cs="Arial"/>
          <w:lang w:val="en-US"/>
        </w:rPr>
        <w:t>ersity of</w:t>
      </w:r>
      <w:r w:rsidRPr="00A1117F">
        <w:rPr>
          <w:rFonts w:ascii="Arial" w:hAnsi="Arial" w:cs="Arial"/>
          <w:lang w:val="en-US"/>
        </w:rPr>
        <w:t xml:space="preserve"> Western Ontario, London, Canada</w:t>
      </w:r>
    </w:p>
    <w:p w14:paraId="0087DABD" w14:textId="2BF6F97F" w:rsidR="00A1117F" w:rsidRDefault="00A1117F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7 - </w:t>
      </w:r>
      <w:r w:rsidRPr="00A1117F">
        <w:rPr>
          <w:rFonts w:ascii="Arial" w:hAnsi="Arial" w:cs="Arial"/>
          <w:lang w:val="en-US"/>
        </w:rPr>
        <w:t>VTT Technical Research Centre of Finland, Espoo, Finland</w:t>
      </w:r>
    </w:p>
    <w:p w14:paraId="1E63285A" w14:textId="650D2222" w:rsidR="00A1117F" w:rsidRDefault="00A1117F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8 - </w:t>
      </w:r>
      <w:r w:rsidR="00CA7EF2" w:rsidRPr="00CA7EF2">
        <w:rPr>
          <w:rFonts w:ascii="Arial" w:hAnsi="Arial" w:cs="Arial"/>
          <w:lang w:val="en-US"/>
        </w:rPr>
        <w:t xml:space="preserve">chart Biotechnology, </w:t>
      </w:r>
      <w:r w:rsidR="00766D9B" w:rsidRPr="00766D9B">
        <w:rPr>
          <w:rFonts w:ascii="Arial" w:hAnsi="Arial" w:cs="Arial"/>
          <w:lang w:val="en-US"/>
        </w:rPr>
        <w:t>Gilleleje</w:t>
      </w:r>
      <w:r w:rsidR="00766D9B">
        <w:rPr>
          <w:rFonts w:ascii="Arial" w:hAnsi="Arial" w:cs="Arial"/>
          <w:lang w:val="en-US"/>
        </w:rPr>
        <w:t xml:space="preserve">, </w:t>
      </w:r>
      <w:r w:rsidR="00CA7EF2" w:rsidRPr="00CA7EF2">
        <w:rPr>
          <w:rFonts w:ascii="Arial" w:hAnsi="Arial" w:cs="Arial"/>
          <w:lang w:val="en-US"/>
        </w:rPr>
        <w:t>Denmark</w:t>
      </w:r>
    </w:p>
    <w:p w14:paraId="78C6082D" w14:textId="1D088F84" w:rsidR="00A1117F" w:rsidRDefault="00A1117F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9 - </w:t>
      </w:r>
      <w:r w:rsidR="00CA7EF2" w:rsidRPr="00CA7EF2">
        <w:rPr>
          <w:rFonts w:ascii="Arial" w:hAnsi="Arial" w:cs="Arial"/>
          <w:lang w:val="en-US"/>
        </w:rPr>
        <w:t>BlueRock Therapeutics</w:t>
      </w:r>
      <w:r w:rsidR="00CA7EF2">
        <w:rPr>
          <w:rFonts w:ascii="Arial" w:hAnsi="Arial" w:cs="Arial"/>
          <w:lang w:val="en-US"/>
        </w:rPr>
        <w:t>, Toronto, Canada</w:t>
      </w:r>
    </w:p>
    <w:p w14:paraId="0338196E" w14:textId="77777777" w:rsidR="00A1117F" w:rsidRDefault="00A1117F" w:rsidP="00CF48C9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10 - </w:t>
      </w:r>
      <w:r w:rsidRPr="00A1117F">
        <w:rPr>
          <w:rFonts w:ascii="Arial" w:hAnsi="Arial" w:cs="Arial"/>
          <w:lang w:val="en-US"/>
        </w:rPr>
        <w:t>Cape Bio Pharms</w:t>
      </w:r>
      <w:r>
        <w:rPr>
          <w:rFonts w:ascii="Arial" w:hAnsi="Arial" w:cs="Arial"/>
          <w:lang w:val="en-US"/>
        </w:rPr>
        <w:t>, Cape Town, South Africa</w:t>
      </w:r>
    </w:p>
    <w:p w14:paraId="3D7DD695" w14:textId="418DCF64" w:rsidR="00A1117F" w:rsidRDefault="00A1117F" w:rsidP="00E8783F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11 – </w:t>
      </w:r>
      <w:r w:rsidR="004346E1" w:rsidRPr="004346E1">
        <w:rPr>
          <w:rFonts w:ascii="Arial" w:hAnsi="Arial" w:cs="Arial"/>
          <w:lang w:val="en-US"/>
        </w:rPr>
        <w:t>Technical University of Darmstadt</w:t>
      </w:r>
      <w:r w:rsidR="004346E1">
        <w:rPr>
          <w:rFonts w:ascii="Arial" w:hAnsi="Arial" w:cs="Arial"/>
          <w:lang w:val="en-US"/>
        </w:rPr>
        <w:t>, Darmstadt, Germany</w:t>
      </w:r>
    </w:p>
    <w:p w14:paraId="2A55D9AF" w14:textId="77777777" w:rsidR="004346E1" w:rsidRDefault="00A1117F" w:rsidP="00E8783F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 – St. George’s</w:t>
      </w:r>
      <w:r w:rsidR="004346E1">
        <w:rPr>
          <w:rFonts w:ascii="Arial" w:hAnsi="Arial" w:cs="Arial"/>
          <w:lang w:val="en-US"/>
        </w:rPr>
        <w:t>, University of London, UK</w:t>
      </w:r>
    </w:p>
    <w:p w14:paraId="4AD9BAE3" w14:textId="77777777" w:rsidR="004346E1" w:rsidRDefault="004346E1" w:rsidP="00E8783F">
      <w:pPr>
        <w:spacing w:after="120" w:line="360" w:lineRule="auto"/>
        <w:jc w:val="both"/>
        <w:rPr>
          <w:rFonts w:ascii="Arial" w:hAnsi="Arial" w:cs="Arial"/>
          <w:lang w:val="en-US"/>
        </w:rPr>
      </w:pPr>
    </w:p>
    <w:p w14:paraId="5B503B2B" w14:textId="3A8CE92A" w:rsidR="0040527B" w:rsidRDefault="00A1117F" w:rsidP="00E8783F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D51E7A">
        <w:rPr>
          <w:rFonts w:ascii="Arial" w:hAnsi="Arial" w:cs="Arial"/>
          <w:lang w:val="en-US"/>
        </w:rPr>
        <w:t>-mail</w:t>
      </w:r>
      <w:r w:rsidR="00F722CA" w:rsidRPr="00E8783F">
        <w:rPr>
          <w:rFonts w:ascii="Arial" w:hAnsi="Arial" w:cs="Arial"/>
          <w:lang w:val="en-US"/>
        </w:rPr>
        <w:t xml:space="preserve">: </w:t>
      </w:r>
      <w:r w:rsidR="0040527B" w:rsidRPr="00E8783F">
        <w:rPr>
          <w:rFonts w:ascii="Arial" w:hAnsi="Arial" w:cs="Arial"/>
          <w:lang w:val="en-US"/>
        </w:rPr>
        <w:t xml:space="preserve">Julian K-C. Ma </w:t>
      </w:r>
      <w:r w:rsidR="00240383" w:rsidRPr="00240383">
        <w:rPr>
          <w:rFonts w:ascii="Arial" w:hAnsi="Arial" w:cs="Arial"/>
          <w:lang w:val="en-US"/>
        </w:rPr>
        <w:t>jma@sgul.ac.uk</w:t>
      </w:r>
    </w:p>
    <w:p w14:paraId="76A94423" w14:textId="77777777" w:rsidR="00856039" w:rsidRPr="00E8783F" w:rsidRDefault="00856039" w:rsidP="00E8783F">
      <w:pPr>
        <w:spacing w:after="120" w:line="360" w:lineRule="auto"/>
        <w:jc w:val="both"/>
        <w:rPr>
          <w:rFonts w:ascii="Arial" w:hAnsi="Arial" w:cs="Arial"/>
          <w:lang w:val="en-US"/>
        </w:rPr>
      </w:pPr>
    </w:p>
    <w:p w14:paraId="04B4587D" w14:textId="24B4AD8D" w:rsidR="005F26AD" w:rsidRDefault="00DD5574" w:rsidP="00166A8A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the </w:t>
      </w:r>
      <w:r w:rsidR="00107AA9">
        <w:rPr>
          <w:rFonts w:ascii="Arial" w:hAnsi="Arial" w:cs="Arial"/>
          <w:lang w:val="en-US"/>
        </w:rPr>
        <w:t>editor</w:t>
      </w:r>
      <w:r>
        <w:rPr>
          <w:rFonts w:ascii="Arial" w:hAnsi="Arial" w:cs="Arial"/>
          <w:lang w:val="en-US"/>
        </w:rPr>
        <w:t>:</w:t>
      </w:r>
      <w:r w:rsidR="00E65603" w:rsidRPr="00E65603">
        <w:t xml:space="preserve"> </w:t>
      </w:r>
      <w:r w:rsidR="00E65603" w:rsidRPr="00E65603">
        <w:rPr>
          <w:rFonts w:ascii="Arial" w:hAnsi="Arial" w:cs="Arial"/>
          <w:lang w:val="en-US"/>
        </w:rPr>
        <w:t>Plant Molecular Farming (PMF), which includes the production of valuable recombinant proteins and small molecules using plant biotechnology,</w:t>
      </w:r>
      <w:r w:rsidR="00E65603">
        <w:rPr>
          <w:rFonts w:ascii="Arial" w:hAnsi="Arial" w:cs="Arial"/>
          <w:lang w:val="en-US"/>
        </w:rPr>
        <w:t xml:space="preserve"> could provide a step chan</w:t>
      </w:r>
      <w:r w:rsidR="00166A8A">
        <w:rPr>
          <w:rFonts w:ascii="Arial" w:hAnsi="Arial" w:cs="Arial"/>
          <w:lang w:val="en-US"/>
        </w:rPr>
        <w:t>g</w:t>
      </w:r>
      <w:r w:rsidR="00E65603">
        <w:rPr>
          <w:rFonts w:ascii="Arial" w:hAnsi="Arial" w:cs="Arial"/>
          <w:lang w:val="en-US"/>
        </w:rPr>
        <w:t xml:space="preserve">e </w:t>
      </w:r>
      <w:r w:rsidR="00E65603" w:rsidRPr="00E65603">
        <w:rPr>
          <w:rFonts w:ascii="Arial" w:hAnsi="Arial" w:cs="Arial"/>
          <w:lang w:val="en-US"/>
        </w:rPr>
        <w:t xml:space="preserve">in </w:t>
      </w:r>
      <w:r w:rsidR="00D22C1A" w:rsidRPr="00E65603">
        <w:rPr>
          <w:rFonts w:ascii="Arial" w:hAnsi="Arial" w:cs="Arial"/>
          <w:lang w:val="en-US"/>
        </w:rPr>
        <w:t>improving health outcomes</w:t>
      </w:r>
      <w:r w:rsidR="00466594" w:rsidRPr="00D225EC">
        <w:rPr>
          <w:rFonts w:ascii="Arial" w:hAnsi="Arial" w:cs="Arial"/>
          <w:lang w:val="en-US"/>
        </w:rPr>
        <w:t>,</w:t>
      </w:r>
      <w:r w:rsidR="00D22C1A" w:rsidRPr="00E65603">
        <w:rPr>
          <w:rFonts w:ascii="Arial" w:hAnsi="Arial" w:cs="Arial"/>
          <w:lang w:val="en-US"/>
        </w:rPr>
        <w:t xml:space="preserve"> </w:t>
      </w:r>
      <w:r w:rsidR="004F2854" w:rsidRPr="00E65603">
        <w:rPr>
          <w:rFonts w:ascii="Arial" w:hAnsi="Arial" w:cs="Arial"/>
          <w:lang w:val="en-US"/>
        </w:rPr>
        <w:t xml:space="preserve">particularly </w:t>
      </w:r>
      <w:r w:rsidR="00D22C1A" w:rsidRPr="00E65603">
        <w:rPr>
          <w:rFonts w:ascii="Arial" w:hAnsi="Arial" w:cs="Arial"/>
          <w:lang w:val="en-US"/>
        </w:rPr>
        <w:t>in developing countries</w:t>
      </w:r>
      <w:r w:rsidR="00557DCD" w:rsidRPr="006D455D">
        <w:rPr>
          <w:rStyle w:val="EndnoteReference"/>
          <w:rFonts w:ascii="Arial" w:hAnsi="Arial" w:cs="Arial"/>
          <w:lang w:val="en-US"/>
        </w:rPr>
        <w:endnoteReference w:id="1"/>
      </w:r>
      <w:r w:rsidR="00557DCD" w:rsidRPr="006D455D">
        <w:rPr>
          <w:rFonts w:ascii="Arial" w:hAnsi="Arial" w:cs="Arial"/>
          <w:vertAlign w:val="superscript"/>
          <w:lang w:val="en-US"/>
        </w:rPr>
        <w:t>,</w:t>
      </w:r>
      <w:r w:rsidR="00557DCD" w:rsidRPr="006D455D">
        <w:rPr>
          <w:rStyle w:val="EndnoteReference"/>
          <w:rFonts w:ascii="Arial" w:hAnsi="Arial" w:cs="Arial"/>
          <w:lang w:val="en-US"/>
        </w:rPr>
        <w:endnoteReference w:id="2"/>
      </w:r>
      <w:r w:rsidR="00A164C5">
        <w:rPr>
          <w:rFonts w:ascii="Arial" w:hAnsi="Arial" w:cs="Arial"/>
          <w:lang w:val="en-US"/>
        </w:rPr>
        <w:t>. This field</w:t>
      </w:r>
      <w:r w:rsidR="00F4042F">
        <w:rPr>
          <w:rFonts w:ascii="Arial" w:hAnsi="Arial" w:cs="Arial"/>
          <w:lang w:val="en-US"/>
        </w:rPr>
        <w:t xml:space="preserve"> was</w:t>
      </w:r>
      <w:r w:rsidR="00F4042F" w:rsidRPr="006D455D">
        <w:rPr>
          <w:rFonts w:ascii="Arial" w:hAnsi="Arial" w:cs="Arial"/>
          <w:lang w:val="en-US"/>
        </w:rPr>
        <w:t xml:space="preserve"> </w:t>
      </w:r>
      <w:r w:rsidR="67694B41" w:rsidRPr="006D455D">
        <w:rPr>
          <w:rFonts w:ascii="Arial" w:hAnsi="Arial" w:cs="Arial"/>
          <w:lang w:val="en-US"/>
        </w:rPr>
        <w:t xml:space="preserve">recently </w:t>
      </w:r>
      <w:r>
        <w:rPr>
          <w:rFonts w:ascii="Arial" w:hAnsi="Arial" w:cs="Arial"/>
          <w:lang w:val="en-US"/>
        </w:rPr>
        <w:t>su</w:t>
      </w:r>
      <w:r w:rsidR="00107AA9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prised</w:t>
      </w:r>
      <w:r w:rsidRPr="006D455D">
        <w:rPr>
          <w:rFonts w:ascii="Arial" w:hAnsi="Arial" w:cs="Arial"/>
          <w:lang w:val="en-US"/>
        </w:rPr>
        <w:t xml:space="preserve"> </w:t>
      </w:r>
      <w:r w:rsidR="67694B41" w:rsidRPr="006D455D">
        <w:rPr>
          <w:rFonts w:ascii="Arial" w:hAnsi="Arial" w:cs="Arial"/>
          <w:lang w:val="en-US"/>
        </w:rPr>
        <w:t xml:space="preserve">by the announcement that </w:t>
      </w:r>
      <w:r w:rsidR="00225538" w:rsidRPr="006D455D">
        <w:rPr>
          <w:rFonts w:ascii="Arial" w:hAnsi="Arial" w:cs="Arial"/>
          <w:lang w:val="en-US"/>
        </w:rPr>
        <w:t xml:space="preserve">the Canadian biotechnology company </w:t>
      </w:r>
      <w:r w:rsidR="67694B41" w:rsidRPr="006D455D">
        <w:rPr>
          <w:rFonts w:ascii="Arial" w:hAnsi="Arial" w:cs="Arial"/>
          <w:lang w:val="en-US"/>
        </w:rPr>
        <w:t xml:space="preserve">Medicago Inc. </w:t>
      </w:r>
      <w:r w:rsidR="00557DCD" w:rsidRPr="006D455D">
        <w:rPr>
          <w:rFonts w:ascii="Arial" w:hAnsi="Arial" w:cs="Arial"/>
          <w:lang w:val="en-US"/>
        </w:rPr>
        <w:t xml:space="preserve">has </w:t>
      </w:r>
      <w:r w:rsidR="67694B41" w:rsidRPr="006D455D">
        <w:rPr>
          <w:rFonts w:ascii="Arial" w:hAnsi="Arial" w:cs="Arial"/>
          <w:lang w:val="en-US"/>
        </w:rPr>
        <w:t>cease</w:t>
      </w:r>
      <w:r w:rsidR="007B10B5" w:rsidRPr="006D455D">
        <w:rPr>
          <w:rFonts w:ascii="Arial" w:hAnsi="Arial" w:cs="Arial"/>
          <w:lang w:val="en-US"/>
        </w:rPr>
        <w:t>d</w:t>
      </w:r>
      <w:r w:rsidR="67694B41" w:rsidRPr="006D455D">
        <w:rPr>
          <w:rFonts w:ascii="Arial" w:hAnsi="Arial" w:cs="Arial"/>
          <w:lang w:val="en-US"/>
        </w:rPr>
        <w:t xml:space="preserve"> operations</w:t>
      </w:r>
      <w:r w:rsidR="00AE1BF8" w:rsidRPr="006D455D">
        <w:rPr>
          <w:rFonts w:ascii="Arial" w:hAnsi="Arial" w:cs="Arial"/>
          <w:lang w:val="en-US"/>
        </w:rPr>
        <w:t xml:space="preserve"> </w:t>
      </w:r>
      <w:r w:rsidR="00466594">
        <w:rPr>
          <w:rFonts w:ascii="Arial" w:hAnsi="Arial" w:cs="Arial"/>
          <w:lang w:val="en-US"/>
        </w:rPr>
        <w:t>due to the</w:t>
      </w:r>
      <w:r w:rsidR="00225538" w:rsidRPr="006D455D">
        <w:rPr>
          <w:rFonts w:ascii="Arial" w:hAnsi="Arial" w:cs="Arial"/>
          <w:lang w:val="en-US"/>
        </w:rPr>
        <w:t xml:space="preserve"> </w:t>
      </w:r>
      <w:r w:rsidR="007E500D" w:rsidRPr="006D455D">
        <w:rPr>
          <w:rFonts w:ascii="Arial" w:hAnsi="Arial" w:cs="Arial"/>
          <w:lang w:val="en-US"/>
        </w:rPr>
        <w:t>termination of investment</w:t>
      </w:r>
      <w:r w:rsidR="00225538" w:rsidRPr="006D455D">
        <w:rPr>
          <w:rFonts w:ascii="Arial" w:hAnsi="Arial" w:cs="Arial"/>
          <w:lang w:val="en-US"/>
        </w:rPr>
        <w:t xml:space="preserve"> </w:t>
      </w:r>
      <w:r w:rsidR="00497E19" w:rsidRPr="006D455D">
        <w:rPr>
          <w:rFonts w:ascii="Arial" w:hAnsi="Arial" w:cs="Arial"/>
          <w:lang w:val="en-US"/>
        </w:rPr>
        <w:t>by</w:t>
      </w:r>
      <w:r w:rsidR="00225538" w:rsidRPr="006D455D">
        <w:rPr>
          <w:rFonts w:ascii="Arial" w:hAnsi="Arial" w:cs="Arial"/>
          <w:lang w:val="en-US"/>
        </w:rPr>
        <w:t xml:space="preserve"> </w:t>
      </w:r>
      <w:r w:rsidR="00856D2F" w:rsidRPr="006D455D">
        <w:rPr>
          <w:rFonts w:ascii="Arial" w:hAnsi="Arial" w:cs="Arial"/>
          <w:lang w:val="en-US"/>
        </w:rPr>
        <w:t>its</w:t>
      </w:r>
      <w:r w:rsidR="00225538" w:rsidRPr="006D455D">
        <w:rPr>
          <w:rFonts w:ascii="Arial" w:hAnsi="Arial" w:cs="Arial"/>
          <w:lang w:val="en-US"/>
        </w:rPr>
        <w:t xml:space="preserve"> parent company</w:t>
      </w:r>
      <w:r w:rsidR="00557DCD" w:rsidRPr="006D455D">
        <w:rPr>
          <w:rStyle w:val="EndnoteReference"/>
          <w:rFonts w:ascii="Arial" w:hAnsi="Arial" w:cs="Arial"/>
          <w:lang w:val="en-US"/>
        </w:rPr>
        <w:endnoteReference w:id="3"/>
      </w:r>
      <w:r w:rsidR="67694B41" w:rsidRPr="006D455D">
        <w:rPr>
          <w:rFonts w:ascii="Arial" w:hAnsi="Arial" w:cs="Arial"/>
          <w:lang w:val="en-US"/>
        </w:rPr>
        <w:t xml:space="preserve">. </w:t>
      </w:r>
      <w:r w:rsidR="00225538" w:rsidRPr="006D455D">
        <w:rPr>
          <w:rFonts w:ascii="Arial" w:hAnsi="Arial" w:cs="Arial"/>
          <w:lang w:val="en-US"/>
        </w:rPr>
        <w:t xml:space="preserve">Medicago has been a pioneer and a leader </w:t>
      </w:r>
      <w:r w:rsidR="00BD0342">
        <w:rPr>
          <w:rFonts w:ascii="Arial" w:hAnsi="Arial" w:cs="Arial"/>
          <w:lang w:val="en-US"/>
        </w:rPr>
        <w:t>in</w:t>
      </w:r>
      <w:r w:rsidR="00225538" w:rsidRPr="006D455D">
        <w:rPr>
          <w:rFonts w:ascii="Arial" w:hAnsi="Arial" w:cs="Arial"/>
          <w:lang w:val="en-US"/>
        </w:rPr>
        <w:t xml:space="preserve"> </w:t>
      </w:r>
      <w:r w:rsidR="00466594">
        <w:rPr>
          <w:rFonts w:ascii="Arial" w:hAnsi="Arial" w:cs="Arial"/>
          <w:lang w:val="en-US"/>
        </w:rPr>
        <w:t xml:space="preserve">the </w:t>
      </w:r>
      <w:r w:rsidR="00225538" w:rsidRPr="006D455D">
        <w:rPr>
          <w:rFonts w:ascii="Arial" w:hAnsi="Arial" w:cs="Arial"/>
          <w:lang w:val="en-US"/>
        </w:rPr>
        <w:t xml:space="preserve">commercial development of </w:t>
      </w:r>
      <w:r w:rsidR="00944848" w:rsidRPr="006D455D">
        <w:rPr>
          <w:rFonts w:ascii="Arial" w:hAnsi="Arial" w:cs="Arial"/>
          <w:lang w:val="en-US"/>
        </w:rPr>
        <w:t>plant molecular farming</w:t>
      </w:r>
      <w:r w:rsidR="00225538" w:rsidRPr="006D455D">
        <w:rPr>
          <w:rFonts w:ascii="Arial" w:hAnsi="Arial" w:cs="Arial"/>
          <w:lang w:val="en-US"/>
        </w:rPr>
        <w:t>, particularly vaccine</w:t>
      </w:r>
      <w:r w:rsidR="00F86B76">
        <w:rPr>
          <w:rFonts w:ascii="Arial" w:hAnsi="Arial" w:cs="Arial"/>
          <w:lang w:val="en-US"/>
        </w:rPr>
        <w:t xml:space="preserve"> production</w:t>
      </w:r>
      <w:r w:rsidR="00B675A6">
        <w:rPr>
          <w:rFonts w:ascii="Arial" w:hAnsi="Arial" w:cs="Arial"/>
          <w:lang w:val="en-US"/>
        </w:rPr>
        <w:t xml:space="preserve"> by transient expression in </w:t>
      </w:r>
      <w:r w:rsidR="00B675A6" w:rsidRPr="00E65603">
        <w:rPr>
          <w:rFonts w:ascii="Arial" w:hAnsi="Arial" w:cs="Arial"/>
          <w:i/>
          <w:lang w:val="en-US"/>
        </w:rPr>
        <w:t>Nicotiana benthamiana</w:t>
      </w:r>
      <w:r w:rsidR="00D51E7A">
        <w:rPr>
          <w:rFonts w:ascii="Arial" w:hAnsi="Arial" w:cs="Arial"/>
          <w:i/>
          <w:lang w:val="en-US"/>
        </w:rPr>
        <w:t xml:space="preserve"> </w:t>
      </w:r>
      <w:r w:rsidR="00D51E7A" w:rsidRPr="00D51E7A">
        <w:rPr>
          <w:rFonts w:ascii="Arial" w:hAnsi="Arial" w:cs="Arial"/>
          <w:iCs/>
          <w:lang w:val="en-US"/>
        </w:rPr>
        <w:t>(tobacco)</w:t>
      </w:r>
      <w:r w:rsidR="00944848">
        <w:rPr>
          <w:rFonts w:ascii="Arial" w:hAnsi="Arial" w:cs="Arial"/>
          <w:lang w:val="en-US"/>
        </w:rPr>
        <w:t xml:space="preserve">. </w:t>
      </w:r>
      <w:r w:rsidR="00001CCE">
        <w:rPr>
          <w:rFonts w:ascii="Arial" w:hAnsi="Arial" w:cs="Arial"/>
        </w:rPr>
        <w:t xml:space="preserve">A key contribution of </w:t>
      </w:r>
      <w:r w:rsidR="00001CCE">
        <w:rPr>
          <w:rFonts w:ascii="Arial" w:hAnsi="Arial" w:cs="Arial"/>
          <w:lang w:val="en-US"/>
        </w:rPr>
        <w:t xml:space="preserve">Medicago to the COVID-19 pandemic response was the </w:t>
      </w:r>
      <w:r w:rsidR="00001CCE">
        <w:rPr>
          <w:rFonts w:ascii="Arial" w:hAnsi="Arial" w:cs="Arial"/>
          <w:lang w:val="en-US"/>
        </w:rPr>
        <w:lastRenderedPageBreak/>
        <w:t>licensing in Canada</w:t>
      </w:r>
      <w:r w:rsidR="00166A8A">
        <w:rPr>
          <w:rFonts w:ascii="Arial" w:hAnsi="Arial" w:cs="Arial"/>
          <w:lang w:val="en-US"/>
        </w:rPr>
        <w:t>,</w:t>
      </w:r>
      <w:r w:rsidR="00001CCE">
        <w:rPr>
          <w:rFonts w:ascii="Arial" w:hAnsi="Arial" w:cs="Arial"/>
          <w:lang w:val="en-US"/>
        </w:rPr>
        <w:t xml:space="preserve"> </w:t>
      </w:r>
      <w:r w:rsidR="00466594">
        <w:rPr>
          <w:rFonts w:ascii="Arial" w:hAnsi="Arial" w:cs="Arial"/>
          <w:lang w:val="en-US"/>
        </w:rPr>
        <w:t xml:space="preserve">of </w:t>
      </w:r>
      <w:r w:rsidR="00001CCE">
        <w:rPr>
          <w:rFonts w:ascii="Arial" w:hAnsi="Arial" w:cs="Arial"/>
          <w:lang w:val="en-US"/>
        </w:rPr>
        <w:t>a virus-like</w:t>
      </w:r>
      <w:r w:rsidR="00466594">
        <w:rPr>
          <w:rFonts w:ascii="Arial" w:hAnsi="Arial" w:cs="Arial"/>
          <w:lang w:val="en-US"/>
        </w:rPr>
        <w:t xml:space="preserve"> </w:t>
      </w:r>
      <w:r w:rsidR="00001CCE">
        <w:rPr>
          <w:rFonts w:ascii="Arial" w:hAnsi="Arial" w:cs="Arial"/>
          <w:lang w:val="en-US"/>
        </w:rPr>
        <w:t>particle vaccine (Covifenz</w:t>
      </w:r>
      <w:r w:rsidR="00B329BB">
        <w:rPr>
          <w:lang w:val="en-US"/>
        </w:rPr>
        <w:t>®</w:t>
      </w:r>
      <w:r w:rsidR="00001CCE">
        <w:rPr>
          <w:rFonts w:ascii="Arial" w:hAnsi="Arial" w:cs="Arial"/>
          <w:lang w:val="en-US"/>
        </w:rPr>
        <w:t xml:space="preserve">) in </w:t>
      </w:r>
      <w:r w:rsidR="00D51E7A">
        <w:rPr>
          <w:rFonts w:ascii="Arial" w:hAnsi="Arial" w:cs="Arial"/>
          <w:lang w:val="en-US"/>
        </w:rPr>
        <w:t>under</w:t>
      </w:r>
      <w:r w:rsidR="00466594">
        <w:rPr>
          <w:rFonts w:ascii="Arial" w:hAnsi="Arial" w:cs="Arial"/>
          <w:lang w:val="en-US"/>
        </w:rPr>
        <w:t xml:space="preserve"> </w:t>
      </w:r>
      <w:r w:rsidR="00001CCE">
        <w:rPr>
          <w:rFonts w:ascii="Arial" w:hAnsi="Arial" w:cs="Arial"/>
          <w:lang w:val="en-US"/>
        </w:rPr>
        <w:t>24 months from initial design</w:t>
      </w:r>
      <w:r w:rsidR="00466594">
        <w:rPr>
          <w:rFonts w:ascii="Arial" w:hAnsi="Arial" w:cs="Arial"/>
          <w:lang w:val="en-US"/>
        </w:rPr>
        <w:t>.</w:t>
      </w:r>
      <w:r w:rsidR="00001CC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While some may be concerned that the closure of this company will </w:t>
      </w:r>
      <w:r w:rsidR="00E65603">
        <w:rPr>
          <w:rFonts w:ascii="Arial" w:hAnsi="Arial" w:cs="Arial"/>
          <w:lang w:val="en-US"/>
        </w:rPr>
        <w:t xml:space="preserve">be a major step back for </w:t>
      </w:r>
      <w:r>
        <w:rPr>
          <w:rFonts w:ascii="Arial" w:hAnsi="Arial" w:cs="Arial"/>
          <w:lang w:val="en-US"/>
        </w:rPr>
        <w:t xml:space="preserve">the </w:t>
      </w:r>
      <w:r w:rsidR="00B675A6">
        <w:rPr>
          <w:rFonts w:ascii="Arial" w:hAnsi="Arial" w:cs="Arial"/>
          <w:lang w:val="en-US"/>
        </w:rPr>
        <w:t xml:space="preserve">entire </w:t>
      </w:r>
      <w:r>
        <w:rPr>
          <w:rFonts w:ascii="Arial" w:hAnsi="Arial" w:cs="Arial"/>
          <w:lang w:val="en-US"/>
        </w:rPr>
        <w:t xml:space="preserve">field, </w:t>
      </w:r>
      <w:r>
        <w:rPr>
          <w:rFonts w:ascii="Arial" w:hAnsi="Arial" w:cs="Arial"/>
        </w:rPr>
        <w:t>the</w:t>
      </w:r>
      <w:r w:rsidRPr="008E5B22">
        <w:rPr>
          <w:rFonts w:ascii="Arial" w:hAnsi="Arial" w:cs="Arial"/>
        </w:rPr>
        <w:t xml:space="preserve"> </w:t>
      </w:r>
      <w:r w:rsidRPr="006D455D">
        <w:rPr>
          <w:rFonts w:ascii="Arial" w:hAnsi="Arial" w:cs="Arial"/>
          <w:lang w:val="en-US"/>
        </w:rPr>
        <w:t>International Society for Plant Molecular Farming</w:t>
      </w:r>
      <w:r w:rsidRPr="008E5B22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es</w:t>
      </w:r>
      <w:r w:rsidRPr="008E5B22">
        <w:rPr>
          <w:rFonts w:ascii="Arial" w:hAnsi="Arial" w:cs="Arial"/>
        </w:rPr>
        <w:t xml:space="preserve"> not believe </w:t>
      </w:r>
      <w:r>
        <w:rPr>
          <w:rFonts w:ascii="Arial" w:hAnsi="Arial" w:cs="Arial"/>
        </w:rPr>
        <w:t>this closure</w:t>
      </w:r>
      <w:r w:rsidRPr="008E5B22">
        <w:rPr>
          <w:rFonts w:ascii="Arial" w:hAnsi="Arial" w:cs="Arial"/>
        </w:rPr>
        <w:t xml:space="preserve"> to be a serious indictment of the technology, nor should it have a significant impact on future endeavours</w:t>
      </w:r>
      <w:r w:rsidR="00437099">
        <w:rPr>
          <w:rFonts w:ascii="Arial" w:hAnsi="Arial" w:cs="Arial"/>
        </w:rPr>
        <w:t>.</w:t>
      </w:r>
      <w:r w:rsidR="00CA1972">
        <w:rPr>
          <w:rFonts w:ascii="Arial" w:hAnsi="Arial" w:cs="Arial"/>
        </w:rPr>
        <w:t xml:space="preserve"> </w:t>
      </w:r>
    </w:p>
    <w:p w14:paraId="5548FC27" w14:textId="2D8625A6" w:rsidR="00EF4E60" w:rsidRDefault="00225538" w:rsidP="00166A8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6D455D">
        <w:rPr>
          <w:rFonts w:ascii="Arial" w:hAnsi="Arial" w:cs="Arial"/>
          <w:lang w:val="en-US"/>
        </w:rPr>
        <w:t xml:space="preserve">Medicago is one of many companies in the </w:t>
      </w:r>
      <w:r w:rsidR="004F7CC0" w:rsidRPr="006D455D">
        <w:rPr>
          <w:rFonts w:ascii="Arial" w:hAnsi="Arial" w:cs="Arial"/>
          <w:lang w:val="en-US"/>
        </w:rPr>
        <w:t>plant molecular farming</w:t>
      </w:r>
      <w:r w:rsidR="004F7CC0" w:rsidRPr="006D455D" w:rsidDel="004F7CC0">
        <w:rPr>
          <w:rFonts w:ascii="Arial" w:hAnsi="Arial" w:cs="Arial"/>
          <w:lang w:val="en-US"/>
        </w:rPr>
        <w:t xml:space="preserve"> </w:t>
      </w:r>
      <w:r w:rsidR="005275D5">
        <w:rPr>
          <w:rFonts w:ascii="Arial" w:hAnsi="Arial" w:cs="Arial"/>
          <w:lang w:val="en-US"/>
        </w:rPr>
        <w:t>arena</w:t>
      </w:r>
      <w:r w:rsidR="00A51055">
        <w:rPr>
          <w:rFonts w:ascii="Arial" w:hAnsi="Arial" w:cs="Arial"/>
          <w:lang w:val="en-US"/>
        </w:rPr>
        <w:t xml:space="preserve"> </w:t>
      </w:r>
      <w:r w:rsidR="00D51E7A">
        <w:rPr>
          <w:rFonts w:ascii="Arial" w:hAnsi="Arial" w:cs="Arial"/>
          <w:lang w:val="en-US"/>
        </w:rPr>
        <w:t>—</w:t>
      </w:r>
      <w:r w:rsidR="00795285">
        <w:rPr>
          <w:rFonts w:ascii="Arial" w:hAnsi="Arial" w:cs="Arial"/>
          <w:lang w:val="en-US"/>
        </w:rPr>
        <w:t xml:space="preserve"> </w:t>
      </w:r>
      <w:r w:rsidRPr="006D455D">
        <w:rPr>
          <w:rFonts w:ascii="Arial" w:hAnsi="Arial" w:cs="Arial"/>
          <w:lang w:val="en-US"/>
        </w:rPr>
        <w:t xml:space="preserve">others </w:t>
      </w:r>
      <w:r w:rsidR="007103B5">
        <w:rPr>
          <w:rFonts w:ascii="Arial" w:hAnsi="Arial" w:cs="Arial"/>
          <w:lang w:val="en-US"/>
        </w:rPr>
        <w:t>are</w:t>
      </w:r>
      <w:r w:rsidR="007103B5" w:rsidRPr="006D455D">
        <w:rPr>
          <w:rFonts w:ascii="Arial" w:hAnsi="Arial" w:cs="Arial"/>
          <w:lang w:val="en-US"/>
        </w:rPr>
        <w:t xml:space="preserve"> </w:t>
      </w:r>
      <w:r w:rsidR="00832EC8" w:rsidRPr="006D455D">
        <w:rPr>
          <w:rFonts w:ascii="Arial" w:hAnsi="Arial" w:cs="Arial"/>
          <w:lang w:val="en-US"/>
        </w:rPr>
        <w:t>active with</w:t>
      </w:r>
      <w:r w:rsidRPr="006D455D">
        <w:rPr>
          <w:rFonts w:ascii="Arial" w:hAnsi="Arial" w:cs="Arial"/>
          <w:lang w:val="en-US"/>
        </w:rPr>
        <w:t xml:space="preserve"> </w:t>
      </w:r>
      <w:r w:rsidR="00832EC8" w:rsidRPr="006D455D">
        <w:rPr>
          <w:rFonts w:ascii="Arial" w:hAnsi="Arial" w:cs="Arial"/>
          <w:lang w:val="en-US"/>
        </w:rPr>
        <w:t>commercially successful products and full pipelines</w:t>
      </w:r>
      <w:r w:rsidR="00557DCD" w:rsidRPr="006D455D">
        <w:rPr>
          <w:rStyle w:val="EndnoteReference"/>
          <w:rFonts w:ascii="Arial" w:hAnsi="Arial" w:cs="Arial"/>
          <w:lang w:val="en-US"/>
        </w:rPr>
        <w:endnoteReference w:id="4"/>
      </w:r>
      <w:r w:rsidR="00DD5574">
        <w:rPr>
          <w:rFonts w:ascii="Arial" w:hAnsi="Arial" w:cs="Arial"/>
          <w:lang w:val="en-US"/>
        </w:rPr>
        <w:t xml:space="preserve"> (</w:t>
      </w:r>
      <w:r w:rsidR="00DD5574" w:rsidRPr="00001CCE">
        <w:rPr>
          <w:rFonts w:ascii="Arial" w:hAnsi="Arial" w:cs="Arial"/>
          <w:b/>
          <w:bCs/>
          <w:lang w:val="en-US"/>
        </w:rPr>
        <w:t>Fig</w:t>
      </w:r>
      <w:r w:rsidR="00876513" w:rsidRPr="00001CCE">
        <w:rPr>
          <w:rFonts w:ascii="Arial" w:hAnsi="Arial" w:cs="Arial"/>
          <w:b/>
          <w:bCs/>
          <w:lang w:val="en-US"/>
        </w:rPr>
        <w:t>.</w:t>
      </w:r>
      <w:r w:rsidR="00DD5574" w:rsidRPr="00001CCE">
        <w:rPr>
          <w:rFonts w:ascii="Arial" w:hAnsi="Arial" w:cs="Arial"/>
          <w:b/>
          <w:bCs/>
          <w:lang w:val="en-US"/>
        </w:rPr>
        <w:t xml:space="preserve"> 1</w:t>
      </w:r>
      <w:r w:rsidR="00DD5574">
        <w:rPr>
          <w:rFonts w:ascii="Arial" w:hAnsi="Arial" w:cs="Arial"/>
          <w:lang w:val="en-US"/>
        </w:rPr>
        <w:t>)</w:t>
      </w:r>
      <w:r w:rsidR="00832EC8" w:rsidRPr="006D455D">
        <w:rPr>
          <w:rFonts w:ascii="Arial" w:hAnsi="Arial" w:cs="Arial"/>
          <w:lang w:val="en-US"/>
        </w:rPr>
        <w:t>. For example, Protalix Therapeutics</w:t>
      </w:r>
      <w:r w:rsidR="00A51055">
        <w:rPr>
          <w:rFonts w:ascii="Arial" w:hAnsi="Arial" w:cs="Arial"/>
          <w:lang w:val="en-US"/>
        </w:rPr>
        <w:t xml:space="preserve"> in Israel</w:t>
      </w:r>
      <w:r w:rsidR="00832EC8" w:rsidRPr="006D455D">
        <w:rPr>
          <w:rFonts w:ascii="Arial" w:hAnsi="Arial" w:cs="Arial"/>
          <w:lang w:val="en-US"/>
        </w:rPr>
        <w:t xml:space="preserve"> has one marketed product, another that has completed phase</w:t>
      </w:r>
      <w:r w:rsidR="0079453C">
        <w:rPr>
          <w:rFonts w:ascii="Arial" w:hAnsi="Arial" w:cs="Arial"/>
          <w:lang w:val="en-US"/>
        </w:rPr>
        <w:t>-</w:t>
      </w:r>
      <w:r w:rsidR="00832EC8" w:rsidRPr="006D455D">
        <w:rPr>
          <w:rFonts w:ascii="Arial" w:hAnsi="Arial" w:cs="Arial"/>
          <w:lang w:val="en-US"/>
        </w:rPr>
        <w:t>III</w:t>
      </w:r>
      <w:r w:rsidR="0079453C">
        <w:rPr>
          <w:rFonts w:ascii="Arial" w:hAnsi="Arial" w:cs="Arial"/>
          <w:lang w:val="en-US"/>
        </w:rPr>
        <w:t xml:space="preserve"> </w:t>
      </w:r>
      <w:r w:rsidR="00D643F7">
        <w:rPr>
          <w:rFonts w:ascii="Arial" w:hAnsi="Arial" w:cs="Arial"/>
          <w:lang w:val="en-US"/>
        </w:rPr>
        <w:t>development</w:t>
      </w:r>
      <w:r w:rsidR="00832EC8" w:rsidRPr="006D455D">
        <w:rPr>
          <w:rFonts w:ascii="Arial" w:hAnsi="Arial" w:cs="Arial"/>
          <w:lang w:val="en-US"/>
        </w:rPr>
        <w:t>, and other</w:t>
      </w:r>
      <w:r w:rsidR="009153F0">
        <w:rPr>
          <w:rFonts w:ascii="Arial" w:hAnsi="Arial" w:cs="Arial"/>
          <w:lang w:val="en-US"/>
        </w:rPr>
        <w:t>s</w:t>
      </w:r>
      <w:r w:rsidR="00EC1D1E">
        <w:rPr>
          <w:rFonts w:ascii="Arial" w:hAnsi="Arial" w:cs="Arial"/>
          <w:lang w:val="en-US"/>
        </w:rPr>
        <w:t xml:space="preserve"> </w:t>
      </w:r>
      <w:r w:rsidR="00D643F7">
        <w:rPr>
          <w:rFonts w:ascii="Arial" w:hAnsi="Arial" w:cs="Arial"/>
          <w:lang w:val="en-US"/>
        </w:rPr>
        <w:t>at</w:t>
      </w:r>
      <w:r w:rsidR="005275D5">
        <w:rPr>
          <w:rFonts w:ascii="Arial" w:hAnsi="Arial" w:cs="Arial"/>
          <w:lang w:val="en-US"/>
        </w:rPr>
        <w:t xml:space="preserve"> earlier stages</w:t>
      </w:r>
      <w:r w:rsidR="002D2160" w:rsidRPr="006D455D">
        <w:rPr>
          <w:rStyle w:val="EndnoteReference"/>
          <w:rFonts w:ascii="Arial" w:hAnsi="Arial" w:cs="Arial"/>
          <w:lang w:val="en-US"/>
        </w:rPr>
        <w:endnoteReference w:id="5"/>
      </w:r>
      <w:r w:rsidR="00557DCD" w:rsidRPr="006D455D">
        <w:rPr>
          <w:rFonts w:ascii="Arial" w:hAnsi="Arial" w:cs="Arial"/>
          <w:lang w:val="en-US"/>
        </w:rPr>
        <w:t>.</w:t>
      </w:r>
      <w:r w:rsidR="00832EC8" w:rsidRPr="006D455D">
        <w:rPr>
          <w:rFonts w:ascii="Arial" w:hAnsi="Arial" w:cs="Arial"/>
          <w:lang w:val="en-US"/>
        </w:rPr>
        <w:t xml:space="preserve"> </w:t>
      </w:r>
      <w:r w:rsidR="003775D0" w:rsidRPr="006D455D">
        <w:rPr>
          <w:rFonts w:ascii="Arial" w:hAnsi="Arial" w:cs="Arial"/>
          <w:lang w:val="en-US"/>
        </w:rPr>
        <w:t xml:space="preserve">BioApp </w:t>
      </w:r>
      <w:r w:rsidR="00D643F7">
        <w:rPr>
          <w:rFonts w:ascii="Arial" w:hAnsi="Arial" w:cs="Arial"/>
          <w:lang w:val="en-US"/>
        </w:rPr>
        <w:t xml:space="preserve">in Korea </w:t>
      </w:r>
      <w:r w:rsidR="003775D0" w:rsidRPr="006D455D">
        <w:rPr>
          <w:rFonts w:ascii="Arial" w:hAnsi="Arial" w:cs="Arial"/>
          <w:lang w:val="en-US"/>
        </w:rPr>
        <w:t xml:space="preserve">has an approved vaccine </w:t>
      </w:r>
      <w:r w:rsidR="005275D5">
        <w:rPr>
          <w:rFonts w:ascii="Arial" w:hAnsi="Arial" w:cs="Arial"/>
          <w:lang w:val="en-US"/>
        </w:rPr>
        <w:t>against</w:t>
      </w:r>
      <w:r w:rsidR="005275D5" w:rsidRPr="006D455D">
        <w:rPr>
          <w:rFonts w:ascii="Arial" w:hAnsi="Arial" w:cs="Arial"/>
          <w:lang w:val="en-US"/>
        </w:rPr>
        <w:t xml:space="preserve"> </w:t>
      </w:r>
      <w:r w:rsidR="003775D0" w:rsidRPr="006D455D">
        <w:rPr>
          <w:rFonts w:ascii="Arial" w:hAnsi="Arial" w:cs="Arial"/>
          <w:lang w:val="en-US"/>
        </w:rPr>
        <w:t>classical swine fever</w:t>
      </w:r>
      <w:r w:rsidR="00D643F7">
        <w:rPr>
          <w:rFonts w:ascii="Arial" w:hAnsi="Arial" w:cs="Arial"/>
          <w:lang w:val="en-US"/>
        </w:rPr>
        <w:t xml:space="preserve">, and </w:t>
      </w:r>
      <w:r w:rsidR="547D3025" w:rsidRPr="006D455D">
        <w:rPr>
          <w:rFonts w:ascii="Arial" w:hAnsi="Arial" w:cs="Arial"/>
          <w:lang w:val="en-US"/>
        </w:rPr>
        <w:t>KBio</w:t>
      </w:r>
      <w:r w:rsidR="007B10B5" w:rsidRPr="006D455D">
        <w:rPr>
          <w:rFonts w:ascii="Arial" w:hAnsi="Arial" w:cs="Arial"/>
          <w:lang w:val="en-US"/>
        </w:rPr>
        <w:t xml:space="preserve"> Inc.</w:t>
      </w:r>
      <w:r w:rsidR="002D2160" w:rsidRPr="006D455D">
        <w:rPr>
          <w:rFonts w:ascii="Arial" w:hAnsi="Arial" w:cs="Arial"/>
          <w:lang w:val="en-US"/>
        </w:rPr>
        <w:t xml:space="preserve"> </w:t>
      </w:r>
      <w:r w:rsidR="00A51055">
        <w:rPr>
          <w:rFonts w:ascii="Arial" w:hAnsi="Arial" w:cs="Arial"/>
          <w:lang w:val="en-US"/>
        </w:rPr>
        <w:t xml:space="preserve">in the United States </w:t>
      </w:r>
      <w:r w:rsidR="007B10B5" w:rsidRPr="006D455D">
        <w:rPr>
          <w:rFonts w:ascii="Arial" w:hAnsi="Arial" w:cs="Arial"/>
          <w:lang w:val="en-US"/>
        </w:rPr>
        <w:t>is developing a range of recombinant biologics</w:t>
      </w:r>
      <w:r w:rsidR="005275D5">
        <w:rPr>
          <w:rFonts w:ascii="Arial" w:hAnsi="Arial" w:cs="Arial"/>
          <w:lang w:val="en-US"/>
        </w:rPr>
        <w:t xml:space="preserve">, including </w:t>
      </w:r>
      <w:r w:rsidR="00832EC8" w:rsidRPr="006D455D">
        <w:rPr>
          <w:rFonts w:ascii="Arial" w:hAnsi="Arial" w:cs="Arial"/>
          <w:lang w:val="en-US"/>
        </w:rPr>
        <w:t>a COVID-19 vaccine in phase</w:t>
      </w:r>
      <w:r w:rsidR="004F4F08">
        <w:rPr>
          <w:rFonts w:ascii="Arial" w:hAnsi="Arial" w:cs="Arial"/>
          <w:lang w:val="en-US"/>
        </w:rPr>
        <w:t>-</w:t>
      </w:r>
      <w:r w:rsidR="00832EC8" w:rsidRPr="006D455D">
        <w:rPr>
          <w:rFonts w:ascii="Arial" w:hAnsi="Arial" w:cs="Arial"/>
          <w:lang w:val="en-US"/>
        </w:rPr>
        <w:t xml:space="preserve">I/II </w:t>
      </w:r>
      <w:r w:rsidR="00497E19" w:rsidRPr="006D455D">
        <w:rPr>
          <w:rFonts w:ascii="Arial" w:hAnsi="Arial" w:cs="Arial"/>
          <w:lang w:val="en-US"/>
        </w:rPr>
        <w:t>trials</w:t>
      </w:r>
      <w:r w:rsidR="002D2160" w:rsidRPr="006D455D">
        <w:rPr>
          <w:rStyle w:val="EndnoteReference"/>
          <w:rFonts w:ascii="Arial" w:hAnsi="Arial" w:cs="Arial"/>
          <w:lang w:val="en-US"/>
        </w:rPr>
        <w:endnoteReference w:id="6"/>
      </w:r>
      <w:r w:rsidR="00832EC8" w:rsidRPr="006D455D">
        <w:rPr>
          <w:rFonts w:ascii="Arial" w:hAnsi="Arial" w:cs="Arial"/>
          <w:lang w:val="en-US"/>
        </w:rPr>
        <w:t>.</w:t>
      </w:r>
      <w:r w:rsidR="005275D5">
        <w:rPr>
          <w:rFonts w:ascii="Arial" w:hAnsi="Arial" w:cs="Arial"/>
          <w:lang w:val="en-US"/>
        </w:rPr>
        <w:t xml:space="preserve"> The German company </w:t>
      </w:r>
      <w:r w:rsidR="547D3025" w:rsidRPr="006D455D">
        <w:rPr>
          <w:rFonts w:ascii="Arial" w:hAnsi="Arial" w:cs="Arial"/>
          <w:lang w:val="en-US"/>
        </w:rPr>
        <w:t xml:space="preserve">Denka/Icon Genetics reported a successful </w:t>
      </w:r>
      <w:r w:rsidR="00832EC8" w:rsidRPr="006D455D">
        <w:rPr>
          <w:rFonts w:ascii="Arial" w:hAnsi="Arial" w:cs="Arial"/>
          <w:lang w:val="en-US"/>
        </w:rPr>
        <w:t>phase</w:t>
      </w:r>
      <w:r w:rsidR="004F4F08">
        <w:rPr>
          <w:rFonts w:ascii="Arial" w:hAnsi="Arial" w:cs="Arial"/>
          <w:lang w:val="en-US"/>
        </w:rPr>
        <w:t>-</w:t>
      </w:r>
      <w:r w:rsidR="547D3025" w:rsidRPr="006D455D">
        <w:rPr>
          <w:rFonts w:ascii="Arial" w:hAnsi="Arial" w:cs="Arial"/>
          <w:lang w:val="en-US"/>
        </w:rPr>
        <w:t>I trial of a norovirus vaccine</w:t>
      </w:r>
      <w:r w:rsidR="002D2160" w:rsidRPr="006D455D">
        <w:rPr>
          <w:rStyle w:val="EndnoteReference"/>
          <w:rFonts w:ascii="Arial" w:hAnsi="Arial" w:cs="Arial"/>
          <w:lang w:val="en-US"/>
        </w:rPr>
        <w:endnoteReference w:id="7"/>
      </w:r>
      <w:r w:rsidR="547D3025" w:rsidRPr="006D455D">
        <w:rPr>
          <w:rFonts w:ascii="Arial" w:hAnsi="Arial" w:cs="Arial"/>
          <w:lang w:val="en-US"/>
        </w:rPr>
        <w:t xml:space="preserve"> and </w:t>
      </w:r>
      <w:r w:rsidR="00832EC8" w:rsidRPr="006D455D">
        <w:rPr>
          <w:rFonts w:ascii="Arial" w:hAnsi="Arial" w:cs="Arial"/>
          <w:lang w:val="en-US"/>
        </w:rPr>
        <w:t xml:space="preserve">the </w:t>
      </w:r>
      <w:r w:rsidR="547D3025" w:rsidRPr="006D455D">
        <w:rPr>
          <w:rFonts w:ascii="Arial" w:hAnsi="Arial" w:cs="Arial"/>
          <w:lang w:val="en-US"/>
        </w:rPr>
        <w:t>Univ</w:t>
      </w:r>
      <w:r w:rsidR="00832EC8" w:rsidRPr="006D455D">
        <w:rPr>
          <w:rFonts w:ascii="Arial" w:hAnsi="Arial" w:cs="Arial"/>
          <w:lang w:val="en-US"/>
        </w:rPr>
        <w:t>ersity</w:t>
      </w:r>
      <w:r w:rsidR="547D3025" w:rsidRPr="006D455D">
        <w:rPr>
          <w:rFonts w:ascii="Arial" w:hAnsi="Arial" w:cs="Arial"/>
          <w:lang w:val="en-US"/>
        </w:rPr>
        <w:t xml:space="preserve"> of Louisville has </w:t>
      </w:r>
      <w:r w:rsidR="00832EC8" w:rsidRPr="006D455D">
        <w:rPr>
          <w:rFonts w:ascii="Arial" w:hAnsi="Arial" w:cs="Arial"/>
          <w:lang w:val="en-US"/>
        </w:rPr>
        <w:t>completed p</w:t>
      </w:r>
      <w:r w:rsidR="547D3025" w:rsidRPr="006D455D">
        <w:rPr>
          <w:rFonts w:ascii="Arial" w:hAnsi="Arial" w:cs="Arial"/>
          <w:lang w:val="en-US"/>
        </w:rPr>
        <w:t>hase</w:t>
      </w:r>
      <w:r w:rsidR="004F4F08">
        <w:rPr>
          <w:rFonts w:ascii="Arial" w:hAnsi="Arial" w:cs="Arial"/>
          <w:lang w:val="en-US"/>
        </w:rPr>
        <w:t>-</w:t>
      </w:r>
      <w:r w:rsidR="547D3025" w:rsidRPr="006D455D">
        <w:rPr>
          <w:rFonts w:ascii="Arial" w:hAnsi="Arial" w:cs="Arial"/>
          <w:lang w:val="en-US"/>
        </w:rPr>
        <w:t xml:space="preserve">I studies </w:t>
      </w:r>
      <w:r w:rsidR="00832EC8" w:rsidRPr="006D455D">
        <w:rPr>
          <w:rFonts w:ascii="Arial" w:hAnsi="Arial" w:cs="Arial"/>
          <w:lang w:val="en-US"/>
        </w:rPr>
        <w:t xml:space="preserve">of </w:t>
      </w:r>
      <w:r w:rsidR="547D3025" w:rsidRPr="006D455D">
        <w:rPr>
          <w:rFonts w:ascii="Arial" w:hAnsi="Arial" w:cs="Arial"/>
          <w:lang w:val="en-US"/>
        </w:rPr>
        <w:t>a</w:t>
      </w:r>
      <w:r w:rsidR="00DB39FF">
        <w:rPr>
          <w:rFonts w:ascii="Arial" w:hAnsi="Arial" w:cs="Arial"/>
          <w:lang w:val="en-US"/>
        </w:rPr>
        <w:t xml:space="preserve">n </w:t>
      </w:r>
      <w:r w:rsidR="547D3025" w:rsidRPr="006D455D">
        <w:rPr>
          <w:rFonts w:ascii="Arial" w:hAnsi="Arial" w:cs="Arial"/>
          <w:lang w:val="en-US"/>
        </w:rPr>
        <w:t>anti-viral lectin against HIV and coronaviruses</w:t>
      </w:r>
      <w:r w:rsidR="00DF1419" w:rsidRPr="006D455D">
        <w:rPr>
          <w:rStyle w:val="EndnoteReference"/>
          <w:rFonts w:ascii="Arial" w:hAnsi="Arial" w:cs="Arial"/>
          <w:lang w:val="en-US"/>
        </w:rPr>
        <w:endnoteReference w:id="8"/>
      </w:r>
      <w:r w:rsidR="547D3025" w:rsidRPr="006D455D">
        <w:rPr>
          <w:rFonts w:ascii="Arial" w:hAnsi="Arial" w:cs="Arial"/>
          <w:lang w:val="en-US"/>
        </w:rPr>
        <w:t xml:space="preserve">. </w:t>
      </w:r>
      <w:r w:rsidR="00497E19" w:rsidRPr="006D455D">
        <w:rPr>
          <w:rFonts w:ascii="Arial" w:hAnsi="Arial" w:cs="Arial"/>
          <w:lang w:val="en-US"/>
        </w:rPr>
        <w:t>German</w:t>
      </w:r>
      <w:r w:rsidR="0068033E">
        <w:rPr>
          <w:rFonts w:ascii="Arial" w:hAnsi="Arial" w:cs="Arial"/>
          <w:lang w:val="en-US"/>
        </w:rPr>
        <w:t>y’s</w:t>
      </w:r>
      <w:r w:rsidR="00497E19" w:rsidRPr="006D455D">
        <w:rPr>
          <w:rFonts w:ascii="Arial" w:hAnsi="Arial" w:cs="Arial"/>
          <w:lang w:val="en-US"/>
        </w:rPr>
        <w:t xml:space="preserve"> </w:t>
      </w:r>
      <w:r w:rsidR="00B329BB">
        <w:rPr>
          <w:rFonts w:ascii="Arial" w:hAnsi="Arial" w:cs="Arial"/>
          <w:lang w:val="en-US"/>
        </w:rPr>
        <w:t>E</w:t>
      </w:r>
      <w:r w:rsidR="00170B4D" w:rsidRPr="006D455D">
        <w:rPr>
          <w:rFonts w:ascii="Arial" w:hAnsi="Arial" w:cs="Arial"/>
          <w:lang w:val="en-US"/>
        </w:rPr>
        <w:t xml:space="preserve">leva </w:t>
      </w:r>
      <w:r w:rsidR="00D643F7" w:rsidRPr="006D455D">
        <w:rPr>
          <w:rFonts w:ascii="Arial" w:hAnsi="Arial" w:cs="Arial"/>
          <w:lang w:val="en-US"/>
        </w:rPr>
        <w:t xml:space="preserve">GmbH </w:t>
      </w:r>
      <w:r w:rsidR="00170B4D" w:rsidRPr="006D455D">
        <w:rPr>
          <w:rFonts w:ascii="Arial" w:hAnsi="Arial" w:cs="Arial"/>
          <w:lang w:val="en-US"/>
        </w:rPr>
        <w:t>has completed phase</w:t>
      </w:r>
      <w:r w:rsidR="004F4F08">
        <w:rPr>
          <w:rFonts w:ascii="Arial" w:hAnsi="Arial" w:cs="Arial"/>
          <w:lang w:val="en-US"/>
        </w:rPr>
        <w:t>-</w:t>
      </w:r>
      <w:r w:rsidR="00170B4D" w:rsidRPr="006D455D">
        <w:rPr>
          <w:rFonts w:ascii="Arial" w:hAnsi="Arial" w:cs="Arial"/>
          <w:lang w:val="en-US"/>
        </w:rPr>
        <w:t xml:space="preserve">I trials </w:t>
      </w:r>
      <w:r w:rsidR="00D643F7">
        <w:rPr>
          <w:rFonts w:ascii="Arial" w:hAnsi="Arial" w:cs="Arial"/>
          <w:lang w:val="en-US"/>
        </w:rPr>
        <w:t>of</w:t>
      </w:r>
      <w:r w:rsidR="00D643F7" w:rsidRPr="006D455D">
        <w:rPr>
          <w:rFonts w:ascii="Arial" w:hAnsi="Arial" w:cs="Arial"/>
          <w:lang w:val="en-US"/>
        </w:rPr>
        <w:t xml:space="preserve"> </w:t>
      </w:r>
      <w:r w:rsidR="00186F4B" w:rsidRPr="006D455D">
        <w:rPr>
          <w:rFonts w:ascii="Arial" w:hAnsi="Arial" w:cs="Arial"/>
          <w:lang w:val="en-US"/>
        </w:rPr>
        <w:t>a therapeutic enzyme</w:t>
      </w:r>
      <w:r w:rsidR="00170B4D" w:rsidRPr="006D455D">
        <w:rPr>
          <w:rFonts w:ascii="Arial" w:hAnsi="Arial" w:cs="Arial"/>
          <w:lang w:val="en-US"/>
        </w:rPr>
        <w:t xml:space="preserve"> produced in moss</w:t>
      </w:r>
      <w:r w:rsidR="00FF1891" w:rsidRPr="006D455D">
        <w:rPr>
          <w:rStyle w:val="EndnoteReference"/>
          <w:rFonts w:ascii="Arial" w:hAnsi="Arial" w:cs="Arial"/>
          <w:lang w:val="en-US"/>
        </w:rPr>
        <w:endnoteReference w:id="9"/>
      </w:r>
      <w:r w:rsidR="00170B4D" w:rsidRPr="006D455D">
        <w:rPr>
          <w:rFonts w:ascii="Arial" w:hAnsi="Arial" w:cs="Arial"/>
          <w:lang w:val="en-US"/>
        </w:rPr>
        <w:t xml:space="preserve">. </w:t>
      </w:r>
      <w:r w:rsidR="000F31CD">
        <w:rPr>
          <w:rFonts w:ascii="Arial" w:hAnsi="Arial" w:cs="Arial"/>
          <w:lang w:val="en-US"/>
        </w:rPr>
        <w:t>O</w:t>
      </w:r>
      <w:r w:rsidR="547D3025" w:rsidRPr="006D455D">
        <w:rPr>
          <w:rFonts w:ascii="Arial" w:hAnsi="Arial" w:cs="Arial"/>
          <w:lang w:val="en-US"/>
        </w:rPr>
        <w:t>ther companies</w:t>
      </w:r>
      <w:r w:rsidR="000F31CD">
        <w:rPr>
          <w:rFonts w:ascii="Arial" w:hAnsi="Arial" w:cs="Arial"/>
          <w:lang w:val="en-US"/>
        </w:rPr>
        <w:t xml:space="preserve"> are </w:t>
      </w:r>
      <w:r w:rsidR="00856D2F" w:rsidRPr="006D455D">
        <w:rPr>
          <w:rFonts w:ascii="Arial" w:hAnsi="Arial" w:cs="Arial"/>
          <w:lang w:val="en-US"/>
        </w:rPr>
        <w:t xml:space="preserve">marketing plant-derived recombinant </w:t>
      </w:r>
      <w:r w:rsidR="005B5285">
        <w:rPr>
          <w:rFonts w:ascii="Arial" w:hAnsi="Arial" w:cs="Arial"/>
          <w:lang w:val="en-US"/>
        </w:rPr>
        <w:t>growth factors</w:t>
      </w:r>
      <w:r w:rsidR="005B5285" w:rsidRPr="006D455D">
        <w:rPr>
          <w:rFonts w:ascii="Arial" w:hAnsi="Arial" w:cs="Arial"/>
          <w:lang w:val="en-US"/>
        </w:rPr>
        <w:t>,</w:t>
      </w:r>
      <w:r w:rsidR="005B5285">
        <w:rPr>
          <w:rFonts w:ascii="Arial" w:hAnsi="Arial" w:cs="Arial"/>
          <w:lang w:val="en-US"/>
        </w:rPr>
        <w:t xml:space="preserve"> cytokines</w:t>
      </w:r>
      <w:r w:rsidR="00EF4E60">
        <w:rPr>
          <w:rFonts w:ascii="Arial" w:hAnsi="Arial" w:cs="Arial"/>
          <w:lang w:val="en-US"/>
        </w:rPr>
        <w:t>, antibodies</w:t>
      </w:r>
      <w:r w:rsidR="005B5285">
        <w:rPr>
          <w:rFonts w:ascii="Arial" w:hAnsi="Arial" w:cs="Arial"/>
          <w:lang w:val="en-US"/>
        </w:rPr>
        <w:t xml:space="preserve"> and blood components</w:t>
      </w:r>
      <w:r w:rsidR="005B5285" w:rsidRPr="006D455D">
        <w:rPr>
          <w:rFonts w:ascii="Arial" w:hAnsi="Arial" w:cs="Arial"/>
          <w:lang w:val="en-US"/>
        </w:rPr>
        <w:t xml:space="preserve"> </w:t>
      </w:r>
      <w:r w:rsidR="00D643F7">
        <w:rPr>
          <w:rFonts w:ascii="Arial" w:hAnsi="Arial" w:cs="Arial"/>
          <w:lang w:val="en-US"/>
        </w:rPr>
        <w:t>as</w:t>
      </w:r>
      <w:r w:rsidR="000F31CD" w:rsidRPr="006D455D">
        <w:rPr>
          <w:rFonts w:ascii="Arial" w:hAnsi="Arial" w:cs="Arial"/>
          <w:lang w:val="en-US"/>
        </w:rPr>
        <w:t xml:space="preserve"> </w:t>
      </w:r>
      <w:r w:rsidR="00856D2F" w:rsidRPr="006D455D">
        <w:rPr>
          <w:rFonts w:ascii="Arial" w:hAnsi="Arial" w:cs="Arial"/>
          <w:lang w:val="en-US"/>
        </w:rPr>
        <w:t>diagnostics</w:t>
      </w:r>
      <w:r w:rsidR="00EF4E60">
        <w:rPr>
          <w:rFonts w:ascii="Arial" w:hAnsi="Arial" w:cs="Arial"/>
          <w:lang w:val="en-US"/>
        </w:rPr>
        <w:t xml:space="preserve"> and</w:t>
      </w:r>
      <w:r w:rsidR="00856D2F" w:rsidRPr="006D455D">
        <w:rPr>
          <w:rFonts w:ascii="Arial" w:hAnsi="Arial" w:cs="Arial"/>
          <w:lang w:val="en-US"/>
        </w:rPr>
        <w:t xml:space="preserve"> </w:t>
      </w:r>
      <w:r w:rsidR="005B5285" w:rsidRPr="006D455D">
        <w:rPr>
          <w:rFonts w:ascii="Arial" w:hAnsi="Arial" w:cs="Arial"/>
          <w:lang w:val="en-US"/>
        </w:rPr>
        <w:t>research reagents</w:t>
      </w:r>
      <w:r w:rsidR="005B5285">
        <w:rPr>
          <w:rFonts w:ascii="Arial" w:hAnsi="Arial" w:cs="Arial"/>
          <w:lang w:val="en-US"/>
        </w:rPr>
        <w:t>,</w:t>
      </w:r>
      <w:r w:rsidR="005B5285" w:rsidRPr="006D455D">
        <w:rPr>
          <w:rFonts w:ascii="Arial" w:hAnsi="Arial" w:cs="Arial"/>
          <w:lang w:val="en-US"/>
        </w:rPr>
        <w:t xml:space="preserve"> </w:t>
      </w:r>
      <w:r w:rsidR="00832EC8" w:rsidRPr="006D455D">
        <w:rPr>
          <w:rFonts w:ascii="Arial" w:hAnsi="Arial" w:cs="Arial"/>
          <w:lang w:val="en-US"/>
        </w:rPr>
        <w:t xml:space="preserve">cosmetic ingredients </w:t>
      </w:r>
      <w:r w:rsidR="005B5285">
        <w:rPr>
          <w:rFonts w:ascii="Arial" w:hAnsi="Arial" w:cs="Arial"/>
          <w:lang w:val="en-US"/>
        </w:rPr>
        <w:t xml:space="preserve">or </w:t>
      </w:r>
      <w:r w:rsidR="00D643F7">
        <w:rPr>
          <w:rFonts w:ascii="Arial" w:hAnsi="Arial" w:cs="Arial"/>
          <w:lang w:val="en-US"/>
        </w:rPr>
        <w:t xml:space="preserve">for </w:t>
      </w:r>
      <w:r w:rsidR="005B5285">
        <w:rPr>
          <w:rFonts w:ascii="Arial" w:hAnsi="Arial" w:cs="Arial"/>
          <w:lang w:val="en-US"/>
        </w:rPr>
        <w:t xml:space="preserve">laboratory-based meat. </w:t>
      </w:r>
      <w:r w:rsidR="00D643F7">
        <w:rPr>
          <w:rFonts w:ascii="Arial" w:hAnsi="Arial" w:cs="Arial"/>
          <w:lang w:val="en-US"/>
        </w:rPr>
        <w:t>Examples</w:t>
      </w:r>
      <w:r w:rsidR="005B5285">
        <w:rPr>
          <w:rFonts w:ascii="Arial" w:hAnsi="Arial" w:cs="Arial"/>
          <w:lang w:val="en-US"/>
        </w:rPr>
        <w:t xml:space="preserve"> include </w:t>
      </w:r>
      <w:r w:rsidR="007A007B">
        <w:rPr>
          <w:rFonts w:ascii="Arial" w:hAnsi="Arial" w:cs="Arial"/>
          <w:lang w:val="en-US"/>
        </w:rPr>
        <w:t>InVitria and</w:t>
      </w:r>
      <w:r w:rsidR="00832EC8" w:rsidRPr="006D455D">
        <w:rPr>
          <w:rFonts w:ascii="Arial" w:hAnsi="Arial" w:cs="Arial"/>
          <w:lang w:val="en-US"/>
        </w:rPr>
        <w:t xml:space="preserve"> ORF Genetics</w:t>
      </w:r>
      <w:r w:rsidR="005B5285">
        <w:rPr>
          <w:rFonts w:ascii="Arial" w:hAnsi="Arial" w:cs="Arial"/>
          <w:lang w:val="en-US"/>
        </w:rPr>
        <w:t xml:space="preserve">, </w:t>
      </w:r>
      <w:r w:rsidR="007A007B">
        <w:rPr>
          <w:rFonts w:ascii="Arial" w:hAnsi="Arial" w:cs="Arial"/>
          <w:lang w:val="en-US"/>
        </w:rPr>
        <w:t xml:space="preserve">which use </w:t>
      </w:r>
      <w:r w:rsidR="005B5285">
        <w:rPr>
          <w:rFonts w:ascii="Arial" w:hAnsi="Arial" w:cs="Arial"/>
          <w:lang w:val="en-US"/>
        </w:rPr>
        <w:t xml:space="preserve">transgenic </w:t>
      </w:r>
      <w:r w:rsidR="007A007B">
        <w:rPr>
          <w:rFonts w:ascii="Arial" w:hAnsi="Arial" w:cs="Arial"/>
          <w:lang w:val="en-US"/>
        </w:rPr>
        <w:t>cereal</w:t>
      </w:r>
      <w:r w:rsidR="005B5285">
        <w:rPr>
          <w:rFonts w:ascii="Arial" w:hAnsi="Arial" w:cs="Arial"/>
          <w:lang w:val="en-US"/>
        </w:rPr>
        <w:t xml:space="preserve"> seeds as a</w:t>
      </w:r>
      <w:r w:rsidR="00D51E7A">
        <w:rPr>
          <w:rFonts w:ascii="Arial" w:hAnsi="Arial" w:cs="Arial"/>
          <w:lang w:val="en-US"/>
        </w:rPr>
        <w:t>n expression system</w:t>
      </w:r>
      <w:r w:rsidR="005B5285">
        <w:rPr>
          <w:rFonts w:ascii="Arial" w:hAnsi="Arial" w:cs="Arial"/>
          <w:lang w:val="en-US"/>
        </w:rPr>
        <w:t xml:space="preserve">, and </w:t>
      </w:r>
      <w:r w:rsidR="00832EC8" w:rsidRPr="006D455D">
        <w:rPr>
          <w:rFonts w:ascii="Arial" w:hAnsi="Arial" w:cs="Arial"/>
          <w:lang w:val="en-US"/>
        </w:rPr>
        <w:t>Agrenvec and Diamante</w:t>
      </w:r>
      <w:r w:rsidR="005B5285">
        <w:rPr>
          <w:rFonts w:ascii="Arial" w:hAnsi="Arial" w:cs="Arial"/>
          <w:lang w:val="en-US"/>
        </w:rPr>
        <w:t xml:space="preserve">, </w:t>
      </w:r>
      <w:r w:rsidR="00EF4E60">
        <w:rPr>
          <w:rFonts w:ascii="Arial" w:hAnsi="Arial" w:cs="Arial"/>
          <w:lang w:val="en-US"/>
        </w:rPr>
        <w:t>which, like Medicago,</w:t>
      </w:r>
      <w:r w:rsidR="005B5285">
        <w:rPr>
          <w:rFonts w:ascii="Arial" w:hAnsi="Arial" w:cs="Arial"/>
          <w:lang w:val="en-US"/>
        </w:rPr>
        <w:t xml:space="preserve"> </w:t>
      </w:r>
      <w:r w:rsidR="00D51E7A">
        <w:rPr>
          <w:rFonts w:ascii="Arial" w:hAnsi="Arial" w:cs="Arial"/>
          <w:lang w:val="en-US"/>
        </w:rPr>
        <w:t xml:space="preserve">also </w:t>
      </w:r>
      <w:r w:rsidR="005B5285">
        <w:rPr>
          <w:rFonts w:ascii="Arial" w:hAnsi="Arial" w:cs="Arial"/>
          <w:lang w:val="en-US"/>
        </w:rPr>
        <w:t xml:space="preserve">use </w:t>
      </w:r>
      <w:r w:rsidR="00D51E7A" w:rsidRPr="00D51E7A">
        <w:rPr>
          <w:rFonts w:ascii="Arial" w:hAnsi="Arial" w:cs="Arial"/>
          <w:iCs/>
          <w:lang w:val="en-US"/>
        </w:rPr>
        <w:t>tobacco</w:t>
      </w:r>
      <w:r w:rsidR="00832EC8" w:rsidRPr="006D455D">
        <w:rPr>
          <w:rFonts w:ascii="Arial" w:hAnsi="Arial" w:cs="Arial"/>
          <w:lang w:val="en-US"/>
        </w:rPr>
        <w:t xml:space="preserve">. </w:t>
      </w:r>
    </w:p>
    <w:p w14:paraId="7398E084" w14:textId="3722EA85" w:rsidR="00437099" w:rsidRDefault="009E09F3" w:rsidP="00166A8A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The p</w:t>
      </w:r>
      <w:r w:rsidR="004F4F08">
        <w:rPr>
          <w:rFonts w:ascii="Arial" w:hAnsi="Arial" w:cs="Arial"/>
          <w:lang w:val="en-US"/>
        </w:rPr>
        <w:t>lant molecular farming</w:t>
      </w:r>
      <w:r w:rsidR="004F4F08" w:rsidRPr="006D45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industry </w:t>
      </w:r>
      <w:r w:rsidR="547D3025" w:rsidRPr="006D455D">
        <w:rPr>
          <w:rFonts w:ascii="Arial" w:hAnsi="Arial" w:cs="Arial"/>
          <w:lang w:val="en-US"/>
        </w:rPr>
        <w:t xml:space="preserve">has always cited </w:t>
      </w:r>
      <w:r w:rsidR="00832EC8" w:rsidRPr="006D455D">
        <w:rPr>
          <w:rFonts w:ascii="Arial" w:hAnsi="Arial" w:cs="Arial"/>
          <w:lang w:val="en-US"/>
        </w:rPr>
        <w:t>global access to health</w:t>
      </w:r>
      <w:r w:rsidR="547D3025" w:rsidRPr="006D455D">
        <w:rPr>
          <w:rFonts w:ascii="Arial" w:hAnsi="Arial" w:cs="Arial"/>
          <w:lang w:val="en-US"/>
        </w:rPr>
        <w:t xml:space="preserve"> as one of its key targets, </w:t>
      </w:r>
      <w:r w:rsidR="00832EC8" w:rsidRPr="006D455D">
        <w:rPr>
          <w:rFonts w:ascii="Arial" w:hAnsi="Arial" w:cs="Arial"/>
          <w:lang w:val="en-US"/>
        </w:rPr>
        <w:t xml:space="preserve">and this mantle has </w:t>
      </w:r>
      <w:r w:rsidR="547D3025" w:rsidRPr="006D455D">
        <w:rPr>
          <w:rFonts w:ascii="Arial" w:hAnsi="Arial" w:cs="Arial"/>
          <w:lang w:val="en-US"/>
        </w:rPr>
        <w:t xml:space="preserve">been taken up by </w:t>
      </w:r>
      <w:r w:rsidR="00246094">
        <w:rPr>
          <w:rFonts w:ascii="Arial" w:hAnsi="Arial" w:cs="Arial"/>
          <w:lang w:val="en-US"/>
        </w:rPr>
        <w:t xml:space="preserve">companies in </w:t>
      </w:r>
      <w:r w:rsidR="0054602C" w:rsidRPr="006D455D">
        <w:rPr>
          <w:rFonts w:ascii="Arial" w:hAnsi="Arial" w:cs="Arial"/>
          <w:lang w:val="en-US"/>
        </w:rPr>
        <w:t>low</w:t>
      </w:r>
      <w:r w:rsidR="004F4F08">
        <w:rPr>
          <w:rFonts w:ascii="Arial" w:hAnsi="Arial" w:cs="Arial"/>
          <w:lang w:val="en-US"/>
        </w:rPr>
        <w:t>-</w:t>
      </w:r>
      <w:r w:rsidR="0054602C" w:rsidRPr="006D455D">
        <w:rPr>
          <w:rFonts w:ascii="Arial" w:hAnsi="Arial" w:cs="Arial"/>
          <w:lang w:val="en-US"/>
        </w:rPr>
        <w:t xml:space="preserve"> and middle</w:t>
      </w:r>
      <w:r w:rsidR="004F4F08">
        <w:rPr>
          <w:rFonts w:ascii="Arial" w:hAnsi="Arial" w:cs="Arial"/>
          <w:lang w:val="en-US"/>
        </w:rPr>
        <w:t>-</w:t>
      </w:r>
      <w:r w:rsidR="0054602C" w:rsidRPr="006D455D">
        <w:rPr>
          <w:rFonts w:ascii="Arial" w:hAnsi="Arial" w:cs="Arial"/>
          <w:lang w:val="en-US"/>
        </w:rPr>
        <w:t>income countries</w:t>
      </w:r>
      <w:r w:rsidR="00832EC8" w:rsidRPr="006D455D">
        <w:rPr>
          <w:rFonts w:ascii="Arial" w:hAnsi="Arial" w:cs="Arial"/>
          <w:lang w:val="en-US"/>
        </w:rPr>
        <w:t>, such as</w:t>
      </w:r>
      <w:r w:rsidR="001C2A23">
        <w:rPr>
          <w:rFonts w:ascii="Arial" w:hAnsi="Arial" w:cs="Arial"/>
          <w:lang w:val="en-US"/>
        </w:rPr>
        <w:t xml:space="preserve"> </w:t>
      </w:r>
      <w:r w:rsidR="00F471A9" w:rsidRPr="006D455D">
        <w:rPr>
          <w:rFonts w:ascii="Arial" w:hAnsi="Arial" w:cs="Arial"/>
          <w:lang w:val="en-US"/>
        </w:rPr>
        <w:t>Thailand</w:t>
      </w:r>
      <w:r w:rsidR="00F471A9">
        <w:rPr>
          <w:rFonts w:ascii="Arial" w:hAnsi="Arial" w:cs="Arial"/>
          <w:lang w:val="en-US"/>
        </w:rPr>
        <w:t>’s</w:t>
      </w:r>
      <w:r w:rsidR="00F471A9" w:rsidRPr="006D455D">
        <w:rPr>
          <w:rFonts w:ascii="Arial" w:hAnsi="Arial" w:cs="Arial"/>
          <w:lang w:val="en-US"/>
        </w:rPr>
        <w:t xml:space="preserve"> Baiya Phytopharm </w:t>
      </w:r>
      <w:r w:rsidR="00F471A9">
        <w:rPr>
          <w:rFonts w:ascii="Arial" w:hAnsi="Arial" w:cs="Arial"/>
          <w:lang w:val="en-US"/>
        </w:rPr>
        <w:t xml:space="preserve">and </w:t>
      </w:r>
      <w:r w:rsidR="001C2A23" w:rsidRPr="006D455D">
        <w:rPr>
          <w:rFonts w:ascii="Arial" w:hAnsi="Arial" w:cs="Arial"/>
          <w:lang w:val="en-US"/>
        </w:rPr>
        <w:t>South Afric</w:t>
      </w:r>
      <w:r w:rsidR="001C2A23">
        <w:rPr>
          <w:rFonts w:ascii="Arial" w:hAnsi="Arial" w:cs="Arial"/>
          <w:lang w:val="en-US"/>
        </w:rPr>
        <w:t>a’s</w:t>
      </w:r>
      <w:r w:rsidR="00832EC8" w:rsidRPr="006D455D">
        <w:rPr>
          <w:rFonts w:ascii="Arial" w:hAnsi="Arial" w:cs="Arial"/>
          <w:lang w:val="en-US"/>
        </w:rPr>
        <w:t xml:space="preserve"> </w:t>
      </w:r>
      <w:r w:rsidR="547D3025" w:rsidRPr="006D455D">
        <w:rPr>
          <w:rFonts w:ascii="Arial" w:hAnsi="Arial" w:cs="Arial"/>
          <w:lang w:val="en-US"/>
        </w:rPr>
        <w:t>Cape Bio Pharms.</w:t>
      </w:r>
      <w:r w:rsidR="009D755E" w:rsidRPr="006D455D">
        <w:rPr>
          <w:rFonts w:ascii="Arial" w:hAnsi="Arial" w:cs="Arial"/>
          <w:lang w:val="en-US"/>
        </w:rPr>
        <w:t xml:space="preserve"> </w:t>
      </w:r>
      <w:r w:rsidR="00380347" w:rsidRPr="006D455D">
        <w:rPr>
          <w:rFonts w:ascii="Arial" w:hAnsi="Arial" w:cs="Arial"/>
          <w:lang w:val="en-US"/>
        </w:rPr>
        <w:t>Baiya Phytopharm</w:t>
      </w:r>
      <w:r w:rsidR="00380347">
        <w:rPr>
          <w:rFonts w:ascii="Arial" w:hAnsi="Arial" w:cs="Arial"/>
          <w:lang w:val="en-US"/>
        </w:rPr>
        <w:t xml:space="preserve"> has</w:t>
      </w:r>
      <w:r w:rsidR="00EF4E60">
        <w:rPr>
          <w:rFonts w:ascii="Arial" w:hAnsi="Arial" w:cs="Arial"/>
          <w:lang w:val="en-US"/>
        </w:rPr>
        <w:t xml:space="preserve"> taken</w:t>
      </w:r>
      <w:r w:rsidR="00380347">
        <w:rPr>
          <w:rFonts w:ascii="Arial" w:hAnsi="Arial" w:cs="Arial"/>
          <w:lang w:val="en-US"/>
        </w:rPr>
        <w:t xml:space="preserve"> two COVID-19 vaccine candidates in</w:t>
      </w:r>
      <w:r w:rsidR="00EF4E60">
        <w:rPr>
          <w:rFonts w:ascii="Arial" w:hAnsi="Arial" w:cs="Arial"/>
          <w:lang w:val="en-US"/>
        </w:rPr>
        <w:t>to</w:t>
      </w:r>
      <w:r w:rsidR="00380347">
        <w:rPr>
          <w:rFonts w:ascii="Arial" w:hAnsi="Arial" w:cs="Arial"/>
          <w:lang w:val="en-US"/>
        </w:rPr>
        <w:t xml:space="preserve"> phase-I clinical trials, as well as another vaccine and four anti</w:t>
      </w:r>
      <w:r w:rsidR="00EF4E60">
        <w:rPr>
          <w:rFonts w:ascii="Arial" w:hAnsi="Arial" w:cs="Arial"/>
          <w:lang w:val="en-US"/>
        </w:rPr>
        <w:t>-</w:t>
      </w:r>
      <w:r w:rsidR="00380347">
        <w:rPr>
          <w:rFonts w:ascii="Arial" w:hAnsi="Arial" w:cs="Arial"/>
          <w:lang w:val="en-US"/>
        </w:rPr>
        <w:t>cancer antibodies in pre</w:t>
      </w:r>
      <w:r w:rsidR="00166A8A">
        <w:rPr>
          <w:rFonts w:ascii="Arial" w:hAnsi="Arial" w:cs="Arial"/>
          <w:lang w:val="en-US"/>
        </w:rPr>
        <w:t>-</w:t>
      </w:r>
      <w:r w:rsidR="00380347">
        <w:rPr>
          <w:rFonts w:ascii="Arial" w:hAnsi="Arial" w:cs="Arial"/>
          <w:lang w:val="en-US"/>
        </w:rPr>
        <w:t>clinical development</w:t>
      </w:r>
      <w:r w:rsidR="007A007B">
        <w:rPr>
          <w:rFonts w:ascii="Arial" w:hAnsi="Arial" w:cs="Arial"/>
          <w:lang w:val="en-US"/>
        </w:rPr>
        <w:t xml:space="preserve"> (manufactured at its cGMP facility in Bangkok)</w:t>
      </w:r>
      <w:r w:rsidR="00380347">
        <w:rPr>
          <w:rFonts w:ascii="Arial" w:hAnsi="Arial" w:cs="Arial"/>
          <w:lang w:val="en-US"/>
        </w:rPr>
        <w:t>. Cape Bio Pharms is currently marketing research reagents</w:t>
      </w:r>
      <w:r w:rsidR="007A007B">
        <w:rPr>
          <w:rFonts w:ascii="Arial" w:hAnsi="Arial" w:cs="Arial"/>
          <w:lang w:val="en-US"/>
        </w:rPr>
        <w:t>, including several</w:t>
      </w:r>
      <w:r w:rsidR="00380347">
        <w:rPr>
          <w:rFonts w:ascii="Arial" w:hAnsi="Arial" w:cs="Arial"/>
          <w:lang w:val="en-US"/>
        </w:rPr>
        <w:t xml:space="preserve"> </w:t>
      </w:r>
      <w:r w:rsidR="007A007B">
        <w:rPr>
          <w:rFonts w:ascii="Arial" w:hAnsi="Arial" w:cs="Arial"/>
          <w:lang w:val="en-US"/>
        </w:rPr>
        <w:t xml:space="preserve">related to COVID-19, but these products could also be developed as therapeutics if produced under GMP conditions. Both companies </w:t>
      </w:r>
      <w:r w:rsidR="00FD5A27">
        <w:rPr>
          <w:rFonts w:ascii="Arial" w:hAnsi="Arial" w:cs="Arial"/>
          <w:lang w:val="en-US"/>
        </w:rPr>
        <w:t xml:space="preserve">use </w:t>
      </w:r>
      <w:r w:rsidR="007A007B">
        <w:rPr>
          <w:rFonts w:ascii="Arial" w:hAnsi="Arial" w:cs="Arial"/>
          <w:lang w:val="en-US"/>
        </w:rPr>
        <w:t xml:space="preserve">the same basic technology as Medicago </w:t>
      </w:r>
      <w:r w:rsidR="00FD5A27">
        <w:rPr>
          <w:rFonts w:ascii="Arial" w:hAnsi="Arial" w:cs="Arial"/>
          <w:lang w:val="en-US"/>
        </w:rPr>
        <w:t xml:space="preserve">— </w:t>
      </w:r>
      <w:r w:rsidR="007A007B">
        <w:rPr>
          <w:rFonts w:ascii="Arial" w:hAnsi="Arial" w:cs="Arial"/>
          <w:lang w:val="en-US"/>
        </w:rPr>
        <w:t xml:space="preserve">transient expression in </w:t>
      </w:r>
      <w:r w:rsidR="00FD5A27" w:rsidRPr="00712AC2">
        <w:rPr>
          <w:rFonts w:ascii="Arial" w:hAnsi="Arial" w:cs="Arial"/>
          <w:iCs/>
          <w:lang w:val="en-US"/>
        </w:rPr>
        <w:t>tobacco</w:t>
      </w:r>
      <w:r w:rsidR="007A007B">
        <w:rPr>
          <w:rFonts w:ascii="Arial" w:hAnsi="Arial" w:cs="Arial"/>
          <w:lang w:val="en-US"/>
        </w:rPr>
        <w:t>.</w:t>
      </w:r>
      <w:r w:rsidR="00380347">
        <w:rPr>
          <w:rFonts w:ascii="Arial" w:hAnsi="Arial" w:cs="Arial"/>
          <w:lang w:val="en-US"/>
        </w:rPr>
        <w:t xml:space="preserve"> </w:t>
      </w:r>
      <w:r w:rsidR="00380347" w:rsidRPr="006D455D">
        <w:rPr>
          <w:rFonts w:ascii="Arial" w:hAnsi="Arial" w:cs="Arial"/>
          <w:lang w:val="en-US"/>
        </w:rPr>
        <w:t xml:space="preserve"> </w:t>
      </w:r>
    </w:p>
    <w:p w14:paraId="237D9AA4" w14:textId="77777777" w:rsidR="005B5285" w:rsidRPr="00001CCE" w:rsidRDefault="005B5285" w:rsidP="00166A8A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52D1C8F" w14:textId="28CC3AF3" w:rsidR="00407A0A" w:rsidRPr="006D455D" w:rsidRDefault="00271B66" w:rsidP="00166A8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6D455D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635A7A3B" wp14:editId="71FF0BD9">
            <wp:extent cx="5847080" cy="3228857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03" cy="324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07939" w14:textId="2B601210" w:rsidR="00407A0A" w:rsidRPr="008E5B22" w:rsidRDefault="004F4F08" w:rsidP="00166A8A">
      <w:pPr>
        <w:spacing w:after="120" w:line="360" w:lineRule="auto"/>
        <w:jc w:val="both"/>
        <w:rPr>
          <w:rFonts w:ascii="Arial" w:hAnsi="Arial" w:cs="Arial"/>
          <w:iCs/>
          <w:lang w:val="en-US"/>
        </w:rPr>
      </w:pPr>
      <w:r w:rsidRPr="008E5B22">
        <w:rPr>
          <w:rFonts w:ascii="Arial" w:hAnsi="Arial" w:cs="Arial"/>
          <w:b/>
          <w:iCs/>
          <w:lang w:val="en-US"/>
        </w:rPr>
        <w:t>Fig</w:t>
      </w:r>
      <w:r>
        <w:rPr>
          <w:rFonts w:ascii="Arial" w:hAnsi="Arial" w:cs="Arial"/>
          <w:b/>
          <w:iCs/>
          <w:lang w:val="en-US"/>
        </w:rPr>
        <w:t>.</w:t>
      </w:r>
      <w:r w:rsidRPr="008E5B22">
        <w:rPr>
          <w:rFonts w:ascii="Arial" w:hAnsi="Arial" w:cs="Arial"/>
          <w:b/>
          <w:iCs/>
          <w:lang w:val="en-US"/>
        </w:rPr>
        <w:t xml:space="preserve"> </w:t>
      </w:r>
      <w:r w:rsidR="00407A0A" w:rsidRPr="008E5B22">
        <w:rPr>
          <w:rFonts w:ascii="Arial" w:hAnsi="Arial" w:cs="Arial"/>
          <w:b/>
          <w:iCs/>
          <w:lang w:val="en-US"/>
        </w:rPr>
        <w:t>1</w:t>
      </w:r>
      <w:r>
        <w:rPr>
          <w:rFonts w:ascii="Arial" w:hAnsi="Arial" w:cs="Arial"/>
          <w:iCs/>
          <w:lang w:val="en-US"/>
        </w:rPr>
        <w:t>.</w:t>
      </w:r>
      <w:r w:rsidR="006D5B5D">
        <w:rPr>
          <w:rFonts w:ascii="Arial" w:hAnsi="Arial" w:cs="Arial"/>
          <w:iCs/>
          <w:lang w:val="en-US"/>
        </w:rPr>
        <w:t xml:space="preserve"> </w:t>
      </w:r>
      <w:r w:rsidR="00407A0A" w:rsidRPr="008E5B22">
        <w:rPr>
          <w:rFonts w:ascii="Arial" w:hAnsi="Arial" w:cs="Arial"/>
          <w:b/>
          <w:bCs/>
          <w:iCs/>
          <w:lang w:val="en-US"/>
        </w:rPr>
        <w:t xml:space="preserve">Key landmarks in the </w:t>
      </w:r>
      <w:r w:rsidR="007103B5">
        <w:rPr>
          <w:rFonts w:ascii="Arial" w:hAnsi="Arial" w:cs="Arial"/>
          <w:b/>
          <w:bCs/>
          <w:iCs/>
          <w:lang w:val="en-US"/>
        </w:rPr>
        <w:t xml:space="preserve">development and </w:t>
      </w:r>
      <w:r w:rsidR="00407A0A" w:rsidRPr="008E5B22">
        <w:rPr>
          <w:rFonts w:ascii="Arial" w:hAnsi="Arial" w:cs="Arial"/>
          <w:b/>
          <w:bCs/>
          <w:iCs/>
          <w:lang w:val="en-US"/>
        </w:rPr>
        <w:t xml:space="preserve">commercialization of </w:t>
      </w:r>
      <w:r w:rsidRPr="008E5B22">
        <w:rPr>
          <w:rFonts w:ascii="Arial" w:hAnsi="Arial" w:cs="Arial"/>
          <w:b/>
          <w:bCs/>
          <w:iCs/>
          <w:lang w:val="en-US"/>
        </w:rPr>
        <w:t>plant molecular farming</w:t>
      </w:r>
      <w:r w:rsidR="00407A0A" w:rsidRPr="008E5B22">
        <w:rPr>
          <w:rFonts w:ascii="Arial" w:hAnsi="Arial" w:cs="Arial"/>
          <w:b/>
          <w:bCs/>
          <w:iCs/>
          <w:lang w:val="en-US"/>
        </w:rPr>
        <w:t>.</w:t>
      </w:r>
      <w:r>
        <w:rPr>
          <w:rFonts w:ascii="Arial" w:hAnsi="Arial" w:cs="Arial"/>
          <w:b/>
          <w:bCs/>
          <w:iCs/>
          <w:lang w:val="en-US"/>
        </w:rPr>
        <w:t xml:space="preserve"> </w:t>
      </w:r>
    </w:p>
    <w:p w14:paraId="2D437165" w14:textId="518BB7B9" w:rsidR="00437099" w:rsidRDefault="00F23002" w:rsidP="00166A8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6D455D">
        <w:rPr>
          <w:rFonts w:ascii="Arial" w:hAnsi="Arial" w:cs="Arial"/>
          <w:lang w:val="en-US"/>
        </w:rPr>
        <w:t>T</w:t>
      </w:r>
      <w:r w:rsidR="00C84725" w:rsidRPr="006D455D">
        <w:rPr>
          <w:rFonts w:ascii="Arial" w:hAnsi="Arial" w:cs="Arial"/>
          <w:lang w:val="en-US"/>
        </w:rPr>
        <w:t>he scientific</w:t>
      </w:r>
      <w:r w:rsidR="0001076C" w:rsidRPr="006D455D">
        <w:rPr>
          <w:rFonts w:ascii="Arial" w:hAnsi="Arial" w:cs="Arial"/>
          <w:lang w:val="en-US"/>
        </w:rPr>
        <w:t xml:space="preserve">, economic and social </w:t>
      </w:r>
      <w:r w:rsidR="009A23CE" w:rsidRPr="006D455D">
        <w:rPr>
          <w:rFonts w:ascii="Arial" w:hAnsi="Arial" w:cs="Arial"/>
          <w:lang w:val="en-US"/>
        </w:rPr>
        <w:t>justifications</w:t>
      </w:r>
      <w:r w:rsidR="0001076C" w:rsidRPr="006D455D">
        <w:rPr>
          <w:rFonts w:ascii="Arial" w:hAnsi="Arial" w:cs="Arial"/>
          <w:lang w:val="en-US"/>
        </w:rPr>
        <w:t xml:space="preserve"> for </w:t>
      </w:r>
      <w:r w:rsidR="00B06A9A" w:rsidRPr="006D455D">
        <w:rPr>
          <w:rFonts w:ascii="Arial" w:hAnsi="Arial" w:cs="Arial"/>
          <w:lang w:val="en-US"/>
        </w:rPr>
        <w:t xml:space="preserve">further </w:t>
      </w:r>
      <w:r w:rsidR="009A23CE" w:rsidRPr="006D455D">
        <w:rPr>
          <w:rFonts w:ascii="Arial" w:hAnsi="Arial" w:cs="Arial"/>
          <w:lang w:val="en-US"/>
        </w:rPr>
        <w:t xml:space="preserve">investment </w:t>
      </w:r>
      <w:r w:rsidR="00CD3EEE" w:rsidRPr="006D455D">
        <w:rPr>
          <w:rFonts w:ascii="Arial" w:hAnsi="Arial" w:cs="Arial"/>
          <w:lang w:val="en-US"/>
        </w:rPr>
        <w:t xml:space="preserve">in </w:t>
      </w:r>
      <w:r w:rsidR="00AF1D72">
        <w:rPr>
          <w:rFonts w:ascii="Arial" w:hAnsi="Arial" w:cs="Arial"/>
          <w:lang w:val="en-US"/>
        </w:rPr>
        <w:t>plant molecular farming</w:t>
      </w:r>
      <w:r w:rsidR="00AF1D72" w:rsidRPr="006D455D">
        <w:rPr>
          <w:rFonts w:ascii="Arial" w:hAnsi="Arial" w:cs="Arial"/>
          <w:lang w:val="en-US"/>
        </w:rPr>
        <w:t xml:space="preserve"> </w:t>
      </w:r>
      <w:r w:rsidR="00B06A9A" w:rsidRPr="006D455D">
        <w:rPr>
          <w:rFonts w:ascii="Arial" w:hAnsi="Arial" w:cs="Arial"/>
          <w:lang w:val="en-US"/>
        </w:rPr>
        <w:t xml:space="preserve">remain </w:t>
      </w:r>
      <w:r w:rsidR="00B25D66" w:rsidRPr="006D455D">
        <w:rPr>
          <w:rFonts w:ascii="Arial" w:hAnsi="Arial" w:cs="Arial"/>
          <w:lang w:val="en-US"/>
        </w:rPr>
        <w:t>compelling</w:t>
      </w:r>
      <w:r w:rsidR="00B06A9A" w:rsidRPr="006D455D">
        <w:rPr>
          <w:rFonts w:ascii="Arial" w:hAnsi="Arial" w:cs="Arial"/>
          <w:lang w:val="en-US"/>
        </w:rPr>
        <w:t xml:space="preserve">. </w:t>
      </w:r>
      <w:r w:rsidR="00524EF3" w:rsidRPr="006D455D">
        <w:rPr>
          <w:rFonts w:ascii="Arial" w:hAnsi="Arial" w:cs="Arial"/>
          <w:lang w:val="en-US"/>
        </w:rPr>
        <w:t xml:space="preserve">More than </w:t>
      </w:r>
      <w:r w:rsidR="00F81CC4" w:rsidRPr="006D455D">
        <w:rPr>
          <w:rFonts w:ascii="Arial" w:hAnsi="Arial" w:cs="Arial"/>
          <w:lang w:val="en-US"/>
        </w:rPr>
        <w:t xml:space="preserve">30 years of research </w:t>
      </w:r>
      <w:r w:rsidR="00484829" w:rsidRPr="006D455D">
        <w:rPr>
          <w:rFonts w:ascii="Arial" w:hAnsi="Arial" w:cs="Arial"/>
          <w:lang w:val="en-US"/>
        </w:rPr>
        <w:t xml:space="preserve">and </w:t>
      </w:r>
      <w:r w:rsidR="00F81CC4" w:rsidRPr="006D455D">
        <w:rPr>
          <w:rFonts w:ascii="Arial" w:hAnsi="Arial" w:cs="Arial"/>
          <w:lang w:val="en-US"/>
        </w:rPr>
        <w:t xml:space="preserve">development </w:t>
      </w:r>
      <w:r w:rsidR="009A23CE" w:rsidRPr="006D455D">
        <w:rPr>
          <w:rFonts w:ascii="Arial" w:hAnsi="Arial" w:cs="Arial"/>
          <w:lang w:val="en-US"/>
        </w:rPr>
        <w:t>since the first recombinant proteins were expressed in plants</w:t>
      </w:r>
      <w:r w:rsidR="00FF1891" w:rsidRPr="006D455D">
        <w:rPr>
          <w:rStyle w:val="EndnoteReference"/>
          <w:rFonts w:ascii="Arial" w:hAnsi="Arial" w:cs="Arial"/>
          <w:lang w:val="en-US"/>
        </w:rPr>
        <w:endnoteReference w:id="10"/>
      </w:r>
      <w:r w:rsidR="00FF1891" w:rsidRPr="006D455D">
        <w:rPr>
          <w:rFonts w:ascii="Arial" w:hAnsi="Arial" w:cs="Arial"/>
          <w:vertAlign w:val="superscript"/>
          <w:lang w:val="en-US"/>
        </w:rPr>
        <w:t>,</w:t>
      </w:r>
      <w:r w:rsidR="00FF1891" w:rsidRPr="006D455D">
        <w:rPr>
          <w:rStyle w:val="EndnoteReference"/>
          <w:rFonts w:ascii="Arial" w:hAnsi="Arial" w:cs="Arial"/>
          <w:lang w:val="en-US"/>
        </w:rPr>
        <w:endnoteReference w:id="11"/>
      </w:r>
      <w:r w:rsidR="009A23CE" w:rsidRPr="006D455D">
        <w:rPr>
          <w:rFonts w:ascii="Arial" w:hAnsi="Arial" w:cs="Arial"/>
          <w:lang w:val="en-US"/>
        </w:rPr>
        <w:t xml:space="preserve"> </w:t>
      </w:r>
      <w:r w:rsidR="00F81CC4" w:rsidRPr="006D455D">
        <w:rPr>
          <w:rFonts w:ascii="Arial" w:hAnsi="Arial" w:cs="Arial"/>
          <w:lang w:val="en-US"/>
        </w:rPr>
        <w:t xml:space="preserve">have resulted in </w:t>
      </w:r>
      <w:r w:rsidR="00B26101" w:rsidRPr="006D455D">
        <w:rPr>
          <w:rFonts w:ascii="Arial" w:hAnsi="Arial" w:cs="Arial"/>
          <w:lang w:val="en-US"/>
        </w:rPr>
        <w:t>a robust technology and the original appeal</w:t>
      </w:r>
      <w:r w:rsidR="000B42A3" w:rsidRPr="006D455D">
        <w:rPr>
          <w:rFonts w:ascii="Arial" w:hAnsi="Arial" w:cs="Arial"/>
          <w:lang w:val="en-US"/>
        </w:rPr>
        <w:t xml:space="preserve"> of this manufacturing platform has not changed</w:t>
      </w:r>
      <w:r w:rsidR="007C05DF" w:rsidRPr="006D455D">
        <w:rPr>
          <w:rFonts w:ascii="Arial" w:hAnsi="Arial" w:cs="Arial"/>
          <w:vertAlign w:val="superscript"/>
          <w:lang w:val="en-US"/>
        </w:rPr>
        <w:t>1,2</w:t>
      </w:r>
      <w:r w:rsidR="00F74224" w:rsidRPr="00F74224">
        <w:rPr>
          <w:rFonts w:ascii="Arial" w:hAnsi="Arial" w:cs="Arial"/>
          <w:b/>
          <w:lang w:val="en-US"/>
        </w:rPr>
        <w:t xml:space="preserve"> </w:t>
      </w:r>
      <w:r w:rsidR="00F74224">
        <w:rPr>
          <w:rFonts w:ascii="Arial" w:hAnsi="Arial" w:cs="Arial"/>
          <w:b/>
          <w:lang w:val="en-US"/>
        </w:rPr>
        <w:t>(</w:t>
      </w:r>
      <w:r w:rsidR="00F74224" w:rsidRPr="006D455D">
        <w:rPr>
          <w:rFonts w:ascii="Arial" w:hAnsi="Arial" w:cs="Arial"/>
          <w:b/>
          <w:lang w:val="en-US"/>
        </w:rPr>
        <w:t>Fi</w:t>
      </w:r>
      <w:r w:rsidR="00F74224">
        <w:rPr>
          <w:rFonts w:ascii="Arial" w:hAnsi="Arial" w:cs="Arial"/>
          <w:b/>
          <w:lang w:val="en-US"/>
        </w:rPr>
        <w:t>g.</w:t>
      </w:r>
      <w:r w:rsidR="00F74224" w:rsidRPr="006D455D">
        <w:rPr>
          <w:rFonts w:ascii="Arial" w:hAnsi="Arial" w:cs="Arial"/>
          <w:b/>
          <w:lang w:val="en-US"/>
        </w:rPr>
        <w:t xml:space="preserve"> 1</w:t>
      </w:r>
      <w:r w:rsidR="00F74224">
        <w:rPr>
          <w:rFonts w:ascii="Arial" w:hAnsi="Arial" w:cs="Arial"/>
          <w:b/>
          <w:lang w:val="en-US"/>
        </w:rPr>
        <w:t>)</w:t>
      </w:r>
      <w:r w:rsidR="000B42A3" w:rsidRPr="006D455D">
        <w:rPr>
          <w:rFonts w:ascii="Arial" w:hAnsi="Arial" w:cs="Arial"/>
          <w:lang w:val="en-US"/>
        </w:rPr>
        <w:t xml:space="preserve">. </w:t>
      </w:r>
      <w:r w:rsidR="00F74224">
        <w:rPr>
          <w:rFonts w:ascii="Arial" w:hAnsi="Arial" w:cs="Arial"/>
          <w:lang w:val="en-US"/>
        </w:rPr>
        <w:t>A</w:t>
      </w:r>
      <w:r w:rsidR="00AB7875" w:rsidRPr="006D455D">
        <w:rPr>
          <w:rFonts w:ascii="Arial" w:hAnsi="Arial" w:cs="Arial"/>
          <w:lang w:val="en-US"/>
        </w:rPr>
        <w:t xml:space="preserve">dvantages include </w:t>
      </w:r>
      <w:r w:rsidR="003154D6" w:rsidRPr="006D455D">
        <w:rPr>
          <w:rFonts w:ascii="Arial" w:hAnsi="Arial" w:cs="Arial"/>
          <w:lang w:val="en-US"/>
        </w:rPr>
        <w:t xml:space="preserve">low </w:t>
      </w:r>
      <w:r w:rsidR="00AB7875" w:rsidRPr="006D455D">
        <w:rPr>
          <w:rFonts w:ascii="Arial" w:hAnsi="Arial" w:cs="Arial"/>
          <w:lang w:val="en-US"/>
        </w:rPr>
        <w:t xml:space="preserve">up-front </w:t>
      </w:r>
      <w:r w:rsidR="003154D6" w:rsidRPr="006D455D">
        <w:rPr>
          <w:rFonts w:ascii="Arial" w:hAnsi="Arial" w:cs="Arial"/>
          <w:lang w:val="en-US"/>
        </w:rPr>
        <w:t>cost</w:t>
      </w:r>
      <w:r w:rsidR="00AB7875" w:rsidRPr="006D455D">
        <w:rPr>
          <w:rFonts w:ascii="Arial" w:hAnsi="Arial" w:cs="Arial"/>
          <w:lang w:val="en-US"/>
        </w:rPr>
        <w:t xml:space="preserve">s </w:t>
      </w:r>
      <w:r w:rsidR="00686472">
        <w:rPr>
          <w:rFonts w:ascii="Arial" w:hAnsi="Arial" w:cs="Arial"/>
          <w:lang w:val="en-US"/>
        </w:rPr>
        <w:t xml:space="preserve">that </w:t>
      </w:r>
      <w:r w:rsidR="00B85508">
        <w:rPr>
          <w:rFonts w:ascii="Arial" w:hAnsi="Arial" w:cs="Arial"/>
          <w:lang w:val="en-US"/>
        </w:rPr>
        <w:t>enabl</w:t>
      </w:r>
      <w:r w:rsidR="006C6D4D">
        <w:rPr>
          <w:rFonts w:ascii="Arial" w:hAnsi="Arial" w:cs="Arial"/>
          <w:lang w:val="en-US"/>
        </w:rPr>
        <w:t>e</w:t>
      </w:r>
      <w:r w:rsidR="003154D6" w:rsidRPr="006D455D">
        <w:rPr>
          <w:rFonts w:ascii="Arial" w:hAnsi="Arial" w:cs="Arial"/>
          <w:lang w:val="en-US"/>
        </w:rPr>
        <w:t xml:space="preserve"> scalable manufacturing</w:t>
      </w:r>
      <w:r w:rsidR="00D44990" w:rsidRPr="006D455D">
        <w:rPr>
          <w:rFonts w:ascii="Arial" w:hAnsi="Arial" w:cs="Arial"/>
          <w:lang w:val="en-US"/>
        </w:rPr>
        <w:t>,</w:t>
      </w:r>
      <w:r w:rsidR="00AF1D72">
        <w:rPr>
          <w:rFonts w:ascii="Arial" w:hAnsi="Arial" w:cs="Arial"/>
          <w:lang w:val="en-US"/>
        </w:rPr>
        <w:t xml:space="preserve"> a rapid</w:t>
      </w:r>
      <w:r w:rsidR="00D44990" w:rsidRPr="006D455D">
        <w:rPr>
          <w:rFonts w:ascii="Arial" w:hAnsi="Arial" w:cs="Arial"/>
          <w:lang w:val="en-US"/>
        </w:rPr>
        <w:t xml:space="preserve"> manufacturing process </w:t>
      </w:r>
      <w:r w:rsidR="00AF1D72">
        <w:rPr>
          <w:rFonts w:ascii="Arial" w:hAnsi="Arial" w:cs="Arial"/>
          <w:lang w:val="en-US"/>
        </w:rPr>
        <w:t>via</w:t>
      </w:r>
      <w:r w:rsidR="00AF1D72" w:rsidRPr="006D455D">
        <w:rPr>
          <w:rFonts w:ascii="Arial" w:hAnsi="Arial" w:cs="Arial"/>
          <w:lang w:val="en-US"/>
        </w:rPr>
        <w:t xml:space="preserve"> </w:t>
      </w:r>
      <w:r w:rsidR="00D44990" w:rsidRPr="006D455D">
        <w:rPr>
          <w:rFonts w:ascii="Arial" w:hAnsi="Arial" w:cs="Arial"/>
          <w:lang w:val="en-US"/>
        </w:rPr>
        <w:t xml:space="preserve">transient expression, the massive potential scalability </w:t>
      </w:r>
      <w:r w:rsidR="006D0D3B" w:rsidRPr="006D455D">
        <w:rPr>
          <w:rFonts w:ascii="Arial" w:hAnsi="Arial" w:cs="Arial"/>
          <w:lang w:val="en-US"/>
        </w:rPr>
        <w:t>of stabl</w:t>
      </w:r>
      <w:r w:rsidR="00155FD6">
        <w:rPr>
          <w:rFonts w:ascii="Arial" w:hAnsi="Arial" w:cs="Arial"/>
          <w:lang w:val="en-US"/>
        </w:rPr>
        <w:t>e</w:t>
      </w:r>
      <w:r w:rsidR="00D643F7">
        <w:rPr>
          <w:rFonts w:ascii="Arial" w:hAnsi="Arial" w:cs="Arial"/>
          <w:lang w:val="en-US"/>
        </w:rPr>
        <w:t xml:space="preserve"> </w:t>
      </w:r>
      <w:r w:rsidR="006D0D3B" w:rsidRPr="006D455D">
        <w:rPr>
          <w:rFonts w:ascii="Arial" w:hAnsi="Arial" w:cs="Arial"/>
          <w:lang w:val="en-US"/>
        </w:rPr>
        <w:t>transgenic plant</w:t>
      </w:r>
      <w:r w:rsidR="00155FD6">
        <w:rPr>
          <w:rFonts w:ascii="Arial" w:hAnsi="Arial" w:cs="Arial"/>
          <w:lang w:val="en-US"/>
        </w:rPr>
        <w:t xml:space="preserve"> line</w:t>
      </w:r>
      <w:r w:rsidR="006D0D3B" w:rsidRPr="006D455D">
        <w:rPr>
          <w:rFonts w:ascii="Arial" w:hAnsi="Arial" w:cs="Arial"/>
          <w:lang w:val="en-US"/>
        </w:rPr>
        <w:t>s</w:t>
      </w:r>
      <w:r w:rsidR="00AB7875" w:rsidRPr="006D455D">
        <w:rPr>
          <w:rFonts w:ascii="Arial" w:hAnsi="Arial" w:cs="Arial"/>
          <w:lang w:val="en-US"/>
        </w:rPr>
        <w:t>,</w:t>
      </w:r>
      <w:r w:rsidR="006D0D3B" w:rsidRPr="006D455D">
        <w:rPr>
          <w:rFonts w:ascii="Arial" w:hAnsi="Arial" w:cs="Arial"/>
          <w:lang w:val="en-US"/>
        </w:rPr>
        <w:t xml:space="preserve"> </w:t>
      </w:r>
      <w:r w:rsidR="007A4661" w:rsidRPr="006D455D">
        <w:rPr>
          <w:rFonts w:ascii="Arial" w:hAnsi="Arial" w:cs="Arial"/>
          <w:lang w:val="en-US"/>
        </w:rPr>
        <w:t>the compatibility of plant</w:t>
      </w:r>
      <w:r w:rsidR="00E55626">
        <w:rPr>
          <w:rFonts w:ascii="Arial" w:hAnsi="Arial" w:cs="Arial"/>
          <w:lang w:val="en-US"/>
        </w:rPr>
        <w:t>-</w:t>
      </w:r>
      <w:r w:rsidR="007A4661" w:rsidRPr="006D455D">
        <w:rPr>
          <w:rFonts w:ascii="Arial" w:hAnsi="Arial" w:cs="Arial"/>
          <w:lang w:val="en-US"/>
        </w:rPr>
        <w:t xml:space="preserve">cell suspension cultures with manufacturing infrastructure </w:t>
      </w:r>
      <w:r w:rsidR="00AF1D72">
        <w:rPr>
          <w:rFonts w:ascii="Arial" w:hAnsi="Arial" w:cs="Arial"/>
          <w:lang w:val="en-US"/>
        </w:rPr>
        <w:t>designed for</w:t>
      </w:r>
      <w:r w:rsidR="007A4661" w:rsidRPr="006D455D">
        <w:rPr>
          <w:rFonts w:ascii="Arial" w:hAnsi="Arial" w:cs="Arial"/>
          <w:lang w:val="en-US"/>
        </w:rPr>
        <w:t xml:space="preserve"> microbial and mammalian cells, </w:t>
      </w:r>
      <w:r w:rsidR="006D0D3B" w:rsidRPr="006D455D">
        <w:rPr>
          <w:rFonts w:ascii="Arial" w:hAnsi="Arial" w:cs="Arial"/>
          <w:lang w:val="en-US"/>
        </w:rPr>
        <w:t xml:space="preserve">and </w:t>
      </w:r>
      <w:r w:rsidR="00976790" w:rsidRPr="006D455D">
        <w:rPr>
          <w:rFonts w:ascii="Arial" w:hAnsi="Arial" w:cs="Arial"/>
          <w:lang w:val="en-US"/>
        </w:rPr>
        <w:t>the</w:t>
      </w:r>
      <w:r w:rsidR="00E63A0F" w:rsidRPr="006D455D">
        <w:rPr>
          <w:rFonts w:ascii="Arial" w:hAnsi="Arial" w:cs="Arial"/>
          <w:lang w:val="en-US"/>
        </w:rPr>
        <w:t xml:space="preserve"> </w:t>
      </w:r>
      <w:r w:rsidR="00CD3EEE" w:rsidRPr="006D455D">
        <w:rPr>
          <w:rFonts w:ascii="Arial" w:hAnsi="Arial" w:cs="Arial"/>
          <w:lang w:val="en-US"/>
        </w:rPr>
        <w:t xml:space="preserve">potential for </w:t>
      </w:r>
      <w:r w:rsidR="00E63A0F" w:rsidRPr="006D455D">
        <w:rPr>
          <w:rFonts w:ascii="Arial" w:hAnsi="Arial" w:cs="Arial"/>
          <w:lang w:val="en-US"/>
        </w:rPr>
        <w:t xml:space="preserve">technology </w:t>
      </w:r>
      <w:r w:rsidR="00D643A8" w:rsidRPr="006D455D">
        <w:rPr>
          <w:rFonts w:ascii="Arial" w:hAnsi="Arial" w:cs="Arial"/>
          <w:lang w:val="en-US"/>
        </w:rPr>
        <w:t>transfer to</w:t>
      </w:r>
      <w:r w:rsidR="00182476" w:rsidRPr="006D455D">
        <w:rPr>
          <w:rFonts w:ascii="Arial" w:hAnsi="Arial" w:cs="Arial"/>
          <w:lang w:val="en-US"/>
        </w:rPr>
        <w:t xml:space="preserve"> </w:t>
      </w:r>
      <w:r w:rsidR="00AF1D72" w:rsidRPr="006D455D">
        <w:rPr>
          <w:rFonts w:ascii="Arial" w:hAnsi="Arial" w:cs="Arial"/>
          <w:lang w:val="en-US"/>
        </w:rPr>
        <w:t>low</w:t>
      </w:r>
      <w:r w:rsidR="00AF1D72">
        <w:rPr>
          <w:rFonts w:ascii="Arial" w:hAnsi="Arial" w:cs="Arial"/>
          <w:lang w:val="en-US"/>
        </w:rPr>
        <w:t>-</w:t>
      </w:r>
      <w:r w:rsidR="00AF1D72" w:rsidRPr="006D455D">
        <w:rPr>
          <w:rFonts w:ascii="Arial" w:hAnsi="Arial" w:cs="Arial"/>
          <w:lang w:val="en-US"/>
        </w:rPr>
        <w:t xml:space="preserve"> and middle</w:t>
      </w:r>
      <w:r w:rsidR="00AF1D72">
        <w:rPr>
          <w:rFonts w:ascii="Arial" w:hAnsi="Arial" w:cs="Arial"/>
          <w:lang w:val="en-US"/>
        </w:rPr>
        <w:t>-</w:t>
      </w:r>
      <w:r w:rsidR="00AF1D72" w:rsidRPr="006D455D">
        <w:rPr>
          <w:rFonts w:ascii="Arial" w:hAnsi="Arial" w:cs="Arial"/>
          <w:lang w:val="en-US"/>
        </w:rPr>
        <w:t>income countries</w:t>
      </w:r>
      <w:r w:rsidR="00D643F7">
        <w:rPr>
          <w:rFonts w:ascii="Arial" w:hAnsi="Arial" w:cs="Arial"/>
          <w:lang w:val="en-US"/>
        </w:rPr>
        <w:t>,</w:t>
      </w:r>
      <w:r w:rsidR="00AF1D72">
        <w:rPr>
          <w:rFonts w:ascii="Arial" w:hAnsi="Arial" w:cs="Arial"/>
          <w:lang w:val="en-US"/>
        </w:rPr>
        <w:t xml:space="preserve"> addressing</w:t>
      </w:r>
      <w:r w:rsidR="00AF1D72" w:rsidRPr="006D455D">
        <w:rPr>
          <w:rFonts w:ascii="Arial" w:hAnsi="Arial" w:cs="Arial"/>
          <w:lang w:val="en-US"/>
        </w:rPr>
        <w:t xml:space="preserve"> </w:t>
      </w:r>
      <w:r w:rsidR="002B0E4F" w:rsidRPr="006D455D">
        <w:rPr>
          <w:rFonts w:ascii="Arial" w:hAnsi="Arial" w:cs="Arial"/>
          <w:lang w:val="en-US"/>
        </w:rPr>
        <w:t>global</w:t>
      </w:r>
      <w:r w:rsidR="00496EBA">
        <w:rPr>
          <w:rFonts w:ascii="Arial" w:hAnsi="Arial" w:cs="Arial"/>
          <w:lang w:val="en-US"/>
        </w:rPr>
        <w:t>-</w:t>
      </w:r>
      <w:r w:rsidR="002B0E4F" w:rsidRPr="006D455D">
        <w:rPr>
          <w:rFonts w:ascii="Arial" w:hAnsi="Arial" w:cs="Arial"/>
          <w:lang w:val="en-US"/>
        </w:rPr>
        <w:t>health inequities</w:t>
      </w:r>
      <w:r w:rsidR="001B4C7F" w:rsidRPr="006D455D">
        <w:rPr>
          <w:rFonts w:ascii="Arial" w:hAnsi="Arial" w:cs="Arial"/>
          <w:lang w:val="en-US"/>
        </w:rPr>
        <w:t>.</w:t>
      </w:r>
      <w:r w:rsidR="00B319EB" w:rsidRPr="006D455D">
        <w:rPr>
          <w:rFonts w:ascii="Arial" w:hAnsi="Arial" w:cs="Arial"/>
          <w:lang w:val="en-US"/>
        </w:rPr>
        <w:t xml:space="preserve"> </w:t>
      </w:r>
      <w:r w:rsidR="00AB7875" w:rsidRPr="006D455D">
        <w:rPr>
          <w:rFonts w:ascii="Arial" w:hAnsi="Arial" w:cs="Arial"/>
          <w:lang w:val="en-US"/>
        </w:rPr>
        <w:t xml:space="preserve">In the </w:t>
      </w:r>
      <w:r w:rsidR="00AF1D72">
        <w:rPr>
          <w:rFonts w:ascii="Arial" w:hAnsi="Arial" w:cs="Arial"/>
          <w:lang w:val="en-US"/>
        </w:rPr>
        <w:t>2000’s</w:t>
      </w:r>
      <w:r w:rsidR="00AB7875" w:rsidRPr="006D455D">
        <w:rPr>
          <w:rFonts w:ascii="Arial" w:hAnsi="Arial" w:cs="Arial"/>
          <w:lang w:val="en-US"/>
        </w:rPr>
        <w:t xml:space="preserve">, the </w:t>
      </w:r>
      <w:r w:rsidR="00AB7875" w:rsidRPr="001409DB">
        <w:rPr>
          <w:rFonts w:ascii="Arial" w:hAnsi="Arial" w:cs="Arial"/>
          <w:lang w:val="en-US"/>
        </w:rPr>
        <w:t xml:space="preserve">Pharma-Planta </w:t>
      </w:r>
      <w:r w:rsidR="001409DB">
        <w:rPr>
          <w:rFonts w:ascii="Arial" w:hAnsi="Arial" w:cs="Arial"/>
          <w:lang w:val="en-US"/>
        </w:rPr>
        <w:t>C</w:t>
      </w:r>
      <w:r w:rsidR="007A4661" w:rsidRPr="001409DB">
        <w:rPr>
          <w:rFonts w:ascii="Arial" w:hAnsi="Arial" w:cs="Arial"/>
          <w:lang w:val="en-US"/>
        </w:rPr>
        <w:t>onsortium</w:t>
      </w:r>
      <w:r w:rsidR="007A4661" w:rsidRPr="006D455D">
        <w:rPr>
          <w:rFonts w:ascii="Arial" w:hAnsi="Arial" w:cs="Arial"/>
          <w:lang w:val="en-US"/>
        </w:rPr>
        <w:t xml:space="preserve"> </w:t>
      </w:r>
      <w:r w:rsidR="001409DB">
        <w:rPr>
          <w:rFonts w:ascii="Arial" w:hAnsi="Arial" w:cs="Arial"/>
          <w:lang w:val="en-US"/>
        </w:rPr>
        <w:t>delivered on this</w:t>
      </w:r>
      <w:r w:rsidR="007A4661" w:rsidRPr="006D455D">
        <w:rPr>
          <w:rFonts w:ascii="Arial" w:hAnsi="Arial" w:cs="Arial"/>
          <w:lang w:val="en-US"/>
        </w:rPr>
        <w:t xml:space="preserve"> by</w:t>
      </w:r>
      <w:r w:rsidR="00AB7875" w:rsidRPr="006D455D">
        <w:rPr>
          <w:rFonts w:ascii="Arial" w:hAnsi="Arial" w:cs="Arial"/>
          <w:lang w:val="en-US"/>
        </w:rPr>
        <w:t xml:space="preserve"> </w:t>
      </w:r>
      <w:r w:rsidR="00CD3EEE" w:rsidRPr="006D455D">
        <w:rPr>
          <w:rFonts w:ascii="Arial" w:hAnsi="Arial" w:cs="Arial"/>
          <w:lang w:val="en-US"/>
        </w:rPr>
        <w:t>producing</w:t>
      </w:r>
      <w:r w:rsidR="00AB7875" w:rsidRPr="006D455D">
        <w:rPr>
          <w:rFonts w:ascii="Arial" w:hAnsi="Arial" w:cs="Arial"/>
          <w:lang w:val="en-US"/>
        </w:rPr>
        <w:t xml:space="preserve"> an HIV </w:t>
      </w:r>
      <w:r w:rsidR="00AC3F94" w:rsidRPr="006D455D">
        <w:rPr>
          <w:rFonts w:ascii="Arial" w:hAnsi="Arial" w:cs="Arial"/>
          <w:lang w:val="en-US"/>
        </w:rPr>
        <w:t xml:space="preserve">monoclonal antibody </w:t>
      </w:r>
      <w:r w:rsidR="00AB7875" w:rsidRPr="006D455D">
        <w:rPr>
          <w:rFonts w:ascii="Arial" w:hAnsi="Arial" w:cs="Arial"/>
          <w:lang w:val="en-US"/>
        </w:rPr>
        <w:t>in transgenic tobacco plants</w:t>
      </w:r>
      <w:r w:rsidR="001409DB">
        <w:rPr>
          <w:rFonts w:ascii="Arial" w:hAnsi="Arial" w:cs="Arial"/>
          <w:lang w:val="en-US"/>
        </w:rPr>
        <w:t xml:space="preserve"> — </w:t>
      </w:r>
      <w:r w:rsidR="00AB7875" w:rsidRPr="006D455D">
        <w:rPr>
          <w:rFonts w:ascii="Arial" w:hAnsi="Arial" w:cs="Arial"/>
          <w:lang w:val="en-US"/>
        </w:rPr>
        <w:t xml:space="preserve">from </w:t>
      </w:r>
      <w:r w:rsidR="007A4661" w:rsidRPr="006D455D">
        <w:rPr>
          <w:rFonts w:ascii="Arial" w:hAnsi="Arial" w:cs="Arial"/>
          <w:lang w:val="en-US"/>
        </w:rPr>
        <w:t xml:space="preserve">construct design </w:t>
      </w:r>
      <w:r w:rsidR="00AB7875" w:rsidRPr="006D455D">
        <w:rPr>
          <w:rFonts w:ascii="Arial" w:hAnsi="Arial" w:cs="Arial"/>
          <w:lang w:val="en-US"/>
        </w:rPr>
        <w:t>to the completion of phase</w:t>
      </w:r>
      <w:r w:rsidR="00AF1D72">
        <w:rPr>
          <w:rFonts w:ascii="Arial" w:hAnsi="Arial" w:cs="Arial"/>
          <w:lang w:val="en-US"/>
        </w:rPr>
        <w:t>-</w:t>
      </w:r>
      <w:r w:rsidR="00AB7875" w:rsidRPr="006D455D">
        <w:rPr>
          <w:rFonts w:ascii="Arial" w:hAnsi="Arial" w:cs="Arial"/>
          <w:lang w:val="en-US"/>
        </w:rPr>
        <w:t>I clinical trial</w:t>
      </w:r>
      <w:r w:rsidR="007A4661" w:rsidRPr="006D455D">
        <w:rPr>
          <w:rFonts w:ascii="Arial" w:hAnsi="Arial" w:cs="Arial"/>
          <w:lang w:val="en-US"/>
        </w:rPr>
        <w:t>s</w:t>
      </w:r>
      <w:r w:rsidR="001409DB">
        <w:rPr>
          <w:rFonts w:ascii="Arial" w:hAnsi="Arial" w:cs="Arial"/>
          <w:lang w:val="en-US"/>
        </w:rPr>
        <w:t xml:space="preserve"> —</w:t>
      </w:r>
      <w:r w:rsidR="00AB7875" w:rsidRPr="006D455D">
        <w:rPr>
          <w:rFonts w:ascii="Arial" w:hAnsi="Arial" w:cs="Arial"/>
          <w:lang w:val="en-US"/>
        </w:rPr>
        <w:t xml:space="preserve"> on the modest budget of </w:t>
      </w:r>
      <w:r w:rsidR="007A4661" w:rsidRPr="006D455D">
        <w:rPr>
          <w:rFonts w:ascii="Arial" w:hAnsi="Arial" w:cs="Arial"/>
          <w:lang w:val="en-US"/>
        </w:rPr>
        <w:t>an EU Framework Project</w:t>
      </w:r>
      <w:r w:rsidR="007C05DF" w:rsidRPr="006D455D">
        <w:rPr>
          <w:rStyle w:val="EndnoteReference"/>
          <w:rFonts w:ascii="Arial" w:hAnsi="Arial" w:cs="Arial"/>
          <w:lang w:val="en-US"/>
        </w:rPr>
        <w:endnoteReference w:id="12"/>
      </w:r>
      <w:r w:rsidR="007C05DF" w:rsidRPr="006D455D">
        <w:rPr>
          <w:rFonts w:ascii="Arial" w:hAnsi="Arial" w:cs="Arial"/>
          <w:vertAlign w:val="superscript"/>
          <w:lang w:val="en-US"/>
        </w:rPr>
        <w:t>,</w:t>
      </w:r>
      <w:r w:rsidR="007C05DF" w:rsidRPr="006D455D">
        <w:rPr>
          <w:rStyle w:val="EndnoteReference"/>
          <w:rFonts w:ascii="Arial" w:hAnsi="Arial" w:cs="Arial"/>
          <w:lang w:val="en-US"/>
        </w:rPr>
        <w:endnoteReference w:id="13"/>
      </w:r>
      <w:r w:rsidR="007A4661" w:rsidRPr="006D455D">
        <w:rPr>
          <w:rFonts w:ascii="Arial" w:hAnsi="Arial" w:cs="Arial"/>
          <w:lang w:val="en-US"/>
        </w:rPr>
        <w:t>. This included full costing of upstream and downstream production, GMP</w:t>
      </w:r>
      <w:r w:rsidR="00641F9B" w:rsidRPr="006D455D">
        <w:rPr>
          <w:rFonts w:ascii="Arial" w:hAnsi="Arial" w:cs="Arial"/>
          <w:lang w:val="en-US"/>
        </w:rPr>
        <w:t>-</w:t>
      </w:r>
      <w:r w:rsidR="007A4661" w:rsidRPr="006D455D">
        <w:rPr>
          <w:rFonts w:ascii="Arial" w:hAnsi="Arial" w:cs="Arial"/>
          <w:lang w:val="en-US"/>
        </w:rPr>
        <w:t xml:space="preserve">compliant manufacturing and a humanitarian declaration for cost-free technology transfer </w:t>
      </w:r>
      <w:r w:rsidR="00641F9B" w:rsidRPr="006D455D">
        <w:rPr>
          <w:rFonts w:ascii="Arial" w:hAnsi="Arial" w:cs="Arial"/>
          <w:lang w:val="en-US"/>
        </w:rPr>
        <w:t>to</w:t>
      </w:r>
      <w:r w:rsidR="007A4661" w:rsidRPr="006D455D">
        <w:rPr>
          <w:rFonts w:ascii="Arial" w:hAnsi="Arial" w:cs="Arial"/>
          <w:lang w:val="en-US"/>
        </w:rPr>
        <w:t xml:space="preserve"> developing countries</w:t>
      </w:r>
      <w:r w:rsidR="001D1893" w:rsidRPr="006D455D">
        <w:rPr>
          <w:rFonts w:ascii="Arial" w:hAnsi="Arial" w:cs="Arial"/>
          <w:lang w:val="en-US"/>
        </w:rPr>
        <w:t xml:space="preserve">. </w:t>
      </w:r>
    </w:p>
    <w:p w14:paraId="311385D7" w14:textId="6F6D9B17" w:rsidR="00B319EB" w:rsidRDefault="00641F9B" w:rsidP="00166A8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6D455D">
        <w:rPr>
          <w:rFonts w:ascii="Arial" w:hAnsi="Arial" w:cs="Arial"/>
          <w:lang w:val="en-US"/>
        </w:rPr>
        <w:t xml:space="preserve">The socioeconomic potential and commercial feasibility of </w:t>
      </w:r>
      <w:r w:rsidR="00AF1D72">
        <w:rPr>
          <w:rFonts w:ascii="Arial" w:hAnsi="Arial" w:cs="Arial"/>
          <w:lang w:val="en-US"/>
        </w:rPr>
        <w:t>plant molecular farming</w:t>
      </w:r>
      <w:r w:rsidR="00AF1D72" w:rsidRPr="006D455D">
        <w:rPr>
          <w:rFonts w:ascii="Arial" w:hAnsi="Arial" w:cs="Arial"/>
          <w:lang w:val="en-US"/>
        </w:rPr>
        <w:t xml:space="preserve"> </w:t>
      </w:r>
      <w:r w:rsidR="007C1A54">
        <w:rPr>
          <w:rFonts w:ascii="Arial" w:hAnsi="Arial" w:cs="Arial"/>
          <w:lang w:val="en-US"/>
        </w:rPr>
        <w:t>is</w:t>
      </w:r>
      <w:r w:rsidRPr="006D455D">
        <w:rPr>
          <w:rFonts w:ascii="Arial" w:hAnsi="Arial" w:cs="Arial"/>
          <w:lang w:val="en-US"/>
        </w:rPr>
        <w:t xml:space="preserve"> </w:t>
      </w:r>
      <w:r w:rsidR="001409DB">
        <w:rPr>
          <w:rFonts w:ascii="Arial" w:hAnsi="Arial" w:cs="Arial"/>
          <w:lang w:val="en-US"/>
        </w:rPr>
        <w:t xml:space="preserve">further </w:t>
      </w:r>
      <w:r w:rsidRPr="006D455D">
        <w:rPr>
          <w:rFonts w:ascii="Arial" w:hAnsi="Arial" w:cs="Arial"/>
          <w:lang w:val="en-US"/>
        </w:rPr>
        <w:t xml:space="preserve">supported </w:t>
      </w:r>
      <w:r w:rsidR="001D1893" w:rsidRPr="006D455D">
        <w:rPr>
          <w:rFonts w:ascii="Arial" w:hAnsi="Arial" w:cs="Arial"/>
          <w:lang w:val="en-US"/>
        </w:rPr>
        <w:t xml:space="preserve">by robust </w:t>
      </w:r>
      <w:r w:rsidR="007C1A54" w:rsidRPr="006D455D">
        <w:rPr>
          <w:rFonts w:ascii="Arial" w:hAnsi="Arial" w:cs="Arial"/>
          <w:lang w:val="en-US"/>
        </w:rPr>
        <w:t xml:space="preserve">evidence </w:t>
      </w:r>
      <w:r w:rsidR="00E921EA">
        <w:rPr>
          <w:rFonts w:ascii="Arial" w:hAnsi="Arial" w:cs="Arial"/>
          <w:lang w:val="en-US"/>
        </w:rPr>
        <w:t>favoring</w:t>
      </w:r>
      <w:r w:rsidR="001D1893" w:rsidRPr="006D455D">
        <w:rPr>
          <w:rFonts w:ascii="Arial" w:hAnsi="Arial" w:cs="Arial"/>
          <w:lang w:val="en-US"/>
        </w:rPr>
        <w:t xml:space="preserve"> a </w:t>
      </w:r>
      <w:r w:rsidR="00B675A6">
        <w:rPr>
          <w:rFonts w:ascii="Arial" w:hAnsi="Arial" w:cs="Arial"/>
          <w:lang w:val="en-US"/>
        </w:rPr>
        <w:t>lower</w:t>
      </w:r>
      <w:r w:rsidR="00B675A6" w:rsidRPr="006D455D">
        <w:rPr>
          <w:rFonts w:ascii="Arial" w:hAnsi="Arial" w:cs="Arial"/>
          <w:lang w:val="en-US"/>
        </w:rPr>
        <w:t xml:space="preserve"> </w:t>
      </w:r>
      <w:r w:rsidR="001D1893" w:rsidRPr="006D455D">
        <w:rPr>
          <w:rFonts w:ascii="Arial" w:hAnsi="Arial" w:cs="Arial"/>
          <w:lang w:val="en-US"/>
        </w:rPr>
        <w:t>cost of goods</w:t>
      </w:r>
      <w:r w:rsidRPr="006D455D">
        <w:rPr>
          <w:rFonts w:ascii="Arial" w:hAnsi="Arial" w:cs="Arial"/>
          <w:lang w:val="en-US"/>
        </w:rPr>
        <w:t xml:space="preserve"> compared to </w:t>
      </w:r>
      <w:r w:rsidR="000F2243">
        <w:rPr>
          <w:rFonts w:ascii="Arial" w:hAnsi="Arial" w:cs="Arial"/>
          <w:lang w:val="en-US"/>
        </w:rPr>
        <w:t xml:space="preserve">equivalents produced in </w:t>
      </w:r>
      <w:r w:rsidRPr="006D455D">
        <w:rPr>
          <w:rFonts w:ascii="Arial" w:hAnsi="Arial" w:cs="Arial"/>
          <w:lang w:val="en-US"/>
        </w:rPr>
        <w:t xml:space="preserve">traditional </w:t>
      </w:r>
      <w:r w:rsidR="000714E0">
        <w:rPr>
          <w:rFonts w:ascii="Arial" w:hAnsi="Arial" w:cs="Arial"/>
          <w:lang w:val="en-US"/>
        </w:rPr>
        <w:t>systems</w:t>
      </w:r>
      <w:r w:rsidR="007C05DF" w:rsidRPr="006D455D">
        <w:rPr>
          <w:rStyle w:val="EndnoteReference"/>
          <w:rFonts w:ascii="Arial" w:hAnsi="Arial" w:cs="Arial"/>
          <w:lang w:val="en-US"/>
        </w:rPr>
        <w:endnoteReference w:id="14"/>
      </w:r>
      <w:r w:rsidR="007C05DF" w:rsidRPr="006D455D">
        <w:rPr>
          <w:rFonts w:ascii="Arial" w:hAnsi="Arial" w:cs="Arial"/>
          <w:vertAlign w:val="superscript"/>
          <w:lang w:val="en-US"/>
        </w:rPr>
        <w:t>,</w:t>
      </w:r>
      <w:r w:rsidR="007C05DF" w:rsidRPr="006D455D">
        <w:rPr>
          <w:rStyle w:val="EndnoteReference"/>
          <w:rFonts w:ascii="Arial" w:hAnsi="Arial" w:cs="Arial"/>
          <w:lang w:val="en-US"/>
        </w:rPr>
        <w:endnoteReference w:id="15"/>
      </w:r>
      <w:r w:rsidR="00B319EB" w:rsidRPr="006D455D">
        <w:rPr>
          <w:rFonts w:ascii="Arial" w:hAnsi="Arial" w:cs="Arial"/>
          <w:lang w:val="en-US"/>
        </w:rPr>
        <w:t>.</w:t>
      </w:r>
      <w:r w:rsidR="001D1893" w:rsidRPr="006D455D">
        <w:rPr>
          <w:rFonts w:ascii="Arial" w:hAnsi="Arial" w:cs="Arial"/>
          <w:lang w:val="en-US"/>
        </w:rPr>
        <w:t xml:space="preserve"> </w:t>
      </w:r>
      <w:r w:rsidRPr="006D455D">
        <w:rPr>
          <w:rFonts w:ascii="Arial" w:hAnsi="Arial" w:cs="Arial"/>
          <w:lang w:val="en-US"/>
        </w:rPr>
        <w:t>Th</w:t>
      </w:r>
      <w:r w:rsidR="00166A8A">
        <w:rPr>
          <w:rFonts w:ascii="Arial" w:hAnsi="Arial" w:cs="Arial"/>
          <w:lang w:val="en-US"/>
        </w:rPr>
        <w:t>e</w:t>
      </w:r>
      <w:r w:rsidRPr="006D455D">
        <w:rPr>
          <w:rFonts w:ascii="Arial" w:hAnsi="Arial" w:cs="Arial"/>
          <w:lang w:val="en-US"/>
        </w:rPr>
        <w:t xml:space="preserve"> </w:t>
      </w:r>
      <w:r w:rsidR="002A1C63">
        <w:rPr>
          <w:rFonts w:ascii="Arial" w:hAnsi="Arial" w:cs="Arial"/>
          <w:lang w:val="en-US"/>
        </w:rPr>
        <w:t>upsurge in</w:t>
      </w:r>
      <w:r w:rsidR="008D37DA">
        <w:rPr>
          <w:rFonts w:ascii="Arial" w:hAnsi="Arial" w:cs="Arial"/>
          <w:lang w:val="en-US"/>
        </w:rPr>
        <w:t xml:space="preserve"> </w:t>
      </w:r>
      <w:r w:rsidR="00AF1D72">
        <w:rPr>
          <w:rFonts w:ascii="Arial" w:hAnsi="Arial" w:cs="Arial"/>
          <w:lang w:val="en-US"/>
        </w:rPr>
        <w:t>plant molecular farming</w:t>
      </w:r>
      <w:r w:rsidR="00AF1D72" w:rsidRPr="006D455D">
        <w:rPr>
          <w:rFonts w:ascii="Arial" w:hAnsi="Arial" w:cs="Arial"/>
          <w:lang w:val="en-US"/>
        </w:rPr>
        <w:t xml:space="preserve"> </w:t>
      </w:r>
      <w:r w:rsidRPr="006D455D">
        <w:rPr>
          <w:rFonts w:ascii="Arial" w:hAnsi="Arial" w:cs="Arial"/>
          <w:lang w:val="en-US"/>
        </w:rPr>
        <w:t xml:space="preserve">has </w:t>
      </w:r>
      <w:r w:rsidR="001D1893" w:rsidRPr="006D455D">
        <w:rPr>
          <w:rFonts w:ascii="Arial" w:hAnsi="Arial" w:cs="Arial"/>
          <w:lang w:val="en-US"/>
        </w:rPr>
        <w:t xml:space="preserve">been </w:t>
      </w:r>
      <w:r w:rsidR="00F56056">
        <w:rPr>
          <w:rFonts w:ascii="Arial" w:hAnsi="Arial" w:cs="Arial"/>
          <w:lang w:val="en-US"/>
        </w:rPr>
        <w:t>helped</w:t>
      </w:r>
      <w:r w:rsidR="001D1893" w:rsidRPr="006D455D">
        <w:rPr>
          <w:rFonts w:ascii="Arial" w:hAnsi="Arial" w:cs="Arial"/>
          <w:lang w:val="en-US"/>
        </w:rPr>
        <w:t xml:space="preserve"> by focusing on a small number of well-</w:t>
      </w:r>
      <w:r w:rsidR="001644A2" w:rsidRPr="006D455D">
        <w:rPr>
          <w:rFonts w:ascii="Arial" w:hAnsi="Arial" w:cs="Arial"/>
          <w:lang w:val="en-US"/>
        </w:rPr>
        <w:t>characterized</w:t>
      </w:r>
      <w:r w:rsidR="001D1893" w:rsidRPr="006D455D">
        <w:rPr>
          <w:rFonts w:ascii="Arial" w:hAnsi="Arial" w:cs="Arial"/>
          <w:lang w:val="en-US"/>
        </w:rPr>
        <w:t xml:space="preserve"> </w:t>
      </w:r>
      <w:r w:rsidR="006C4350">
        <w:rPr>
          <w:rFonts w:ascii="Arial" w:hAnsi="Arial" w:cs="Arial"/>
          <w:lang w:val="en-US"/>
        </w:rPr>
        <w:t>expression systems</w:t>
      </w:r>
      <w:r w:rsidR="006C4350" w:rsidRPr="006D455D">
        <w:rPr>
          <w:rFonts w:ascii="Arial" w:hAnsi="Arial" w:cs="Arial"/>
          <w:lang w:val="en-US"/>
        </w:rPr>
        <w:t xml:space="preserve"> </w:t>
      </w:r>
      <w:r w:rsidR="001D1893" w:rsidRPr="006D455D">
        <w:rPr>
          <w:rFonts w:ascii="Arial" w:hAnsi="Arial" w:cs="Arial"/>
          <w:lang w:val="en-US"/>
        </w:rPr>
        <w:t xml:space="preserve">(mainly </w:t>
      </w:r>
      <w:r w:rsidR="007650A2" w:rsidRPr="00001CCE">
        <w:rPr>
          <w:rFonts w:ascii="Arial" w:hAnsi="Arial" w:cs="Arial"/>
          <w:lang w:val="en-US"/>
        </w:rPr>
        <w:t>tobacco</w:t>
      </w:r>
      <w:r w:rsidR="001D1893" w:rsidRPr="006D455D">
        <w:rPr>
          <w:rFonts w:ascii="Arial" w:hAnsi="Arial" w:cs="Arial"/>
          <w:lang w:val="en-US"/>
        </w:rPr>
        <w:t xml:space="preserve">) and the development of efficient downstream processing </w:t>
      </w:r>
      <w:r w:rsidRPr="006D455D">
        <w:rPr>
          <w:rFonts w:ascii="Arial" w:hAnsi="Arial" w:cs="Arial"/>
          <w:lang w:val="en-US"/>
        </w:rPr>
        <w:t>steps</w:t>
      </w:r>
      <w:r w:rsidR="001D1893" w:rsidRPr="006D455D">
        <w:rPr>
          <w:rFonts w:ascii="Arial" w:hAnsi="Arial" w:cs="Arial"/>
          <w:lang w:val="en-US"/>
        </w:rPr>
        <w:t xml:space="preserve"> </w:t>
      </w:r>
      <w:r w:rsidR="008D37DA">
        <w:rPr>
          <w:rFonts w:ascii="Arial" w:hAnsi="Arial" w:cs="Arial"/>
          <w:lang w:val="en-US"/>
        </w:rPr>
        <w:t>for</w:t>
      </w:r>
      <w:r w:rsidR="001D1893" w:rsidRPr="006D455D">
        <w:rPr>
          <w:rFonts w:ascii="Arial" w:hAnsi="Arial" w:cs="Arial"/>
          <w:lang w:val="en-US"/>
        </w:rPr>
        <w:t xml:space="preserve"> plant material</w:t>
      </w:r>
      <w:r w:rsidR="007C05DF" w:rsidRPr="006D455D">
        <w:rPr>
          <w:rStyle w:val="EndnoteReference"/>
          <w:rFonts w:ascii="Arial" w:hAnsi="Arial" w:cs="Arial"/>
          <w:lang w:val="en-US"/>
        </w:rPr>
        <w:endnoteReference w:id="16"/>
      </w:r>
      <w:r w:rsidR="007C05DF" w:rsidRPr="006D455D">
        <w:rPr>
          <w:rFonts w:ascii="Arial" w:hAnsi="Arial" w:cs="Arial"/>
          <w:vertAlign w:val="superscript"/>
          <w:lang w:val="en-US"/>
        </w:rPr>
        <w:t>,</w:t>
      </w:r>
      <w:r w:rsidR="007C05DF" w:rsidRPr="006D455D">
        <w:rPr>
          <w:rStyle w:val="EndnoteReference"/>
          <w:rFonts w:ascii="Arial" w:hAnsi="Arial" w:cs="Arial"/>
          <w:lang w:val="en-US"/>
        </w:rPr>
        <w:endnoteReference w:id="17"/>
      </w:r>
      <w:r w:rsidRPr="006D455D">
        <w:rPr>
          <w:rFonts w:ascii="Arial" w:hAnsi="Arial" w:cs="Arial"/>
          <w:lang w:val="en-US"/>
        </w:rPr>
        <w:t>.</w:t>
      </w:r>
    </w:p>
    <w:p w14:paraId="03940DB3" w14:textId="45213504" w:rsidR="00DF360E" w:rsidRDefault="00641F9B" w:rsidP="00166A8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6D455D">
        <w:rPr>
          <w:rFonts w:ascii="Arial" w:hAnsi="Arial" w:cs="Arial"/>
          <w:lang w:val="en-US"/>
        </w:rPr>
        <w:t>U</w:t>
      </w:r>
      <w:r w:rsidR="004D52D8" w:rsidRPr="006D455D">
        <w:rPr>
          <w:rFonts w:ascii="Arial" w:hAnsi="Arial" w:cs="Arial"/>
          <w:lang w:val="en-US"/>
        </w:rPr>
        <w:t xml:space="preserve">nmet </w:t>
      </w:r>
      <w:r w:rsidR="20761D57" w:rsidRPr="006D455D">
        <w:rPr>
          <w:rFonts w:ascii="Arial" w:hAnsi="Arial" w:cs="Arial"/>
          <w:lang w:val="en-US"/>
        </w:rPr>
        <w:t>market</w:t>
      </w:r>
      <w:r w:rsidR="23A22D79" w:rsidRPr="006D455D">
        <w:rPr>
          <w:rFonts w:ascii="Arial" w:hAnsi="Arial" w:cs="Arial"/>
          <w:lang w:val="en-US"/>
        </w:rPr>
        <w:t xml:space="preserve"> needs and product superiority are key to commercial success for any new product. But a</w:t>
      </w:r>
      <w:r w:rsidR="00FA379B" w:rsidRPr="006D455D">
        <w:rPr>
          <w:rFonts w:ascii="Arial" w:hAnsi="Arial" w:cs="Arial"/>
          <w:lang w:val="en-US"/>
        </w:rPr>
        <w:t xml:space="preserve">s </w:t>
      </w:r>
      <w:r w:rsidR="006C4350">
        <w:rPr>
          <w:rFonts w:ascii="Arial" w:hAnsi="Arial" w:cs="Arial"/>
          <w:lang w:val="en-US"/>
        </w:rPr>
        <w:t>noted</w:t>
      </w:r>
      <w:r w:rsidR="006C4350" w:rsidRPr="006D455D">
        <w:rPr>
          <w:rFonts w:ascii="Arial" w:hAnsi="Arial" w:cs="Arial"/>
          <w:lang w:val="en-US"/>
        </w:rPr>
        <w:t xml:space="preserve"> </w:t>
      </w:r>
      <w:r w:rsidR="00FA379B" w:rsidRPr="006D455D">
        <w:rPr>
          <w:rFonts w:ascii="Arial" w:hAnsi="Arial" w:cs="Arial"/>
          <w:lang w:val="en-US"/>
        </w:rPr>
        <w:t>by</w:t>
      </w:r>
      <w:r w:rsidR="23A22D79" w:rsidRPr="006D455D">
        <w:rPr>
          <w:rFonts w:ascii="Arial" w:hAnsi="Arial" w:cs="Arial"/>
          <w:lang w:val="en-US"/>
        </w:rPr>
        <w:t xml:space="preserve"> Yuri Gleba, CEO Nomad Biosciences, “</w:t>
      </w:r>
      <w:r w:rsidR="00B675A6">
        <w:rPr>
          <w:rFonts w:ascii="Arial" w:hAnsi="Arial" w:cs="Arial"/>
          <w:lang w:val="en-US"/>
        </w:rPr>
        <w:t xml:space="preserve">Plant </w:t>
      </w:r>
      <w:r w:rsidR="006C4350">
        <w:rPr>
          <w:rFonts w:ascii="Arial" w:hAnsi="Arial" w:cs="Arial"/>
          <w:lang w:val="en-US"/>
        </w:rPr>
        <w:t>molecular farming</w:t>
      </w:r>
      <w:r w:rsidR="23A22D79" w:rsidRPr="006D455D">
        <w:rPr>
          <w:rFonts w:ascii="Arial" w:hAnsi="Arial" w:cs="Arial"/>
          <w:lang w:val="en-US"/>
        </w:rPr>
        <w:t xml:space="preserve"> has </w:t>
      </w:r>
      <w:r w:rsidR="23A22D79" w:rsidRPr="006D455D">
        <w:rPr>
          <w:rFonts w:ascii="Arial" w:hAnsi="Arial" w:cs="Arial"/>
          <w:lang w:val="en-US"/>
        </w:rPr>
        <w:lastRenderedPageBreak/>
        <w:t xml:space="preserve">always faced a double jeopardy </w:t>
      </w:r>
      <w:r w:rsidR="008870A0">
        <w:rPr>
          <w:rFonts w:ascii="Arial" w:hAnsi="Arial" w:cs="Arial"/>
          <w:lang w:val="en-US"/>
        </w:rPr>
        <w:t>—</w:t>
      </w:r>
      <w:r w:rsidR="23A22D79" w:rsidRPr="006D455D">
        <w:rPr>
          <w:rFonts w:ascii="Arial" w:hAnsi="Arial" w:cs="Arial"/>
          <w:lang w:val="en-US"/>
        </w:rPr>
        <w:t xml:space="preserve"> the risk of a new product and the risk of a new platform”. Despite Medicago’s demise, </w:t>
      </w:r>
      <w:r w:rsidR="00755CD5" w:rsidRPr="006D455D">
        <w:rPr>
          <w:rFonts w:ascii="Arial" w:hAnsi="Arial" w:cs="Arial"/>
          <w:lang w:val="en-US"/>
        </w:rPr>
        <w:t>the</w:t>
      </w:r>
      <w:r w:rsidR="00755CD5">
        <w:rPr>
          <w:rFonts w:ascii="Arial" w:hAnsi="Arial" w:cs="Arial"/>
          <w:lang w:val="en-US"/>
        </w:rPr>
        <w:t xml:space="preserve"> company</w:t>
      </w:r>
      <w:r w:rsidR="00755CD5" w:rsidRPr="006D455D">
        <w:rPr>
          <w:rFonts w:ascii="Arial" w:hAnsi="Arial" w:cs="Arial"/>
          <w:lang w:val="en-US"/>
        </w:rPr>
        <w:t xml:space="preserve"> </w:t>
      </w:r>
      <w:r w:rsidR="23A22D79" w:rsidRPr="006D455D">
        <w:rPr>
          <w:rFonts w:ascii="Arial" w:hAnsi="Arial" w:cs="Arial"/>
          <w:lang w:val="en-US"/>
        </w:rPr>
        <w:t xml:space="preserve">undeniably de-risked </w:t>
      </w:r>
      <w:r w:rsidR="006C4350">
        <w:rPr>
          <w:rFonts w:ascii="Arial" w:hAnsi="Arial" w:cs="Arial"/>
          <w:lang w:val="en-US"/>
        </w:rPr>
        <w:t>plant molecular farming</w:t>
      </w:r>
      <w:r w:rsidR="23A22D79" w:rsidRPr="006D455D">
        <w:rPr>
          <w:rFonts w:ascii="Arial" w:hAnsi="Arial" w:cs="Arial"/>
          <w:lang w:val="en-US"/>
        </w:rPr>
        <w:t xml:space="preserve"> and in so doing </w:t>
      </w:r>
      <w:r w:rsidR="00D8172B">
        <w:rPr>
          <w:rFonts w:ascii="Arial" w:hAnsi="Arial" w:cs="Arial"/>
          <w:lang w:val="en-US"/>
        </w:rPr>
        <w:t xml:space="preserve">validated </w:t>
      </w:r>
      <w:r w:rsidR="23A22D79" w:rsidRPr="006D455D">
        <w:rPr>
          <w:rFonts w:ascii="Arial" w:hAnsi="Arial" w:cs="Arial"/>
          <w:lang w:val="en-US"/>
        </w:rPr>
        <w:t xml:space="preserve">the field. </w:t>
      </w:r>
    </w:p>
    <w:p w14:paraId="0E28CFBD" w14:textId="6BE79AE7" w:rsidR="004F2854" w:rsidRPr="00857117" w:rsidRDefault="006A33CC" w:rsidP="009C65C7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In our opinion, c</w:t>
      </w:r>
      <w:r w:rsidR="00BC2019" w:rsidRPr="00BC2019">
        <w:rPr>
          <w:rFonts w:ascii="Arial" w:hAnsi="Arial" w:cs="Arial"/>
          <w:lang w:val="en-US"/>
        </w:rPr>
        <w:t xml:space="preserve">onsumers </w:t>
      </w:r>
      <w:r w:rsidR="009C65C7">
        <w:rPr>
          <w:rFonts w:ascii="Arial" w:hAnsi="Arial" w:cs="Arial"/>
          <w:lang w:val="en-US"/>
        </w:rPr>
        <w:t xml:space="preserve">are </w:t>
      </w:r>
      <w:r w:rsidR="00BC2019" w:rsidRPr="00BC2019">
        <w:rPr>
          <w:rFonts w:ascii="Arial" w:hAnsi="Arial" w:cs="Arial"/>
          <w:lang w:val="en-US"/>
        </w:rPr>
        <w:t>start</w:t>
      </w:r>
      <w:r w:rsidR="009C65C7">
        <w:rPr>
          <w:rFonts w:ascii="Arial" w:hAnsi="Arial" w:cs="Arial"/>
          <w:lang w:val="en-US"/>
        </w:rPr>
        <w:t>ing</w:t>
      </w:r>
      <w:r w:rsidR="00BC2019" w:rsidRPr="00BC2019">
        <w:rPr>
          <w:rFonts w:ascii="Arial" w:hAnsi="Arial" w:cs="Arial"/>
          <w:lang w:val="en-US"/>
        </w:rPr>
        <w:t xml:space="preserve"> to gain better awareness of current vaccine</w:t>
      </w:r>
      <w:r w:rsidR="00E55626">
        <w:rPr>
          <w:rFonts w:ascii="Arial" w:hAnsi="Arial" w:cs="Arial"/>
          <w:lang w:val="en-US"/>
        </w:rPr>
        <w:t>-</w:t>
      </w:r>
      <w:r w:rsidR="00BC2019" w:rsidRPr="00BC2019">
        <w:rPr>
          <w:rFonts w:ascii="Arial" w:hAnsi="Arial" w:cs="Arial"/>
          <w:lang w:val="en-US"/>
        </w:rPr>
        <w:t>production</w:t>
      </w:r>
      <w:r w:rsidR="009C65C7">
        <w:rPr>
          <w:rFonts w:ascii="Arial" w:hAnsi="Arial" w:cs="Arial"/>
          <w:lang w:val="en-US"/>
        </w:rPr>
        <w:t xml:space="preserve"> techniques</w:t>
      </w:r>
      <w:r w:rsidR="00BC2019" w:rsidRPr="00BC2019">
        <w:rPr>
          <w:rFonts w:ascii="Arial" w:hAnsi="Arial" w:cs="Arial"/>
          <w:lang w:val="en-US"/>
        </w:rPr>
        <w:t>,</w:t>
      </w:r>
      <w:r w:rsidR="009C65C7">
        <w:rPr>
          <w:rFonts w:ascii="Arial" w:hAnsi="Arial" w:cs="Arial"/>
          <w:lang w:val="en-US"/>
        </w:rPr>
        <w:t xml:space="preserve"> and</w:t>
      </w:r>
      <w:r w:rsidR="00BC2019" w:rsidRPr="00BC2019">
        <w:rPr>
          <w:rFonts w:ascii="Arial" w:hAnsi="Arial" w:cs="Arial"/>
          <w:lang w:val="en-US"/>
        </w:rPr>
        <w:t xml:space="preserve"> plant</w:t>
      </w:r>
      <w:r w:rsidR="009C65C7">
        <w:rPr>
          <w:rFonts w:ascii="Arial" w:hAnsi="Arial" w:cs="Arial"/>
          <w:lang w:val="en-US"/>
        </w:rPr>
        <w:t>-</w:t>
      </w:r>
      <w:r w:rsidR="00BC2019" w:rsidRPr="00BC2019">
        <w:rPr>
          <w:rFonts w:ascii="Arial" w:hAnsi="Arial" w:cs="Arial"/>
          <w:lang w:val="en-US"/>
        </w:rPr>
        <w:t>based solutions (</w:t>
      </w:r>
      <w:r w:rsidR="00E55626">
        <w:rPr>
          <w:rFonts w:ascii="Arial" w:hAnsi="Arial" w:cs="Arial"/>
          <w:lang w:val="en-US"/>
        </w:rPr>
        <w:t>as well as</w:t>
      </w:r>
      <w:r w:rsidR="00E55626" w:rsidRPr="00BC2019">
        <w:rPr>
          <w:rFonts w:ascii="Arial" w:hAnsi="Arial" w:cs="Arial"/>
          <w:lang w:val="en-US"/>
        </w:rPr>
        <w:t xml:space="preserve"> </w:t>
      </w:r>
      <w:r w:rsidR="00BC2019" w:rsidRPr="00BC2019">
        <w:rPr>
          <w:rFonts w:ascii="Arial" w:hAnsi="Arial" w:cs="Arial"/>
          <w:lang w:val="en-US"/>
        </w:rPr>
        <w:t xml:space="preserve">a move from egg production) </w:t>
      </w:r>
      <w:r>
        <w:rPr>
          <w:rFonts w:ascii="Arial" w:hAnsi="Arial" w:cs="Arial"/>
          <w:lang w:val="en-US"/>
        </w:rPr>
        <w:t>are</w:t>
      </w:r>
      <w:r w:rsidR="00BC2019" w:rsidRPr="00BC2019">
        <w:rPr>
          <w:rFonts w:ascii="Arial" w:hAnsi="Arial" w:cs="Arial"/>
          <w:lang w:val="en-US"/>
        </w:rPr>
        <w:t xml:space="preserve"> gaining interest. Consumer demand for more </w:t>
      </w:r>
      <w:r w:rsidR="009C65C7">
        <w:rPr>
          <w:rFonts w:ascii="Arial" w:hAnsi="Arial" w:cs="Arial"/>
          <w:lang w:val="en-US"/>
        </w:rPr>
        <w:t xml:space="preserve">choice, </w:t>
      </w:r>
      <w:r w:rsidR="00BC2019" w:rsidRPr="00BC2019">
        <w:rPr>
          <w:rFonts w:ascii="Arial" w:hAnsi="Arial" w:cs="Arial"/>
          <w:lang w:val="en-US"/>
        </w:rPr>
        <w:t>ethical and sustainable production may sway invest</w:t>
      </w:r>
      <w:r w:rsidR="009C65C7">
        <w:rPr>
          <w:rFonts w:ascii="Arial" w:hAnsi="Arial" w:cs="Arial"/>
          <w:lang w:val="en-US"/>
        </w:rPr>
        <w:t xml:space="preserve">ment decisions in </w:t>
      </w:r>
      <w:r w:rsidR="00BC2019" w:rsidRPr="00BC2019">
        <w:rPr>
          <w:rFonts w:ascii="Arial" w:hAnsi="Arial" w:cs="Arial"/>
          <w:lang w:val="en-US"/>
        </w:rPr>
        <w:t>this area.</w:t>
      </w:r>
      <w:r w:rsidR="009C65C7">
        <w:rPr>
          <w:rFonts w:ascii="Arial" w:hAnsi="Arial" w:cs="Arial"/>
          <w:lang w:val="en-US"/>
        </w:rPr>
        <w:t xml:space="preserve"> Furthermore, </w:t>
      </w:r>
      <w:r w:rsidR="001644A2" w:rsidRPr="006D455D">
        <w:rPr>
          <w:rFonts w:ascii="Arial" w:hAnsi="Arial" w:cs="Arial"/>
          <w:lang w:val="en-US"/>
        </w:rPr>
        <w:t>the techno</w:t>
      </w:r>
      <w:r w:rsidR="00755CD5">
        <w:rPr>
          <w:rFonts w:ascii="Arial" w:hAnsi="Arial" w:cs="Arial"/>
          <w:lang w:val="en-US"/>
        </w:rPr>
        <w:t>-</w:t>
      </w:r>
      <w:r w:rsidR="001644A2" w:rsidRPr="006D455D">
        <w:rPr>
          <w:rFonts w:ascii="Arial" w:hAnsi="Arial" w:cs="Arial"/>
          <w:lang w:val="en-US"/>
        </w:rPr>
        <w:t xml:space="preserve">economic benefits of </w:t>
      </w:r>
      <w:r w:rsidR="006C4350">
        <w:rPr>
          <w:rFonts w:ascii="Arial" w:hAnsi="Arial" w:cs="Arial"/>
          <w:lang w:val="en-US"/>
        </w:rPr>
        <w:t>plant molecular farming</w:t>
      </w:r>
      <w:r w:rsidR="006C4350" w:rsidRPr="006D455D">
        <w:rPr>
          <w:rFonts w:ascii="Arial" w:hAnsi="Arial" w:cs="Arial"/>
          <w:lang w:val="en-US"/>
        </w:rPr>
        <w:t xml:space="preserve"> </w:t>
      </w:r>
      <w:r w:rsidR="00A324CB">
        <w:rPr>
          <w:rFonts w:ascii="Arial" w:hAnsi="Arial" w:cs="Arial"/>
          <w:lang w:val="en-US"/>
        </w:rPr>
        <w:t>should</w:t>
      </w:r>
      <w:r w:rsidR="009C65C7">
        <w:rPr>
          <w:rFonts w:ascii="Arial" w:hAnsi="Arial" w:cs="Arial"/>
          <w:lang w:val="en-US"/>
        </w:rPr>
        <w:t xml:space="preserve"> </w:t>
      </w:r>
      <w:r w:rsidR="001644A2" w:rsidRPr="006D455D">
        <w:rPr>
          <w:rFonts w:ascii="Arial" w:hAnsi="Arial" w:cs="Arial"/>
          <w:lang w:val="en-US"/>
        </w:rPr>
        <w:t>be recognized by governments and regulators as a</w:t>
      </w:r>
      <w:r w:rsidR="00755CD5">
        <w:rPr>
          <w:rFonts w:ascii="Arial" w:hAnsi="Arial" w:cs="Arial"/>
          <w:lang w:val="en-US"/>
        </w:rPr>
        <w:t xml:space="preserve">n efficient </w:t>
      </w:r>
      <w:r w:rsidR="001644A2" w:rsidRPr="006D455D">
        <w:rPr>
          <w:rFonts w:ascii="Arial" w:hAnsi="Arial" w:cs="Arial"/>
          <w:lang w:val="en-US"/>
        </w:rPr>
        <w:t xml:space="preserve">way to fast-track technology transfer to developing countries and </w:t>
      </w:r>
      <w:r w:rsidR="00B13653">
        <w:rPr>
          <w:rFonts w:ascii="Arial" w:hAnsi="Arial" w:cs="Arial"/>
          <w:lang w:val="en-US"/>
        </w:rPr>
        <w:t xml:space="preserve">regionalize </w:t>
      </w:r>
      <w:r w:rsidR="001644A2" w:rsidRPr="006D455D">
        <w:rPr>
          <w:rFonts w:ascii="Arial" w:hAnsi="Arial" w:cs="Arial"/>
          <w:lang w:val="en-US"/>
        </w:rPr>
        <w:t>pharmaceutical</w:t>
      </w:r>
      <w:r w:rsidR="00AC259C">
        <w:rPr>
          <w:rFonts w:ascii="Arial" w:hAnsi="Arial" w:cs="Arial"/>
          <w:lang w:val="en-US"/>
        </w:rPr>
        <w:t xml:space="preserve"> </w:t>
      </w:r>
      <w:r w:rsidR="001644A2" w:rsidRPr="006D455D">
        <w:rPr>
          <w:rFonts w:ascii="Arial" w:hAnsi="Arial" w:cs="Arial"/>
          <w:lang w:val="en-US"/>
        </w:rPr>
        <w:t>production facilities with low upfront costs and scalable production lines</w:t>
      </w:r>
      <w:r w:rsidR="00641F9B" w:rsidRPr="006D455D">
        <w:rPr>
          <w:rFonts w:ascii="Arial" w:hAnsi="Arial" w:cs="Arial"/>
          <w:lang w:val="en-US"/>
        </w:rPr>
        <w:t xml:space="preserve">. This </w:t>
      </w:r>
      <w:r w:rsidR="00511FEA" w:rsidRPr="006D455D">
        <w:rPr>
          <w:rFonts w:ascii="Arial" w:hAnsi="Arial" w:cs="Arial"/>
          <w:lang w:val="en-US"/>
        </w:rPr>
        <w:t xml:space="preserve">will </w:t>
      </w:r>
      <w:r w:rsidR="00641F9B" w:rsidRPr="006D455D">
        <w:rPr>
          <w:rFonts w:ascii="Arial" w:hAnsi="Arial" w:cs="Arial"/>
          <w:lang w:val="en-US"/>
        </w:rPr>
        <w:t>allow</w:t>
      </w:r>
      <w:r w:rsidR="001644A2" w:rsidRPr="006D455D">
        <w:rPr>
          <w:rFonts w:ascii="Arial" w:hAnsi="Arial" w:cs="Arial"/>
          <w:lang w:val="en-US"/>
        </w:rPr>
        <w:t xml:space="preserve"> production of biologics </w:t>
      </w:r>
      <w:r w:rsidR="008C7899">
        <w:rPr>
          <w:rFonts w:ascii="Arial" w:hAnsi="Arial" w:cs="Arial"/>
          <w:lang w:val="en-US"/>
        </w:rPr>
        <w:t>‘</w:t>
      </w:r>
      <w:r w:rsidR="001644A2" w:rsidRPr="006D455D">
        <w:rPr>
          <w:rFonts w:ascii="Arial" w:hAnsi="Arial" w:cs="Arial"/>
          <w:lang w:val="en-US"/>
        </w:rPr>
        <w:t>in the region</w:t>
      </w:r>
      <w:r w:rsidR="00755CD5">
        <w:rPr>
          <w:rFonts w:ascii="Arial" w:hAnsi="Arial" w:cs="Arial"/>
          <w:lang w:val="en-US"/>
        </w:rPr>
        <w:t>,</w:t>
      </w:r>
      <w:r w:rsidR="001644A2" w:rsidRPr="006D455D">
        <w:rPr>
          <w:rFonts w:ascii="Arial" w:hAnsi="Arial" w:cs="Arial"/>
          <w:lang w:val="en-US"/>
        </w:rPr>
        <w:t xml:space="preserve"> for the region</w:t>
      </w:r>
      <w:r w:rsidR="00755CD5">
        <w:rPr>
          <w:rFonts w:ascii="Arial" w:hAnsi="Arial" w:cs="Arial"/>
          <w:lang w:val="en-US"/>
        </w:rPr>
        <w:t>’</w:t>
      </w:r>
      <w:r w:rsidR="009C65C7">
        <w:rPr>
          <w:rFonts w:ascii="Arial" w:hAnsi="Arial" w:cs="Arial"/>
          <w:lang w:val="en-US"/>
        </w:rPr>
        <w:t>, with</w:t>
      </w:r>
      <w:r w:rsidR="00755CD5">
        <w:rPr>
          <w:rFonts w:ascii="Arial" w:hAnsi="Arial" w:cs="Arial"/>
          <w:lang w:val="en-US"/>
        </w:rPr>
        <w:t xml:space="preserve"> the potential to</w:t>
      </w:r>
      <w:r w:rsidR="00755CD5" w:rsidRPr="006D455D">
        <w:rPr>
          <w:rFonts w:ascii="Arial" w:hAnsi="Arial" w:cs="Arial"/>
          <w:lang w:val="en-US"/>
        </w:rPr>
        <w:t xml:space="preserve"> </w:t>
      </w:r>
      <w:r w:rsidR="001644A2" w:rsidRPr="006D455D">
        <w:rPr>
          <w:rFonts w:ascii="Arial" w:hAnsi="Arial" w:cs="Arial"/>
          <w:lang w:val="en-US"/>
        </w:rPr>
        <w:t>target endemic diseases that are</w:t>
      </w:r>
      <w:r w:rsidR="00755CD5">
        <w:rPr>
          <w:rFonts w:ascii="Arial" w:hAnsi="Arial" w:cs="Arial"/>
          <w:lang w:val="en-US"/>
        </w:rPr>
        <w:t xml:space="preserve"> typically</w:t>
      </w:r>
      <w:r w:rsidR="001644A2" w:rsidRPr="006D455D">
        <w:rPr>
          <w:rFonts w:ascii="Arial" w:hAnsi="Arial" w:cs="Arial"/>
          <w:lang w:val="en-US"/>
        </w:rPr>
        <w:t xml:space="preserve"> overlooked by Big Pharma, thus prioriti</w:t>
      </w:r>
      <w:r w:rsidR="00755CD5">
        <w:rPr>
          <w:rFonts w:ascii="Arial" w:hAnsi="Arial" w:cs="Arial"/>
          <w:lang w:val="en-US"/>
        </w:rPr>
        <w:t>z</w:t>
      </w:r>
      <w:r w:rsidR="001644A2" w:rsidRPr="006D455D">
        <w:rPr>
          <w:rFonts w:ascii="Arial" w:hAnsi="Arial" w:cs="Arial"/>
          <w:lang w:val="en-US"/>
        </w:rPr>
        <w:t xml:space="preserve">ing products that </w:t>
      </w:r>
      <w:r w:rsidR="008C7899">
        <w:rPr>
          <w:rFonts w:ascii="Arial" w:hAnsi="Arial" w:cs="Arial"/>
          <w:lang w:val="en-US"/>
        </w:rPr>
        <w:t>give</w:t>
      </w:r>
      <w:r w:rsidR="008C7899" w:rsidRPr="006D455D">
        <w:rPr>
          <w:rFonts w:ascii="Arial" w:hAnsi="Arial" w:cs="Arial"/>
          <w:lang w:val="en-US"/>
        </w:rPr>
        <w:t xml:space="preserve"> </w:t>
      </w:r>
      <w:r w:rsidR="001644A2" w:rsidRPr="006D455D">
        <w:rPr>
          <w:rFonts w:ascii="Arial" w:hAnsi="Arial" w:cs="Arial"/>
          <w:lang w:val="en-US"/>
        </w:rPr>
        <w:t>the greatest benefit for local population</w:t>
      </w:r>
      <w:r w:rsidR="00511FEA" w:rsidRPr="006D455D">
        <w:rPr>
          <w:rFonts w:ascii="Arial" w:hAnsi="Arial" w:cs="Arial"/>
          <w:lang w:val="en-US"/>
        </w:rPr>
        <w:t>s</w:t>
      </w:r>
      <w:r w:rsidR="001644A2" w:rsidRPr="006D455D">
        <w:rPr>
          <w:rFonts w:ascii="Arial" w:hAnsi="Arial" w:cs="Arial"/>
          <w:lang w:val="en-US"/>
        </w:rPr>
        <w:t>.</w:t>
      </w:r>
      <w:r w:rsidR="00850116">
        <w:rPr>
          <w:rFonts w:ascii="Arial" w:hAnsi="Arial" w:cs="Arial"/>
          <w:lang w:val="en-US"/>
        </w:rPr>
        <w:t xml:space="preserve"> </w:t>
      </w:r>
    </w:p>
    <w:p w14:paraId="68E8796D" w14:textId="77777777" w:rsidR="00166A8A" w:rsidRDefault="00166A8A" w:rsidP="00166A8A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F8EA5C0" w14:textId="3762EB45" w:rsidR="00717CCF" w:rsidRPr="008870A0" w:rsidRDefault="00717CCF" w:rsidP="00166A8A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  <w:r w:rsidRPr="008870A0">
        <w:rPr>
          <w:rFonts w:ascii="Arial" w:hAnsi="Arial" w:cs="Arial"/>
          <w:b/>
          <w:bCs/>
          <w:lang w:val="en-US"/>
        </w:rPr>
        <w:t>Competing interests</w:t>
      </w:r>
    </w:p>
    <w:p w14:paraId="27891B05" w14:textId="26CBEB7B" w:rsidR="000D7614" w:rsidRDefault="008E5B22" w:rsidP="00166A8A">
      <w:pPr>
        <w:spacing w:after="120" w:line="360" w:lineRule="auto"/>
        <w:rPr>
          <w:rFonts w:ascii="Arial" w:hAnsi="Arial" w:cs="Arial"/>
        </w:rPr>
      </w:pPr>
      <w:r w:rsidRPr="008870A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</w:t>
      </w:r>
      <w:r w:rsidRPr="008870A0">
        <w:rPr>
          <w:rFonts w:ascii="Arial" w:hAnsi="Arial" w:cs="Arial"/>
        </w:rPr>
        <w:t>orresp</w:t>
      </w:r>
      <w:r>
        <w:rPr>
          <w:rFonts w:ascii="Arial" w:hAnsi="Arial" w:cs="Arial"/>
        </w:rPr>
        <w:t>o</w:t>
      </w:r>
      <w:r w:rsidRPr="008870A0">
        <w:rPr>
          <w:rFonts w:ascii="Arial" w:hAnsi="Arial" w:cs="Arial"/>
        </w:rPr>
        <w:t>ndence is submitted by the 1</w:t>
      </w:r>
      <w:r w:rsidR="00A25CD5">
        <w:rPr>
          <w:rFonts w:ascii="Arial" w:hAnsi="Arial" w:cs="Arial"/>
        </w:rPr>
        <w:t>3</w:t>
      </w:r>
      <w:r w:rsidRPr="008870A0">
        <w:rPr>
          <w:rFonts w:ascii="Arial" w:hAnsi="Arial" w:cs="Arial"/>
        </w:rPr>
        <w:t xml:space="preserve"> members of the Executive Committee of the International Society for Plant Molecular Farming. One member</w:t>
      </w:r>
      <w:r w:rsidR="00466594" w:rsidRPr="00466594">
        <w:t xml:space="preserve"> </w:t>
      </w:r>
      <w:r w:rsidR="00466594">
        <w:t>(</w:t>
      </w:r>
      <w:r w:rsidR="00466594" w:rsidRPr="00466594">
        <w:rPr>
          <w:rFonts w:ascii="Arial" w:hAnsi="Arial" w:cs="Arial"/>
        </w:rPr>
        <w:t>Marc-André D'Aoust</w:t>
      </w:r>
      <w:r w:rsidR="0046659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870A0">
        <w:rPr>
          <w:rFonts w:ascii="Arial" w:hAnsi="Arial" w:cs="Arial"/>
        </w:rPr>
        <w:t xml:space="preserve">is an employee of Medicago Inc., </w:t>
      </w:r>
      <w:r w:rsidR="00CF08ED">
        <w:rPr>
          <w:rFonts w:ascii="Arial" w:hAnsi="Arial" w:cs="Arial"/>
        </w:rPr>
        <w:t>and one member</w:t>
      </w:r>
      <w:r w:rsidR="003D44AA">
        <w:rPr>
          <w:rFonts w:ascii="Arial" w:hAnsi="Arial" w:cs="Arial"/>
        </w:rPr>
        <w:t xml:space="preserve"> (Jennifer Stander)</w:t>
      </w:r>
      <w:r w:rsidR="00CF08ED">
        <w:rPr>
          <w:rFonts w:ascii="Arial" w:hAnsi="Arial" w:cs="Arial"/>
        </w:rPr>
        <w:t xml:space="preserve"> is an employee of Cape Bio Pharms, two</w:t>
      </w:r>
      <w:r w:rsidRPr="008870A0">
        <w:rPr>
          <w:rFonts w:ascii="Arial" w:hAnsi="Arial" w:cs="Arial"/>
        </w:rPr>
        <w:t xml:space="preserve"> compan</w:t>
      </w:r>
      <w:r w:rsidR="00CF08ED">
        <w:rPr>
          <w:rFonts w:ascii="Arial" w:hAnsi="Arial" w:cs="Arial"/>
        </w:rPr>
        <w:t>ies</w:t>
      </w:r>
      <w:r w:rsidRPr="008870A0">
        <w:rPr>
          <w:rFonts w:ascii="Arial" w:hAnsi="Arial" w:cs="Arial"/>
        </w:rPr>
        <w:t xml:space="preserve"> that </w:t>
      </w:r>
      <w:r w:rsidR="00CF08ED">
        <w:rPr>
          <w:rFonts w:ascii="Arial" w:hAnsi="Arial" w:cs="Arial"/>
        </w:rPr>
        <w:t>are</w:t>
      </w:r>
      <w:r w:rsidRPr="008870A0">
        <w:rPr>
          <w:rFonts w:ascii="Arial" w:hAnsi="Arial" w:cs="Arial"/>
        </w:rPr>
        <w:t xml:space="preserve"> discussed in the Correspondence</w:t>
      </w:r>
      <w:r>
        <w:rPr>
          <w:rFonts w:ascii="Arial" w:hAnsi="Arial" w:cs="Arial"/>
        </w:rPr>
        <w:t>.</w:t>
      </w:r>
      <w:r w:rsidRPr="008870A0" w:rsidDel="008E5B22">
        <w:rPr>
          <w:rFonts w:ascii="Arial" w:hAnsi="Arial" w:cs="Arial"/>
        </w:rPr>
        <w:t xml:space="preserve"> </w:t>
      </w:r>
    </w:p>
    <w:p w14:paraId="781586DA" w14:textId="77777777" w:rsidR="00E55626" w:rsidRDefault="00E55626" w:rsidP="00166A8A">
      <w:pPr>
        <w:spacing w:after="120" w:line="360" w:lineRule="auto"/>
      </w:pPr>
    </w:p>
    <w:p w14:paraId="788DB17B" w14:textId="7D017565" w:rsidR="00BD7C2A" w:rsidRDefault="00755CD5" w:rsidP="00201003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  <w:r w:rsidRPr="008870A0">
        <w:rPr>
          <w:rFonts w:ascii="Arial" w:hAnsi="Arial" w:cs="Arial"/>
          <w:b/>
          <w:bCs/>
          <w:lang w:val="en-US"/>
        </w:rPr>
        <w:t>References</w:t>
      </w:r>
    </w:p>
    <w:p w14:paraId="460A9F78" w14:textId="2F2E785F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  <w:lang w:val="fr-CA"/>
        </w:rPr>
        <w:t>Ma, J.K.C.</w:t>
      </w:r>
      <w:r w:rsidR="00E55626">
        <w:rPr>
          <w:rFonts w:ascii="Arial" w:hAnsi="Arial" w:cs="Arial"/>
          <w:sz w:val="22"/>
          <w:szCs w:val="22"/>
          <w:lang w:val="fr-CA"/>
        </w:rPr>
        <w:t xml:space="preserve"> et al</w:t>
      </w:r>
      <w:r w:rsidRPr="00E55626">
        <w:rPr>
          <w:rFonts w:ascii="Arial" w:hAnsi="Arial" w:cs="Arial"/>
          <w:sz w:val="22"/>
          <w:szCs w:val="22"/>
          <w:lang w:val="fr-CA"/>
        </w:rPr>
        <w:t xml:space="preserve">. </w:t>
      </w:r>
      <w:r w:rsidRPr="00E55626">
        <w:rPr>
          <w:rFonts w:ascii="Arial" w:hAnsi="Arial" w:cs="Arial"/>
          <w:i/>
          <w:sz w:val="22"/>
          <w:szCs w:val="22"/>
          <w:lang w:val="fr-CA"/>
        </w:rPr>
        <w:t xml:space="preserve">Nat. </w:t>
      </w:r>
      <w:r w:rsidRPr="00E55626">
        <w:rPr>
          <w:rFonts w:ascii="Arial" w:hAnsi="Arial" w:cs="Arial"/>
          <w:i/>
          <w:sz w:val="22"/>
          <w:szCs w:val="22"/>
        </w:rPr>
        <w:t>Rev. Genet.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4</w:t>
      </w:r>
      <w:r w:rsidRPr="00E55626">
        <w:rPr>
          <w:rFonts w:ascii="Arial" w:hAnsi="Arial" w:cs="Arial"/>
          <w:sz w:val="22"/>
          <w:szCs w:val="22"/>
        </w:rPr>
        <w:t>, 794–805 (2003).</w:t>
      </w:r>
    </w:p>
    <w:p w14:paraId="20949836" w14:textId="56C0389D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 xml:space="preserve">Tschofen, M. </w:t>
      </w:r>
      <w:r w:rsidR="00E55626">
        <w:rPr>
          <w:rFonts w:ascii="Arial" w:hAnsi="Arial" w:cs="Arial"/>
          <w:sz w:val="22"/>
          <w:szCs w:val="22"/>
        </w:rPr>
        <w:t>et al</w:t>
      </w:r>
      <w:r w:rsidRPr="00E55626">
        <w:rPr>
          <w:rFonts w:ascii="Arial" w:hAnsi="Arial" w:cs="Arial"/>
          <w:sz w:val="22"/>
          <w:szCs w:val="22"/>
        </w:rPr>
        <w:t xml:space="preserve">. </w:t>
      </w:r>
      <w:r w:rsidRPr="00E55626">
        <w:rPr>
          <w:rFonts w:ascii="Arial" w:hAnsi="Arial" w:cs="Arial"/>
          <w:i/>
          <w:sz w:val="22"/>
          <w:szCs w:val="22"/>
        </w:rPr>
        <w:t>Ann. Rev. Analyt. Chem.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9</w:t>
      </w:r>
      <w:r w:rsidRPr="00E55626">
        <w:rPr>
          <w:rFonts w:ascii="Arial" w:hAnsi="Arial" w:cs="Arial"/>
          <w:sz w:val="22"/>
          <w:szCs w:val="22"/>
        </w:rPr>
        <w:t>, 271–294 (2016).</w:t>
      </w:r>
    </w:p>
    <w:p w14:paraId="7FA00C61" w14:textId="76D73505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 xml:space="preserve">Mitsubishi Chemical Group. Overseas consolidated subsidiary, Medicago to cease operations (2023).  </w:t>
      </w:r>
      <w:hyperlink r:id="rId12" w:history="1">
        <w:r w:rsidRPr="00E55626">
          <w:rPr>
            <w:rStyle w:val="Hyperlink"/>
            <w:rFonts w:ascii="Arial" w:hAnsi="Arial" w:cs="Arial"/>
            <w:sz w:val="22"/>
            <w:szCs w:val="22"/>
          </w:rPr>
          <w:t>https://www.mcgc.com/english/news_release/pdf/01468/01708.pdf</w:t>
        </w:r>
      </w:hyperlink>
    </w:p>
    <w:p w14:paraId="3A07F15B" w14:textId="391A0AFC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 xml:space="preserve">Fischer, R. &amp; Buyel, J.F. </w:t>
      </w:r>
      <w:r w:rsidRPr="00E55626">
        <w:rPr>
          <w:rFonts w:ascii="Arial" w:hAnsi="Arial" w:cs="Arial"/>
          <w:i/>
          <w:sz w:val="22"/>
          <w:szCs w:val="22"/>
        </w:rPr>
        <w:t>Biotechnol. Adv.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40</w:t>
      </w:r>
      <w:r w:rsidRPr="00E55626">
        <w:rPr>
          <w:rFonts w:ascii="Arial" w:hAnsi="Arial" w:cs="Arial"/>
          <w:sz w:val="22"/>
          <w:szCs w:val="22"/>
        </w:rPr>
        <w:t>, 107519 (2020).</w:t>
      </w:r>
    </w:p>
    <w:p w14:paraId="5DC2FD4F" w14:textId="37243D4A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 xml:space="preserve">Mor, T.S. </w:t>
      </w:r>
      <w:r w:rsidRPr="00E55626">
        <w:rPr>
          <w:rFonts w:ascii="Arial" w:hAnsi="Arial" w:cs="Arial"/>
          <w:i/>
          <w:sz w:val="22"/>
          <w:szCs w:val="22"/>
        </w:rPr>
        <w:t>Biotechnol. Lett.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37</w:t>
      </w:r>
      <w:r w:rsidRPr="00E55626">
        <w:rPr>
          <w:rFonts w:ascii="Arial" w:hAnsi="Arial" w:cs="Arial"/>
          <w:sz w:val="22"/>
          <w:szCs w:val="22"/>
        </w:rPr>
        <w:t>, 2147–2150 (2015).</w:t>
      </w:r>
    </w:p>
    <w:p w14:paraId="1C7CA3F5" w14:textId="04500E43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 xml:space="preserve">ClinicalTrials.gov NCT04473690 (2020). </w:t>
      </w:r>
      <w:hyperlink r:id="rId13" w:history="1">
        <w:r w:rsidRPr="00E55626">
          <w:rPr>
            <w:rStyle w:val="Hyperlink"/>
            <w:rFonts w:ascii="Arial" w:hAnsi="Arial" w:cs="Arial"/>
            <w:sz w:val="22"/>
            <w:szCs w:val="22"/>
          </w:rPr>
          <w:t>https://clinicaltrials.gov/ct2/show/NCT04473690</w:t>
        </w:r>
      </w:hyperlink>
      <w:r w:rsidRPr="00E55626">
        <w:rPr>
          <w:rFonts w:ascii="Arial" w:hAnsi="Arial" w:cs="Arial"/>
          <w:sz w:val="22"/>
          <w:szCs w:val="22"/>
        </w:rPr>
        <w:t xml:space="preserve"> </w:t>
      </w:r>
    </w:p>
    <w:p w14:paraId="74AAA2D3" w14:textId="2748C7B6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E55626">
        <w:rPr>
          <w:rFonts w:ascii="Arial" w:hAnsi="Arial" w:cs="Arial"/>
          <w:sz w:val="22"/>
          <w:szCs w:val="22"/>
          <w:lang w:val="fr-FR"/>
        </w:rPr>
        <w:t xml:space="preserve">Leroux-Roels, I. et al. </w:t>
      </w:r>
      <w:r w:rsidRPr="00E55626">
        <w:rPr>
          <w:rFonts w:ascii="Arial" w:hAnsi="Arial" w:cs="Arial"/>
          <w:i/>
          <w:sz w:val="22"/>
          <w:szCs w:val="22"/>
          <w:lang w:val="fr-FR"/>
        </w:rPr>
        <w:t>Front. Immunol.</w:t>
      </w:r>
      <w:r w:rsidRPr="00E55626">
        <w:rPr>
          <w:rFonts w:ascii="Arial" w:hAnsi="Arial" w:cs="Arial"/>
          <w:sz w:val="22"/>
          <w:szCs w:val="22"/>
          <w:lang w:val="fr-FR"/>
        </w:rPr>
        <w:t xml:space="preserve"> </w:t>
      </w:r>
      <w:r w:rsidRPr="00E55626">
        <w:rPr>
          <w:rFonts w:ascii="Arial" w:hAnsi="Arial" w:cs="Arial"/>
          <w:b/>
          <w:sz w:val="22"/>
          <w:szCs w:val="22"/>
          <w:lang w:val="fr-FR"/>
        </w:rPr>
        <w:t>13</w:t>
      </w:r>
      <w:r w:rsidRPr="00E55626">
        <w:rPr>
          <w:rFonts w:ascii="Arial" w:hAnsi="Arial" w:cs="Arial"/>
          <w:sz w:val="22"/>
          <w:szCs w:val="22"/>
          <w:lang w:val="fr-FR"/>
        </w:rPr>
        <w:t>, 1021500 (2022).</w:t>
      </w:r>
    </w:p>
    <w:p w14:paraId="51357B07" w14:textId="41A80ADB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E55626">
        <w:rPr>
          <w:rFonts w:ascii="Arial" w:hAnsi="Arial" w:cs="Arial"/>
          <w:sz w:val="22"/>
          <w:szCs w:val="22"/>
          <w:lang w:val="fr-FR"/>
        </w:rPr>
        <w:t xml:space="preserve">ClinicalTrials.gov NCT05122260 (2021). </w:t>
      </w:r>
      <w:hyperlink r:id="rId14" w:history="1">
        <w:r w:rsidRPr="00E55626">
          <w:rPr>
            <w:rStyle w:val="Hyperlink"/>
            <w:rFonts w:ascii="Arial" w:hAnsi="Arial" w:cs="Arial"/>
            <w:sz w:val="22"/>
            <w:szCs w:val="22"/>
            <w:lang w:val="fr-FR"/>
          </w:rPr>
          <w:t>https://clinicaltrials.gov/ct2/show/NCT05122260</w:t>
        </w:r>
      </w:hyperlink>
      <w:r w:rsidRPr="00E5562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BBD977C" w14:textId="4BEA859E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  <w:lang w:val="de-DE"/>
        </w:rPr>
      </w:pPr>
      <w:r w:rsidRPr="00E55626">
        <w:rPr>
          <w:rFonts w:ascii="Arial" w:hAnsi="Arial" w:cs="Arial"/>
          <w:sz w:val="22"/>
          <w:szCs w:val="22"/>
          <w:lang w:val="fr-FR"/>
        </w:rPr>
        <w:t xml:space="preserve">Hennermann, J.B. et al. </w:t>
      </w:r>
      <w:r w:rsidRPr="00E55626">
        <w:rPr>
          <w:rFonts w:ascii="Arial" w:hAnsi="Arial" w:cs="Arial"/>
          <w:i/>
          <w:sz w:val="22"/>
          <w:szCs w:val="22"/>
          <w:lang w:val="de-DE"/>
        </w:rPr>
        <w:t>J. Inherit. Metab. Dis.</w:t>
      </w:r>
      <w:r w:rsidRPr="00E55626">
        <w:rPr>
          <w:rFonts w:ascii="Arial" w:hAnsi="Arial" w:cs="Arial"/>
          <w:sz w:val="22"/>
          <w:szCs w:val="22"/>
          <w:lang w:val="de-DE"/>
        </w:rPr>
        <w:t xml:space="preserve"> </w:t>
      </w:r>
      <w:r w:rsidRPr="00E55626">
        <w:rPr>
          <w:rFonts w:ascii="Arial" w:hAnsi="Arial" w:cs="Arial"/>
          <w:b/>
          <w:sz w:val="22"/>
          <w:szCs w:val="22"/>
          <w:lang w:val="de-DE"/>
        </w:rPr>
        <w:t>42</w:t>
      </w:r>
      <w:r w:rsidRPr="00E55626">
        <w:rPr>
          <w:rFonts w:ascii="Arial" w:hAnsi="Arial" w:cs="Arial"/>
          <w:sz w:val="22"/>
          <w:szCs w:val="22"/>
          <w:lang w:val="de-DE"/>
        </w:rPr>
        <w:t>, 527–533 (2019).</w:t>
      </w:r>
    </w:p>
    <w:p w14:paraId="03691EA8" w14:textId="2E226171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>Hiatt, A.H.</w:t>
      </w:r>
      <w:r w:rsidR="00E55626">
        <w:rPr>
          <w:rFonts w:ascii="Arial" w:hAnsi="Arial" w:cs="Arial"/>
          <w:sz w:val="22"/>
          <w:szCs w:val="22"/>
        </w:rPr>
        <w:t xml:space="preserve"> et al</w:t>
      </w:r>
      <w:r w:rsidRPr="00E55626">
        <w:rPr>
          <w:rFonts w:ascii="Arial" w:hAnsi="Arial" w:cs="Arial"/>
          <w:sz w:val="22"/>
          <w:szCs w:val="22"/>
        </w:rPr>
        <w:t xml:space="preserve">. </w:t>
      </w:r>
      <w:r w:rsidRPr="00E55626">
        <w:rPr>
          <w:rFonts w:ascii="Arial" w:hAnsi="Arial" w:cs="Arial"/>
          <w:i/>
          <w:sz w:val="22"/>
          <w:szCs w:val="22"/>
        </w:rPr>
        <w:t>Nature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342</w:t>
      </w:r>
      <w:r w:rsidRPr="00E55626">
        <w:rPr>
          <w:rFonts w:ascii="Arial" w:hAnsi="Arial" w:cs="Arial"/>
          <w:sz w:val="22"/>
          <w:szCs w:val="22"/>
        </w:rPr>
        <w:t>, 76–78 (1989).</w:t>
      </w:r>
    </w:p>
    <w:p w14:paraId="72C9C5C1" w14:textId="7800FB19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E55626">
        <w:rPr>
          <w:rFonts w:ascii="Arial" w:hAnsi="Arial" w:cs="Arial"/>
          <w:sz w:val="22"/>
          <w:szCs w:val="22"/>
          <w:lang w:val="fr-FR"/>
        </w:rPr>
        <w:t xml:space="preserve">Sijmons, P.C. et al. </w:t>
      </w:r>
      <w:r w:rsidRPr="00E55626">
        <w:rPr>
          <w:rFonts w:ascii="Arial" w:hAnsi="Arial" w:cs="Arial"/>
          <w:i/>
          <w:sz w:val="22"/>
          <w:szCs w:val="22"/>
          <w:lang w:val="fr-FR"/>
        </w:rPr>
        <w:t>Biotechnology (NY)</w:t>
      </w:r>
      <w:r w:rsidRPr="00E55626">
        <w:rPr>
          <w:rFonts w:ascii="Arial" w:hAnsi="Arial" w:cs="Arial"/>
          <w:sz w:val="22"/>
          <w:szCs w:val="22"/>
          <w:lang w:val="fr-FR"/>
        </w:rPr>
        <w:t xml:space="preserve"> </w:t>
      </w:r>
      <w:r w:rsidRPr="00E55626">
        <w:rPr>
          <w:rFonts w:ascii="Arial" w:hAnsi="Arial" w:cs="Arial"/>
          <w:b/>
          <w:sz w:val="22"/>
          <w:szCs w:val="22"/>
          <w:lang w:val="fr-FR"/>
        </w:rPr>
        <w:t>8</w:t>
      </w:r>
      <w:r w:rsidRPr="00E55626">
        <w:rPr>
          <w:rFonts w:ascii="Arial" w:hAnsi="Arial" w:cs="Arial"/>
          <w:sz w:val="22"/>
          <w:szCs w:val="22"/>
          <w:lang w:val="fr-FR"/>
        </w:rPr>
        <w:t>, 217–221 (1990).</w:t>
      </w:r>
    </w:p>
    <w:p w14:paraId="41B47C31" w14:textId="58ADE01F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  <w:lang w:val="fr-FR"/>
        </w:rPr>
        <w:t xml:space="preserve">Ma, J.K.C. et al. </w:t>
      </w:r>
      <w:r w:rsidRPr="00E55626">
        <w:rPr>
          <w:rFonts w:ascii="Arial" w:hAnsi="Arial" w:cs="Arial"/>
          <w:i/>
          <w:sz w:val="22"/>
          <w:szCs w:val="22"/>
        </w:rPr>
        <w:t>Plant Biotechnol. J.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13</w:t>
      </w:r>
      <w:r w:rsidRPr="00E55626">
        <w:rPr>
          <w:rFonts w:ascii="Arial" w:hAnsi="Arial" w:cs="Arial"/>
          <w:sz w:val="22"/>
          <w:szCs w:val="22"/>
        </w:rPr>
        <w:t>, 1106–1120 (2015).</w:t>
      </w:r>
    </w:p>
    <w:p w14:paraId="440D400A" w14:textId="217BF0C9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E55626">
        <w:rPr>
          <w:rFonts w:ascii="Arial" w:hAnsi="Arial" w:cs="Arial"/>
          <w:sz w:val="22"/>
          <w:szCs w:val="22"/>
        </w:rPr>
        <w:t xml:space="preserve">Sack, M. et al. </w:t>
      </w:r>
      <w:r w:rsidRPr="00E55626">
        <w:rPr>
          <w:rFonts w:ascii="Arial" w:hAnsi="Arial" w:cs="Arial"/>
          <w:i/>
          <w:sz w:val="22"/>
          <w:szCs w:val="22"/>
        </w:rPr>
        <w:t xml:space="preserve">Plant Biotechnol. </w:t>
      </w:r>
      <w:r w:rsidRPr="00E55626">
        <w:rPr>
          <w:rFonts w:ascii="Arial" w:hAnsi="Arial" w:cs="Arial"/>
          <w:i/>
          <w:sz w:val="22"/>
          <w:szCs w:val="22"/>
          <w:lang w:val="fr-FR"/>
        </w:rPr>
        <w:t>J.</w:t>
      </w:r>
      <w:r w:rsidRPr="00E55626">
        <w:rPr>
          <w:rFonts w:ascii="Arial" w:hAnsi="Arial" w:cs="Arial"/>
          <w:sz w:val="22"/>
          <w:szCs w:val="22"/>
          <w:lang w:val="fr-FR"/>
        </w:rPr>
        <w:t xml:space="preserve"> </w:t>
      </w:r>
      <w:r w:rsidRPr="00E55626">
        <w:rPr>
          <w:rFonts w:ascii="Arial" w:hAnsi="Arial" w:cs="Arial"/>
          <w:b/>
          <w:sz w:val="22"/>
          <w:szCs w:val="22"/>
          <w:lang w:val="fr-FR"/>
        </w:rPr>
        <w:t>13</w:t>
      </w:r>
      <w:r w:rsidRPr="00E55626">
        <w:rPr>
          <w:rFonts w:ascii="Arial" w:hAnsi="Arial" w:cs="Arial"/>
          <w:sz w:val="22"/>
          <w:szCs w:val="22"/>
          <w:lang w:val="fr-FR"/>
        </w:rPr>
        <w:t>, 1094–1105 (2015).</w:t>
      </w:r>
    </w:p>
    <w:p w14:paraId="4B5E8A1C" w14:textId="2AD11B99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E55626">
        <w:rPr>
          <w:rFonts w:ascii="Arial" w:hAnsi="Arial" w:cs="Arial"/>
          <w:sz w:val="22"/>
          <w:szCs w:val="22"/>
          <w:lang w:val="fr-FR"/>
        </w:rPr>
        <w:t xml:space="preserve">Nandi, S. et al. </w:t>
      </w:r>
      <w:r w:rsidRPr="00E55626">
        <w:rPr>
          <w:rFonts w:ascii="Arial" w:hAnsi="Arial" w:cs="Arial"/>
          <w:i/>
          <w:sz w:val="22"/>
          <w:szCs w:val="22"/>
          <w:lang w:val="fr-FR"/>
        </w:rPr>
        <w:t>MAbs</w:t>
      </w:r>
      <w:r w:rsidRPr="00E55626">
        <w:rPr>
          <w:rFonts w:ascii="Arial" w:hAnsi="Arial" w:cs="Arial"/>
          <w:sz w:val="22"/>
          <w:szCs w:val="22"/>
          <w:lang w:val="fr-FR"/>
        </w:rPr>
        <w:t xml:space="preserve"> </w:t>
      </w:r>
      <w:r w:rsidRPr="00E55626">
        <w:rPr>
          <w:rFonts w:ascii="Arial" w:hAnsi="Arial" w:cs="Arial"/>
          <w:b/>
          <w:sz w:val="22"/>
          <w:szCs w:val="22"/>
          <w:lang w:val="fr-FR"/>
        </w:rPr>
        <w:t>8</w:t>
      </w:r>
      <w:r w:rsidRPr="00E55626">
        <w:rPr>
          <w:rFonts w:ascii="Arial" w:hAnsi="Arial" w:cs="Arial"/>
          <w:sz w:val="22"/>
          <w:szCs w:val="22"/>
          <w:lang w:val="fr-FR"/>
        </w:rPr>
        <w:t>, 1456–1466 (2016).</w:t>
      </w:r>
    </w:p>
    <w:p w14:paraId="04E54325" w14:textId="331C887C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  <w:lang w:val="fr-FR"/>
        </w:rPr>
        <w:t xml:space="preserve">Tusé, D. et al. </w:t>
      </w:r>
      <w:r w:rsidRPr="00E55626">
        <w:rPr>
          <w:rFonts w:ascii="Arial" w:hAnsi="Arial" w:cs="Arial"/>
          <w:i/>
          <w:sz w:val="22"/>
          <w:szCs w:val="22"/>
        </w:rPr>
        <w:t>Biomed. Res. Int.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2014</w:t>
      </w:r>
      <w:r w:rsidRPr="00E55626">
        <w:rPr>
          <w:rFonts w:ascii="Arial" w:hAnsi="Arial" w:cs="Arial"/>
          <w:sz w:val="22"/>
          <w:szCs w:val="22"/>
        </w:rPr>
        <w:t>, 256135 (2014).</w:t>
      </w:r>
    </w:p>
    <w:p w14:paraId="6A4D964A" w14:textId="49BF7402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>Buyel, J.F.</w:t>
      </w:r>
      <w:r w:rsidR="00E55626">
        <w:rPr>
          <w:rFonts w:ascii="Arial" w:hAnsi="Arial" w:cs="Arial"/>
          <w:sz w:val="22"/>
          <w:szCs w:val="22"/>
        </w:rPr>
        <w:t xml:space="preserve"> et al</w:t>
      </w:r>
      <w:r w:rsidRPr="00E55626">
        <w:rPr>
          <w:rFonts w:ascii="Arial" w:hAnsi="Arial" w:cs="Arial"/>
          <w:sz w:val="22"/>
          <w:szCs w:val="22"/>
        </w:rPr>
        <w:t xml:space="preserve">. </w:t>
      </w:r>
      <w:r w:rsidRPr="00E55626">
        <w:rPr>
          <w:rFonts w:ascii="Arial" w:hAnsi="Arial" w:cs="Arial"/>
          <w:i/>
          <w:sz w:val="22"/>
          <w:szCs w:val="22"/>
        </w:rPr>
        <w:t>Biotechnol. Adv.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33</w:t>
      </w:r>
      <w:r w:rsidRPr="00E55626">
        <w:rPr>
          <w:rFonts w:ascii="Arial" w:hAnsi="Arial" w:cs="Arial"/>
          <w:sz w:val="22"/>
          <w:szCs w:val="22"/>
        </w:rPr>
        <w:t>, 902–913 (2015).</w:t>
      </w:r>
    </w:p>
    <w:p w14:paraId="3D8B8966" w14:textId="50D245FF" w:rsidR="00EF4E60" w:rsidRPr="00E55626" w:rsidRDefault="00EF4E60" w:rsidP="00EF4E60">
      <w:pPr>
        <w:pStyle w:val="Endnote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5626">
        <w:rPr>
          <w:rFonts w:ascii="Arial" w:hAnsi="Arial" w:cs="Arial"/>
          <w:sz w:val="22"/>
          <w:szCs w:val="22"/>
        </w:rPr>
        <w:t>Buyel, J.F.</w:t>
      </w:r>
      <w:r w:rsidR="00E55626">
        <w:rPr>
          <w:rFonts w:ascii="Arial" w:hAnsi="Arial" w:cs="Arial"/>
          <w:sz w:val="22"/>
          <w:szCs w:val="22"/>
        </w:rPr>
        <w:t xml:space="preserve"> et al</w:t>
      </w:r>
      <w:r w:rsidRPr="00E55626">
        <w:rPr>
          <w:rFonts w:ascii="Arial" w:hAnsi="Arial" w:cs="Arial"/>
          <w:sz w:val="22"/>
          <w:szCs w:val="22"/>
        </w:rPr>
        <w:t xml:space="preserve">. </w:t>
      </w:r>
      <w:r w:rsidRPr="00E55626">
        <w:rPr>
          <w:rFonts w:ascii="Arial" w:hAnsi="Arial" w:cs="Arial"/>
          <w:i/>
          <w:sz w:val="22"/>
          <w:szCs w:val="22"/>
        </w:rPr>
        <w:t>Biotechnol. Adv.</w:t>
      </w:r>
      <w:r w:rsidRPr="00E55626">
        <w:rPr>
          <w:rFonts w:ascii="Arial" w:hAnsi="Arial" w:cs="Arial"/>
          <w:sz w:val="22"/>
          <w:szCs w:val="22"/>
        </w:rPr>
        <w:t xml:space="preserve"> </w:t>
      </w:r>
      <w:r w:rsidRPr="00E55626">
        <w:rPr>
          <w:rFonts w:ascii="Arial" w:hAnsi="Arial" w:cs="Arial"/>
          <w:b/>
          <w:sz w:val="22"/>
          <w:szCs w:val="22"/>
        </w:rPr>
        <w:t>35</w:t>
      </w:r>
      <w:r w:rsidRPr="00E55626">
        <w:rPr>
          <w:rFonts w:ascii="Arial" w:hAnsi="Arial" w:cs="Arial"/>
          <w:sz w:val="22"/>
          <w:szCs w:val="22"/>
        </w:rPr>
        <w:t>, 458–665 (2017).</w:t>
      </w:r>
    </w:p>
    <w:p w14:paraId="11F45F01" w14:textId="77777777" w:rsidR="00EF4E60" w:rsidRPr="00E55626" w:rsidRDefault="00EF4E60">
      <w:pPr>
        <w:rPr>
          <w:rFonts w:ascii="Arial" w:hAnsi="Arial" w:cs="Arial"/>
        </w:rPr>
      </w:pPr>
      <w:r w:rsidRPr="00E55626">
        <w:rPr>
          <w:rFonts w:ascii="Arial" w:hAnsi="Arial" w:cs="Arial"/>
          <w:sz w:val="24"/>
          <w:szCs w:val="24"/>
        </w:rPr>
        <w:br w:type="page"/>
      </w:r>
    </w:p>
    <w:p w14:paraId="13623F2C" w14:textId="77777777" w:rsidR="00EF4E60" w:rsidRDefault="00EF4E60" w:rsidP="00EF4E60">
      <w:pPr>
        <w:pStyle w:val="EndnoteText"/>
      </w:pPr>
    </w:p>
    <w:p w14:paraId="2D58E309" w14:textId="77777777" w:rsidR="00EF4E60" w:rsidRDefault="00EF4E60" w:rsidP="00201003">
      <w:pPr>
        <w:spacing w:after="120" w:line="360" w:lineRule="auto"/>
        <w:jc w:val="both"/>
        <w:rPr>
          <w:rFonts w:ascii="Arial" w:hAnsi="Arial" w:cs="Arial"/>
          <w:b/>
          <w:bCs/>
          <w:lang w:val="en-US"/>
        </w:rPr>
      </w:pPr>
    </w:p>
    <w:sectPr w:rsidR="00EF4E60" w:rsidSect="00442C70">
      <w:endnotePr>
        <w:numFmt w:val="decimal"/>
      </w:endnotePr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B652" w14:textId="77777777" w:rsidR="00511B21" w:rsidRDefault="00511B21" w:rsidP="00557DCD">
      <w:pPr>
        <w:spacing w:after="0" w:line="240" w:lineRule="auto"/>
      </w:pPr>
      <w:r>
        <w:separator/>
      </w:r>
    </w:p>
  </w:endnote>
  <w:endnote w:type="continuationSeparator" w:id="0">
    <w:p w14:paraId="24C28C1D" w14:textId="77777777" w:rsidR="00511B21" w:rsidRDefault="00511B21" w:rsidP="00557DCD">
      <w:pPr>
        <w:spacing w:after="0" w:line="240" w:lineRule="auto"/>
      </w:pPr>
      <w:r>
        <w:continuationSeparator/>
      </w:r>
    </w:p>
  </w:endnote>
  <w:endnote w:id="1">
    <w:p w14:paraId="5C5DD130" w14:textId="0EF8E0DE" w:rsidR="00557DCD" w:rsidRDefault="00557DCD" w:rsidP="00557DCD">
      <w:pPr>
        <w:pStyle w:val="EndnoteText"/>
      </w:pPr>
      <w:r>
        <w:rPr>
          <w:rStyle w:val="EndnoteReference"/>
        </w:rPr>
        <w:endnoteRef/>
      </w:r>
      <w:r w:rsidRPr="00186F4B">
        <w:rPr>
          <w:lang w:val="fr-CA"/>
        </w:rPr>
        <w:t xml:space="preserve"> Ma, J.K.C., Drake, P.M.W. &amp; Christou, P. </w:t>
      </w:r>
      <w:r w:rsidRPr="00186F4B">
        <w:rPr>
          <w:i/>
          <w:lang w:val="fr-CA"/>
        </w:rPr>
        <w:t xml:space="preserve">Nat. </w:t>
      </w:r>
      <w:r w:rsidRPr="007C05DF">
        <w:rPr>
          <w:i/>
        </w:rPr>
        <w:t>Rev. Genet.</w:t>
      </w:r>
      <w:r>
        <w:t xml:space="preserve"> </w:t>
      </w:r>
      <w:r w:rsidRPr="007C05DF">
        <w:rPr>
          <w:b/>
        </w:rPr>
        <w:t>4</w:t>
      </w:r>
      <w:r>
        <w:t>, 794–805 (2003).</w:t>
      </w:r>
    </w:p>
  </w:endnote>
  <w:endnote w:id="2">
    <w:p w14:paraId="3DFF96C7" w14:textId="0EDEA8A8" w:rsidR="00557DCD" w:rsidRDefault="00557DCD">
      <w:pPr>
        <w:pStyle w:val="EndnoteText"/>
      </w:pPr>
      <w:r>
        <w:rPr>
          <w:rStyle w:val="EndnoteReference"/>
        </w:rPr>
        <w:endnoteRef/>
      </w:r>
      <w:r>
        <w:t xml:space="preserve"> Tschofen, M., Knopp, D., Hood, E.E. &amp; Stoger, E. </w:t>
      </w:r>
      <w:r w:rsidRPr="006B6527">
        <w:rPr>
          <w:i/>
        </w:rPr>
        <w:t>Ann. Rev. Analyt. Chem.</w:t>
      </w:r>
      <w:r>
        <w:t xml:space="preserve"> </w:t>
      </w:r>
      <w:r w:rsidRPr="006B6527">
        <w:rPr>
          <w:b/>
        </w:rPr>
        <w:t>9</w:t>
      </w:r>
      <w:r>
        <w:t>, 271–294 (2016).</w:t>
      </w:r>
    </w:p>
  </w:endnote>
  <w:endnote w:id="3">
    <w:p w14:paraId="5010F0F3" w14:textId="6286F65A" w:rsidR="00557DCD" w:rsidRDefault="00557DC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57DCD">
        <w:t>Mitsubishi Chemical Group</w:t>
      </w:r>
      <w:r>
        <w:t xml:space="preserve">. </w:t>
      </w:r>
      <w:r w:rsidRPr="00557DCD">
        <w:t xml:space="preserve">Overseas consolidated subsidiary, </w:t>
      </w:r>
      <w:r>
        <w:t>M</w:t>
      </w:r>
      <w:r w:rsidRPr="00557DCD">
        <w:t>edicago to cease operations</w:t>
      </w:r>
      <w:r w:rsidR="002D2160">
        <w:t xml:space="preserve"> (2023)</w:t>
      </w:r>
      <w:r>
        <w:t xml:space="preserve">.  </w:t>
      </w:r>
      <w:hyperlink r:id="rId1" w:history="1">
        <w:r w:rsidR="002D2160" w:rsidRPr="006226BC">
          <w:rPr>
            <w:rStyle w:val="Hyperlink"/>
          </w:rPr>
          <w:t>https://www.mcgc.com/english/news_release/pdf/01468/01708.pdf</w:t>
        </w:r>
      </w:hyperlink>
    </w:p>
  </w:endnote>
  <w:endnote w:id="4">
    <w:p w14:paraId="11FC0624" w14:textId="2F4F0F8C" w:rsidR="00557DCD" w:rsidRDefault="00557DC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57DCD">
        <w:t>Fischer</w:t>
      </w:r>
      <w:r>
        <w:t>,</w:t>
      </w:r>
      <w:r w:rsidRPr="00557DCD">
        <w:t xml:space="preserve"> R</w:t>
      </w:r>
      <w:r>
        <w:t>. &amp;</w:t>
      </w:r>
      <w:r w:rsidRPr="00557DCD">
        <w:t xml:space="preserve"> Buyel</w:t>
      </w:r>
      <w:r>
        <w:t>,</w:t>
      </w:r>
      <w:r w:rsidRPr="00557DCD">
        <w:t xml:space="preserve"> J</w:t>
      </w:r>
      <w:r>
        <w:t>.</w:t>
      </w:r>
      <w:r w:rsidRPr="00557DCD">
        <w:t>F</w:t>
      </w:r>
      <w:r>
        <w:t>.</w:t>
      </w:r>
      <w:r w:rsidRPr="00557DCD">
        <w:t xml:space="preserve"> </w:t>
      </w:r>
      <w:r w:rsidRPr="007C05DF">
        <w:rPr>
          <w:i/>
        </w:rPr>
        <w:t>Biotechnol. Adv.</w:t>
      </w:r>
      <w:r w:rsidRPr="00557DCD">
        <w:t xml:space="preserve"> </w:t>
      </w:r>
      <w:r w:rsidRPr="007C05DF">
        <w:rPr>
          <w:b/>
        </w:rPr>
        <w:t>40</w:t>
      </w:r>
      <w:r w:rsidRPr="00557DCD">
        <w:t>, 107519</w:t>
      </w:r>
      <w:r>
        <w:t xml:space="preserve"> (2020).</w:t>
      </w:r>
    </w:p>
  </w:endnote>
  <w:endnote w:id="5">
    <w:p w14:paraId="52FE2C56" w14:textId="2ACBB503" w:rsidR="002D2160" w:rsidRDefault="002D2160" w:rsidP="002D2160">
      <w:pPr>
        <w:pStyle w:val="EndnoteText"/>
      </w:pPr>
      <w:r>
        <w:rPr>
          <w:rStyle w:val="EndnoteReference"/>
        </w:rPr>
        <w:endnoteRef/>
      </w:r>
      <w:r>
        <w:t xml:space="preserve"> Mor, T.S. </w:t>
      </w:r>
      <w:r w:rsidRPr="007C05DF">
        <w:rPr>
          <w:i/>
        </w:rPr>
        <w:t>Biotechnol. Lett.</w:t>
      </w:r>
      <w:r>
        <w:t xml:space="preserve"> </w:t>
      </w:r>
      <w:r w:rsidRPr="007C05DF">
        <w:rPr>
          <w:b/>
        </w:rPr>
        <w:t>37</w:t>
      </w:r>
      <w:r>
        <w:t>, 2147–2150 (2015).</w:t>
      </w:r>
    </w:p>
  </w:endnote>
  <w:endnote w:id="6">
    <w:p w14:paraId="2EF26DAC" w14:textId="73A448EE" w:rsidR="002D2160" w:rsidRDefault="002D2160">
      <w:pPr>
        <w:pStyle w:val="EndnoteText"/>
      </w:pPr>
      <w:r>
        <w:rPr>
          <w:rStyle w:val="EndnoteReference"/>
        </w:rPr>
        <w:endnoteRef/>
      </w:r>
      <w:r>
        <w:t xml:space="preserve"> ClinicalTrials.gov </w:t>
      </w:r>
      <w:r w:rsidRPr="002D2160">
        <w:t>NCT04473690</w:t>
      </w:r>
      <w:r>
        <w:t xml:space="preserve"> (2020). </w:t>
      </w:r>
      <w:hyperlink r:id="rId2" w:history="1">
        <w:r w:rsidR="007C05DF" w:rsidRPr="006226BC">
          <w:rPr>
            <w:rStyle w:val="Hyperlink"/>
          </w:rPr>
          <w:t>https://clinicaltrials.gov/ct2/show/NCT04473690</w:t>
        </w:r>
      </w:hyperlink>
      <w:r w:rsidR="007C05DF">
        <w:t xml:space="preserve"> </w:t>
      </w:r>
    </w:p>
  </w:endnote>
  <w:endnote w:id="7">
    <w:p w14:paraId="1F4241A1" w14:textId="3710841C" w:rsidR="002D2160" w:rsidRPr="002C157D" w:rsidRDefault="002D2160">
      <w:pPr>
        <w:pStyle w:val="EndnoteText"/>
        <w:rPr>
          <w:lang w:val="fr-FR"/>
        </w:rPr>
      </w:pPr>
      <w:r>
        <w:rPr>
          <w:rStyle w:val="EndnoteReference"/>
        </w:rPr>
        <w:endnoteRef/>
      </w:r>
      <w:r w:rsidRPr="002C157D">
        <w:rPr>
          <w:lang w:val="fr-FR"/>
        </w:rPr>
        <w:t xml:space="preserve"> </w:t>
      </w:r>
      <w:r w:rsidR="00FF1891" w:rsidRPr="002C157D">
        <w:rPr>
          <w:lang w:val="fr-FR"/>
        </w:rPr>
        <w:t>Leroux-Roels, I., et al.</w:t>
      </w:r>
      <w:r w:rsidRPr="002C157D">
        <w:rPr>
          <w:lang w:val="fr-FR"/>
        </w:rPr>
        <w:t xml:space="preserve"> </w:t>
      </w:r>
      <w:r w:rsidRPr="002C157D">
        <w:rPr>
          <w:i/>
          <w:lang w:val="fr-FR"/>
        </w:rPr>
        <w:t>Front. Immunol.</w:t>
      </w:r>
      <w:r w:rsidRPr="002C157D">
        <w:rPr>
          <w:lang w:val="fr-FR"/>
        </w:rPr>
        <w:t xml:space="preserve"> </w:t>
      </w:r>
      <w:r w:rsidRPr="002C157D">
        <w:rPr>
          <w:b/>
          <w:lang w:val="fr-FR"/>
        </w:rPr>
        <w:t>13</w:t>
      </w:r>
      <w:r w:rsidRPr="002C157D">
        <w:rPr>
          <w:lang w:val="fr-FR"/>
        </w:rPr>
        <w:t>, 1021500 (2022).</w:t>
      </w:r>
    </w:p>
  </w:endnote>
  <w:endnote w:id="8">
    <w:p w14:paraId="7FAE36C2" w14:textId="36538BE4" w:rsidR="00DF1419" w:rsidRPr="002C157D" w:rsidRDefault="00DF1419">
      <w:pPr>
        <w:pStyle w:val="EndnoteText"/>
        <w:rPr>
          <w:lang w:val="fr-FR"/>
        </w:rPr>
      </w:pPr>
      <w:r>
        <w:rPr>
          <w:rStyle w:val="EndnoteReference"/>
        </w:rPr>
        <w:endnoteRef/>
      </w:r>
      <w:r w:rsidRPr="002C157D">
        <w:rPr>
          <w:lang w:val="fr-FR"/>
        </w:rPr>
        <w:t xml:space="preserve"> ClinicalTrials.gov NCT05122260</w:t>
      </w:r>
      <w:r w:rsidR="00FF1891" w:rsidRPr="002C157D">
        <w:rPr>
          <w:lang w:val="fr-FR"/>
        </w:rPr>
        <w:t xml:space="preserve"> (2021). </w:t>
      </w:r>
      <w:hyperlink r:id="rId3" w:history="1">
        <w:r w:rsidR="007C05DF" w:rsidRPr="002C157D">
          <w:rPr>
            <w:rStyle w:val="Hyperlink"/>
            <w:lang w:val="fr-FR"/>
          </w:rPr>
          <w:t>https://clinicaltrials.gov/ct2/show/NCT05122260</w:t>
        </w:r>
      </w:hyperlink>
      <w:r w:rsidR="007C05DF" w:rsidRPr="002C157D">
        <w:rPr>
          <w:lang w:val="fr-FR"/>
        </w:rPr>
        <w:t xml:space="preserve"> </w:t>
      </w:r>
    </w:p>
  </w:endnote>
  <w:endnote w:id="9">
    <w:p w14:paraId="2C320825" w14:textId="17E893E9" w:rsidR="00FF1891" w:rsidRPr="00186F4B" w:rsidRDefault="00FF1891">
      <w:pPr>
        <w:pStyle w:val="EndnoteText"/>
        <w:rPr>
          <w:lang w:val="de-DE"/>
        </w:rPr>
      </w:pPr>
      <w:r>
        <w:rPr>
          <w:rStyle w:val="EndnoteReference"/>
        </w:rPr>
        <w:endnoteRef/>
      </w:r>
      <w:r w:rsidRPr="002C157D">
        <w:rPr>
          <w:lang w:val="fr-FR"/>
        </w:rPr>
        <w:t xml:space="preserve"> Hennermann, J.B. et al. </w:t>
      </w:r>
      <w:r w:rsidRPr="00186F4B">
        <w:rPr>
          <w:i/>
          <w:lang w:val="de-DE"/>
        </w:rPr>
        <w:t>J. Inherit. Metab. Dis.</w:t>
      </w:r>
      <w:r w:rsidRPr="00186F4B">
        <w:rPr>
          <w:lang w:val="de-DE"/>
        </w:rPr>
        <w:t xml:space="preserve"> </w:t>
      </w:r>
      <w:r w:rsidRPr="00186F4B">
        <w:rPr>
          <w:b/>
          <w:lang w:val="de-DE"/>
        </w:rPr>
        <w:t>42</w:t>
      </w:r>
      <w:r w:rsidRPr="00186F4B">
        <w:rPr>
          <w:lang w:val="de-DE"/>
        </w:rPr>
        <w:t>, 527–533 (2019).</w:t>
      </w:r>
    </w:p>
  </w:endnote>
  <w:endnote w:id="10">
    <w:p w14:paraId="36DA2656" w14:textId="785D74F8" w:rsidR="00FF1891" w:rsidRDefault="00FF1891" w:rsidP="00FF1891">
      <w:pPr>
        <w:pStyle w:val="EndnoteText"/>
      </w:pPr>
      <w:r>
        <w:rPr>
          <w:rStyle w:val="EndnoteReference"/>
        </w:rPr>
        <w:endnoteRef/>
      </w:r>
      <w:r>
        <w:t xml:space="preserve"> Hiatt, A.H., Caffertey, R. &amp; Bowdish, K. </w:t>
      </w:r>
      <w:r w:rsidRPr="007C05DF">
        <w:rPr>
          <w:i/>
        </w:rPr>
        <w:t>Nature</w:t>
      </w:r>
      <w:r>
        <w:t xml:space="preserve"> </w:t>
      </w:r>
      <w:r w:rsidRPr="007C05DF">
        <w:rPr>
          <w:b/>
        </w:rPr>
        <w:t>342</w:t>
      </w:r>
      <w:r>
        <w:t>, 76–78 (1989).</w:t>
      </w:r>
    </w:p>
  </w:endnote>
  <w:endnote w:id="11">
    <w:p w14:paraId="554FF19F" w14:textId="2CDE0B87" w:rsidR="00FF1891" w:rsidRPr="002C157D" w:rsidRDefault="00FF1891" w:rsidP="00FF1891">
      <w:pPr>
        <w:pStyle w:val="EndnoteText"/>
        <w:rPr>
          <w:lang w:val="fr-FR"/>
        </w:rPr>
      </w:pPr>
      <w:r>
        <w:rPr>
          <w:rStyle w:val="EndnoteReference"/>
        </w:rPr>
        <w:endnoteRef/>
      </w:r>
      <w:r w:rsidRPr="002C157D">
        <w:rPr>
          <w:lang w:val="fr-FR"/>
        </w:rPr>
        <w:t xml:space="preserve"> Sijmons, P.C., et al. </w:t>
      </w:r>
      <w:r w:rsidRPr="002C157D">
        <w:rPr>
          <w:i/>
          <w:lang w:val="fr-FR"/>
        </w:rPr>
        <w:t>Biotechnology (NY)</w:t>
      </w:r>
      <w:r w:rsidRPr="002C157D">
        <w:rPr>
          <w:lang w:val="fr-FR"/>
        </w:rPr>
        <w:t xml:space="preserve"> </w:t>
      </w:r>
      <w:r w:rsidRPr="002C157D">
        <w:rPr>
          <w:b/>
          <w:lang w:val="fr-FR"/>
        </w:rPr>
        <w:t>8</w:t>
      </w:r>
      <w:r w:rsidRPr="002C157D">
        <w:rPr>
          <w:lang w:val="fr-FR"/>
        </w:rPr>
        <w:t>, 217–221 (1990).</w:t>
      </w:r>
    </w:p>
  </w:endnote>
  <w:endnote w:id="12">
    <w:p w14:paraId="7B8ADC30" w14:textId="5A8BDEEC" w:rsidR="007C05DF" w:rsidRDefault="007C05DF" w:rsidP="007C05DF">
      <w:pPr>
        <w:pStyle w:val="EndnoteText"/>
      </w:pPr>
      <w:r>
        <w:rPr>
          <w:rStyle w:val="EndnoteReference"/>
        </w:rPr>
        <w:endnoteRef/>
      </w:r>
      <w:r w:rsidRPr="002C157D">
        <w:rPr>
          <w:lang w:val="fr-FR"/>
        </w:rPr>
        <w:t xml:space="preserve"> Ma, J.K.C., et al. </w:t>
      </w:r>
      <w:r w:rsidRPr="007C05DF">
        <w:rPr>
          <w:i/>
        </w:rPr>
        <w:t>Plant Biotechnol. J.</w:t>
      </w:r>
      <w:r>
        <w:t xml:space="preserve"> </w:t>
      </w:r>
      <w:r w:rsidRPr="007C05DF">
        <w:rPr>
          <w:b/>
        </w:rPr>
        <w:t>13</w:t>
      </w:r>
      <w:r>
        <w:t>, 1106–1120 (2015).</w:t>
      </w:r>
    </w:p>
  </w:endnote>
  <w:endnote w:id="13">
    <w:p w14:paraId="44E63A87" w14:textId="2DBE6807" w:rsidR="007C05DF" w:rsidRPr="002C157D" w:rsidRDefault="007C05DF" w:rsidP="007C05DF">
      <w:pPr>
        <w:pStyle w:val="EndnoteText"/>
        <w:rPr>
          <w:lang w:val="fr-FR"/>
        </w:rPr>
      </w:pPr>
      <w:r>
        <w:rPr>
          <w:rStyle w:val="EndnoteReference"/>
        </w:rPr>
        <w:endnoteRef/>
      </w:r>
      <w:r>
        <w:t xml:space="preserve"> Sack, M., et al. </w:t>
      </w:r>
      <w:r w:rsidRPr="007C05DF">
        <w:rPr>
          <w:i/>
        </w:rPr>
        <w:t xml:space="preserve">Plant Biotechnol. </w:t>
      </w:r>
      <w:r w:rsidRPr="002C157D">
        <w:rPr>
          <w:i/>
          <w:lang w:val="fr-FR"/>
        </w:rPr>
        <w:t>J.</w:t>
      </w:r>
      <w:r w:rsidRPr="002C157D">
        <w:rPr>
          <w:lang w:val="fr-FR"/>
        </w:rPr>
        <w:t xml:space="preserve"> </w:t>
      </w:r>
      <w:r w:rsidRPr="002C157D">
        <w:rPr>
          <w:b/>
          <w:lang w:val="fr-FR"/>
        </w:rPr>
        <w:t>13</w:t>
      </w:r>
      <w:r w:rsidRPr="002C157D">
        <w:rPr>
          <w:lang w:val="fr-FR"/>
        </w:rPr>
        <w:t>, 1094–1105 (2015).</w:t>
      </w:r>
    </w:p>
  </w:endnote>
  <w:endnote w:id="14">
    <w:p w14:paraId="7C1BC29B" w14:textId="58E108FF" w:rsidR="007C05DF" w:rsidRPr="002C157D" w:rsidRDefault="007C05DF" w:rsidP="007C05DF">
      <w:pPr>
        <w:pStyle w:val="EndnoteText"/>
        <w:rPr>
          <w:lang w:val="fr-FR"/>
        </w:rPr>
      </w:pPr>
      <w:r>
        <w:rPr>
          <w:rStyle w:val="EndnoteReference"/>
        </w:rPr>
        <w:endnoteRef/>
      </w:r>
      <w:r w:rsidRPr="002C157D">
        <w:rPr>
          <w:lang w:val="fr-FR"/>
        </w:rPr>
        <w:t xml:space="preserve"> Nandi, S., et al. </w:t>
      </w:r>
      <w:r w:rsidRPr="002C157D">
        <w:rPr>
          <w:i/>
          <w:lang w:val="fr-FR"/>
        </w:rPr>
        <w:t>MAbs</w:t>
      </w:r>
      <w:r w:rsidRPr="002C157D">
        <w:rPr>
          <w:lang w:val="fr-FR"/>
        </w:rPr>
        <w:t xml:space="preserve"> </w:t>
      </w:r>
      <w:r w:rsidRPr="002C157D">
        <w:rPr>
          <w:b/>
          <w:lang w:val="fr-FR"/>
        </w:rPr>
        <w:t>8</w:t>
      </w:r>
      <w:r w:rsidRPr="002C157D">
        <w:rPr>
          <w:lang w:val="fr-FR"/>
        </w:rPr>
        <w:t>, 1456–1466 (2016).</w:t>
      </w:r>
    </w:p>
  </w:endnote>
  <w:endnote w:id="15">
    <w:p w14:paraId="096A0BE0" w14:textId="09CF07D0" w:rsidR="007C05DF" w:rsidRDefault="007C05DF" w:rsidP="007C05DF">
      <w:pPr>
        <w:pStyle w:val="EndnoteText"/>
      </w:pPr>
      <w:r>
        <w:rPr>
          <w:rStyle w:val="EndnoteReference"/>
        </w:rPr>
        <w:endnoteRef/>
      </w:r>
      <w:r w:rsidRPr="002C157D">
        <w:rPr>
          <w:lang w:val="fr-FR"/>
        </w:rPr>
        <w:t xml:space="preserve"> Tusé, D., et al. </w:t>
      </w:r>
      <w:r w:rsidRPr="007C05DF">
        <w:rPr>
          <w:i/>
        </w:rPr>
        <w:t>Biomed. Res. Int.</w:t>
      </w:r>
      <w:r>
        <w:t xml:space="preserve"> </w:t>
      </w:r>
      <w:r w:rsidRPr="007C05DF">
        <w:rPr>
          <w:b/>
        </w:rPr>
        <w:t>2014</w:t>
      </w:r>
      <w:r>
        <w:t>, 256135 (2014).</w:t>
      </w:r>
    </w:p>
  </w:endnote>
  <w:endnote w:id="16">
    <w:p w14:paraId="458A7908" w14:textId="2C54CF7C" w:rsidR="007C05DF" w:rsidRDefault="007C05DF" w:rsidP="007C05DF">
      <w:pPr>
        <w:pStyle w:val="EndnoteText"/>
      </w:pPr>
      <w:r>
        <w:rPr>
          <w:rStyle w:val="EndnoteReference"/>
        </w:rPr>
        <w:endnoteRef/>
      </w:r>
      <w:r>
        <w:t xml:space="preserve"> Buyel, J.F., Fischer, R. &amp; Twyman, R.M. </w:t>
      </w:r>
      <w:r w:rsidRPr="007C05DF">
        <w:rPr>
          <w:i/>
        </w:rPr>
        <w:t>Biotechnol. Adv.</w:t>
      </w:r>
      <w:r>
        <w:t xml:space="preserve"> </w:t>
      </w:r>
      <w:r w:rsidRPr="007C05DF">
        <w:rPr>
          <w:b/>
        </w:rPr>
        <w:t>33</w:t>
      </w:r>
      <w:r>
        <w:t>, 902–913 (2015).</w:t>
      </w:r>
    </w:p>
  </w:endnote>
  <w:endnote w:id="17">
    <w:p w14:paraId="326016B3" w14:textId="2000529F" w:rsidR="007C05DF" w:rsidRDefault="007C05D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C05DF">
        <w:t>Buyel, J.F., Twyman, R.M.</w:t>
      </w:r>
      <w:r>
        <w:t xml:space="preserve"> &amp;</w:t>
      </w:r>
      <w:r w:rsidRPr="007C05DF">
        <w:t xml:space="preserve"> Fischer, R.</w:t>
      </w:r>
      <w:r>
        <w:t xml:space="preserve"> </w:t>
      </w:r>
      <w:r w:rsidRPr="007C05DF">
        <w:rPr>
          <w:i/>
        </w:rPr>
        <w:t>Biotechnol. Adv.</w:t>
      </w:r>
      <w:r w:rsidRPr="007C05DF">
        <w:t xml:space="preserve"> </w:t>
      </w:r>
      <w:r w:rsidRPr="007C05DF">
        <w:rPr>
          <w:b/>
        </w:rPr>
        <w:t>35</w:t>
      </w:r>
      <w:r w:rsidRPr="007C05DF">
        <w:t>, 458–665</w:t>
      </w:r>
      <w:r>
        <w:t xml:space="preserve"> (2017)</w:t>
      </w:r>
      <w:r w:rsidRPr="007C05D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8887" w14:textId="77777777" w:rsidR="00511B21" w:rsidRDefault="00511B21" w:rsidP="00557DCD">
      <w:pPr>
        <w:spacing w:after="0" w:line="240" w:lineRule="auto"/>
      </w:pPr>
      <w:r>
        <w:separator/>
      </w:r>
    </w:p>
  </w:footnote>
  <w:footnote w:type="continuationSeparator" w:id="0">
    <w:p w14:paraId="6EDA24B3" w14:textId="77777777" w:rsidR="00511B21" w:rsidRDefault="00511B21" w:rsidP="0055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5CB"/>
    <w:multiLevelType w:val="hybridMultilevel"/>
    <w:tmpl w:val="FF2CFFA8"/>
    <w:lvl w:ilvl="0" w:tplc="47DC22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66C3"/>
    <w:multiLevelType w:val="hybridMultilevel"/>
    <w:tmpl w:val="48FA1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1457"/>
    <w:multiLevelType w:val="hybridMultilevel"/>
    <w:tmpl w:val="080E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3389">
    <w:abstractNumId w:val="1"/>
  </w:num>
  <w:num w:numId="2" w16cid:durableId="1636908545">
    <w:abstractNumId w:val="0"/>
  </w:num>
  <w:num w:numId="3" w16cid:durableId="165734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svfw59e0etf2e9prc5rv0pewt9r29f9w29&quot;&gt;My EndNote Library 200601&lt;record-ids&gt;&lt;item&gt;3011&lt;/item&gt;&lt;item&gt;3012&lt;/item&gt;&lt;item&gt;3013&lt;/item&gt;&lt;item&gt;3014&lt;/item&gt;&lt;/record-ids&gt;&lt;/item&gt;&lt;/Libraries&gt;"/>
  </w:docVars>
  <w:rsids>
    <w:rsidRoot w:val="009D1C81"/>
    <w:rsid w:val="00001CCE"/>
    <w:rsid w:val="00005EA5"/>
    <w:rsid w:val="000074C2"/>
    <w:rsid w:val="0001076C"/>
    <w:rsid w:val="0001197A"/>
    <w:rsid w:val="00030D9F"/>
    <w:rsid w:val="00032108"/>
    <w:rsid w:val="00046115"/>
    <w:rsid w:val="00050229"/>
    <w:rsid w:val="00057A80"/>
    <w:rsid w:val="000676A1"/>
    <w:rsid w:val="00067842"/>
    <w:rsid w:val="000714E0"/>
    <w:rsid w:val="00081E6C"/>
    <w:rsid w:val="000847AB"/>
    <w:rsid w:val="00092A88"/>
    <w:rsid w:val="000939C9"/>
    <w:rsid w:val="000A74E9"/>
    <w:rsid w:val="000A7DBF"/>
    <w:rsid w:val="000B42A3"/>
    <w:rsid w:val="000B7384"/>
    <w:rsid w:val="000C79CA"/>
    <w:rsid w:val="000D7614"/>
    <w:rsid w:val="000D7D6D"/>
    <w:rsid w:val="000D7F79"/>
    <w:rsid w:val="000E4551"/>
    <w:rsid w:val="000F131C"/>
    <w:rsid w:val="000F2243"/>
    <w:rsid w:val="000F31CD"/>
    <w:rsid w:val="000F4B68"/>
    <w:rsid w:val="0010075C"/>
    <w:rsid w:val="00106BED"/>
    <w:rsid w:val="00107AA9"/>
    <w:rsid w:val="001405C4"/>
    <w:rsid w:val="001409DB"/>
    <w:rsid w:val="001454AB"/>
    <w:rsid w:val="0015107F"/>
    <w:rsid w:val="00151A48"/>
    <w:rsid w:val="00155FD6"/>
    <w:rsid w:val="001644A2"/>
    <w:rsid w:val="00165C79"/>
    <w:rsid w:val="00166A8A"/>
    <w:rsid w:val="00166D0C"/>
    <w:rsid w:val="001678A9"/>
    <w:rsid w:val="00170B4D"/>
    <w:rsid w:val="00171698"/>
    <w:rsid w:val="00174864"/>
    <w:rsid w:val="00182476"/>
    <w:rsid w:val="00186F4B"/>
    <w:rsid w:val="00187BA6"/>
    <w:rsid w:val="00191D75"/>
    <w:rsid w:val="001A2B30"/>
    <w:rsid w:val="001A2EE8"/>
    <w:rsid w:val="001A7303"/>
    <w:rsid w:val="001B4C7F"/>
    <w:rsid w:val="001B5768"/>
    <w:rsid w:val="001C2A23"/>
    <w:rsid w:val="001C6B0B"/>
    <w:rsid w:val="001C7A15"/>
    <w:rsid w:val="001D0447"/>
    <w:rsid w:val="001D1893"/>
    <w:rsid w:val="001D7284"/>
    <w:rsid w:val="001D7C87"/>
    <w:rsid w:val="001E123B"/>
    <w:rsid w:val="001F0780"/>
    <w:rsid w:val="001F5F2F"/>
    <w:rsid w:val="00201003"/>
    <w:rsid w:val="00202F8C"/>
    <w:rsid w:val="00213372"/>
    <w:rsid w:val="00224828"/>
    <w:rsid w:val="00225538"/>
    <w:rsid w:val="00231AF1"/>
    <w:rsid w:val="00240383"/>
    <w:rsid w:val="00241079"/>
    <w:rsid w:val="00241B68"/>
    <w:rsid w:val="002420DD"/>
    <w:rsid w:val="00242D77"/>
    <w:rsid w:val="00244659"/>
    <w:rsid w:val="00246094"/>
    <w:rsid w:val="0024628F"/>
    <w:rsid w:val="0025440C"/>
    <w:rsid w:val="00271B66"/>
    <w:rsid w:val="002823E8"/>
    <w:rsid w:val="00286B6A"/>
    <w:rsid w:val="002872C7"/>
    <w:rsid w:val="0029012C"/>
    <w:rsid w:val="002935C0"/>
    <w:rsid w:val="0029577C"/>
    <w:rsid w:val="002A1C63"/>
    <w:rsid w:val="002A49AC"/>
    <w:rsid w:val="002B0E4F"/>
    <w:rsid w:val="002C157D"/>
    <w:rsid w:val="002C5DBA"/>
    <w:rsid w:val="002C6550"/>
    <w:rsid w:val="002D2160"/>
    <w:rsid w:val="002E5CD3"/>
    <w:rsid w:val="002F1860"/>
    <w:rsid w:val="003120D8"/>
    <w:rsid w:val="003154D6"/>
    <w:rsid w:val="00323EEC"/>
    <w:rsid w:val="003244BD"/>
    <w:rsid w:val="00331D58"/>
    <w:rsid w:val="0034647D"/>
    <w:rsid w:val="00347DF6"/>
    <w:rsid w:val="003510E7"/>
    <w:rsid w:val="003545C8"/>
    <w:rsid w:val="003659B0"/>
    <w:rsid w:val="003704C3"/>
    <w:rsid w:val="003705BD"/>
    <w:rsid w:val="003775D0"/>
    <w:rsid w:val="00380347"/>
    <w:rsid w:val="003A32BB"/>
    <w:rsid w:val="003B483E"/>
    <w:rsid w:val="003D44AA"/>
    <w:rsid w:val="003D7408"/>
    <w:rsid w:val="003E1A75"/>
    <w:rsid w:val="003E31C1"/>
    <w:rsid w:val="003F38E3"/>
    <w:rsid w:val="0040443D"/>
    <w:rsid w:val="0040527B"/>
    <w:rsid w:val="00407A0A"/>
    <w:rsid w:val="0042312D"/>
    <w:rsid w:val="00423D04"/>
    <w:rsid w:val="00430D4C"/>
    <w:rsid w:val="00433E4D"/>
    <w:rsid w:val="004346E1"/>
    <w:rsid w:val="0043632D"/>
    <w:rsid w:val="004368BE"/>
    <w:rsid w:val="00437099"/>
    <w:rsid w:val="00442C70"/>
    <w:rsid w:val="004534CB"/>
    <w:rsid w:val="00453FB3"/>
    <w:rsid w:val="004610EC"/>
    <w:rsid w:val="00466594"/>
    <w:rsid w:val="00473DE7"/>
    <w:rsid w:val="00482852"/>
    <w:rsid w:val="00484829"/>
    <w:rsid w:val="00496EBA"/>
    <w:rsid w:val="00497E19"/>
    <w:rsid w:val="00497E70"/>
    <w:rsid w:val="004A1B01"/>
    <w:rsid w:val="004A71A4"/>
    <w:rsid w:val="004B013F"/>
    <w:rsid w:val="004B5CAA"/>
    <w:rsid w:val="004D52D8"/>
    <w:rsid w:val="004D782E"/>
    <w:rsid w:val="004E63B3"/>
    <w:rsid w:val="004E6B80"/>
    <w:rsid w:val="004F1933"/>
    <w:rsid w:val="004F2854"/>
    <w:rsid w:val="004F4F08"/>
    <w:rsid w:val="004F7CC0"/>
    <w:rsid w:val="00501B8D"/>
    <w:rsid w:val="00507D63"/>
    <w:rsid w:val="00507D76"/>
    <w:rsid w:val="00511B21"/>
    <w:rsid w:val="00511FEA"/>
    <w:rsid w:val="005125AC"/>
    <w:rsid w:val="005209C5"/>
    <w:rsid w:val="00523EAB"/>
    <w:rsid w:val="00524A44"/>
    <w:rsid w:val="00524EF3"/>
    <w:rsid w:val="005270BB"/>
    <w:rsid w:val="005275D5"/>
    <w:rsid w:val="00531FF8"/>
    <w:rsid w:val="0054261C"/>
    <w:rsid w:val="005427AC"/>
    <w:rsid w:val="00542BF6"/>
    <w:rsid w:val="0054602C"/>
    <w:rsid w:val="00557DCD"/>
    <w:rsid w:val="005664A5"/>
    <w:rsid w:val="005700AE"/>
    <w:rsid w:val="005734D8"/>
    <w:rsid w:val="00595431"/>
    <w:rsid w:val="005967C9"/>
    <w:rsid w:val="005B5285"/>
    <w:rsid w:val="005D1250"/>
    <w:rsid w:val="005F1E7F"/>
    <w:rsid w:val="005F26AD"/>
    <w:rsid w:val="00613B1A"/>
    <w:rsid w:val="006214B8"/>
    <w:rsid w:val="0062434C"/>
    <w:rsid w:val="00626495"/>
    <w:rsid w:val="00634751"/>
    <w:rsid w:val="00634A83"/>
    <w:rsid w:val="00641F9B"/>
    <w:rsid w:val="0064318C"/>
    <w:rsid w:val="0064552B"/>
    <w:rsid w:val="006519FB"/>
    <w:rsid w:val="0068033E"/>
    <w:rsid w:val="00684F47"/>
    <w:rsid w:val="00686472"/>
    <w:rsid w:val="006925DD"/>
    <w:rsid w:val="0069520E"/>
    <w:rsid w:val="006A33CC"/>
    <w:rsid w:val="006A6BCB"/>
    <w:rsid w:val="006A7FB8"/>
    <w:rsid w:val="006B0775"/>
    <w:rsid w:val="006B0CDE"/>
    <w:rsid w:val="006B577B"/>
    <w:rsid w:val="006B78C7"/>
    <w:rsid w:val="006C21EF"/>
    <w:rsid w:val="006C4350"/>
    <w:rsid w:val="006C6D4D"/>
    <w:rsid w:val="006D0D3B"/>
    <w:rsid w:val="006D455D"/>
    <w:rsid w:val="006D5391"/>
    <w:rsid w:val="006D5B5D"/>
    <w:rsid w:val="006E0E73"/>
    <w:rsid w:val="006E5D97"/>
    <w:rsid w:val="007064CB"/>
    <w:rsid w:val="007103B5"/>
    <w:rsid w:val="00712A78"/>
    <w:rsid w:val="00712AC2"/>
    <w:rsid w:val="00715A4F"/>
    <w:rsid w:val="00717CCF"/>
    <w:rsid w:val="0072186C"/>
    <w:rsid w:val="0073318B"/>
    <w:rsid w:val="00737C18"/>
    <w:rsid w:val="007405A7"/>
    <w:rsid w:val="00741601"/>
    <w:rsid w:val="00755CD5"/>
    <w:rsid w:val="007603E5"/>
    <w:rsid w:val="007650A2"/>
    <w:rsid w:val="00766D9B"/>
    <w:rsid w:val="00771647"/>
    <w:rsid w:val="00791EBE"/>
    <w:rsid w:val="0079453C"/>
    <w:rsid w:val="00795285"/>
    <w:rsid w:val="00795D5A"/>
    <w:rsid w:val="00796E87"/>
    <w:rsid w:val="00797E2D"/>
    <w:rsid w:val="007A007B"/>
    <w:rsid w:val="007A4661"/>
    <w:rsid w:val="007A53A6"/>
    <w:rsid w:val="007A6700"/>
    <w:rsid w:val="007B10B5"/>
    <w:rsid w:val="007C05DF"/>
    <w:rsid w:val="007C1A54"/>
    <w:rsid w:val="007C20D5"/>
    <w:rsid w:val="007C3044"/>
    <w:rsid w:val="007E1494"/>
    <w:rsid w:val="007E3CB8"/>
    <w:rsid w:val="007E500D"/>
    <w:rsid w:val="007E7D27"/>
    <w:rsid w:val="007F6C01"/>
    <w:rsid w:val="00803E8B"/>
    <w:rsid w:val="008174D5"/>
    <w:rsid w:val="0082479C"/>
    <w:rsid w:val="00832E57"/>
    <w:rsid w:val="00832EC8"/>
    <w:rsid w:val="0083327E"/>
    <w:rsid w:val="00833B1D"/>
    <w:rsid w:val="00834558"/>
    <w:rsid w:val="00850116"/>
    <w:rsid w:val="008506BB"/>
    <w:rsid w:val="00850D3C"/>
    <w:rsid w:val="00856039"/>
    <w:rsid w:val="00856D2F"/>
    <w:rsid w:val="00857117"/>
    <w:rsid w:val="00864209"/>
    <w:rsid w:val="008679CE"/>
    <w:rsid w:val="0087552B"/>
    <w:rsid w:val="00876513"/>
    <w:rsid w:val="00877BD2"/>
    <w:rsid w:val="00885E89"/>
    <w:rsid w:val="008870A0"/>
    <w:rsid w:val="00893DA8"/>
    <w:rsid w:val="008C122A"/>
    <w:rsid w:val="008C7048"/>
    <w:rsid w:val="008C7899"/>
    <w:rsid w:val="008D37DA"/>
    <w:rsid w:val="008E5B22"/>
    <w:rsid w:val="008F0E6A"/>
    <w:rsid w:val="008F3F41"/>
    <w:rsid w:val="0090092F"/>
    <w:rsid w:val="00900C4A"/>
    <w:rsid w:val="009021FB"/>
    <w:rsid w:val="0090475F"/>
    <w:rsid w:val="009055A4"/>
    <w:rsid w:val="009153F0"/>
    <w:rsid w:val="00940BA3"/>
    <w:rsid w:val="00941C0C"/>
    <w:rsid w:val="00944848"/>
    <w:rsid w:val="0094592D"/>
    <w:rsid w:val="00953A58"/>
    <w:rsid w:val="00956BFD"/>
    <w:rsid w:val="009624FE"/>
    <w:rsid w:val="009642E4"/>
    <w:rsid w:val="0097653E"/>
    <w:rsid w:val="00976790"/>
    <w:rsid w:val="00982872"/>
    <w:rsid w:val="00986D3F"/>
    <w:rsid w:val="0099254D"/>
    <w:rsid w:val="009932D1"/>
    <w:rsid w:val="009A23CE"/>
    <w:rsid w:val="009B49BC"/>
    <w:rsid w:val="009C1B1D"/>
    <w:rsid w:val="009C65C7"/>
    <w:rsid w:val="009D1C81"/>
    <w:rsid w:val="009D755E"/>
    <w:rsid w:val="009E09F3"/>
    <w:rsid w:val="00A05025"/>
    <w:rsid w:val="00A1072B"/>
    <w:rsid w:val="00A1117F"/>
    <w:rsid w:val="00A164C5"/>
    <w:rsid w:val="00A20B3A"/>
    <w:rsid w:val="00A25CD5"/>
    <w:rsid w:val="00A324CB"/>
    <w:rsid w:val="00A45E7B"/>
    <w:rsid w:val="00A50F9F"/>
    <w:rsid w:val="00A51055"/>
    <w:rsid w:val="00A6082F"/>
    <w:rsid w:val="00A664F6"/>
    <w:rsid w:val="00A66945"/>
    <w:rsid w:val="00A66DFE"/>
    <w:rsid w:val="00A77AF9"/>
    <w:rsid w:val="00AA73F7"/>
    <w:rsid w:val="00AB6FC3"/>
    <w:rsid w:val="00AB7875"/>
    <w:rsid w:val="00AC259C"/>
    <w:rsid w:val="00AC3F94"/>
    <w:rsid w:val="00AC41BB"/>
    <w:rsid w:val="00AD7B62"/>
    <w:rsid w:val="00AE1BF8"/>
    <w:rsid w:val="00AE40CE"/>
    <w:rsid w:val="00AF1536"/>
    <w:rsid w:val="00AF1D72"/>
    <w:rsid w:val="00AF7659"/>
    <w:rsid w:val="00B022D3"/>
    <w:rsid w:val="00B03112"/>
    <w:rsid w:val="00B03EAE"/>
    <w:rsid w:val="00B06A9A"/>
    <w:rsid w:val="00B13653"/>
    <w:rsid w:val="00B13BA9"/>
    <w:rsid w:val="00B14632"/>
    <w:rsid w:val="00B15F81"/>
    <w:rsid w:val="00B25D66"/>
    <w:rsid w:val="00B26101"/>
    <w:rsid w:val="00B319EB"/>
    <w:rsid w:val="00B329BB"/>
    <w:rsid w:val="00B37D6A"/>
    <w:rsid w:val="00B5236B"/>
    <w:rsid w:val="00B52EA4"/>
    <w:rsid w:val="00B53578"/>
    <w:rsid w:val="00B53636"/>
    <w:rsid w:val="00B55C18"/>
    <w:rsid w:val="00B57652"/>
    <w:rsid w:val="00B615D5"/>
    <w:rsid w:val="00B63834"/>
    <w:rsid w:val="00B6744E"/>
    <w:rsid w:val="00B675A6"/>
    <w:rsid w:val="00B762E1"/>
    <w:rsid w:val="00B844E2"/>
    <w:rsid w:val="00B85508"/>
    <w:rsid w:val="00B85E26"/>
    <w:rsid w:val="00B91534"/>
    <w:rsid w:val="00BC0E17"/>
    <w:rsid w:val="00BC1F94"/>
    <w:rsid w:val="00BC2019"/>
    <w:rsid w:val="00BC553F"/>
    <w:rsid w:val="00BD0342"/>
    <w:rsid w:val="00BD3EA4"/>
    <w:rsid w:val="00BD7C2A"/>
    <w:rsid w:val="00BE5BA0"/>
    <w:rsid w:val="00BF5ABC"/>
    <w:rsid w:val="00BF5B93"/>
    <w:rsid w:val="00BF7F49"/>
    <w:rsid w:val="00C14102"/>
    <w:rsid w:val="00C201B7"/>
    <w:rsid w:val="00C24C25"/>
    <w:rsid w:val="00C25D66"/>
    <w:rsid w:val="00C30213"/>
    <w:rsid w:val="00C30449"/>
    <w:rsid w:val="00C3167D"/>
    <w:rsid w:val="00C35454"/>
    <w:rsid w:val="00C41A9E"/>
    <w:rsid w:val="00C4257C"/>
    <w:rsid w:val="00C550B2"/>
    <w:rsid w:val="00C56D40"/>
    <w:rsid w:val="00C573D8"/>
    <w:rsid w:val="00C57EC7"/>
    <w:rsid w:val="00C74D1C"/>
    <w:rsid w:val="00C76930"/>
    <w:rsid w:val="00C80F34"/>
    <w:rsid w:val="00C84725"/>
    <w:rsid w:val="00C905ED"/>
    <w:rsid w:val="00C9282B"/>
    <w:rsid w:val="00CA0838"/>
    <w:rsid w:val="00CA0CD7"/>
    <w:rsid w:val="00CA1972"/>
    <w:rsid w:val="00CA4BF3"/>
    <w:rsid w:val="00CA7EF2"/>
    <w:rsid w:val="00CC322B"/>
    <w:rsid w:val="00CD3EEE"/>
    <w:rsid w:val="00CE07A7"/>
    <w:rsid w:val="00CF08ED"/>
    <w:rsid w:val="00CF48C9"/>
    <w:rsid w:val="00D010CC"/>
    <w:rsid w:val="00D01FED"/>
    <w:rsid w:val="00D22C1A"/>
    <w:rsid w:val="00D22F2B"/>
    <w:rsid w:val="00D23CD6"/>
    <w:rsid w:val="00D25806"/>
    <w:rsid w:val="00D33E7D"/>
    <w:rsid w:val="00D44990"/>
    <w:rsid w:val="00D506A8"/>
    <w:rsid w:val="00D5087A"/>
    <w:rsid w:val="00D51E7A"/>
    <w:rsid w:val="00D643A8"/>
    <w:rsid w:val="00D643F7"/>
    <w:rsid w:val="00D71222"/>
    <w:rsid w:val="00D7416B"/>
    <w:rsid w:val="00D75E43"/>
    <w:rsid w:val="00D81530"/>
    <w:rsid w:val="00D8172B"/>
    <w:rsid w:val="00D81E22"/>
    <w:rsid w:val="00D86AEA"/>
    <w:rsid w:val="00D90346"/>
    <w:rsid w:val="00D90E45"/>
    <w:rsid w:val="00D92F71"/>
    <w:rsid w:val="00D954EB"/>
    <w:rsid w:val="00D97A15"/>
    <w:rsid w:val="00DB39FF"/>
    <w:rsid w:val="00DD105D"/>
    <w:rsid w:val="00DD5574"/>
    <w:rsid w:val="00DF1419"/>
    <w:rsid w:val="00DF360E"/>
    <w:rsid w:val="00DF6619"/>
    <w:rsid w:val="00E04F23"/>
    <w:rsid w:val="00E12206"/>
    <w:rsid w:val="00E1486C"/>
    <w:rsid w:val="00E21F4A"/>
    <w:rsid w:val="00E227A6"/>
    <w:rsid w:val="00E40236"/>
    <w:rsid w:val="00E5479B"/>
    <w:rsid w:val="00E55626"/>
    <w:rsid w:val="00E57D1F"/>
    <w:rsid w:val="00E62346"/>
    <w:rsid w:val="00E63A0F"/>
    <w:rsid w:val="00E65603"/>
    <w:rsid w:val="00E71BD6"/>
    <w:rsid w:val="00E754D9"/>
    <w:rsid w:val="00E82C65"/>
    <w:rsid w:val="00E8619F"/>
    <w:rsid w:val="00E8783F"/>
    <w:rsid w:val="00E9192F"/>
    <w:rsid w:val="00E921EA"/>
    <w:rsid w:val="00E94730"/>
    <w:rsid w:val="00EA0ED2"/>
    <w:rsid w:val="00EA0FBF"/>
    <w:rsid w:val="00EA3B2C"/>
    <w:rsid w:val="00EA55AD"/>
    <w:rsid w:val="00EA6947"/>
    <w:rsid w:val="00EA7D09"/>
    <w:rsid w:val="00EB1747"/>
    <w:rsid w:val="00EB5DFD"/>
    <w:rsid w:val="00EB77B6"/>
    <w:rsid w:val="00EC1D1E"/>
    <w:rsid w:val="00EC48DB"/>
    <w:rsid w:val="00EC5939"/>
    <w:rsid w:val="00EC7CAB"/>
    <w:rsid w:val="00EE3FEF"/>
    <w:rsid w:val="00EF1FA5"/>
    <w:rsid w:val="00EF4E60"/>
    <w:rsid w:val="00F002EB"/>
    <w:rsid w:val="00F10BD1"/>
    <w:rsid w:val="00F202BD"/>
    <w:rsid w:val="00F23002"/>
    <w:rsid w:val="00F31AA1"/>
    <w:rsid w:val="00F34151"/>
    <w:rsid w:val="00F4042F"/>
    <w:rsid w:val="00F471A9"/>
    <w:rsid w:val="00F51F9D"/>
    <w:rsid w:val="00F55ECC"/>
    <w:rsid w:val="00F56056"/>
    <w:rsid w:val="00F63D6B"/>
    <w:rsid w:val="00F722CA"/>
    <w:rsid w:val="00F74224"/>
    <w:rsid w:val="00F80BBB"/>
    <w:rsid w:val="00F81CC4"/>
    <w:rsid w:val="00F86B76"/>
    <w:rsid w:val="00FA379B"/>
    <w:rsid w:val="00FA44AB"/>
    <w:rsid w:val="00FD2683"/>
    <w:rsid w:val="00FD5A27"/>
    <w:rsid w:val="00FE4E54"/>
    <w:rsid w:val="00FF1891"/>
    <w:rsid w:val="016A2E6A"/>
    <w:rsid w:val="104DB370"/>
    <w:rsid w:val="1AE125D8"/>
    <w:rsid w:val="1DE5ABC3"/>
    <w:rsid w:val="20761D57"/>
    <w:rsid w:val="23A22D79"/>
    <w:rsid w:val="37FBFD8E"/>
    <w:rsid w:val="3EDDE39B"/>
    <w:rsid w:val="453885DD"/>
    <w:rsid w:val="5100575B"/>
    <w:rsid w:val="547D3025"/>
    <w:rsid w:val="67694B41"/>
    <w:rsid w:val="6C8B50C8"/>
    <w:rsid w:val="73DDD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4D30"/>
  <w15:docId w15:val="{FEEA36B3-4974-4BB3-9564-35632AA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C8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22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BF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C2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F55EC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5EC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55EC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5ECC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1BD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57D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7D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DC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46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nicaltrials.gov/ct2/show/NCT0447369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gc.com/english/news_release/pdf/01468/0170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nicaltrials.gov/ct2/show/NCT05122260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linicaltrials.gov/ct2/show/NCT05122260" TargetMode="External"/><Relationship Id="rId2" Type="http://schemas.openxmlformats.org/officeDocument/2006/relationships/hyperlink" Target="https://clinicaltrials.gov/ct2/show/NCT04473690" TargetMode="External"/><Relationship Id="rId1" Type="http://schemas.openxmlformats.org/officeDocument/2006/relationships/hyperlink" Target="https://www.mcgc.com/english/news_release/pdf/01468/017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fc4226-3a2b-48d5-8d8d-5e3b0962c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48B043D69454EAD388909A9A79F32" ma:contentTypeVersion="15" ma:contentTypeDescription="Create a new document." ma:contentTypeScope="" ma:versionID="8bdba386462cd0d854ca2915e6505f50">
  <xsd:schema xmlns:xsd="http://www.w3.org/2001/XMLSchema" xmlns:xs="http://www.w3.org/2001/XMLSchema" xmlns:p="http://schemas.microsoft.com/office/2006/metadata/properties" xmlns:ns3="57fc4226-3a2b-48d5-8d8d-5e3b0962c8ea" xmlns:ns4="41993ef7-8260-470b-8f89-61037474bf99" targetNamespace="http://schemas.microsoft.com/office/2006/metadata/properties" ma:root="true" ma:fieldsID="6d3b9076fb1d25aa5e15bcb5fa082f6c" ns3:_="" ns4:_="">
    <xsd:import namespace="57fc4226-3a2b-48d5-8d8d-5e3b0962c8ea"/>
    <xsd:import namespace="41993ef7-8260-470b-8f89-61037474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c4226-3a2b-48d5-8d8d-5e3b0962c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3ef7-8260-470b-8f89-61037474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CF1A-540D-4329-BCBA-CDE90E6C2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D4F06-0AC3-4B5E-B4D7-9A41A4887E84}">
  <ds:schemaRefs>
    <ds:schemaRef ds:uri="http://schemas.microsoft.com/office/2006/metadata/properties"/>
    <ds:schemaRef ds:uri="http://schemas.microsoft.com/office/infopath/2007/PartnerControls"/>
    <ds:schemaRef ds:uri="57fc4226-3a2b-48d5-8d8d-5e3b0962c8ea"/>
  </ds:schemaRefs>
</ds:datastoreItem>
</file>

<file path=customXml/itemProps3.xml><?xml version="1.0" encoding="utf-8"?>
<ds:datastoreItem xmlns:ds="http://schemas.openxmlformats.org/officeDocument/2006/customXml" ds:itemID="{387BB126-B931-4E64-892E-E9803D0D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c4226-3a2b-48d5-8d8d-5e3b0962c8ea"/>
    <ds:schemaRef ds:uri="41993ef7-8260-470b-8f89-61037474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A66F2-E186-4EA8-91DE-61384981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 Georges, University of London</Company>
  <LinksUpToDate>false</LinksUpToDate>
  <CharactersWithSpaces>8900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https://www.mcgc.com/english/news_release/pdf/01468/01708.pdf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Ma</dc:creator>
  <cp:lastModifiedBy>Julian Ma</cp:lastModifiedBy>
  <cp:revision>5</cp:revision>
  <dcterms:created xsi:type="dcterms:W3CDTF">2023-04-28T11:52:00Z</dcterms:created>
  <dcterms:modified xsi:type="dcterms:W3CDTF">2023-04-28T12:14:00Z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0x0101000D748B043D69454EAD388909A9A79F32</vt:lpwstr>
  </property>
</Properties>
</file>