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E0560" w14:textId="05C7D5C2" w:rsidR="00FB061C" w:rsidRPr="00DB03F4" w:rsidRDefault="00036EB1" w:rsidP="00FB061C">
      <w:pPr>
        <w:pStyle w:val="Standard"/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Supporting Information</w:t>
      </w:r>
    </w:p>
    <w:p w14:paraId="5C42E0E1" w14:textId="23F79ABE" w:rsidR="00990BD2" w:rsidRPr="00D258A1" w:rsidRDefault="00FB061C">
      <w:pPr>
        <w:pStyle w:val="Standard"/>
        <w:spacing w:line="240" w:lineRule="auto"/>
        <w:rPr>
          <w:rFonts w:ascii="Times New Roman" w:hAnsi="Times New Roman" w:cs="Times New Roman"/>
          <w:b/>
          <w:bCs/>
        </w:rPr>
      </w:pPr>
      <w:r w:rsidRPr="00D258A1">
        <w:rPr>
          <w:rFonts w:ascii="Times New Roman" w:hAnsi="Times New Roman" w:cs="Times New Roman"/>
          <w:b/>
          <w:bCs/>
        </w:rPr>
        <w:t xml:space="preserve">Table S1 </w:t>
      </w:r>
      <w:r w:rsidRPr="00D258A1">
        <w:rPr>
          <w:rFonts w:ascii="Times New Roman" w:hAnsi="Times New Roman" w:cs="Times New Roman"/>
        </w:rPr>
        <w:t>Studies included in the pooled analysis (</w:t>
      </w:r>
      <w:r w:rsidRPr="00036EB1">
        <w:rPr>
          <w:rFonts w:ascii="Times New Roman" w:hAnsi="Times New Roman" w:cs="Times New Roman"/>
          <w:i/>
          <w:iCs/>
        </w:rPr>
        <w:t>n</w:t>
      </w:r>
      <w:r w:rsidR="00D86EA8">
        <w:rPr>
          <w:rFonts w:ascii="Times New Roman" w:hAnsi="Times New Roman" w:cs="Times New Roman"/>
        </w:rPr>
        <w:t xml:space="preserve"> </w:t>
      </w:r>
      <w:r w:rsidRPr="00D258A1">
        <w:rPr>
          <w:rFonts w:ascii="Times New Roman" w:hAnsi="Times New Roman" w:cs="Times New Roman"/>
        </w:rPr>
        <w:t>=</w:t>
      </w:r>
      <w:r w:rsidR="00D86EA8">
        <w:rPr>
          <w:rFonts w:ascii="Times New Roman" w:hAnsi="Times New Roman" w:cs="Times New Roman"/>
        </w:rPr>
        <w:t xml:space="preserve"> </w:t>
      </w:r>
      <w:r w:rsidRPr="00D258A1">
        <w:rPr>
          <w:rFonts w:ascii="Times New Roman" w:hAnsi="Times New Roman" w:cs="Times New Roman"/>
        </w:rPr>
        <w:t>41)</w:t>
      </w:r>
    </w:p>
    <w:tbl>
      <w:tblPr>
        <w:tblW w:w="1465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3420"/>
        <w:gridCol w:w="1260"/>
        <w:gridCol w:w="990"/>
        <w:gridCol w:w="630"/>
        <w:gridCol w:w="540"/>
        <w:gridCol w:w="630"/>
        <w:gridCol w:w="630"/>
        <w:gridCol w:w="540"/>
        <w:gridCol w:w="630"/>
        <w:gridCol w:w="540"/>
        <w:gridCol w:w="720"/>
        <w:gridCol w:w="540"/>
        <w:gridCol w:w="630"/>
        <w:gridCol w:w="540"/>
      </w:tblGrid>
      <w:tr w:rsidR="00BF2870" w:rsidRPr="00D258A1" w14:paraId="064D7A85" w14:textId="23A7D016" w:rsidTr="00CE504D">
        <w:trPr>
          <w:cantSplit/>
          <w:trHeight w:val="275"/>
          <w:tblHeader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F8F2F8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D3F076F" w14:textId="47214FD3" w:rsidR="00BF2870" w:rsidRPr="00D258A1" w:rsidRDefault="00BF2870" w:rsidP="00C2731D">
            <w:pPr>
              <w:keepNext/>
              <w:adjustRightInd w:val="0"/>
              <w:spacing w:before="20" w:line="256" w:lineRule="auto"/>
              <w:rPr>
                <w:b/>
                <w:bCs/>
                <w:color w:val="000000"/>
                <w:sz w:val="22"/>
                <w:szCs w:val="22"/>
              </w:rPr>
            </w:pPr>
            <w:bookmarkStart w:id="1" w:name="IDX"/>
            <w:bookmarkEnd w:id="1"/>
            <w:r w:rsidRPr="00D258A1">
              <w:rPr>
                <w:b/>
                <w:bCs/>
                <w:color w:val="000000"/>
                <w:sz w:val="22"/>
                <w:szCs w:val="22"/>
              </w:rPr>
              <w:t>Study code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</w:tcBorders>
            <w:shd w:val="clear" w:color="auto" w:fill="F8F2F8"/>
            <w:vAlign w:val="bottom"/>
          </w:tcPr>
          <w:p w14:paraId="43EAEA1F" w14:textId="50719A2E" w:rsidR="00BF2870" w:rsidRPr="00D258A1" w:rsidRDefault="00BF2870" w:rsidP="00C2731D">
            <w:pPr>
              <w:keepNext/>
              <w:adjustRightInd w:val="0"/>
              <w:spacing w:before="20" w:line="25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58A1">
              <w:rPr>
                <w:b/>
                <w:bCs/>
                <w:color w:val="000000"/>
                <w:sz w:val="22"/>
                <w:szCs w:val="22"/>
              </w:rPr>
              <w:t>Therapeutic area</w:t>
            </w:r>
            <w:r>
              <w:rPr>
                <w:b/>
                <w:bCs/>
                <w:color w:val="000000"/>
                <w:sz w:val="22"/>
                <w:szCs w:val="22"/>
              </w:rPr>
              <w:t>(s)</w:t>
            </w:r>
            <w:r w:rsidRPr="00D258A1">
              <w:rPr>
                <w:b/>
                <w:bCs/>
                <w:color w:val="000000"/>
                <w:sz w:val="22"/>
                <w:szCs w:val="22"/>
              </w:rPr>
              <w:t>/disease state</w:t>
            </w:r>
            <w:r>
              <w:rPr>
                <w:b/>
                <w:bCs/>
                <w:color w:val="000000"/>
                <w:sz w:val="22"/>
                <w:szCs w:val="22"/>
              </w:rPr>
              <w:t>(s)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F8F2F8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60CFDCD" w14:textId="43C95CB5" w:rsidR="00BF2870" w:rsidRPr="00D258A1" w:rsidRDefault="00BF2870" w:rsidP="00C2731D">
            <w:pPr>
              <w:keepNext/>
              <w:adjustRightInd w:val="0"/>
              <w:spacing w:before="20" w:line="25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58A1">
              <w:rPr>
                <w:b/>
                <w:bCs/>
                <w:color w:val="000000"/>
                <w:sz w:val="22"/>
                <w:szCs w:val="22"/>
              </w:rPr>
              <w:t xml:space="preserve">Patients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D258A1">
              <w:rPr>
                <w:b/>
                <w:bCs/>
                <w:color w:val="000000"/>
                <w:sz w:val="22"/>
                <w:szCs w:val="22"/>
              </w:rPr>
              <w:t>included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in analysis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8F2F8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B715819" w14:textId="76FDC9B6" w:rsidR="00BF2870" w:rsidRPr="00D258A1" w:rsidRDefault="00BF2870" w:rsidP="00C2731D">
            <w:pPr>
              <w:keepNext/>
              <w:adjustRightInd w:val="0"/>
              <w:spacing w:before="20" w:line="25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Duration of study (weeks)</w:t>
            </w:r>
          </w:p>
        </w:tc>
        <w:tc>
          <w:tcPr>
            <w:tcW w:w="6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8F2F8"/>
          </w:tcPr>
          <w:p w14:paraId="0A04CB81" w14:textId="47568D65" w:rsidR="00BF2870" w:rsidRPr="002D025D" w:rsidRDefault="00B31D87" w:rsidP="00280172">
            <w:pPr>
              <w:keepNext/>
              <w:adjustRightInd w:val="0"/>
              <w:spacing w:before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A</w:t>
            </w:r>
            <w:r w:rsidR="008F210D" w:rsidRPr="002D025D">
              <w:rPr>
                <w:b/>
                <w:bCs/>
                <w:color w:val="FF0000"/>
                <w:sz w:val="22"/>
                <w:szCs w:val="22"/>
              </w:rPr>
              <w:t xml:space="preserve">ssessment of </w:t>
            </w:r>
            <w:r w:rsidR="00BF2870" w:rsidRPr="002D025D">
              <w:rPr>
                <w:b/>
                <w:bCs/>
                <w:color w:val="FF0000"/>
                <w:sz w:val="22"/>
                <w:szCs w:val="22"/>
              </w:rPr>
              <w:t>PO</w:t>
            </w:r>
            <w:r w:rsidR="00BF2870" w:rsidRPr="002D025D">
              <w:rPr>
                <w:b/>
                <w:bCs/>
                <w:color w:val="FF0000"/>
                <w:sz w:val="22"/>
                <w:szCs w:val="22"/>
                <w:vertAlign w:val="subscript"/>
              </w:rPr>
              <w:t>4</w:t>
            </w:r>
            <w:r w:rsidR="00BF2870" w:rsidRPr="002D025D">
              <w:rPr>
                <w:b/>
                <w:bCs/>
                <w:color w:val="FF0000"/>
                <w:sz w:val="22"/>
                <w:szCs w:val="22"/>
                <w:vertAlign w:val="superscript"/>
              </w:rPr>
              <w:t>3–</w:t>
            </w:r>
            <w:r w:rsidR="00BF2870" w:rsidRPr="002D025D">
              <w:rPr>
                <w:b/>
                <w:bCs/>
                <w:color w:val="FF0000"/>
                <w:sz w:val="22"/>
                <w:szCs w:val="22"/>
              </w:rPr>
              <w:t xml:space="preserve"> levels</w:t>
            </w:r>
            <w:r w:rsidRPr="002D025D">
              <w:rPr>
                <w:b/>
                <w:bCs/>
                <w:color w:val="FF0000"/>
                <w:sz w:val="22"/>
                <w:szCs w:val="22"/>
                <w:vertAlign w:val="superscript"/>
              </w:rPr>
              <w:t>a</w:t>
            </w:r>
            <w:r w:rsidR="00BF2870" w:rsidRPr="002D025D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BF2870" w:rsidRPr="00D258A1" w14:paraId="5426D387" w14:textId="683C6529" w:rsidTr="00CE504D">
        <w:trPr>
          <w:cantSplit/>
          <w:trHeight w:val="275"/>
          <w:tblHeader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8F2F8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3B396726" w14:textId="77777777" w:rsidR="00BF2870" w:rsidRPr="00D258A1" w:rsidRDefault="00BF2870" w:rsidP="00BF2870">
            <w:pPr>
              <w:keepNext/>
              <w:adjustRightInd w:val="0"/>
              <w:spacing w:before="20" w:line="25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shd w:val="clear" w:color="auto" w:fill="F8F2F8"/>
            <w:vAlign w:val="bottom"/>
          </w:tcPr>
          <w:p w14:paraId="2436E7A9" w14:textId="77777777" w:rsidR="00BF2870" w:rsidRPr="00D258A1" w:rsidRDefault="00BF2870" w:rsidP="00BF2870">
            <w:pPr>
              <w:keepNext/>
              <w:adjustRightInd w:val="0"/>
              <w:spacing w:before="20" w:line="25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8F2F8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6962037A" w14:textId="77777777" w:rsidR="00BF2870" w:rsidRPr="00D258A1" w:rsidRDefault="00BF2870" w:rsidP="00BF2870">
            <w:pPr>
              <w:keepNext/>
              <w:adjustRightInd w:val="0"/>
              <w:spacing w:before="20" w:line="25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8F2F8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14:paraId="702C4B4A" w14:textId="77777777" w:rsidR="00BF2870" w:rsidRDefault="00BF2870" w:rsidP="00BF2870">
            <w:pPr>
              <w:keepNext/>
              <w:adjustRightInd w:val="0"/>
              <w:spacing w:before="20" w:line="25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8F2F8"/>
          </w:tcPr>
          <w:p w14:paraId="6E514C44" w14:textId="1F26A598" w:rsidR="00BF2870" w:rsidRPr="002D025D" w:rsidRDefault="00BF2870" w:rsidP="00BF2870">
            <w:pPr>
              <w:keepNext/>
              <w:adjustRightInd w:val="0"/>
              <w:spacing w:before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BL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2F8"/>
          </w:tcPr>
          <w:p w14:paraId="3FE7CC9B" w14:textId="3AAA355E" w:rsidR="00BF2870" w:rsidRPr="002D025D" w:rsidRDefault="00BF2870" w:rsidP="00BF2870">
            <w:pPr>
              <w:keepNext/>
              <w:adjustRightInd w:val="0"/>
              <w:spacing w:before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W1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2F8"/>
          </w:tcPr>
          <w:p w14:paraId="3AA1328C" w14:textId="731EF2CD" w:rsidR="00BF2870" w:rsidRPr="002D025D" w:rsidRDefault="00BF2870" w:rsidP="00BF2870">
            <w:pPr>
              <w:keepNext/>
              <w:adjustRightInd w:val="0"/>
              <w:spacing w:before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W2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2F8"/>
          </w:tcPr>
          <w:p w14:paraId="551CEF56" w14:textId="0732FFCD" w:rsidR="00BF2870" w:rsidRPr="002D025D" w:rsidRDefault="00BF2870" w:rsidP="00BF2870">
            <w:pPr>
              <w:keepNext/>
              <w:adjustRightInd w:val="0"/>
              <w:spacing w:before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W4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2F8"/>
          </w:tcPr>
          <w:p w14:paraId="5216A536" w14:textId="7A8B046A" w:rsidR="00BF2870" w:rsidRPr="002D025D" w:rsidRDefault="00BF2870" w:rsidP="00BF2870">
            <w:pPr>
              <w:keepNext/>
              <w:adjustRightInd w:val="0"/>
              <w:spacing w:before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W6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8F2F8"/>
          </w:tcPr>
          <w:p w14:paraId="49CCE2D5" w14:textId="10F670C4" w:rsidR="00BF2870" w:rsidRPr="002D025D" w:rsidRDefault="00BF2870" w:rsidP="00BF2870">
            <w:pPr>
              <w:keepNext/>
              <w:adjustRightInd w:val="0"/>
              <w:spacing w:before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W8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8F2F8"/>
          </w:tcPr>
          <w:p w14:paraId="1CA67572" w14:textId="0D3D5CE0" w:rsidR="00BF2870" w:rsidRPr="002D025D" w:rsidRDefault="00BF2870" w:rsidP="00BF2870">
            <w:pPr>
              <w:keepNext/>
              <w:adjustRightInd w:val="0"/>
              <w:spacing w:before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W12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8F2F8"/>
          </w:tcPr>
          <w:p w14:paraId="7952B013" w14:textId="2DA95E54" w:rsidR="00BF2870" w:rsidRPr="002D025D" w:rsidRDefault="00BF2870" w:rsidP="00BF2870">
            <w:pPr>
              <w:keepNext/>
              <w:adjustRightInd w:val="0"/>
              <w:spacing w:before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W24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8F2F8"/>
          </w:tcPr>
          <w:p w14:paraId="14C0DBBD" w14:textId="419AD3DC" w:rsidR="00BF2870" w:rsidRPr="002D025D" w:rsidRDefault="00BF2870" w:rsidP="00BF2870">
            <w:pPr>
              <w:keepNext/>
              <w:adjustRightInd w:val="0"/>
              <w:spacing w:before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W36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8F2F8"/>
          </w:tcPr>
          <w:p w14:paraId="2AA761E2" w14:textId="32EDC4D2" w:rsidR="00BF2870" w:rsidRPr="002D025D" w:rsidRDefault="00BF2870" w:rsidP="00BF2870">
            <w:pPr>
              <w:keepNext/>
              <w:adjustRightInd w:val="0"/>
              <w:spacing w:before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W48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8F2F8"/>
          </w:tcPr>
          <w:p w14:paraId="6415A70F" w14:textId="19DF72D4" w:rsidR="00BF2870" w:rsidRPr="002D025D" w:rsidRDefault="00BF2870" w:rsidP="00BF2870">
            <w:pPr>
              <w:keepNext/>
              <w:adjustRightInd w:val="0"/>
              <w:spacing w:before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W52</w:t>
            </w:r>
          </w:p>
        </w:tc>
      </w:tr>
      <w:tr w:rsidR="00BF2870" w:rsidRPr="00D258A1" w14:paraId="06932A56" w14:textId="10E9D57B" w:rsidTr="00CE504D">
        <w:trPr>
          <w:cantSplit/>
          <w:trHeight w:val="242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C8FE4DC" w14:textId="77777777" w:rsidR="00BF2870" w:rsidRPr="00D258A1" w:rsidRDefault="00BF2870" w:rsidP="00C2731D">
            <w:pPr>
              <w:adjustRightInd w:val="0"/>
              <w:spacing w:before="20" w:after="20" w:line="256" w:lineRule="auto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1VIT03001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FFFFFF"/>
          </w:tcPr>
          <w:p w14:paraId="6381DCB5" w14:textId="27986EDA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Women’s health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74BC395" w14:textId="26248EAA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09B081D" w14:textId="61398599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0468F" w14:textId="59906D40" w:rsidR="00BF2870" w:rsidRPr="002D025D" w:rsidRDefault="008F210D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</w:tcPr>
          <w:p w14:paraId="5DC0181F" w14:textId="73417ADE" w:rsidR="00BF2870" w:rsidRPr="002D025D" w:rsidRDefault="008F210D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FFFFF"/>
          </w:tcPr>
          <w:p w14:paraId="4F67EAE7" w14:textId="3890D157" w:rsidR="00BF2870" w:rsidRPr="002D025D" w:rsidRDefault="008F210D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FFFFF"/>
          </w:tcPr>
          <w:p w14:paraId="61A55F08" w14:textId="66AD12EF" w:rsidR="00BF2870" w:rsidRPr="002D025D" w:rsidRDefault="008F210D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</w:tcPr>
          <w:p w14:paraId="03DD3D02" w14:textId="61C06E60" w:rsidR="00BF2870" w:rsidRPr="002D025D" w:rsidRDefault="008F210D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FFFFF"/>
          </w:tcPr>
          <w:p w14:paraId="424C6A69" w14:textId="70B1B29F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</w:tcPr>
          <w:p w14:paraId="10E2C910" w14:textId="781FA2B3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14:paraId="64588B6C" w14:textId="58455D78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</w:tcPr>
          <w:p w14:paraId="23375167" w14:textId="116B310C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FFFFF"/>
          </w:tcPr>
          <w:p w14:paraId="593634E7" w14:textId="317FDDC2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/>
          </w:tcPr>
          <w:p w14:paraId="5AFD8557" w14:textId="0D848F73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F2870" w:rsidRPr="00D258A1" w14:paraId="053F8AF5" w14:textId="6C9A6749" w:rsidTr="00CE504D">
        <w:trPr>
          <w:cantSplit/>
          <w:trHeight w:val="257"/>
        </w:trPr>
        <w:tc>
          <w:tcPr>
            <w:tcW w:w="241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8033CF5" w14:textId="77777777" w:rsidR="00BF2870" w:rsidRPr="00D258A1" w:rsidRDefault="00BF2870" w:rsidP="00C2731D">
            <w:pPr>
              <w:adjustRightInd w:val="0"/>
              <w:spacing w:before="20" w:after="20" w:line="256" w:lineRule="auto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1VIT04002</w:t>
            </w:r>
          </w:p>
        </w:tc>
        <w:tc>
          <w:tcPr>
            <w:tcW w:w="3420" w:type="dxa"/>
            <w:shd w:val="clear" w:color="auto" w:fill="FFFFFF"/>
          </w:tcPr>
          <w:p w14:paraId="0F22C5D0" w14:textId="7863B30E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Women’s health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F467AAA" w14:textId="07FCFA80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DDCA8AC" w14:textId="540B5ED7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</w:tcPr>
          <w:p w14:paraId="53424804" w14:textId="7850D9C4" w:rsidR="00BF2870" w:rsidRPr="002D025D" w:rsidRDefault="008F210D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6190F26E" w14:textId="75F97C01" w:rsidR="00BF2870" w:rsidRPr="002D025D" w:rsidRDefault="008F210D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2EE65F15" w14:textId="41AAADEC" w:rsidR="00BF2870" w:rsidRPr="002D025D" w:rsidRDefault="008F210D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2B33DF76" w14:textId="31300106" w:rsidR="00BF2870" w:rsidRPr="002D025D" w:rsidRDefault="008F210D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3D15D260" w14:textId="6477061E" w:rsidR="00BF2870" w:rsidRPr="002D025D" w:rsidRDefault="008F210D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41194E8A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52F00360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</w:tcPr>
          <w:p w14:paraId="21C28AD1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0E83CC4C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653E198A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25332B88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F2870" w:rsidRPr="00D258A1" w14:paraId="0601B46A" w14:textId="18204F3D" w:rsidTr="00CE504D">
        <w:trPr>
          <w:cantSplit/>
          <w:trHeight w:val="257"/>
        </w:trPr>
        <w:tc>
          <w:tcPr>
            <w:tcW w:w="241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D2FD7E7" w14:textId="77777777" w:rsidR="00BF2870" w:rsidRPr="00D258A1" w:rsidRDefault="00BF2870" w:rsidP="00C2731D">
            <w:pPr>
              <w:adjustRightInd w:val="0"/>
              <w:spacing w:before="20" w:after="20" w:line="256" w:lineRule="auto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1VIT04003</w:t>
            </w:r>
          </w:p>
        </w:tc>
        <w:tc>
          <w:tcPr>
            <w:tcW w:w="3420" w:type="dxa"/>
            <w:shd w:val="clear" w:color="auto" w:fill="FFFFFF"/>
          </w:tcPr>
          <w:p w14:paraId="05EFE025" w14:textId="44AC0433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Women’s health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F7A8DD0" w14:textId="440B70B6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B9F36AF" w14:textId="2D04A0A0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</w:tcPr>
          <w:p w14:paraId="781671AF" w14:textId="0CBAB29F" w:rsidR="00BF2870" w:rsidRPr="002D025D" w:rsidRDefault="008F210D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7EC360C8" w14:textId="705ADE4E" w:rsidR="00BF2870" w:rsidRPr="002D025D" w:rsidRDefault="008F210D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15568397" w14:textId="5F4B0663" w:rsidR="00BF2870" w:rsidRPr="002D025D" w:rsidRDefault="008F210D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136DEBB7" w14:textId="1D8D0DA1" w:rsidR="00BF2870" w:rsidRPr="002D025D" w:rsidRDefault="008F210D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3EDBEF42" w14:textId="288D5BE1" w:rsidR="00BF2870" w:rsidRPr="002D025D" w:rsidRDefault="008F210D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6B85A628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0E3F3267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</w:tcPr>
          <w:p w14:paraId="1D978824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6D8B2213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71C29E89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748EC34C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F2870" w:rsidRPr="00D258A1" w14:paraId="7B3D8077" w14:textId="6F27C46F" w:rsidTr="00CE504D">
        <w:trPr>
          <w:cantSplit/>
          <w:trHeight w:val="257"/>
        </w:trPr>
        <w:tc>
          <w:tcPr>
            <w:tcW w:w="241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83AA6B9" w14:textId="77777777" w:rsidR="00BF2870" w:rsidRPr="00D258A1" w:rsidRDefault="00BF2870" w:rsidP="00C2731D">
            <w:pPr>
              <w:adjustRightInd w:val="0"/>
              <w:spacing w:before="20" w:after="20" w:line="256" w:lineRule="auto"/>
              <w:rPr>
                <w:color w:val="000000"/>
                <w:sz w:val="22"/>
                <w:szCs w:val="22"/>
              </w:rPr>
            </w:pPr>
            <w:bookmarkStart w:id="2" w:name="OLE_LINK1"/>
            <w:r w:rsidRPr="00D258A1">
              <w:rPr>
                <w:color w:val="000000"/>
                <w:sz w:val="22"/>
                <w:szCs w:val="22"/>
              </w:rPr>
              <w:t>1VIT04004/5005</w:t>
            </w:r>
            <w:bookmarkEnd w:id="2"/>
          </w:p>
        </w:tc>
        <w:tc>
          <w:tcPr>
            <w:tcW w:w="3420" w:type="dxa"/>
            <w:shd w:val="clear" w:color="auto" w:fill="FFFFFF"/>
          </w:tcPr>
          <w:p w14:paraId="07DB0DA0" w14:textId="79B30FA4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NDD-CKD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D1B0AC7" w14:textId="5E769FBD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1797300" w14:textId="416D864B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B31D87" w:rsidRPr="002D025D">
              <w:rPr>
                <w:b/>
                <w:bCs/>
                <w:color w:val="FF0000"/>
                <w:sz w:val="22"/>
                <w:szCs w:val="22"/>
              </w:rPr>
              <w:t>/44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</w:tcPr>
          <w:p w14:paraId="765C017C" w14:textId="77D5D352" w:rsidR="00BF2870" w:rsidRPr="002D025D" w:rsidRDefault="008F210D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40B21827" w14:textId="16E0A23A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14FEEB8A" w14:textId="476ECDDF" w:rsidR="00BF2870" w:rsidRPr="002D025D" w:rsidRDefault="008F210D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2DEE5102" w14:textId="253DEDE3" w:rsidR="00BF2870" w:rsidRPr="002D025D" w:rsidRDefault="008F210D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5B20504E" w14:textId="2A6442A9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3107B62A" w14:textId="198C2B96" w:rsidR="00BF2870" w:rsidRPr="002D025D" w:rsidRDefault="00980AFE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495A4393" w14:textId="5B3B94DD" w:rsidR="00BF2870" w:rsidRPr="002D025D" w:rsidRDefault="00980AFE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345E90FB" w14:textId="5B1B369D" w:rsidR="00BF2870" w:rsidRPr="002D025D" w:rsidRDefault="00980AFE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617A6EE6" w14:textId="645CBC7F" w:rsidR="00BF2870" w:rsidRPr="002D025D" w:rsidRDefault="00980AFE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4FBF1F28" w14:textId="5994B500" w:rsidR="00BF2870" w:rsidRPr="002D025D" w:rsidRDefault="00980AFE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7A20FFC9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F2870" w:rsidRPr="00D258A1" w14:paraId="7C69453B" w14:textId="35293578" w:rsidTr="00CE504D">
        <w:trPr>
          <w:cantSplit/>
          <w:trHeight w:val="242"/>
        </w:trPr>
        <w:tc>
          <w:tcPr>
            <w:tcW w:w="241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58CE011" w14:textId="77777777" w:rsidR="00BF2870" w:rsidRPr="00D258A1" w:rsidRDefault="00BF2870" w:rsidP="00C2731D">
            <w:pPr>
              <w:adjustRightInd w:val="0"/>
              <w:spacing w:before="20" w:after="20" w:line="256" w:lineRule="auto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1VIT05006</w:t>
            </w:r>
          </w:p>
        </w:tc>
        <w:tc>
          <w:tcPr>
            <w:tcW w:w="3420" w:type="dxa"/>
            <w:shd w:val="clear" w:color="auto" w:fill="FFFFFF"/>
          </w:tcPr>
          <w:p w14:paraId="7E9E606B" w14:textId="2F2E6DAC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GI/HD-CKD/NDD-CKD/</w:t>
            </w:r>
            <w:r w:rsidR="00CE504D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Women’s health/Other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87CBFF2" w14:textId="79A65F2E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575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4DC8F10" w14:textId="14791667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</w:tcPr>
          <w:p w14:paraId="3C51997B" w14:textId="2BBFB7F5" w:rsidR="00BF2870" w:rsidRPr="002D025D" w:rsidRDefault="008F210D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67A836B2" w14:textId="7B4775CB" w:rsidR="00BF2870" w:rsidRPr="002D025D" w:rsidRDefault="008F210D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738BA196" w14:textId="77D1B6EF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52A8FCA9" w14:textId="497733DA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33B6CAAB" w14:textId="7305D7CF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419322E7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5E57BEDB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</w:tcPr>
          <w:p w14:paraId="5942BB59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040CACCD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1526BAFD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631FE409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F2870" w:rsidRPr="00D258A1" w14:paraId="386458B4" w14:textId="3B39EB37" w:rsidTr="00CE504D">
        <w:trPr>
          <w:cantSplit/>
          <w:trHeight w:val="257"/>
        </w:trPr>
        <w:tc>
          <w:tcPr>
            <w:tcW w:w="241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0A23208" w14:textId="77777777" w:rsidR="00BF2870" w:rsidRPr="00D258A1" w:rsidRDefault="00BF2870" w:rsidP="00C2731D">
            <w:pPr>
              <w:adjustRightInd w:val="0"/>
              <w:spacing w:before="20" w:after="20" w:line="256" w:lineRule="auto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1VIT05009</w:t>
            </w:r>
          </w:p>
        </w:tc>
        <w:tc>
          <w:tcPr>
            <w:tcW w:w="3420" w:type="dxa"/>
            <w:shd w:val="clear" w:color="auto" w:fill="FFFFFF"/>
          </w:tcPr>
          <w:p w14:paraId="3903687B" w14:textId="5F93CEE6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Neurology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96622F7" w14:textId="1CE5DAB1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E583134" w14:textId="0FF13C26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</w:tcPr>
          <w:p w14:paraId="5CACBE69" w14:textId="3CDDE464" w:rsidR="00BF2870" w:rsidRPr="002D025D" w:rsidRDefault="0055140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38AB5CD9" w14:textId="45A4DA36" w:rsidR="00BF2870" w:rsidRPr="002D025D" w:rsidRDefault="0055140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25B6FB3E" w14:textId="1DEBBFA6" w:rsidR="00BF2870" w:rsidRPr="002D025D" w:rsidRDefault="0055140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4DC3D6D5" w14:textId="60EB49CD" w:rsidR="00BF2870" w:rsidRPr="002D025D" w:rsidRDefault="0055140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71D99443" w14:textId="59EC35C2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03CFA8BD" w14:textId="1352B7CE" w:rsidR="00BF2870" w:rsidRPr="002D025D" w:rsidRDefault="00980AFE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5FC37644" w14:textId="7C3E9996" w:rsidR="00BF2870" w:rsidRPr="002D025D" w:rsidRDefault="00980AFE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3985FA7A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48B407DB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79782FC5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061B2F7F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F2870" w:rsidRPr="00D258A1" w14:paraId="16D3B245" w14:textId="2AD94C3B" w:rsidTr="00CE504D">
        <w:trPr>
          <w:cantSplit/>
          <w:trHeight w:val="257"/>
        </w:trPr>
        <w:tc>
          <w:tcPr>
            <w:tcW w:w="241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64FC037" w14:textId="77777777" w:rsidR="00BF2870" w:rsidRPr="00D258A1" w:rsidRDefault="00BF2870" w:rsidP="00C2731D">
            <w:pPr>
              <w:adjustRightInd w:val="0"/>
              <w:spacing w:before="20" w:after="20" w:line="256" w:lineRule="auto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1VIT06011</w:t>
            </w:r>
          </w:p>
        </w:tc>
        <w:tc>
          <w:tcPr>
            <w:tcW w:w="3420" w:type="dxa"/>
            <w:shd w:val="clear" w:color="auto" w:fill="FFFFFF"/>
          </w:tcPr>
          <w:p w14:paraId="7874E3ED" w14:textId="03C551B2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Women’s health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C8DE89B" w14:textId="52CC08A8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B2147FF" w14:textId="5D9D0B96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</w:tcPr>
          <w:p w14:paraId="401E49C8" w14:textId="49CEB3C4" w:rsidR="00BF2870" w:rsidRPr="002D025D" w:rsidRDefault="0055140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5A9A2AD7" w14:textId="27F3EB76" w:rsidR="00BF2870" w:rsidRPr="002D025D" w:rsidRDefault="0055140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30F430F0" w14:textId="26016458" w:rsidR="00BF2870" w:rsidRPr="002D025D" w:rsidRDefault="0055140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6EBC3CFA" w14:textId="20CBD021" w:rsidR="00BF2870" w:rsidRPr="002D025D" w:rsidRDefault="0055140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50B39534" w14:textId="58A7ED39" w:rsidR="00BF2870" w:rsidRPr="002D025D" w:rsidRDefault="0055140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32EABDAB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695DADF7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</w:tcPr>
          <w:p w14:paraId="2FFD85E0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781E49CB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7436D1A3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16BDAE23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F2870" w:rsidRPr="00D258A1" w14:paraId="2FE3FE69" w14:textId="6D484702" w:rsidTr="00CE504D">
        <w:trPr>
          <w:cantSplit/>
          <w:trHeight w:val="257"/>
        </w:trPr>
        <w:tc>
          <w:tcPr>
            <w:tcW w:w="241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1F371CC" w14:textId="77777777" w:rsidR="00BF2870" w:rsidRPr="00D258A1" w:rsidRDefault="00BF2870" w:rsidP="00C2731D">
            <w:pPr>
              <w:adjustRightInd w:val="0"/>
              <w:spacing w:before="20" w:after="20" w:line="256" w:lineRule="auto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1VIT07017</w:t>
            </w:r>
          </w:p>
        </w:tc>
        <w:tc>
          <w:tcPr>
            <w:tcW w:w="3420" w:type="dxa"/>
            <w:shd w:val="clear" w:color="auto" w:fill="FFFFFF"/>
          </w:tcPr>
          <w:p w14:paraId="6D3758ED" w14:textId="43DBC246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Women’s health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3618576" w14:textId="37590591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F49DE5A" w14:textId="09BEDFCD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</w:tcPr>
          <w:p w14:paraId="7D44AECD" w14:textId="491025A3" w:rsidR="00BF2870" w:rsidRPr="002D025D" w:rsidRDefault="0055140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744026CD" w14:textId="4A106126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3FC054D2" w14:textId="135BB2F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264124A8" w14:textId="700ADC41" w:rsidR="00BF2870" w:rsidRPr="002D025D" w:rsidRDefault="0055140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218DEB40" w14:textId="2C5E3EA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751675C8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5AB560CD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</w:tcPr>
          <w:p w14:paraId="71ED28D7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0F7CA0E8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2CD2E5B1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516FCB65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F2870" w:rsidRPr="00D258A1" w14:paraId="20FBE480" w14:textId="09896D75" w:rsidTr="00CE504D">
        <w:trPr>
          <w:cantSplit/>
          <w:trHeight w:val="242"/>
        </w:trPr>
        <w:tc>
          <w:tcPr>
            <w:tcW w:w="241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D5E50B6" w14:textId="77777777" w:rsidR="00BF2870" w:rsidRPr="00D258A1" w:rsidRDefault="00BF2870" w:rsidP="00C2731D">
            <w:pPr>
              <w:adjustRightInd w:val="0"/>
              <w:spacing w:before="20" w:after="20" w:line="256" w:lineRule="auto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1VIT07018</w:t>
            </w:r>
          </w:p>
        </w:tc>
        <w:tc>
          <w:tcPr>
            <w:tcW w:w="3420" w:type="dxa"/>
            <w:shd w:val="clear" w:color="auto" w:fill="FFFFFF"/>
          </w:tcPr>
          <w:p w14:paraId="6F8C3808" w14:textId="5E47F92F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HD-CKD/NDD-CKD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64B0758" w14:textId="7F5B6059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765A1C5" w14:textId="58FD509F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</w:tcPr>
          <w:p w14:paraId="56513053" w14:textId="5BC3B17C" w:rsidR="00BF2870" w:rsidRPr="002D025D" w:rsidRDefault="0055140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70BF2F75" w14:textId="5AE1128D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47D8F097" w14:textId="2FB82B8A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151B028C" w14:textId="0585A152" w:rsidR="00BF2870" w:rsidRPr="002D025D" w:rsidRDefault="0055140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38A24E48" w14:textId="1026E1AD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2982B453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36566565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</w:tcPr>
          <w:p w14:paraId="1241EC12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11A723AE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0C3C1250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0A000617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F2870" w:rsidRPr="00D258A1" w14:paraId="0C7E0513" w14:textId="35472A44" w:rsidTr="00CE504D">
        <w:trPr>
          <w:cantSplit/>
          <w:trHeight w:val="257"/>
        </w:trPr>
        <w:tc>
          <w:tcPr>
            <w:tcW w:w="241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C9A0EB9" w14:textId="77777777" w:rsidR="00BF2870" w:rsidRPr="00D258A1" w:rsidRDefault="00BF2870" w:rsidP="00C2731D">
            <w:pPr>
              <w:adjustRightInd w:val="0"/>
              <w:spacing w:before="20" w:after="20" w:line="256" w:lineRule="auto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1VIT08019</w:t>
            </w:r>
          </w:p>
        </w:tc>
        <w:tc>
          <w:tcPr>
            <w:tcW w:w="3420" w:type="dxa"/>
            <w:shd w:val="clear" w:color="auto" w:fill="FFFFFF"/>
          </w:tcPr>
          <w:p w14:paraId="69E8A932" w14:textId="41921919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GI/NDD-CKD/Women’s health/Other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D339F9B" w14:textId="714E74ED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07ED354" w14:textId="65D0F28A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</w:tcPr>
          <w:p w14:paraId="3AE2B163" w14:textId="62A843C3" w:rsidR="00BF2870" w:rsidRPr="002D025D" w:rsidRDefault="0055140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35EB925E" w14:textId="38092527" w:rsidR="00BF2870" w:rsidRPr="002D025D" w:rsidRDefault="0055140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5C918D02" w14:textId="1E880CED" w:rsidR="00BF2870" w:rsidRPr="002D025D" w:rsidRDefault="0055140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773758A5" w14:textId="01ED5FCD" w:rsidR="00BF2870" w:rsidRPr="002D025D" w:rsidRDefault="0055140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70D2AAE3" w14:textId="60E46D0C" w:rsidR="00BF2870" w:rsidRPr="002D025D" w:rsidRDefault="0055140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144ED6E2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65543788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</w:tcPr>
          <w:p w14:paraId="4ECD595B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163FCB4C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7DB9684E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2FCF6EF9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F2870" w:rsidRPr="00D258A1" w14:paraId="00A0A329" w14:textId="0F9CA7AD" w:rsidTr="00CE504D">
        <w:trPr>
          <w:cantSplit/>
          <w:trHeight w:val="257"/>
        </w:trPr>
        <w:tc>
          <w:tcPr>
            <w:tcW w:w="241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4DB2500" w14:textId="77777777" w:rsidR="00BF2870" w:rsidRPr="00D258A1" w:rsidRDefault="00BF2870" w:rsidP="00C2731D">
            <w:pPr>
              <w:adjustRightInd w:val="0"/>
              <w:spacing w:before="20" w:after="20" w:line="256" w:lineRule="auto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1VIT08020</w:t>
            </w:r>
          </w:p>
        </w:tc>
        <w:tc>
          <w:tcPr>
            <w:tcW w:w="3420" w:type="dxa"/>
            <w:shd w:val="clear" w:color="auto" w:fill="FFFFFF"/>
          </w:tcPr>
          <w:p w14:paraId="7F8460E3" w14:textId="645D9AD1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GI/NDD-CKD/Women’s health/Other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62756E6" w14:textId="1DAFE22C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E3DB6F4" w14:textId="39D5B3EF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</w:tcPr>
          <w:p w14:paraId="343DC648" w14:textId="4288A349" w:rsidR="00BF2870" w:rsidRPr="002D025D" w:rsidRDefault="0055140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208BC3B9" w14:textId="7D7472B6" w:rsidR="00BF2870" w:rsidRPr="002D025D" w:rsidRDefault="0055140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3BE4ED35" w14:textId="3EF309C9" w:rsidR="00BF2870" w:rsidRPr="002D025D" w:rsidRDefault="0055140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2C9BCC1F" w14:textId="5749E9B3" w:rsidR="00BF2870" w:rsidRPr="002D025D" w:rsidRDefault="0055140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6486704A" w14:textId="21EF0300" w:rsidR="00BF2870" w:rsidRPr="002D025D" w:rsidRDefault="0055140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359165C4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2A1D9B21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</w:tcPr>
          <w:p w14:paraId="445F8821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0B4CC5E2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4BBCAD17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2BA157D0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F2870" w:rsidRPr="00D258A1" w14:paraId="223D9BB9" w14:textId="36FA7783" w:rsidTr="00CE504D">
        <w:trPr>
          <w:cantSplit/>
          <w:trHeight w:val="242"/>
        </w:trPr>
        <w:tc>
          <w:tcPr>
            <w:tcW w:w="241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D52C586" w14:textId="77777777" w:rsidR="00BF2870" w:rsidRPr="00D258A1" w:rsidRDefault="00BF2870" w:rsidP="00C2731D">
            <w:pPr>
              <w:adjustRightInd w:val="0"/>
              <w:spacing w:before="20" w:after="20" w:line="256" w:lineRule="auto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1VIT08021</w:t>
            </w:r>
          </w:p>
        </w:tc>
        <w:tc>
          <w:tcPr>
            <w:tcW w:w="3420" w:type="dxa"/>
            <w:shd w:val="clear" w:color="auto" w:fill="FFFFFF"/>
          </w:tcPr>
          <w:p w14:paraId="6DF31944" w14:textId="081A86EB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GI/NDD-CKD/Women’s health/Other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B7091B1" w14:textId="1485D96E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891F3AA" w14:textId="4771B14E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</w:tcPr>
          <w:p w14:paraId="4CDAEA21" w14:textId="565460EF" w:rsidR="00BF2870" w:rsidRPr="002D025D" w:rsidRDefault="0055140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37AA6788" w14:textId="6FA1C11E" w:rsidR="00BF2870" w:rsidRPr="002D025D" w:rsidRDefault="0055140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625516F6" w14:textId="27025F5B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49042851" w14:textId="5D04AD42" w:rsidR="00BF2870" w:rsidRPr="002D025D" w:rsidRDefault="0055140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404838E7" w14:textId="50BE8E62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7C7B1D5C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2370AB59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</w:tcPr>
          <w:p w14:paraId="44CA2B32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6F05DA02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2FEB6EEF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48DA96F2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F2870" w:rsidRPr="00D258A1" w14:paraId="78EB3C30" w14:textId="27241AD2" w:rsidTr="00CE504D">
        <w:trPr>
          <w:cantSplit/>
          <w:trHeight w:val="257"/>
        </w:trPr>
        <w:tc>
          <w:tcPr>
            <w:tcW w:w="241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E9D185C" w14:textId="77777777" w:rsidR="00BF2870" w:rsidRPr="00D258A1" w:rsidRDefault="00BF2870" w:rsidP="00C2731D">
            <w:pPr>
              <w:adjustRightInd w:val="0"/>
              <w:spacing w:before="20" w:after="20" w:line="256" w:lineRule="auto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1VIT08022</w:t>
            </w:r>
          </w:p>
        </w:tc>
        <w:tc>
          <w:tcPr>
            <w:tcW w:w="3420" w:type="dxa"/>
            <w:shd w:val="clear" w:color="auto" w:fill="FFFFFF"/>
          </w:tcPr>
          <w:p w14:paraId="53F0B66A" w14:textId="4BB64895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Women’s health/Other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BBC7BA1" w14:textId="221D2A69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8DFB338" w14:textId="1EDAE61E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</w:tcPr>
          <w:p w14:paraId="2309DCF0" w14:textId="162D9688" w:rsidR="00BF2870" w:rsidRPr="002D025D" w:rsidRDefault="0055140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42028213" w14:textId="7F279F84" w:rsidR="00BF2870" w:rsidRPr="002D025D" w:rsidRDefault="0055140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4FA4E98B" w14:textId="4AED03B0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65761F88" w14:textId="539FAA4A" w:rsidR="00BF2870" w:rsidRPr="002D025D" w:rsidRDefault="0055140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19717367" w14:textId="3463852F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2FB1EDED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6C246B66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</w:tcPr>
          <w:p w14:paraId="4DD6ABBC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0B2DA9C4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3561DF7A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457EE358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F2870" w:rsidRPr="00D258A1" w14:paraId="0FDB330B" w14:textId="5704761B" w:rsidTr="00CE504D">
        <w:trPr>
          <w:cantSplit/>
          <w:trHeight w:val="257"/>
        </w:trPr>
        <w:tc>
          <w:tcPr>
            <w:tcW w:w="241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0B0EF0C" w14:textId="77777777" w:rsidR="00BF2870" w:rsidRPr="00D258A1" w:rsidRDefault="00BF2870" w:rsidP="00C2731D">
            <w:pPr>
              <w:adjustRightInd w:val="0"/>
              <w:spacing w:before="20" w:after="20" w:line="256" w:lineRule="auto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1VIT08023</w:t>
            </w:r>
          </w:p>
        </w:tc>
        <w:tc>
          <w:tcPr>
            <w:tcW w:w="3420" w:type="dxa"/>
            <w:shd w:val="clear" w:color="auto" w:fill="FFFFFF"/>
          </w:tcPr>
          <w:p w14:paraId="232DDEB8" w14:textId="6FD94916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Women’s health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ECF7501" w14:textId="5492EA28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7C87270" w14:textId="6FCF9AB7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</w:tcPr>
          <w:p w14:paraId="25984E25" w14:textId="2B8E9401" w:rsidR="00BF2870" w:rsidRPr="002D025D" w:rsidRDefault="00796AFC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6FFBC98A" w14:textId="5CFC9810" w:rsidR="00BF2870" w:rsidRPr="002D025D" w:rsidRDefault="00796AFC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161CD6BE" w14:textId="5C00B087" w:rsidR="00BF2870" w:rsidRPr="002D025D" w:rsidRDefault="0055140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650A82DE" w14:textId="695B2F2A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29B2F045" w14:textId="014AB63A" w:rsidR="00BF2870" w:rsidRPr="002D025D" w:rsidRDefault="0055140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4C19FCE7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4363706B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</w:tcPr>
          <w:p w14:paraId="4190FFE4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4D9A2A49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1ED87F5D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6D05ED2B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F2870" w:rsidRPr="00D258A1" w14:paraId="106E07E6" w14:textId="1DEA9AAE" w:rsidTr="00CE504D">
        <w:trPr>
          <w:cantSplit/>
          <w:trHeight w:val="257"/>
        </w:trPr>
        <w:tc>
          <w:tcPr>
            <w:tcW w:w="241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62AA9AB" w14:textId="77777777" w:rsidR="00BF2870" w:rsidRPr="00D258A1" w:rsidRDefault="00BF2870" w:rsidP="00C2731D">
            <w:pPr>
              <w:adjustRightInd w:val="0"/>
              <w:spacing w:before="20" w:after="20" w:line="256" w:lineRule="auto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1VIT09030</w:t>
            </w:r>
          </w:p>
        </w:tc>
        <w:tc>
          <w:tcPr>
            <w:tcW w:w="3420" w:type="dxa"/>
            <w:shd w:val="clear" w:color="auto" w:fill="FFFFFF"/>
          </w:tcPr>
          <w:p w14:paraId="12E22220" w14:textId="32E5F6C9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NDD-CKD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DBBFA76" w14:textId="31C5F8AF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1263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F844593" w14:textId="20CBF2D9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</w:tcPr>
          <w:p w14:paraId="500A17B4" w14:textId="6050E355" w:rsidR="00BF2870" w:rsidRPr="002D025D" w:rsidRDefault="00796AFC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398566ED" w14:textId="232E6DA6" w:rsidR="00BF2870" w:rsidRPr="002D025D" w:rsidRDefault="00796AFC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6A389463" w14:textId="00BFA2BB" w:rsidR="00BF2870" w:rsidRPr="002D025D" w:rsidRDefault="00796AFC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6A15737E" w14:textId="342C3502" w:rsidR="00BF2870" w:rsidRPr="002D025D" w:rsidRDefault="00796AFC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4C3F57E4" w14:textId="14ABBE4E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78E42DE6" w14:textId="521CB657" w:rsidR="00BF2870" w:rsidRPr="002D025D" w:rsidRDefault="00CE504D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22902F4C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</w:tcPr>
          <w:p w14:paraId="3EE271CD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1012B3BC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3B0A5818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203DF6DA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F2870" w:rsidRPr="00D258A1" w14:paraId="70A0485D" w14:textId="5393E66F" w:rsidTr="00CE504D">
        <w:trPr>
          <w:cantSplit/>
          <w:trHeight w:val="242"/>
        </w:trPr>
        <w:tc>
          <w:tcPr>
            <w:tcW w:w="241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7BF0FF4" w14:textId="77777777" w:rsidR="00BF2870" w:rsidRPr="00D258A1" w:rsidRDefault="00BF2870" w:rsidP="00C2731D">
            <w:pPr>
              <w:adjustRightInd w:val="0"/>
              <w:spacing w:before="20" w:after="20" w:line="256" w:lineRule="auto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1VIT09031</w:t>
            </w:r>
          </w:p>
        </w:tc>
        <w:tc>
          <w:tcPr>
            <w:tcW w:w="3420" w:type="dxa"/>
            <w:shd w:val="clear" w:color="auto" w:fill="FFFFFF"/>
          </w:tcPr>
          <w:p w14:paraId="2F709AA9" w14:textId="75428955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GI/NDD-CKD/Women’s health/Other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7D3F169" w14:textId="0843E338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493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8E126F4" w14:textId="6B26CE49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</w:tcPr>
          <w:p w14:paraId="574A6DA5" w14:textId="3A2E11F3" w:rsidR="00BF2870" w:rsidRPr="002D025D" w:rsidRDefault="00796AFC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68A752DA" w14:textId="2674F8C3" w:rsidR="00BF2870" w:rsidRPr="002D025D" w:rsidRDefault="00796AFC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2D6AB7E2" w14:textId="089236A6" w:rsidR="00BF2870" w:rsidRPr="002D025D" w:rsidRDefault="00796AFC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1B59399F" w14:textId="34A9194F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033BAD18" w14:textId="68CF74AE" w:rsidR="00BF2870" w:rsidRPr="002D025D" w:rsidRDefault="00796AFC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77F170FC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30BD1627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</w:tcPr>
          <w:p w14:paraId="4D019B0C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05127EAC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0461612E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5426D2A0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F2870" w:rsidRPr="00D258A1" w14:paraId="6861229C" w14:textId="3DCB8E31" w:rsidTr="00CE504D">
        <w:trPr>
          <w:cantSplit/>
          <w:trHeight w:val="257"/>
        </w:trPr>
        <w:tc>
          <w:tcPr>
            <w:tcW w:w="241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A6B4536" w14:textId="77777777" w:rsidR="00BF2870" w:rsidRPr="00D258A1" w:rsidRDefault="00BF2870" w:rsidP="00C2731D">
            <w:pPr>
              <w:adjustRightInd w:val="0"/>
              <w:spacing w:before="20" w:after="20" w:line="256" w:lineRule="auto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1VIT13035</w:t>
            </w:r>
          </w:p>
        </w:tc>
        <w:tc>
          <w:tcPr>
            <w:tcW w:w="3420" w:type="dxa"/>
            <w:shd w:val="clear" w:color="auto" w:fill="FFFFFF"/>
          </w:tcPr>
          <w:p w14:paraId="66C9147B" w14:textId="1007FAAD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04B22C0" w14:textId="0DEA0B88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D80FC70" w14:textId="7BFE24B9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</w:tcPr>
          <w:p w14:paraId="5D578620" w14:textId="4CF85714" w:rsidR="00BF2870" w:rsidRPr="002D025D" w:rsidRDefault="00796AFC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1DEE360E" w14:textId="4B7DE624" w:rsidR="00BF2870" w:rsidRPr="002D025D" w:rsidRDefault="00796AFC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60419262" w14:textId="72307118" w:rsidR="00BF2870" w:rsidRPr="002D025D" w:rsidRDefault="00796AFC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43623801" w14:textId="4018E915" w:rsidR="00BF2870" w:rsidRPr="002D025D" w:rsidRDefault="00796AFC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06EA2032" w14:textId="7C01DF8D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017A0254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7C20CF1D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</w:tcPr>
          <w:p w14:paraId="65244990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5416C1BE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0EF996EC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5786489E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F2870" w:rsidRPr="00D258A1" w14:paraId="294A71CB" w14:textId="2D7B467F" w:rsidTr="00CE504D">
        <w:trPr>
          <w:cantSplit/>
          <w:trHeight w:val="257"/>
        </w:trPr>
        <w:tc>
          <w:tcPr>
            <w:tcW w:w="241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578FB41" w14:textId="77777777" w:rsidR="00BF2870" w:rsidRPr="00D258A1" w:rsidRDefault="00BF2870" w:rsidP="00C2731D">
            <w:pPr>
              <w:adjustRightInd w:val="0"/>
              <w:spacing w:before="20" w:after="20" w:line="256" w:lineRule="auto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1VIT14037</w:t>
            </w:r>
          </w:p>
        </w:tc>
        <w:tc>
          <w:tcPr>
            <w:tcW w:w="3420" w:type="dxa"/>
            <w:shd w:val="clear" w:color="auto" w:fill="FFFFFF"/>
          </w:tcPr>
          <w:p w14:paraId="2F345272" w14:textId="402831BA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Neurology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D4BCC25" w14:textId="4B2395BD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FE397FD" w14:textId="61089505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</w:tcPr>
          <w:p w14:paraId="720D5DFE" w14:textId="610EC982" w:rsidR="00BF2870" w:rsidRPr="002D025D" w:rsidRDefault="00980AFE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4C34CB04" w14:textId="0921B4AB" w:rsidR="00BF2870" w:rsidRPr="002D025D" w:rsidRDefault="00980AFE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776C08AE" w14:textId="0F49B26E" w:rsidR="00BF2870" w:rsidRPr="002D025D" w:rsidRDefault="00980AFE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0F40E035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187F0EE4" w14:textId="3BBB0A94" w:rsidR="00BF2870" w:rsidRPr="002D025D" w:rsidRDefault="00980AFE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6B6D3C40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240FF857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</w:tcPr>
          <w:p w14:paraId="3EAF60CE" w14:textId="598F2476" w:rsidR="00BF2870" w:rsidRPr="002D025D" w:rsidRDefault="00980AFE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6F5224F3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0DF3DA39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79B8E946" w14:textId="74194FD0" w:rsidR="00BF2870" w:rsidRPr="002D025D" w:rsidRDefault="00980AFE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</w:tr>
      <w:tr w:rsidR="00BF2870" w:rsidRPr="00D258A1" w14:paraId="5AD91CE4" w14:textId="20915EEE" w:rsidTr="00CE504D">
        <w:trPr>
          <w:cantSplit/>
          <w:trHeight w:val="257"/>
        </w:trPr>
        <w:tc>
          <w:tcPr>
            <w:tcW w:w="241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4D6C33B" w14:textId="77777777" w:rsidR="00BF2870" w:rsidRPr="00D258A1" w:rsidRDefault="00BF2870" w:rsidP="00C2731D">
            <w:pPr>
              <w:adjustRightInd w:val="0"/>
              <w:spacing w:before="20" w:after="20" w:line="256" w:lineRule="auto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1VIT14038</w:t>
            </w:r>
          </w:p>
        </w:tc>
        <w:tc>
          <w:tcPr>
            <w:tcW w:w="3420" w:type="dxa"/>
            <w:shd w:val="clear" w:color="auto" w:fill="FFFFFF"/>
          </w:tcPr>
          <w:p w14:paraId="43C43328" w14:textId="0600CDEF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Neurology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E0C5BB2" w14:textId="054BB0A4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B26640E" w14:textId="2685DCA2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</w:tcPr>
          <w:p w14:paraId="5CE874F1" w14:textId="17BD4976" w:rsidR="00BF2870" w:rsidRPr="002D025D" w:rsidRDefault="00796AFC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31F1FDD5" w14:textId="21D9DCE4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440B958C" w14:textId="1AFB1B4E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7F56625D" w14:textId="582DC3ED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6C4A9913" w14:textId="556ACB1C" w:rsidR="00BF2870" w:rsidRPr="002D025D" w:rsidRDefault="00796AFC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0C94047F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6D073F86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</w:tcPr>
          <w:p w14:paraId="47024C81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3A42C209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3CF43AE6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5B27C157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F2870" w:rsidRPr="00D258A1" w14:paraId="4298EBC6" w14:textId="328643ED" w:rsidTr="00CE504D">
        <w:trPr>
          <w:cantSplit/>
          <w:trHeight w:val="242"/>
        </w:trPr>
        <w:tc>
          <w:tcPr>
            <w:tcW w:w="241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74F294A" w14:textId="77777777" w:rsidR="00BF2870" w:rsidRPr="00D258A1" w:rsidRDefault="00BF2870" w:rsidP="00C2731D">
            <w:pPr>
              <w:adjustRightInd w:val="0"/>
              <w:spacing w:before="20" w:after="20" w:line="256" w:lineRule="auto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1VIT14039</w:t>
            </w:r>
          </w:p>
        </w:tc>
        <w:tc>
          <w:tcPr>
            <w:tcW w:w="3420" w:type="dxa"/>
            <w:shd w:val="clear" w:color="auto" w:fill="FFFFFF"/>
          </w:tcPr>
          <w:p w14:paraId="5AAD9A8D" w14:textId="4897577E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2F0047A" w14:textId="58EB6C7B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CE89B41" w14:textId="71046226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</w:tcPr>
          <w:p w14:paraId="5E5D29FD" w14:textId="4A635DDA" w:rsidR="00BF2870" w:rsidRPr="002D025D" w:rsidRDefault="00980AFE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41C6E75C" w14:textId="0A305D6A" w:rsidR="00BF2870" w:rsidRPr="002D025D" w:rsidRDefault="00980AFE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1FC3940F" w14:textId="3B0A99C3" w:rsidR="00BF2870" w:rsidRPr="002D025D" w:rsidRDefault="00980AFE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520747A4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063A457B" w14:textId="0D9A832B" w:rsidR="00BF2870" w:rsidRPr="002D025D" w:rsidRDefault="00980AFE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511F2E9C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53645606" w14:textId="5BE00FB5" w:rsidR="00BF2870" w:rsidRPr="002D025D" w:rsidRDefault="00980AFE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65061C82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4DA9DCC9" w14:textId="0EDC238C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72D7607F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384F2B8A" w14:textId="0189645E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F2870" w:rsidRPr="00D258A1" w14:paraId="795B0CC0" w14:textId="7035FB15" w:rsidTr="00CE504D">
        <w:trPr>
          <w:cantSplit/>
          <w:trHeight w:val="257"/>
        </w:trPr>
        <w:tc>
          <w:tcPr>
            <w:tcW w:w="241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C188030" w14:textId="77777777" w:rsidR="00BF2870" w:rsidRPr="00D258A1" w:rsidRDefault="00BF2870" w:rsidP="00C2731D">
            <w:pPr>
              <w:adjustRightInd w:val="0"/>
              <w:spacing w:before="20" w:after="20" w:line="256" w:lineRule="auto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BOLINJ-08</w:t>
            </w:r>
          </w:p>
        </w:tc>
        <w:tc>
          <w:tcPr>
            <w:tcW w:w="3420" w:type="dxa"/>
            <w:shd w:val="clear" w:color="auto" w:fill="FFFFFF"/>
          </w:tcPr>
          <w:p w14:paraId="45C023F1" w14:textId="64CA5B25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2FA9A43" w14:textId="510EF454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2FCDA9A" w14:textId="1C6F7651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</w:tcPr>
          <w:p w14:paraId="7C18F25B" w14:textId="53595818" w:rsidR="00BF2870" w:rsidRPr="002D025D" w:rsidRDefault="00796AFC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3F5EA9FE" w14:textId="15D24D51" w:rsidR="00BF2870" w:rsidRPr="002D025D" w:rsidRDefault="00796AFC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67DC1996" w14:textId="1D83E755" w:rsidR="00BF2870" w:rsidRPr="002D025D" w:rsidRDefault="00796AFC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45DA147C" w14:textId="7F2D52A1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7605F5BF" w14:textId="585949D5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5F4B4F4A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32BD6160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</w:tcPr>
          <w:p w14:paraId="7C42EB11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63631B10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03B37139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2EF00904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F2870" w:rsidRPr="00D258A1" w14:paraId="70379BD9" w14:textId="0E19CE10" w:rsidTr="00CE504D">
        <w:trPr>
          <w:cantSplit/>
          <w:trHeight w:val="257"/>
        </w:trPr>
        <w:tc>
          <w:tcPr>
            <w:tcW w:w="241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EF1D677" w14:textId="77777777" w:rsidR="00BF2870" w:rsidRPr="00D258A1" w:rsidRDefault="00BF2870" w:rsidP="00C2731D">
            <w:pPr>
              <w:adjustRightInd w:val="0"/>
              <w:spacing w:before="20" w:after="20" w:line="256" w:lineRule="auto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FER-AOC-MM</w:t>
            </w:r>
          </w:p>
        </w:tc>
        <w:tc>
          <w:tcPr>
            <w:tcW w:w="3420" w:type="dxa"/>
            <w:shd w:val="clear" w:color="auto" w:fill="FFFFFF"/>
          </w:tcPr>
          <w:p w14:paraId="78C6C094" w14:textId="4FFCDFA6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EBD4F06" w14:textId="772F9DD4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F8D7111" w14:textId="265E790D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</w:tcPr>
          <w:p w14:paraId="51022BFB" w14:textId="5EABC2B2" w:rsidR="00BF2870" w:rsidRPr="002D025D" w:rsidRDefault="00796AFC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4846C77B" w14:textId="786F3237" w:rsidR="00BF2870" w:rsidRPr="002D025D" w:rsidRDefault="00796AFC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6B65DD1A" w14:textId="6B1E8CD9" w:rsidR="00BF2870" w:rsidRPr="002D025D" w:rsidRDefault="00796AFC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62A11A84" w14:textId="205894CD" w:rsidR="00BF2870" w:rsidRPr="002D025D" w:rsidRDefault="00796AFC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02DAADA3" w14:textId="1B2B32D0" w:rsidR="00BF2870" w:rsidRPr="002D025D" w:rsidRDefault="00796AFC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5CCF234D" w14:textId="28308D52" w:rsidR="00BF2870" w:rsidRPr="002D025D" w:rsidRDefault="00CE504D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0312AC60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</w:tcPr>
          <w:p w14:paraId="0AE641C0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0D8C3A0A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4AC036B4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369EC19E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F2870" w:rsidRPr="00D258A1" w14:paraId="4EE11FEC" w14:textId="7E21615F" w:rsidTr="00CE504D">
        <w:trPr>
          <w:cantSplit/>
          <w:trHeight w:val="257"/>
        </w:trPr>
        <w:tc>
          <w:tcPr>
            <w:tcW w:w="241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92B3D81" w14:textId="77777777" w:rsidR="00BF2870" w:rsidRPr="00D258A1" w:rsidRDefault="00BF2870" w:rsidP="00C2731D">
            <w:pPr>
              <w:adjustRightInd w:val="0"/>
              <w:spacing w:before="20" w:after="20" w:line="256" w:lineRule="auto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lastRenderedPageBreak/>
              <w:t>FER-ASAP-2009-01</w:t>
            </w:r>
          </w:p>
        </w:tc>
        <w:tc>
          <w:tcPr>
            <w:tcW w:w="3420" w:type="dxa"/>
            <w:shd w:val="clear" w:color="auto" w:fill="FFFFFF"/>
          </w:tcPr>
          <w:p w14:paraId="7DE766AF" w14:textId="6E4A63D7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AE3390E" w14:textId="7BD6E3A0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A10BAF5" w14:textId="1DD1067D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</w:tcPr>
          <w:p w14:paraId="41EA6816" w14:textId="3A4653B2" w:rsidR="00BF2870" w:rsidRPr="002D025D" w:rsidRDefault="00796AFC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1355113C" w14:textId="27E38489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5B0EAEB4" w14:textId="594330B0" w:rsidR="00BF2870" w:rsidRPr="002D025D" w:rsidRDefault="00796AFC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shd w:val="clear" w:color="auto" w:fill="FFFFFF"/>
          </w:tcPr>
          <w:p w14:paraId="19CB28AC" w14:textId="14BA866A" w:rsidR="00BF2870" w:rsidRPr="002D025D" w:rsidRDefault="00796AFC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3DBD623E" w14:textId="5472393D" w:rsidR="00BF2870" w:rsidRPr="002D025D" w:rsidRDefault="00796AFC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7B2D83FB" w14:textId="1610AFD0" w:rsidR="00BF2870" w:rsidRPr="002D025D" w:rsidRDefault="00CE504D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7F7B7CA2" w14:textId="305C1DC4" w:rsidR="00BF2870" w:rsidRPr="002D025D" w:rsidRDefault="00CE504D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2AAC3A39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7B6F0C90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437FA36D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77234560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F2870" w:rsidRPr="00D258A1" w14:paraId="389BA59F" w14:textId="09C19EED" w:rsidTr="00CE504D">
        <w:trPr>
          <w:cantSplit/>
          <w:trHeight w:val="242"/>
        </w:trPr>
        <w:tc>
          <w:tcPr>
            <w:tcW w:w="241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5C03EBB" w14:textId="77777777" w:rsidR="00BF2870" w:rsidRPr="00D258A1" w:rsidRDefault="00BF2870" w:rsidP="00C2731D">
            <w:pPr>
              <w:adjustRightInd w:val="0"/>
              <w:spacing w:before="20" w:after="20" w:line="256" w:lineRule="auto"/>
              <w:rPr>
                <w:color w:val="000000"/>
                <w:sz w:val="22"/>
                <w:szCs w:val="22"/>
              </w:rPr>
            </w:pPr>
            <w:bookmarkStart w:id="3" w:name="_Hlk119327336"/>
            <w:r w:rsidRPr="00D258A1">
              <w:rPr>
                <w:color w:val="000000"/>
                <w:sz w:val="22"/>
                <w:szCs w:val="22"/>
              </w:rPr>
              <w:t>FER-CARS-01</w:t>
            </w:r>
            <w:bookmarkEnd w:id="3"/>
          </w:p>
        </w:tc>
        <w:tc>
          <w:tcPr>
            <w:tcW w:w="3420" w:type="dxa"/>
            <w:shd w:val="clear" w:color="auto" w:fill="FFFFFF"/>
          </w:tcPr>
          <w:p w14:paraId="15D7AF4D" w14:textId="54EF5CD5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HF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B3371EA" w14:textId="315B47A1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FA5D9A7" w14:textId="07939E5D" w:rsidR="00BF2870" w:rsidRPr="00D258A1" w:rsidRDefault="00B31D87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12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</w:tcPr>
          <w:p w14:paraId="3E222D21" w14:textId="59C7DDB7" w:rsidR="00BF2870" w:rsidRPr="002D025D" w:rsidRDefault="00796AFC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55CC6722" w14:textId="2DF3DAF7" w:rsidR="00BF2870" w:rsidRPr="002D025D" w:rsidRDefault="00796AFC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087752A3" w14:textId="60B78E61" w:rsidR="00BF2870" w:rsidRPr="002D025D" w:rsidRDefault="00796AFC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453CF43E" w14:textId="525BB3AD" w:rsidR="00BF2870" w:rsidRPr="002D025D" w:rsidRDefault="00796AFC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22A6DD30" w14:textId="39A42447" w:rsidR="00BF2870" w:rsidRPr="002D025D" w:rsidRDefault="00796AFC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0B31834F" w14:textId="6EE47632" w:rsidR="00BF2870" w:rsidRPr="002D025D" w:rsidRDefault="00CE504D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4767890A" w14:textId="25E23176" w:rsidR="00BF2870" w:rsidRPr="002D025D" w:rsidRDefault="00CE504D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025D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07E842CB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735B8232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218D44DF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13965D9B" w14:textId="77777777" w:rsidR="00BF2870" w:rsidRPr="002D025D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F2870" w:rsidRPr="00D258A1" w14:paraId="0A7B0E32" w14:textId="1F2011BA" w:rsidTr="00CE504D">
        <w:trPr>
          <w:cantSplit/>
          <w:trHeight w:val="257"/>
        </w:trPr>
        <w:tc>
          <w:tcPr>
            <w:tcW w:w="241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0C5591F" w14:textId="77777777" w:rsidR="00BF2870" w:rsidRPr="00D258A1" w:rsidRDefault="00BF2870" w:rsidP="00C2731D">
            <w:pPr>
              <w:adjustRightInd w:val="0"/>
              <w:spacing w:before="20" w:after="20" w:line="256" w:lineRule="auto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FER-CARS-02</w:t>
            </w:r>
          </w:p>
        </w:tc>
        <w:tc>
          <w:tcPr>
            <w:tcW w:w="3420" w:type="dxa"/>
            <w:shd w:val="clear" w:color="auto" w:fill="FFFFFF"/>
          </w:tcPr>
          <w:p w14:paraId="01BBE3FA" w14:textId="370B37F6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HF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DF8EC28" w14:textId="0E6CDF36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188719B" w14:textId="42C99BC9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</w:tcPr>
          <w:p w14:paraId="2963E6C1" w14:textId="4D79A33D" w:rsidR="00BF2870" w:rsidRPr="00BE56E5" w:rsidRDefault="00796AFC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3B4618DE" w14:textId="7B09A7C1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642A8AA7" w14:textId="0E7408A6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25C51AB7" w14:textId="5857DB1E" w:rsidR="00BF2870" w:rsidRPr="00BE56E5" w:rsidRDefault="00796AFC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2EA1F95A" w14:textId="5DCF2FD0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2A08446E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4734828D" w14:textId="7DADD0DD" w:rsidR="00BF2870" w:rsidRPr="00BE56E5" w:rsidRDefault="00CE504D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4ACEA421" w14:textId="0B356896" w:rsidR="00BF2870" w:rsidRPr="00BE56E5" w:rsidRDefault="00CE504D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1BBD83C7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32F43143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142F2269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F2870" w:rsidRPr="00D258A1" w14:paraId="1E784DBA" w14:textId="4A443EF0" w:rsidTr="00CE504D">
        <w:trPr>
          <w:cantSplit/>
          <w:trHeight w:val="257"/>
        </w:trPr>
        <w:tc>
          <w:tcPr>
            <w:tcW w:w="241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5BDFB5E" w14:textId="77777777" w:rsidR="00BF2870" w:rsidRPr="00D258A1" w:rsidRDefault="00BF2870" w:rsidP="00C2731D">
            <w:pPr>
              <w:adjustRightInd w:val="0"/>
              <w:spacing w:before="20" w:after="20" w:line="256" w:lineRule="auto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FER-CARS-03</w:t>
            </w:r>
          </w:p>
        </w:tc>
        <w:tc>
          <w:tcPr>
            <w:tcW w:w="3420" w:type="dxa"/>
            <w:shd w:val="clear" w:color="auto" w:fill="FFFFFF"/>
          </w:tcPr>
          <w:p w14:paraId="5DA9DDCB" w14:textId="31C9AE82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HF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4614E0C" w14:textId="20259AA1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3FBD070" w14:textId="6A91808B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</w:tcPr>
          <w:p w14:paraId="02D197BF" w14:textId="6A5E6117" w:rsidR="00BF2870" w:rsidRPr="00BE56E5" w:rsidRDefault="00796AFC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03775DB5" w14:textId="1174E77F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1F47AEE7" w14:textId="7E2676B1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03968489" w14:textId="07D90E8F" w:rsidR="00BF2870" w:rsidRPr="00BE56E5" w:rsidRDefault="00796AFC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55C894D2" w14:textId="288C972B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22DE54C8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2E2ABDF9" w14:textId="29C46C65" w:rsidR="00BF2870" w:rsidRPr="00BE56E5" w:rsidRDefault="00CE504D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3F59B42F" w14:textId="4F65A6DF" w:rsidR="00BF2870" w:rsidRPr="00BE56E5" w:rsidRDefault="00CE504D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3A1F493F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3207192B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2ECF98CA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F2870" w:rsidRPr="00D258A1" w14:paraId="2CC26DC3" w14:textId="2CAC2A6B" w:rsidTr="00CE504D">
        <w:trPr>
          <w:cantSplit/>
          <w:trHeight w:val="242"/>
        </w:trPr>
        <w:tc>
          <w:tcPr>
            <w:tcW w:w="241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318C9EC" w14:textId="77777777" w:rsidR="00BF2870" w:rsidRPr="00D258A1" w:rsidRDefault="00BF2870" w:rsidP="00C2731D">
            <w:pPr>
              <w:adjustRightInd w:val="0"/>
              <w:spacing w:before="20" w:after="20" w:line="256" w:lineRule="auto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FER-CARS-04</w:t>
            </w:r>
          </w:p>
        </w:tc>
        <w:tc>
          <w:tcPr>
            <w:tcW w:w="3420" w:type="dxa"/>
            <w:shd w:val="clear" w:color="auto" w:fill="FFFFFF"/>
          </w:tcPr>
          <w:p w14:paraId="3C7B5856" w14:textId="2F18EE54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HF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9073D9F" w14:textId="58AE9447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5D3E344" w14:textId="40ACA31F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</w:tcPr>
          <w:p w14:paraId="34D7E672" w14:textId="4564F586" w:rsidR="00BF2870" w:rsidRPr="00BE56E5" w:rsidRDefault="00796AFC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1FE0F6D8" w14:textId="5C625E84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50CA7FF0" w14:textId="6FDE6FF4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52838A70" w14:textId="60B05F68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69FB02F3" w14:textId="4108A12C" w:rsidR="00BF2870" w:rsidRPr="00BE56E5" w:rsidRDefault="00796AFC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011B699A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3E73FE7B" w14:textId="44D6545D" w:rsidR="00BF2870" w:rsidRPr="00BE56E5" w:rsidRDefault="00CE504D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27A2958B" w14:textId="048FC7D7" w:rsidR="00BF2870" w:rsidRPr="00BE56E5" w:rsidRDefault="00CE504D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703AAC34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776D6184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4C117D12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F2870" w:rsidRPr="00D258A1" w14:paraId="5294F763" w14:textId="3E36BBC5" w:rsidTr="00CE504D">
        <w:trPr>
          <w:cantSplit/>
          <w:trHeight w:val="257"/>
        </w:trPr>
        <w:tc>
          <w:tcPr>
            <w:tcW w:w="241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947AEE0" w14:textId="77777777" w:rsidR="00BF2870" w:rsidRPr="00D258A1" w:rsidRDefault="00BF2870" w:rsidP="00C2731D">
            <w:pPr>
              <w:adjustRightInd w:val="0"/>
              <w:spacing w:before="20" w:after="20" w:line="256" w:lineRule="auto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FER-CARS-05</w:t>
            </w:r>
          </w:p>
        </w:tc>
        <w:tc>
          <w:tcPr>
            <w:tcW w:w="3420" w:type="dxa"/>
            <w:shd w:val="clear" w:color="auto" w:fill="FFFFFF"/>
          </w:tcPr>
          <w:p w14:paraId="794503F0" w14:textId="7FDB78CF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HF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E0CA5CA" w14:textId="62F8AE56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640E4C4" w14:textId="3E3B9544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</w:tcPr>
          <w:p w14:paraId="6337D2FB" w14:textId="768C542D" w:rsidR="00BF2870" w:rsidRPr="00BE56E5" w:rsidRDefault="00796AFC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573AB033" w14:textId="2D4FFBA2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69E6E9D8" w14:textId="56BB3639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35AA5145" w14:textId="53744DEC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56B95037" w14:textId="2F558DAC" w:rsidR="00BF2870" w:rsidRPr="00BE56E5" w:rsidRDefault="00796AFC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3AAD8604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46B568A3" w14:textId="6F794C66" w:rsidR="00BF2870" w:rsidRPr="00BE56E5" w:rsidRDefault="00CE504D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47E8E6E1" w14:textId="6B6E62E6" w:rsidR="00BF2870" w:rsidRPr="00BE56E5" w:rsidRDefault="00CE504D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4618CB94" w14:textId="509E4086" w:rsidR="00BF2870" w:rsidRPr="00BE56E5" w:rsidRDefault="00CE504D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349A6A5A" w14:textId="2531CD95" w:rsidR="00BF2870" w:rsidRPr="00BE56E5" w:rsidRDefault="00CE504D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22EF6E89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F2870" w:rsidRPr="00D258A1" w14:paraId="33F59461" w14:textId="08B9E7EF" w:rsidTr="00CE504D">
        <w:trPr>
          <w:cantSplit/>
          <w:trHeight w:val="257"/>
        </w:trPr>
        <w:tc>
          <w:tcPr>
            <w:tcW w:w="241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C345F1C" w14:textId="77777777" w:rsidR="00BF2870" w:rsidRPr="00D258A1" w:rsidRDefault="00BF2870" w:rsidP="00C2731D">
            <w:pPr>
              <w:adjustRightInd w:val="0"/>
              <w:spacing w:before="20" w:after="20" w:line="256" w:lineRule="auto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FER-CARS-06</w:t>
            </w:r>
          </w:p>
        </w:tc>
        <w:tc>
          <w:tcPr>
            <w:tcW w:w="3420" w:type="dxa"/>
            <w:shd w:val="clear" w:color="auto" w:fill="FFFFFF"/>
          </w:tcPr>
          <w:p w14:paraId="25FBFAD7" w14:textId="2909C633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HF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0318A36" w14:textId="67B50133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496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790400A" w14:textId="2F931AE2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</w:tcPr>
          <w:p w14:paraId="48464E2F" w14:textId="656E8574" w:rsidR="00BF2870" w:rsidRPr="00BE56E5" w:rsidRDefault="00980AFE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1E2513BC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2A07FBC6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31C17049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2DFA107E" w14:textId="4F44CC65" w:rsidR="00BF2870" w:rsidRPr="00BE56E5" w:rsidRDefault="00980AFE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17CCE9B7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0B7707F6" w14:textId="48AD8D6F" w:rsidR="00BF2870" w:rsidRPr="00BE56E5" w:rsidRDefault="00980AFE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66FBF9E6" w14:textId="0281A4AD" w:rsidR="00BF2870" w:rsidRPr="00BE56E5" w:rsidRDefault="00980AFE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763B1A1B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3C8918E3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2BBEB14C" w14:textId="59EB886C" w:rsidR="00BF2870" w:rsidRPr="00BE56E5" w:rsidRDefault="00980AFE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</w:tr>
      <w:tr w:rsidR="00BF2870" w:rsidRPr="00D258A1" w14:paraId="10CA8A48" w14:textId="2008A336" w:rsidTr="00CE504D">
        <w:trPr>
          <w:cantSplit/>
          <w:trHeight w:val="257"/>
        </w:trPr>
        <w:tc>
          <w:tcPr>
            <w:tcW w:w="241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78B4151" w14:textId="77777777" w:rsidR="00BF2870" w:rsidRPr="00D258A1" w:rsidRDefault="00BF2870" w:rsidP="00C2731D">
            <w:pPr>
              <w:adjustRightInd w:val="0"/>
              <w:spacing w:before="20" w:after="20" w:line="256" w:lineRule="auto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FER-CKD-01</w:t>
            </w:r>
          </w:p>
        </w:tc>
        <w:tc>
          <w:tcPr>
            <w:tcW w:w="3420" w:type="dxa"/>
            <w:shd w:val="clear" w:color="auto" w:fill="FFFFFF"/>
          </w:tcPr>
          <w:p w14:paraId="062FE9C3" w14:textId="3490B0B8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NDD-CKD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4557541" w14:textId="4ED2C081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D7FF443" w14:textId="75DD01D8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</w:tcPr>
          <w:p w14:paraId="3D4D3D37" w14:textId="497DFA73" w:rsidR="00BF2870" w:rsidRPr="00BE56E5" w:rsidRDefault="00796AFC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44C14EC1" w14:textId="001003D3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73359801" w14:textId="583D603B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67BF95F5" w14:textId="410FD92D" w:rsidR="00BF2870" w:rsidRPr="00BE56E5" w:rsidRDefault="00796AFC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50D36BE2" w14:textId="2A8A420B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3B27499C" w14:textId="64235817" w:rsidR="00BF2870" w:rsidRPr="00BE56E5" w:rsidRDefault="00CE504D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71DA7761" w14:textId="6CA96C8E" w:rsidR="00BF2870" w:rsidRPr="00BE56E5" w:rsidRDefault="00CE504D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302826E0" w14:textId="35973E84" w:rsidR="00BF2870" w:rsidRPr="00BE56E5" w:rsidRDefault="00CE504D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552CE46C" w14:textId="681E6903" w:rsidR="00BF2870" w:rsidRPr="00BE56E5" w:rsidRDefault="00CE504D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1501F06F" w14:textId="48B8A51E" w:rsidR="00BF2870" w:rsidRPr="00BE56E5" w:rsidRDefault="00CE504D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3B85B947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F2870" w:rsidRPr="00D258A1" w14:paraId="4D5120F8" w14:textId="2C43BFDE" w:rsidTr="00CE504D">
        <w:trPr>
          <w:cantSplit/>
          <w:trHeight w:val="242"/>
        </w:trPr>
        <w:tc>
          <w:tcPr>
            <w:tcW w:w="241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B6903EF" w14:textId="77777777" w:rsidR="00BF2870" w:rsidRPr="00D258A1" w:rsidRDefault="00BF2870" w:rsidP="00C2731D">
            <w:pPr>
              <w:adjustRightInd w:val="0"/>
              <w:spacing w:before="20" w:after="20" w:line="256" w:lineRule="auto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FER-FID-CHEMO</w:t>
            </w:r>
          </w:p>
        </w:tc>
        <w:tc>
          <w:tcPr>
            <w:tcW w:w="3420" w:type="dxa"/>
            <w:shd w:val="clear" w:color="auto" w:fill="FFFFFF"/>
          </w:tcPr>
          <w:p w14:paraId="42D68F6B" w14:textId="0334F4A7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6C89A2E" w14:textId="77278998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8CF8C95" w14:textId="3C53A982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</w:tcPr>
          <w:p w14:paraId="3E6084CA" w14:textId="4A64C6A9" w:rsidR="00BF2870" w:rsidRPr="00BE56E5" w:rsidRDefault="00796AFC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10220AFD" w14:textId="4438118E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4CD780AB" w14:textId="25A82336" w:rsidR="00BF2870" w:rsidRPr="00BE56E5" w:rsidRDefault="00796AFC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6E597F52" w14:textId="1C2B04AE" w:rsidR="00BF2870" w:rsidRPr="00BE56E5" w:rsidRDefault="00796AFC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49E17DC7" w14:textId="6E4BA61F" w:rsidR="00BF2870" w:rsidRPr="00BE56E5" w:rsidRDefault="00796AFC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4016281C" w14:textId="36AAE66A" w:rsidR="00BF2870" w:rsidRPr="00BE56E5" w:rsidRDefault="00CE504D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7F3C12CC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</w:tcPr>
          <w:p w14:paraId="29FAE097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68AF6398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4FCA313E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6CAEF86F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F2870" w:rsidRPr="00D258A1" w14:paraId="13283A9E" w14:textId="1518FD2B" w:rsidTr="00CE504D">
        <w:trPr>
          <w:cantSplit/>
          <w:trHeight w:val="257"/>
        </w:trPr>
        <w:tc>
          <w:tcPr>
            <w:tcW w:w="241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55034C4" w14:textId="77777777" w:rsidR="00BF2870" w:rsidRPr="00D258A1" w:rsidRDefault="00BF2870" w:rsidP="00C2731D">
            <w:pPr>
              <w:adjustRightInd w:val="0"/>
              <w:spacing w:before="20" w:after="20" w:line="256" w:lineRule="auto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FER-IBD-07-COR/MAIN</w:t>
            </w:r>
          </w:p>
        </w:tc>
        <w:tc>
          <w:tcPr>
            <w:tcW w:w="3420" w:type="dxa"/>
            <w:shd w:val="clear" w:color="auto" w:fill="FFFFFF"/>
          </w:tcPr>
          <w:p w14:paraId="518BF52B" w14:textId="2825C700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1052F79" w14:textId="3C48D7CF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EFB20DA" w14:textId="318EE48B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</w:tcPr>
          <w:p w14:paraId="15CF17D1" w14:textId="59DC641B" w:rsidR="00BF2870" w:rsidRPr="00BE56E5" w:rsidRDefault="00796AFC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42614535" w14:textId="52682891" w:rsidR="00BF2870" w:rsidRPr="00BE56E5" w:rsidRDefault="00796AFC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1B1D57D4" w14:textId="4AB07EF8" w:rsidR="00BF2870" w:rsidRPr="00BE56E5" w:rsidRDefault="00796AFC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2A2F35D1" w14:textId="0660437E" w:rsidR="00BF2870" w:rsidRPr="00BE56E5" w:rsidRDefault="00796AFC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0BED5C5B" w14:textId="4C232570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7BE0152C" w14:textId="182BACF7" w:rsidR="00BF2870" w:rsidRPr="00BE56E5" w:rsidRDefault="00CE504D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1F9414CF" w14:textId="250C52D4" w:rsidR="00BF2870" w:rsidRPr="00BE56E5" w:rsidRDefault="00CE504D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03DAA5E1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4C78A032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3779824D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632AB8A7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F2870" w:rsidRPr="00D258A1" w14:paraId="7CE21F63" w14:textId="1154AAF4" w:rsidTr="00CE504D">
        <w:trPr>
          <w:cantSplit/>
          <w:trHeight w:val="257"/>
        </w:trPr>
        <w:tc>
          <w:tcPr>
            <w:tcW w:w="241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19F6673" w14:textId="77777777" w:rsidR="00BF2870" w:rsidRPr="00D258A1" w:rsidRDefault="00BF2870" w:rsidP="00C2731D">
            <w:pPr>
              <w:adjustRightInd w:val="0"/>
              <w:spacing w:before="20" w:after="20" w:line="256" w:lineRule="auto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FER-MEC-01</w:t>
            </w:r>
          </w:p>
        </w:tc>
        <w:tc>
          <w:tcPr>
            <w:tcW w:w="3420" w:type="dxa"/>
            <w:shd w:val="clear" w:color="auto" w:fill="FFFFFF"/>
          </w:tcPr>
          <w:p w14:paraId="73EA5DD4" w14:textId="10F3C185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B2A372C" w14:textId="01494BB7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D937451" w14:textId="64C8D8F9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</w:tcPr>
          <w:p w14:paraId="2F32A3AD" w14:textId="5535B4B0" w:rsidR="00BF2870" w:rsidRPr="00BE56E5" w:rsidRDefault="00980AFE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6E0DF90C" w14:textId="7512CF5F" w:rsidR="00BF2870" w:rsidRPr="00BE56E5" w:rsidRDefault="00980AFE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72CB7562" w14:textId="79E9E762" w:rsidR="00BF2870" w:rsidRPr="00BE56E5" w:rsidRDefault="00980AFE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0C6D7104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1CF33A19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38EE6445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031DD67A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</w:tcPr>
          <w:p w14:paraId="6EF6DD21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72A689E2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527A0D7A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49481993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F2870" w:rsidRPr="00D258A1" w14:paraId="5CAA7880" w14:textId="3E6F458E" w:rsidTr="00CE504D">
        <w:trPr>
          <w:cantSplit/>
          <w:trHeight w:val="257"/>
        </w:trPr>
        <w:tc>
          <w:tcPr>
            <w:tcW w:w="241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6CB8813" w14:textId="77777777" w:rsidR="00BF2870" w:rsidRPr="00D258A1" w:rsidRDefault="00BF2870" w:rsidP="00C2731D">
            <w:pPr>
              <w:adjustRightInd w:val="0"/>
              <w:spacing w:before="20" w:after="20" w:line="256" w:lineRule="auto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IDNA 2009-01</w:t>
            </w:r>
          </w:p>
        </w:tc>
        <w:tc>
          <w:tcPr>
            <w:tcW w:w="3420" w:type="dxa"/>
            <w:shd w:val="clear" w:color="auto" w:fill="FFFFFF"/>
          </w:tcPr>
          <w:p w14:paraId="0C9ED37F" w14:textId="31889052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Women’s health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9300CBB" w14:textId="011E909F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36534E2" w14:textId="0DD682D9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</w:tcPr>
          <w:p w14:paraId="4883518E" w14:textId="7808BC18" w:rsidR="00BF2870" w:rsidRPr="00BE56E5" w:rsidRDefault="00980AFE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215051CE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2F1E0592" w14:textId="6FAD712D" w:rsidR="00BF2870" w:rsidRPr="00BE56E5" w:rsidRDefault="00980AFE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shd w:val="clear" w:color="auto" w:fill="FFFFFF"/>
          </w:tcPr>
          <w:p w14:paraId="482034AE" w14:textId="5E718849" w:rsidR="00BF2870" w:rsidRPr="00BE56E5" w:rsidRDefault="00980AFE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73707804" w14:textId="4BD8BA7E" w:rsidR="00BF2870" w:rsidRPr="00BE56E5" w:rsidRDefault="00980AFE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309782A8" w14:textId="27DF17E2" w:rsidR="00BF2870" w:rsidRPr="00BE56E5" w:rsidRDefault="00CE504D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340AE269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</w:tcPr>
          <w:p w14:paraId="5C70B058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1AF1C770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24E1454F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0F3E39F1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F2870" w:rsidRPr="00D258A1" w14:paraId="5BAFB05F" w14:textId="2C80DF3D" w:rsidTr="00CE504D">
        <w:trPr>
          <w:cantSplit/>
          <w:trHeight w:val="242"/>
        </w:trPr>
        <w:tc>
          <w:tcPr>
            <w:tcW w:w="241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A9F43D0" w14:textId="77777777" w:rsidR="00BF2870" w:rsidRPr="00D258A1" w:rsidRDefault="00BF2870" w:rsidP="00C2731D">
            <w:pPr>
              <w:adjustRightInd w:val="0"/>
              <w:spacing w:before="20" w:after="20" w:line="256" w:lineRule="auto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VIRD-VIT-45-IM</w:t>
            </w:r>
          </w:p>
        </w:tc>
        <w:tc>
          <w:tcPr>
            <w:tcW w:w="3420" w:type="dxa"/>
            <w:shd w:val="clear" w:color="auto" w:fill="FFFFFF"/>
          </w:tcPr>
          <w:p w14:paraId="4135F1BD" w14:textId="70DAEB0D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HD-CKD</w:t>
            </w:r>
            <w:r w:rsidR="00B31D87">
              <w:rPr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AF95F66" w14:textId="4424574D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BCDA7EB" w14:textId="01868951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</w:tcPr>
          <w:p w14:paraId="5B029E3B" w14:textId="560B6F11" w:rsidR="00BF2870" w:rsidRPr="00BE56E5" w:rsidRDefault="00980AFE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56D9B630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010D0688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7518D9DB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25A1E393" w14:textId="2D2C2ABE" w:rsidR="00BF2870" w:rsidRPr="00BE56E5" w:rsidRDefault="00980AFE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19FA3D68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361DE7F6" w14:textId="40DAF790" w:rsidR="00BF2870" w:rsidRPr="00BE56E5" w:rsidRDefault="00CE504D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67027023" w14:textId="55FDC4DF" w:rsidR="00BF2870" w:rsidRPr="00BE56E5" w:rsidRDefault="00CE504D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7921C333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5BBC2BCE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28721B38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F2870" w:rsidRPr="00D258A1" w14:paraId="2F24D98B" w14:textId="2A3489D5" w:rsidTr="00CE504D">
        <w:trPr>
          <w:cantSplit/>
          <w:trHeight w:val="257"/>
        </w:trPr>
        <w:tc>
          <w:tcPr>
            <w:tcW w:w="241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B97D68B" w14:textId="77777777" w:rsidR="00BF2870" w:rsidRPr="00D258A1" w:rsidRDefault="00BF2870" w:rsidP="00C2731D">
            <w:pPr>
              <w:adjustRightInd w:val="0"/>
              <w:spacing w:before="20" w:after="20" w:line="256" w:lineRule="auto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VIT-IRON-2011-003</w:t>
            </w:r>
          </w:p>
        </w:tc>
        <w:tc>
          <w:tcPr>
            <w:tcW w:w="3420" w:type="dxa"/>
            <w:shd w:val="clear" w:color="auto" w:fill="FFFFFF"/>
          </w:tcPr>
          <w:p w14:paraId="688B7033" w14:textId="028914CC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B0E98B2" w14:textId="4D87A9D7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A04A46E" w14:textId="7BAA95AA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</w:tcPr>
          <w:p w14:paraId="71291C22" w14:textId="6345D471" w:rsidR="00BF2870" w:rsidRPr="00BE56E5" w:rsidRDefault="00980AFE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21ED735B" w14:textId="792DF253" w:rsidR="00BF2870" w:rsidRPr="00BE56E5" w:rsidRDefault="00980AFE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47DE8047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74507DD4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117B3877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4FAA74A8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46062BED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</w:tcPr>
          <w:p w14:paraId="60EF7DF3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047CE916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01703B85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3A5AFA37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F2870" w:rsidRPr="00D258A1" w14:paraId="35E23D18" w14:textId="40607605" w:rsidTr="00CE504D">
        <w:trPr>
          <w:cantSplit/>
          <w:trHeight w:val="257"/>
        </w:trPr>
        <w:tc>
          <w:tcPr>
            <w:tcW w:w="241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1AFB58F" w14:textId="77777777" w:rsidR="00BF2870" w:rsidRPr="00D258A1" w:rsidRDefault="00BF2870" w:rsidP="00C2731D">
            <w:pPr>
              <w:adjustRightInd w:val="0"/>
              <w:spacing w:before="20" w:after="20" w:line="256" w:lineRule="auto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VIT-IRON-2011-004</w:t>
            </w:r>
          </w:p>
        </w:tc>
        <w:tc>
          <w:tcPr>
            <w:tcW w:w="3420" w:type="dxa"/>
            <w:shd w:val="clear" w:color="auto" w:fill="FFFFFF"/>
          </w:tcPr>
          <w:p w14:paraId="15F260BA" w14:textId="3AE7B4BE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CD4F89B" w14:textId="485C3F3A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1521AFE" w14:textId="6ED5E373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</w:tcPr>
          <w:p w14:paraId="33B135F1" w14:textId="723BF375" w:rsidR="00BF2870" w:rsidRPr="00BE56E5" w:rsidRDefault="00980AFE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1B459D03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215142D2" w14:textId="34819C24" w:rsidR="00BF2870" w:rsidRPr="00BE56E5" w:rsidRDefault="00980AFE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22B0050E" w14:textId="72EF4E27" w:rsidR="00BF2870" w:rsidRPr="00BE56E5" w:rsidRDefault="00980AFE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7A970E1E" w14:textId="3D1FE778" w:rsidR="00BF2870" w:rsidRPr="00BE56E5" w:rsidRDefault="00980AFE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0C89A821" w14:textId="0A2CB988" w:rsidR="00BF2870" w:rsidRPr="00BE56E5" w:rsidRDefault="00980AFE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49BC771D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</w:tcPr>
          <w:p w14:paraId="7E2F9DBA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6367D235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4FFAC905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16DDDC57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F2870" w:rsidRPr="00D258A1" w14:paraId="5EE65496" w14:textId="4022FFA7" w:rsidTr="00CE504D">
        <w:trPr>
          <w:cantSplit/>
          <w:trHeight w:val="257"/>
        </w:trPr>
        <w:tc>
          <w:tcPr>
            <w:tcW w:w="241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75409E9" w14:textId="77777777" w:rsidR="00BF2870" w:rsidRPr="00D258A1" w:rsidRDefault="00BF2870" w:rsidP="00C2731D">
            <w:pPr>
              <w:adjustRightInd w:val="0"/>
              <w:spacing w:before="20" w:after="20" w:line="256" w:lineRule="auto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VIT-RLS-2012-013</w:t>
            </w:r>
          </w:p>
        </w:tc>
        <w:tc>
          <w:tcPr>
            <w:tcW w:w="3420" w:type="dxa"/>
            <w:shd w:val="clear" w:color="auto" w:fill="FFFFFF"/>
          </w:tcPr>
          <w:p w14:paraId="49C0110F" w14:textId="68680595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Neurology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E0CFC39" w14:textId="0E756C15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334E29C" w14:textId="3504C5C7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</w:tcPr>
          <w:p w14:paraId="35408C99" w14:textId="2F16F952" w:rsidR="00BF2870" w:rsidRPr="00BE56E5" w:rsidRDefault="00980AFE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56DBFFCB" w14:textId="37733B36" w:rsidR="00BF2870" w:rsidRPr="00BE56E5" w:rsidRDefault="00980AFE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6D7A9DBC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0F3BF1A1" w14:textId="5A40401F" w:rsidR="00BF2870" w:rsidRPr="00BE56E5" w:rsidRDefault="00980AFE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3F448EA4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5F286B27" w14:textId="3A50642F" w:rsidR="00BF2870" w:rsidRPr="00BE56E5" w:rsidRDefault="00CE504D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5138BAEC" w14:textId="520DC46C" w:rsidR="00BF2870" w:rsidRPr="00BE56E5" w:rsidRDefault="00CE504D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64F341EC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68A72761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60BF9AAC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2C11F9E7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F2870" w:rsidRPr="00D258A1" w14:paraId="5B1B8922" w14:textId="0978688F" w:rsidTr="00CE504D">
        <w:trPr>
          <w:cantSplit/>
          <w:trHeight w:val="242"/>
        </w:trPr>
        <w:tc>
          <w:tcPr>
            <w:tcW w:w="241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015089E" w14:textId="77777777" w:rsidR="00BF2870" w:rsidRPr="00D258A1" w:rsidRDefault="00BF2870" w:rsidP="00C2731D">
            <w:pPr>
              <w:adjustRightInd w:val="0"/>
              <w:spacing w:before="20" w:after="20" w:line="256" w:lineRule="auto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Z213-01</w:t>
            </w:r>
          </w:p>
        </w:tc>
        <w:tc>
          <w:tcPr>
            <w:tcW w:w="3420" w:type="dxa"/>
            <w:shd w:val="clear" w:color="auto" w:fill="FFFFFF"/>
          </w:tcPr>
          <w:p w14:paraId="1084B7FB" w14:textId="3BC1578D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1F88A5C" w14:textId="685B4576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6E0DA17" w14:textId="1158C502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</w:tcPr>
          <w:p w14:paraId="2E9F7B37" w14:textId="1821E39E" w:rsidR="00BF2870" w:rsidRPr="00BE56E5" w:rsidRDefault="00980AFE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43CFE2E8" w14:textId="088611B6" w:rsidR="00BF2870" w:rsidRPr="00BE56E5" w:rsidRDefault="00980AFE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31361EFE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7859ED70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412E15D0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1BEA5549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13A97BAD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</w:tcPr>
          <w:p w14:paraId="7FBFDB0F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34861B5B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057366C9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29A546F3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F2870" w:rsidRPr="00D258A1" w14:paraId="28CAA9A3" w14:textId="72E615D6" w:rsidTr="00CE504D">
        <w:trPr>
          <w:cantSplit/>
          <w:trHeight w:val="257"/>
        </w:trPr>
        <w:tc>
          <w:tcPr>
            <w:tcW w:w="241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00BF02B" w14:textId="77777777" w:rsidR="00BF2870" w:rsidRPr="00D258A1" w:rsidRDefault="00BF2870" w:rsidP="00C2731D">
            <w:pPr>
              <w:keepNext/>
              <w:adjustRightInd w:val="0"/>
              <w:spacing w:before="20" w:after="20" w:line="256" w:lineRule="auto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Z213-02</w:t>
            </w:r>
          </w:p>
        </w:tc>
        <w:tc>
          <w:tcPr>
            <w:tcW w:w="3420" w:type="dxa"/>
            <w:shd w:val="clear" w:color="auto" w:fill="FFFFFF"/>
          </w:tcPr>
          <w:p w14:paraId="7195F8D0" w14:textId="0BDC61BD" w:rsidR="00BF2870" w:rsidRPr="00D258A1" w:rsidRDefault="00BF2870" w:rsidP="00C2731D">
            <w:pPr>
              <w:keepNext/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Women’s health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509802E" w14:textId="4E92D22D" w:rsidR="00BF2870" w:rsidRPr="00D258A1" w:rsidRDefault="00BF2870" w:rsidP="00C2731D">
            <w:pPr>
              <w:keepNext/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8874764" w14:textId="47BAF499" w:rsidR="00BF2870" w:rsidRPr="00D258A1" w:rsidRDefault="00BF2870" w:rsidP="00C2731D">
            <w:pPr>
              <w:keepNext/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</w:tcPr>
          <w:p w14:paraId="2D55455B" w14:textId="295C88D9" w:rsidR="00BF2870" w:rsidRPr="00BE56E5" w:rsidRDefault="00980AFE" w:rsidP="00C2731D">
            <w:pPr>
              <w:keepNext/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643D3F6A" w14:textId="781A09F0" w:rsidR="00BF2870" w:rsidRPr="00BE56E5" w:rsidRDefault="00980AFE" w:rsidP="00C2731D">
            <w:pPr>
              <w:keepNext/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043AA25C" w14:textId="624AF906" w:rsidR="00BF2870" w:rsidRPr="00BE56E5" w:rsidRDefault="00980AFE" w:rsidP="00C2731D">
            <w:pPr>
              <w:keepNext/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1516E73B" w14:textId="55DE5107" w:rsidR="00BF2870" w:rsidRPr="00BE56E5" w:rsidRDefault="00980AFE" w:rsidP="00C2731D">
            <w:pPr>
              <w:keepNext/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5DD88DFF" w14:textId="1F564CBA" w:rsidR="00BF2870" w:rsidRPr="00BE56E5" w:rsidRDefault="00980AFE" w:rsidP="00C2731D">
            <w:pPr>
              <w:keepNext/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4F483350" w14:textId="53D38939" w:rsidR="00BF2870" w:rsidRPr="00BE56E5" w:rsidRDefault="00980AFE" w:rsidP="00C2731D">
            <w:pPr>
              <w:keepNext/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0B235969" w14:textId="1F1BF93A" w:rsidR="00BF2870" w:rsidRPr="00BE56E5" w:rsidRDefault="00980AFE" w:rsidP="00C2731D">
            <w:pPr>
              <w:keepNext/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08D79FCD" w14:textId="77777777" w:rsidR="00BF2870" w:rsidRPr="00BE56E5" w:rsidRDefault="00BF2870" w:rsidP="00C2731D">
            <w:pPr>
              <w:keepNext/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453A1632" w14:textId="77777777" w:rsidR="00BF2870" w:rsidRPr="00BE56E5" w:rsidRDefault="00BF2870" w:rsidP="00C2731D">
            <w:pPr>
              <w:keepNext/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679B2721" w14:textId="77777777" w:rsidR="00BF2870" w:rsidRPr="00BE56E5" w:rsidRDefault="00BF2870" w:rsidP="00C2731D">
            <w:pPr>
              <w:keepNext/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38FD6E8F" w14:textId="77777777" w:rsidR="00BF2870" w:rsidRPr="00BE56E5" w:rsidRDefault="00BF2870" w:rsidP="00C2731D">
            <w:pPr>
              <w:keepNext/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BF2870" w:rsidRPr="00D258A1" w14:paraId="5E1EBE89" w14:textId="69E1C3CC" w:rsidTr="00CE504D">
        <w:trPr>
          <w:cantSplit/>
          <w:trHeight w:val="257"/>
        </w:trPr>
        <w:tc>
          <w:tcPr>
            <w:tcW w:w="241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9139448" w14:textId="77777777" w:rsidR="00BF2870" w:rsidRPr="00D258A1" w:rsidRDefault="00BF2870" w:rsidP="00C2731D">
            <w:pPr>
              <w:adjustRightInd w:val="0"/>
              <w:spacing w:before="20" w:after="20" w:line="256" w:lineRule="auto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Z213-03</w:t>
            </w:r>
          </w:p>
        </w:tc>
        <w:tc>
          <w:tcPr>
            <w:tcW w:w="3420" w:type="dxa"/>
            <w:shd w:val="clear" w:color="auto" w:fill="FFFFFF"/>
          </w:tcPr>
          <w:p w14:paraId="75617F8A" w14:textId="71FD2797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F2C605B" w14:textId="2177360E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D258A1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4795781" w14:textId="298ACBB8" w:rsidR="00BF2870" w:rsidRPr="00D258A1" w:rsidRDefault="00BF2870" w:rsidP="00C2731D">
            <w:pPr>
              <w:adjustRightInd w:val="0"/>
              <w:spacing w:before="20" w:after="20" w:line="25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</w:tcPr>
          <w:p w14:paraId="67573687" w14:textId="34E9BD39" w:rsidR="00BF2870" w:rsidRPr="00BE56E5" w:rsidRDefault="00980AFE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259BA48A" w14:textId="1016E36A" w:rsidR="00BF2870" w:rsidRPr="00BE56E5" w:rsidRDefault="00980AFE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5A723764" w14:textId="4A9914B5" w:rsidR="00BF2870" w:rsidRPr="00BE56E5" w:rsidRDefault="00980AFE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78A5B38A" w14:textId="5C9B437A" w:rsidR="00BF2870" w:rsidRPr="00BE56E5" w:rsidRDefault="00980AFE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56FA1326" w14:textId="06C6527D" w:rsidR="00BF2870" w:rsidRPr="00BE56E5" w:rsidRDefault="00980AFE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630" w:type="dxa"/>
            <w:shd w:val="clear" w:color="auto" w:fill="FFFFFF"/>
          </w:tcPr>
          <w:p w14:paraId="3CF15CDC" w14:textId="3FD31833" w:rsidR="00BF2870" w:rsidRPr="00BE56E5" w:rsidRDefault="00980AFE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540" w:type="dxa"/>
            <w:shd w:val="clear" w:color="auto" w:fill="FFFFFF"/>
          </w:tcPr>
          <w:p w14:paraId="6CA50B35" w14:textId="7A94149E" w:rsidR="00BF2870" w:rsidRPr="00BE56E5" w:rsidRDefault="00980AFE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E56E5">
              <w:rPr>
                <w:b/>
                <w:bCs/>
                <w:color w:val="FF0000"/>
                <w:sz w:val="22"/>
                <w:szCs w:val="22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315C515C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1AFE9132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FFF"/>
          </w:tcPr>
          <w:p w14:paraId="12AF9133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14:paraId="795734AC" w14:textId="77777777" w:rsidR="00BF2870" w:rsidRPr="00BE56E5" w:rsidRDefault="00BF2870" w:rsidP="00C2731D">
            <w:pPr>
              <w:adjustRightInd w:val="0"/>
              <w:spacing w:before="20" w:after="20" w:line="25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14:paraId="551DB429" w14:textId="6A6FBEA0" w:rsidR="002B4B85" w:rsidRPr="00CA6B95" w:rsidRDefault="00C2731D" w:rsidP="002B4B85">
      <w:pPr>
        <w:pStyle w:val="Standard"/>
        <w:spacing w:line="240" w:lineRule="auto"/>
        <w:rPr>
          <w:rFonts w:ascii="Times New Roman" w:hAnsi="Times New Roman" w:cs="Times New Roman"/>
        </w:rPr>
      </w:pPr>
      <w:r w:rsidRPr="00BE56E5">
        <w:rPr>
          <w:rFonts w:ascii="Times New Roman" w:hAnsi="Times New Roman" w:cs="Times New Roman"/>
          <w:b/>
          <w:bCs/>
          <w:color w:val="FF0000"/>
          <w:lang w:val="en-US"/>
        </w:rPr>
        <w:t>BL, baseline;</w:t>
      </w:r>
      <w:r>
        <w:rPr>
          <w:rFonts w:ascii="Times New Roman" w:hAnsi="Times New Roman" w:cs="Times New Roman"/>
          <w:lang w:val="en-US"/>
        </w:rPr>
        <w:t xml:space="preserve"> </w:t>
      </w:r>
      <w:r w:rsidR="00036EB1">
        <w:rPr>
          <w:rFonts w:ascii="Times New Roman" w:hAnsi="Times New Roman" w:cs="Times New Roman"/>
          <w:lang w:val="en-US"/>
        </w:rPr>
        <w:t xml:space="preserve">GI, gastrointestinal; </w:t>
      </w:r>
      <w:r w:rsidR="002B4B85" w:rsidRPr="00CA6B95">
        <w:rPr>
          <w:rFonts w:ascii="Times New Roman" w:hAnsi="Times New Roman" w:cs="Times New Roman"/>
          <w:lang w:val="en-US"/>
        </w:rPr>
        <w:t xml:space="preserve">HD-CKD, </w:t>
      </w:r>
      <w:r w:rsidR="009F07F8">
        <w:rPr>
          <w:rFonts w:ascii="Times New Roman" w:hAnsi="Times New Roman" w:cs="Times New Roman"/>
          <w:lang w:val="en-US"/>
        </w:rPr>
        <w:t>haemo</w:t>
      </w:r>
      <w:r w:rsidR="002B4B85" w:rsidRPr="00CA6B95">
        <w:rPr>
          <w:rFonts w:ascii="Times New Roman" w:hAnsi="Times New Roman" w:cs="Times New Roman"/>
          <w:lang w:val="en-US"/>
        </w:rPr>
        <w:t>dialysis-dependent chronic kidney disease; HF, heart failure; NDD-CKD, non</w:t>
      </w:r>
      <w:r w:rsidR="00CA6B95" w:rsidRPr="00CA6B95">
        <w:rPr>
          <w:rFonts w:ascii="Times New Roman" w:hAnsi="Times New Roman" w:cs="Times New Roman"/>
          <w:lang w:val="en-US"/>
        </w:rPr>
        <w:t>–</w:t>
      </w:r>
      <w:r w:rsidR="002B4B85" w:rsidRPr="00CA6B95">
        <w:rPr>
          <w:rFonts w:ascii="Times New Roman" w:hAnsi="Times New Roman" w:cs="Times New Roman"/>
          <w:lang w:val="en-US"/>
        </w:rPr>
        <w:t>dialysis</w:t>
      </w:r>
      <w:r w:rsidR="00CA6B95">
        <w:rPr>
          <w:rFonts w:ascii="Times New Roman" w:hAnsi="Times New Roman" w:cs="Times New Roman"/>
          <w:lang w:val="en-US"/>
        </w:rPr>
        <w:t>-</w:t>
      </w:r>
      <w:r w:rsidR="002B4B85" w:rsidRPr="00CA6B95">
        <w:rPr>
          <w:rFonts w:ascii="Times New Roman" w:hAnsi="Times New Roman" w:cs="Times New Roman"/>
          <w:lang w:val="en-US"/>
        </w:rPr>
        <w:t>dependent chronic kidney disease</w:t>
      </w:r>
      <w:r w:rsidRPr="00BE56E5">
        <w:rPr>
          <w:rFonts w:ascii="Times New Roman" w:hAnsi="Times New Roman" w:cs="Times New Roman"/>
          <w:b/>
          <w:bCs/>
          <w:color w:val="FF0000"/>
          <w:lang w:val="en-US"/>
        </w:rPr>
        <w:t>; W, week</w:t>
      </w:r>
      <w:r w:rsidR="002B4B85" w:rsidRPr="00BE56E5">
        <w:rPr>
          <w:rFonts w:ascii="Times New Roman" w:hAnsi="Times New Roman" w:cs="Times New Roman"/>
          <w:b/>
          <w:bCs/>
          <w:color w:val="FF0000"/>
        </w:rPr>
        <w:t>.</w:t>
      </w:r>
    </w:p>
    <w:p w14:paraId="186C1D7D" w14:textId="3616AC36" w:rsidR="0041451D" w:rsidRDefault="00BB2903" w:rsidP="00A44525">
      <w:pPr>
        <w:widowControl w:val="0"/>
        <w:suppressAutoHyphens/>
        <w:autoSpaceDN w:val="0"/>
        <w:textAlignment w:val="baseline"/>
        <w:rPr>
          <w:sz w:val="22"/>
          <w:szCs w:val="22"/>
        </w:rPr>
      </w:pPr>
      <w:r w:rsidRPr="00BE56E5">
        <w:rPr>
          <w:b/>
          <w:bCs/>
          <w:color w:val="FF0000"/>
          <w:sz w:val="22"/>
          <w:szCs w:val="22"/>
          <w:vertAlign w:val="superscript"/>
        </w:rPr>
        <w:t>a</w:t>
      </w:r>
      <w:r w:rsidR="00B31D87" w:rsidRPr="00BE56E5">
        <w:rPr>
          <w:b/>
          <w:bCs/>
          <w:color w:val="FF0000"/>
          <w:sz w:val="22"/>
          <w:szCs w:val="22"/>
        </w:rPr>
        <w:t xml:space="preserve">In several studies </w:t>
      </w:r>
      <w:r w:rsidR="00FF1952" w:rsidRPr="00BE56E5">
        <w:rPr>
          <w:b/>
          <w:bCs/>
          <w:color w:val="FF0000"/>
          <w:sz w:val="22"/>
          <w:szCs w:val="22"/>
        </w:rPr>
        <w:t xml:space="preserve">the protocol specified </w:t>
      </w:r>
      <w:r w:rsidR="00B31D87" w:rsidRPr="00BE56E5">
        <w:rPr>
          <w:b/>
          <w:bCs/>
          <w:color w:val="FF0000"/>
          <w:sz w:val="22"/>
          <w:szCs w:val="22"/>
        </w:rPr>
        <w:t>timepoints not reflected in this table</w:t>
      </w:r>
      <w:r w:rsidR="00FF1952" w:rsidRPr="00BE56E5">
        <w:rPr>
          <w:b/>
          <w:bCs/>
          <w:color w:val="FF0000"/>
          <w:sz w:val="22"/>
          <w:szCs w:val="22"/>
        </w:rPr>
        <w:t xml:space="preserve"> (eg, week 3)</w:t>
      </w:r>
      <w:r w:rsidR="00B31D87" w:rsidRPr="00BE56E5">
        <w:rPr>
          <w:b/>
          <w:bCs/>
          <w:color w:val="FF0000"/>
          <w:sz w:val="22"/>
          <w:szCs w:val="22"/>
        </w:rPr>
        <w:t xml:space="preserve">. </w:t>
      </w:r>
      <w:r w:rsidR="00FF1952" w:rsidRPr="00BE56E5">
        <w:rPr>
          <w:b/>
          <w:bCs/>
          <w:color w:val="FF0000"/>
          <w:sz w:val="22"/>
          <w:szCs w:val="22"/>
        </w:rPr>
        <w:t>Also, s</w:t>
      </w:r>
      <w:r w:rsidR="00B31D87" w:rsidRPr="00BE56E5">
        <w:rPr>
          <w:b/>
          <w:bCs/>
          <w:color w:val="FF0000"/>
          <w:sz w:val="22"/>
          <w:szCs w:val="22"/>
        </w:rPr>
        <w:t xml:space="preserve">ome patients had phosphate levels from biochemical </w:t>
      </w:r>
      <w:r w:rsidR="00FF1952" w:rsidRPr="00BE56E5">
        <w:rPr>
          <w:b/>
          <w:bCs/>
          <w:color w:val="FF0000"/>
          <w:sz w:val="22"/>
          <w:szCs w:val="22"/>
        </w:rPr>
        <w:t xml:space="preserve">assessments </w:t>
      </w:r>
      <w:r w:rsidR="00B31D87" w:rsidRPr="00BE56E5">
        <w:rPr>
          <w:b/>
          <w:bCs/>
          <w:color w:val="FF0000"/>
          <w:sz w:val="22"/>
          <w:szCs w:val="22"/>
        </w:rPr>
        <w:t>at additional (ie, no</w:t>
      </w:r>
      <w:r w:rsidR="00FF1952" w:rsidRPr="00BE56E5">
        <w:rPr>
          <w:b/>
          <w:bCs/>
          <w:color w:val="FF0000"/>
          <w:sz w:val="22"/>
          <w:szCs w:val="22"/>
        </w:rPr>
        <w:t xml:space="preserve">t specified in the study protocol) </w:t>
      </w:r>
      <w:r w:rsidR="00B31D87" w:rsidRPr="00BE56E5">
        <w:rPr>
          <w:b/>
          <w:bCs/>
          <w:color w:val="FF0000"/>
          <w:sz w:val="22"/>
          <w:szCs w:val="22"/>
        </w:rPr>
        <w:t>timepoints</w:t>
      </w:r>
      <w:r w:rsidR="00FF1952" w:rsidRPr="00BE56E5">
        <w:rPr>
          <w:b/>
          <w:bCs/>
          <w:color w:val="FF0000"/>
          <w:sz w:val="22"/>
          <w:szCs w:val="22"/>
        </w:rPr>
        <w:t>. These data were included in the analysis.</w:t>
      </w:r>
      <w:r w:rsidR="00B31D87">
        <w:rPr>
          <w:sz w:val="22"/>
          <w:szCs w:val="22"/>
          <w:vertAlign w:val="superscript"/>
        </w:rPr>
        <w:br/>
        <w:t>b</w:t>
      </w:r>
      <w:r w:rsidR="00BE430E" w:rsidRPr="00BE430E">
        <w:rPr>
          <w:sz w:val="22"/>
          <w:szCs w:val="22"/>
        </w:rPr>
        <w:t xml:space="preserve">Although categorized as HD-CKD in the present and earlier analyses, </w:t>
      </w:r>
      <w:r w:rsidR="00BE430E">
        <w:rPr>
          <w:sz w:val="22"/>
          <w:szCs w:val="22"/>
        </w:rPr>
        <w:t>3 of the patients in this study did not have end-stage kidney disease.</w:t>
      </w:r>
    </w:p>
    <w:p w14:paraId="4150E054" w14:textId="77777777" w:rsidR="00A03DCE" w:rsidRDefault="00A03DCE">
      <w:pPr>
        <w:widowControl w:val="0"/>
        <w:autoSpaceDN w:val="0"/>
        <w:textAlignment w:val="baseline"/>
        <w:rPr>
          <w:rFonts w:eastAsia="Calibri"/>
          <w:b/>
          <w:bCs/>
          <w:sz w:val="22"/>
          <w:szCs w:val="22"/>
          <w:lang w:val="en-GB"/>
        </w:rPr>
      </w:pPr>
      <w:r>
        <w:rPr>
          <w:b/>
          <w:bCs/>
        </w:rPr>
        <w:br w:type="page"/>
      </w:r>
    </w:p>
    <w:p w14:paraId="6C8DCC3B" w14:textId="7E98A723" w:rsidR="0041451D" w:rsidRPr="00E65947" w:rsidRDefault="0041451D" w:rsidP="0041451D">
      <w:pPr>
        <w:pStyle w:val="Standard"/>
        <w:spacing w:line="240" w:lineRule="auto"/>
        <w:rPr>
          <w:rFonts w:ascii="Times New Roman" w:hAnsi="Times New Roman" w:cs="Times New Roman"/>
          <w:lang w:val="en-US"/>
        </w:rPr>
      </w:pPr>
      <w:r w:rsidRPr="00D258A1">
        <w:rPr>
          <w:rFonts w:ascii="Times New Roman" w:hAnsi="Times New Roman" w:cs="Times New Roman"/>
          <w:b/>
          <w:bCs/>
        </w:rPr>
        <w:lastRenderedPageBreak/>
        <w:t>Table S</w:t>
      </w:r>
      <w:r>
        <w:rPr>
          <w:rFonts w:ascii="Times New Roman" w:hAnsi="Times New Roman" w:cs="Times New Roman"/>
          <w:b/>
          <w:bCs/>
        </w:rPr>
        <w:t>2</w:t>
      </w:r>
      <w:r w:rsidRPr="00D258A1">
        <w:rPr>
          <w:rFonts w:ascii="Times New Roman" w:hAnsi="Times New Roman" w:cs="Times New Roman"/>
          <w:b/>
          <w:bCs/>
        </w:rPr>
        <w:t xml:space="preserve"> </w:t>
      </w:r>
      <w:r w:rsidRPr="0041451D">
        <w:rPr>
          <w:rFonts w:ascii="Times New Roman" w:hAnsi="Times New Roman" w:cs="Times New Roman"/>
        </w:rPr>
        <w:t>FCM dosing characteristics in the</w:t>
      </w:r>
      <w:r w:rsidRPr="00E65947">
        <w:rPr>
          <w:rFonts w:ascii="Times New Roman" w:hAnsi="Times New Roman" w:cs="Times New Roman"/>
          <w:lang w:val="en-US"/>
        </w:rPr>
        <w:t xml:space="preserve"> pooled FCM analysis set</w:t>
      </w:r>
    </w:p>
    <w:tbl>
      <w:tblPr>
        <w:tblW w:w="15142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3806"/>
        <w:gridCol w:w="1416"/>
        <w:gridCol w:w="1416"/>
        <w:gridCol w:w="1416"/>
        <w:gridCol w:w="1416"/>
        <w:gridCol w:w="1416"/>
        <w:gridCol w:w="1416"/>
        <w:gridCol w:w="1416"/>
        <w:gridCol w:w="1424"/>
      </w:tblGrid>
      <w:tr w:rsidR="0057646E" w:rsidRPr="001C7868" w14:paraId="5F307E70" w14:textId="77777777" w:rsidTr="00931C4D">
        <w:trPr>
          <w:trHeight w:val="631"/>
        </w:trPr>
        <w:tc>
          <w:tcPr>
            <w:tcW w:w="3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2F8"/>
            <w:tcMar>
              <w:top w:w="15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2E1FDDB" w14:textId="77777777" w:rsidR="0057646E" w:rsidRPr="0057646E" w:rsidRDefault="0057646E" w:rsidP="0057646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2F8"/>
            <w:tcMar>
              <w:top w:w="15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2D46FD6" w14:textId="1AA465F8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</w:t>
            </w: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(</w:t>
            </w:r>
            <w:r w:rsidRPr="0085535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</w:t>
            </w:r>
            <w:r w:rsidR="00D8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r w:rsidR="00D8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792)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2F8"/>
            <w:tcMar>
              <w:top w:w="15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AD31DD7" w14:textId="4F058FC9" w:rsidR="0057646E" w:rsidRPr="0057646E" w:rsidRDefault="001520C5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HF</w:t>
            </w:r>
            <w:r w:rsidR="0057646E"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(</w:t>
            </w:r>
            <w:r w:rsidR="0057646E" w:rsidRPr="0085535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</w:t>
            </w:r>
            <w:r w:rsidR="00D8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7646E"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r w:rsidR="00D8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7646E"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1074)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2F8"/>
            <w:tcMar>
              <w:top w:w="15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02C8453" w14:textId="2369E604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NDD-CKD</w:t>
            </w: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(</w:t>
            </w:r>
            <w:r w:rsidRPr="0085535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</w:t>
            </w:r>
            <w:r w:rsidR="00D8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r w:rsidR="00D8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2107)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2F8"/>
            <w:tcMar>
              <w:top w:w="15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6DD05A5" w14:textId="2C2B91FE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HD-CKD</w:t>
            </w: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(</w:t>
            </w:r>
            <w:r w:rsidRPr="0085535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</w:t>
            </w:r>
            <w:r w:rsidR="00D8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r w:rsidR="00D8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2F8"/>
            <w:tcMar>
              <w:top w:w="15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82E6C34" w14:textId="3A686EEB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8604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</w:t>
            </w:r>
            <w:r w:rsidR="00931C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logy</w:t>
            </w: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(</w:t>
            </w:r>
            <w:r w:rsidRPr="0085535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</w:t>
            </w:r>
            <w:r w:rsidR="00D8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r w:rsidR="00D8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248)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2F8"/>
            <w:tcMar>
              <w:top w:w="15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7F9BFEA" w14:textId="02CFE524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Women's </w:t>
            </w:r>
            <w:r w:rsidR="003F1C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ealth</w:t>
            </w: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(</w:t>
            </w:r>
            <w:r w:rsidRPr="0085535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</w:t>
            </w:r>
            <w:r w:rsidR="00D8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r w:rsidR="00D8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2839)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2F8"/>
            <w:tcMar>
              <w:top w:w="15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3443040" w14:textId="5A3A649D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</w:t>
            </w: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(</w:t>
            </w:r>
            <w:r w:rsidRPr="0085535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</w:t>
            </w:r>
            <w:r w:rsidR="00D8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r w:rsidR="00D8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801)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2F8"/>
            <w:tcMar>
              <w:top w:w="15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9FBE296" w14:textId="12E6EF1F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(</w:t>
            </w:r>
            <w:r w:rsidRPr="0085535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</w:t>
            </w:r>
            <w:r w:rsidR="00D8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r w:rsidR="00D86E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7931)</w:t>
            </w:r>
          </w:p>
        </w:tc>
      </w:tr>
      <w:tr w:rsidR="0057646E" w:rsidRPr="001C7868" w14:paraId="10340B61" w14:textId="77777777" w:rsidTr="00931C4D">
        <w:trPr>
          <w:trHeight w:val="304"/>
        </w:trPr>
        <w:tc>
          <w:tcPr>
            <w:tcW w:w="380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626F88BE" w14:textId="3DE159B7" w:rsidR="0057646E" w:rsidRPr="0057646E" w:rsidRDefault="0057646E" w:rsidP="0057646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FCM single dose</w:t>
            </w:r>
            <w:r w:rsidR="00FA7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  <w:r w:rsidR="00FA7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6BDDDD1A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26.1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397826DB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24.4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51777580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18.8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6EE39673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100.0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2C0FA9A6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31.5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6FEC001F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56.9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4BCD95A7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48.6</w:t>
            </w:r>
          </w:p>
        </w:tc>
        <w:tc>
          <w:tcPr>
            <w:tcW w:w="1424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28F31331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38.0</w:t>
            </w:r>
          </w:p>
        </w:tc>
      </w:tr>
      <w:tr w:rsidR="0057646E" w:rsidRPr="001C7868" w14:paraId="1E5E503B" w14:textId="77777777" w:rsidTr="00931C4D">
        <w:trPr>
          <w:trHeight w:val="304"/>
        </w:trPr>
        <w:tc>
          <w:tcPr>
            <w:tcW w:w="380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37A55424" w14:textId="77777777" w:rsidR="0057646E" w:rsidRPr="0057646E" w:rsidRDefault="0057646E" w:rsidP="0057646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FCM administrations, mean (SD)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5C99C2FE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 (1.04)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11DA62EB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4.3 (3.70)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02118048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 (1.54)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7472F264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 (0.00)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78C9D4EC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 (0.70)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71FA568B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 (0.64)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2BD71998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 (0.64)</w:t>
            </w:r>
          </w:p>
        </w:tc>
        <w:tc>
          <w:tcPr>
            <w:tcW w:w="1424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75FDA2E0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 (1.90)</w:t>
            </w:r>
          </w:p>
        </w:tc>
      </w:tr>
      <w:tr w:rsidR="0057646E" w:rsidRPr="001C7868" w14:paraId="00DC9841" w14:textId="77777777" w:rsidTr="00855356">
        <w:trPr>
          <w:trHeight w:val="507"/>
        </w:trPr>
        <w:tc>
          <w:tcPr>
            <w:tcW w:w="380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2338ADCB" w14:textId="71DB6CA2" w:rsidR="0057646E" w:rsidRPr="0057646E" w:rsidRDefault="0057646E" w:rsidP="0057646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FCM frequent administrations </w:t>
            </w:r>
            <w:r w:rsidRPr="001C7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(&gt;1 dose within first 4 weeks)</w:t>
            </w:r>
            <w:r w:rsidR="00FA7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  <w:r w:rsidR="00FA7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0700DBA" w14:textId="77777777" w:rsidR="0057646E" w:rsidRPr="0057646E" w:rsidRDefault="0057646E" w:rsidP="001C7868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69.6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5CB6F42" w14:textId="77777777" w:rsidR="0057646E" w:rsidRPr="0057646E" w:rsidRDefault="0057646E" w:rsidP="001C7868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31.8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8783D40" w14:textId="77777777" w:rsidR="0057646E" w:rsidRPr="0057646E" w:rsidRDefault="0057646E" w:rsidP="001C7868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65.3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7D286E8" w14:textId="77777777" w:rsidR="0057646E" w:rsidRPr="0057646E" w:rsidRDefault="0057646E" w:rsidP="001C7868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28E5723" w14:textId="77777777" w:rsidR="0057646E" w:rsidRPr="0057646E" w:rsidRDefault="0057646E" w:rsidP="001C7868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68.5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9B19FEC" w14:textId="77777777" w:rsidR="0057646E" w:rsidRPr="0057646E" w:rsidRDefault="0057646E" w:rsidP="001C7868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43.1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E510224" w14:textId="77777777" w:rsidR="0057646E" w:rsidRPr="0057646E" w:rsidRDefault="0057646E" w:rsidP="001C7868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51.3</w:t>
            </w:r>
          </w:p>
        </w:tc>
        <w:tc>
          <w:tcPr>
            <w:tcW w:w="1424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4CBFE03" w14:textId="77777777" w:rsidR="0057646E" w:rsidRPr="0057646E" w:rsidRDefault="0057646E" w:rsidP="001C7868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51.4</w:t>
            </w:r>
          </w:p>
        </w:tc>
      </w:tr>
      <w:tr w:rsidR="0057646E" w:rsidRPr="001C7868" w14:paraId="5491B7AA" w14:textId="77777777" w:rsidTr="00931C4D">
        <w:trPr>
          <w:trHeight w:val="304"/>
        </w:trPr>
        <w:tc>
          <w:tcPr>
            <w:tcW w:w="380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29C99CF4" w14:textId="77777777" w:rsidR="0057646E" w:rsidRPr="0057646E" w:rsidRDefault="0057646E" w:rsidP="0057646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Cumulative FCM dose (mg), mean (SD)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3696FDFB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1393.2 (538.84)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599A5425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1530.8 (553.05)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109AFC64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1522.4 (637.70)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24D13FDA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397.0 (343.19)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0A8B5887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1373.2 (432.44)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1ECFEDB7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1169.0 (350.83)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29DF4193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1155.6 (423.91)</w:t>
            </w:r>
          </w:p>
        </w:tc>
        <w:tc>
          <w:tcPr>
            <w:tcW w:w="1424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74E371CD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1332.5 (532.12)</w:t>
            </w:r>
          </w:p>
        </w:tc>
      </w:tr>
      <w:tr w:rsidR="0057646E" w:rsidRPr="0057646E" w14:paraId="2ADD2127" w14:textId="77777777" w:rsidTr="001C7868">
        <w:trPr>
          <w:trHeight w:val="304"/>
        </w:trPr>
        <w:tc>
          <w:tcPr>
            <w:tcW w:w="15142" w:type="dxa"/>
            <w:gridSpan w:val="9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753FC7B3" w14:textId="69653531" w:rsidR="0057646E" w:rsidRPr="0057646E" w:rsidRDefault="0057646E" w:rsidP="0057646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Cumulative FCM dose category</w:t>
            </w:r>
            <w:r w:rsidR="00FA7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  <w:r w:rsidR="00FA7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57646E" w:rsidRPr="001C7868" w14:paraId="0528F7E3" w14:textId="77777777" w:rsidTr="00931C4D">
        <w:trPr>
          <w:trHeight w:val="304"/>
        </w:trPr>
        <w:tc>
          <w:tcPr>
            <w:tcW w:w="380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004DAA37" w14:textId="77777777" w:rsidR="0057646E" w:rsidRPr="0057646E" w:rsidRDefault="0057646E" w:rsidP="0057646E">
            <w:pPr>
              <w:pStyle w:val="Standard"/>
              <w:spacing w:line="240" w:lineRule="auto"/>
              <w:ind w:firstLine="4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≤1000 mg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3E87B9AD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36.1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77EAF671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30.2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0BFD380D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0C5C0CE3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100.0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426722DA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38.3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09B0DC7E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61.8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61077256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50.2</w:t>
            </w:r>
          </w:p>
        </w:tc>
        <w:tc>
          <w:tcPr>
            <w:tcW w:w="1424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75BA3FA8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43.1</w:t>
            </w:r>
          </w:p>
        </w:tc>
      </w:tr>
      <w:tr w:rsidR="0057646E" w:rsidRPr="001C7868" w14:paraId="7B20418D" w14:textId="77777777" w:rsidTr="00931C4D">
        <w:trPr>
          <w:trHeight w:val="304"/>
        </w:trPr>
        <w:tc>
          <w:tcPr>
            <w:tcW w:w="380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0FBA69A7" w14:textId="5392C3FB" w:rsidR="0057646E" w:rsidRPr="0057646E" w:rsidRDefault="0057646E" w:rsidP="0057646E">
            <w:pPr>
              <w:pStyle w:val="Standard"/>
              <w:spacing w:line="240" w:lineRule="auto"/>
              <w:ind w:firstLine="4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&gt;1000 mg </w:t>
            </w:r>
            <w:r w:rsidR="005A1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</w:t>
            </w: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≤1500 mg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7D73E941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46.6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62C86EA7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28.3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3E49E93D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60.7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3485AA91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06ED5B9D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56.9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5AE04ED4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27.6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6A3D0F14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41.4</w:t>
            </w:r>
          </w:p>
        </w:tc>
        <w:tc>
          <w:tcPr>
            <w:tcW w:w="1424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437859F7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40.5</w:t>
            </w:r>
          </w:p>
        </w:tc>
      </w:tr>
      <w:tr w:rsidR="0057646E" w:rsidRPr="001C7868" w14:paraId="71670DD1" w14:textId="77777777" w:rsidTr="00931C4D">
        <w:trPr>
          <w:trHeight w:val="304"/>
        </w:trPr>
        <w:tc>
          <w:tcPr>
            <w:tcW w:w="380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1F7FC2D9" w14:textId="77777777" w:rsidR="0057646E" w:rsidRPr="0057646E" w:rsidRDefault="0057646E" w:rsidP="0057646E">
            <w:pPr>
              <w:pStyle w:val="Standard"/>
              <w:spacing w:line="240" w:lineRule="auto"/>
              <w:ind w:firstLine="4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&gt;1500 mg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0362C5CB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17.3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7F4AB0BE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41.5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6F6B6B79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16.3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0706E3F1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2E634614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4.8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31844994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10.6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3B078437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8.4</w:t>
            </w:r>
          </w:p>
        </w:tc>
        <w:tc>
          <w:tcPr>
            <w:tcW w:w="1424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2A67F677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16.5</w:t>
            </w:r>
          </w:p>
        </w:tc>
      </w:tr>
      <w:tr w:rsidR="0057646E" w:rsidRPr="001C7868" w14:paraId="5A013748" w14:textId="77777777" w:rsidTr="00931C4D">
        <w:trPr>
          <w:trHeight w:val="304"/>
        </w:trPr>
        <w:tc>
          <w:tcPr>
            <w:tcW w:w="380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1989FBEC" w14:textId="165CF179" w:rsidR="0057646E" w:rsidRPr="0057646E" w:rsidRDefault="0057646E" w:rsidP="0057646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1C7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single FCM dose (mg), mean (SD)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5D923CE9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752.5 (186.87)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4E37AEFB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684.9 (368.54)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4940A215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764.9 (192.93)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4F96E3BC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397.0 (343.19)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6AAB708C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801.1 (148.76)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4E098F1D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873.8 (161.73)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5FC426B9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774.6 (174.78)</w:t>
            </w:r>
          </w:p>
        </w:tc>
        <w:tc>
          <w:tcPr>
            <w:tcW w:w="1424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030E6339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790.7 (227.18)</w:t>
            </w:r>
          </w:p>
        </w:tc>
      </w:tr>
      <w:tr w:rsidR="0057646E" w:rsidRPr="0057646E" w14:paraId="0DCFADB9" w14:textId="77777777" w:rsidTr="001C7868">
        <w:trPr>
          <w:trHeight w:val="304"/>
        </w:trPr>
        <w:tc>
          <w:tcPr>
            <w:tcW w:w="15142" w:type="dxa"/>
            <w:gridSpan w:val="9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7BB29A20" w14:textId="38E425E7" w:rsidR="0057646E" w:rsidRPr="0057646E" w:rsidRDefault="0057646E" w:rsidP="0057646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Max </w:t>
            </w:r>
            <w:r w:rsidR="008604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single </w:t>
            </w: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FCM dose category</w:t>
            </w:r>
            <w:r w:rsidR="00FA7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  <w:r w:rsidR="00FA74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57646E" w:rsidRPr="001C7868" w14:paraId="2A8BB38F" w14:textId="77777777" w:rsidTr="00931C4D">
        <w:trPr>
          <w:trHeight w:val="304"/>
        </w:trPr>
        <w:tc>
          <w:tcPr>
            <w:tcW w:w="380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73483B7D" w14:textId="77777777" w:rsidR="0057646E" w:rsidRPr="0057646E" w:rsidRDefault="0057646E" w:rsidP="0057646E">
            <w:pPr>
              <w:pStyle w:val="Standard"/>
              <w:spacing w:line="240" w:lineRule="auto"/>
              <w:ind w:firstLine="4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≤500 mg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351F2DD6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26.8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082E354D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43.7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6FBF742E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9.1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1ED9052B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72.9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06A8113A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9.7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78A97FEF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8.4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199DF7ED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8.7</w:t>
            </w:r>
          </w:p>
        </w:tc>
        <w:tc>
          <w:tcPr>
            <w:tcW w:w="1424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5C3CFB90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15.8</w:t>
            </w:r>
          </w:p>
        </w:tc>
      </w:tr>
      <w:tr w:rsidR="0057646E" w:rsidRPr="001C7868" w14:paraId="60003F7B" w14:textId="77777777" w:rsidTr="00931C4D">
        <w:trPr>
          <w:trHeight w:val="304"/>
        </w:trPr>
        <w:tc>
          <w:tcPr>
            <w:tcW w:w="380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4C742C2C" w14:textId="51E4CC1D" w:rsidR="0057646E" w:rsidRPr="0057646E" w:rsidRDefault="0057646E" w:rsidP="0057646E">
            <w:pPr>
              <w:pStyle w:val="Standard"/>
              <w:spacing w:line="240" w:lineRule="auto"/>
              <w:ind w:firstLine="4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&gt;500 mg </w:t>
            </w:r>
            <w:r w:rsidR="005A1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</w:t>
            </w: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≤750 mg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1FCF68CE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42.9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72F471FC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26C5D7DF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65.7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0EF73B4A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4.3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3DAA3EFB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59.3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473EE665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23.4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531987E8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63.3</w:t>
            </w:r>
          </w:p>
        </w:tc>
        <w:tc>
          <w:tcPr>
            <w:tcW w:w="1424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157FB99B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38.4</w:t>
            </w:r>
          </w:p>
        </w:tc>
      </w:tr>
      <w:tr w:rsidR="0057646E" w:rsidRPr="001C7868" w14:paraId="59E083A1" w14:textId="77777777" w:rsidTr="00931C4D">
        <w:trPr>
          <w:trHeight w:val="304"/>
        </w:trPr>
        <w:tc>
          <w:tcPr>
            <w:tcW w:w="380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0490392A" w14:textId="77777777" w:rsidR="0057646E" w:rsidRPr="0057646E" w:rsidRDefault="0057646E" w:rsidP="0057646E">
            <w:pPr>
              <w:pStyle w:val="Standard"/>
              <w:spacing w:line="240" w:lineRule="auto"/>
              <w:ind w:firstLine="43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&gt;750 mg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2BEDADD1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30.3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5831EF2F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56.3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0EB1CA20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25.2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55A3DE41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22.9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0A923909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31.0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26A2C472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68.2</w:t>
            </w:r>
          </w:p>
        </w:tc>
        <w:tc>
          <w:tcPr>
            <w:tcW w:w="1416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4D570967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</w:t>
            </w:r>
          </w:p>
        </w:tc>
        <w:tc>
          <w:tcPr>
            <w:tcW w:w="1424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1F1092E8" w14:textId="77777777" w:rsidR="0057646E" w:rsidRPr="0057646E" w:rsidRDefault="0057646E" w:rsidP="0057646E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45.8</w:t>
            </w:r>
          </w:p>
        </w:tc>
      </w:tr>
    </w:tbl>
    <w:p w14:paraId="06E8559F" w14:textId="6E963264" w:rsidR="00931C4D" w:rsidRPr="0055514A" w:rsidRDefault="00931C4D" w:rsidP="00931C4D">
      <w:pPr>
        <w:pStyle w:val="Standard"/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4" w:name="_Hlk105968171"/>
      <w:r w:rsidRPr="0055514A">
        <w:rPr>
          <w:rFonts w:ascii="Times New Roman" w:hAnsi="Times New Roman" w:cs="Times New Roman"/>
          <w:sz w:val="20"/>
          <w:szCs w:val="20"/>
          <w:lang w:val="en-US"/>
        </w:rPr>
        <w:t xml:space="preserve">FCM, ferric carboxymaltose; GI, gastrointestinal; HD-CKD, </w:t>
      </w:r>
      <w:r w:rsidR="00287E78">
        <w:rPr>
          <w:rFonts w:ascii="Times New Roman" w:hAnsi="Times New Roman" w:cs="Times New Roman"/>
          <w:sz w:val="20"/>
          <w:szCs w:val="20"/>
          <w:lang w:val="en-US"/>
        </w:rPr>
        <w:t>haemo</w:t>
      </w:r>
      <w:r w:rsidRPr="0055514A">
        <w:rPr>
          <w:rFonts w:ascii="Times New Roman" w:hAnsi="Times New Roman" w:cs="Times New Roman"/>
          <w:sz w:val="20"/>
          <w:szCs w:val="20"/>
          <w:lang w:val="en-US"/>
        </w:rPr>
        <w:t>dialysis-dependent chronic kidney disease; HF, heart failure; NDD-CKD, non</w:t>
      </w:r>
      <w:r w:rsidR="00376C1A" w:rsidRPr="00376C1A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Pr="0055514A">
        <w:rPr>
          <w:rFonts w:ascii="Times New Roman" w:hAnsi="Times New Roman" w:cs="Times New Roman"/>
          <w:sz w:val="20"/>
          <w:szCs w:val="20"/>
          <w:lang w:val="en-US"/>
        </w:rPr>
        <w:t>dialysis</w:t>
      </w:r>
      <w:r w:rsidR="00376C1A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55514A">
        <w:rPr>
          <w:rFonts w:ascii="Times New Roman" w:hAnsi="Times New Roman" w:cs="Times New Roman"/>
          <w:sz w:val="20"/>
          <w:szCs w:val="20"/>
          <w:lang w:val="en-US"/>
        </w:rPr>
        <w:t>dependent chronic kidney disease</w:t>
      </w:r>
      <w:r w:rsidRPr="0055514A">
        <w:rPr>
          <w:rFonts w:ascii="Times New Roman" w:hAnsi="Times New Roman" w:cs="Times New Roman"/>
          <w:sz w:val="20"/>
          <w:szCs w:val="20"/>
        </w:rPr>
        <w:t>.</w:t>
      </w:r>
    </w:p>
    <w:bookmarkEnd w:id="4"/>
    <w:p w14:paraId="551E9E9A" w14:textId="0446A3C4" w:rsidR="00237403" w:rsidRPr="00855356" w:rsidRDefault="00AC3EB8" w:rsidP="0041451D">
      <w:pPr>
        <w:pStyle w:val="Standard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5356">
        <w:rPr>
          <w:rFonts w:ascii="Times New Roman" w:hAnsi="Times New Roman" w:cs="Times New Roman"/>
          <w:sz w:val="20"/>
          <w:szCs w:val="20"/>
        </w:rPr>
        <w:t xml:space="preserve">Please see </w:t>
      </w:r>
      <w:r w:rsidR="008256C0" w:rsidRPr="00855356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855356">
        <w:rPr>
          <w:rFonts w:ascii="Times New Roman" w:hAnsi="Times New Roman" w:cs="Times New Roman"/>
          <w:i/>
          <w:iCs/>
          <w:sz w:val="20"/>
          <w:szCs w:val="20"/>
        </w:rPr>
        <w:t>able S1</w:t>
      </w:r>
      <w:r w:rsidRPr="00855356">
        <w:rPr>
          <w:rFonts w:ascii="Times New Roman" w:hAnsi="Times New Roman" w:cs="Times New Roman"/>
          <w:sz w:val="20"/>
          <w:szCs w:val="20"/>
        </w:rPr>
        <w:t xml:space="preserve"> for the duration of trials in each therapeutic area.</w:t>
      </w:r>
    </w:p>
    <w:p w14:paraId="56ACE29D" w14:textId="34D918B2" w:rsidR="00A228E3" w:rsidRPr="00E65947" w:rsidRDefault="00FB061C" w:rsidP="00A228E3">
      <w:pPr>
        <w:pStyle w:val="Standard"/>
        <w:spacing w:line="240" w:lineRule="auto"/>
        <w:rPr>
          <w:rFonts w:ascii="Times New Roman" w:hAnsi="Times New Roman" w:cs="Times New Roman"/>
          <w:lang w:val="en-US"/>
        </w:rPr>
      </w:pPr>
      <w:r w:rsidRPr="00BE430E">
        <w:rPr>
          <w:rFonts w:ascii="Times New Roman" w:hAnsi="Times New Roman" w:cs="Times New Roman"/>
          <w:b/>
          <w:bCs/>
        </w:rPr>
        <w:br w:type="page"/>
      </w:r>
      <w:r w:rsidR="00A228E3" w:rsidRPr="00D258A1">
        <w:rPr>
          <w:rFonts w:ascii="Times New Roman" w:hAnsi="Times New Roman" w:cs="Times New Roman"/>
          <w:b/>
          <w:bCs/>
        </w:rPr>
        <w:lastRenderedPageBreak/>
        <w:t>Table S</w:t>
      </w:r>
      <w:r w:rsidR="00A228E3">
        <w:rPr>
          <w:rFonts w:ascii="Times New Roman" w:hAnsi="Times New Roman" w:cs="Times New Roman"/>
          <w:b/>
          <w:bCs/>
        </w:rPr>
        <w:t>3</w:t>
      </w:r>
      <w:r w:rsidR="00A228E3" w:rsidRPr="00D258A1">
        <w:rPr>
          <w:rFonts w:ascii="Times New Roman" w:hAnsi="Times New Roman" w:cs="Times New Roman"/>
          <w:b/>
          <w:bCs/>
        </w:rPr>
        <w:t xml:space="preserve"> </w:t>
      </w:r>
      <w:r w:rsidR="00A228E3" w:rsidRPr="00A228E3">
        <w:rPr>
          <w:rFonts w:ascii="Times New Roman" w:hAnsi="Times New Roman" w:cs="Times New Roman"/>
        </w:rPr>
        <w:t>Baseline</w:t>
      </w:r>
      <w:r w:rsidR="00A228E3">
        <w:rPr>
          <w:rFonts w:ascii="Times New Roman" w:hAnsi="Times New Roman" w:cs="Times New Roman"/>
          <w:b/>
          <w:bCs/>
        </w:rPr>
        <w:t xml:space="preserve"> </w:t>
      </w:r>
      <w:r w:rsidR="00A228E3" w:rsidRPr="0041451D">
        <w:rPr>
          <w:rFonts w:ascii="Times New Roman" w:hAnsi="Times New Roman" w:cs="Times New Roman"/>
        </w:rPr>
        <w:t>characteristics in the</w:t>
      </w:r>
      <w:r w:rsidR="00A228E3" w:rsidRPr="00E65947">
        <w:rPr>
          <w:rFonts w:ascii="Times New Roman" w:hAnsi="Times New Roman" w:cs="Times New Roman"/>
          <w:lang w:val="en-US"/>
        </w:rPr>
        <w:t xml:space="preserve"> pooled HF analysis set</w:t>
      </w:r>
    </w:p>
    <w:tbl>
      <w:tblPr>
        <w:tblW w:w="14404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5624"/>
        <w:gridCol w:w="2101"/>
        <w:gridCol w:w="2101"/>
        <w:gridCol w:w="56"/>
        <w:gridCol w:w="2045"/>
        <w:gridCol w:w="2105"/>
        <w:gridCol w:w="372"/>
      </w:tblGrid>
      <w:tr w:rsidR="000812DE" w:rsidRPr="000812DE" w14:paraId="468D2C4B" w14:textId="77777777" w:rsidTr="005F7584">
        <w:trPr>
          <w:gridAfter w:val="1"/>
          <w:wAfter w:w="372" w:type="dxa"/>
          <w:trHeight w:val="338"/>
        </w:trPr>
        <w:tc>
          <w:tcPr>
            <w:tcW w:w="5624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8F2F8"/>
            <w:tcMar>
              <w:top w:w="15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465A3B4" w14:textId="124B9D72" w:rsidR="00A228E3" w:rsidRPr="00A228E3" w:rsidRDefault="00A228E3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8F2F8"/>
            <w:tcMar>
              <w:top w:w="15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A45FD1E" w14:textId="679A981C" w:rsidR="00A228E3" w:rsidRPr="00A228E3" w:rsidRDefault="00A228E3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FCM</w:t>
            </w:r>
            <w:r w:rsidRPr="00A228E3">
              <w:rPr>
                <w:sz w:val="22"/>
                <w:szCs w:val="22"/>
              </w:rPr>
              <w:br/>
              <w:t>(</w:t>
            </w:r>
            <w:r w:rsidRPr="00855356">
              <w:rPr>
                <w:i/>
                <w:iCs/>
                <w:sz w:val="22"/>
                <w:szCs w:val="22"/>
              </w:rPr>
              <w:t>N</w:t>
            </w:r>
            <w:r w:rsidR="00A356E4">
              <w:rPr>
                <w:sz w:val="22"/>
                <w:szCs w:val="22"/>
              </w:rPr>
              <w:t xml:space="preserve"> </w:t>
            </w:r>
            <w:r w:rsidRPr="00A228E3">
              <w:rPr>
                <w:sz w:val="22"/>
                <w:szCs w:val="22"/>
              </w:rPr>
              <w:t>=</w:t>
            </w:r>
            <w:r w:rsidR="00A356E4">
              <w:rPr>
                <w:sz w:val="22"/>
                <w:szCs w:val="22"/>
              </w:rPr>
              <w:t xml:space="preserve"> </w:t>
            </w:r>
            <w:r w:rsidRPr="00A228E3">
              <w:rPr>
                <w:sz w:val="22"/>
                <w:szCs w:val="22"/>
              </w:rPr>
              <w:t>1074)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8F2F8"/>
            <w:tcMar>
              <w:top w:w="15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A0C41BD" w14:textId="059AEF63" w:rsidR="00A228E3" w:rsidRPr="00A228E3" w:rsidRDefault="00A228E3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Placebo</w:t>
            </w:r>
            <w:r w:rsidRPr="00A228E3">
              <w:rPr>
                <w:sz w:val="22"/>
                <w:szCs w:val="22"/>
              </w:rPr>
              <w:br/>
              <w:t>(</w:t>
            </w:r>
            <w:r w:rsidRPr="00855356">
              <w:rPr>
                <w:i/>
                <w:iCs/>
                <w:sz w:val="22"/>
                <w:szCs w:val="22"/>
              </w:rPr>
              <w:t>N</w:t>
            </w:r>
            <w:r w:rsidR="00A356E4">
              <w:rPr>
                <w:sz w:val="22"/>
                <w:szCs w:val="22"/>
              </w:rPr>
              <w:t xml:space="preserve"> </w:t>
            </w:r>
            <w:r w:rsidRPr="00A228E3">
              <w:rPr>
                <w:sz w:val="22"/>
                <w:szCs w:val="22"/>
              </w:rPr>
              <w:t>=</w:t>
            </w:r>
            <w:r w:rsidR="00A356E4">
              <w:rPr>
                <w:sz w:val="22"/>
                <w:szCs w:val="22"/>
              </w:rPr>
              <w:t xml:space="preserve"> </w:t>
            </w:r>
            <w:r w:rsidRPr="00A228E3">
              <w:rPr>
                <w:sz w:val="22"/>
                <w:szCs w:val="22"/>
              </w:rPr>
              <w:t>809)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8F2F8"/>
            <w:tcMar>
              <w:top w:w="15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342C155" w14:textId="0BBBDB4F" w:rsidR="00A228E3" w:rsidRPr="00A228E3" w:rsidRDefault="00A228E3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Comparator</w:t>
            </w:r>
            <w:r w:rsidRPr="00A228E3">
              <w:rPr>
                <w:sz w:val="22"/>
                <w:szCs w:val="22"/>
              </w:rPr>
              <w:br/>
              <w:t>(</w:t>
            </w:r>
            <w:r w:rsidRPr="00855356">
              <w:rPr>
                <w:i/>
                <w:iCs/>
                <w:sz w:val="22"/>
                <w:szCs w:val="22"/>
              </w:rPr>
              <w:t>N</w:t>
            </w:r>
            <w:r w:rsidR="00A356E4">
              <w:rPr>
                <w:sz w:val="22"/>
                <w:szCs w:val="22"/>
              </w:rPr>
              <w:t xml:space="preserve"> </w:t>
            </w:r>
            <w:r w:rsidRPr="00A228E3">
              <w:rPr>
                <w:sz w:val="22"/>
                <w:szCs w:val="22"/>
              </w:rPr>
              <w:t>=</w:t>
            </w:r>
            <w:r w:rsidR="00A356E4">
              <w:rPr>
                <w:sz w:val="22"/>
                <w:szCs w:val="22"/>
              </w:rPr>
              <w:t xml:space="preserve"> </w:t>
            </w:r>
            <w:r w:rsidRPr="00A228E3">
              <w:rPr>
                <w:sz w:val="22"/>
                <w:szCs w:val="22"/>
              </w:rPr>
              <w:t>110)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8F2F8"/>
            <w:tcMar>
              <w:top w:w="15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2FFB345" w14:textId="6A0D5DA0" w:rsidR="00A228E3" w:rsidRPr="00A228E3" w:rsidRDefault="00A228E3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Total</w:t>
            </w:r>
            <w:r w:rsidRPr="00A228E3">
              <w:rPr>
                <w:sz w:val="22"/>
                <w:szCs w:val="22"/>
              </w:rPr>
              <w:br/>
              <w:t>(</w:t>
            </w:r>
            <w:r w:rsidRPr="00855356">
              <w:rPr>
                <w:i/>
                <w:iCs/>
                <w:sz w:val="22"/>
                <w:szCs w:val="22"/>
              </w:rPr>
              <w:t>N</w:t>
            </w:r>
            <w:r w:rsidR="00A356E4">
              <w:rPr>
                <w:sz w:val="22"/>
                <w:szCs w:val="22"/>
              </w:rPr>
              <w:t xml:space="preserve"> </w:t>
            </w:r>
            <w:r w:rsidRPr="00A228E3">
              <w:rPr>
                <w:sz w:val="22"/>
                <w:szCs w:val="22"/>
              </w:rPr>
              <w:t>=</w:t>
            </w:r>
            <w:r w:rsidR="00A356E4">
              <w:rPr>
                <w:sz w:val="22"/>
                <w:szCs w:val="22"/>
              </w:rPr>
              <w:t xml:space="preserve"> </w:t>
            </w:r>
            <w:r w:rsidRPr="00A228E3">
              <w:rPr>
                <w:sz w:val="22"/>
                <w:szCs w:val="22"/>
              </w:rPr>
              <w:t>1993)</w:t>
            </w:r>
          </w:p>
        </w:tc>
      </w:tr>
      <w:tr w:rsidR="00AF3CA1" w:rsidRPr="00AF3CA1" w14:paraId="4F43C4FC" w14:textId="77777777" w:rsidTr="005F7584">
        <w:trPr>
          <w:trHeight w:val="45"/>
        </w:trPr>
        <w:tc>
          <w:tcPr>
            <w:tcW w:w="56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322934E4" w14:textId="77D49445" w:rsidR="00AF3CA1" w:rsidRPr="00AF3CA1" w:rsidRDefault="00AF3CA1" w:rsidP="00AF3CA1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Female (%)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71DECD9E" w14:textId="77777777" w:rsidR="00AF3CA1" w:rsidRPr="00AF3CA1" w:rsidRDefault="00AF3CA1" w:rsidP="005F7584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44.8</w:t>
            </w:r>
          </w:p>
        </w:tc>
        <w:tc>
          <w:tcPr>
            <w:tcW w:w="215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0B83087C" w14:textId="77777777" w:rsidR="00AF3CA1" w:rsidRPr="00AF3CA1" w:rsidRDefault="00AF3CA1" w:rsidP="005F7584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47.8</w:t>
            </w:r>
          </w:p>
        </w:tc>
        <w:tc>
          <w:tcPr>
            <w:tcW w:w="20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3CE927AE" w14:textId="77777777" w:rsidR="00AF3CA1" w:rsidRPr="00AF3CA1" w:rsidRDefault="00AF3CA1" w:rsidP="005F7584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30.9</w:t>
            </w:r>
          </w:p>
        </w:tc>
        <w:tc>
          <w:tcPr>
            <w:tcW w:w="247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57A4259C" w14:textId="77777777" w:rsidR="00AF3CA1" w:rsidRPr="00AF3CA1" w:rsidRDefault="00AF3CA1" w:rsidP="005F7584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45.3</w:t>
            </w:r>
          </w:p>
        </w:tc>
      </w:tr>
      <w:tr w:rsidR="00AF3CA1" w:rsidRPr="00AF3CA1" w14:paraId="6226350D" w14:textId="77777777" w:rsidTr="005F7584">
        <w:trPr>
          <w:trHeight w:val="292"/>
        </w:trPr>
        <w:tc>
          <w:tcPr>
            <w:tcW w:w="56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75E8E64A" w14:textId="4C23F277" w:rsidR="00AF3CA1" w:rsidRPr="00AF3CA1" w:rsidRDefault="00AF3CA1" w:rsidP="00AF3CA1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 xml:space="preserve">Age (y), mean </w:t>
            </w:r>
            <w:r w:rsidR="00EB07CD">
              <w:rPr>
                <w:sz w:val="22"/>
                <w:szCs w:val="22"/>
              </w:rPr>
              <w:t>(</w:t>
            </w:r>
            <w:r w:rsidRPr="00AF3CA1">
              <w:rPr>
                <w:sz w:val="22"/>
                <w:szCs w:val="22"/>
              </w:rPr>
              <w:t>SD</w:t>
            </w:r>
            <w:r w:rsidR="00EB07CD">
              <w:rPr>
                <w:sz w:val="22"/>
                <w:szCs w:val="22"/>
              </w:rPr>
              <w:t>)</w:t>
            </w:r>
          </w:p>
        </w:tc>
        <w:tc>
          <w:tcPr>
            <w:tcW w:w="2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02D7908F" w14:textId="77777777" w:rsidR="00AF3CA1" w:rsidRPr="00AF3CA1" w:rsidRDefault="00AF3CA1" w:rsidP="005F7584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68.7 (10.72)</w:t>
            </w:r>
          </w:p>
        </w:tc>
        <w:tc>
          <w:tcPr>
            <w:tcW w:w="215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22D1722D" w14:textId="77777777" w:rsidR="00AF3CA1" w:rsidRPr="00AF3CA1" w:rsidRDefault="00AF3CA1" w:rsidP="005F7584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69.8 (10.63)</w:t>
            </w:r>
          </w:p>
        </w:tc>
        <w:tc>
          <w:tcPr>
            <w:tcW w:w="20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5815F2FA" w14:textId="77777777" w:rsidR="00AF3CA1" w:rsidRPr="00AF3CA1" w:rsidRDefault="00AF3CA1" w:rsidP="005F7584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65.1 (12.12)</w:t>
            </w:r>
          </w:p>
        </w:tc>
        <w:tc>
          <w:tcPr>
            <w:tcW w:w="247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5D174E5D" w14:textId="77777777" w:rsidR="00AF3CA1" w:rsidRPr="00AF3CA1" w:rsidRDefault="00AF3CA1" w:rsidP="005F7584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69.0 (10.81)</w:t>
            </w:r>
          </w:p>
        </w:tc>
      </w:tr>
      <w:tr w:rsidR="00AF3CA1" w:rsidRPr="00AF3CA1" w14:paraId="7626CE3A" w14:textId="77777777" w:rsidTr="00AF3CA1">
        <w:trPr>
          <w:trHeight w:val="292"/>
        </w:trPr>
        <w:tc>
          <w:tcPr>
            <w:tcW w:w="14404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6ECE29CF" w14:textId="09B4B773" w:rsidR="00AF3CA1" w:rsidRPr="00AF3CA1" w:rsidRDefault="00AF3CA1" w:rsidP="00AF3CA1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Race</w:t>
            </w:r>
            <w:r w:rsidR="00FA748C">
              <w:rPr>
                <w:sz w:val="22"/>
                <w:szCs w:val="22"/>
              </w:rPr>
              <w:t xml:space="preserve"> (</w:t>
            </w:r>
            <w:r w:rsidRPr="00AF3CA1">
              <w:rPr>
                <w:sz w:val="22"/>
                <w:szCs w:val="22"/>
              </w:rPr>
              <w:t>%</w:t>
            </w:r>
            <w:r w:rsidR="00FA748C">
              <w:rPr>
                <w:sz w:val="22"/>
                <w:szCs w:val="22"/>
              </w:rPr>
              <w:t>)</w:t>
            </w:r>
          </w:p>
        </w:tc>
      </w:tr>
      <w:tr w:rsidR="00AF3CA1" w:rsidRPr="00AF3CA1" w14:paraId="38237C81" w14:textId="77777777" w:rsidTr="005F7584">
        <w:trPr>
          <w:trHeight w:val="292"/>
        </w:trPr>
        <w:tc>
          <w:tcPr>
            <w:tcW w:w="5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49C273CA" w14:textId="77777777" w:rsidR="00AF3CA1" w:rsidRPr="00AF3CA1" w:rsidRDefault="00AF3CA1" w:rsidP="005F7584">
            <w:pPr>
              <w:widowControl w:val="0"/>
              <w:autoSpaceDN w:val="0"/>
              <w:ind w:firstLine="240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White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43E0FBCD" w14:textId="77777777" w:rsidR="00AF3CA1" w:rsidRPr="00AF3CA1" w:rsidRDefault="00AF3CA1" w:rsidP="005F7584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96.7</w:t>
            </w:r>
          </w:p>
        </w:tc>
        <w:tc>
          <w:tcPr>
            <w:tcW w:w="215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2928C522" w14:textId="77777777" w:rsidR="00AF3CA1" w:rsidRPr="00AF3CA1" w:rsidRDefault="00AF3CA1" w:rsidP="005F7584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96.7</w:t>
            </w:r>
          </w:p>
        </w:tc>
        <w:tc>
          <w:tcPr>
            <w:tcW w:w="2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1C1F8524" w14:textId="77777777" w:rsidR="00AF3CA1" w:rsidRPr="00AF3CA1" w:rsidRDefault="00AF3CA1" w:rsidP="005F7584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99.1</w:t>
            </w:r>
          </w:p>
        </w:tc>
        <w:tc>
          <w:tcPr>
            <w:tcW w:w="247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00437D1D" w14:textId="77777777" w:rsidR="00AF3CA1" w:rsidRPr="00AF3CA1" w:rsidRDefault="00AF3CA1" w:rsidP="005F7584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96.8</w:t>
            </w:r>
          </w:p>
        </w:tc>
      </w:tr>
      <w:tr w:rsidR="00AF3CA1" w:rsidRPr="00AF3CA1" w14:paraId="31A77BFC" w14:textId="77777777" w:rsidTr="005F7584">
        <w:trPr>
          <w:trHeight w:val="292"/>
        </w:trPr>
        <w:tc>
          <w:tcPr>
            <w:tcW w:w="5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446C38D5" w14:textId="77777777" w:rsidR="00AF3CA1" w:rsidRPr="00AF3CA1" w:rsidRDefault="00AF3CA1" w:rsidP="005F7584">
            <w:pPr>
              <w:widowControl w:val="0"/>
              <w:autoSpaceDN w:val="0"/>
              <w:ind w:firstLine="240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Black or African American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06CD0EB0" w14:textId="77777777" w:rsidR="00AF3CA1" w:rsidRPr="00AF3CA1" w:rsidRDefault="00AF3CA1" w:rsidP="005F7584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0.5</w:t>
            </w:r>
          </w:p>
        </w:tc>
        <w:tc>
          <w:tcPr>
            <w:tcW w:w="215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03B9181C" w14:textId="77777777" w:rsidR="00AF3CA1" w:rsidRPr="00AF3CA1" w:rsidRDefault="00AF3CA1" w:rsidP="005F7584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0.4</w:t>
            </w:r>
          </w:p>
        </w:tc>
        <w:tc>
          <w:tcPr>
            <w:tcW w:w="2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6EDE970D" w14:textId="77777777" w:rsidR="00AF3CA1" w:rsidRPr="00AF3CA1" w:rsidRDefault="00AF3CA1" w:rsidP="005F7584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0</w:t>
            </w:r>
          </w:p>
        </w:tc>
        <w:tc>
          <w:tcPr>
            <w:tcW w:w="247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6C55C65B" w14:textId="77777777" w:rsidR="00AF3CA1" w:rsidRPr="00AF3CA1" w:rsidRDefault="00AF3CA1" w:rsidP="005F7584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0.4</w:t>
            </w:r>
          </w:p>
        </w:tc>
      </w:tr>
      <w:tr w:rsidR="00AF3CA1" w:rsidRPr="00AF3CA1" w14:paraId="2C7C081A" w14:textId="77777777" w:rsidTr="005F7584">
        <w:trPr>
          <w:trHeight w:val="292"/>
        </w:trPr>
        <w:tc>
          <w:tcPr>
            <w:tcW w:w="5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014C2DD2" w14:textId="77777777" w:rsidR="00AF3CA1" w:rsidRPr="00AF3CA1" w:rsidRDefault="00AF3CA1" w:rsidP="005F7584">
            <w:pPr>
              <w:widowControl w:val="0"/>
              <w:autoSpaceDN w:val="0"/>
              <w:ind w:firstLine="240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Asian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62867866" w14:textId="77777777" w:rsidR="00AF3CA1" w:rsidRPr="00AF3CA1" w:rsidRDefault="00AF3CA1" w:rsidP="005F7584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2.4</w:t>
            </w:r>
          </w:p>
        </w:tc>
        <w:tc>
          <w:tcPr>
            <w:tcW w:w="215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5BC5DA37" w14:textId="77777777" w:rsidR="00AF3CA1" w:rsidRPr="00AF3CA1" w:rsidRDefault="00AF3CA1" w:rsidP="005F7584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2.8</w:t>
            </w:r>
          </w:p>
        </w:tc>
        <w:tc>
          <w:tcPr>
            <w:tcW w:w="2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50514A45" w14:textId="77777777" w:rsidR="00AF3CA1" w:rsidRPr="00AF3CA1" w:rsidRDefault="00AF3CA1" w:rsidP="005F7584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0</w:t>
            </w:r>
          </w:p>
        </w:tc>
        <w:tc>
          <w:tcPr>
            <w:tcW w:w="247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599B0E2F" w14:textId="77777777" w:rsidR="00AF3CA1" w:rsidRPr="00AF3CA1" w:rsidRDefault="00AF3CA1" w:rsidP="005F7584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2.5</w:t>
            </w:r>
          </w:p>
        </w:tc>
      </w:tr>
      <w:tr w:rsidR="00AF3CA1" w:rsidRPr="00AF3CA1" w14:paraId="31A2C448" w14:textId="77777777" w:rsidTr="005F7584">
        <w:trPr>
          <w:trHeight w:val="292"/>
        </w:trPr>
        <w:tc>
          <w:tcPr>
            <w:tcW w:w="5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2D4F9DEB" w14:textId="77777777" w:rsidR="00AF3CA1" w:rsidRPr="00AF3CA1" w:rsidRDefault="00AF3CA1" w:rsidP="00AF3CA1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BMI (kg/m</w:t>
            </w:r>
            <w:r w:rsidRPr="00AF3CA1">
              <w:rPr>
                <w:sz w:val="22"/>
                <w:szCs w:val="22"/>
                <w:vertAlign w:val="superscript"/>
              </w:rPr>
              <w:t>2</w:t>
            </w:r>
            <w:r w:rsidRPr="00AF3CA1">
              <w:rPr>
                <w:sz w:val="22"/>
                <w:szCs w:val="22"/>
              </w:rPr>
              <w:t>), mean (SD)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626A1D5B" w14:textId="77777777" w:rsidR="00AF3CA1" w:rsidRPr="00AF3CA1" w:rsidRDefault="00AF3CA1" w:rsidP="005F7584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28.04 (5.213)</w:t>
            </w:r>
          </w:p>
        </w:tc>
        <w:tc>
          <w:tcPr>
            <w:tcW w:w="215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1BF515DC" w14:textId="77777777" w:rsidR="00AF3CA1" w:rsidRPr="00AF3CA1" w:rsidRDefault="00AF3CA1" w:rsidP="005F7584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28.18 (5.540)</w:t>
            </w:r>
          </w:p>
        </w:tc>
        <w:tc>
          <w:tcPr>
            <w:tcW w:w="2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24545EAF" w14:textId="77777777" w:rsidR="00AF3CA1" w:rsidRPr="00AF3CA1" w:rsidRDefault="00AF3CA1" w:rsidP="005F7584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27.11 (4.570)</w:t>
            </w:r>
          </w:p>
        </w:tc>
        <w:tc>
          <w:tcPr>
            <w:tcW w:w="247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53C1172C" w14:textId="77777777" w:rsidR="00AF3CA1" w:rsidRPr="00AF3CA1" w:rsidRDefault="00AF3CA1" w:rsidP="005F7584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28.04 (5.319)</w:t>
            </w:r>
          </w:p>
        </w:tc>
      </w:tr>
      <w:tr w:rsidR="00AF3CA1" w:rsidRPr="00AF3CA1" w14:paraId="0985E73F" w14:textId="77777777" w:rsidTr="005F7584">
        <w:trPr>
          <w:trHeight w:val="292"/>
        </w:trPr>
        <w:tc>
          <w:tcPr>
            <w:tcW w:w="5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4C50DB11" w14:textId="7E721DE7" w:rsidR="00AF3CA1" w:rsidRPr="00AF3CA1" w:rsidRDefault="00AF3CA1" w:rsidP="00AF3CA1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Haemoglobin</w:t>
            </w:r>
            <w:r w:rsidR="00B02808">
              <w:rPr>
                <w:sz w:val="22"/>
                <w:szCs w:val="22"/>
              </w:rPr>
              <w:t xml:space="preserve"> </w:t>
            </w:r>
            <w:r w:rsidRPr="00AF3CA1">
              <w:rPr>
                <w:sz w:val="22"/>
                <w:szCs w:val="22"/>
              </w:rPr>
              <w:t>(g/dL), mean (SD)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54F0FE01" w14:textId="77777777" w:rsidR="00AF3CA1" w:rsidRPr="00AF3CA1" w:rsidRDefault="00AF3CA1" w:rsidP="005F7584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12.3 (1.49)</w:t>
            </w:r>
          </w:p>
        </w:tc>
        <w:tc>
          <w:tcPr>
            <w:tcW w:w="215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3C4D5C9B" w14:textId="77777777" w:rsidR="00AF3CA1" w:rsidRPr="00AF3CA1" w:rsidRDefault="00AF3CA1" w:rsidP="005F7584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12.2 (1.48)</w:t>
            </w:r>
          </w:p>
        </w:tc>
        <w:tc>
          <w:tcPr>
            <w:tcW w:w="2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7EE683E4" w14:textId="77777777" w:rsidR="00AF3CA1" w:rsidRPr="00AF3CA1" w:rsidRDefault="00AF3CA1" w:rsidP="005F7584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12.8 (1.36)</w:t>
            </w:r>
          </w:p>
        </w:tc>
        <w:tc>
          <w:tcPr>
            <w:tcW w:w="247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6C5EBD02" w14:textId="77777777" w:rsidR="00AF3CA1" w:rsidRPr="00AF3CA1" w:rsidRDefault="00AF3CA1" w:rsidP="005F7584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12.3 (1.48)</w:t>
            </w:r>
          </w:p>
        </w:tc>
      </w:tr>
      <w:tr w:rsidR="00AF3CA1" w:rsidRPr="00AF3CA1" w14:paraId="6B3F280A" w14:textId="77777777" w:rsidTr="00AF3CA1">
        <w:trPr>
          <w:trHeight w:val="292"/>
        </w:trPr>
        <w:tc>
          <w:tcPr>
            <w:tcW w:w="14404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7105168E" w14:textId="64B370B1" w:rsidR="00AF3CA1" w:rsidRPr="00AF3CA1" w:rsidRDefault="00AF3CA1" w:rsidP="00AF3CA1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Haemoglobin</w:t>
            </w:r>
            <w:r w:rsidR="00B02808">
              <w:rPr>
                <w:sz w:val="22"/>
                <w:szCs w:val="22"/>
              </w:rPr>
              <w:t xml:space="preserve"> </w:t>
            </w:r>
            <w:r w:rsidR="005F7584">
              <w:rPr>
                <w:sz w:val="22"/>
                <w:szCs w:val="22"/>
              </w:rPr>
              <w:t>c</w:t>
            </w:r>
            <w:r w:rsidRPr="00AF3CA1">
              <w:rPr>
                <w:sz w:val="22"/>
                <w:szCs w:val="22"/>
              </w:rPr>
              <w:t>ategory</w:t>
            </w:r>
            <w:r w:rsidR="00FA748C">
              <w:rPr>
                <w:sz w:val="22"/>
                <w:szCs w:val="22"/>
              </w:rPr>
              <w:t xml:space="preserve"> (</w:t>
            </w:r>
            <w:r w:rsidRPr="00AF3CA1">
              <w:rPr>
                <w:sz w:val="22"/>
                <w:szCs w:val="22"/>
              </w:rPr>
              <w:t>%</w:t>
            </w:r>
            <w:r w:rsidR="00FA748C">
              <w:rPr>
                <w:sz w:val="22"/>
                <w:szCs w:val="22"/>
              </w:rPr>
              <w:t>)</w:t>
            </w:r>
          </w:p>
        </w:tc>
      </w:tr>
      <w:tr w:rsidR="00AF3CA1" w:rsidRPr="00AF3CA1" w14:paraId="0332A90B" w14:textId="77777777" w:rsidTr="005F7584">
        <w:trPr>
          <w:trHeight w:val="292"/>
        </w:trPr>
        <w:tc>
          <w:tcPr>
            <w:tcW w:w="5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70EFFB8B" w14:textId="77777777" w:rsidR="00AF3CA1" w:rsidRPr="00AF3CA1" w:rsidRDefault="00AF3CA1" w:rsidP="005F7584">
            <w:pPr>
              <w:widowControl w:val="0"/>
              <w:autoSpaceDN w:val="0"/>
              <w:ind w:firstLine="240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&lt;12 g/dL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419203B3" w14:textId="77777777" w:rsidR="00AF3CA1" w:rsidRPr="00AF3CA1" w:rsidRDefault="00AF3CA1" w:rsidP="00C970B8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40.1</w:t>
            </w:r>
          </w:p>
        </w:tc>
        <w:tc>
          <w:tcPr>
            <w:tcW w:w="215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19A4BBC7" w14:textId="77777777" w:rsidR="00AF3CA1" w:rsidRPr="00AF3CA1" w:rsidRDefault="00AF3CA1" w:rsidP="00C970B8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42.4</w:t>
            </w:r>
          </w:p>
        </w:tc>
        <w:tc>
          <w:tcPr>
            <w:tcW w:w="2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5FC47B49" w14:textId="77777777" w:rsidR="00AF3CA1" w:rsidRPr="00AF3CA1" w:rsidRDefault="00AF3CA1" w:rsidP="00C970B8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26.4</w:t>
            </w:r>
          </w:p>
        </w:tc>
        <w:tc>
          <w:tcPr>
            <w:tcW w:w="247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0FBA8FFD" w14:textId="77777777" w:rsidR="00AF3CA1" w:rsidRPr="00AF3CA1" w:rsidRDefault="00AF3CA1" w:rsidP="00C970B8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40.3</w:t>
            </w:r>
          </w:p>
        </w:tc>
      </w:tr>
      <w:tr w:rsidR="00AF3CA1" w:rsidRPr="00AF3CA1" w14:paraId="1AB1B2FB" w14:textId="77777777" w:rsidTr="005F7584">
        <w:trPr>
          <w:trHeight w:val="292"/>
        </w:trPr>
        <w:tc>
          <w:tcPr>
            <w:tcW w:w="5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498BAD17" w14:textId="77777777" w:rsidR="00AF3CA1" w:rsidRPr="00AF3CA1" w:rsidRDefault="00AF3CA1" w:rsidP="005F7584">
            <w:pPr>
              <w:widowControl w:val="0"/>
              <w:autoSpaceDN w:val="0"/>
              <w:ind w:firstLine="240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≥12 g/dL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0E7C17A3" w14:textId="77777777" w:rsidR="00AF3CA1" w:rsidRPr="00AF3CA1" w:rsidRDefault="00AF3CA1" w:rsidP="00C970B8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59.8</w:t>
            </w:r>
          </w:p>
        </w:tc>
        <w:tc>
          <w:tcPr>
            <w:tcW w:w="215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49A38F3F" w14:textId="77777777" w:rsidR="00AF3CA1" w:rsidRPr="00AF3CA1" w:rsidRDefault="00AF3CA1" w:rsidP="00C970B8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57.6</w:t>
            </w:r>
          </w:p>
        </w:tc>
        <w:tc>
          <w:tcPr>
            <w:tcW w:w="2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22BB4538" w14:textId="77777777" w:rsidR="00AF3CA1" w:rsidRPr="00AF3CA1" w:rsidRDefault="00AF3CA1" w:rsidP="00C970B8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73.6</w:t>
            </w:r>
          </w:p>
        </w:tc>
        <w:tc>
          <w:tcPr>
            <w:tcW w:w="247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055B4D50" w14:textId="77777777" w:rsidR="00AF3CA1" w:rsidRPr="00AF3CA1" w:rsidRDefault="00AF3CA1" w:rsidP="00C970B8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59.7</w:t>
            </w:r>
          </w:p>
        </w:tc>
      </w:tr>
      <w:tr w:rsidR="00AF3CA1" w:rsidRPr="00AF3CA1" w14:paraId="1E64FDD7" w14:textId="77777777" w:rsidTr="005F7584">
        <w:trPr>
          <w:trHeight w:val="292"/>
        </w:trPr>
        <w:tc>
          <w:tcPr>
            <w:tcW w:w="5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2E2C1483" w14:textId="77777777" w:rsidR="00AF3CA1" w:rsidRPr="00AF3CA1" w:rsidRDefault="00AF3CA1" w:rsidP="005F7584">
            <w:pPr>
              <w:widowControl w:val="0"/>
              <w:autoSpaceDN w:val="0"/>
              <w:ind w:firstLine="240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Missing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6C1BAA72" w14:textId="77777777" w:rsidR="00AF3CA1" w:rsidRPr="00AF3CA1" w:rsidRDefault="00AF3CA1" w:rsidP="00C970B8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&lt;0.1</w:t>
            </w:r>
          </w:p>
        </w:tc>
        <w:tc>
          <w:tcPr>
            <w:tcW w:w="215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7C66D4D7" w14:textId="77777777" w:rsidR="00AF3CA1" w:rsidRPr="00AF3CA1" w:rsidRDefault="00AF3CA1" w:rsidP="00C970B8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10003F02" w14:textId="77777777" w:rsidR="00AF3CA1" w:rsidRPr="00AF3CA1" w:rsidRDefault="00AF3CA1" w:rsidP="00C970B8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0</w:t>
            </w:r>
          </w:p>
        </w:tc>
        <w:tc>
          <w:tcPr>
            <w:tcW w:w="247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747DEFCA" w14:textId="77777777" w:rsidR="00AF3CA1" w:rsidRPr="00AF3CA1" w:rsidRDefault="00AF3CA1" w:rsidP="00C970B8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&lt;0.1</w:t>
            </w:r>
          </w:p>
        </w:tc>
      </w:tr>
      <w:tr w:rsidR="00AF3CA1" w:rsidRPr="00AF3CA1" w14:paraId="0276DD92" w14:textId="77777777" w:rsidTr="005F7584">
        <w:trPr>
          <w:trHeight w:val="292"/>
        </w:trPr>
        <w:tc>
          <w:tcPr>
            <w:tcW w:w="5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236AD27C" w14:textId="52B2A6C1" w:rsidR="00AF3CA1" w:rsidRPr="00AF3CA1" w:rsidRDefault="00AF3CA1" w:rsidP="00AF3CA1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Ferritin</w:t>
            </w:r>
            <w:r w:rsidR="00A25393">
              <w:rPr>
                <w:sz w:val="22"/>
                <w:szCs w:val="22"/>
              </w:rPr>
              <w:t xml:space="preserve"> </w:t>
            </w:r>
            <w:r w:rsidRPr="00AF3CA1">
              <w:rPr>
                <w:sz w:val="22"/>
                <w:szCs w:val="22"/>
              </w:rPr>
              <w:t>(mcg/L), mean (SD)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5419AD6C" w14:textId="77777777" w:rsidR="00AF3CA1" w:rsidRPr="00AF3CA1" w:rsidRDefault="00AF3CA1" w:rsidP="00C970B8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69.7 (60.65)</w:t>
            </w:r>
          </w:p>
        </w:tc>
        <w:tc>
          <w:tcPr>
            <w:tcW w:w="215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781EE1EC" w14:textId="77777777" w:rsidR="00AF3CA1" w:rsidRPr="00AF3CA1" w:rsidRDefault="00AF3CA1" w:rsidP="00C970B8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77.1 (65.63)</w:t>
            </w:r>
          </w:p>
        </w:tc>
        <w:tc>
          <w:tcPr>
            <w:tcW w:w="2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53CE04D5" w14:textId="77777777" w:rsidR="00AF3CA1" w:rsidRPr="00AF3CA1" w:rsidRDefault="00AF3CA1" w:rsidP="00C970B8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65.0 (57.75)</w:t>
            </w:r>
          </w:p>
        </w:tc>
        <w:tc>
          <w:tcPr>
            <w:tcW w:w="247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219C4103" w14:textId="77777777" w:rsidR="00AF3CA1" w:rsidRPr="00AF3CA1" w:rsidRDefault="00AF3CA1" w:rsidP="00C970B8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72.4 (62.67)</w:t>
            </w:r>
          </w:p>
        </w:tc>
      </w:tr>
      <w:tr w:rsidR="00AF3CA1" w:rsidRPr="00AF3CA1" w14:paraId="2B16AEC9" w14:textId="77777777" w:rsidTr="00AF3CA1">
        <w:trPr>
          <w:trHeight w:val="292"/>
        </w:trPr>
        <w:tc>
          <w:tcPr>
            <w:tcW w:w="14404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251ED679" w14:textId="4820D0E3" w:rsidR="00AF3CA1" w:rsidRPr="00AF3CA1" w:rsidRDefault="00AF3CA1" w:rsidP="00AF3CA1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Ferritin</w:t>
            </w:r>
            <w:r w:rsidR="00A25393">
              <w:rPr>
                <w:sz w:val="22"/>
                <w:szCs w:val="22"/>
              </w:rPr>
              <w:t xml:space="preserve"> </w:t>
            </w:r>
            <w:r w:rsidR="0055514A">
              <w:rPr>
                <w:sz w:val="22"/>
                <w:szCs w:val="22"/>
              </w:rPr>
              <w:t>c</w:t>
            </w:r>
            <w:r w:rsidRPr="00AF3CA1">
              <w:rPr>
                <w:sz w:val="22"/>
                <w:szCs w:val="22"/>
              </w:rPr>
              <w:t>ategory</w:t>
            </w:r>
            <w:r w:rsidR="00FA748C">
              <w:rPr>
                <w:sz w:val="22"/>
                <w:szCs w:val="22"/>
              </w:rPr>
              <w:t xml:space="preserve"> (</w:t>
            </w:r>
            <w:r w:rsidRPr="00AF3CA1">
              <w:rPr>
                <w:sz w:val="22"/>
                <w:szCs w:val="22"/>
              </w:rPr>
              <w:t>%</w:t>
            </w:r>
            <w:r w:rsidR="00FA748C">
              <w:rPr>
                <w:sz w:val="22"/>
                <w:szCs w:val="22"/>
              </w:rPr>
              <w:t>)</w:t>
            </w:r>
          </w:p>
        </w:tc>
      </w:tr>
      <w:tr w:rsidR="00AF3CA1" w:rsidRPr="00AF3CA1" w14:paraId="14B7B29D" w14:textId="77777777" w:rsidTr="005F7584">
        <w:trPr>
          <w:trHeight w:val="292"/>
        </w:trPr>
        <w:tc>
          <w:tcPr>
            <w:tcW w:w="5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203C22CC" w14:textId="77777777" w:rsidR="00AF3CA1" w:rsidRPr="00AF3CA1" w:rsidRDefault="00AF3CA1" w:rsidP="005F7584">
            <w:pPr>
              <w:widowControl w:val="0"/>
              <w:autoSpaceDN w:val="0"/>
              <w:ind w:firstLine="240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&lt;30 mcg/L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3E0FB46A" w14:textId="77777777" w:rsidR="00AF3CA1" w:rsidRPr="00AF3CA1" w:rsidRDefault="00AF3CA1" w:rsidP="00C970B8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27.1</w:t>
            </w:r>
          </w:p>
        </w:tc>
        <w:tc>
          <w:tcPr>
            <w:tcW w:w="215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7B892B35" w14:textId="77777777" w:rsidR="00AF3CA1" w:rsidRPr="00AF3CA1" w:rsidRDefault="00AF3CA1" w:rsidP="00C970B8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23.0</w:t>
            </w:r>
          </w:p>
        </w:tc>
        <w:tc>
          <w:tcPr>
            <w:tcW w:w="2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584B9540" w14:textId="77777777" w:rsidR="00AF3CA1" w:rsidRPr="00AF3CA1" w:rsidRDefault="00AF3CA1" w:rsidP="00C970B8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26.4</w:t>
            </w:r>
          </w:p>
        </w:tc>
        <w:tc>
          <w:tcPr>
            <w:tcW w:w="247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66A9A1F9" w14:textId="77777777" w:rsidR="00AF3CA1" w:rsidRPr="00AF3CA1" w:rsidRDefault="00AF3CA1" w:rsidP="00C970B8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25.4</w:t>
            </w:r>
          </w:p>
        </w:tc>
      </w:tr>
      <w:tr w:rsidR="00AF3CA1" w:rsidRPr="00AF3CA1" w14:paraId="7D6975FD" w14:textId="77777777" w:rsidTr="005F7584">
        <w:trPr>
          <w:trHeight w:val="292"/>
        </w:trPr>
        <w:tc>
          <w:tcPr>
            <w:tcW w:w="5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664BECC0" w14:textId="2E8C38DB" w:rsidR="00AF3CA1" w:rsidRPr="00AF3CA1" w:rsidRDefault="00AF3CA1" w:rsidP="005F7584">
            <w:pPr>
              <w:widowControl w:val="0"/>
              <w:autoSpaceDN w:val="0"/>
              <w:ind w:firstLine="240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30</w:t>
            </w:r>
            <w:r w:rsidR="005A1C73">
              <w:rPr>
                <w:sz w:val="22"/>
                <w:szCs w:val="22"/>
              </w:rPr>
              <w:t xml:space="preserve"> to </w:t>
            </w:r>
            <w:r w:rsidRPr="00AF3CA1">
              <w:rPr>
                <w:sz w:val="22"/>
                <w:szCs w:val="22"/>
              </w:rPr>
              <w:t>&lt;100 mcg/L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09C6790A" w14:textId="77777777" w:rsidR="00AF3CA1" w:rsidRPr="00AF3CA1" w:rsidRDefault="00AF3CA1" w:rsidP="00C970B8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53.9</w:t>
            </w:r>
          </w:p>
        </w:tc>
        <w:tc>
          <w:tcPr>
            <w:tcW w:w="215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1E1E2EB4" w14:textId="77777777" w:rsidR="00AF3CA1" w:rsidRPr="00AF3CA1" w:rsidRDefault="00AF3CA1" w:rsidP="00C970B8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53.5</w:t>
            </w:r>
          </w:p>
        </w:tc>
        <w:tc>
          <w:tcPr>
            <w:tcW w:w="2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06F28078" w14:textId="77777777" w:rsidR="00AF3CA1" w:rsidRPr="00AF3CA1" w:rsidRDefault="00AF3CA1" w:rsidP="00C970B8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56.4</w:t>
            </w:r>
          </w:p>
        </w:tc>
        <w:tc>
          <w:tcPr>
            <w:tcW w:w="247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20371D3D" w14:textId="77777777" w:rsidR="00AF3CA1" w:rsidRPr="00AF3CA1" w:rsidRDefault="00AF3CA1" w:rsidP="00C970B8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53.9</w:t>
            </w:r>
          </w:p>
        </w:tc>
      </w:tr>
      <w:tr w:rsidR="00AF3CA1" w:rsidRPr="00AF3CA1" w14:paraId="2F0BAB8E" w14:textId="77777777" w:rsidTr="005F7584">
        <w:trPr>
          <w:trHeight w:val="292"/>
        </w:trPr>
        <w:tc>
          <w:tcPr>
            <w:tcW w:w="5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51E05A07" w14:textId="77777777" w:rsidR="00AF3CA1" w:rsidRPr="00AF3CA1" w:rsidRDefault="00AF3CA1" w:rsidP="005F7584">
            <w:pPr>
              <w:widowControl w:val="0"/>
              <w:autoSpaceDN w:val="0"/>
              <w:ind w:firstLine="240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≥100 mcg/L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26EAA6C5" w14:textId="77777777" w:rsidR="00AF3CA1" w:rsidRPr="00AF3CA1" w:rsidRDefault="00AF3CA1" w:rsidP="00C970B8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18.9</w:t>
            </w:r>
          </w:p>
        </w:tc>
        <w:tc>
          <w:tcPr>
            <w:tcW w:w="215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130CA072" w14:textId="77777777" w:rsidR="00AF3CA1" w:rsidRPr="00AF3CA1" w:rsidRDefault="00AF3CA1" w:rsidP="00C970B8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23.5</w:t>
            </w:r>
          </w:p>
        </w:tc>
        <w:tc>
          <w:tcPr>
            <w:tcW w:w="2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6673F6D3" w14:textId="77777777" w:rsidR="00AF3CA1" w:rsidRPr="00AF3CA1" w:rsidRDefault="00AF3CA1" w:rsidP="00C970B8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17.3</w:t>
            </w:r>
          </w:p>
        </w:tc>
        <w:tc>
          <w:tcPr>
            <w:tcW w:w="247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09D0EC73" w14:textId="77777777" w:rsidR="00AF3CA1" w:rsidRPr="00AF3CA1" w:rsidRDefault="00AF3CA1" w:rsidP="00C970B8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20.7</w:t>
            </w:r>
          </w:p>
        </w:tc>
      </w:tr>
      <w:tr w:rsidR="00AF3CA1" w:rsidRPr="00AF3CA1" w14:paraId="737FE27C" w14:textId="77777777" w:rsidTr="005F7584">
        <w:trPr>
          <w:trHeight w:val="292"/>
        </w:trPr>
        <w:tc>
          <w:tcPr>
            <w:tcW w:w="5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6DC12DC4" w14:textId="77777777" w:rsidR="00AF3CA1" w:rsidRPr="00AF3CA1" w:rsidRDefault="00AF3CA1" w:rsidP="005F7584">
            <w:pPr>
              <w:widowControl w:val="0"/>
              <w:autoSpaceDN w:val="0"/>
              <w:ind w:firstLine="240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Missing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2705A779" w14:textId="77777777" w:rsidR="00AF3CA1" w:rsidRPr="00AF3CA1" w:rsidRDefault="00AF3CA1" w:rsidP="00C970B8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&lt;0.1</w:t>
            </w:r>
          </w:p>
        </w:tc>
        <w:tc>
          <w:tcPr>
            <w:tcW w:w="215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1EF69CC2" w14:textId="77777777" w:rsidR="00AF3CA1" w:rsidRPr="00AF3CA1" w:rsidRDefault="00AF3CA1" w:rsidP="00C970B8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75E8831C" w14:textId="77777777" w:rsidR="00AF3CA1" w:rsidRPr="00AF3CA1" w:rsidRDefault="00AF3CA1" w:rsidP="00C970B8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0</w:t>
            </w:r>
          </w:p>
        </w:tc>
        <w:tc>
          <w:tcPr>
            <w:tcW w:w="247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73FAB1B2" w14:textId="77777777" w:rsidR="00AF3CA1" w:rsidRPr="00AF3CA1" w:rsidRDefault="00AF3CA1" w:rsidP="00C970B8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F3CA1">
              <w:rPr>
                <w:sz w:val="22"/>
                <w:szCs w:val="22"/>
              </w:rPr>
              <w:t>&lt;0.1</w:t>
            </w:r>
          </w:p>
        </w:tc>
      </w:tr>
      <w:tr w:rsidR="00A228E3" w:rsidRPr="00A228E3" w14:paraId="455CB23D" w14:textId="77777777" w:rsidTr="005F7584">
        <w:trPr>
          <w:gridAfter w:val="1"/>
          <w:wAfter w:w="372" w:type="dxa"/>
          <w:trHeight w:val="163"/>
        </w:trPr>
        <w:tc>
          <w:tcPr>
            <w:tcW w:w="14032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52DB6273" w14:textId="605EF702" w:rsidR="00A228E3" w:rsidRPr="00A228E3" w:rsidRDefault="00A228E3" w:rsidP="000812DE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Phosphorus</w:t>
            </w:r>
            <w:r w:rsidR="00B02808">
              <w:rPr>
                <w:sz w:val="22"/>
                <w:szCs w:val="22"/>
              </w:rPr>
              <w:t xml:space="preserve"> </w:t>
            </w:r>
            <w:r w:rsidR="000812DE" w:rsidRPr="000812DE">
              <w:rPr>
                <w:sz w:val="22"/>
                <w:szCs w:val="22"/>
              </w:rPr>
              <w:t>c</w:t>
            </w:r>
            <w:r w:rsidRPr="00A228E3">
              <w:rPr>
                <w:sz w:val="22"/>
                <w:szCs w:val="22"/>
              </w:rPr>
              <w:t>ategory</w:t>
            </w:r>
            <w:r w:rsidR="00FA748C">
              <w:rPr>
                <w:sz w:val="22"/>
                <w:szCs w:val="22"/>
              </w:rPr>
              <w:t xml:space="preserve"> (</w:t>
            </w:r>
            <w:r w:rsidRPr="00A228E3">
              <w:rPr>
                <w:sz w:val="22"/>
                <w:szCs w:val="22"/>
              </w:rPr>
              <w:t>%</w:t>
            </w:r>
            <w:r w:rsidR="00FA748C">
              <w:rPr>
                <w:sz w:val="22"/>
                <w:szCs w:val="22"/>
              </w:rPr>
              <w:t>)</w:t>
            </w:r>
          </w:p>
        </w:tc>
      </w:tr>
      <w:tr w:rsidR="000812DE" w:rsidRPr="00A228E3" w14:paraId="397CD415" w14:textId="77777777" w:rsidTr="005F7584">
        <w:trPr>
          <w:gridAfter w:val="1"/>
          <w:wAfter w:w="372" w:type="dxa"/>
          <w:trHeight w:val="163"/>
        </w:trPr>
        <w:tc>
          <w:tcPr>
            <w:tcW w:w="5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102EAD8C" w14:textId="77777777" w:rsidR="00A228E3" w:rsidRPr="00A228E3" w:rsidRDefault="00A228E3" w:rsidP="005F7584">
            <w:pPr>
              <w:widowControl w:val="0"/>
              <w:autoSpaceDN w:val="0"/>
              <w:ind w:firstLine="240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&lt;1 mg/dL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69C49019" w14:textId="77777777" w:rsidR="00A228E3" w:rsidRPr="00A228E3" w:rsidRDefault="00A228E3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0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34D910C9" w14:textId="77777777" w:rsidR="00A228E3" w:rsidRPr="00A228E3" w:rsidRDefault="00A228E3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0</w:t>
            </w:r>
          </w:p>
        </w:tc>
        <w:tc>
          <w:tcPr>
            <w:tcW w:w="21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0665B29C" w14:textId="77777777" w:rsidR="00A228E3" w:rsidRPr="00A228E3" w:rsidRDefault="00A228E3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0</w:t>
            </w:r>
          </w:p>
        </w:tc>
        <w:tc>
          <w:tcPr>
            <w:tcW w:w="2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0681B802" w14:textId="77777777" w:rsidR="00A228E3" w:rsidRPr="00A228E3" w:rsidRDefault="00A228E3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0</w:t>
            </w:r>
          </w:p>
        </w:tc>
      </w:tr>
      <w:tr w:rsidR="000812DE" w:rsidRPr="00A228E3" w14:paraId="0A3D1CD5" w14:textId="77777777" w:rsidTr="005F7584">
        <w:trPr>
          <w:gridAfter w:val="1"/>
          <w:wAfter w:w="372" w:type="dxa"/>
          <w:trHeight w:val="163"/>
        </w:trPr>
        <w:tc>
          <w:tcPr>
            <w:tcW w:w="5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04E0FBAE" w14:textId="4A078F3C" w:rsidR="00A228E3" w:rsidRPr="00A228E3" w:rsidRDefault="00A228E3" w:rsidP="005F7584">
            <w:pPr>
              <w:widowControl w:val="0"/>
              <w:autoSpaceDN w:val="0"/>
              <w:ind w:firstLine="240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1</w:t>
            </w:r>
            <w:r w:rsidR="005A1C73" w:rsidRPr="005A1C73">
              <w:rPr>
                <w:sz w:val="22"/>
                <w:szCs w:val="22"/>
              </w:rPr>
              <w:t xml:space="preserve"> to </w:t>
            </w:r>
            <w:r w:rsidRPr="00A228E3">
              <w:rPr>
                <w:sz w:val="22"/>
                <w:szCs w:val="22"/>
              </w:rPr>
              <w:t>&lt;2 mg/dL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4623F1B7" w14:textId="77777777" w:rsidR="00A228E3" w:rsidRPr="00A228E3" w:rsidRDefault="00A228E3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0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6BFCD976" w14:textId="77777777" w:rsidR="00A228E3" w:rsidRPr="00A228E3" w:rsidRDefault="00A228E3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0.1</w:t>
            </w:r>
          </w:p>
        </w:tc>
        <w:tc>
          <w:tcPr>
            <w:tcW w:w="21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5E2F77DB" w14:textId="77777777" w:rsidR="00A228E3" w:rsidRPr="00A228E3" w:rsidRDefault="00A228E3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0</w:t>
            </w:r>
          </w:p>
        </w:tc>
        <w:tc>
          <w:tcPr>
            <w:tcW w:w="2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5E15ED4A" w14:textId="77777777" w:rsidR="00A228E3" w:rsidRPr="00A228E3" w:rsidRDefault="00A228E3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&lt;0.1</w:t>
            </w:r>
          </w:p>
        </w:tc>
      </w:tr>
      <w:tr w:rsidR="000812DE" w:rsidRPr="00A228E3" w14:paraId="5677B2B3" w14:textId="77777777" w:rsidTr="005F7584">
        <w:trPr>
          <w:gridAfter w:val="1"/>
          <w:wAfter w:w="372" w:type="dxa"/>
          <w:trHeight w:val="163"/>
        </w:trPr>
        <w:tc>
          <w:tcPr>
            <w:tcW w:w="5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6587CEE6" w14:textId="76069DD5" w:rsidR="00A228E3" w:rsidRPr="00A228E3" w:rsidRDefault="00A228E3" w:rsidP="005F7584">
            <w:pPr>
              <w:widowControl w:val="0"/>
              <w:autoSpaceDN w:val="0"/>
              <w:ind w:firstLine="240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2</w:t>
            </w:r>
            <w:r w:rsidR="005A1C73" w:rsidRPr="005A1C73">
              <w:rPr>
                <w:sz w:val="22"/>
                <w:szCs w:val="22"/>
              </w:rPr>
              <w:t xml:space="preserve"> to </w:t>
            </w:r>
            <w:r w:rsidRPr="00A228E3">
              <w:rPr>
                <w:sz w:val="22"/>
                <w:szCs w:val="22"/>
              </w:rPr>
              <w:t>&lt;2.5 mg/dL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26193E40" w14:textId="77777777" w:rsidR="00A228E3" w:rsidRPr="00A228E3" w:rsidRDefault="00A228E3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2.0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3175D7EC" w14:textId="77777777" w:rsidR="00A228E3" w:rsidRPr="00A228E3" w:rsidRDefault="00A228E3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2.1</w:t>
            </w:r>
          </w:p>
        </w:tc>
        <w:tc>
          <w:tcPr>
            <w:tcW w:w="21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10E934D4" w14:textId="77777777" w:rsidR="00A228E3" w:rsidRPr="00A228E3" w:rsidRDefault="00A228E3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1.8</w:t>
            </w:r>
          </w:p>
        </w:tc>
        <w:tc>
          <w:tcPr>
            <w:tcW w:w="2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5D9C766A" w14:textId="77777777" w:rsidR="00A228E3" w:rsidRPr="00A228E3" w:rsidRDefault="00A228E3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2.1</w:t>
            </w:r>
          </w:p>
        </w:tc>
      </w:tr>
      <w:tr w:rsidR="000812DE" w:rsidRPr="00A228E3" w14:paraId="16C4C707" w14:textId="77777777" w:rsidTr="005F7584">
        <w:trPr>
          <w:gridAfter w:val="1"/>
          <w:wAfter w:w="372" w:type="dxa"/>
          <w:trHeight w:val="163"/>
        </w:trPr>
        <w:tc>
          <w:tcPr>
            <w:tcW w:w="5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490F4FF9" w14:textId="7C29E9B0" w:rsidR="00A228E3" w:rsidRPr="00A228E3" w:rsidRDefault="00A228E3" w:rsidP="005F7584">
            <w:pPr>
              <w:widowControl w:val="0"/>
              <w:autoSpaceDN w:val="0"/>
              <w:ind w:firstLine="240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2.5</w:t>
            </w:r>
            <w:r w:rsidR="005A1C73" w:rsidRPr="005A1C73">
              <w:rPr>
                <w:sz w:val="22"/>
                <w:szCs w:val="22"/>
              </w:rPr>
              <w:t xml:space="preserve"> to </w:t>
            </w:r>
            <w:r w:rsidRPr="00A228E3">
              <w:rPr>
                <w:sz w:val="22"/>
                <w:szCs w:val="22"/>
              </w:rPr>
              <w:t>&lt;4.5 mg/dL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6B7BE037" w14:textId="77777777" w:rsidR="00A228E3" w:rsidRPr="00A228E3" w:rsidRDefault="00A228E3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87.2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0A55993E" w14:textId="77777777" w:rsidR="00A228E3" w:rsidRPr="00A228E3" w:rsidRDefault="00A228E3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84.2</w:t>
            </w:r>
          </w:p>
        </w:tc>
        <w:tc>
          <w:tcPr>
            <w:tcW w:w="21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10E48B5C" w14:textId="77777777" w:rsidR="00A228E3" w:rsidRPr="00A228E3" w:rsidRDefault="00A228E3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89.1</w:t>
            </w:r>
          </w:p>
        </w:tc>
        <w:tc>
          <w:tcPr>
            <w:tcW w:w="2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2AC305DD" w14:textId="77777777" w:rsidR="00A228E3" w:rsidRPr="00A228E3" w:rsidRDefault="00A228E3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86.1</w:t>
            </w:r>
          </w:p>
        </w:tc>
      </w:tr>
      <w:tr w:rsidR="000812DE" w:rsidRPr="00A228E3" w14:paraId="4FD287EA" w14:textId="77777777" w:rsidTr="005F7584">
        <w:trPr>
          <w:gridAfter w:val="1"/>
          <w:wAfter w:w="372" w:type="dxa"/>
          <w:trHeight w:val="163"/>
        </w:trPr>
        <w:tc>
          <w:tcPr>
            <w:tcW w:w="5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161425EC" w14:textId="77777777" w:rsidR="00A228E3" w:rsidRPr="00A228E3" w:rsidRDefault="00A228E3" w:rsidP="005F7584">
            <w:pPr>
              <w:widowControl w:val="0"/>
              <w:autoSpaceDN w:val="0"/>
              <w:ind w:firstLine="240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≥4.5 mg/dL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1DFF8210" w14:textId="77777777" w:rsidR="00A228E3" w:rsidRPr="00A228E3" w:rsidRDefault="00A228E3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8.6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6E2D638C" w14:textId="77777777" w:rsidR="00A228E3" w:rsidRPr="00A228E3" w:rsidRDefault="00A228E3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11.1</w:t>
            </w:r>
          </w:p>
        </w:tc>
        <w:tc>
          <w:tcPr>
            <w:tcW w:w="21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5E50D37D" w14:textId="77777777" w:rsidR="00A228E3" w:rsidRPr="00A228E3" w:rsidRDefault="00A228E3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9.1</w:t>
            </w:r>
          </w:p>
        </w:tc>
        <w:tc>
          <w:tcPr>
            <w:tcW w:w="2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5DCE5653" w14:textId="77777777" w:rsidR="00A228E3" w:rsidRPr="00A228E3" w:rsidRDefault="00A228E3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9.6</w:t>
            </w:r>
          </w:p>
        </w:tc>
      </w:tr>
      <w:tr w:rsidR="000812DE" w:rsidRPr="00A228E3" w14:paraId="080859CA" w14:textId="77777777" w:rsidTr="005F7584">
        <w:trPr>
          <w:gridAfter w:val="1"/>
          <w:wAfter w:w="372" w:type="dxa"/>
          <w:trHeight w:val="163"/>
        </w:trPr>
        <w:tc>
          <w:tcPr>
            <w:tcW w:w="5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5AB50D13" w14:textId="77777777" w:rsidR="00A228E3" w:rsidRPr="00A228E3" w:rsidRDefault="00A228E3" w:rsidP="005F7584">
            <w:pPr>
              <w:widowControl w:val="0"/>
              <w:autoSpaceDN w:val="0"/>
              <w:ind w:firstLine="240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Missing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6EC36F69" w14:textId="77777777" w:rsidR="00A228E3" w:rsidRPr="00A228E3" w:rsidRDefault="00A228E3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2.1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5A96035B" w14:textId="77777777" w:rsidR="00A228E3" w:rsidRPr="00A228E3" w:rsidRDefault="00A228E3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2.5</w:t>
            </w:r>
          </w:p>
        </w:tc>
        <w:tc>
          <w:tcPr>
            <w:tcW w:w="21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480BAFC5" w14:textId="77777777" w:rsidR="00A228E3" w:rsidRPr="00A228E3" w:rsidRDefault="00A228E3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0</w:t>
            </w:r>
          </w:p>
        </w:tc>
        <w:tc>
          <w:tcPr>
            <w:tcW w:w="2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0363001F" w14:textId="77777777" w:rsidR="00A228E3" w:rsidRPr="00A228E3" w:rsidRDefault="00A228E3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2.2</w:t>
            </w:r>
          </w:p>
        </w:tc>
      </w:tr>
      <w:tr w:rsidR="000812DE" w:rsidRPr="00A228E3" w14:paraId="2E10C4DE" w14:textId="77777777" w:rsidTr="005F7584">
        <w:trPr>
          <w:gridAfter w:val="1"/>
          <w:wAfter w:w="372" w:type="dxa"/>
          <w:trHeight w:val="163"/>
        </w:trPr>
        <w:tc>
          <w:tcPr>
            <w:tcW w:w="5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43695A86" w14:textId="7504F283" w:rsidR="00A228E3" w:rsidRPr="00A228E3" w:rsidRDefault="00A228E3" w:rsidP="000812DE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TSAT</w:t>
            </w:r>
            <w:r w:rsidR="00B02808">
              <w:rPr>
                <w:sz w:val="22"/>
                <w:szCs w:val="22"/>
              </w:rPr>
              <w:t xml:space="preserve"> </w:t>
            </w:r>
            <w:r w:rsidRPr="00A228E3">
              <w:rPr>
                <w:sz w:val="22"/>
                <w:szCs w:val="22"/>
              </w:rPr>
              <w:t>(%), mean (SD)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3BC28CBD" w14:textId="77777777" w:rsidR="00A228E3" w:rsidRPr="00A228E3" w:rsidRDefault="00A228E3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17.2 (12.00)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319E0222" w14:textId="77777777" w:rsidR="00A228E3" w:rsidRPr="00A228E3" w:rsidRDefault="00A228E3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15.8 (8.13)</w:t>
            </w:r>
          </w:p>
        </w:tc>
        <w:tc>
          <w:tcPr>
            <w:tcW w:w="21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15C4932B" w14:textId="77777777" w:rsidR="00A228E3" w:rsidRPr="00A228E3" w:rsidRDefault="00A228E3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19.1 (9.03)</w:t>
            </w:r>
          </w:p>
        </w:tc>
        <w:tc>
          <w:tcPr>
            <w:tcW w:w="2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314E90AB" w14:textId="77777777" w:rsidR="00A228E3" w:rsidRPr="00A228E3" w:rsidRDefault="00A228E3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16.8 (10.47)</w:t>
            </w:r>
          </w:p>
        </w:tc>
      </w:tr>
      <w:tr w:rsidR="00A228E3" w:rsidRPr="00A228E3" w14:paraId="17F39C76" w14:textId="77777777" w:rsidTr="005F7584">
        <w:trPr>
          <w:gridAfter w:val="1"/>
          <w:wAfter w:w="372" w:type="dxa"/>
          <w:trHeight w:val="163"/>
        </w:trPr>
        <w:tc>
          <w:tcPr>
            <w:tcW w:w="14032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545D3CD5" w14:textId="72B16C23" w:rsidR="00A228E3" w:rsidRPr="00A228E3" w:rsidRDefault="00A228E3" w:rsidP="000812DE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lastRenderedPageBreak/>
              <w:t>TSAT</w:t>
            </w:r>
            <w:r w:rsidR="00B02808">
              <w:rPr>
                <w:sz w:val="22"/>
                <w:szCs w:val="22"/>
              </w:rPr>
              <w:t xml:space="preserve"> </w:t>
            </w:r>
            <w:r w:rsidR="000812DE" w:rsidRPr="000812DE">
              <w:rPr>
                <w:sz w:val="22"/>
                <w:szCs w:val="22"/>
              </w:rPr>
              <w:t>c</w:t>
            </w:r>
            <w:r w:rsidRPr="00A228E3">
              <w:rPr>
                <w:sz w:val="22"/>
                <w:szCs w:val="22"/>
              </w:rPr>
              <w:t>ategory</w:t>
            </w:r>
            <w:r w:rsidR="00FA748C">
              <w:rPr>
                <w:sz w:val="22"/>
                <w:szCs w:val="22"/>
              </w:rPr>
              <w:t xml:space="preserve"> (</w:t>
            </w:r>
            <w:r w:rsidRPr="00A228E3">
              <w:rPr>
                <w:sz w:val="22"/>
                <w:szCs w:val="22"/>
              </w:rPr>
              <w:t>%</w:t>
            </w:r>
            <w:r w:rsidR="00FA748C">
              <w:rPr>
                <w:sz w:val="22"/>
                <w:szCs w:val="22"/>
              </w:rPr>
              <w:t>)</w:t>
            </w:r>
          </w:p>
        </w:tc>
      </w:tr>
      <w:tr w:rsidR="000812DE" w:rsidRPr="00A228E3" w14:paraId="1C269E17" w14:textId="77777777" w:rsidTr="005F7584">
        <w:trPr>
          <w:gridAfter w:val="1"/>
          <w:wAfter w:w="372" w:type="dxa"/>
          <w:trHeight w:val="163"/>
        </w:trPr>
        <w:tc>
          <w:tcPr>
            <w:tcW w:w="5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77C60F9D" w14:textId="77777777" w:rsidR="00A228E3" w:rsidRPr="00A228E3" w:rsidRDefault="00A228E3" w:rsidP="000812DE">
            <w:pPr>
              <w:widowControl w:val="0"/>
              <w:autoSpaceDN w:val="0"/>
              <w:ind w:firstLine="330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&lt;20%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0451F572" w14:textId="77777777" w:rsidR="00A228E3" w:rsidRPr="00A228E3" w:rsidRDefault="00A228E3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72.8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5741D02F" w14:textId="77777777" w:rsidR="00A228E3" w:rsidRPr="00A228E3" w:rsidRDefault="00A228E3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76.0</w:t>
            </w:r>
          </w:p>
        </w:tc>
        <w:tc>
          <w:tcPr>
            <w:tcW w:w="21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12DC76A4" w14:textId="77777777" w:rsidR="00A228E3" w:rsidRPr="00A228E3" w:rsidRDefault="00A228E3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57.3</w:t>
            </w:r>
          </w:p>
        </w:tc>
        <w:tc>
          <w:tcPr>
            <w:tcW w:w="2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2EC023B5" w14:textId="77777777" w:rsidR="00A228E3" w:rsidRPr="00A228E3" w:rsidRDefault="00A228E3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73.3</w:t>
            </w:r>
          </w:p>
        </w:tc>
      </w:tr>
      <w:tr w:rsidR="000812DE" w:rsidRPr="00A228E3" w14:paraId="790860EF" w14:textId="77777777" w:rsidTr="005F7584">
        <w:trPr>
          <w:gridAfter w:val="1"/>
          <w:wAfter w:w="372" w:type="dxa"/>
          <w:trHeight w:val="163"/>
        </w:trPr>
        <w:tc>
          <w:tcPr>
            <w:tcW w:w="5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108B88D6" w14:textId="77777777" w:rsidR="00A228E3" w:rsidRPr="00A228E3" w:rsidRDefault="00A228E3" w:rsidP="000812DE">
            <w:pPr>
              <w:widowControl w:val="0"/>
              <w:autoSpaceDN w:val="0"/>
              <w:ind w:firstLine="330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≥20%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540D4139" w14:textId="77777777" w:rsidR="00A228E3" w:rsidRPr="00A228E3" w:rsidRDefault="00A228E3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26.6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1B8C0C7D" w14:textId="77777777" w:rsidR="00A228E3" w:rsidRPr="00A228E3" w:rsidRDefault="00A228E3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23.6</w:t>
            </w:r>
          </w:p>
        </w:tc>
        <w:tc>
          <w:tcPr>
            <w:tcW w:w="21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66C7D6A6" w14:textId="77777777" w:rsidR="00A228E3" w:rsidRPr="00A228E3" w:rsidRDefault="00A228E3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42.7</w:t>
            </w:r>
          </w:p>
        </w:tc>
        <w:tc>
          <w:tcPr>
            <w:tcW w:w="2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1B8283D6" w14:textId="77777777" w:rsidR="00A228E3" w:rsidRPr="00A228E3" w:rsidRDefault="00A228E3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26.3</w:t>
            </w:r>
          </w:p>
        </w:tc>
      </w:tr>
      <w:tr w:rsidR="000812DE" w:rsidRPr="00A228E3" w14:paraId="2265AAD1" w14:textId="77777777" w:rsidTr="005F7584">
        <w:trPr>
          <w:gridAfter w:val="1"/>
          <w:wAfter w:w="372" w:type="dxa"/>
          <w:trHeight w:val="163"/>
        </w:trPr>
        <w:tc>
          <w:tcPr>
            <w:tcW w:w="5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517BB9DE" w14:textId="77777777" w:rsidR="00A228E3" w:rsidRPr="00A228E3" w:rsidRDefault="00A228E3" w:rsidP="000812DE">
            <w:pPr>
              <w:widowControl w:val="0"/>
              <w:autoSpaceDN w:val="0"/>
              <w:ind w:firstLine="330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Missing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12965C08" w14:textId="77777777" w:rsidR="00A228E3" w:rsidRPr="00A228E3" w:rsidRDefault="00A228E3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0.6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2D556557" w14:textId="77777777" w:rsidR="00A228E3" w:rsidRPr="00A228E3" w:rsidRDefault="00A228E3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0.4</w:t>
            </w:r>
          </w:p>
        </w:tc>
        <w:tc>
          <w:tcPr>
            <w:tcW w:w="21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401D8A8E" w14:textId="77777777" w:rsidR="00A228E3" w:rsidRPr="00A228E3" w:rsidRDefault="00A228E3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0</w:t>
            </w:r>
          </w:p>
        </w:tc>
        <w:tc>
          <w:tcPr>
            <w:tcW w:w="2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48593C28" w14:textId="77777777" w:rsidR="00A228E3" w:rsidRPr="00A228E3" w:rsidRDefault="00A228E3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0.5</w:t>
            </w:r>
          </w:p>
        </w:tc>
      </w:tr>
      <w:tr w:rsidR="000812DE" w:rsidRPr="00A228E3" w14:paraId="6C308688" w14:textId="77777777" w:rsidTr="005F7584">
        <w:trPr>
          <w:gridAfter w:val="1"/>
          <w:wAfter w:w="372" w:type="dxa"/>
          <w:trHeight w:val="163"/>
        </w:trPr>
        <w:tc>
          <w:tcPr>
            <w:tcW w:w="5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3156D710" w14:textId="01C2DFFA" w:rsidR="00A228E3" w:rsidRPr="00E65947" w:rsidRDefault="00A228E3" w:rsidP="000812DE">
            <w:pPr>
              <w:widowControl w:val="0"/>
              <w:autoSpaceDN w:val="0"/>
              <w:textAlignment w:val="baseline"/>
              <w:rPr>
                <w:sz w:val="22"/>
                <w:szCs w:val="22"/>
                <w:lang w:val="sv-SE"/>
              </w:rPr>
            </w:pPr>
            <w:r w:rsidRPr="00E65947">
              <w:rPr>
                <w:sz w:val="22"/>
                <w:szCs w:val="22"/>
                <w:lang w:val="sv-SE"/>
              </w:rPr>
              <w:t>eGFR</w:t>
            </w:r>
            <w:r w:rsidR="00B02808">
              <w:rPr>
                <w:sz w:val="22"/>
                <w:szCs w:val="22"/>
                <w:lang w:val="sv-SE"/>
              </w:rPr>
              <w:t xml:space="preserve"> </w:t>
            </w:r>
            <w:r w:rsidRPr="00E65947">
              <w:rPr>
                <w:sz w:val="22"/>
                <w:szCs w:val="22"/>
                <w:lang w:val="sv-SE"/>
              </w:rPr>
              <w:t>(CKD-EPI; mL/min/1.73 m</w:t>
            </w:r>
            <w:r w:rsidRPr="00E65947">
              <w:rPr>
                <w:sz w:val="22"/>
                <w:szCs w:val="22"/>
                <w:vertAlign w:val="superscript"/>
                <w:lang w:val="sv-SE"/>
              </w:rPr>
              <w:t>2</w:t>
            </w:r>
            <w:r w:rsidRPr="00E65947">
              <w:rPr>
                <w:sz w:val="22"/>
                <w:szCs w:val="22"/>
                <w:lang w:val="sv-SE"/>
              </w:rPr>
              <w:t>), mean (SD)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6B85510F" w14:textId="77777777" w:rsidR="00A228E3" w:rsidRPr="00A228E3" w:rsidRDefault="00A228E3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60.0 (21.63)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74839AE4" w14:textId="77777777" w:rsidR="00A228E3" w:rsidRPr="00A228E3" w:rsidRDefault="00A228E3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59.1 (22.75)</w:t>
            </w:r>
          </w:p>
        </w:tc>
        <w:tc>
          <w:tcPr>
            <w:tcW w:w="21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77DA1323" w14:textId="77777777" w:rsidR="00A228E3" w:rsidRPr="00A228E3" w:rsidRDefault="00A228E3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59.6 (24.39)</w:t>
            </w:r>
          </w:p>
        </w:tc>
        <w:tc>
          <w:tcPr>
            <w:tcW w:w="2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041D1EBA" w14:textId="77777777" w:rsidR="00A228E3" w:rsidRPr="00A228E3" w:rsidRDefault="00A228E3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59.6 (22.25)</w:t>
            </w:r>
          </w:p>
        </w:tc>
      </w:tr>
      <w:tr w:rsidR="00A228E3" w:rsidRPr="00A228E3" w14:paraId="26B7E7C4" w14:textId="77777777" w:rsidTr="005F7584">
        <w:trPr>
          <w:gridAfter w:val="1"/>
          <w:wAfter w:w="372" w:type="dxa"/>
          <w:trHeight w:val="163"/>
        </w:trPr>
        <w:tc>
          <w:tcPr>
            <w:tcW w:w="14032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1CA5FBC1" w14:textId="0F139D6A" w:rsidR="00A228E3" w:rsidRPr="00A228E3" w:rsidRDefault="005F7584" w:rsidP="000812DE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  <w:r w:rsidRPr="005F7584">
              <w:rPr>
                <w:sz w:val="22"/>
                <w:szCs w:val="22"/>
              </w:rPr>
              <w:t>eGFR</w:t>
            </w:r>
            <w:r w:rsidR="00B02808">
              <w:rPr>
                <w:sz w:val="22"/>
                <w:szCs w:val="22"/>
              </w:rPr>
              <w:t xml:space="preserve"> </w:t>
            </w:r>
            <w:r w:rsidRPr="005F7584">
              <w:rPr>
                <w:sz w:val="22"/>
                <w:szCs w:val="22"/>
              </w:rPr>
              <w:t>(mL/min/1.73 m</w:t>
            </w:r>
            <w:r w:rsidRPr="005F7584">
              <w:rPr>
                <w:sz w:val="22"/>
                <w:szCs w:val="22"/>
                <w:vertAlign w:val="superscript"/>
              </w:rPr>
              <w:t>2</w:t>
            </w:r>
            <w:r w:rsidRPr="005F7584">
              <w:rPr>
                <w:sz w:val="22"/>
                <w:szCs w:val="22"/>
              </w:rPr>
              <w:t>) category</w:t>
            </w:r>
            <w:r w:rsidR="00FA748C">
              <w:rPr>
                <w:sz w:val="22"/>
                <w:szCs w:val="22"/>
              </w:rPr>
              <w:t xml:space="preserve"> (</w:t>
            </w:r>
            <w:r w:rsidRPr="005F7584">
              <w:rPr>
                <w:sz w:val="22"/>
                <w:szCs w:val="22"/>
              </w:rPr>
              <w:t>%</w:t>
            </w:r>
            <w:r w:rsidR="00FA748C">
              <w:rPr>
                <w:sz w:val="22"/>
                <w:szCs w:val="22"/>
              </w:rPr>
              <w:t>)</w:t>
            </w:r>
          </w:p>
        </w:tc>
      </w:tr>
      <w:tr w:rsidR="000812DE" w:rsidRPr="00A228E3" w14:paraId="029C6919" w14:textId="77777777" w:rsidTr="005F7584">
        <w:trPr>
          <w:gridAfter w:val="1"/>
          <w:wAfter w:w="372" w:type="dxa"/>
          <w:trHeight w:val="163"/>
        </w:trPr>
        <w:tc>
          <w:tcPr>
            <w:tcW w:w="5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78431D12" w14:textId="2163E3FE" w:rsidR="000812DE" w:rsidRPr="00A228E3" w:rsidRDefault="000812DE" w:rsidP="000812DE">
            <w:pPr>
              <w:widowControl w:val="0"/>
              <w:autoSpaceDN w:val="0"/>
              <w:ind w:firstLine="330"/>
              <w:textAlignment w:val="baseline"/>
              <w:rPr>
                <w:sz w:val="22"/>
                <w:szCs w:val="22"/>
              </w:rPr>
            </w:pPr>
            <w:r w:rsidRPr="000812DE">
              <w:rPr>
                <w:sz w:val="22"/>
                <w:szCs w:val="22"/>
              </w:rPr>
              <w:t xml:space="preserve">≤30 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41BF37B2" w14:textId="77777777" w:rsidR="000812DE" w:rsidRPr="00A228E3" w:rsidRDefault="000812DE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8.7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5FC880C1" w14:textId="77777777" w:rsidR="000812DE" w:rsidRPr="00A228E3" w:rsidRDefault="000812DE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9.3</w:t>
            </w:r>
          </w:p>
        </w:tc>
        <w:tc>
          <w:tcPr>
            <w:tcW w:w="21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2A0044D4" w14:textId="77777777" w:rsidR="000812DE" w:rsidRPr="00A228E3" w:rsidRDefault="000812DE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10.9</w:t>
            </w:r>
          </w:p>
        </w:tc>
        <w:tc>
          <w:tcPr>
            <w:tcW w:w="2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675D5540" w14:textId="77777777" w:rsidR="000812DE" w:rsidRPr="00A228E3" w:rsidRDefault="000812DE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9.0</w:t>
            </w:r>
          </w:p>
        </w:tc>
      </w:tr>
      <w:tr w:rsidR="000812DE" w:rsidRPr="00A228E3" w14:paraId="78235A28" w14:textId="77777777" w:rsidTr="005F7584">
        <w:trPr>
          <w:gridAfter w:val="1"/>
          <w:wAfter w:w="372" w:type="dxa"/>
          <w:trHeight w:val="163"/>
        </w:trPr>
        <w:tc>
          <w:tcPr>
            <w:tcW w:w="5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45788653" w14:textId="58DE45EE" w:rsidR="000812DE" w:rsidRPr="00A228E3" w:rsidRDefault="000812DE" w:rsidP="000812DE">
            <w:pPr>
              <w:widowControl w:val="0"/>
              <w:autoSpaceDN w:val="0"/>
              <w:ind w:firstLine="330"/>
              <w:textAlignment w:val="baseline"/>
              <w:rPr>
                <w:sz w:val="22"/>
                <w:szCs w:val="22"/>
              </w:rPr>
            </w:pPr>
            <w:r w:rsidRPr="000812DE">
              <w:rPr>
                <w:sz w:val="22"/>
                <w:szCs w:val="22"/>
              </w:rPr>
              <w:t>&gt;30 to ≤45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14:paraId="3BC5F85E" w14:textId="55D7501B" w:rsidR="000812DE" w:rsidRPr="00A228E3" w:rsidRDefault="000812DE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17.9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14:paraId="34D6134D" w14:textId="66724F3D" w:rsidR="000812DE" w:rsidRPr="00A228E3" w:rsidRDefault="000812DE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18.4</w:t>
            </w:r>
          </w:p>
        </w:tc>
        <w:tc>
          <w:tcPr>
            <w:tcW w:w="21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14:paraId="13AF530F" w14:textId="5D72CBA4" w:rsidR="000812DE" w:rsidRPr="00A228E3" w:rsidRDefault="000812DE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20.9</w:t>
            </w:r>
          </w:p>
        </w:tc>
        <w:tc>
          <w:tcPr>
            <w:tcW w:w="2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14:paraId="48121102" w14:textId="59B08F30" w:rsidR="000812DE" w:rsidRPr="00A228E3" w:rsidRDefault="000812DE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</w:t>
            </w:r>
          </w:p>
        </w:tc>
      </w:tr>
      <w:tr w:rsidR="000812DE" w:rsidRPr="00A228E3" w14:paraId="71310DF0" w14:textId="77777777" w:rsidTr="005F7584">
        <w:trPr>
          <w:gridAfter w:val="1"/>
          <w:wAfter w:w="372" w:type="dxa"/>
          <w:trHeight w:val="163"/>
        </w:trPr>
        <w:tc>
          <w:tcPr>
            <w:tcW w:w="5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7F46A7F7" w14:textId="0A46D6D4" w:rsidR="000812DE" w:rsidRPr="00A228E3" w:rsidRDefault="000812DE" w:rsidP="000812DE">
            <w:pPr>
              <w:widowControl w:val="0"/>
              <w:autoSpaceDN w:val="0"/>
              <w:ind w:firstLine="330"/>
              <w:textAlignment w:val="baseline"/>
              <w:rPr>
                <w:sz w:val="22"/>
                <w:szCs w:val="22"/>
              </w:rPr>
            </w:pPr>
            <w:r w:rsidRPr="000812DE">
              <w:rPr>
                <w:sz w:val="22"/>
                <w:szCs w:val="22"/>
              </w:rPr>
              <w:t xml:space="preserve">&gt;45 to ≤60 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14:paraId="54A69D40" w14:textId="330E7D99" w:rsidR="000812DE" w:rsidRPr="00A228E3" w:rsidRDefault="000812DE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20.9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14:paraId="16EB7718" w14:textId="724C112C" w:rsidR="000812DE" w:rsidRPr="00A228E3" w:rsidRDefault="000812DE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</w:t>
            </w:r>
          </w:p>
        </w:tc>
        <w:tc>
          <w:tcPr>
            <w:tcW w:w="21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14:paraId="62449B33" w14:textId="2C1AC93B" w:rsidR="000812DE" w:rsidRPr="00A228E3" w:rsidRDefault="000812DE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21.8</w:t>
            </w:r>
          </w:p>
        </w:tc>
        <w:tc>
          <w:tcPr>
            <w:tcW w:w="2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14:paraId="7D02D84D" w14:textId="297930AF" w:rsidR="000812DE" w:rsidRPr="00A228E3" w:rsidRDefault="000812DE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21.5</w:t>
            </w:r>
          </w:p>
        </w:tc>
      </w:tr>
      <w:tr w:rsidR="000812DE" w:rsidRPr="00A228E3" w14:paraId="3BC39981" w14:textId="77777777" w:rsidTr="005F7584">
        <w:trPr>
          <w:gridAfter w:val="1"/>
          <w:wAfter w:w="372" w:type="dxa"/>
          <w:trHeight w:val="163"/>
        </w:trPr>
        <w:tc>
          <w:tcPr>
            <w:tcW w:w="5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01F095B8" w14:textId="1C96673B" w:rsidR="000812DE" w:rsidRPr="00A228E3" w:rsidRDefault="000812DE" w:rsidP="000812DE">
            <w:pPr>
              <w:widowControl w:val="0"/>
              <w:autoSpaceDN w:val="0"/>
              <w:ind w:firstLine="330"/>
              <w:textAlignment w:val="baseline"/>
              <w:rPr>
                <w:sz w:val="22"/>
                <w:szCs w:val="22"/>
              </w:rPr>
            </w:pPr>
            <w:r w:rsidRPr="000812DE">
              <w:rPr>
                <w:sz w:val="22"/>
                <w:szCs w:val="22"/>
              </w:rPr>
              <w:t xml:space="preserve">&gt;60 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14:paraId="05AC6C1E" w14:textId="563A1E95" w:rsidR="000812DE" w:rsidRPr="00A228E3" w:rsidRDefault="000812DE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46.9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14:paraId="42BC7E30" w14:textId="0EB42607" w:rsidR="000812DE" w:rsidRPr="00A228E3" w:rsidRDefault="000812DE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42.4</w:t>
            </w:r>
          </w:p>
        </w:tc>
        <w:tc>
          <w:tcPr>
            <w:tcW w:w="21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14:paraId="5441C640" w14:textId="3023A399" w:rsidR="000812DE" w:rsidRPr="00A228E3" w:rsidRDefault="000812DE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46.4</w:t>
            </w:r>
          </w:p>
        </w:tc>
        <w:tc>
          <w:tcPr>
            <w:tcW w:w="2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14:paraId="7A5F7976" w14:textId="6248023E" w:rsidR="000812DE" w:rsidRPr="00A228E3" w:rsidRDefault="000812DE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45.1</w:t>
            </w:r>
          </w:p>
        </w:tc>
      </w:tr>
      <w:tr w:rsidR="000812DE" w:rsidRPr="00A228E3" w14:paraId="3D4EAC19" w14:textId="77777777" w:rsidTr="005F7584">
        <w:trPr>
          <w:gridAfter w:val="1"/>
          <w:wAfter w:w="372" w:type="dxa"/>
          <w:trHeight w:val="163"/>
        </w:trPr>
        <w:tc>
          <w:tcPr>
            <w:tcW w:w="562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14:paraId="5B29ECFA" w14:textId="5103092A" w:rsidR="000812DE" w:rsidRPr="000812DE" w:rsidRDefault="000812DE" w:rsidP="000812DE">
            <w:pPr>
              <w:widowControl w:val="0"/>
              <w:autoSpaceDN w:val="0"/>
              <w:ind w:firstLine="330"/>
              <w:textAlignment w:val="baseline"/>
              <w:rPr>
                <w:sz w:val="22"/>
                <w:szCs w:val="22"/>
              </w:rPr>
            </w:pPr>
            <w:r w:rsidRPr="000812DE">
              <w:rPr>
                <w:sz w:val="22"/>
                <w:szCs w:val="22"/>
              </w:rPr>
              <w:t>Missing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14:paraId="72750DC8" w14:textId="7F8AE04F" w:rsidR="000812DE" w:rsidRPr="00A228E3" w:rsidRDefault="000812DE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5.6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14:paraId="0F9E9F21" w14:textId="0DCC2419" w:rsidR="000812DE" w:rsidRPr="00A228E3" w:rsidRDefault="000812DE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7.7</w:t>
            </w:r>
          </w:p>
        </w:tc>
        <w:tc>
          <w:tcPr>
            <w:tcW w:w="2101" w:type="dxa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14:paraId="534B7700" w14:textId="6B918E0C" w:rsidR="000812DE" w:rsidRPr="00A228E3" w:rsidRDefault="000812DE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0</w:t>
            </w:r>
          </w:p>
        </w:tc>
        <w:tc>
          <w:tcPr>
            <w:tcW w:w="210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14:paraId="112115D1" w14:textId="4A0360B0" w:rsidR="000812DE" w:rsidRPr="00A228E3" w:rsidRDefault="000812DE" w:rsidP="000812DE">
            <w:pPr>
              <w:widowControl w:val="0"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A228E3">
              <w:rPr>
                <w:sz w:val="22"/>
                <w:szCs w:val="22"/>
              </w:rPr>
              <w:t>6.1</w:t>
            </w:r>
          </w:p>
        </w:tc>
      </w:tr>
    </w:tbl>
    <w:p w14:paraId="341037BB" w14:textId="214D4CD4" w:rsidR="007E1D4C" w:rsidRDefault="00931C4D" w:rsidP="00677C6C">
      <w:pPr>
        <w:widowControl w:val="0"/>
        <w:autoSpaceDN w:val="0"/>
        <w:textAlignment w:val="baseline"/>
        <w:rPr>
          <w:sz w:val="22"/>
          <w:szCs w:val="22"/>
        </w:rPr>
      </w:pPr>
      <w:r w:rsidRPr="001F350A">
        <w:rPr>
          <w:sz w:val="22"/>
          <w:szCs w:val="22"/>
        </w:rPr>
        <w:t xml:space="preserve">BMI, body mass index; </w:t>
      </w:r>
      <w:r w:rsidRPr="00B31D87">
        <w:rPr>
          <w:sz w:val="22"/>
          <w:szCs w:val="22"/>
          <w:lang w:val="sv-SE"/>
        </w:rPr>
        <w:t>CKD-EPI,</w:t>
      </w:r>
      <w:r w:rsidRPr="001F350A">
        <w:rPr>
          <w:sz w:val="22"/>
          <w:szCs w:val="22"/>
        </w:rPr>
        <w:t xml:space="preserve"> </w:t>
      </w:r>
      <w:r w:rsidRPr="00B31D87">
        <w:rPr>
          <w:sz w:val="22"/>
          <w:szCs w:val="22"/>
          <w:lang w:val="sv-SE"/>
        </w:rPr>
        <w:t>Chronic Kidney Disease Epidemiology Collaboration equation;</w:t>
      </w:r>
      <w:r w:rsidRPr="001F350A">
        <w:rPr>
          <w:sz w:val="22"/>
          <w:szCs w:val="22"/>
        </w:rPr>
        <w:t xml:space="preserve"> eGFR, estimated glomerular filtration rate; FCM, ferric carboxymaltose; HF, heart failure; TSAT, transferrin saturation.</w:t>
      </w:r>
    </w:p>
    <w:p w14:paraId="2D892E58" w14:textId="29BA5A47" w:rsidR="00166897" w:rsidRDefault="00166897" w:rsidP="00677C6C">
      <w:pPr>
        <w:widowControl w:val="0"/>
        <w:autoSpaceDN w:val="0"/>
        <w:textAlignment w:val="baseline"/>
        <w:rPr>
          <w:sz w:val="22"/>
          <w:szCs w:val="22"/>
        </w:rPr>
      </w:pPr>
    </w:p>
    <w:p w14:paraId="6D260D76" w14:textId="1EBADDD9" w:rsidR="00166897" w:rsidRDefault="00166897" w:rsidP="00677C6C">
      <w:pPr>
        <w:widowControl w:val="0"/>
        <w:autoSpaceDN w:val="0"/>
        <w:textAlignment w:val="baseline"/>
        <w:rPr>
          <w:sz w:val="22"/>
          <w:szCs w:val="22"/>
        </w:rPr>
      </w:pPr>
    </w:p>
    <w:p w14:paraId="01DD84D5" w14:textId="509B2BE3" w:rsidR="00166897" w:rsidRDefault="00166897" w:rsidP="00677C6C">
      <w:pPr>
        <w:widowControl w:val="0"/>
        <w:autoSpaceDN w:val="0"/>
        <w:textAlignment w:val="baseline"/>
        <w:rPr>
          <w:sz w:val="22"/>
          <w:szCs w:val="22"/>
        </w:rPr>
      </w:pPr>
    </w:p>
    <w:p w14:paraId="6BEF7103" w14:textId="6C9F2FA3" w:rsidR="00166897" w:rsidRDefault="00166897">
      <w:pPr>
        <w:widowControl w:val="0"/>
        <w:autoSpaceDN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CCC5432" w14:textId="3B49E5D2" w:rsidR="00166897" w:rsidRPr="00BE56E5" w:rsidRDefault="00166897" w:rsidP="00166897">
      <w:pPr>
        <w:pStyle w:val="Standard"/>
        <w:spacing w:line="240" w:lineRule="auto"/>
        <w:rPr>
          <w:rFonts w:ascii="Times New Roman" w:hAnsi="Times New Roman" w:cs="Times New Roman"/>
          <w:color w:val="FF0000"/>
          <w:lang w:val="en-US"/>
        </w:rPr>
      </w:pPr>
      <w:r w:rsidRPr="00BE56E5">
        <w:rPr>
          <w:rFonts w:ascii="Times New Roman" w:hAnsi="Times New Roman" w:cs="Times New Roman"/>
          <w:b/>
          <w:bCs/>
          <w:color w:val="FF0000"/>
        </w:rPr>
        <w:lastRenderedPageBreak/>
        <w:t xml:space="preserve">Table S4 </w:t>
      </w:r>
      <w:r w:rsidRPr="00BE56E5">
        <w:rPr>
          <w:rFonts w:ascii="Times New Roman" w:hAnsi="Times New Roman" w:cs="Times New Roman"/>
          <w:color w:val="FF0000"/>
        </w:rPr>
        <w:t xml:space="preserve">FCM dosing </w:t>
      </w:r>
      <w:r w:rsidR="009D05FA" w:rsidRPr="00BE56E5">
        <w:rPr>
          <w:rFonts w:ascii="Times New Roman" w:hAnsi="Times New Roman" w:cs="Times New Roman"/>
          <w:color w:val="FF0000"/>
        </w:rPr>
        <w:t xml:space="preserve">in HF studies </w:t>
      </w:r>
    </w:p>
    <w:tbl>
      <w:tblPr>
        <w:tblW w:w="13950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754"/>
        <w:gridCol w:w="734"/>
        <w:gridCol w:w="1406"/>
        <w:gridCol w:w="4933"/>
        <w:gridCol w:w="4123"/>
      </w:tblGrid>
      <w:tr w:rsidR="002D025D" w:rsidRPr="00BE56E5" w14:paraId="415408C3" w14:textId="77777777" w:rsidTr="00C246B9">
        <w:trPr>
          <w:trHeight w:val="631"/>
        </w:trPr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2F8"/>
            <w:tcMar>
              <w:top w:w="15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5C6FCD3" w14:textId="2D812454" w:rsidR="006051EA" w:rsidRPr="00BE56E5" w:rsidRDefault="006051EA" w:rsidP="00F30DB7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 Study Identifier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2F8"/>
            <w:vAlign w:val="bottom"/>
          </w:tcPr>
          <w:p w14:paraId="57C79EDD" w14:textId="266AC74B" w:rsidR="006051EA" w:rsidRPr="00BE56E5" w:rsidRDefault="006051EA" w:rsidP="009D05F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Patients included in analysis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2F8"/>
            <w:vAlign w:val="bottom"/>
          </w:tcPr>
          <w:p w14:paraId="72CEABD1" w14:textId="37C0DA8E" w:rsidR="006051EA" w:rsidRPr="00BE56E5" w:rsidRDefault="006051EA" w:rsidP="006051E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Duration of study (weeks)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2F8"/>
            <w:tcMar>
              <w:top w:w="15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DDDEB64" w14:textId="6C040F5F" w:rsidR="006051EA" w:rsidRPr="00BE56E5" w:rsidRDefault="006051EA" w:rsidP="00F30DB7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FCM dosing 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8F2F8"/>
            <w:tcMar>
              <w:top w:w="15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59C32C5" w14:textId="566906C4" w:rsidR="006051EA" w:rsidRPr="00BE56E5" w:rsidRDefault="006051EA" w:rsidP="00F30DB7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FCM Exposure</w:t>
            </w:r>
          </w:p>
        </w:tc>
      </w:tr>
      <w:tr w:rsidR="002D025D" w:rsidRPr="00BE56E5" w14:paraId="28B80E7A" w14:textId="77777777" w:rsidTr="00C246B9">
        <w:trPr>
          <w:trHeight w:val="304"/>
        </w:trPr>
        <w:tc>
          <w:tcPr>
            <w:tcW w:w="276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4FE105D8" w14:textId="23148B5B" w:rsidR="006051EA" w:rsidRPr="00BE56E5" w:rsidRDefault="006051EA" w:rsidP="006051EA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FER-CARS-01</w:t>
            </w:r>
          </w:p>
        </w:tc>
        <w:tc>
          <w:tcPr>
            <w:tcW w:w="689" w:type="dxa"/>
            <w:tcBorders>
              <w:top w:val="single" w:sz="4" w:space="0" w:color="auto"/>
            </w:tcBorders>
          </w:tcPr>
          <w:p w14:paraId="7B3AC031" w14:textId="3E110995" w:rsidR="006051EA" w:rsidRPr="00BE56E5" w:rsidRDefault="006051EA" w:rsidP="006051E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14:paraId="5814FC30" w14:textId="6D19BE1A" w:rsidR="006051EA" w:rsidRPr="00BE56E5" w:rsidRDefault="00B31D87" w:rsidP="00C323EF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60B84EB8" w14:textId="7DA257F3" w:rsidR="006051EA" w:rsidRPr="00BE56E5" w:rsidRDefault="006051EA" w:rsidP="006051EA">
            <w:pPr>
              <w:pStyle w:val="Standard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200 mg weekly until repletion according to the Ganzoni formula</w:t>
            </w: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  <w:lang w:val="en-US"/>
              </w:rPr>
              <w:t>a</w:t>
            </w:r>
          </w:p>
          <w:p w14:paraId="06AA039E" w14:textId="6811BB71" w:rsidR="006051EA" w:rsidRPr="00BE56E5" w:rsidRDefault="006051EA" w:rsidP="00C323EF">
            <w:pPr>
              <w:pStyle w:val="Standard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200 mg every 4 weeks thereafter</w:t>
            </w:r>
            <w:r w:rsidR="00C323EF"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 through week 12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43597733" w14:textId="722D12BC" w:rsidR="006051EA" w:rsidRPr="00BE56E5" w:rsidRDefault="006051EA" w:rsidP="006051E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Mean (SD): 1103 (27</w:t>
            </w:r>
            <w:r w:rsidR="00B94C58"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9)</w:t>
            </w: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 mg</w:t>
            </w:r>
          </w:p>
        </w:tc>
      </w:tr>
      <w:tr w:rsidR="002D025D" w:rsidRPr="00BE56E5" w14:paraId="78E9E805" w14:textId="77777777" w:rsidTr="00C246B9">
        <w:trPr>
          <w:trHeight w:val="304"/>
        </w:trPr>
        <w:tc>
          <w:tcPr>
            <w:tcW w:w="2762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3810141F" w14:textId="26AD3158" w:rsidR="006051EA" w:rsidRPr="00BE56E5" w:rsidRDefault="006051EA" w:rsidP="006051EA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FER-CARS-02/FAIR-HF</w:t>
            </w:r>
          </w:p>
        </w:tc>
        <w:tc>
          <w:tcPr>
            <w:tcW w:w="689" w:type="dxa"/>
          </w:tcPr>
          <w:p w14:paraId="53FD972A" w14:textId="2EA96CE6" w:rsidR="006051EA" w:rsidRPr="00BE56E5" w:rsidRDefault="006051EA" w:rsidP="006051E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296</w:t>
            </w:r>
          </w:p>
        </w:tc>
        <w:tc>
          <w:tcPr>
            <w:tcW w:w="1409" w:type="dxa"/>
          </w:tcPr>
          <w:p w14:paraId="170E3EE1" w14:textId="00DDE6E9" w:rsidR="006051EA" w:rsidRPr="00BE56E5" w:rsidRDefault="006051EA" w:rsidP="006051E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4950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6B0504C9" w14:textId="6F69ED73" w:rsidR="00C323EF" w:rsidRPr="00BE56E5" w:rsidRDefault="00C323EF" w:rsidP="00C323EF">
            <w:pPr>
              <w:pStyle w:val="Standard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200 mg weekly until repletion according to the Ganzoni formula</w:t>
            </w: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  <w:lang w:val="en-US"/>
              </w:rPr>
              <w:t>a</w:t>
            </w:r>
          </w:p>
          <w:p w14:paraId="5BE0ACC5" w14:textId="28B702D8" w:rsidR="006051EA" w:rsidRPr="00BE56E5" w:rsidRDefault="00C323EF" w:rsidP="008010AB">
            <w:pPr>
              <w:pStyle w:val="Standard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200 mg at weeks 12, 16, 20, and 24</w:t>
            </w:r>
          </w:p>
        </w:tc>
        <w:tc>
          <w:tcPr>
            <w:tcW w:w="4140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5550F4A8" w14:textId="1A56DB4E" w:rsidR="006051EA" w:rsidRPr="00BE56E5" w:rsidRDefault="00C323EF" w:rsidP="006051E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Mean</w:t>
            </w:r>
            <w:r w:rsidR="00BF385B"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 (SD)</w:t>
            </w: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: 1850 (433) mg</w:t>
            </w:r>
          </w:p>
        </w:tc>
      </w:tr>
      <w:tr w:rsidR="002D025D" w:rsidRPr="00BE56E5" w14:paraId="5C01815D" w14:textId="77777777" w:rsidTr="00C246B9">
        <w:trPr>
          <w:trHeight w:val="255"/>
        </w:trPr>
        <w:tc>
          <w:tcPr>
            <w:tcW w:w="2762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407702B3" w14:textId="359E8BCE" w:rsidR="006051EA" w:rsidRPr="00BE56E5" w:rsidRDefault="006051EA" w:rsidP="006051EA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FER-CARS-03/EFFICACY-HF</w:t>
            </w:r>
          </w:p>
        </w:tc>
        <w:tc>
          <w:tcPr>
            <w:tcW w:w="689" w:type="dxa"/>
          </w:tcPr>
          <w:p w14:paraId="1F9D4847" w14:textId="34C3903E" w:rsidR="006051EA" w:rsidRPr="00BE56E5" w:rsidRDefault="006051EA" w:rsidP="006051E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409" w:type="dxa"/>
          </w:tcPr>
          <w:p w14:paraId="40F64390" w14:textId="5BF01CFC" w:rsidR="006051EA" w:rsidRPr="00BE56E5" w:rsidRDefault="006051EA" w:rsidP="006051E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4950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F6D1149" w14:textId="77777777" w:rsidR="008010AB" w:rsidRPr="00BE56E5" w:rsidRDefault="008010AB" w:rsidP="008010AB">
            <w:pPr>
              <w:pStyle w:val="Standard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200 mg weekly until repletion according to the Ganzoni formula</w:t>
            </w: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  <w:lang w:val="en-US"/>
              </w:rPr>
              <w:t>a</w:t>
            </w:r>
          </w:p>
          <w:p w14:paraId="30AF62AC" w14:textId="60CCF260" w:rsidR="006051EA" w:rsidRPr="00BE56E5" w:rsidRDefault="008010AB" w:rsidP="00BF385B">
            <w:pPr>
              <w:pStyle w:val="Standard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200 mg at weeks 12, 16, 20, and 24</w:t>
            </w:r>
          </w:p>
        </w:tc>
        <w:tc>
          <w:tcPr>
            <w:tcW w:w="4140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3692B90" w14:textId="2FC63A7E" w:rsidR="006051EA" w:rsidRPr="00BE56E5" w:rsidRDefault="00BF385B" w:rsidP="006051E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Mean (SD): 1640 (456) mg</w:t>
            </w:r>
          </w:p>
        </w:tc>
      </w:tr>
      <w:tr w:rsidR="002D025D" w:rsidRPr="00BE56E5" w14:paraId="133635C1" w14:textId="77777777" w:rsidTr="00C246B9">
        <w:trPr>
          <w:trHeight w:val="304"/>
        </w:trPr>
        <w:tc>
          <w:tcPr>
            <w:tcW w:w="2762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40CCA474" w14:textId="02E3D50F" w:rsidR="006051EA" w:rsidRPr="00BE56E5" w:rsidRDefault="006051EA" w:rsidP="006051EA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FER-CARS-04/EFFECT-HF</w:t>
            </w:r>
          </w:p>
        </w:tc>
        <w:tc>
          <w:tcPr>
            <w:tcW w:w="689" w:type="dxa"/>
          </w:tcPr>
          <w:p w14:paraId="143AD38F" w14:textId="4D816873" w:rsidR="006051EA" w:rsidRPr="00BE56E5" w:rsidRDefault="006051EA" w:rsidP="006051E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1409" w:type="dxa"/>
          </w:tcPr>
          <w:p w14:paraId="6194B102" w14:textId="2594CD0F" w:rsidR="006051EA" w:rsidRPr="00BE56E5" w:rsidRDefault="006051EA" w:rsidP="006051E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4950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14:paraId="41A63D47" w14:textId="754E9323" w:rsidR="00BF385B" w:rsidRPr="00BE56E5" w:rsidRDefault="00BF385B" w:rsidP="00BF385B">
            <w:pPr>
              <w:pStyle w:val="Standard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500-1000 mg at day 1</w:t>
            </w:r>
            <w:r w:rsidR="009B6978"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  <w:lang w:val="en-US"/>
              </w:rPr>
              <w:t>b</w:t>
            </w:r>
          </w:p>
          <w:p w14:paraId="501EA07E" w14:textId="77777777" w:rsidR="009B6978" w:rsidRPr="00BE56E5" w:rsidRDefault="00BF385B" w:rsidP="00BF385B">
            <w:pPr>
              <w:pStyle w:val="Standard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0-1000 mg at week 6</w:t>
            </w: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  <w:lang w:val="en-US"/>
              </w:rPr>
              <w:t>b</w:t>
            </w:r>
          </w:p>
          <w:p w14:paraId="05CDBD8D" w14:textId="0A8C3A35" w:rsidR="006051EA" w:rsidRPr="00BE56E5" w:rsidRDefault="009B6978" w:rsidP="009B6978">
            <w:pPr>
              <w:pStyle w:val="Standard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500 mg at week 12 if iron deficient </w:t>
            </w:r>
          </w:p>
        </w:tc>
        <w:tc>
          <w:tcPr>
            <w:tcW w:w="4140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5890B407" w14:textId="4634A138" w:rsidR="006051EA" w:rsidRPr="00BE56E5" w:rsidRDefault="009B6978" w:rsidP="006051E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Mean (SD): 1204.5 (391) mg</w:t>
            </w:r>
          </w:p>
          <w:p w14:paraId="5E66ECCE" w14:textId="6F11492B" w:rsidR="009B6978" w:rsidRPr="00BE56E5" w:rsidRDefault="009B6978" w:rsidP="006051E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42.0% of patients received 1 injection</w:t>
            </w:r>
          </w:p>
          <w:p w14:paraId="464D1F37" w14:textId="77777777" w:rsidR="009B6978" w:rsidRPr="00BE56E5" w:rsidRDefault="009B6978" w:rsidP="006051E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54.5% of patients received 2 injections</w:t>
            </w:r>
          </w:p>
          <w:p w14:paraId="40ED81AB" w14:textId="05431B84" w:rsidR="009B6978" w:rsidRPr="00BE56E5" w:rsidRDefault="009B6978" w:rsidP="006051E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3.4% of patients received 3 injections</w:t>
            </w:r>
          </w:p>
        </w:tc>
      </w:tr>
      <w:tr w:rsidR="002D025D" w:rsidRPr="00BE56E5" w14:paraId="6E3741FB" w14:textId="77777777" w:rsidTr="00C246B9">
        <w:trPr>
          <w:trHeight w:val="304"/>
        </w:trPr>
        <w:tc>
          <w:tcPr>
            <w:tcW w:w="2762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25ABF352" w14:textId="691FE3AE" w:rsidR="006051EA" w:rsidRPr="00BE56E5" w:rsidRDefault="006051EA" w:rsidP="006051EA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FER-CARS-05/CONFIRM-HF</w:t>
            </w:r>
          </w:p>
        </w:tc>
        <w:tc>
          <w:tcPr>
            <w:tcW w:w="689" w:type="dxa"/>
          </w:tcPr>
          <w:p w14:paraId="1ACFA398" w14:textId="7890DA04" w:rsidR="006051EA" w:rsidRPr="00BE56E5" w:rsidRDefault="006051EA" w:rsidP="006051E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148</w:t>
            </w:r>
          </w:p>
        </w:tc>
        <w:tc>
          <w:tcPr>
            <w:tcW w:w="1409" w:type="dxa"/>
          </w:tcPr>
          <w:p w14:paraId="5AB65CC5" w14:textId="588B91C3" w:rsidR="006051EA" w:rsidRPr="00BE56E5" w:rsidRDefault="006051EA" w:rsidP="006051EA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4950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61952F22" w14:textId="77777777" w:rsidR="00B94C58" w:rsidRPr="00BE56E5" w:rsidRDefault="00B94C58" w:rsidP="00B94C58">
            <w:pPr>
              <w:pStyle w:val="Standard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500-1000 mg at day 1</w:t>
            </w: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  <w:lang w:val="en-US"/>
              </w:rPr>
              <w:t>b</w:t>
            </w:r>
          </w:p>
          <w:p w14:paraId="18D06AB6" w14:textId="77777777" w:rsidR="00B94C58" w:rsidRPr="00BE56E5" w:rsidRDefault="00B94C58" w:rsidP="00B94C58">
            <w:pPr>
              <w:pStyle w:val="Standard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0-1000 mg at week 6</w:t>
            </w: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  <w:lang w:val="en-US"/>
              </w:rPr>
              <w:t>b</w:t>
            </w:r>
          </w:p>
          <w:p w14:paraId="50A248D6" w14:textId="1C3DBD3D" w:rsidR="006051EA" w:rsidRPr="00BE56E5" w:rsidRDefault="00B94C58" w:rsidP="00C246B9">
            <w:pPr>
              <w:pStyle w:val="Standard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500 mg at weeks 12, 24, and 36 if iron deficient</w:t>
            </w:r>
          </w:p>
        </w:tc>
        <w:tc>
          <w:tcPr>
            <w:tcW w:w="4140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568183BF" w14:textId="1ADF7BDB" w:rsidR="00B94C58" w:rsidRPr="00BE56E5" w:rsidRDefault="00B94C58" w:rsidP="00B94C58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Mean (SD): 1500 (537) mg</w:t>
            </w:r>
          </w:p>
          <w:p w14:paraId="41A82787" w14:textId="3816EA2B" w:rsidR="00B94C58" w:rsidRPr="00BE56E5" w:rsidRDefault="00B94C58" w:rsidP="00B94C58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24.3% of patients received 1 injection</w:t>
            </w:r>
          </w:p>
          <w:p w14:paraId="6B014A85" w14:textId="135AB106" w:rsidR="00B94C58" w:rsidRPr="00BE56E5" w:rsidRDefault="00B94C58" w:rsidP="00B94C58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51.3% of patients received 2 injections</w:t>
            </w:r>
          </w:p>
          <w:p w14:paraId="29E7ADF0" w14:textId="77777777" w:rsidR="006051EA" w:rsidRPr="00BE56E5" w:rsidRDefault="00B94C58" w:rsidP="00B94C58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17.1% of patients received 3 injections</w:t>
            </w:r>
          </w:p>
          <w:p w14:paraId="013973C5" w14:textId="65B573A9" w:rsidR="00B94C58" w:rsidRPr="00BE56E5" w:rsidRDefault="00B94C58" w:rsidP="00B94C58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7.2% of patients received 4/5 injections</w:t>
            </w:r>
          </w:p>
          <w:p w14:paraId="7CD10E7C" w14:textId="109E747E" w:rsidR="00B94C58" w:rsidRPr="00BE56E5" w:rsidRDefault="00B94C58" w:rsidP="00C246B9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</w:tr>
      <w:tr w:rsidR="002D025D" w:rsidRPr="00BE56E5" w14:paraId="647AABC3" w14:textId="77777777" w:rsidTr="00C246B9">
        <w:trPr>
          <w:trHeight w:val="304"/>
        </w:trPr>
        <w:tc>
          <w:tcPr>
            <w:tcW w:w="2762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58EB3165" w14:textId="357DEAD6" w:rsidR="00B94C58" w:rsidRPr="00BE56E5" w:rsidRDefault="00B94C58" w:rsidP="00B94C58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FER-CARS-06/AFFIRM-AHF</w:t>
            </w:r>
          </w:p>
        </w:tc>
        <w:tc>
          <w:tcPr>
            <w:tcW w:w="689" w:type="dxa"/>
          </w:tcPr>
          <w:p w14:paraId="31CC7C98" w14:textId="6808CE47" w:rsidR="00B94C58" w:rsidRPr="00BE56E5" w:rsidRDefault="00B94C58" w:rsidP="00B94C58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496</w:t>
            </w:r>
          </w:p>
        </w:tc>
        <w:tc>
          <w:tcPr>
            <w:tcW w:w="1409" w:type="dxa"/>
          </w:tcPr>
          <w:p w14:paraId="467AFB00" w14:textId="7D63D375" w:rsidR="00B94C58" w:rsidRPr="00BE56E5" w:rsidRDefault="00B94C58" w:rsidP="00B94C58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4950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33FE556A" w14:textId="48760539" w:rsidR="00B94C58" w:rsidRPr="00BE56E5" w:rsidRDefault="00B94C58" w:rsidP="00B94C58">
            <w:pPr>
              <w:pStyle w:val="Standard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500-1000 mg at week 0</w:t>
            </w:r>
          </w:p>
          <w:p w14:paraId="1CB10970" w14:textId="77777777" w:rsidR="00B94C58" w:rsidRPr="00BE56E5" w:rsidRDefault="00B94C58" w:rsidP="00B94C58">
            <w:pPr>
              <w:pStyle w:val="Standard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0-1000 mg at week 6</w:t>
            </w: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vertAlign w:val="superscript"/>
                <w:lang w:val="en-US"/>
              </w:rPr>
              <w:t>b</w:t>
            </w:r>
          </w:p>
          <w:p w14:paraId="51D2C93B" w14:textId="6E570D95" w:rsidR="00B94C58" w:rsidRPr="00BE56E5" w:rsidRDefault="00B94C58" w:rsidP="00C246B9">
            <w:pPr>
              <w:pStyle w:val="Standard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500 mg at weeks 12 and 24 if iron deficient</w:t>
            </w:r>
          </w:p>
        </w:tc>
        <w:tc>
          <w:tcPr>
            <w:tcW w:w="4140" w:type="dxa"/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14:paraId="15FD69CD" w14:textId="11B96F96" w:rsidR="00B94C58" w:rsidRPr="00BE56E5" w:rsidRDefault="00B94C58" w:rsidP="00B94C58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Mean (SD): 1352 (568) mg</w:t>
            </w:r>
          </w:p>
          <w:p w14:paraId="35D0AB53" w14:textId="31A5BB8A" w:rsidR="00B94C58" w:rsidRPr="00BE56E5" w:rsidRDefault="00B94C58" w:rsidP="00B94C58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45.6% of patients received 1 injection</w:t>
            </w:r>
          </w:p>
          <w:p w14:paraId="21495E6E" w14:textId="66A4C421" w:rsidR="00B94C58" w:rsidRPr="00BE56E5" w:rsidRDefault="00B94C58" w:rsidP="00B94C58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34.3% of patients received 2 injections</w:t>
            </w:r>
          </w:p>
          <w:p w14:paraId="1E7EB899" w14:textId="5B143996" w:rsidR="00B94C58" w:rsidRPr="00BE56E5" w:rsidRDefault="00B94C58" w:rsidP="00C246B9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E56E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20% of patients received 3/4 injections</w:t>
            </w:r>
          </w:p>
        </w:tc>
      </w:tr>
    </w:tbl>
    <w:p w14:paraId="7E3D21B2" w14:textId="77777777" w:rsidR="00166897" w:rsidRPr="00BE56E5" w:rsidRDefault="00166897" w:rsidP="00166897">
      <w:pPr>
        <w:pStyle w:val="Standard"/>
        <w:spacing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BE56E5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FCM, ferric carboxymaltose; GI, gastrointestinal; HD-CKD, haemodialysis-dependent chronic kidney disease; HF, heart failure; NDD-CKD, non–dialysis-dependent chronic kidney disease</w:t>
      </w:r>
      <w:r w:rsidRPr="00BE56E5"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</w:p>
    <w:p w14:paraId="0A429424" w14:textId="77777777" w:rsidR="00166897" w:rsidRPr="00BE56E5" w:rsidRDefault="00166897" w:rsidP="00166897">
      <w:pPr>
        <w:pStyle w:val="Standard"/>
        <w:spacing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BE56E5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Please see </w:t>
      </w:r>
      <w:r w:rsidRPr="00BE56E5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Table S1</w:t>
      </w:r>
      <w:r w:rsidRPr="00BE56E5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for the duration of trials in each therapeutic area.</w:t>
      </w:r>
    </w:p>
    <w:p w14:paraId="31F3806B" w14:textId="4515649E" w:rsidR="00166897" w:rsidRPr="00BE56E5" w:rsidRDefault="006051EA" w:rsidP="00677C6C">
      <w:pPr>
        <w:widowControl w:val="0"/>
        <w:autoSpaceDN w:val="0"/>
        <w:textAlignment w:val="baseline"/>
        <w:rPr>
          <w:b/>
          <w:bCs/>
          <w:color w:val="FF0000"/>
          <w:sz w:val="20"/>
          <w:szCs w:val="20"/>
        </w:rPr>
      </w:pPr>
      <w:r w:rsidRPr="00BE56E5">
        <w:rPr>
          <w:b/>
          <w:bCs/>
          <w:color w:val="FF0000"/>
          <w:sz w:val="20"/>
          <w:szCs w:val="20"/>
          <w:vertAlign w:val="superscript"/>
        </w:rPr>
        <w:t>a</w:t>
      </w:r>
      <w:r w:rsidRPr="00BE56E5">
        <w:rPr>
          <w:b/>
          <w:bCs/>
          <w:color w:val="FF0000"/>
          <w:sz w:val="20"/>
          <w:szCs w:val="20"/>
        </w:rPr>
        <w:t>100 mg permitted for the last dose</w:t>
      </w:r>
      <w:r w:rsidR="00C246B9" w:rsidRPr="00BE56E5">
        <w:rPr>
          <w:b/>
          <w:bCs/>
          <w:color w:val="FF0000"/>
          <w:sz w:val="20"/>
          <w:szCs w:val="20"/>
        </w:rPr>
        <w:t>.</w:t>
      </w:r>
    </w:p>
    <w:p w14:paraId="286A57E2" w14:textId="71130917" w:rsidR="00BF385B" w:rsidRPr="00BE56E5" w:rsidRDefault="00BF385B" w:rsidP="00677C6C">
      <w:pPr>
        <w:widowControl w:val="0"/>
        <w:autoSpaceDN w:val="0"/>
        <w:textAlignment w:val="baseline"/>
        <w:rPr>
          <w:b/>
          <w:bCs/>
          <w:color w:val="FF0000"/>
          <w:sz w:val="20"/>
          <w:szCs w:val="20"/>
        </w:rPr>
      </w:pPr>
      <w:r w:rsidRPr="00BE56E5">
        <w:rPr>
          <w:b/>
          <w:bCs/>
          <w:color w:val="FF0000"/>
          <w:sz w:val="20"/>
          <w:szCs w:val="20"/>
          <w:vertAlign w:val="superscript"/>
        </w:rPr>
        <w:t>b</w:t>
      </w:r>
      <w:r w:rsidR="00B94C58" w:rsidRPr="00BE56E5">
        <w:rPr>
          <w:b/>
          <w:bCs/>
          <w:color w:val="FF0000"/>
          <w:sz w:val="20"/>
          <w:szCs w:val="20"/>
        </w:rPr>
        <w:t>I</w:t>
      </w:r>
      <w:r w:rsidRPr="00BE56E5">
        <w:rPr>
          <w:b/>
          <w:bCs/>
          <w:color w:val="FF0000"/>
          <w:sz w:val="20"/>
          <w:szCs w:val="20"/>
        </w:rPr>
        <w:t>ron dose dependent on screening weight and hemoglobin</w:t>
      </w:r>
      <w:r w:rsidR="00C246B9" w:rsidRPr="00BE56E5">
        <w:rPr>
          <w:b/>
          <w:bCs/>
          <w:color w:val="FF0000"/>
          <w:sz w:val="20"/>
          <w:szCs w:val="20"/>
        </w:rPr>
        <w:t>.</w:t>
      </w:r>
    </w:p>
    <w:sectPr w:rsidR="00BF385B" w:rsidRPr="00BE56E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E8C33" w14:textId="77777777" w:rsidR="004923A6" w:rsidRDefault="004923A6">
      <w:r>
        <w:separator/>
      </w:r>
    </w:p>
  </w:endnote>
  <w:endnote w:type="continuationSeparator" w:id="0">
    <w:p w14:paraId="639263D9" w14:textId="77777777" w:rsidR="004923A6" w:rsidRDefault="0049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Calibri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umin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78538" w14:textId="5489BE87" w:rsidR="00FC53FB" w:rsidRDefault="00892406">
    <w:pPr>
      <w:pStyle w:val="Pidipagina"/>
      <w:jc w:val="righ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9D5491" wp14:editId="7085FD4C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1" name="MSIPCM89f945f9800a86f66d9087b0" descr="{&quot;HashCode&quot;:-1535442933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279232" w14:textId="4BE4C2E5" w:rsidR="00892406" w:rsidRPr="00892406" w:rsidRDefault="00892406" w:rsidP="0089240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D9D5491" id="_x0000_t202" coordsize="21600,21600" o:spt="202" path="m,l,21600r21600,l21600,xe">
              <v:stroke joinstyle="miter"/>
              <v:path gradientshapeok="t" o:connecttype="rect"/>
            </v:shapetype>
            <v:shape id="MSIPCM89f945f9800a86f66d9087b0" o:spid="_x0000_s1026" type="#_x0000_t202" alt="{&quot;HashCode&quot;:-1535442933,&quot;Height&quot;:595.0,&quot;Width&quot;:841.0,&quot;Placement&quot;:&quot;Footer&quot;,&quot;Index&quot;:&quot;Primary&quot;,&quot;Section&quot;:1,&quot;Top&quot;:0.0,&quot;Left&quot;:0.0}" style="position:absolute;left:0;text-align:left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" o:allowincell="f" filled="f" stroked="f" strokeweight=".5pt">
              <v:textbox inset=",0,,0">
                <w:txbxContent>
                  <w:p w14:paraId="75279232" w14:textId="4BE4C2E5" w:rsidR="00892406" w:rsidRPr="00892406" w:rsidRDefault="00892406" w:rsidP="00892406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C53FB">
      <w:fldChar w:fldCharType="begin"/>
    </w:r>
    <w:r w:rsidR="00FC53FB">
      <w:instrText xml:space="preserve"> PAGE </w:instrText>
    </w:r>
    <w:r w:rsidR="00FC53FB">
      <w:fldChar w:fldCharType="separate"/>
    </w:r>
    <w:r w:rsidR="00F54A5E">
      <w:rPr>
        <w:noProof/>
      </w:rPr>
      <w:t>1</w:t>
    </w:r>
    <w:r w:rsidR="00FC53FB">
      <w:fldChar w:fldCharType="end"/>
    </w:r>
  </w:p>
  <w:p w14:paraId="6E878539" w14:textId="77777777" w:rsidR="00FC53FB" w:rsidRDefault="00FC53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81B87" w14:textId="77777777" w:rsidR="004923A6" w:rsidRDefault="004923A6">
      <w:r>
        <w:rPr>
          <w:color w:val="000000"/>
        </w:rPr>
        <w:separator/>
      </w:r>
    </w:p>
  </w:footnote>
  <w:footnote w:type="continuationSeparator" w:id="0">
    <w:p w14:paraId="6EF85FD8" w14:textId="77777777" w:rsidR="004923A6" w:rsidRDefault="0049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78535" w14:textId="6C2F5D89" w:rsidR="00FC53FB" w:rsidRDefault="00FC53FB">
    <w:pPr>
      <w:pStyle w:val="Intestazione"/>
    </w:pPr>
  </w:p>
  <w:p w14:paraId="6E878536" w14:textId="77777777" w:rsidR="00FC53FB" w:rsidRDefault="00FC53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3157"/>
    <w:multiLevelType w:val="multilevel"/>
    <w:tmpl w:val="311A0AD6"/>
    <w:styleLink w:val="WWNum7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 w15:restartNumberingAfterBreak="0">
    <w:nsid w:val="044E5ACD"/>
    <w:multiLevelType w:val="multilevel"/>
    <w:tmpl w:val="7BFE667C"/>
    <w:styleLink w:val="WWNum8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" w15:restartNumberingAfterBreak="0">
    <w:nsid w:val="0A772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A314BB"/>
    <w:multiLevelType w:val="multilevel"/>
    <w:tmpl w:val="F24AAF38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2DC06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84A5CE4"/>
    <w:multiLevelType w:val="multilevel"/>
    <w:tmpl w:val="E04686F6"/>
    <w:styleLink w:val="WWNum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354421B0"/>
    <w:multiLevelType w:val="multilevel"/>
    <w:tmpl w:val="1F0C978C"/>
    <w:styleLink w:val="WWNum5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BAB58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14365F9"/>
    <w:multiLevelType w:val="multilevel"/>
    <w:tmpl w:val="A740D1DA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4A974100"/>
    <w:multiLevelType w:val="hybridMultilevel"/>
    <w:tmpl w:val="CFA0D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B4926"/>
    <w:multiLevelType w:val="multilevel"/>
    <w:tmpl w:val="DF3E067A"/>
    <w:styleLink w:val="No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9D67C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1713B40"/>
    <w:multiLevelType w:val="multilevel"/>
    <w:tmpl w:val="81BEEF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794F10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D061708"/>
    <w:multiLevelType w:val="multilevel"/>
    <w:tmpl w:val="6FFC85E8"/>
    <w:styleLink w:val="WWNum2"/>
    <w:lvl w:ilvl="0">
      <w:numFmt w:val="bullet"/>
      <w:lvlText w:val="•"/>
      <w:lvlJc w:val="left"/>
      <w:pPr>
        <w:ind w:left="780" w:hanging="780"/>
      </w:pPr>
      <w:rPr>
        <w:rFonts w:ascii="Times New Roman" w:eastAsia="Calibri" w:hAnsi="Times New Roman" w:cs="Tahom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  <w:num w:numId="12">
    <w:abstractNumId w:val="13"/>
  </w:num>
  <w:num w:numId="13">
    <w:abstractNumId w:val="4"/>
  </w:num>
  <w:num w:numId="14">
    <w:abstractNumId w:val="2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Euro J Heart Failure Copy&lt;/Style&gt;&lt;LeftDelim&gt;{&lt;/LeftDelim&gt;&lt;RightDelim&gt;}&lt;/RightDelim&gt;&lt;FontName&gt;Tahom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fs2r5swyf2fp6e5evappe9ir0ere9fdfee0&quot;&gt;Adam Endnote jan 2 2022-Converted&lt;record-ids&gt;&lt;item&gt;2392&lt;/item&gt;&lt;item&gt;2923&lt;/item&gt;&lt;item&gt;2925&lt;/item&gt;&lt;item&gt;2926&lt;/item&gt;&lt;item&gt;2927&lt;/item&gt;&lt;item&gt;3144&lt;/item&gt;&lt;item&gt;3146&lt;/item&gt;&lt;item&gt;3147&lt;/item&gt;&lt;item&gt;3148&lt;/item&gt;&lt;item&gt;3149&lt;/item&gt;&lt;item&gt;3150&lt;/item&gt;&lt;item&gt;3151&lt;/item&gt;&lt;item&gt;3153&lt;/item&gt;&lt;item&gt;3155&lt;/item&gt;&lt;item&gt;3156&lt;/item&gt;&lt;item&gt;3157&lt;/item&gt;&lt;item&gt;3158&lt;/item&gt;&lt;item&gt;3159&lt;/item&gt;&lt;item&gt;3160&lt;/item&gt;&lt;item&gt;3161&lt;/item&gt;&lt;item&gt;3162&lt;/item&gt;&lt;item&gt;3163&lt;/item&gt;&lt;item&gt;3164&lt;/item&gt;&lt;item&gt;3165&lt;/item&gt;&lt;item&gt;3166&lt;/item&gt;&lt;item&gt;3167&lt;/item&gt;&lt;item&gt;3168&lt;/item&gt;&lt;item&gt;3169&lt;/item&gt;&lt;item&gt;3170&lt;/item&gt;&lt;item&gt;3171&lt;/item&gt;&lt;item&gt;3172&lt;/item&gt;&lt;item&gt;3173&lt;/item&gt;&lt;item&gt;3174&lt;/item&gt;&lt;item&gt;3175&lt;/item&gt;&lt;item&gt;3176&lt;/item&gt;&lt;item&gt;3177&lt;/item&gt;&lt;item&gt;3178&lt;/item&gt;&lt;item&gt;3179&lt;/item&gt;&lt;item&gt;3180&lt;/item&gt;&lt;item&gt;3181&lt;/item&gt;&lt;item&gt;3182&lt;/item&gt;&lt;item&gt;3183&lt;/item&gt;&lt;item&gt;3184&lt;/item&gt;&lt;item&gt;3186&lt;/item&gt;&lt;item&gt;3199&lt;/item&gt;&lt;/record-ids&gt;&lt;/item&gt;&lt;/Libraries&gt;"/>
  </w:docVars>
  <w:rsids>
    <w:rsidRoot w:val="008D07F1"/>
    <w:rsid w:val="00001BC2"/>
    <w:rsid w:val="00005912"/>
    <w:rsid w:val="00006B3D"/>
    <w:rsid w:val="00007837"/>
    <w:rsid w:val="000127C9"/>
    <w:rsid w:val="00016B09"/>
    <w:rsid w:val="00016CD6"/>
    <w:rsid w:val="000207AD"/>
    <w:rsid w:val="00022327"/>
    <w:rsid w:val="00025049"/>
    <w:rsid w:val="00026332"/>
    <w:rsid w:val="000319E4"/>
    <w:rsid w:val="00031B0E"/>
    <w:rsid w:val="00032923"/>
    <w:rsid w:val="00033865"/>
    <w:rsid w:val="000338F6"/>
    <w:rsid w:val="00033BE6"/>
    <w:rsid w:val="00036EB1"/>
    <w:rsid w:val="00042E84"/>
    <w:rsid w:val="00044BC5"/>
    <w:rsid w:val="00045D83"/>
    <w:rsid w:val="00046EBC"/>
    <w:rsid w:val="00054B29"/>
    <w:rsid w:val="00055805"/>
    <w:rsid w:val="00060510"/>
    <w:rsid w:val="00060735"/>
    <w:rsid w:val="0006113A"/>
    <w:rsid w:val="00063A6A"/>
    <w:rsid w:val="00063B44"/>
    <w:rsid w:val="00064E93"/>
    <w:rsid w:val="00066FED"/>
    <w:rsid w:val="00073148"/>
    <w:rsid w:val="0007734F"/>
    <w:rsid w:val="000801A4"/>
    <w:rsid w:val="00080D5C"/>
    <w:rsid w:val="000812DE"/>
    <w:rsid w:val="00083162"/>
    <w:rsid w:val="00083D70"/>
    <w:rsid w:val="00085ABB"/>
    <w:rsid w:val="000939FE"/>
    <w:rsid w:val="0009511F"/>
    <w:rsid w:val="000976D3"/>
    <w:rsid w:val="000A03FB"/>
    <w:rsid w:val="000A6843"/>
    <w:rsid w:val="000A7094"/>
    <w:rsid w:val="000A7211"/>
    <w:rsid w:val="000A7365"/>
    <w:rsid w:val="000B09D4"/>
    <w:rsid w:val="000B356F"/>
    <w:rsid w:val="000C2ACD"/>
    <w:rsid w:val="000C4153"/>
    <w:rsid w:val="000C6160"/>
    <w:rsid w:val="000D1FCE"/>
    <w:rsid w:val="000D201C"/>
    <w:rsid w:val="000D3451"/>
    <w:rsid w:val="000D401E"/>
    <w:rsid w:val="000D53BA"/>
    <w:rsid w:val="000D566B"/>
    <w:rsid w:val="000D5A6D"/>
    <w:rsid w:val="000D5BB7"/>
    <w:rsid w:val="000E0772"/>
    <w:rsid w:val="000E4FD2"/>
    <w:rsid w:val="000E5AF4"/>
    <w:rsid w:val="000E5D2E"/>
    <w:rsid w:val="000F154A"/>
    <w:rsid w:val="000F1E4B"/>
    <w:rsid w:val="000F59D3"/>
    <w:rsid w:val="000F5C71"/>
    <w:rsid w:val="000F6BF1"/>
    <w:rsid w:val="001013D1"/>
    <w:rsid w:val="00102B83"/>
    <w:rsid w:val="00103128"/>
    <w:rsid w:val="001036D7"/>
    <w:rsid w:val="00105A2B"/>
    <w:rsid w:val="00106C91"/>
    <w:rsid w:val="00107219"/>
    <w:rsid w:val="001103F8"/>
    <w:rsid w:val="00110D8E"/>
    <w:rsid w:val="0011179D"/>
    <w:rsid w:val="00112CE1"/>
    <w:rsid w:val="00115B97"/>
    <w:rsid w:val="00117A08"/>
    <w:rsid w:val="00117E42"/>
    <w:rsid w:val="001216CC"/>
    <w:rsid w:val="00124131"/>
    <w:rsid w:val="00124587"/>
    <w:rsid w:val="00124DD3"/>
    <w:rsid w:val="00131293"/>
    <w:rsid w:val="00131AF7"/>
    <w:rsid w:val="00135B65"/>
    <w:rsid w:val="00136A65"/>
    <w:rsid w:val="001370B8"/>
    <w:rsid w:val="001373C3"/>
    <w:rsid w:val="00137761"/>
    <w:rsid w:val="001379D4"/>
    <w:rsid w:val="00137BAC"/>
    <w:rsid w:val="00140F57"/>
    <w:rsid w:val="0014108E"/>
    <w:rsid w:val="0014731D"/>
    <w:rsid w:val="00150355"/>
    <w:rsid w:val="001514D2"/>
    <w:rsid w:val="00151E0B"/>
    <w:rsid w:val="0015208A"/>
    <w:rsid w:val="001520C5"/>
    <w:rsid w:val="001533C9"/>
    <w:rsid w:val="00154785"/>
    <w:rsid w:val="001562C2"/>
    <w:rsid w:val="001567B7"/>
    <w:rsid w:val="001616D5"/>
    <w:rsid w:val="001621E3"/>
    <w:rsid w:val="00163D5F"/>
    <w:rsid w:val="00163F1F"/>
    <w:rsid w:val="001655C2"/>
    <w:rsid w:val="00166897"/>
    <w:rsid w:val="0016736D"/>
    <w:rsid w:val="00173BDB"/>
    <w:rsid w:val="00174294"/>
    <w:rsid w:val="00174540"/>
    <w:rsid w:val="00177AF6"/>
    <w:rsid w:val="00180F09"/>
    <w:rsid w:val="001814B5"/>
    <w:rsid w:val="001817DC"/>
    <w:rsid w:val="001835B4"/>
    <w:rsid w:val="001842FE"/>
    <w:rsid w:val="0018438A"/>
    <w:rsid w:val="00186762"/>
    <w:rsid w:val="00187643"/>
    <w:rsid w:val="00187873"/>
    <w:rsid w:val="00190314"/>
    <w:rsid w:val="001961C1"/>
    <w:rsid w:val="001A1541"/>
    <w:rsid w:val="001A16B2"/>
    <w:rsid w:val="001A29E1"/>
    <w:rsid w:val="001A2ECB"/>
    <w:rsid w:val="001A3518"/>
    <w:rsid w:val="001A3BB7"/>
    <w:rsid w:val="001A4B88"/>
    <w:rsid w:val="001B0411"/>
    <w:rsid w:val="001B0B8A"/>
    <w:rsid w:val="001B6DFD"/>
    <w:rsid w:val="001B772B"/>
    <w:rsid w:val="001C7868"/>
    <w:rsid w:val="001C7BA1"/>
    <w:rsid w:val="001D141B"/>
    <w:rsid w:val="001D1A3E"/>
    <w:rsid w:val="001D1EA8"/>
    <w:rsid w:val="001D2724"/>
    <w:rsid w:val="001D34A1"/>
    <w:rsid w:val="001D416A"/>
    <w:rsid w:val="001E1CB3"/>
    <w:rsid w:val="001E243A"/>
    <w:rsid w:val="001E28F5"/>
    <w:rsid w:val="001E675B"/>
    <w:rsid w:val="001E7772"/>
    <w:rsid w:val="001F0CDA"/>
    <w:rsid w:val="001F350A"/>
    <w:rsid w:val="001F5884"/>
    <w:rsid w:val="001F62B1"/>
    <w:rsid w:val="001F7649"/>
    <w:rsid w:val="00201706"/>
    <w:rsid w:val="00201D07"/>
    <w:rsid w:val="00202EE3"/>
    <w:rsid w:val="0020315C"/>
    <w:rsid w:val="002037AA"/>
    <w:rsid w:val="00204CB3"/>
    <w:rsid w:val="00205E8F"/>
    <w:rsid w:val="00212041"/>
    <w:rsid w:val="00212643"/>
    <w:rsid w:val="00212D50"/>
    <w:rsid w:val="00217298"/>
    <w:rsid w:val="00217418"/>
    <w:rsid w:val="00220235"/>
    <w:rsid w:val="00221275"/>
    <w:rsid w:val="002212F9"/>
    <w:rsid w:val="0022158C"/>
    <w:rsid w:val="00230B62"/>
    <w:rsid w:val="00231931"/>
    <w:rsid w:val="002366C7"/>
    <w:rsid w:val="00237403"/>
    <w:rsid w:val="002415CA"/>
    <w:rsid w:val="002420A0"/>
    <w:rsid w:val="00244AC9"/>
    <w:rsid w:val="00246B41"/>
    <w:rsid w:val="0024786E"/>
    <w:rsid w:val="00250456"/>
    <w:rsid w:val="00251406"/>
    <w:rsid w:val="00253E34"/>
    <w:rsid w:val="002540CF"/>
    <w:rsid w:val="00255A02"/>
    <w:rsid w:val="0025727C"/>
    <w:rsid w:val="002632E0"/>
    <w:rsid w:val="00264E21"/>
    <w:rsid w:val="00267B07"/>
    <w:rsid w:val="0027357A"/>
    <w:rsid w:val="00273D4D"/>
    <w:rsid w:val="00275553"/>
    <w:rsid w:val="00275786"/>
    <w:rsid w:val="00275DF9"/>
    <w:rsid w:val="00277491"/>
    <w:rsid w:val="00280172"/>
    <w:rsid w:val="00281A64"/>
    <w:rsid w:val="00283110"/>
    <w:rsid w:val="00283600"/>
    <w:rsid w:val="002856B4"/>
    <w:rsid w:val="00286D20"/>
    <w:rsid w:val="00287DA4"/>
    <w:rsid w:val="00287E78"/>
    <w:rsid w:val="00290507"/>
    <w:rsid w:val="0029217E"/>
    <w:rsid w:val="00292968"/>
    <w:rsid w:val="0029348C"/>
    <w:rsid w:val="0029510D"/>
    <w:rsid w:val="002A08A6"/>
    <w:rsid w:val="002A4D09"/>
    <w:rsid w:val="002A4F14"/>
    <w:rsid w:val="002A63BD"/>
    <w:rsid w:val="002B03C0"/>
    <w:rsid w:val="002B15F5"/>
    <w:rsid w:val="002B1E3C"/>
    <w:rsid w:val="002B2EDF"/>
    <w:rsid w:val="002B4B85"/>
    <w:rsid w:val="002C4130"/>
    <w:rsid w:val="002C41B3"/>
    <w:rsid w:val="002C53B4"/>
    <w:rsid w:val="002C564D"/>
    <w:rsid w:val="002C7CA1"/>
    <w:rsid w:val="002D025D"/>
    <w:rsid w:val="002D1B28"/>
    <w:rsid w:val="002D341B"/>
    <w:rsid w:val="002D58A4"/>
    <w:rsid w:val="002D6D97"/>
    <w:rsid w:val="002D7B01"/>
    <w:rsid w:val="002E0CBB"/>
    <w:rsid w:val="002E3BB9"/>
    <w:rsid w:val="002E7782"/>
    <w:rsid w:val="002E7BCA"/>
    <w:rsid w:val="002F43CA"/>
    <w:rsid w:val="002F590D"/>
    <w:rsid w:val="003007B6"/>
    <w:rsid w:val="00301400"/>
    <w:rsid w:val="00301543"/>
    <w:rsid w:val="00303584"/>
    <w:rsid w:val="0030449D"/>
    <w:rsid w:val="0031008E"/>
    <w:rsid w:val="00314B03"/>
    <w:rsid w:val="00317D35"/>
    <w:rsid w:val="0032030D"/>
    <w:rsid w:val="00322C9C"/>
    <w:rsid w:val="0032306D"/>
    <w:rsid w:val="0033019B"/>
    <w:rsid w:val="00330E08"/>
    <w:rsid w:val="00332628"/>
    <w:rsid w:val="00333C67"/>
    <w:rsid w:val="00334FDE"/>
    <w:rsid w:val="00340186"/>
    <w:rsid w:val="00340AC0"/>
    <w:rsid w:val="00344F1B"/>
    <w:rsid w:val="003455EB"/>
    <w:rsid w:val="003466CC"/>
    <w:rsid w:val="00350EEF"/>
    <w:rsid w:val="00350FC1"/>
    <w:rsid w:val="00351231"/>
    <w:rsid w:val="00351333"/>
    <w:rsid w:val="00351D81"/>
    <w:rsid w:val="0035304C"/>
    <w:rsid w:val="0035583D"/>
    <w:rsid w:val="003614A7"/>
    <w:rsid w:val="00361D6A"/>
    <w:rsid w:val="00362D90"/>
    <w:rsid w:val="0036365B"/>
    <w:rsid w:val="003653EB"/>
    <w:rsid w:val="00365427"/>
    <w:rsid w:val="00365D60"/>
    <w:rsid w:val="0036607A"/>
    <w:rsid w:val="003668C7"/>
    <w:rsid w:val="003670D5"/>
    <w:rsid w:val="0036762F"/>
    <w:rsid w:val="00376494"/>
    <w:rsid w:val="00376C1A"/>
    <w:rsid w:val="003801C9"/>
    <w:rsid w:val="00380FA2"/>
    <w:rsid w:val="003879C1"/>
    <w:rsid w:val="0039305B"/>
    <w:rsid w:val="00393457"/>
    <w:rsid w:val="00394093"/>
    <w:rsid w:val="00395320"/>
    <w:rsid w:val="003963B9"/>
    <w:rsid w:val="003A093D"/>
    <w:rsid w:val="003A3F4A"/>
    <w:rsid w:val="003B079A"/>
    <w:rsid w:val="003B07E1"/>
    <w:rsid w:val="003B0F94"/>
    <w:rsid w:val="003B126B"/>
    <w:rsid w:val="003B224E"/>
    <w:rsid w:val="003B6596"/>
    <w:rsid w:val="003B66AA"/>
    <w:rsid w:val="003C0097"/>
    <w:rsid w:val="003C00EA"/>
    <w:rsid w:val="003C495D"/>
    <w:rsid w:val="003C739C"/>
    <w:rsid w:val="003C79E1"/>
    <w:rsid w:val="003C7A2A"/>
    <w:rsid w:val="003D1ADF"/>
    <w:rsid w:val="003D286B"/>
    <w:rsid w:val="003D366B"/>
    <w:rsid w:val="003D3A58"/>
    <w:rsid w:val="003D54CF"/>
    <w:rsid w:val="003D5E35"/>
    <w:rsid w:val="003D7541"/>
    <w:rsid w:val="003E0126"/>
    <w:rsid w:val="003E7A1F"/>
    <w:rsid w:val="003E7B42"/>
    <w:rsid w:val="003F01A8"/>
    <w:rsid w:val="003F0E9C"/>
    <w:rsid w:val="003F1C86"/>
    <w:rsid w:val="003F6258"/>
    <w:rsid w:val="003F6348"/>
    <w:rsid w:val="003F78B0"/>
    <w:rsid w:val="004006A6"/>
    <w:rsid w:val="0040097D"/>
    <w:rsid w:val="00402148"/>
    <w:rsid w:val="00402196"/>
    <w:rsid w:val="00402276"/>
    <w:rsid w:val="00402DCF"/>
    <w:rsid w:val="004048CB"/>
    <w:rsid w:val="00406AF4"/>
    <w:rsid w:val="004113B0"/>
    <w:rsid w:val="004120CC"/>
    <w:rsid w:val="0041451D"/>
    <w:rsid w:val="00414863"/>
    <w:rsid w:val="0041599E"/>
    <w:rsid w:val="00415E3F"/>
    <w:rsid w:val="0041609A"/>
    <w:rsid w:val="00416B9B"/>
    <w:rsid w:val="0042217C"/>
    <w:rsid w:val="004242F5"/>
    <w:rsid w:val="004252C5"/>
    <w:rsid w:val="004300E9"/>
    <w:rsid w:val="00430821"/>
    <w:rsid w:val="00430D3A"/>
    <w:rsid w:val="00430DCE"/>
    <w:rsid w:val="0043263E"/>
    <w:rsid w:val="004334E0"/>
    <w:rsid w:val="00434ADF"/>
    <w:rsid w:val="004361BA"/>
    <w:rsid w:val="00436725"/>
    <w:rsid w:val="00443443"/>
    <w:rsid w:val="00445E03"/>
    <w:rsid w:val="004468E8"/>
    <w:rsid w:val="00454AB4"/>
    <w:rsid w:val="00456F80"/>
    <w:rsid w:val="00457D12"/>
    <w:rsid w:val="004616C0"/>
    <w:rsid w:val="004617C0"/>
    <w:rsid w:val="00463893"/>
    <w:rsid w:val="00464760"/>
    <w:rsid w:val="00464A93"/>
    <w:rsid w:val="004721C5"/>
    <w:rsid w:val="00473913"/>
    <w:rsid w:val="004751C2"/>
    <w:rsid w:val="004754C2"/>
    <w:rsid w:val="00480AE3"/>
    <w:rsid w:val="00481D08"/>
    <w:rsid w:val="00481FEF"/>
    <w:rsid w:val="004847EA"/>
    <w:rsid w:val="00487990"/>
    <w:rsid w:val="00487F70"/>
    <w:rsid w:val="004923A6"/>
    <w:rsid w:val="00492BAD"/>
    <w:rsid w:val="00494237"/>
    <w:rsid w:val="00494F69"/>
    <w:rsid w:val="004A1965"/>
    <w:rsid w:val="004A7375"/>
    <w:rsid w:val="004A7A69"/>
    <w:rsid w:val="004B04ED"/>
    <w:rsid w:val="004B1025"/>
    <w:rsid w:val="004B423D"/>
    <w:rsid w:val="004C0134"/>
    <w:rsid w:val="004C2B0D"/>
    <w:rsid w:val="004C5BE4"/>
    <w:rsid w:val="004C7158"/>
    <w:rsid w:val="004D107D"/>
    <w:rsid w:val="004D2908"/>
    <w:rsid w:val="004D333B"/>
    <w:rsid w:val="004E118A"/>
    <w:rsid w:val="004E4EBA"/>
    <w:rsid w:val="004F3C49"/>
    <w:rsid w:val="004F4077"/>
    <w:rsid w:val="005008DE"/>
    <w:rsid w:val="005020A3"/>
    <w:rsid w:val="00502C35"/>
    <w:rsid w:val="005036B1"/>
    <w:rsid w:val="00503807"/>
    <w:rsid w:val="0050503A"/>
    <w:rsid w:val="00505E91"/>
    <w:rsid w:val="0051036A"/>
    <w:rsid w:val="00511871"/>
    <w:rsid w:val="0051317E"/>
    <w:rsid w:val="0051373E"/>
    <w:rsid w:val="005145C3"/>
    <w:rsid w:val="00514BD7"/>
    <w:rsid w:val="005167E9"/>
    <w:rsid w:val="00523C63"/>
    <w:rsid w:val="0052672C"/>
    <w:rsid w:val="005321E5"/>
    <w:rsid w:val="00533808"/>
    <w:rsid w:val="00544CD7"/>
    <w:rsid w:val="005454F8"/>
    <w:rsid w:val="00545B34"/>
    <w:rsid w:val="00545B4D"/>
    <w:rsid w:val="0054637A"/>
    <w:rsid w:val="005467D0"/>
    <w:rsid w:val="00547D98"/>
    <w:rsid w:val="00550A35"/>
    <w:rsid w:val="00551400"/>
    <w:rsid w:val="0055514A"/>
    <w:rsid w:val="00560A6A"/>
    <w:rsid w:val="00563133"/>
    <w:rsid w:val="0056474F"/>
    <w:rsid w:val="00566D8D"/>
    <w:rsid w:val="00570581"/>
    <w:rsid w:val="00571A0F"/>
    <w:rsid w:val="0057646E"/>
    <w:rsid w:val="005764B5"/>
    <w:rsid w:val="005765EB"/>
    <w:rsid w:val="00577ED8"/>
    <w:rsid w:val="00580077"/>
    <w:rsid w:val="00580B9F"/>
    <w:rsid w:val="0058157D"/>
    <w:rsid w:val="00590D47"/>
    <w:rsid w:val="00592003"/>
    <w:rsid w:val="005921E9"/>
    <w:rsid w:val="005928CD"/>
    <w:rsid w:val="00592BD1"/>
    <w:rsid w:val="005942ED"/>
    <w:rsid w:val="005A12B0"/>
    <w:rsid w:val="005A1C73"/>
    <w:rsid w:val="005A221B"/>
    <w:rsid w:val="005A47E6"/>
    <w:rsid w:val="005A64FB"/>
    <w:rsid w:val="005A76F8"/>
    <w:rsid w:val="005C07A2"/>
    <w:rsid w:val="005C15FC"/>
    <w:rsid w:val="005C1E75"/>
    <w:rsid w:val="005C3FA6"/>
    <w:rsid w:val="005C48FA"/>
    <w:rsid w:val="005D0292"/>
    <w:rsid w:val="005D44A9"/>
    <w:rsid w:val="005D6870"/>
    <w:rsid w:val="005E2F6D"/>
    <w:rsid w:val="005E4589"/>
    <w:rsid w:val="005E4BC5"/>
    <w:rsid w:val="005E51B1"/>
    <w:rsid w:val="005F39EA"/>
    <w:rsid w:val="005F6DAD"/>
    <w:rsid w:val="005F7584"/>
    <w:rsid w:val="006050F1"/>
    <w:rsid w:val="006051EA"/>
    <w:rsid w:val="006053CD"/>
    <w:rsid w:val="00607C7B"/>
    <w:rsid w:val="006105FB"/>
    <w:rsid w:val="00610B21"/>
    <w:rsid w:val="006121C4"/>
    <w:rsid w:val="0061311D"/>
    <w:rsid w:val="00613C3A"/>
    <w:rsid w:val="00614210"/>
    <w:rsid w:val="00614871"/>
    <w:rsid w:val="006156B0"/>
    <w:rsid w:val="00616200"/>
    <w:rsid w:val="006162B5"/>
    <w:rsid w:val="006238A2"/>
    <w:rsid w:val="006245B6"/>
    <w:rsid w:val="006277E6"/>
    <w:rsid w:val="006318ED"/>
    <w:rsid w:val="00633AF8"/>
    <w:rsid w:val="00640DE1"/>
    <w:rsid w:val="00641F0A"/>
    <w:rsid w:val="0064206B"/>
    <w:rsid w:val="00643139"/>
    <w:rsid w:val="00647B7D"/>
    <w:rsid w:val="00650B07"/>
    <w:rsid w:val="00652416"/>
    <w:rsid w:val="0065340B"/>
    <w:rsid w:val="00653586"/>
    <w:rsid w:val="00660D45"/>
    <w:rsid w:val="006622A9"/>
    <w:rsid w:val="006632D5"/>
    <w:rsid w:val="00665D08"/>
    <w:rsid w:val="00670FCB"/>
    <w:rsid w:val="00674735"/>
    <w:rsid w:val="0067704C"/>
    <w:rsid w:val="006773D9"/>
    <w:rsid w:val="00677C6C"/>
    <w:rsid w:val="00680DB6"/>
    <w:rsid w:val="006828A2"/>
    <w:rsid w:val="00683DAE"/>
    <w:rsid w:val="00691256"/>
    <w:rsid w:val="00692EB9"/>
    <w:rsid w:val="006A2814"/>
    <w:rsid w:val="006A49C4"/>
    <w:rsid w:val="006A57DC"/>
    <w:rsid w:val="006A614E"/>
    <w:rsid w:val="006A6448"/>
    <w:rsid w:val="006A72B4"/>
    <w:rsid w:val="006A7312"/>
    <w:rsid w:val="006A75E6"/>
    <w:rsid w:val="006A799F"/>
    <w:rsid w:val="006B21DB"/>
    <w:rsid w:val="006B3660"/>
    <w:rsid w:val="006B4C62"/>
    <w:rsid w:val="006B76A9"/>
    <w:rsid w:val="006B7787"/>
    <w:rsid w:val="006B7B7E"/>
    <w:rsid w:val="006C18B0"/>
    <w:rsid w:val="006C5B68"/>
    <w:rsid w:val="006C5ED6"/>
    <w:rsid w:val="006C6B22"/>
    <w:rsid w:val="006C7A10"/>
    <w:rsid w:val="006D0CA9"/>
    <w:rsid w:val="006D30F0"/>
    <w:rsid w:val="006D43E1"/>
    <w:rsid w:val="006D5E9C"/>
    <w:rsid w:val="006D6379"/>
    <w:rsid w:val="006D6A32"/>
    <w:rsid w:val="006E2A6E"/>
    <w:rsid w:val="006E2AC4"/>
    <w:rsid w:val="006E2C1B"/>
    <w:rsid w:val="006E49A5"/>
    <w:rsid w:val="006E6619"/>
    <w:rsid w:val="006E7CA6"/>
    <w:rsid w:val="006F1A2F"/>
    <w:rsid w:val="006F38F7"/>
    <w:rsid w:val="006F4B4E"/>
    <w:rsid w:val="006F5D4F"/>
    <w:rsid w:val="00701E39"/>
    <w:rsid w:val="00702A2B"/>
    <w:rsid w:val="00702CCA"/>
    <w:rsid w:val="00714802"/>
    <w:rsid w:val="00715040"/>
    <w:rsid w:val="007171FF"/>
    <w:rsid w:val="00721EA1"/>
    <w:rsid w:val="007223E4"/>
    <w:rsid w:val="00725E08"/>
    <w:rsid w:val="00727F48"/>
    <w:rsid w:val="00732D7A"/>
    <w:rsid w:val="007346E9"/>
    <w:rsid w:val="007405FB"/>
    <w:rsid w:val="007411ED"/>
    <w:rsid w:val="0074192B"/>
    <w:rsid w:val="00744AA8"/>
    <w:rsid w:val="00744B77"/>
    <w:rsid w:val="00745F8E"/>
    <w:rsid w:val="007465C6"/>
    <w:rsid w:val="00746699"/>
    <w:rsid w:val="00746B2B"/>
    <w:rsid w:val="00746E8C"/>
    <w:rsid w:val="00746F52"/>
    <w:rsid w:val="007545FD"/>
    <w:rsid w:val="00760740"/>
    <w:rsid w:val="007608BE"/>
    <w:rsid w:val="00762D1C"/>
    <w:rsid w:val="00763A4C"/>
    <w:rsid w:val="00764389"/>
    <w:rsid w:val="0077569A"/>
    <w:rsid w:val="00780883"/>
    <w:rsid w:val="007834C5"/>
    <w:rsid w:val="0078663B"/>
    <w:rsid w:val="00787621"/>
    <w:rsid w:val="007926E2"/>
    <w:rsid w:val="00792F1E"/>
    <w:rsid w:val="00793A99"/>
    <w:rsid w:val="00793EA0"/>
    <w:rsid w:val="00796AFC"/>
    <w:rsid w:val="00797F6A"/>
    <w:rsid w:val="007A4ACE"/>
    <w:rsid w:val="007A6913"/>
    <w:rsid w:val="007B773F"/>
    <w:rsid w:val="007B7EAA"/>
    <w:rsid w:val="007C1C31"/>
    <w:rsid w:val="007C1EAC"/>
    <w:rsid w:val="007C3FF4"/>
    <w:rsid w:val="007C4D03"/>
    <w:rsid w:val="007C64A2"/>
    <w:rsid w:val="007D160E"/>
    <w:rsid w:val="007D28BA"/>
    <w:rsid w:val="007D54AE"/>
    <w:rsid w:val="007D56F6"/>
    <w:rsid w:val="007E05E6"/>
    <w:rsid w:val="007E0E91"/>
    <w:rsid w:val="007E1D4C"/>
    <w:rsid w:val="007E42D9"/>
    <w:rsid w:val="007F3B7A"/>
    <w:rsid w:val="007F6BED"/>
    <w:rsid w:val="008010AB"/>
    <w:rsid w:val="00805CC8"/>
    <w:rsid w:val="00806432"/>
    <w:rsid w:val="0080674E"/>
    <w:rsid w:val="00806CE4"/>
    <w:rsid w:val="00812FFE"/>
    <w:rsid w:val="00813074"/>
    <w:rsid w:val="008132D8"/>
    <w:rsid w:val="008209AB"/>
    <w:rsid w:val="00820C01"/>
    <w:rsid w:val="00822CDB"/>
    <w:rsid w:val="00824C3A"/>
    <w:rsid w:val="008256C0"/>
    <w:rsid w:val="00826366"/>
    <w:rsid w:val="00826E3C"/>
    <w:rsid w:val="00832FC2"/>
    <w:rsid w:val="00834FC0"/>
    <w:rsid w:val="00835041"/>
    <w:rsid w:val="008358BF"/>
    <w:rsid w:val="00836DC3"/>
    <w:rsid w:val="00840276"/>
    <w:rsid w:val="00840927"/>
    <w:rsid w:val="008440A3"/>
    <w:rsid w:val="008452D1"/>
    <w:rsid w:val="00851730"/>
    <w:rsid w:val="00852995"/>
    <w:rsid w:val="00854FE1"/>
    <w:rsid w:val="00855356"/>
    <w:rsid w:val="00860428"/>
    <w:rsid w:val="008611A9"/>
    <w:rsid w:val="008651A1"/>
    <w:rsid w:val="00877B0C"/>
    <w:rsid w:val="00880CB8"/>
    <w:rsid w:val="00881506"/>
    <w:rsid w:val="0088374F"/>
    <w:rsid w:val="00883E2E"/>
    <w:rsid w:val="00885608"/>
    <w:rsid w:val="0088752D"/>
    <w:rsid w:val="00892406"/>
    <w:rsid w:val="00893614"/>
    <w:rsid w:val="00894560"/>
    <w:rsid w:val="008955ED"/>
    <w:rsid w:val="008A0657"/>
    <w:rsid w:val="008A0755"/>
    <w:rsid w:val="008A19CF"/>
    <w:rsid w:val="008A306C"/>
    <w:rsid w:val="008A347A"/>
    <w:rsid w:val="008A3F34"/>
    <w:rsid w:val="008B0622"/>
    <w:rsid w:val="008B2FD8"/>
    <w:rsid w:val="008B652F"/>
    <w:rsid w:val="008B668C"/>
    <w:rsid w:val="008B6CC4"/>
    <w:rsid w:val="008C2951"/>
    <w:rsid w:val="008C2967"/>
    <w:rsid w:val="008C4A0D"/>
    <w:rsid w:val="008C4C14"/>
    <w:rsid w:val="008C7671"/>
    <w:rsid w:val="008D07F1"/>
    <w:rsid w:val="008D3630"/>
    <w:rsid w:val="008D6A1F"/>
    <w:rsid w:val="008E0F9C"/>
    <w:rsid w:val="008E257B"/>
    <w:rsid w:val="008E3BC5"/>
    <w:rsid w:val="008E6A2E"/>
    <w:rsid w:val="008F210D"/>
    <w:rsid w:val="008F2892"/>
    <w:rsid w:val="008F419E"/>
    <w:rsid w:val="008F54F3"/>
    <w:rsid w:val="008F65CD"/>
    <w:rsid w:val="008F722C"/>
    <w:rsid w:val="00902297"/>
    <w:rsid w:val="00903AE0"/>
    <w:rsid w:val="009043AE"/>
    <w:rsid w:val="009050B8"/>
    <w:rsid w:val="00911ACB"/>
    <w:rsid w:val="00913A53"/>
    <w:rsid w:val="00913B75"/>
    <w:rsid w:val="00916887"/>
    <w:rsid w:val="00921314"/>
    <w:rsid w:val="00922084"/>
    <w:rsid w:val="009257E7"/>
    <w:rsid w:val="00926961"/>
    <w:rsid w:val="00931C4D"/>
    <w:rsid w:val="00932133"/>
    <w:rsid w:val="009326CF"/>
    <w:rsid w:val="00940960"/>
    <w:rsid w:val="00952F5E"/>
    <w:rsid w:val="00954C32"/>
    <w:rsid w:val="00956C34"/>
    <w:rsid w:val="00957DF2"/>
    <w:rsid w:val="00962FED"/>
    <w:rsid w:val="009631A4"/>
    <w:rsid w:val="00963D16"/>
    <w:rsid w:val="00963E16"/>
    <w:rsid w:val="009658EB"/>
    <w:rsid w:val="00965BD0"/>
    <w:rsid w:val="00972364"/>
    <w:rsid w:val="00972C1B"/>
    <w:rsid w:val="00972E1C"/>
    <w:rsid w:val="00973D09"/>
    <w:rsid w:val="009759D5"/>
    <w:rsid w:val="00977A6C"/>
    <w:rsid w:val="009802E2"/>
    <w:rsid w:val="00980AFE"/>
    <w:rsid w:val="00981FB3"/>
    <w:rsid w:val="0098294A"/>
    <w:rsid w:val="00982FE6"/>
    <w:rsid w:val="0098629E"/>
    <w:rsid w:val="00990BD2"/>
    <w:rsid w:val="00995B66"/>
    <w:rsid w:val="009A1955"/>
    <w:rsid w:val="009A2011"/>
    <w:rsid w:val="009A3599"/>
    <w:rsid w:val="009A3969"/>
    <w:rsid w:val="009A4007"/>
    <w:rsid w:val="009A713A"/>
    <w:rsid w:val="009B4F17"/>
    <w:rsid w:val="009B6978"/>
    <w:rsid w:val="009B6C13"/>
    <w:rsid w:val="009C2ED7"/>
    <w:rsid w:val="009C500C"/>
    <w:rsid w:val="009D05E7"/>
    <w:rsid w:val="009D05FA"/>
    <w:rsid w:val="009D0F66"/>
    <w:rsid w:val="009D1282"/>
    <w:rsid w:val="009D1DD9"/>
    <w:rsid w:val="009D29B8"/>
    <w:rsid w:val="009D44B7"/>
    <w:rsid w:val="009D57AC"/>
    <w:rsid w:val="009E2D85"/>
    <w:rsid w:val="009E3444"/>
    <w:rsid w:val="009E6B58"/>
    <w:rsid w:val="009F0581"/>
    <w:rsid w:val="009F07F8"/>
    <w:rsid w:val="009F0FD8"/>
    <w:rsid w:val="009F1EB4"/>
    <w:rsid w:val="009F4670"/>
    <w:rsid w:val="009F61B8"/>
    <w:rsid w:val="009F7284"/>
    <w:rsid w:val="009F7A94"/>
    <w:rsid w:val="00A006F4"/>
    <w:rsid w:val="00A01526"/>
    <w:rsid w:val="00A03DCE"/>
    <w:rsid w:val="00A1397F"/>
    <w:rsid w:val="00A162DF"/>
    <w:rsid w:val="00A163E0"/>
    <w:rsid w:val="00A17628"/>
    <w:rsid w:val="00A204E5"/>
    <w:rsid w:val="00A228E3"/>
    <w:rsid w:val="00A23A6A"/>
    <w:rsid w:val="00A25393"/>
    <w:rsid w:val="00A25588"/>
    <w:rsid w:val="00A269BE"/>
    <w:rsid w:val="00A3184B"/>
    <w:rsid w:val="00A347D9"/>
    <w:rsid w:val="00A356E4"/>
    <w:rsid w:val="00A364B0"/>
    <w:rsid w:val="00A407BC"/>
    <w:rsid w:val="00A43E31"/>
    <w:rsid w:val="00A44171"/>
    <w:rsid w:val="00A44525"/>
    <w:rsid w:val="00A44749"/>
    <w:rsid w:val="00A470EB"/>
    <w:rsid w:val="00A47489"/>
    <w:rsid w:val="00A53203"/>
    <w:rsid w:val="00A6018F"/>
    <w:rsid w:val="00A63827"/>
    <w:rsid w:val="00A644AC"/>
    <w:rsid w:val="00A653D3"/>
    <w:rsid w:val="00A65BD9"/>
    <w:rsid w:val="00A7096E"/>
    <w:rsid w:val="00A71C98"/>
    <w:rsid w:val="00A7212C"/>
    <w:rsid w:val="00A72F0F"/>
    <w:rsid w:val="00A7329F"/>
    <w:rsid w:val="00A75C7B"/>
    <w:rsid w:val="00A76E8F"/>
    <w:rsid w:val="00A772A7"/>
    <w:rsid w:val="00A77607"/>
    <w:rsid w:val="00A81B0A"/>
    <w:rsid w:val="00A82372"/>
    <w:rsid w:val="00A840B4"/>
    <w:rsid w:val="00A84E9F"/>
    <w:rsid w:val="00A86825"/>
    <w:rsid w:val="00A902CB"/>
    <w:rsid w:val="00A9076C"/>
    <w:rsid w:val="00A950B1"/>
    <w:rsid w:val="00A95233"/>
    <w:rsid w:val="00A9775E"/>
    <w:rsid w:val="00AA224C"/>
    <w:rsid w:val="00AA28CD"/>
    <w:rsid w:val="00AA69FC"/>
    <w:rsid w:val="00AB4814"/>
    <w:rsid w:val="00AB4CBC"/>
    <w:rsid w:val="00AB6267"/>
    <w:rsid w:val="00AC041D"/>
    <w:rsid w:val="00AC3EB8"/>
    <w:rsid w:val="00AC4DA0"/>
    <w:rsid w:val="00AD0E60"/>
    <w:rsid w:val="00AD196D"/>
    <w:rsid w:val="00AD1F4E"/>
    <w:rsid w:val="00AD257E"/>
    <w:rsid w:val="00AD30DB"/>
    <w:rsid w:val="00AD4389"/>
    <w:rsid w:val="00AE13F9"/>
    <w:rsid w:val="00AE4FBC"/>
    <w:rsid w:val="00AE5CCF"/>
    <w:rsid w:val="00AF0809"/>
    <w:rsid w:val="00AF0BB1"/>
    <w:rsid w:val="00AF3CA1"/>
    <w:rsid w:val="00AF4CD1"/>
    <w:rsid w:val="00AF4F10"/>
    <w:rsid w:val="00AF63D7"/>
    <w:rsid w:val="00AF6A0A"/>
    <w:rsid w:val="00AF6F02"/>
    <w:rsid w:val="00B00826"/>
    <w:rsid w:val="00B02808"/>
    <w:rsid w:val="00B04397"/>
    <w:rsid w:val="00B07FCF"/>
    <w:rsid w:val="00B1123E"/>
    <w:rsid w:val="00B1134C"/>
    <w:rsid w:val="00B13835"/>
    <w:rsid w:val="00B155EB"/>
    <w:rsid w:val="00B16085"/>
    <w:rsid w:val="00B20F32"/>
    <w:rsid w:val="00B21DA8"/>
    <w:rsid w:val="00B223A8"/>
    <w:rsid w:val="00B224FD"/>
    <w:rsid w:val="00B22C60"/>
    <w:rsid w:val="00B247D6"/>
    <w:rsid w:val="00B24820"/>
    <w:rsid w:val="00B27CCA"/>
    <w:rsid w:val="00B305F0"/>
    <w:rsid w:val="00B31CDC"/>
    <w:rsid w:val="00B31D87"/>
    <w:rsid w:val="00B36B6E"/>
    <w:rsid w:val="00B36FE6"/>
    <w:rsid w:val="00B40C81"/>
    <w:rsid w:val="00B42A17"/>
    <w:rsid w:val="00B44278"/>
    <w:rsid w:val="00B44B27"/>
    <w:rsid w:val="00B469B0"/>
    <w:rsid w:val="00B47A2D"/>
    <w:rsid w:val="00B50AFF"/>
    <w:rsid w:val="00B51B63"/>
    <w:rsid w:val="00B52BE5"/>
    <w:rsid w:val="00B53CD6"/>
    <w:rsid w:val="00B55177"/>
    <w:rsid w:val="00B555AF"/>
    <w:rsid w:val="00B56C84"/>
    <w:rsid w:val="00B56E3D"/>
    <w:rsid w:val="00B56F0B"/>
    <w:rsid w:val="00B57816"/>
    <w:rsid w:val="00B603A3"/>
    <w:rsid w:val="00B63406"/>
    <w:rsid w:val="00B6587A"/>
    <w:rsid w:val="00B66A10"/>
    <w:rsid w:val="00B70604"/>
    <w:rsid w:val="00B709BC"/>
    <w:rsid w:val="00B70F65"/>
    <w:rsid w:val="00B71D7C"/>
    <w:rsid w:val="00B72515"/>
    <w:rsid w:val="00B74A87"/>
    <w:rsid w:val="00B75920"/>
    <w:rsid w:val="00B7629E"/>
    <w:rsid w:val="00B76874"/>
    <w:rsid w:val="00B80115"/>
    <w:rsid w:val="00B84210"/>
    <w:rsid w:val="00B8565C"/>
    <w:rsid w:val="00B9131A"/>
    <w:rsid w:val="00B94BD4"/>
    <w:rsid w:val="00B94C58"/>
    <w:rsid w:val="00B953B8"/>
    <w:rsid w:val="00B9564E"/>
    <w:rsid w:val="00B96379"/>
    <w:rsid w:val="00B96492"/>
    <w:rsid w:val="00B96C57"/>
    <w:rsid w:val="00BA4650"/>
    <w:rsid w:val="00BA4AF9"/>
    <w:rsid w:val="00BB2903"/>
    <w:rsid w:val="00BB3DED"/>
    <w:rsid w:val="00BB4113"/>
    <w:rsid w:val="00BB559F"/>
    <w:rsid w:val="00BB5706"/>
    <w:rsid w:val="00BB5797"/>
    <w:rsid w:val="00BB5C67"/>
    <w:rsid w:val="00BB7A11"/>
    <w:rsid w:val="00BC2CDC"/>
    <w:rsid w:val="00BD1444"/>
    <w:rsid w:val="00BD1E9E"/>
    <w:rsid w:val="00BD2011"/>
    <w:rsid w:val="00BD35E3"/>
    <w:rsid w:val="00BD4EFA"/>
    <w:rsid w:val="00BD60DB"/>
    <w:rsid w:val="00BD7762"/>
    <w:rsid w:val="00BE0BAC"/>
    <w:rsid w:val="00BE0DDE"/>
    <w:rsid w:val="00BE3C75"/>
    <w:rsid w:val="00BE430E"/>
    <w:rsid w:val="00BE56E5"/>
    <w:rsid w:val="00BF054E"/>
    <w:rsid w:val="00BF0F76"/>
    <w:rsid w:val="00BF2870"/>
    <w:rsid w:val="00BF353E"/>
    <w:rsid w:val="00BF385B"/>
    <w:rsid w:val="00BF4141"/>
    <w:rsid w:val="00BF54BB"/>
    <w:rsid w:val="00BF6D3A"/>
    <w:rsid w:val="00BF744A"/>
    <w:rsid w:val="00C03370"/>
    <w:rsid w:val="00C0351D"/>
    <w:rsid w:val="00C0724E"/>
    <w:rsid w:val="00C108B3"/>
    <w:rsid w:val="00C15BFB"/>
    <w:rsid w:val="00C1764C"/>
    <w:rsid w:val="00C21352"/>
    <w:rsid w:val="00C21CB3"/>
    <w:rsid w:val="00C243C9"/>
    <w:rsid w:val="00C246B9"/>
    <w:rsid w:val="00C24E79"/>
    <w:rsid w:val="00C24FC2"/>
    <w:rsid w:val="00C255F7"/>
    <w:rsid w:val="00C264B9"/>
    <w:rsid w:val="00C266B7"/>
    <w:rsid w:val="00C2731D"/>
    <w:rsid w:val="00C323EF"/>
    <w:rsid w:val="00C325D5"/>
    <w:rsid w:val="00C330CD"/>
    <w:rsid w:val="00C339CD"/>
    <w:rsid w:val="00C35B84"/>
    <w:rsid w:val="00C37C27"/>
    <w:rsid w:val="00C42F53"/>
    <w:rsid w:val="00C435F4"/>
    <w:rsid w:val="00C436F4"/>
    <w:rsid w:val="00C43E01"/>
    <w:rsid w:val="00C45BC8"/>
    <w:rsid w:val="00C46F9E"/>
    <w:rsid w:val="00C47A40"/>
    <w:rsid w:val="00C514F5"/>
    <w:rsid w:val="00C5241D"/>
    <w:rsid w:val="00C55E8A"/>
    <w:rsid w:val="00C569B3"/>
    <w:rsid w:val="00C56A29"/>
    <w:rsid w:val="00C56B40"/>
    <w:rsid w:val="00C5760C"/>
    <w:rsid w:val="00C61E14"/>
    <w:rsid w:val="00C629EC"/>
    <w:rsid w:val="00C66A03"/>
    <w:rsid w:val="00C736E7"/>
    <w:rsid w:val="00C7439E"/>
    <w:rsid w:val="00C8195E"/>
    <w:rsid w:val="00C84E40"/>
    <w:rsid w:val="00C86387"/>
    <w:rsid w:val="00C87FA7"/>
    <w:rsid w:val="00C90A7E"/>
    <w:rsid w:val="00C941D3"/>
    <w:rsid w:val="00C950E8"/>
    <w:rsid w:val="00C970B8"/>
    <w:rsid w:val="00CA05D5"/>
    <w:rsid w:val="00CA1A41"/>
    <w:rsid w:val="00CA1FE4"/>
    <w:rsid w:val="00CA40E3"/>
    <w:rsid w:val="00CA5620"/>
    <w:rsid w:val="00CA6B95"/>
    <w:rsid w:val="00CB3397"/>
    <w:rsid w:val="00CB3BA7"/>
    <w:rsid w:val="00CB4B32"/>
    <w:rsid w:val="00CB65EA"/>
    <w:rsid w:val="00CC02C2"/>
    <w:rsid w:val="00CC0BED"/>
    <w:rsid w:val="00CC23C3"/>
    <w:rsid w:val="00CC38B5"/>
    <w:rsid w:val="00CC3A00"/>
    <w:rsid w:val="00CC4C5D"/>
    <w:rsid w:val="00CC721B"/>
    <w:rsid w:val="00CD3655"/>
    <w:rsid w:val="00CD4944"/>
    <w:rsid w:val="00CE0B83"/>
    <w:rsid w:val="00CE18F7"/>
    <w:rsid w:val="00CE3939"/>
    <w:rsid w:val="00CE504D"/>
    <w:rsid w:val="00CF03A7"/>
    <w:rsid w:val="00CF16DE"/>
    <w:rsid w:val="00CF3E9A"/>
    <w:rsid w:val="00CF5283"/>
    <w:rsid w:val="00CF5BE5"/>
    <w:rsid w:val="00D00467"/>
    <w:rsid w:val="00D02689"/>
    <w:rsid w:val="00D02A32"/>
    <w:rsid w:val="00D066CB"/>
    <w:rsid w:val="00D108D5"/>
    <w:rsid w:val="00D13327"/>
    <w:rsid w:val="00D153BD"/>
    <w:rsid w:val="00D177E5"/>
    <w:rsid w:val="00D17AA3"/>
    <w:rsid w:val="00D212E6"/>
    <w:rsid w:val="00D227AE"/>
    <w:rsid w:val="00D23B8E"/>
    <w:rsid w:val="00D258A1"/>
    <w:rsid w:val="00D30D56"/>
    <w:rsid w:val="00D31419"/>
    <w:rsid w:val="00D36EF5"/>
    <w:rsid w:val="00D400DF"/>
    <w:rsid w:val="00D41055"/>
    <w:rsid w:val="00D41CE9"/>
    <w:rsid w:val="00D43A51"/>
    <w:rsid w:val="00D43DA9"/>
    <w:rsid w:val="00D45164"/>
    <w:rsid w:val="00D45959"/>
    <w:rsid w:val="00D45D8A"/>
    <w:rsid w:val="00D46676"/>
    <w:rsid w:val="00D46B32"/>
    <w:rsid w:val="00D475E3"/>
    <w:rsid w:val="00D536B9"/>
    <w:rsid w:val="00D54683"/>
    <w:rsid w:val="00D5613C"/>
    <w:rsid w:val="00D602CF"/>
    <w:rsid w:val="00D64624"/>
    <w:rsid w:val="00D6482F"/>
    <w:rsid w:val="00D718EA"/>
    <w:rsid w:val="00D7214B"/>
    <w:rsid w:val="00D748FD"/>
    <w:rsid w:val="00D74BBC"/>
    <w:rsid w:val="00D7620F"/>
    <w:rsid w:val="00D7762C"/>
    <w:rsid w:val="00D77D97"/>
    <w:rsid w:val="00D81499"/>
    <w:rsid w:val="00D81A2E"/>
    <w:rsid w:val="00D856E8"/>
    <w:rsid w:val="00D85C55"/>
    <w:rsid w:val="00D85F29"/>
    <w:rsid w:val="00D864B6"/>
    <w:rsid w:val="00D867F1"/>
    <w:rsid w:val="00D86EA8"/>
    <w:rsid w:val="00D87375"/>
    <w:rsid w:val="00D877D1"/>
    <w:rsid w:val="00D90020"/>
    <w:rsid w:val="00D90021"/>
    <w:rsid w:val="00D94B17"/>
    <w:rsid w:val="00D951D3"/>
    <w:rsid w:val="00D96BB0"/>
    <w:rsid w:val="00DA0D7D"/>
    <w:rsid w:val="00DA2481"/>
    <w:rsid w:val="00DA5997"/>
    <w:rsid w:val="00DB03F4"/>
    <w:rsid w:val="00DB304A"/>
    <w:rsid w:val="00DC17C2"/>
    <w:rsid w:val="00DC181E"/>
    <w:rsid w:val="00DC2180"/>
    <w:rsid w:val="00DC51FA"/>
    <w:rsid w:val="00DC6F8D"/>
    <w:rsid w:val="00DD0DAE"/>
    <w:rsid w:val="00DD2DA7"/>
    <w:rsid w:val="00DD3060"/>
    <w:rsid w:val="00DD6005"/>
    <w:rsid w:val="00DD6111"/>
    <w:rsid w:val="00DD7F84"/>
    <w:rsid w:val="00DE0E93"/>
    <w:rsid w:val="00DE1153"/>
    <w:rsid w:val="00DE14D0"/>
    <w:rsid w:val="00DE164A"/>
    <w:rsid w:val="00DE37F9"/>
    <w:rsid w:val="00DF0D3A"/>
    <w:rsid w:val="00DF238F"/>
    <w:rsid w:val="00DF2D58"/>
    <w:rsid w:val="00DF58FE"/>
    <w:rsid w:val="00E04363"/>
    <w:rsid w:val="00E04A10"/>
    <w:rsid w:val="00E1040E"/>
    <w:rsid w:val="00E20A08"/>
    <w:rsid w:val="00E249AE"/>
    <w:rsid w:val="00E2781B"/>
    <w:rsid w:val="00E30C47"/>
    <w:rsid w:val="00E3134F"/>
    <w:rsid w:val="00E32FD7"/>
    <w:rsid w:val="00E34652"/>
    <w:rsid w:val="00E34687"/>
    <w:rsid w:val="00E3570B"/>
    <w:rsid w:val="00E35ED6"/>
    <w:rsid w:val="00E3681B"/>
    <w:rsid w:val="00E37EB1"/>
    <w:rsid w:val="00E41050"/>
    <w:rsid w:val="00E4235A"/>
    <w:rsid w:val="00E46F74"/>
    <w:rsid w:val="00E51F68"/>
    <w:rsid w:val="00E52FEC"/>
    <w:rsid w:val="00E55D9E"/>
    <w:rsid w:val="00E579DC"/>
    <w:rsid w:val="00E57CC9"/>
    <w:rsid w:val="00E61073"/>
    <w:rsid w:val="00E6366D"/>
    <w:rsid w:val="00E641E1"/>
    <w:rsid w:val="00E65947"/>
    <w:rsid w:val="00E67465"/>
    <w:rsid w:val="00E7215C"/>
    <w:rsid w:val="00E744FF"/>
    <w:rsid w:val="00E7480C"/>
    <w:rsid w:val="00E74BF6"/>
    <w:rsid w:val="00E74F6B"/>
    <w:rsid w:val="00E7503A"/>
    <w:rsid w:val="00E7511E"/>
    <w:rsid w:val="00E75D0B"/>
    <w:rsid w:val="00E765EB"/>
    <w:rsid w:val="00E7680B"/>
    <w:rsid w:val="00E76AD4"/>
    <w:rsid w:val="00E771F2"/>
    <w:rsid w:val="00E77A7C"/>
    <w:rsid w:val="00E77B66"/>
    <w:rsid w:val="00E80D3E"/>
    <w:rsid w:val="00E908FC"/>
    <w:rsid w:val="00E92CF6"/>
    <w:rsid w:val="00E93100"/>
    <w:rsid w:val="00E931A0"/>
    <w:rsid w:val="00EA0069"/>
    <w:rsid w:val="00EA06D5"/>
    <w:rsid w:val="00EA08B8"/>
    <w:rsid w:val="00EA19AC"/>
    <w:rsid w:val="00EA2B8D"/>
    <w:rsid w:val="00EA477E"/>
    <w:rsid w:val="00EA4871"/>
    <w:rsid w:val="00EB07CD"/>
    <w:rsid w:val="00EB14CF"/>
    <w:rsid w:val="00EB1772"/>
    <w:rsid w:val="00EB415A"/>
    <w:rsid w:val="00EB500F"/>
    <w:rsid w:val="00EB5B5E"/>
    <w:rsid w:val="00EB5C40"/>
    <w:rsid w:val="00EC11F0"/>
    <w:rsid w:val="00EC28E3"/>
    <w:rsid w:val="00EC28F4"/>
    <w:rsid w:val="00EC3E88"/>
    <w:rsid w:val="00EC4B43"/>
    <w:rsid w:val="00EC4F3B"/>
    <w:rsid w:val="00ED1AE0"/>
    <w:rsid w:val="00ED1E4B"/>
    <w:rsid w:val="00ED6D92"/>
    <w:rsid w:val="00ED7572"/>
    <w:rsid w:val="00EE1AF5"/>
    <w:rsid w:val="00EE7CF0"/>
    <w:rsid w:val="00EF3B6C"/>
    <w:rsid w:val="00EF3BE0"/>
    <w:rsid w:val="00F0169C"/>
    <w:rsid w:val="00F04C07"/>
    <w:rsid w:val="00F05593"/>
    <w:rsid w:val="00F15161"/>
    <w:rsid w:val="00F152D4"/>
    <w:rsid w:val="00F16315"/>
    <w:rsid w:val="00F17C81"/>
    <w:rsid w:val="00F20FC6"/>
    <w:rsid w:val="00F21698"/>
    <w:rsid w:val="00F21D61"/>
    <w:rsid w:val="00F2399D"/>
    <w:rsid w:val="00F239DF"/>
    <w:rsid w:val="00F32F60"/>
    <w:rsid w:val="00F33830"/>
    <w:rsid w:val="00F3396B"/>
    <w:rsid w:val="00F35E00"/>
    <w:rsid w:val="00F36CB1"/>
    <w:rsid w:val="00F371B5"/>
    <w:rsid w:val="00F37A02"/>
    <w:rsid w:val="00F404D0"/>
    <w:rsid w:val="00F416C5"/>
    <w:rsid w:val="00F42383"/>
    <w:rsid w:val="00F441FF"/>
    <w:rsid w:val="00F44802"/>
    <w:rsid w:val="00F45249"/>
    <w:rsid w:val="00F45A33"/>
    <w:rsid w:val="00F45E55"/>
    <w:rsid w:val="00F45E93"/>
    <w:rsid w:val="00F478B1"/>
    <w:rsid w:val="00F50018"/>
    <w:rsid w:val="00F51F6C"/>
    <w:rsid w:val="00F54A5E"/>
    <w:rsid w:val="00F566DC"/>
    <w:rsid w:val="00F60711"/>
    <w:rsid w:val="00F66EEA"/>
    <w:rsid w:val="00F67FC3"/>
    <w:rsid w:val="00F71612"/>
    <w:rsid w:val="00F72D8B"/>
    <w:rsid w:val="00F72D9F"/>
    <w:rsid w:val="00F72F5F"/>
    <w:rsid w:val="00F741A6"/>
    <w:rsid w:val="00F7553F"/>
    <w:rsid w:val="00F7739D"/>
    <w:rsid w:val="00F814CD"/>
    <w:rsid w:val="00F8607E"/>
    <w:rsid w:val="00F86C4A"/>
    <w:rsid w:val="00F86F47"/>
    <w:rsid w:val="00F958D1"/>
    <w:rsid w:val="00FA6B6B"/>
    <w:rsid w:val="00FA748C"/>
    <w:rsid w:val="00FB061C"/>
    <w:rsid w:val="00FB0FE6"/>
    <w:rsid w:val="00FB2ED4"/>
    <w:rsid w:val="00FB336F"/>
    <w:rsid w:val="00FB4944"/>
    <w:rsid w:val="00FB57D4"/>
    <w:rsid w:val="00FB591B"/>
    <w:rsid w:val="00FB64D2"/>
    <w:rsid w:val="00FB6881"/>
    <w:rsid w:val="00FC1A65"/>
    <w:rsid w:val="00FC2796"/>
    <w:rsid w:val="00FC4B67"/>
    <w:rsid w:val="00FC53FB"/>
    <w:rsid w:val="00FC6CBF"/>
    <w:rsid w:val="00FC6FD3"/>
    <w:rsid w:val="00FC7EC4"/>
    <w:rsid w:val="00FC7FB7"/>
    <w:rsid w:val="00FD5B34"/>
    <w:rsid w:val="00FD5F03"/>
    <w:rsid w:val="00FD6446"/>
    <w:rsid w:val="00FD7627"/>
    <w:rsid w:val="00FE0689"/>
    <w:rsid w:val="00FE0ABE"/>
    <w:rsid w:val="00FE220D"/>
    <w:rsid w:val="00FE425C"/>
    <w:rsid w:val="00FF0152"/>
    <w:rsid w:val="00FF1389"/>
    <w:rsid w:val="00FF1952"/>
    <w:rsid w:val="00FF1BA9"/>
    <w:rsid w:val="00FF6DB3"/>
    <w:rsid w:val="00FF6EB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78527"/>
  <w15:docId w15:val="{BB1CD330-A991-4AB5-B772-B582379B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F"/>
        <w:sz w:val="22"/>
        <w:szCs w:val="22"/>
        <w:lang w:val="en-GB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6897"/>
    <w:pPr>
      <w:widowControl/>
      <w:autoSpaceDN/>
      <w:textAlignment w:val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link w:val="StandardChar"/>
    <w:pPr>
      <w:widowControl/>
      <w:suppressAutoHyphens/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Elenco">
    <w:name w:val="List"/>
    <w:basedOn w:val="Textbody"/>
    <w:rPr>
      <w:rFonts w:cs="Arial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</w:pPr>
    <w:rPr>
      <w:rFonts w:ascii="Acumin Pro" w:eastAsia="Acumin Pro" w:hAnsi="Acumin Pro" w:cs="Acumin Pro"/>
      <w:color w:val="000000"/>
      <w:sz w:val="24"/>
      <w:szCs w:val="24"/>
    </w:rPr>
  </w:style>
  <w:style w:type="paragraph" w:customStyle="1" w:styleId="HeaderandFooter">
    <w:name w:val="Header and Footer"/>
    <w:basedOn w:val="Standard"/>
  </w:style>
  <w:style w:type="paragraph" w:styleId="Intestazione">
    <w:name w:val="header"/>
    <w:basedOn w:val="Standard"/>
    <w:pPr>
      <w:tabs>
        <w:tab w:val="center" w:pos="4513"/>
        <w:tab w:val="right" w:pos="9026"/>
      </w:tabs>
      <w:spacing w:line="240" w:lineRule="auto"/>
    </w:pPr>
  </w:style>
  <w:style w:type="paragraph" w:styleId="Pidipagina">
    <w:name w:val="footer"/>
    <w:basedOn w:val="Standard"/>
    <w:pPr>
      <w:tabs>
        <w:tab w:val="center" w:pos="4513"/>
        <w:tab w:val="right" w:pos="9026"/>
      </w:tabs>
      <w:spacing w:line="240" w:lineRule="auto"/>
    </w:pPr>
  </w:style>
  <w:style w:type="paragraph" w:styleId="Testocomment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NormaleWeb">
    <w:name w:val="Normal (Web)"/>
    <w:basedOn w:val="Standard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e">
    <w:name w:val="Revision"/>
    <w:pPr>
      <w:widowControl/>
      <w:suppressAutoHyphens/>
    </w:pPr>
  </w:style>
  <w:style w:type="paragraph" w:customStyle="1" w:styleId="Framecontents">
    <w:name w:val="Frame contents"/>
    <w:basedOn w:val="Standard"/>
  </w:style>
  <w:style w:type="character" w:customStyle="1" w:styleId="HeaderChar">
    <w:name w:val="Header Char"/>
    <w:basedOn w:val="Carpredefinitoparagrafo"/>
  </w:style>
  <w:style w:type="character" w:customStyle="1" w:styleId="FooterChar">
    <w:name w:val="Footer Char"/>
    <w:basedOn w:val="Carpredefinitoparagrafo"/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CommentTextChar">
    <w:name w:val="Comment Text Char"/>
    <w:basedOn w:val="Carpredefinitoparagrafo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cf01">
    <w:name w:val="cf01"/>
    <w:basedOn w:val="Carpredefinitoparagrafo"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rPr>
      <w:rFonts w:eastAsia="Calibri" w:cs="Tahom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numbering" w:customStyle="1" w:styleId="NoList1">
    <w:name w:val="No List_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numbering" w:customStyle="1" w:styleId="WWNum5">
    <w:name w:val="WWNum5"/>
    <w:basedOn w:val="Nessunelenco"/>
    <w:pPr>
      <w:numPr>
        <w:numId w:val="6"/>
      </w:numPr>
    </w:pPr>
  </w:style>
  <w:style w:type="numbering" w:customStyle="1" w:styleId="WWNum6">
    <w:name w:val="WWNum6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character" w:styleId="Collegamentoipertestuale">
    <w:name w:val="Hyperlink"/>
    <w:basedOn w:val="Carpredefinitoparagrafo"/>
    <w:uiPriority w:val="99"/>
    <w:unhideWhenUsed/>
    <w:rsid w:val="00640DE1"/>
    <w:rPr>
      <w:color w:val="0000FF"/>
      <w:u w:val="single"/>
    </w:rPr>
  </w:style>
  <w:style w:type="character" w:customStyle="1" w:styleId="docsum-authors">
    <w:name w:val="docsum-authors"/>
    <w:basedOn w:val="Carpredefinitoparagrafo"/>
    <w:rsid w:val="00640DE1"/>
  </w:style>
  <w:style w:type="character" w:customStyle="1" w:styleId="docsum-journal-citation">
    <w:name w:val="docsum-journal-citation"/>
    <w:basedOn w:val="Carpredefinitoparagrafo"/>
    <w:rsid w:val="00640DE1"/>
  </w:style>
  <w:style w:type="paragraph" w:customStyle="1" w:styleId="EndNoteBibliographyTitle">
    <w:name w:val="EndNote Bibliography Title"/>
    <w:basedOn w:val="Normale"/>
    <w:link w:val="EndNoteBibliographyTitleChar"/>
    <w:rsid w:val="003B224E"/>
    <w:pPr>
      <w:jc w:val="center"/>
    </w:pPr>
    <w:rPr>
      <w:rFonts w:ascii="Tahoma" w:hAnsi="Tahoma" w:cs="Tahoma"/>
      <w:noProof/>
      <w:sz w:val="22"/>
    </w:rPr>
  </w:style>
  <w:style w:type="character" w:customStyle="1" w:styleId="StandardChar">
    <w:name w:val="Standard Char"/>
    <w:basedOn w:val="Carpredefinitoparagrafo"/>
    <w:link w:val="Standard"/>
    <w:rsid w:val="003B224E"/>
  </w:style>
  <w:style w:type="character" w:customStyle="1" w:styleId="EndNoteBibliographyTitleChar">
    <w:name w:val="EndNote Bibliography Title Char"/>
    <w:basedOn w:val="StandardChar"/>
    <w:link w:val="EndNoteBibliographyTitle"/>
    <w:rsid w:val="003B224E"/>
    <w:rPr>
      <w:rFonts w:eastAsia="Times New Roman" w:cs="Tahoma"/>
      <w:noProof/>
      <w:szCs w:val="24"/>
      <w:lang w:val="en-US"/>
    </w:rPr>
  </w:style>
  <w:style w:type="paragraph" w:customStyle="1" w:styleId="EndNoteBibliography">
    <w:name w:val="EndNote Bibliography"/>
    <w:basedOn w:val="Normale"/>
    <w:link w:val="EndNoteBibliographyChar"/>
    <w:rsid w:val="003B224E"/>
    <w:rPr>
      <w:rFonts w:ascii="Tahoma" w:hAnsi="Tahoma" w:cs="Tahoma"/>
      <w:noProof/>
      <w:sz w:val="22"/>
    </w:rPr>
  </w:style>
  <w:style w:type="character" w:customStyle="1" w:styleId="EndNoteBibliographyChar">
    <w:name w:val="EndNote Bibliography Char"/>
    <w:basedOn w:val="StandardChar"/>
    <w:link w:val="EndNoteBibliography"/>
    <w:rsid w:val="003B224E"/>
    <w:rPr>
      <w:rFonts w:eastAsia="Times New Roman" w:cs="Tahoma"/>
      <w:noProof/>
      <w:szCs w:val="24"/>
      <w:lang w:val="en-US"/>
    </w:rPr>
  </w:style>
  <w:style w:type="character" w:customStyle="1" w:styleId="UnresolvedMention">
    <w:name w:val="Unresolved Mention"/>
    <w:basedOn w:val="Carpredefinitoparagrafo"/>
    <w:uiPriority w:val="99"/>
    <w:unhideWhenUsed/>
    <w:rsid w:val="00D864B6"/>
    <w:rPr>
      <w:color w:val="605E5C"/>
      <w:shd w:val="clear" w:color="auto" w:fill="E1DFDD"/>
    </w:rPr>
  </w:style>
  <w:style w:type="character" w:customStyle="1" w:styleId="Mention">
    <w:name w:val="Mention"/>
    <w:basedOn w:val="Carpredefinitoparagrafo"/>
    <w:uiPriority w:val="99"/>
    <w:unhideWhenUsed/>
    <w:rsid w:val="009B6C13"/>
    <w:rPr>
      <w:color w:val="2B579A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C38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010A0-CB04-4506-ABD3-9EC8E9D2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1138</Words>
  <Characters>6493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Papia Das</dc:creator>
  <cp:lastModifiedBy>Administrator</cp:lastModifiedBy>
  <cp:revision>2</cp:revision>
  <dcterms:created xsi:type="dcterms:W3CDTF">2022-11-29T14:28:00Z</dcterms:created>
  <dcterms:modified xsi:type="dcterms:W3CDTF">2022-11-29T14:28:00Z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MSIP_Label_cd146789-9338-440e-9bc2-d4582d10ca66_Enabled">
    <vt:lpwstr>true</vt:lpwstr>
  </property>
  <property fmtid="{D5CDD505-2E9C-101B-9397-08002B2CF9AE}" pid="4" name="MSIP_Label_cd146789-9338-440e-9bc2-d4582d10ca66_SetDate">
    <vt:lpwstr>2022-11-16T09:11:27Z</vt:lpwstr>
  </property>
  <property fmtid="{D5CDD505-2E9C-101B-9397-08002B2CF9AE}" pid="5" name="MSIP_Label_cd146789-9338-440e-9bc2-d4582d10ca66_Method">
    <vt:lpwstr>Standard</vt:lpwstr>
  </property>
  <property fmtid="{D5CDD505-2E9C-101B-9397-08002B2CF9AE}" pid="6" name="MSIP_Label_cd146789-9338-440e-9bc2-d4582d10ca66_Name">
    <vt:lpwstr>Business Use</vt:lpwstr>
  </property>
  <property fmtid="{D5CDD505-2E9C-101B-9397-08002B2CF9AE}" pid="7" name="MSIP_Label_cd146789-9338-440e-9bc2-d4582d10ca66_SiteId">
    <vt:lpwstr>6836a9c5-69f0-4135-9e6b-43d1f616b550</vt:lpwstr>
  </property>
  <property fmtid="{D5CDD505-2E9C-101B-9397-08002B2CF9AE}" pid="8" name="MSIP_Label_cd146789-9338-440e-9bc2-d4582d10ca66_ActionId">
    <vt:lpwstr>abf57a55-e594-4c4b-a559-eebc6874c742</vt:lpwstr>
  </property>
  <property fmtid="{D5CDD505-2E9C-101B-9397-08002B2CF9AE}" pid="9" name="MSIP_Label_cd146789-9338-440e-9bc2-d4582d10ca66_ContentBits">
    <vt:lpwstr>2</vt:lpwstr>
  </property>
</Properties>
</file>