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94BE" w14:textId="77777777" w:rsidR="00E14F14" w:rsidRPr="00A93F7D" w:rsidRDefault="00E14F14" w:rsidP="00A93F7D">
      <w:pPr>
        <w:jc w:val="center"/>
        <w:rPr>
          <w:b/>
          <w:bCs/>
        </w:rPr>
      </w:pPr>
      <w:r w:rsidRPr="00A93F7D">
        <w:rPr>
          <w:b/>
          <w:bCs/>
        </w:rPr>
        <w:t>Characteristics of patients with spontaneous vs drug</w:t>
      </w:r>
      <w:r>
        <w:rPr>
          <w:b/>
          <w:bCs/>
        </w:rPr>
        <w:t>-</w:t>
      </w:r>
      <w:r w:rsidRPr="00A93F7D">
        <w:rPr>
          <w:b/>
          <w:bCs/>
        </w:rPr>
        <w:t xml:space="preserve">induced </w:t>
      </w:r>
      <w:proofErr w:type="spellStart"/>
      <w:r w:rsidRPr="00A93F7D">
        <w:rPr>
          <w:b/>
          <w:bCs/>
        </w:rPr>
        <w:t>Brugada</w:t>
      </w:r>
      <w:proofErr w:type="spellEnd"/>
      <w:r w:rsidRPr="00A93F7D">
        <w:rPr>
          <w:b/>
          <w:bCs/>
        </w:rPr>
        <w:t xml:space="preserve"> ECG.</w:t>
      </w:r>
    </w:p>
    <w:p w14:paraId="0C8E1E49" w14:textId="594B7885" w:rsidR="00E14F14" w:rsidRDefault="00E14F14" w:rsidP="00A93F7D">
      <w:pPr>
        <w:jc w:val="center"/>
        <w:rPr>
          <w:b/>
          <w:bCs/>
        </w:rPr>
      </w:pPr>
      <w:r w:rsidRPr="00A93F7D">
        <w:rPr>
          <w:b/>
          <w:bCs/>
        </w:rPr>
        <w:t>Sub-analysis from the SABRUS</w:t>
      </w:r>
    </w:p>
    <w:p w14:paraId="3F5B72AA" w14:textId="17852F77" w:rsidR="009F398D" w:rsidRDefault="009F398D" w:rsidP="00A93F7D">
      <w:pPr>
        <w:jc w:val="center"/>
        <w:rPr>
          <w:b/>
          <w:bCs/>
        </w:rPr>
      </w:pPr>
      <w:r>
        <w:rPr>
          <w:b/>
          <w:bCs/>
        </w:rPr>
        <w:t xml:space="preserve">Running Title: Spontaneous vs drug-induced </w:t>
      </w:r>
      <w:proofErr w:type="spellStart"/>
      <w:r>
        <w:rPr>
          <w:b/>
          <w:bCs/>
        </w:rPr>
        <w:t>Brugada</w:t>
      </w:r>
      <w:proofErr w:type="spellEnd"/>
      <w:r>
        <w:rPr>
          <w:b/>
          <w:bCs/>
        </w:rPr>
        <w:t xml:space="preserve"> patients</w:t>
      </w:r>
    </w:p>
    <w:p w14:paraId="432C8127" w14:textId="77777777" w:rsidR="00E14F14" w:rsidRPr="00DE3234" w:rsidRDefault="00E14F14" w:rsidP="00932327">
      <w:pPr>
        <w:jc w:val="center"/>
        <w:rPr>
          <w:vertAlign w:val="superscript"/>
        </w:rPr>
      </w:pPr>
      <w:bookmarkStart w:id="0" w:name="_Hlk103970258"/>
      <w:r w:rsidRPr="00DE3234">
        <w:t>Anat Milman MD PhD</w:t>
      </w:r>
      <w:r w:rsidRPr="00DE3234">
        <w:rPr>
          <w:vertAlign w:val="superscript"/>
        </w:rPr>
        <w:t>1</w:t>
      </w:r>
      <w:r>
        <w:rPr>
          <w:vertAlign w:val="superscript"/>
        </w:rPr>
        <w:t>,2</w:t>
      </w:r>
      <w:r w:rsidRPr="00DE3234">
        <w:t xml:space="preserve">, </w:t>
      </w:r>
      <w:proofErr w:type="spellStart"/>
      <w:r>
        <w:t>Avi</w:t>
      </w:r>
      <w:proofErr w:type="spellEnd"/>
      <w:r>
        <w:t xml:space="preserve"> </w:t>
      </w:r>
      <w:proofErr w:type="spellStart"/>
      <w:r>
        <w:t>Sabbag</w:t>
      </w:r>
      <w:proofErr w:type="spellEnd"/>
      <w:r>
        <w:t xml:space="preserve"> MD</w:t>
      </w:r>
      <w:r>
        <w:rPr>
          <w:vertAlign w:val="superscript"/>
        </w:rPr>
        <w:t>1,2</w:t>
      </w:r>
      <w:r>
        <w:t xml:space="preserve">, </w:t>
      </w:r>
      <w:r w:rsidRPr="00DE3234">
        <w:t>Giulio Conte MD PhD</w:t>
      </w:r>
      <w:r>
        <w:rPr>
          <w:vertAlign w:val="superscript"/>
        </w:rPr>
        <w:t>3</w:t>
      </w:r>
      <w:r w:rsidRPr="00DE3234">
        <w:t xml:space="preserve">, </w:t>
      </w:r>
      <w:r>
        <w:t xml:space="preserve"> </w:t>
      </w:r>
      <w:r w:rsidRPr="00DE3234">
        <w:t xml:space="preserve">Pieter G. </w:t>
      </w:r>
      <w:proofErr w:type="spellStart"/>
      <w:r w:rsidRPr="00DE3234">
        <w:t>Postema</w:t>
      </w:r>
      <w:proofErr w:type="spellEnd"/>
      <w:r w:rsidRPr="00DE3234">
        <w:t xml:space="preserve"> MD PhD</w:t>
      </w:r>
      <w:r>
        <w:rPr>
          <w:vertAlign w:val="superscript"/>
        </w:rPr>
        <w:t>4.5</w:t>
      </w:r>
      <w:r>
        <w:t>,</w:t>
      </w:r>
      <w:r>
        <w:rPr>
          <w:vertAlign w:val="superscript"/>
        </w:rPr>
        <w:t xml:space="preserve"> </w:t>
      </w:r>
      <w:r w:rsidRPr="00DE3234">
        <w:t xml:space="preserve">Antoine </w:t>
      </w:r>
      <w:proofErr w:type="spellStart"/>
      <w:r w:rsidRPr="00DE3234">
        <w:t>Andorin</w:t>
      </w:r>
      <w:proofErr w:type="spellEnd"/>
      <w:r w:rsidRPr="00DE3234">
        <w:t xml:space="preserve"> MD</w:t>
      </w:r>
      <w:r>
        <w:rPr>
          <w:vertAlign w:val="superscript"/>
        </w:rPr>
        <w:t>4,6</w:t>
      </w:r>
      <w:r w:rsidRPr="00DE3234">
        <w:t xml:space="preserve">, Jean-Baptiste </w:t>
      </w:r>
      <w:proofErr w:type="spellStart"/>
      <w:r w:rsidRPr="00DE3234">
        <w:t>Gourraud</w:t>
      </w:r>
      <w:proofErr w:type="spellEnd"/>
      <w:r w:rsidRPr="00DE3234">
        <w:t xml:space="preserve"> MD PhD</w:t>
      </w:r>
      <w:r>
        <w:rPr>
          <w:vertAlign w:val="superscript"/>
        </w:rPr>
        <w:t>4,6</w:t>
      </w:r>
      <w:r w:rsidRPr="00DE3234">
        <w:t>, Frederic Sacher MD</w:t>
      </w:r>
      <w:r>
        <w:rPr>
          <w:vertAlign w:val="superscript"/>
        </w:rPr>
        <w:t>7</w:t>
      </w:r>
      <w:r w:rsidRPr="00DE3234">
        <w:t>, Philippe Mabo MD</w:t>
      </w:r>
      <w:r>
        <w:rPr>
          <w:vertAlign w:val="superscript"/>
        </w:rPr>
        <w:t>8</w:t>
      </w:r>
      <w:r w:rsidRPr="00DE3234">
        <w:t>, Sung-Hwan Kim MD</w:t>
      </w:r>
      <w:r>
        <w:rPr>
          <w:vertAlign w:val="superscript"/>
        </w:rPr>
        <w:t>9</w:t>
      </w:r>
      <w:r w:rsidRPr="00DE3234">
        <w:t>, Shingo Maeda MD PhD</w:t>
      </w:r>
      <w:r>
        <w:rPr>
          <w:vertAlign w:val="superscript"/>
        </w:rPr>
        <w:t>10</w:t>
      </w:r>
      <w:r w:rsidRPr="00DE3234">
        <w:t>, Yoshihide Takahashi MD PhD</w:t>
      </w:r>
      <w:r>
        <w:rPr>
          <w:vertAlign w:val="superscript"/>
        </w:rPr>
        <w:t>10</w:t>
      </w:r>
      <w:r w:rsidRPr="00DE3234">
        <w:t>, Tsukasa Kamakura MD PhD</w:t>
      </w:r>
      <w:r>
        <w:rPr>
          <w:vertAlign w:val="superscript"/>
        </w:rPr>
        <w:t>11</w:t>
      </w:r>
      <w:r w:rsidRPr="00DE3234">
        <w:t xml:space="preserve">, Takeshi </w:t>
      </w:r>
      <w:proofErr w:type="spellStart"/>
      <w:r w:rsidRPr="00DE3234">
        <w:t>Aiba</w:t>
      </w:r>
      <w:proofErr w:type="spellEnd"/>
      <w:r w:rsidRPr="00DE3234">
        <w:t xml:space="preserve"> MD PhD</w:t>
      </w:r>
      <w:r>
        <w:rPr>
          <w:vertAlign w:val="superscript"/>
        </w:rPr>
        <w:t>11</w:t>
      </w:r>
      <w:r w:rsidRPr="00DE3234">
        <w:t xml:space="preserve">, Jimmy JM </w:t>
      </w:r>
      <w:proofErr w:type="spellStart"/>
      <w:r w:rsidRPr="00DE3234">
        <w:t>Juang</w:t>
      </w:r>
      <w:proofErr w:type="spellEnd"/>
      <w:r w:rsidRPr="00DE3234">
        <w:t xml:space="preserve"> MD PhD</w:t>
      </w:r>
      <w:r>
        <w:rPr>
          <w:vertAlign w:val="superscript"/>
        </w:rPr>
        <w:t>12</w:t>
      </w:r>
      <w:r w:rsidRPr="00DE3234">
        <w:t>,</w:t>
      </w:r>
      <w:r w:rsidRPr="00932327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932327">
        <w:t xml:space="preserve">Yoav </w:t>
      </w:r>
      <w:proofErr w:type="spellStart"/>
      <w:r w:rsidRPr="00932327">
        <w:t>Michowitz</w:t>
      </w:r>
      <w:proofErr w:type="spellEnd"/>
      <w:r w:rsidRPr="00932327">
        <w:t xml:space="preserve"> MD</w:t>
      </w:r>
      <w:r w:rsidRPr="00932327">
        <w:rPr>
          <w:vertAlign w:val="superscript"/>
        </w:rPr>
        <w:t>13</w:t>
      </w:r>
      <w:r>
        <w:t xml:space="preserve">, </w:t>
      </w:r>
      <w:r w:rsidRPr="00932327">
        <w:t>Eran</w:t>
      </w:r>
      <w:r w:rsidRPr="00DE3234">
        <w:t xml:space="preserve"> </w:t>
      </w:r>
      <w:proofErr w:type="spellStart"/>
      <w:r w:rsidRPr="00DE3234">
        <w:t>Leshem</w:t>
      </w:r>
      <w:proofErr w:type="spellEnd"/>
      <w:r w:rsidRPr="00DE3234">
        <w:t xml:space="preserve"> MD</w:t>
      </w:r>
      <w:r w:rsidRPr="00DE3234">
        <w:rPr>
          <w:vertAlign w:val="superscript"/>
        </w:rPr>
        <w:t>1,</w:t>
      </w:r>
      <w:r>
        <w:rPr>
          <w:vertAlign w:val="superscript"/>
        </w:rPr>
        <w:t>2</w:t>
      </w:r>
      <w:r w:rsidRPr="00DE3234">
        <w:t xml:space="preserve">, Yuka </w:t>
      </w:r>
      <w:proofErr w:type="spellStart"/>
      <w:r w:rsidRPr="00DE3234">
        <w:t>Mizusawa</w:t>
      </w:r>
      <w:proofErr w:type="spellEnd"/>
      <w:r w:rsidRPr="00DE3234">
        <w:t xml:space="preserve"> MD</w:t>
      </w:r>
      <w:r>
        <w:rPr>
          <w:vertAlign w:val="superscript"/>
        </w:rPr>
        <w:t>4,5</w:t>
      </w:r>
      <w:r w:rsidRPr="00DE3234">
        <w:t xml:space="preserve">, Elena </w:t>
      </w:r>
      <w:proofErr w:type="spellStart"/>
      <w:r w:rsidRPr="00DE3234">
        <w:t>Arbelo</w:t>
      </w:r>
      <w:proofErr w:type="spellEnd"/>
      <w:r w:rsidRPr="00DE3234">
        <w:t xml:space="preserve"> MD PhD</w:t>
      </w:r>
      <w:r>
        <w:rPr>
          <w:vertAlign w:val="superscript"/>
        </w:rPr>
        <w:t>4,14,15</w:t>
      </w:r>
      <w:r w:rsidRPr="00DE3234">
        <w:t xml:space="preserve">, </w:t>
      </w:r>
      <w:proofErr w:type="spellStart"/>
      <w:r w:rsidRPr="00DE3234">
        <w:t>Zhengrong</w:t>
      </w:r>
      <w:proofErr w:type="spellEnd"/>
      <w:r w:rsidRPr="00DE3234">
        <w:t xml:space="preserve"> Huang MD PhD</w:t>
      </w:r>
      <w:r w:rsidRPr="00DE3234">
        <w:rPr>
          <w:vertAlign w:val="superscript"/>
        </w:rPr>
        <w:t>1</w:t>
      </w:r>
      <w:r>
        <w:rPr>
          <w:vertAlign w:val="superscript"/>
        </w:rPr>
        <w:t>6</w:t>
      </w:r>
      <w:r w:rsidRPr="00DE3234">
        <w:t xml:space="preserve">, Isabelle </w:t>
      </w:r>
      <w:proofErr w:type="spellStart"/>
      <w:r w:rsidRPr="00DE3234">
        <w:t>Denjoy</w:t>
      </w:r>
      <w:proofErr w:type="spellEnd"/>
      <w:r w:rsidRPr="00DE3234">
        <w:t xml:space="preserve"> MD</w:t>
      </w:r>
      <w:r w:rsidRPr="00DE3234">
        <w:rPr>
          <w:vertAlign w:val="superscript"/>
        </w:rPr>
        <w:t>1</w:t>
      </w:r>
      <w:r>
        <w:rPr>
          <w:vertAlign w:val="superscript"/>
        </w:rPr>
        <w:t>7</w:t>
      </w:r>
      <w:r w:rsidRPr="00DE3234">
        <w:t xml:space="preserve">, Carla </w:t>
      </w:r>
      <w:proofErr w:type="spellStart"/>
      <w:r w:rsidRPr="00DE3234">
        <w:t>Giustetto</w:t>
      </w:r>
      <w:proofErr w:type="spellEnd"/>
      <w:r w:rsidRPr="00DE3234">
        <w:t xml:space="preserve"> MD</w:t>
      </w:r>
      <w:r>
        <w:rPr>
          <w:vertAlign w:val="superscript"/>
        </w:rPr>
        <w:t>18</w:t>
      </w:r>
      <w:r w:rsidRPr="00DE3234">
        <w:t xml:space="preserve">, </w:t>
      </w:r>
      <w:proofErr w:type="spellStart"/>
      <w:r w:rsidRPr="00DE3234">
        <w:t>Yanushi</w:t>
      </w:r>
      <w:proofErr w:type="spellEnd"/>
      <w:r w:rsidRPr="00DE3234">
        <w:t xml:space="preserve"> D. </w:t>
      </w:r>
      <w:proofErr w:type="spellStart"/>
      <w:r w:rsidRPr="00DE3234">
        <w:t>Wijeyeratne</w:t>
      </w:r>
      <w:proofErr w:type="spellEnd"/>
      <w:r w:rsidRPr="00DE3234">
        <w:t xml:space="preserve"> MD</w:t>
      </w:r>
      <w:r>
        <w:rPr>
          <w:vertAlign w:val="superscript"/>
        </w:rPr>
        <w:t>4,19</w:t>
      </w:r>
      <w:r w:rsidRPr="00DE3234">
        <w:t xml:space="preserve">,  </w:t>
      </w:r>
      <w:r w:rsidRPr="0065206D">
        <w:t xml:space="preserve">Andrea </w:t>
      </w:r>
      <w:proofErr w:type="spellStart"/>
      <w:r w:rsidRPr="0065206D">
        <w:t>Mazzanti</w:t>
      </w:r>
      <w:proofErr w:type="spellEnd"/>
      <w:r w:rsidRPr="0065206D">
        <w:t xml:space="preserve"> MD</w:t>
      </w:r>
      <w:r>
        <w:rPr>
          <w:vertAlign w:val="superscript"/>
        </w:rPr>
        <w:t>4,20</w:t>
      </w:r>
      <w:r w:rsidRPr="00DE3234">
        <w:t xml:space="preserve">, Ramon </w:t>
      </w:r>
      <w:proofErr w:type="spellStart"/>
      <w:r w:rsidRPr="00DE3234">
        <w:t>Brugada</w:t>
      </w:r>
      <w:proofErr w:type="spellEnd"/>
      <w:r w:rsidRPr="00DE3234">
        <w:t xml:space="preserve"> MD PhD</w:t>
      </w:r>
      <w:r>
        <w:rPr>
          <w:vertAlign w:val="superscript"/>
        </w:rPr>
        <w:t>15,21,22</w:t>
      </w:r>
      <w:r w:rsidRPr="00DE3234">
        <w:t>, Ruben Casado-Arroyo MD PhD</w:t>
      </w:r>
      <w:r w:rsidRPr="00DE3234">
        <w:rPr>
          <w:vertAlign w:val="superscript"/>
        </w:rPr>
        <w:t>2</w:t>
      </w:r>
      <w:r>
        <w:rPr>
          <w:vertAlign w:val="superscript"/>
        </w:rPr>
        <w:t>3</w:t>
      </w:r>
      <w:r w:rsidRPr="00DE3234">
        <w:t xml:space="preserve"> ,Jean Champagne MD</w:t>
      </w:r>
      <w:r w:rsidRPr="00DE3234">
        <w:rPr>
          <w:vertAlign w:val="superscript"/>
        </w:rPr>
        <w:t>2</w:t>
      </w:r>
      <w:r>
        <w:rPr>
          <w:vertAlign w:val="superscript"/>
        </w:rPr>
        <w:t>4</w:t>
      </w:r>
      <w:r w:rsidRPr="00DE3234">
        <w:t>, Leonardo Calo MD</w:t>
      </w:r>
      <w:r w:rsidRPr="00DE3234">
        <w:rPr>
          <w:vertAlign w:val="superscript"/>
        </w:rPr>
        <w:t>2</w:t>
      </w:r>
      <w:r>
        <w:rPr>
          <w:vertAlign w:val="superscript"/>
        </w:rPr>
        <w:t>5</w:t>
      </w:r>
      <w:r w:rsidRPr="00DE3234">
        <w:t xml:space="preserve">, Georgia </w:t>
      </w:r>
      <w:proofErr w:type="spellStart"/>
      <w:r w:rsidRPr="00DE3234">
        <w:t>Sarquella-Brugada</w:t>
      </w:r>
      <w:proofErr w:type="spellEnd"/>
      <w:r w:rsidRPr="00DE3234">
        <w:t xml:space="preserve"> MD PhD</w:t>
      </w:r>
      <w:r w:rsidRPr="00DE3234">
        <w:rPr>
          <w:vertAlign w:val="superscript"/>
        </w:rPr>
        <w:t>2</w:t>
      </w:r>
      <w:r>
        <w:rPr>
          <w:vertAlign w:val="superscript"/>
        </w:rPr>
        <w:t>6</w:t>
      </w:r>
      <w:r w:rsidRPr="00DE3234">
        <w:t xml:space="preserve">, Jacob </w:t>
      </w:r>
      <w:proofErr w:type="spellStart"/>
      <w:r w:rsidRPr="00DE3234">
        <w:t>Tfelt</w:t>
      </w:r>
      <w:proofErr w:type="spellEnd"/>
      <w:r w:rsidRPr="00DE3234">
        <w:t>-Hansen MD DMSc</w:t>
      </w:r>
      <w:r>
        <w:rPr>
          <w:vertAlign w:val="superscript"/>
        </w:rPr>
        <w:t>4,27,28</w:t>
      </w:r>
      <w:r w:rsidRPr="00DE3234">
        <w:t>, Silvia G. Priori MD PhD</w:t>
      </w:r>
      <w:r>
        <w:rPr>
          <w:vertAlign w:val="superscript"/>
        </w:rPr>
        <w:t>4,20</w:t>
      </w:r>
      <w:r w:rsidRPr="00DE3234">
        <w:t>, Masahiko Takagi MD PhD</w:t>
      </w:r>
      <w:r w:rsidRPr="00DE3234">
        <w:rPr>
          <w:vertAlign w:val="superscript"/>
        </w:rPr>
        <w:t>2</w:t>
      </w:r>
      <w:r>
        <w:rPr>
          <w:vertAlign w:val="superscript"/>
        </w:rPr>
        <w:t>9</w:t>
      </w:r>
      <w:r w:rsidRPr="00DE3234">
        <w:t xml:space="preserve">, Christian </w:t>
      </w:r>
      <w:proofErr w:type="spellStart"/>
      <w:r w:rsidRPr="00DE3234">
        <w:t>Veltmann</w:t>
      </w:r>
      <w:proofErr w:type="spellEnd"/>
      <w:r w:rsidRPr="00DE3234">
        <w:t xml:space="preserve"> MD</w:t>
      </w:r>
      <w:r>
        <w:rPr>
          <w:vertAlign w:val="superscript"/>
        </w:rPr>
        <w:t>30</w:t>
      </w:r>
      <w:r w:rsidRPr="00DE3234">
        <w:t xml:space="preserve">, Pietro </w:t>
      </w:r>
      <w:proofErr w:type="spellStart"/>
      <w:r w:rsidRPr="00DE3234">
        <w:t>Delise</w:t>
      </w:r>
      <w:proofErr w:type="spellEnd"/>
      <w:r w:rsidRPr="00DE3234">
        <w:t xml:space="preserve"> MD</w:t>
      </w:r>
      <w:r>
        <w:rPr>
          <w:vertAlign w:val="superscript"/>
        </w:rPr>
        <w:t>31</w:t>
      </w:r>
      <w:r w:rsidRPr="00DE3234">
        <w:t xml:space="preserve">, Domenico </w:t>
      </w:r>
      <w:proofErr w:type="spellStart"/>
      <w:r w:rsidRPr="00DE3234">
        <w:t>Corrado</w:t>
      </w:r>
      <w:proofErr w:type="spellEnd"/>
      <w:r w:rsidRPr="00DE3234">
        <w:t xml:space="preserve"> MD PhD</w:t>
      </w:r>
      <w:r>
        <w:rPr>
          <w:vertAlign w:val="superscript"/>
        </w:rPr>
        <w:t>4,32</w:t>
      </w:r>
      <w:r w:rsidRPr="00DE3234">
        <w:t>, Elijah R. Behr MD</w:t>
      </w:r>
      <w:r>
        <w:rPr>
          <w:vertAlign w:val="superscript"/>
        </w:rPr>
        <w:t>4,19</w:t>
      </w:r>
      <w:r w:rsidRPr="00DE3234">
        <w:t xml:space="preserve">, </w:t>
      </w:r>
      <w:proofErr w:type="spellStart"/>
      <w:r w:rsidRPr="00DE3234">
        <w:t>Fiorenzo</w:t>
      </w:r>
      <w:proofErr w:type="spellEnd"/>
      <w:r w:rsidRPr="00DE3234">
        <w:t xml:space="preserve"> </w:t>
      </w:r>
      <w:proofErr w:type="spellStart"/>
      <w:r w:rsidRPr="00DE3234">
        <w:t>Gaita</w:t>
      </w:r>
      <w:proofErr w:type="spellEnd"/>
      <w:r w:rsidRPr="00DE3234">
        <w:t xml:space="preserve"> MD</w:t>
      </w:r>
      <w:r w:rsidRPr="00DE3234">
        <w:rPr>
          <w:vertAlign w:val="superscript"/>
        </w:rPr>
        <w:t>1</w:t>
      </w:r>
      <w:r>
        <w:rPr>
          <w:vertAlign w:val="superscript"/>
        </w:rPr>
        <w:t>8</w:t>
      </w:r>
      <w:r w:rsidRPr="00DE3234">
        <w:t>, Gan-Xin Yan MD PhD</w:t>
      </w:r>
      <w:r w:rsidRPr="00DE3234">
        <w:rPr>
          <w:vertAlign w:val="superscript"/>
        </w:rPr>
        <w:t>3</w:t>
      </w:r>
      <w:r>
        <w:rPr>
          <w:vertAlign w:val="superscript"/>
        </w:rPr>
        <w:t>3</w:t>
      </w:r>
      <w:r w:rsidRPr="00DE3234">
        <w:t xml:space="preserve">, </w:t>
      </w:r>
      <w:proofErr w:type="spellStart"/>
      <w:r w:rsidRPr="00DE3234">
        <w:t>Josep</w:t>
      </w:r>
      <w:proofErr w:type="spellEnd"/>
      <w:r w:rsidRPr="00DE3234">
        <w:t xml:space="preserve"> </w:t>
      </w:r>
      <w:proofErr w:type="spellStart"/>
      <w:r w:rsidRPr="00DE3234">
        <w:t>Brugada</w:t>
      </w:r>
      <w:proofErr w:type="spellEnd"/>
      <w:r w:rsidRPr="00DE3234">
        <w:t xml:space="preserve"> MD PhD</w:t>
      </w:r>
      <w:r w:rsidRPr="00DE3234">
        <w:rPr>
          <w:vertAlign w:val="superscript"/>
        </w:rPr>
        <w:t>1</w:t>
      </w:r>
      <w:r>
        <w:rPr>
          <w:vertAlign w:val="superscript"/>
        </w:rPr>
        <w:t>4</w:t>
      </w:r>
      <w:r w:rsidRPr="00DE3234">
        <w:t xml:space="preserve">, Antoine </w:t>
      </w:r>
      <w:proofErr w:type="spellStart"/>
      <w:r w:rsidRPr="00DE3234">
        <w:t>Leenhardt</w:t>
      </w:r>
      <w:proofErr w:type="spellEnd"/>
      <w:r w:rsidRPr="00DE3234">
        <w:t xml:space="preserve"> MD</w:t>
      </w:r>
      <w:r w:rsidRPr="00DE3234">
        <w:rPr>
          <w:vertAlign w:val="superscript"/>
        </w:rPr>
        <w:t>1</w:t>
      </w:r>
      <w:r>
        <w:rPr>
          <w:vertAlign w:val="superscript"/>
        </w:rPr>
        <w:t>7</w:t>
      </w:r>
      <w:r w:rsidRPr="00DE3234">
        <w:t>, Arthur A.M. Wilde MD PhD</w:t>
      </w:r>
      <w:r>
        <w:rPr>
          <w:vertAlign w:val="superscript"/>
        </w:rPr>
        <w:t>4,5</w:t>
      </w:r>
      <w:r w:rsidRPr="00DE3234">
        <w:t xml:space="preserve">, Pedro </w:t>
      </w:r>
      <w:proofErr w:type="spellStart"/>
      <w:r w:rsidRPr="00DE3234">
        <w:t>Brugada</w:t>
      </w:r>
      <w:proofErr w:type="spellEnd"/>
      <w:r w:rsidRPr="00DE3234">
        <w:t xml:space="preserve"> MD PhD</w:t>
      </w:r>
      <w:r>
        <w:rPr>
          <w:vertAlign w:val="superscript"/>
        </w:rPr>
        <w:t>3</w:t>
      </w:r>
      <w:r w:rsidRPr="00DE3234">
        <w:t xml:space="preserve">, </w:t>
      </w:r>
      <w:proofErr w:type="spellStart"/>
      <w:r w:rsidRPr="00DE3234">
        <w:t>Kengo</w:t>
      </w:r>
      <w:proofErr w:type="spellEnd"/>
      <w:r w:rsidRPr="00DE3234">
        <w:t xml:space="preserve"> F. </w:t>
      </w:r>
      <w:proofErr w:type="spellStart"/>
      <w:r w:rsidRPr="00DE3234">
        <w:t>Kusano</w:t>
      </w:r>
      <w:proofErr w:type="spellEnd"/>
      <w:r w:rsidRPr="00DE3234">
        <w:t xml:space="preserve"> MD PhD</w:t>
      </w:r>
      <w:r>
        <w:rPr>
          <w:vertAlign w:val="superscript"/>
        </w:rPr>
        <w:t>11</w:t>
      </w:r>
      <w:r w:rsidRPr="00DE3234">
        <w:t xml:space="preserve">, Kenzo </w:t>
      </w:r>
      <w:proofErr w:type="spellStart"/>
      <w:r w:rsidRPr="00DE3234">
        <w:t>Hirao</w:t>
      </w:r>
      <w:proofErr w:type="spellEnd"/>
      <w:r w:rsidRPr="00DE3234">
        <w:t xml:space="preserve"> MD PhD</w:t>
      </w:r>
      <w:r>
        <w:rPr>
          <w:vertAlign w:val="superscript"/>
        </w:rPr>
        <w:t>10</w:t>
      </w:r>
      <w:r w:rsidRPr="00DE3234">
        <w:t>, Gi-</w:t>
      </w:r>
      <w:proofErr w:type="spellStart"/>
      <w:r w:rsidRPr="00DE3234">
        <w:t>Byoung</w:t>
      </w:r>
      <w:proofErr w:type="spellEnd"/>
      <w:r w:rsidRPr="00DE3234">
        <w:t xml:space="preserve"> Nam</w:t>
      </w:r>
      <w:r w:rsidRPr="00DE3234">
        <w:rPr>
          <w:vertAlign w:val="superscript"/>
        </w:rPr>
        <w:t xml:space="preserve"> </w:t>
      </w:r>
      <w:r w:rsidRPr="00DE3234">
        <w:t>MD PhD</w:t>
      </w:r>
      <w:r w:rsidRPr="00DE3234">
        <w:rPr>
          <w:vertAlign w:val="superscript"/>
        </w:rPr>
        <w:t>3</w:t>
      </w:r>
      <w:r>
        <w:rPr>
          <w:vertAlign w:val="superscript"/>
        </w:rPr>
        <w:t>4</w:t>
      </w:r>
      <w:r w:rsidRPr="00DE3234">
        <w:t>, Vincent Probst MD PhD</w:t>
      </w:r>
      <w:r>
        <w:rPr>
          <w:vertAlign w:val="superscript"/>
        </w:rPr>
        <w:t>4,6</w:t>
      </w:r>
      <w:r w:rsidRPr="00DE3234">
        <w:t xml:space="preserve">, </w:t>
      </w:r>
      <w:r>
        <w:t xml:space="preserve"> </w:t>
      </w:r>
      <w:r w:rsidRPr="00DE3234">
        <w:t xml:space="preserve">Bernard </w:t>
      </w:r>
      <w:proofErr w:type="spellStart"/>
      <w:r w:rsidRPr="00DE3234">
        <w:t>Belhassen</w:t>
      </w:r>
      <w:proofErr w:type="spellEnd"/>
      <w:r w:rsidRPr="00DE3234">
        <w:t xml:space="preserve"> MD</w:t>
      </w:r>
      <w:r>
        <w:rPr>
          <w:vertAlign w:val="superscript"/>
        </w:rPr>
        <w:t>35</w:t>
      </w:r>
    </w:p>
    <w:p w14:paraId="1D639C92" w14:textId="77777777" w:rsidR="00E14F14" w:rsidRPr="00ED1703" w:rsidRDefault="00E14F14" w:rsidP="00ED1703">
      <w:r w:rsidRPr="00ED1703">
        <w:rPr>
          <w:vertAlign w:val="superscript"/>
        </w:rPr>
        <w:t xml:space="preserve">1 </w:t>
      </w:r>
      <w:proofErr w:type="spellStart"/>
      <w:r w:rsidRPr="00ED1703">
        <w:t>Leviev</w:t>
      </w:r>
      <w:proofErr w:type="spellEnd"/>
      <w:r w:rsidRPr="00ED1703">
        <w:t xml:space="preserve"> Heart Institute, The </w:t>
      </w:r>
      <w:smartTag w:uri="urn:schemas-microsoft-com:office:smarttags" w:element="PlaceName">
        <w:r w:rsidRPr="00ED1703">
          <w:t>Chaim</w:t>
        </w:r>
      </w:smartTag>
      <w:r w:rsidRPr="00ED1703">
        <w:t xml:space="preserve"> </w:t>
      </w:r>
      <w:smartTag w:uri="urn:schemas-microsoft-com:office:smarttags" w:element="PlaceName">
        <w:r w:rsidRPr="00ED1703">
          <w:t>Sheba</w:t>
        </w:r>
      </w:smartTag>
      <w:r w:rsidRPr="00ED1703">
        <w:t xml:space="preserve"> </w:t>
      </w:r>
      <w:smartTag w:uri="urn:schemas-microsoft-com:office:smarttags" w:element="PlaceName">
        <w:r w:rsidRPr="00ED1703">
          <w:t>Medical</w:t>
        </w:r>
      </w:smartTag>
      <w:r w:rsidRPr="00ED1703">
        <w:t xml:space="preserve"> </w:t>
      </w:r>
      <w:smartTag w:uri="urn:schemas-microsoft-com:office:smarttags" w:element="PlaceType">
        <w:r w:rsidRPr="00ED1703">
          <w:t>Center</w:t>
        </w:r>
      </w:smartTag>
      <w:r w:rsidRPr="00ED1703">
        <w:t xml:space="preserve">, Tel </w:t>
      </w:r>
      <w:proofErr w:type="spellStart"/>
      <w:smartTag w:uri="urn:schemas-microsoft-com:office:smarttags" w:element="place">
        <w:smartTag w:uri="urn:schemas-microsoft-com:office:smarttags" w:element="City">
          <w:r w:rsidRPr="00ED1703">
            <w:t>Hashomer</w:t>
          </w:r>
        </w:smartTag>
        <w:proofErr w:type="spellEnd"/>
        <w:r w:rsidRPr="00ED1703">
          <w:t xml:space="preserve">, </w:t>
        </w:r>
        <w:smartTag w:uri="urn:schemas-microsoft-com:office:smarttags" w:element="country-region">
          <w:r w:rsidRPr="00ED1703">
            <w:t>Israel</w:t>
          </w:r>
        </w:smartTag>
      </w:smartTag>
    </w:p>
    <w:p w14:paraId="117A59FE" w14:textId="77777777" w:rsidR="00E14F14" w:rsidRPr="00ED1703" w:rsidRDefault="00E14F14" w:rsidP="00ED1703">
      <w:r w:rsidRPr="00ED1703">
        <w:rPr>
          <w:vertAlign w:val="superscript"/>
        </w:rPr>
        <w:t>2</w:t>
      </w:r>
      <w:r w:rsidRPr="00ED1703">
        <w:t xml:space="preserve"> Sackler School of Medicine, </w:t>
      </w:r>
      <w:smartTag w:uri="urn:schemas-microsoft-com:office:smarttags" w:element="PlaceName">
        <w:r w:rsidRPr="00ED1703">
          <w:t>Tel</w:t>
        </w:r>
      </w:smartTag>
      <w:r w:rsidRPr="00ED1703">
        <w:t xml:space="preserve"> </w:t>
      </w:r>
      <w:smartTag w:uri="urn:schemas-microsoft-com:office:smarttags" w:element="PlaceName">
        <w:r w:rsidRPr="00ED1703">
          <w:t>Aviv</w:t>
        </w:r>
      </w:smartTag>
      <w:r w:rsidRPr="00ED1703">
        <w:t xml:space="preserve"> </w:t>
      </w:r>
      <w:smartTag w:uri="urn:schemas-microsoft-com:office:smarttags" w:element="PlaceType">
        <w:r w:rsidRPr="00ED1703">
          <w:t>University</w:t>
        </w:r>
      </w:smartTag>
      <w:r w:rsidRPr="00ED1703">
        <w:t xml:space="preserve">, Tel </w:t>
      </w:r>
      <w:smartTag w:uri="urn:schemas-microsoft-com:office:smarttags" w:element="place">
        <w:smartTag w:uri="urn:schemas-microsoft-com:office:smarttags" w:element="City">
          <w:r w:rsidRPr="00ED1703">
            <w:t>Aviv</w:t>
          </w:r>
        </w:smartTag>
        <w:r w:rsidRPr="00ED1703">
          <w:t xml:space="preserve">, </w:t>
        </w:r>
        <w:smartTag w:uri="urn:schemas-microsoft-com:office:smarttags" w:element="country-region">
          <w:r w:rsidRPr="00ED1703">
            <w:t>Israel</w:t>
          </w:r>
        </w:smartTag>
      </w:smartTag>
    </w:p>
    <w:p w14:paraId="1DDB2DA8" w14:textId="77777777" w:rsidR="00E14F14" w:rsidRPr="00431F28" w:rsidRDefault="00E14F14" w:rsidP="00E5634C">
      <w:pPr>
        <w:rPr>
          <w:rtl/>
          <w:lang w:val="fr-FR"/>
        </w:rPr>
      </w:pPr>
      <w:r>
        <w:rPr>
          <w:vertAlign w:val="superscript"/>
        </w:rPr>
        <w:t>3</w:t>
      </w:r>
      <w:r w:rsidRPr="00431F28">
        <w:rPr>
          <w:vertAlign w:val="superscript"/>
        </w:rPr>
        <w:t xml:space="preserve"> </w:t>
      </w:r>
      <w:r w:rsidRPr="00431F28">
        <w:t xml:space="preserve">Heart Rhythm Management Centre, UZ-VUB, </w:t>
      </w:r>
      <w:smartTag w:uri="urn:schemas-microsoft-com:office:smarttags" w:element="place">
        <w:smartTag w:uri="urn:schemas-microsoft-com:office:smarttags" w:element="City">
          <w:r w:rsidRPr="00431F28">
            <w:t>Brussels</w:t>
          </w:r>
        </w:smartTag>
        <w:r w:rsidRPr="00431F28">
          <w:t xml:space="preserve">, </w:t>
        </w:r>
        <w:smartTag w:uri="urn:schemas-microsoft-com:office:smarttags" w:element="country-region">
          <w:r w:rsidRPr="00431F28">
            <w:t>Belgium</w:t>
          </w:r>
        </w:smartTag>
      </w:smartTag>
      <w:r w:rsidRPr="00431F28">
        <w:t xml:space="preserve"> </w:t>
      </w:r>
    </w:p>
    <w:p w14:paraId="7C734B56" w14:textId="77777777" w:rsidR="00E14F14" w:rsidRDefault="00E14F14" w:rsidP="00ED1703">
      <w:r>
        <w:rPr>
          <w:vertAlign w:val="superscript"/>
        </w:rPr>
        <w:t>4</w:t>
      </w:r>
      <w:r w:rsidRPr="00753B31">
        <w:t xml:space="preserve"> European Reference Network for Rare and Low Prevalence Complex Diseases of the Heart</w:t>
      </w:r>
    </w:p>
    <w:p w14:paraId="6E1E231E" w14:textId="77777777" w:rsidR="00E14F14" w:rsidRPr="00257BA1" w:rsidRDefault="00E14F14" w:rsidP="00E5634C">
      <w:pPr>
        <w:rPr>
          <w:vertAlign w:val="superscript"/>
        </w:rPr>
      </w:pPr>
      <w:r>
        <w:rPr>
          <w:vertAlign w:val="superscript"/>
        </w:rPr>
        <w:t>5</w:t>
      </w:r>
      <w:r w:rsidRPr="00257BA1">
        <w:rPr>
          <w:vertAlign w:val="superscript"/>
        </w:rPr>
        <w:t xml:space="preserve"> </w:t>
      </w:r>
      <w:r w:rsidRPr="00177157">
        <w:t xml:space="preserve">Amsterdam UMC, </w:t>
      </w:r>
      <w:smartTag w:uri="urn:schemas-microsoft-com:office:smarttags" w:element="PlaceType">
        <w:r w:rsidRPr="00177157">
          <w:t>University</w:t>
        </w:r>
      </w:smartTag>
      <w:r w:rsidRPr="00177157">
        <w:t xml:space="preserve"> of </w:t>
      </w:r>
      <w:smartTag w:uri="urn:schemas-microsoft-com:office:smarttags" w:element="PlaceName">
        <w:r w:rsidRPr="00177157">
          <w:t>Amsterdam</w:t>
        </w:r>
      </w:smartTag>
      <w:r w:rsidRPr="00177157">
        <w:t xml:space="preserve">, </w:t>
      </w:r>
      <w:smartTag w:uri="urn:schemas-microsoft-com:office:smarttags" w:element="PlaceName">
        <w:r w:rsidRPr="00177157">
          <w:t>Heart</w:t>
        </w:r>
      </w:smartTag>
      <w:r w:rsidRPr="00177157">
        <w:t xml:space="preserve"> </w:t>
      </w:r>
      <w:smartTag w:uri="urn:schemas-microsoft-com:office:smarttags" w:element="PlaceType">
        <w:r w:rsidRPr="00177157">
          <w:t>Center</w:t>
        </w:r>
      </w:smartTag>
      <w:r w:rsidRPr="00177157">
        <w:t xml:space="preserve">; department of Clinical and Experimental Cardiology, </w:t>
      </w:r>
      <w:smartTag w:uri="urn:schemas-microsoft-com:office:smarttags" w:element="place">
        <w:smartTag w:uri="urn:schemas-microsoft-com:office:smarttags" w:element="City">
          <w:r w:rsidRPr="00177157">
            <w:t>Amsterdam</w:t>
          </w:r>
        </w:smartTag>
      </w:smartTag>
      <w:r w:rsidRPr="00177157">
        <w:t>, The Netherlands</w:t>
      </w:r>
    </w:p>
    <w:p w14:paraId="15361FED" w14:textId="77777777" w:rsidR="00E14F14" w:rsidRDefault="00E14F14" w:rsidP="00E5634C">
      <w:pPr>
        <w:rPr>
          <w:lang w:val="fr-FR"/>
        </w:rPr>
      </w:pPr>
      <w:r>
        <w:rPr>
          <w:vertAlign w:val="superscript"/>
          <w:lang w:val="fr-FR"/>
        </w:rPr>
        <w:t>6</w:t>
      </w:r>
      <w:r w:rsidRPr="00753B31">
        <w:rPr>
          <w:lang w:val="fr-FR"/>
        </w:rPr>
        <w:t xml:space="preserve"> Service de Cardiologie, CHU de Nantes, Nantes, </w:t>
      </w:r>
      <w:r>
        <w:rPr>
          <w:lang w:val="fr-FR"/>
        </w:rPr>
        <w:t>France</w:t>
      </w:r>
    </w:p>
    <w:p w14:paraId="58737B79" w14:textId="77777777" w:rsidR="00E14F14" w:rsidRPr="00E5634C" w:rsidRDefault="00E14F14" w:rsidP="00E5634C">
      <w:pPr>
        <w:rPr>
          <w:lang w:val="fr-FR"/>
        </w:rPr>
      </w:pPr>
      <w:r>
        <w:rPr>
          <w:vertAlign w:val="superscript"/>
          <w:lang w:val="fr-FR"/>
        </w:rPr>
        <w:t xml:space="preserve">7 </w:t>
      </w:r>
      <w:r w:rsidRPr="00E5634C">
        <w:rPr>
          <w:lang w:val="fr-FR"/>
        </w:rPr>
        <w:t xml:space="preserve">Hôpital Cardiologique du Haut-Lévêque &amp; Université Bordeaux, LIRYC Institute, Bordeaux, France   </w:t>
      </w:r>
    </w:p>
    <w:p w14:paraId="6154A985" w14:textId="77777777" w:rsidR="00E14F14" w:rsidRPr="00E5634C" w:rsidRDefault="00E14F14" w:rsidP="00E5634C">
      <w:r w:rsidRPr="003F210F">
        <w:rPr>
          <w:vertAlign w:val="superscript"/>
        </w:rPr>
        <w:t>8</w:t>
      </w:r>
      <w:r w:rsidRPr="00E5634C">
        <w:rPr>
          <w:vertAlign w:val="superscript"/>
        </w:rPr>
        <w:t xml:space="preserve"> </w:t>
      </w:r>
      <w:r w:rsidRPr="00E5634C">
        <w:t xml:space="preserve">Cardiology and Vascular Disease Division, </w:t>
      </w:r>
      <w:smartTag w:uri="urn:schemas-microsoft-com:office:smarttags" w:element="PlaceName">
        <w:r w:rsidRPr="00E5634C">
          <w:t>Rennes</w:t>
        </w:r>
      </w:smartTag>
      <w:r w:rsidRPr="00E5634C">
        <w:t xml:space="preserve"> </w:t>
      </w:r>
      <w:smartTag w:uri="urn:schemas-microsoft-com:office:smarttags" w:element="PlaceType">
        <w:r w:rsidRPr="00E5634C">
          <w:t>University</w:t>
        </w:r>
      </w:smartTag>
      <w:r w:rsidRPr="00E5634C">
        <w:t xml:space="preserve"> Health Centre, </w:t>
      </w:r>
      <w:smartTag w:uri="urn:schemas-microsoft-com:office:smarttags" w:element="place">
        <w:smartTag w:uri="urn:schemas-microsoft-com:office:smarttags" w:element="City">
          <w:r w:rsidRPr="00E5634C">
            <w:t>Rennes</w:t>
          </w:r>
        </w:smartTag>
        <w:r w:rsidRPr="00E5634C">
          <w:t xml:space="preserve">, </w:t>
        </w:r>
        <w:smartTag w:uri="urn:schemas-microsoft-com:office:smarttags" w:element="country-region">
          <w:r w:rsidRPr="00E5634C">
            <w:t>France</w:t>
          </w:r>
        </w:smartTag>
      </w:smartTag>
    </w:p>
    <w:p w14:paraId="07F847FC" w14:textId="77777777" w:rsidR="00E14F14" w:rsidRDefault="00E14F14" w:rsidP="00E5634C">
      <w:r>
        <w:rPr>
          <w:vertAlign w:val="superscript"/>
        </w:rPr>
        <w:t>9</w:t>
      </w:r>
      <w:r w:rsidRPr="00753B31">
        <w:rPr>
          <w:vertAlign w:val="superscript"/>
        </w:rPr>
        <w:t xml:space="preserve"> </w:t>
      </w:r>
      <w:r w:rsidRPr="00753B31">
        <w:t xml:space="preserve">Division of Cardiology, </w:t>
      </w:r>
      <w:smartTag w:uri="urn:schemas-microsoft-com:office:smarttags" w:element="PlaceType">
        <w:r w:rsidRPr="00753B31">
          <w:t>College</w:t>
        </w:r>
      </w:smartTag>
      <w:r w:rsidRPr="00753B31">
        <w:t xml:space="preserve"> of </w:t>
      </w:r>
      <w:smartTag w:uri="urn:schemas-microsoft-com:office:smarttags" w:element="PlaceName">
        <w:r w:rsidRPr="00753B31">
          <w:t>Medicine</w:t>
        </w:r>
      </w:smartTag>
      <w:r w:rsidRPr="00753B31">
        <w:t xml:space="preserve">, The Catholic </w:t>
      </w:r>
      <w:smartTag w:uri="urn:schemas-microsoft-com:office:smarttags" w:element="PlaceType">
        <w:r w:rsidRPr="00753B31">
          <w:t>University</w:t>
        </w:r>
      </w:smartTag>
      <w:r w:rsidRPr="00753B31">
        <w:t xml:space="preserve"> of </w:t>
      </w:r>
      <w:smartTag w:uri="urn:schemas-microsoft-com:office:smarttags" w:element="PlaceName">
        <w:r w:rsidRPr="00753B31">
          <w:t>Korea</w:t>
        </w:r>
      </w:smartTag>
      <w:r w:rsidRPr="00753B31">
        <w:t xml:space="preserve">, </w:t>
      </w:r>
      <w:smartTag w:uri="urn:schemas-microsoft-com:office:smarttags" w:element="place">
        <w:smartTag w:uri="urn:schemas-microsoft-com:office:smarttags" w:element="City">
          <w:r w:rsidRPr="00753B31">
            <w:t>Seoul</w:t>
          </w:r>
        </w:smartTag>
        <w:r w:rsidRPr="00753B31">
          <w:t xml:space="preserve">, </w:t>
        </w:r>
        <w:smartTag w:uri="urn:schemas-microsoft-com:office:smarttags" w:element="country-region">
          <w:r w:rsidRPr="00753B31">
            <w:t>Korea</w:t>
          </w:r>
        </w:smartTag>
      </w:smartTag>
    </w:p>
    <w:p w14:paraId="5AEE3AE7" w14:textId="77777777" w:rsidR="00E14F14" w:rsidRPr="00952663" w:rsidRDefault="00E14F14" w:rsidP="00952663">
      <w:r>
        <w:rPr>
          <w:vertAlign w:val="superscript"/>
        </w:rPr>
        <w:t>10</w:t>
      </w:r>
      <w:r w:rsidRPr="00952663">
        <w:rPr>
          <w:vertAlign w:val="superscript"/>
        </w:rPr>
        <w:t xml:space="preserve"> </w:t>
      </w:r>
      <w:r w:rsidRPr="00952663">
        <w:t xml:space="preserve">Heart Rhythm Center, </w:t>
      </w:r>
      <w:smartTag w:uri="urn:schemas-microsoft-com:office:smarttags" w:element="City">
        <w:r w:rsidRPr="00952663">
          <w:t>Tokyo</w:t>
        </w:r>
      </w:smartTag>
      <w:r w:rsidRPr="00952663">
        <w:t xml:space="preserve"> Medical and </w:t>
      </w:r>
      <w:smartTag w:uri="urn:schemas-microsoft-com:office:smarttags" w:element="PlaceName">
        <w:r w:rsidRPr="00952663">
          <w:t>Dental</w:t>
        </w:r>
      </w:smartTag>
      <w:r w:rsidRPr="00952663">
        <w:t xml:space="preserve"> </w:t>
      </w:r>
      <w:smartTag w:uri="urn:schemas-microsoft-com:office:smarttags" w:element="PlaceType">
        <w:r w:rsidRPr="00952663">
          <w:t>University</w:t>
        </w:r>
      </w:smartTag>
      <w:r w:rsidRPr="00952663">
        <w:t xml:space="preserve">, </w:t>
      </w:r>
      <w:smartTag w:uri="urn:schemas-microsoft-com:office:smarttags" w:element="place">
        <w:smartTag w:uri="urn:schemas-microsoft-com:office:smarttags" w:element="City">
          <w:r w:rsidRPr="00952663">
            <w:t>Tokyo</w:t>
          </w:r>
        </w:smartTag>
        <w:r w:rsidRPr="00952663">
          <w:t xml:space="preserve">, </w:t>
        </w:r>
        <w:smartTag w:uri="urn:schemas-microsoft-com:office:smarttags" w:element="country-region">
          <w:r w:rsidRPr="00952663">
            <w:t>Japan</w:t>
          </w:r>
        </w:smartTag>
      </w:smartTag>
      <w:r w:rsidRPr="00952663">
        <w:t xml:space="preserve">   </w:t>
      </w:r>
    </w:p>
    <w:p w14:paraId="00569E24" w14:textId="77777777" w:rsidR="00E14F14" w:rsidRDefault="00E14F14" w:rsidP="00952663">
      <w:r>
        <w:rPr>
          <w:vertAlign w:val="superscript"/>
        </w:rPr>
        <w:t>11</w:t>
      </w:r>
      <w:r w:rsidRPr="00753B31">
        <w:rPr>
          <w:vertAlign w:val="superscript"/>
        </w:rPr>
        <w:t xml:space="preserve"> </w:t>
      </w:r>
      <w:r w:rsidRPr="00753B31">
        <w:t xml:space="preserve">Division of Arrhythmia and Electrophysiology, National Cerebral and Cardiovascular Center, </w:t>
      </w:r>
      <w:smartTag w:uri="urn:schemas-microsoft-com:office:smarttags" w:element="place">
        <w:smartTag w:uri="urn:schemas-microsoft-com:office:smarttags" w:element="City">
          <w:r w:rsidRPr="00753B31">
            <w:t>Osaka</w:t>
          </w:r>
        </w:smartTag>
        <w:r w:rsidRPr="00753B31">
          <w:t xml:space="preserve">, </w:t>
        </w:r>
        <w:smartTag w:uri="urn:schemas-microsoft-com:office:smarttags" w:element="country-region">
          <w:r w:rsidRPr="00753B31">
            <w:t>Japan</w:t>
          </w:r>
        </w:smartTag>
      </w:smartTag>
    </w:p>
    <w:p w14:paraId="15FD85FA" w14:textId="77777777" w:rsidR="00E14F14" w:rsidRDefault="00E14F14" w:rsidP="00952663">
      <w:r>
        <w:rPr>
          <w:vertAlign w:val="superscript"/>
        </w:rPr>
        <w:t>12</w:t>
      </w:r>
      <w:r w:rsidRPr="00753B31">
        <w:rPr>
          <w:vertAlign w:val="superscript"/>
        </w:rPr>
        <w:t xml:space="preserve"> </w:t>
      </w:r>
      <w:r w:rsidRPr="00753B31">
        <w:t xml:space="preserve">Cardiovascular Center and Division of Cardiology, </w:t>
      </w:r>
      <w:smartTag w:uri="urn:schemas-microsoft-com:office:smarttags" w:element="PlaceName">
        <w:r w:rsidRPr="00753B31">
          <w:t>National</w:t>
        </w:r>
      </w:smartTag>
      <w:r w:rsidRPr="00753B31">
        <w:t xml:space="preserve"> </w:t>
      </w:r>
      <w:smartTag w:uri="urn:schemas-microsoft-com:office:smarttags" w:element="PlaceName">
        <w:r w:rsidRPr="00753B31">
          <w:t>Taiwan</w:t>
        </w:r>
      </w:smartTag>
      <w:r w:rsidRPr="00753B31">
        <w:t xml:space="preserve"> </w:t>
      </w:r>
      <w:smartTag w:uri="urn:schemas-microsoft-com:office:smarttags" w:element="PlaceType">
        <w:r w:rsidRPr="00753B31">
          <w:t>University</w:t>
        </w:r>
      </w:smartTag>
      <w:r w:rsidRPr="00753B31">
        <w:t xml:space="preserve"> </w:t>
      </w:r>
      <w:smartTag w:uri="urn:schemas-microsoft-com:office:smarttags" w:element="PlaceType">
        <w:r w:rsidRPr="00753B31">
          <w:t>Hospital</w:t>
        </w:r>
      </w:smartTag>
      <w:r w:rsidRPr="00753B31">
        <w:t xml:space="preserve"> and University </w:t>
      </w:r>
      <w:smartTag w:uri="urn:schemas-microsoft-com:office:smarttags" w:element="PlaceType">
        <w:r w:rsidRPr="00753B31">
          <w:t>College</w:t>
        </w:r>
      </w:smartTag>
      <w:r w:rsidRPr="00753B31">
        <w:t xml:space="preserve"> of </w:t>
      </w:r>
      <w:smartTag w:uri="urn:schemas-microsoft-com:office:smarttags" w:element="PlaceName">
        <w:r w:rsidRPr="00753B31">
          <w:t>Medicine</w:t>
        </w:r>
      </w:smartTag>
      <w:r w:rsidRPr="00753B31">
        <w:t xml:space="preserve">, </w:t>
      </w:r>
      <w:smartTag w:uri="urn:schemas-microsoft-com:office:smarttags" w:element="place">
        <w:smartTag w:uri="urn:schemas-microsoft-com:office:smarttags" w:element="City">
          <w:r w:rsidRPr="00753B31">
            <w:t>Taipei</w:t>
          </w:r>
        </w:smartTag>
        <w:r w:rsidRPr="00753B31">
          <w:t xml:space="preserve">, </w:t>
        </w:r>
        <w:smartTag w:uri="urn:schemas-microsoft-com:office:smarttags" w:element="country-region">
          <w:r w:rsidRPr="00753B31">
            <w:t>Taiwan</w:t>
          </w:r>
        </w:smartTag>
      </w:smartTag>
    </w:p>
    <w:p w14:paraId="3A097275" w14:textId="77777777" w:rsidR="00E14F14" w:rsidRPr="00753B31" w:rsidRDefault="00E14F14" w:rsidP="00932327">
      <w:r>
        <w:rPr>
          <w:vertAlign w:val="superscript"/>
        </w:rPr>
        <w:t xml:space="preserve">13 </w:t>
      </w:r>
      <w:r w:rsidRPr="00932327">
        <w:t xml:space="preserve">Cardiology Department, </w:t>
      </w:r>
      <w:proofErr w:type="spellStart"/>
      <w:smartTag w:uri="urn:schemas-microsoft-com:office:smarttags" w:element="PlaceName">
        <w:r w:rsidRPr="00932327">
          <w:t>Shaare</w:t>
        </w:r>
      </w:smartTag>
      <w:proofErr w:type="spellEnd"/>
      <w:r w:rsidRPr="00932327">
        <w:t xml:space="preserve"> </w:t>
      </w:r>
      <w:smartTag w:uri="urn:schemas-microsoft-com:office:smarttags" w:element="PlaceName">
        <w:r w:rsidRPr="00932327">
          <w:t>Zedek</w:t>
        </w:r>
      </w:smartTag>
      <w:r w:rsidRPr="00932327">
        <w:t xml:space="preserve"> </w:t>
      </w:r>
      <w:smartTag w:uri="urn:schemas-microsoft-com:office:smarttags" w:element="PlaceType">
        <w:r w:rsidRPr="00932327">
          <w:t>Hospital</w:t>
        </w:r>
      </w:smartTag>
      <w:r w:rsidRPr="00932327">
        <w:t xml:space="preserve">, Affiliated to the Faculty of Medicine, </w:t>
      </w:r>
      <w:smartTag w:uri="urn:schemas-microsoft-com:office:smarttags" w:element="PlaceName">
        <w:r w:rsidRPr="00932327">
          <w:t>Hebrew</w:t>
        </w:r>
      </w:smartTag>
      <w:r w:rsidRPr="00932327">
        <w:t xml:space="preserve"> </w:t>
      </w:r>
      <w:smartTag w:uri="urn:schemas-microsoft-com:office:smarttags" w:element="PlaceType">
        <w:r w:rsidRPr="00932327">
          <w:t>University</w:t>
        </w:r>
      </w:smartTag>
      <w:r w:rsidRPr="00932327">
        <w:t xml:space="preserve">, </w:t>
      </w:r>
      <w:smartTag w:uri="urn:schemas-microsoft-com:office:smarttags" w:element="place">
        <w:smartTag w:uri="urn:schemas-microsoft-com:office:smarttags" w:element="City">
          <w:r w:rsidRPr="00932327">
            <w:t>Jerusalem</w:t>
          </w:r>
        </w:smartTag>
        <w:r w:rsidRPr="00932327">
          <w:t xml:space="preserve">, </w:t>
        </w:r>
        <w:smartTag w:uri="urn:schemas-microsoft-com:office:smarttags" w:element="country-region">
          <w:r w:rsidRPr="00932327">
            <w:t>Israel</w:t>
          </w:r>
        </w:smartTag>
      </w:smartTag>
      <w:r w:rsidRPr="00932327">
        <w:t>.</w:t>
      </w:r>
    </w:p>
    <w:p w14:paraId="1778C1E9" w14:textId="77777777" w:rsidR="00E14F14" w:rsidRDefault="00E14F14" w:rsidP="00A41E3F">
      <w:r>
        <w:rPr>
          <w:vertAlign w:val="superscript"/>
        </w:rPr>
        <w:t>14</w:t>
      </w:r>
      <w:r w:rsidRPr="00FE308F">
        <w:rPr>
          <w:vertAlign w:val="superscript"/>
        </w:rPr>
        <w:t xml:space="preserve"> </w:t>
      </w:r>
      <w:r w:rsidRPr="006F3B91">
        <w:t xml:space="preserve">Arrhythmia Section, Cardiology Department, Hospital </w:t>
      </w:r>
      <w:proofErr w:type="spellStart"/>
      <w:r w:rsidRPr="006F3B91">
        <w:t>Clínic</w:t>
      </w:r>
      <w:proofErr w:type="spellEnd"/>
      <w:r w:rsidRPr="006F3B91">
        <w:t xml:space="preserve">, </w:t>
      </w:r>
      <w:proofErr w:type="spellStart"/>
      <w:r w:rsidRPr="006F3B91">
        <w:t>Universitat</w:t>
      </w:r>
      <w:proofErr w:type="spellEnd"/>
      <w:r w:rsidRPr="006F3B91">
        <w:t xml:space="preserve"> de Barcelona </w:t>
      </w:r>
      <w:r>
        <w:t xml:space="preserve">and </w:t>
      </w:r>
      <w:proofErr w:type="spellStart"/>
      <w:r w:rsidRPr="006F3B91">
        <w:t>bIDIBAPS</w:t>
      </w:r>
      <w:proofErr w:type="spellEnd"/>
      <w:r w:rsidRPr="006F3B91">
        <w:t xml:space="preserve">, </w:t>
      </w:r>
      <w:proofErr w:type="spellStart"/>
      <w:r w:rsidRPr="006F3B91">
        <w:t>Institut</w:t>
      </w:r>
      <w:proofErr w:type="spellEnd"/>
      <w:r w:rsidRPr="006F3B91">
        <w:t xml:space="preserve"> </w:t>
      </w:r>
      <w:proofErr w:type="spellStart"/>
      <w:r w:rsidRPr="006F3B91">
        <w:t>d’Investigació</w:t>
      </w:r>
      <w:proofErr w:type="spellEnd"/>
      <w:r w:rsidRPr="006F3B91">
        <w:t xml:space="preserve"> August Pi </w:t>
      </w:r>
      <w:proofErr w:type="spellStart"/>
      <w:r w:rsidRPr="006F3B91">
        <w:t>i</w:t>
      </w:r>
      <w:proofErr w:type="spellEnd"/>
      <w:r w:rsidRPr="006F3B91">
        <w:t xml:space="preserve"> </w:t>
      </w:r>
      <w:proofErr w:type="spellStart"/>
      <w:r w:rsidRPr="006F3B91">
        <w:t>Sunyer</w:t>
      </w:r>
      <w:proofErr w:type="spellEnd"/>
      <w:r w:rsidRPr="006F3B91">
        <w:t xml:space="preserve"> (IDIBAPS)</w:t>
      </w:r>
      <w:r>
        <w:t>, Barcelona, Spain</w:t>
      </w:r>
    </w:p>
    <w:p w14:paraId="0EB3D7AC" w14:textId="77777777" w:rsidR="00E14F14" w:rsidRPr="00FE308F" w:rsidRDefault="00E14F14" w:rsidP="00A41E3F">
      <w:pPr>
        <w:rPr>
          <w:lang w:val="fr-FR"/>
        </w:rPr>
      </w:pPr>
      <w:r>
        <w:rPr>
          <w:vertAlign w:val="superscript"/>
          <w:lang w:val="fr-FR"/>
        </w:rPr>
        <w:t xml:space="preserve">15 </w:t>
      </w:r>
      <w:r w:rsidRPr="00FE308F">
        <w:rPr>
          <w:lang w:val="fr-FR"/>
        </w:rPr>
        <w:t xml:space="preserve">Centro de </w:t>
      </w:r>
      <w:proofErr w:type="spellStart"/>
      <w:r w:rsidRPr="00FE308F">
        <w:rPr>
          <w:lang w:val="fr-FR"/>
        </w:rPr>
        <w:t>Investigación</w:t>
      </w:r>
      <w:proofErr w:type="spellEnd"/>
      <w:r w:rsidRPr="00FE308F">
        <w:rPr>
          <w:lang w:val="fr-FR"/>
        </w:rPr>
        <w:t xml:space="preserve"> </w:t>
      </w:r>
      <w:proofErr w:type="spellStart"/>
      <w:r w:rsidRPr="00FE308F">
        <w:rPr>
          <w:lang w:val="fr-FR"/>
        </w:rPr>
        <w:t>Biomédica</w:t>
      </w:r>
      <w:proofErr w:type="spellEnd"/>
      <w:r w:rsidRPr="00FE308F">
        <w:rPr>
          <w:lang w:val="fr-FR"/>
        </w:rPr>
        <w:t xml:space="preserve"> en Red de </w:t>
      </w:r>
      <w:proofErr w:type="spellStart"/>
      <w:r w:rsidRPr="00FE308F">
        <w:rPr>
          <w:lang w:val="fr-FR"/>
        </w:rPr>
        <w:t>Enfermedades</w:t>
      </w:r>
      <w:proofErr w:type="spellEnd"/>
      <w:r w:rsidRPr="00FE308F">
        <w:rPr>
          <w:lang w:val="fr-FR"/>
        </w:rPr>
        <w:t xml:space="preserve"> </w:t>
      </w:r>
      <w:proofErr w:type="spellStart"/>
      <w:r w:rsidRPr="00FE308F">
        <w:rPr>
          <w:lang w:val="fr-FR"/>
        </w:rPr>
        <w:t>Cardiovasculares</w:t>
      </w:r>
      <w:proofErr w:type="spellEnd"/>
      <w:r w:rsidRPr="00FE308F">
        <w:rPr>
          <w:lang w:val="fr-FR"/>
        </w:rPr>
        <w:t xml:space="preserve"> (CIBERCV), Madrid, Spain</w:t>
      </w:r>
    </w:p>
    <w:p w14:paraId="246594AA" w14:textId="77777777" w:rsidR="00E14F14" w:rsidRPr="006F3B91" w:rsidRDefault="00E14F14" w:rsidP="00A41E3F">
      <w:pPr>
        <w:rPr>
          <w:lang w:val="fr-FR"/>
        </w:rPr>
      </w:pPr>
    </w:p>
    <w:p w14:paraId="6804F38E" w14:textId="77777777" w:rsidR="00E14F14" w:rsidRPr="00431F28" w:rsidRDefault="00E14F14" w:rsidP="00FB78FA">
      <w:pPr>
        <w:rPr>
          <w:b/>
          <w:bCs/>
        </w:rPr>
      </w:pPr>
      <w:r w:rsidRPr="00431F28">
        <w:rPr>
          <w:vertAlign w:val="superscript"/>
        </w:rPr>
        <w:t>1</w:t>
      </w:r>
      <w:r>
        <w:rPr>
          <w:vertAlign w:val="superscript"/>
        </w:rPr>
        <w:t>6</w:t>
      </w:r>
      <w:r w:rsidRPr="00431F28">
        <w:rPr>
          <w:vertAlign w:val="superscript"/>
        </w:rPr>
        <w:t xml:space="preserve"> </w:t>
      </w:r>
      <w:r w:rsidRPr="00431F28">
        <w:t xml:space="preserve">Department of Cardiology, the First Affiliated </w:t>
      </w:r>
      <w:smartTag w:uri="urn:schemas-microsoft-com:office:smarttags" w:element="PlaceType">
        <w:r w:rsidRPr="00431F28">
          <w:t>Hospital</w:t>
        </w:r>
      </w:smartTag>
      <w:r w:rsidRPr="00431F28">
        <w:t xml:space="preserve"> of </w:t>
      </w:r>
      <w:smartTag w:uri="urn:schemas-microsoft-com:office:smarttags" w:element="PlaceName">
        <w:r w:rsidRPr="00431F28">
          <w:t>Xiamen</w:t>
        </w:r>
      </w:smartTag>
      <w:r w:rsidRPr="00431F28">
        <w:t xml:space="preserve"> University, </w:t>
      </w:r>
      <w:smartTag w:uri="urn:schemas-microsoft-com:office:smarttags" w:element="place">
        <w:smartTag w:uri="urn:schemas-microsoft-com:office:smarttags" w:element="City">
          <w:r w:rsidRPr="00431F28">
            <w:t>Xiamen</w:t>
          </w:r>
        </w:smartTag>
        <w:r w:rsidRPr="00431F28">
          <w:t xml:space="preserve">, </w:t>
        </w:r>
        <w:smartTag w:uri="urn:schemas-microsoft-com:office:smarttags" w:element="State">
          <w:r w:rsidRPr="00431F28">
            <w:t>Fujian</w:t>
          </w:r>
        </w:smartTag>
        <w:r w:rsidRPr="00431F28">
          <w:t xml:space="preserve">, </w:t>
        </w:r>
        <w:smartTag w:uri="urn:schemas-microsoft-com:office:smarttags" w:element="country-region">
          <w:r w:rsidRPr="00431F28">
            <w:t>China</w:t>
          </w:r>
        </w:smartTag>
      </w:smartTag>
    </w:p>
    <w:p w14:paraId="21007876" w14:textId="77777777" w:rsidR="00E14F14" w:rsidRDefault="00E14F14" w:rsidP="00FB78FA">
      <w:pPr>
        <w:rPr>
          <w:lang w:val="fr-FR"/>
        </w:rPr>
      </w:pPr>
      <w:r>
        <w:rPr>
          <w:vertAlign w:val="superscript"/>
          <w:lang w:val="fr-FR"/>
        </w:rPr>
        <w:t>17</w:t>
      </w:r>
      <w:r w:rsidRPr="00431F28">
        <w:rPr>
          <w:vertAlign w:val="superscript"/>
          <w:lang w:val="fr-FR"/>
        </w:rPr>
        <w:t xml:space="preserve"> </w:t>
      </w:r>
      <w:r w:rsidRPr="00431F28">
        <w:rPr>
          <w:lang w:val="fr-FR"/>
        </w:rPr>
        <w:t xml:space="preserve">Service de Cardiologie et CNMR Maladies Cardiaques Héréditaires Rares, Hôpital Bichat, Paris, and Université Paris Diderot, Sorbonne, Paris, France </w:t>
      </w:r>
    </w:p>
    <w:p w14:paraId="2A1A1398" w14:textId="77777777" w:rsidR="00E14F14" w:rsidRPr="00431F28" w:rsidRDefault="00E14F14" w:rsidP="00FB78FA">
      <w:r w:rsidRPr="00431F28">
        <w:rPr>
          <w:vertAlign w:val="superscript"/>
        </w:rPr>
        <w:t>1</w:t>
      </w:r>
      <w:r>
        <w:rPr>
          <w:vertAlign w:val="superscript"/>
        </w:rPr>
        <w:t>8</w:t>
      </w:r>
      <w:r w:rsidRPr="00431F28">
        <w:rPr>
          <w:vertAlign w:val="superscript"/>
        </w:rPr>
        <w:t xml:space="preserve"> </w:t>
      </w:r>
      <w:r w:rsidRPr="00431F28">
        <w:t xml:space="preserve">Division of Cardiology, University of Torino, Department of Medical Sciences, </w:t>
      </w:r>
      <w:proofErr w:type="spellStart"/>
      <w:r w:rsidRPr="00431F28">
        <w:t>Città</w:t>
      </w:r>
      <w:proofErr w:type="spellEnd"/>
      <w:r w:rsidRPr="00431F28">
        <w:t xml:space="preserve"> </w:t>
      </w:r>
      <w:proofErr w:type="spellStart"/>
      <w:r w:rsidRPr="00431F28">
        <w:t>della</w:t>
      </w:r>
      <w:proofErr w:type="spellEnd"/>
      <w:r w:rsidRPr="00431F28">
        <w:t xml:space="preserve"> Salute e </w:t>
      </w:r>
      <w:proofErr w:type="spellStart"/>
      <w:r w:rsidRPr="00431F28">
        <w:t>della</w:t>
      </w:r>
      <w:proofErr w:type="spellEnd"/>
      <w:r w:rsidRPr="00431F28">
        <w:t xml:space="preserve"> </w:t>
      </w:r>
      <w:proofErr w:type="spellStart"/>
      <w:r w:rsidRPr="00431F28">
        <w:t>Scienza</w:t>
      </w:r>
      <w:proofErr w:type="spellEnd"/>
      <w:r w:rsidRPr="00431F28">
        <w:t xml:space="preserve"> Hospital, Torino, Italy</w:t>
      </w:r>
    </w:p>
    <w:p w14:paraId="456E880F" w14:textId="77777777" w:rsidR="00E14F14" w:rsidRPr="0028308E" w:rsidRDefault="00E14F14" w:rsidP="0028308E">
      <w:r>
        <w:rPr>
          <w:vertAlign w:val="superscript"/>
        </w:rPr>
        <w:t>19</w:t>
      </w:r>
      <w:r w:rsidRPr="0028308E">
        <w:rPr>
          <w:vertAlign w:val="superscript"/>
        </w:rPr>
        <w:t xml:space="preserve"> </w:t>
      </w:r>
      <w:r w:rsidRPr="0028308E">
        <w:t>Cardiovascular Sciences, St. George's University of London and Cardiology Clinical Academic Group St. George's University Hospitals NHS Foundation Trust, London, UK</w:t>
      </w:r>
    </w:p>
    <w:p w14:paraId="3C66791F" w14:textId="77777777" w:rsidR="00E14F14" w:rsidRPr="00FE308F" w:rsidRDefault="00E14F14" w:rsidP="005B5086">
      <w:pPr>
        <w:rPr>
          <w:lang w:val="fr-FR"/>
        </w:rPr>
      </w:pPr>
      <w:r>
        <w:rPr>
          <w:vertAlign w:val="superscript"/>
          <w:lang w:val="fr-FR"/>
        </w:rPr>
        <w:t>20</w:t>
      </w:r>
      <w:r w:rsidRPr="00FE308F">
        <w:rPr>
          <w:vertAlign w:val="superscript"/>
          <w:lang w:val="fr-FR"/>
        </w:rPr>
        <w:t xml:space="preserve"> </w:t>
      </w:r>
      <w:proofErr w:type="spellStart"/>
      <w:r w:rsidRPr="00FE308F">
        <w:rPr>
          <w:lang w:val="fr-FR"/>
        </w:rPr>
        <w:t>Molecular</w:t>
      </w:r>
      <w:proofErr w:type="spellEnd"/>
      <w:r w:rsidRPr="00FE308F">
        <w:rPr>
          <w:lang w:val="fr-FR"/>
        </w:rPr>
        <w:t xml:space="preserve"> </w:t>
      </w:r>
      <w:proofErr w:type="spellStart"/>
      <w:r w:rsidRPr="00FE308F">
        <w:rPr>
          <w:lang w:val="fr-FR"/>
        </w:rPr>
        <w:t>Cardiology</w:t>
      </w:r>
      <w:proofErr w:type="spellEnd"/>
      <w:r w:rsidRPr="00FE308F">
        <w:rPr>
          <w:lang w:val="fr-FR"/>
        </w:rPr>
        <w:t xml:space="preserve">, </w:t>
      </w:r>
      <w:proofErr w:type="spellStart"/>
      <w:r w:rsidRPr="00FE308F">
        <w:rPr>
          <w:lang w:val="fr-FR"/>
        </w:rPr>
        <w:t>Istituti</w:t>
      </w:r>
      <w:proofErr w:type="spellEnd"/>
      <w:r w:rsidRPr="00FE308F">
        <w:rPr>
          <w:lang w:val="fr-FR"/>
        </w:rPr>
        <w:t xml:space="preserve"> </w:t>
      </w:r>
      <w:proofErr w:type="spellStart"/>
      <w:r w:rsidRPr="00FE308F">
        <w:rPr>
          <w:lang w:val="fr-FR"/>
        </w:rPr>
        <w:t>Clinici</w:t>
      </w:r>
      <w:proofErr w:type="spellEnd"/>
      <w:r w:rsidRPr="00FE308F">
        <w:rPr>
          <w:lang w:val="fr-FR"/>
        </w:rPr>
        <w:t xml:space="preserve"> </w:t>
      </w:r>
      <w:proofErr w:type="spellStart"/>
      <w:r w:rsidRPr="00FE308F">
        <w:rPr>
          <w:lang w:val="fr-FR"/>
        </w:rPr>
        <w:t>Scientifici</w:t>
      </w:r>
      <w:proofErr w:type="spellEnd"/>
      <w:r w:rsidRPr="00FE308F">
        <w:rPr>
          <w:lang w:val="fr-FR"/>
        </w:rPr>
        <w:t xml:space="preserve"> </w:t>
      </w:r>
      <w:proofErr w:type="spellStart"/>
      <w:r w:rsidRPr="00FE308F">
        <w:rPr>
          <w:lang w:val="fr-FR"/>
        </w:rPr>
        <w:t>Maugeri</w:t>
      </w:r>
      <w:proofErr w:type="spellEnd"/>
      <w:r w:rsidRPr="00FE308F">
        <w:rPr>
          <w:lang w:val="fr-FR"/>
        </w:rPr>
        <w:t xml:space="preserve"> IRCCS, </w:t>
      </w:r>
      <w:proofErr w:type="spellStart"/>
      <w:r w:rsidRPr="00FE308F">
        <w:rPr>
          <w:lang w:val="fr-FR"/>
        </w:rPr>
        <w:t>Pavia</w:t>
      </w:r>
      <w:proofErr w:type="spellEnd"/>
      <w:r w:rsidRPr="00FE308F">
        <w:rPr>
          <w:lang w:val="fr-FR"/>
        </w:rPr>
        <w:t xml:space="preserve">, </w:t>
      </w:r>
      <w:proofErr w:type="spellStart"/>
      <w:r w:rsidRPr="00FE308F">
        <w:rPr>
          <w:lang w:val="fr-FR"/>
        </w:rPr>
        <w:t>Italy</w:t>
      </w:r>
      <w:proofErr w:type="spellEnd"/>
    </w:p>
    <w:p w14:paraId="424173A7" w14:textId="77777777" w:rsidR="00E14F14" w:rsidRPr="00FE308F" w:rsidRDefault="00E14F14" w:rsidP="002C2745">
      <w:r>
        <w:rPr>
          <w:vertAlign w:val="superscript"/>
        </w:rPr>
        <w:t>21</w:t>
      </w:r>
      <w:r w:rsidRPr="00FE308F">
        <w:rPr>
          <w:vertAlign w:val="superscript"/>
        </w:rPr>
        <w:t xml:space="preserve"> </w:t>
      </w:r>
      <w:r w:rsidRPr="00FE308F">
        <w:t xml:space="preserve">Cardiovascular Genetics Center, University of Girona-IDIBGI, </w:t>
      </w:r>
      <w:smartTag w:uri="urn:schemas-microsoft-com:office:smarttags" w:element="place">
        <w:smartTag w:uri="urn:schemas-microsoft-com:office:smarttags" w:element="City">
          <w:r w:rsidRPr="00FE308F">
            <w:t>Girona</w:t>
          </w:r>
        </w:smartTag>
        <w:r w:rsidRPr="00FE308F">
          <w:t xml:space="preserve">, </w:t>
        </w:r>
        <w:smartTag w:uri="urn:schemas-microsoft-com:office:smarttags" w:element="country-region">
          <w:r w:rsidRPr="00FE308F">
            <w:t>Spain</w:t>
          </w:r>
        </w:smartTag>
      </w:smartTag>
    </w:p>
    <w:p w14:paraId="63FE9BE4" w14:textId="77777777" w:rsidR="00E14F14" w:rsidRPr="00FE308F" w:rsidRDefault="00E14F14" w:rsidP="002C2745">
      <w:r w:rsidRPr="00FE308F">
        <w:rPr>
          <w:vertAlign w:val="superscript"/>
        </w:rPr>
        <w:t>2</w:t>
      </w:r>
      <w:r>
        <w:rPr>
          <w:vertAlign w:val="superscript"/>
        </w:rPr>
        <w:t>2</w:t>
      </w:r>
      <w:r w:rsidRPr="00FE308F">
        <w:rPr>
          <w:vertAlign w:val="superscript"/>
        </w:rPr>
        <w:t xml:space="preserve"> </w:t>
      </w:r>
      <w:r w:rsidRPr="00FE308F">
        <w:t xml:space="preserve">Medical Science Department, </w:t>
      </w:r>
      <w:smartTag w:uri="urn:schemas-microsoft-com:office:smarttags" w:element="PlaceType">
        <w:r w:rsidRPr="00FE308F">
          <w:t>School</w:t>
        </w:r>
      </w:smartTag>
      <w:r w:rsidRPr="00FE308F">
        <w:t xml:space="preserve"> of </w:t>
      </w:r>
      <w:smartTag w:uri="urn:schemas-microsoft-com:office:smarttags" w:element="PlaceName">
        <w:r w:rsidRPr="00FE308F">
          <w:t>Medicine</w:t>
        </w:r>
      </w:smartTag>
      <w:r w:rsidRPr="00FE308F">
        <w:t xml:space="preserve">, </w:t>
      </w:r>
      <w:smartTag w:uri="urn:schemas-microsoft-com:office:smarttags" w:element="PlaceType">
        <w:r w:rsidRPr="00FE308F">
          <w:t>University</w:t>
        </w:r>
      </w:smartTag>
      <w:r w:rsidRPr="00FE308F">
        <w:t xml:space="preserve"> of </w:t>
      </w:r>
      <w:smartTag w:uri="urn:schemas-microsoft-com:office:smarttags" w:element="PlaceName">
        <w:r w:rsidRPr="00FE308F">
          <w:t>Girona</w:t>
        </w:r>
      </w:smartTag>
      <w:r w:rsidRPr="00FE308F">
        <w:t xml:space="preserve">, </w:t>
      </w:r>
      <w:smartTag w:uri="urn:schemas-microsoft-com:office:smarttags" w:element="place">
        <w:smartTag w:uri="urn:schemas-microsoft-com:office:smarttags" w:element="City">
          <w:r w:rsidRPr="00FE308F">
            <w:t>Girona</w:t>
          </w:r>
        </w:smartTag>
        <w:r w:rsidRPr="00FE308F">
          <w:t xml:space="preserve">, </w:t>
        </w:r>
        <w:smartTag w:uri="urn:schemas-microsoft-com:office:smarttags" w:element="country-region">
          <w:r w:rsidRPr="00FE308F">
            <w:t>Spain</w:t>
          </w:r>
        </w:smartTag>
      </w:smartTag>
      <w:r w:rsidRPr="00FE308F">
        <w:t xml:space="preserve"> </w:t>
      </w:r>
    </w:p>
    <w:p w14:paraId="39AF6BF2" w14:textId="77777777" w:rsidR="00E14F14" w:rsidRPr="00FE308F" w:rsidRDefault="00E14F14" w:rsidP="002C2745">
      <w:r w:rsidRPr="00FE308F">
        <w:rPr>
          <w:vertAlign w:val="superscript"/>
        </w:rPr>
        <w:t>2</w:t>
      </w:r>
      <w:r>
        <w:rPr>
          <w:vertAlign w:val="superscript"/>
        </w:rPr>
        <w:t>3</w:t>
      </w:r>
      <w:r w:rsidRPr="00FE308F">
        <w:rPr>
          <w:vertAlign w:val="superscript"/>
        </w:rPr>
        <w:t xml:space="preserve"> </w:t>
      </w:r>
      <w:r w:rsidRPr="00FE308F">
        <w:t xml:space="preserve">Department of Cardiology, </w:t>
      </w:r>
      <w:proofErr w:type="spellStart"/>
      <w:smartTag w:uri="urn:schemas-microsoft-com:office:smarttags" w:element="PlaceName">
        <w:r w:rsidRPr="00FE308F">
          <w:t>Erasme</w:t>
        </w:r>
      </w:smartTag>
      <w:proofErr w:type="spellEnd"/>
      <w:r w:rsidRPr="00FE308F">
        <w:t xml:space="preserve"> </w:t>
      </w:r>
      <w:smartTag w:uri="urn:schemas-microsoft-com:office:smarttags" w:element="PlaceType">
        <w:r w:rsidRPr="00FE308F">
          <w:t>University</w:t>
        </w:r>
      </w:smartTag>
      <w:r w:rsidRPr="00FE308F">
        <w:t xml:space="preserve"> </w:t>
      </w:r>
      <w:smartTag w:uri="urn:schemas-microsoft-com:office:smarttags" w:element="PlaceType">
        <w:r w:rsidRPr="00FE308F">
          <w:t>Hospital</w:t>
        </w:r>
      </w:smartTag>
      <w:r w:rsidRPr="00FE308F">
        <w:t xml:space="preserve">, Université Libre de </w:t>
      </w:r>
      <w:proofErr w:type="spellStart"/>
      <w:r w:rsidRPr="00FE308F">
        <w:t>Bruxelles</w:t>
      </w:r>
      <w:proofErr w:type="spellEnd"/>
      <w:r w:rsidRPr="00FE308F">
        <w:t xml:space="preserve">, </w:t>
      </w:r>
      <w:smartTag w:uri="urn:schemas-microsoft-com:office:smarttags" w:element="place">
        <w:smartTag w:uri="urn:schemas-microsoft-com:office:smarttags" w:element="City">
          <w:r w:rsidRPr="00FE308F">
            <w:t>Brussels</w:t>
          </w:r>
        </w:smartTag>
        <w:r w:rsidRPr="00FE308F">
          <w:t xml:space="preserve">, </w:t>
        </w:r>
        <w:smartTag w:uri="urn:schemas-microsoft-com:office:smarttags" w:element="country-region">
          <w:r w:rsidRPr="00FE308F">
            <w:t>Belgium</w:t>
          </w:r>
        </w:smartTag>
      </w:smartTag>
    </w:p>
    <w:p w14:paraId="19CCEEE5" w14:textId="77777777" w:rsidR="00E14F14" w:rsidRPr="002C2745" w:rsidRDefault="00E14F14" w:rsidP="002C2745">
      <w:r w:rsidRPr="002C2745">
        <w:rPr>
          <w:vertAlign w:val="superscript"/>
        </w:rPr>
        <w:t>2</w:t>
      </w:r>
      <w:r>
        <w:rPr>
          <w:vertAlign w:val="superscript"/>
        </w:rPr>
        <w:t>4</w:t>
      </w:r>
      <w:r w:rsidRPr="002C2745">
        <w:rPr>
          <w:vertAlign w:val="superscript"/>
        </w:rPr>
        <w:t xml:space="preserve"> </w:t>
      </w:r>
      <w:smartTag w:uri="urn:schemas-microsoft-com:office:smarttags" w:element="State">
        <w:r w:rsidRPr="002C2745">
          <w:t>Quebec</w:t>
        </w:r>
      </w:smartTag>
      <w:r w:rsidRPr="002C2745">
        <w:t xml:space="preserve"> Heart and Lung Institute, </w:t>
      </w:r>
      <w:smartTag w:uri="urn:schemas-microsoft-com:office:smarttags" w:element="place">
        <w:smartTag w:uri="urn:schemas-microsoft-com:office:smarttags" w:element="City">
          <w:r w:rsidRPr="002C2745">
            <w:t>Quebec City</w:t>
          </w:r>
        </w:smartTag>
        <w:r w:rsidRPr="002C2745">
          <w:t xml:space="preserve">, </w:t>
        </w:r>
        <w:smartTag w:uri="urn:schemas-microsoft-com:office:smarttags" w:element="country-region">
          <w:r w:rsidRPr="002C2745">
            <w:t>Canada</w:t>
          </w:r>
        </w:smartTag>
      </w:smartTag>
    </w:p>
    <w:p w14:paraId="65F581B5" w14:textId="77777777" w:rsidR="00E14F14" w:rsidRPr="00FE308F" w:rsidRDefault="00E14F14" w:rsidP="002C2745">
      <w:r>
        <w:rPr>
          <w:vertAlign w:val="superscript"/>
        </w:rPr>
        <w:t>25</w:t>
      </w:r>
      <w:r w:rsidRPr="00FE308F">
        <w:rPr>
          <w:vertAlign w:val="superscript"/>
        </w:rPr>
        <w:t xml:space="preserve"> </w:t>
      </w:r>
      <w:r w:rsidRPr="00FE308F">
        <w:t xml:space="preserve">Division of Cardiology, </w:t>
      </w:r>
      <w:proofErr w:type="spellStart"/>
      <w:r w:rsidRPr="00FE308F">
        <w:t>Policlinico</w:t>
      </w:r>
      <w:proofErr w:type="spellEnd"/>
      <w:r w:rsidRPr="00FE308F">
        <w:t xml:space="preserve"> </w:t>
      </w:r>
      <w:proofErr w:type="spellStart"/>
      <w:r w:rsidRPr="00FE308F">
        <w:t>Casilino</w:t>
      </w:r>
      <w:proofErr w:type="spellEnd"/>
      <w:r w:rsidRPr="00FE308F">
        <w:t xml:space="preserve">, </w:t>
      </w:r>
      <w:smartTag w:uri="urn:schemas-microsoft-com:office:smarttags" w:element="place">
        <w:smartTag w:uri="urn:schemas-microsoft-com:office:smarttags" w:element="City">
          <w:r w:rsidRPr="00FE308F">
            <w:t>Roma</w:t>
          </w:r>
        </w:smartTag>
        <w:r w:rsidRPr="00FE308F">
          <w:t xml:space="preserve">, </w:t>
        </w:r>
        <w:smartTag w:uri="urn:schemas-microsoft-com:office:smarttags" w:element="country-region">
          <w:r w:rsidRPr="00FE308F">
            <w:t>Italy</w:t>
          </w:r>
        </w:smartTag>
      </w:smartTag>
    </w:p>
    <w:p w14:paraId="167DF7A4" w14:textId="77777777" w:rsidR="00E14F14" w:rsidRDefault="00E14F14" w:rsidP="00E5634C">
      <w:r>
        <w:rPr>
          <w:vertAlign w:val="superscript"/>
        </w:rPr>
        <w:t>26</w:t>
      </w:r>
      <w:r w:rsidRPr="00431F28">
        <w:rPr>
          <w:vertAlign w:val="superscript"/>
        </w:rPr>
        <w:t xml:space="preserve"> </w:t>
      </w:r>
      <w:r w:rsidRPr="00431F28">
        <w:t xml:space="preserve">Pediatric Arrhythmias, Electrophysiology and Sudden Death Unit Cardiology, Department Hospital Sant Joan de </w:t>
      </w:r>
      <w:proofErr w:type="spellStart"/>
      <w:r w:rsidRPr="00431F28">
        <w:t>Déu</w:t>
      </w:r>
      <w:proofErr w:type="spellEnd"/>
      <w:r w:rsidRPr="00431F28">
        <w:t xml:space="preserve">, </w:t>
      </w:r>
      <w:smartTag w:uri="urn:schemas-microsoft-com:office:smarttags" w:element="City">
        <w:r w:rsidRPr="00431F28">
          <w:t>Barcelona</w:t>
        </w:r>
      </w:smartTag>
      <w:r w:rsidRPr="00431F28">
        <w:t xml:space="preserve"> - </w:t>
      </w:r>
      <w:proofErr w:type="spellStart"/>
      <w:smartTag w:uri="urn:schemas-microsoft-com:office:smarttags" w:element="place">
        <w:smartTag w:uri="urn:schemas-microsoft-com:office:smarttags" w:element="City">
          <w:r w:rsidRPr="00431F28">
            <w:t>Universitat</w:t>
          </w:r>
          <w:proofErr w:type="spellEnd"/>
          <w:r w:rsidRPr="00431F28">
            <w:t xml:space="preserve"> de Barcelona</w:t>
          </w:r>
        </w:smartTag>
        <w:r w:rsidRPr="00431F28">
          <w:t xml:space="preserve">, </w:t>
        </w:r>
        <w:smartTag w:uri="urn:schemas-microsoft-com:office:smarttags" w:element="country-region">
          <w:r w:rsidRPr="00431F28">
            <w:t>Spain</w:t>
          </w:r>
        </w:smartTag>
      </w:smartTag>
    </w:p>
    <w:p w14:paraId="7991FDDB" w14:textId="77777777" w:rsidR="00E14F14" w:rsidRPr="00FE308F" w:rsidRDefault="00E14F14" w:rsidP="002C2745">
      <w:r>
        <w:rPr>
          <w:vertAlign w:val="superscript"/>
        </w:rPr>
        <w:t>27</w:t>
      </w:r>
      <w:r w:rsidRPr="00FE308F">
        <w:rPr>
          <w:vertAlign w:val="superscript"/>
        </w:rPr>
        <w:t xml:space="preserve"> </w:t>
      </w:r>
      <w:r w:rsidRPr="00FE308F">
        <w:t xml:space="preserve">The Heart Centre, </w:t>
      </w:r>
      <w:smartTag w:uri="urn:schemas-microsoft-com:office:smarttags" w:element="PlaceName">
        <w:r w:rsidRPr="00FE308F">
          <w:t>Copenhagen</w:t>
        </w:r>
      </w:smartTag>
      <w:r w:rsidRPr="00FE308F">
        <w:t xml:space="preserve"> </w:t>
      </w:r>
      <w:smartTag w:uri="urn:schemas-microsoft-com:office:smarttags" w:element="PlaceType">
        <w:r w:rsidRPr="00FE308F">
          <w:t>University</w:t>
        </w:r>
      </w:smartTag>
      <w:r w:rsidRPr="00FE308F">
        <w:t xml:space="preserve"> </w:t>
      </w:r>
      <w:smartTag w:uri="urn:schemas-microsoft-com:office:smarttags" w:element="PlaceType">
        <w:r w:rsidRPr="00FE308F">
          <w:t>Hospital</w:t>
        </w:r>
      </w:smartTag>
      <w:r w:rsidRPr="00FE308F">
        <w:t xml:space="preserve">, </w:t>
      </w:r>
      <w:smartTag w:uri="urn:schemas-microsoft-com:office:smarttags" w:element="place">
        <w:smartTag w:uri="urn:schemas-microsoft-com:office:smarttags" w:element="City">
          <w:r w:rsidRPr="00FE308F">
            <w:t>Copenhagen</w:t>
          </w:r>
        </w:smartTag>
        <w:r w:rsidRPr="00FE308F">
          <w:t xml:space="preserve">, </w:t>
        </w:r>
        <w:smartTag w:uri="urn:schemas-microsoft-com:office:smarttags" w:element="country-region">
          <w:r w:rsidRPr="00FE308F">
            <w:t>Denmark</w:t>
          </w:r>
        </w:smartTag>
      </w:smartTag>
    </w:p>
    <w:p w14:paraId="70C4ABFF" w14:textId="77777777" w:rsidR="00E14F14" w:rsidRPr="00FE308F" w:rsidRDefault="00E14F14" w:rsidP="002C2745">
      <w:r>
        <w:rPr>
          <w:vertAlign w:val="superscript"/>
        </w:rPr>
        <w:t>28</w:t>
      </w:r>
      <w:r w:rsidRPr="00FE308F">
        <w:t xml:space="preserve"> Department of Forensic Medicine, Faculty of Medical Sciences, </w:t>
      </w:r>
      <w:smartTag w:uri="urn:schemas-microsoft-com:office:smarttags" w:element="PlaceType">
        <w:r w:rsidRPr="00FE308F">
          <w:t>University</w:t>
        </w:r>
      </w:smartTag>
      <w:r w:rsidRPr="00FE308F">
        <w:t xml:space="preserve"> of </w:t>
      </w:r>
      <w:smartTag w:uri="urn:schemas-microsoft-com:office:smarttags" w:element="PlaceName">
        <w:r w:rsidRPr="00FE308F">
          <w:t>Copenhagen</w:t>
        </w:r>
      </w:smartTag>
      <w:r w:rsidRPr="00FE308F">
        <w:t xml:space="preserve">, </w:t>
      </w:r>
      <w:smartTag w:uri="urn:schemas-microsoft-com:office:smarttags" w:element="place">
        <w:smartTag w:uri="urn:schemas-microsoft-com:office:smarttags" w:element="City">
          <w:r w:rsidRPr="00FE308F">
            <w:t>Copenhagen</w:t>
          </w:r>
        </w:smartTag>
        <w:r w:rsidRPr="00FE308F">
          <w:t xml:space="preserve">, </w:t>
        </w:r>
        <w:smartTag w:uri="urn:schemas-microsoft-com:office:smarttags" w:element="country-region">
          <w:r w:rsidRPr="00FE308F">
            <w:t>Denmark</w:t>
          </w:r>
        </w:smartTag>
      </w:smartTag>
    </w:p>
    <w:p w14:paraId="44075624" w14:textId="77777777" w:rsidR="00E14F14" w:rsidRPr="00FE308F" w:rsidRDefault="00E14F14" w:rsidP="002C2745">
      <w:r w:rsidRPr="00FE308F">
        <w:rPr>
          <w:vertAlign w:val="superscript"/>
        </w:rPr>
        <w:t>2</w:t>
      </w:r>
      <w:r>
        <w:rPr>
          <w:vertAlign w:val="superscript"/>
        </w:rPr>
        <w:t>9</w:t>
      </w:r>
      <w:r w:rsidRPr="00FE308F">
        <w:rPr>
          <w:vertAlign w:val="superscript"/>
        </w:rPr>
        <w:t xml:space="preserve"> </w:t>
      </w:r>
      <w:r w:rsidRPr="00FE308F">
        <w:t xml:space="preserve">Division of Cardiac Arrhythmia, </w:t>
      </w:r>
      <w:smartTag w:uri="urn:schemas-microsoft-com:office:smarttags" w:element="PlaceName">
        <w:r w:rsidRPr="00FE308F">
          <w:t>Kansai</w:t>
        </w:r>
      </w:smartTag>
      <w:r w:rsidRPr="00FE308F">
        <w:t xml:space="preserve"> </w:t>
      </w:r>
      <w:smartTag w:uri="urn:schemas-microsoft-com:office:smarttags" w:element="PlaceName">
        <w:r w:rsidRPr="00FE308F">
          <w:t>Medical</w:t>
        </w:r>
      </w:smartTag>
      <w:r w:rsidRPr="00FE308F">
        <w:t xml:space="preserve"> </w:t>
      </w:r>
      <w:smartTag w:uri="urn:schemas-microsoft-com:office:smarttags" w:element="PlaceType">
        <w:r w:rsidRPr="00FE308F">
          <w:t>University</w:t>
        </w:r>
      </w:smartTag>
      <w:r w:rsidRPr="00FE308F">
        <w:t xml:space="preserve"> </w:t>
      </w:r>
      <w:smartTag w:uri="urn:schemas-microsoft-com:office:smarttags" w:element="PlaceName">
        <w:r w:rsidRPr="00FE308F">
          <w:t>Medical</w:t>
        </w:r>
      </w:smartTag>
      <w:r w:rsidRPr="00FE308F">
        <w:t xml:space="preserve"> </w:t>
      </w:r>
      <w:smartTag w:uri="urn:schemas-microsoft-com:office:smarttags" w:element="PlaceType">
        <w:r w:rsidRPr="00FE308F">
          <w:t>Center</w:t>
        </w:r>
      </w:smartTag>
      <w:r w:rsidRPr="00FE308F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FE308F">
            <w:t>Moriguchi</w:t>
          </w:r>
        </w:smartTag>
        <w:proofErr w:type="spellEnd"/>
        <w:r w:rsidRPr="00FE308F">
          <w:t xml:space="preserve">, </w:t>
        </w:r>
        <w:smartTag w:uri="urn:schemas-microsoft-com:office:smarttags" w:element="country-region">
          <w:r w:rsidRPr="00FE308F">
            <w:t>Japan</w:t>
          </w:r>
        </w:smartTag>
      </w:smartTag>
    </w:p>
    <w:p w14:paraId="68806A55" w14:textId="77777777" w:rsidR="00E14F14" w:rsidRDefault="00E14F14" w:rsidP="002C2745">
      <w:r>
        <w:rPr>
          <w:vertAlign w:val="superscript"/>
        </w:rPr>
        <w:t>30</w:t>
      </w:r>
      <w:r w:rsidRPr="00FE308F">
        <w:rPr>
          <w:vertAlign w:val="superscript"/>
        </w:rPr>
        <w:t xml:space="preserve"> </w:t>
      </w:r>
      <w:r>
        <w:t>Hannover Heart Rhythm Center</w:t>
      </w:r>
      <w:r w:rsidRPr="00FE308F">
        <w:t xml:space="preserve">, </w:t>
      </w:r>
      <w:r>
        <w:t xml:space="preserve">Department of Cardiology and Angiology, </w:t>
      </w:r>
      <w:smartTag w:uri="urn:schemas-microsoft-com:office:smarttags" w:element="PlaceName">
        <w:r w:rsidRPr="00FE308F">
          <w:t>Hannover</w:t>
        </w:r>
      </w:smartTag>
      <w:r w:rsidRPr="00FE308F">
        <w:t xml:space="preserve"> </w:t>
      </w:r>
      <w:smartTag w:uri="urn:schemas-microsoft-com:office:smarttags" w:element="PlaceName">
        <w:r w:rsidRPr="00FE308F">
          <w:t>Medical</w:t>
        </w:r>
      </w:smartTag>
      <w:r w:rsidRPr="00FE308F">
        <w:t xml:space="preserve"> </w:t>
      </w:r>
      <w:smartTag w:uri="urn:schemas-microsoft-com:office:smarttags" w:element="PlaceType">
        <w:r w:rsidRPr="00FE308F">
          <w:t>School</w:t>
        </w:r>
      </w:smartTag>
      <w:r w:rsidRPr="00FE308F">
        <w:t xml:space="preserve">, </w:t>
      </w:r>
      <w:smartTag w:uri="urn:schemas-microsoft-com:office:smarttags" w:element="place">
        <w:smartTag w:uri="urn:schemas-microsoft-com:office:smarttags" w:element="City">
          <w:r w:rsidRPr="00FE308F">
            <w:t>Hannover</w:t>
          </w:r>
        </w:smartTag>
        <w:r w:rsidRPr="00FE308F">
          <w:t xml:space="preserve">, </w:t>
        </w:r>
        <w:smartTag w:uri="urn:schemas-microsoft-com:office:smarttags" w:element="country-region">
          <w:r w:rsidRPr="00FE308F">
            <w:t>Germany</w:t>
          </w:r>
        </w:smartTag>
      </w:smartTag>
    </w:p>
    <w:p w14:paraId="217C351E" w14:textId="77777777" w:rsidR="00E14F14" w:rsidRPr="00256262" w:rsidRDefault="00E14F14" w:rsidP="00256262">
      <w:r>
        <w:rPr>
          <w:vertAlign w:val="superscript"/>
        </w:rPr>
        <w:t>31</w:t>
      </w:r>
      <w:r w:rsidRPr="00256262">
        <w:rPr>
          <w:vertAlign w:val="superscript"/>
        </w:rPr>
        <w:t xml:space="preserve"> </w:t>
      </w:r>
      <w:r w:rsidRPr="00256262">
        <w:t xml:space="preserve">Division of Cardiology, </w:t>
      </w:r>
      <w:smartTag w:uri="urn:schemas-microsoft-com:office:smarttags" w:element="place">
        <w:smartTag w:uri="urn:schemas-microsoft-com:office:smarttags" w:element="City">
          <w:r w:rsidRPr="00256262">
            <w:t xml:space="preserve">Hospital of </w:t>
          </w:r>
          <w:proofErr w:type="spellStart"/>
          <w:r w:rsidRPr="00256262">
            <w:t>Peschiera</w:t>
          </w:r>
          <w:proofErr w:type="spellEnd"/>
          <w:r w:rsidRPr="00256262">
            <w:t xml:space="preserve"> del Garda</w:t>
          </w:r>
        </w:smartTag>
        <w:r w:rsidRPr="00256262">
          <w:t xml:space="preserve">, </w:t>
        </w:r>
        <w:smartTag w:uri="urn:schemas-microsoft-com:office:smarttags" w:element="State">
          <w:r w:rsidRPr="00256262">
            <w:t>Veneto</w:t>
          </w:r>
        </w:smartTag>
        <w:r w:rsidRPr="00256262">
          <w:t xml:space="preserve">, </w:t>
        </w:r>
        <w:smartTag w:uri="urn:schemas-microsoft-com:office:smarttags" w:element="country-region">
          <w:r w:rsidRPr="00256262">
            <w:t>Italy</w:t>
          </w:r>
        </w:smartTag>
      </w:smartTag>
      <w:r w:rsidRPr="00256262">
        <w:t xml:space="preserve"> </w:t>
      </w:r>
    </w:p>
    <w:p w14:paraId="350E8B81" w14:textId="77777777" w:rsidR="00E14F14" w:rsidRPr="00FE308F" w:rsidRDefault="00E14F14" w:rsidP="00256262">
      <w:r>
        <w:rPr>
          <w:vertAlign w:val="superscript"/>
        </w:rPr>
        <w:t>32</w:t>
      </w:r>
      <w:r w:rsidRPr="00FE308F">
        <w:rPr>
          <w:vertAlign w:val="superscript"/>
        </w:rPr>
        <w:t xml:space="preserve"> </w:t>
      </w:r>
      <w:r w:rsidRPr="00FE308F">
        <w:t xml:space="preserve">Department of Cardiac, Thoracic and Vascular </w:t>
      </w:r>
      <w:smartTag w:uri="urn:schemas-microsoft-com:office:smarttags" w:element="PlaceName">
        <w:r w:rsidRPr="00FE308F">
          <w:t>Sciences</w:t>
        </w:r>
      </w:smartTag>
      <w:r w:rsidRPr="00FE308F">
        <w:t xml:space="preserve"> </w:t>
      </w:r>
      <w:smartTag w:uri="urn:schemas-microsoft-com:office:smarttags" w:element="PlaceType">
        <w:r w:rsidRPr="00FE308F">
          <w:t>University</w:t>
        </w:r>
      </w:smartTag>
      <w:r w:rsidRPr="00FE308F">
        <w:t xml:space="preserve"> of Padova, </w:t>
      </w:r>
      <w:smartTag w:uri="urn:schemas-microsoft-com:office:smarttags" w:element="place">
        <w:smartTag w:uri="urn:schemas-microsoft-com:office:smarttags" w:element="City">
          <w:r w:rsidRPr="00FE308F">
            <w:t>Padova</w:t>
          </w:r>
        </w:smartTag>
        <w:r w:rsidRPr="00FE308F">
          <w:t xml:space="preserve">, </w:t>
        </w:r>
        <w:smartTag w:uri="urn:schemas-microsoft-com:office:smarttags" w:element="country-region">
          <w:r w:rsidRPr="00FE308F">
            <w:t>Italy</w:t>
          </w:r>
        </w:smartTag>
      </w:smartTag>
    </w:p>
    <w:p w14:paraId="0A0A91E8" w14:textId="77777777" w:rsidR="00E14F14" w:rsidRPr="00FE308F" w:rsidRDefault="00E14F14" w:rsidP="002C2745">
      <w:r w:rsidRPr="00FE308F">
        <w:rPr>
          <w:vertAlign w:val="superscript"/>
        </w:rPr>
        <w:t>3</w:t>
      </w:r>
      <w:r>
        <w:rPr>
          <w:vertAlign w:val="superscript"/>
        </w:rPr>
        <w:t>3</w:t>
      </w:r>
      <w:r w:rsidRPr="00FE308F">
        <w:rPr>
          <w:vertAlign w:val="superscript"/>
        </w:rPr>
        <w:t xml:space="preserve"> </w:t>
      </w:r>
      <w:proofErr w:type="spellStart"/>
      <w:r w:rsidRPr="00FE308F">
        <w:t>Lankenau</w:t>
      </w:r>
      <w:proofErr w:type="spellEnd"/>
      <w:r w:rsidRPr="00FE308F">
        <w:t xml:space="preserve"> Medical Center, </w:t>
      </w:r>
      <w:smartTag w:uri="urn:schemas-microsoft-com:office:smarttags" w:element="place">
        <w:smartTag w:uri="urn:schemas-microsoft-com:office:smarttags" w:element="City">
          <w:r w:rsidRPr="00FE308F">
            <w:t>Wynnewood</w:t>
          </w:r>
        </w:smartTag>
        <w:r w:rsidRPr="00FE308F">
          <w:t xml:space="preserve">, </w:t>
        </w:r>
        <w:smartTag w:uri="urn:schemas-microsoft-com:office:smarttags" w:element="State">
          <w:r w:rsidRPr="00FE308F">
            <w:t>Pennsylvania</w:t>
          </w:r>
        </w:smartTag>
        <w:r w:rsidRPr="00FE308F">
          <w:t xml:space="preserve">, </w:t>
        </w:r>
        <w:smartTag w:uri="urn:schemas-microsoft-com:office:smarttags" w:element="country-region">
          <w:r w:rsidRPr="00FE308F">
            <w:t>USA</w:t>
          </w:r>
        </w:smartTag>
      </w:smartTag>
    </w:p>
    <w:p w14:paraId="528C340B" w14:textId="77777777" w:rsidR="00E14F14" w:rsidRPr="00FE308F" w:rsidRDefault="00E14F14" w:rsidP="002C2745">
      <w:r w:rsidRPr="00FE308F">
        <w:rPr>
          <w:vertAlign w:val="superscript"/>
        </w:rPr>
        <w:t>3</w:t>
      </w:r>
      <w:r>
        <w:rPr>
          <w:vertAlign w:val="superscript"/>
        </w:rPr>
        <w:t>4</w:t>
      </w:r>
      <w:r w:rsidRPr="00FE308F">
        <w:rPr>
          <w:vertAlign w:val="superscript"/>
        </w:rPr>
        <w:t xml:space="preserve"> </w:t>
      </w:r>
      <w:r w:rsidRPr="00FE308F">
        <w:t xml:space="preserve">Division of Cardiology, </w:t>
      </w:r>
      <w:smartTag w:uri="urn:schemas-microsoft-com:office:smarttags" w:element="PlaceName">
        <w:r w:rsidRPr="00FE308F">
          <w:t>Asan</w:t>
        </w:r>
      </w:smartTag>
      <w:r w:rsidRPr="00FE308F">
        <w:t xml:space="preserve"> </w:t>
      </w:r>
      <w:smartTag w:uri="urn:schemas-microsoft-com:office:smarttags" w:element="PlaceName">
        <w:r w:rsidRPr="00FE308F">
          <w:t>Medical</w:t>
        </w:r>
      </w:smartTag>
      <w:r w:rsidRPr="00FE308F">
        <w:t xml:space="preserve"> </w:t>
      </w:r>
      <w:smartTag w:uri="urn:schemas-microsoft-com:office:smarttags" w:element="PlaceType">
        <w:r w:rsidRPr="00FE308F">
          <w:t>Center</w:t>
        </w:r>
      </w:smartTag>
      <w:r w:rsidRPr="00FE308F">
        <w:t xml:space="preserve">, </w:t>
      </w:r>
      <w:smartTag w:uri="urn:schemas-microsoft-com:office:smarttags" w:element="PlaceType">
        <w:r w:rsidRPr="00FE308F">
          <w:t>University</w:t>
        </w:r>
      </w:smartTag>
      <w:r w:rsidRPr="00FE308F">
        <w:t xml:space="preserve"> of </w:t>
      </w:r>
      <w:smartTag w:uri="urn:schemas-microsoft-com:office:smarttags" w:element="PlaceName">
        <w:r w:rsidRPr="00FE308F">
          <w:t>Ulsan</w:t>
        </w:r>
      </w:smartTag>
      <w:r w:rsidRPr="00FE308F">
        <w:t xml:space="preserve"> </w:t>
      </w:r>
      <w:smartTag w:uri="urn:schemas-microsoft-com:office:smarttags" w:element="PlaceType">
        <w:r w:rsidRPr="00FE308F">
          <w:t>College</w:t>
        </w:r>
      </w:smartTag>
      <w:r w:rsidRPr="00FE308F">
        <w:t xml:space="preserve"> of </w:t>
      </w:r>
      <w:smartTag w:uri="urn:schemas-microsoft-com:office:smarttags" w:element="PlaceName">
        <w:r w:rsidRPr="00FE308F">
          <w:t>Medicine</w:t>
        </w:r>
      </w:smartTag>
      <w:r w:rsidRPr="00FE308F">
        <w:t xml:space="preserve">, </w:t>
      </w:r>
      <w:smartTag w:uri="urn:schemas-microsoft-com:office:smarttags" w:element="place">
        <w:smartTag w:uri="urn:schemas-microsoft-com:office:smarttags" w:element="City">
          <w:r w:rsidRPr="00FE308F">
            <w:t>Seoul</w:t>
          </w:r>
        </w:smartTag>
        <w:r w:rsidRPr="00FE308F">
          <w:t xml:space="preserve">, </w:t>
        </w:r>
        <w:smartTag w:uri="urn:schemas-microsoft-com:office:smarttags" w:element="country-region">
          <w:r w:rsidRPr="00FE308F">
            <w:t>Korea</w:t>
          </w:r>
        </w:smartTag>
      </w:smartTag>
    </w:p>
    <w:p w14:paraId="67B55DC4" w14:textId="77777777" w:rsidR="00E14F14" w:rsidRPr="00FE308F" w:rsidRDefault="00E14F14" w:rsidP="002C2745">
      <w:r w:rsidRPr="00FE308F">
        <w:rPr>
          <w:vertAlign w:val="superscript"/>
        </w:rPr>
        <w:t>3</w:t>
      </w:r>
      <w:r>
        <w:rPr>
          <w:vertAlign w:val="superscript"/>
        </w:rPr>
        <w:t>5</w:t>
      </w:r>
      <w:r w:rsidRPr="00FE308F">
        <w:t xml:space="preserve"> Heart Institute, </w:t>
      </w:r>
      <w:smartTag w:uri="urn:schemas-microsoft-com:office:smarttags" w:element="PlaceName">
        <w:r w:rsidRPr="00FE308F">
          <w:t>Hadassah</w:t>
        </w:r>
      </w:smartTag>
      <w:r w:rsidRPr="00FE308F">
        <w:t xml:space="preserve"> </w:t>
      </w:r>
      <w:smartTag w:uri="urn:schemas-microsoft-com:office:smarttags" w:element="PlaceType">
        <w:r w:rsidRPr="00FE308F">
          <w:t>University</w:t>
        </w:r>
      </w:smartTag>
      <w:r w:rsidRPr="00FE308F">
        <w:t xml:space="preserve"> </w:t>
      </w:r>
      <w:smartTag w:uri="urn:schemas-microsoft-com:office:smarttags" w:element="PlaceType">
        <w:r w:rsidRPr="00FE308F">
          <w:t>Hospital</w:t>
        </w:r>
      </w:smartTag>
      <w:r w:rsidRPr="00FE308F">
        <w:t xml:space="preserve">, </w:t>
      </w:r>
      <w:smartTag w:uri="urn:schemas-microsoft-com:office:smarttags" w:element="place">
        <w:smartTag w:uri="urn:schemas-microsoft-com:office:smarttags" w:element="City">
          <w:r w:rsidRPr="00FE308F">
            <w:t>Jerusalem</w:t>
          </w:r>
        </w:smartTag>
        <w:r w:rsidRPr="00FE308F">
          <w:t xml:space="preserve">, </w:t>
        </w:r>
        <w:smartTag w:uri="urn:schemas-microsoft-com:office:smarttags" w:element="country-region">
          <w:r w:rsidRPr="00FE308F">
            <w:t>Israel</w:t>
          </w:r>
        </w:smartTag>
      </w:smartTag>
      <w:r w:rsidRPr="00FE308F">
        <w:t>.</w:t>
      </w:r>
    </w:p>
    <w:bookmarkEnd w:id="0"/>
    <w:p w14:paraId="74576CC0" w14:textId="3E28C544" w:rsidR="00E14F14" w:rsidRDefault="00E14F14" w:rsidP="009F398D">
      <w:r w:rsidRPr="00FE308F">
        <w:rPr>
          <w:b/>
          <w:bCs/>
        </w:rPr>
        <w:t xml:space="preserve">Address for correspondence: </w:t>
      </w:r>
      <w:r>
        <w:t>Anat Milman</w:t>
      </w:r>
      <w:r w:rsidRPr="00FE308F">
        <w:t>, MD</w:t>
      </w:r>
      <w:r>
        <w:t xml:space="preserve"> PhD</w:t>
      </w:r>
    </w:p>
    <w:p w14:paraId="58F3FE5B" w14:textId="77777777" w:rsidR="00E14F14" w:rsidRPr="00814950" w:rsidRDefault="00E14F14" w:rsidP="00814950">
      <w:pPr>
        <w:ind w:left="1440" w:firstLine="720"/>
      </w:pPr>
      <w:proofErr w:type="spellStart"/>
      <w:r w:rsidRPr="00814950">
        <w:t>Davidai</w:t>
      </w:r>
      <w:proofErr w:type="spellEnd"/>
      <w:r w:rsidRPr="00814950">
        <w:t xml:space="preserve"> Arrhythmia Center,</w:t>
      </w:r>
      <w:r>
        <w:t xml:space="preserve"> </w:t>
      </w:r>
      <w:proofErr w:type="spellStart"/>
      <w:r w:rsidRPr="00814950">
        <w:t>Leviev</w:t>
      </w:r>
      <w:proofErr w:type="spellEnd"/>
      <w:r w:rsidRPr="00814950">
        <w:t xml:space="preserve"> Heart Center, Sheba Medical Center, </w:t>
      </w:r>
    </w:p>
    <w:p w14:paraId="2371C599" w14:textId="77777777" w:rsidR="00E14F14" w:rsidRPr="00814950" w:rsidRDefault="00E14F14" w:rsidP="00814950">
      <w:pPr>
        <w:ind w:left="1440" w:firstLine="720"/>
      </w:pPr>
      <w:r w:rsidRPr="00814950">
        <w:t xml:space="preserve">Tel </w:t>
      </w:r>
      <w:proofErr w:type="spellStart"/>
      <w:r w:rsidRPr="00814950">
        <w:t>Hashomer</w:t>
      </w:r>
      <w:proofErr w:type="spellEnd"/>
      <w:r w:rsidRPr="00814950">
        <w:t xml:space="preserve"> 5265601, </w:t>
      </w:r>
      <w:smartTag w:uri="urn:schemas-microsoft-com:office:smarttags" w:element="place">
        <w:smartTag w:uri="urn:schemas-microsoft-com:office:smarttags" w:element="country-region">
          <w:r w:rsidRPr="00814950">
            <w:t>Israel</w:t>
          </w:r>
        </w:smartTag>
      </w:smartTag>
      <w:r w:rsidRPr="00814950">
        <w:t>.</w:t>
      </w:r>
    </w:p>
    <w:p w14:paraId="5EB63E92" w14:textId="77777777" w:rsidR="00E14F14" w:rsidRPr="00FE308F" w:rsidRDefault="00E14F14" w:rsidP="00814950">
      <w:r>
        <w:tab/>
      </w:r>
      <w:r w:rsidRPr="00FE308F">
        <w:t xml:space="preserve">                  </w:t>
      </w:r>
      <w:r w:rsidRPr="00FE308F">
        <w:tab/>
        <w:t>Telephone: +972-</w:t>
      </w:r>
      <w:r>
        <w:t>54-3166651</w:t>
      </w:r>
    </w:p>
    <w:p w14:paraId="108B4587" w14:textId="41B6DF42" w:rsidR="00E14F14" w:rsidRDefault="00E14F14" w:rsidP="00814950">
      <w:pPr>
        <w:rPr>
          <w:rStyle w:val="Hyperlink"/>
          <w:rFonts w:cs="Arial"/>
        </w:rPr>
      </w:pPr>
      <w:r w:rsidRPr="00FE308F">
        <w:tab/>
      </w:r>
      <w:r w:rsidRPr="00FE308F">
        <w:tab/>
        <w:t xml:space="preserve">        </w:t>
      </w:r>
      <w:r w:rsidRPr="00FE308F">
        <w:tab/>
        <w:t xml:space="preserve">Email: </w:t>
      </w:r>
      <w:hyperlink r:id="rId7" w:history="1">
        <w:r w:rsidRPr="00EA0377">
          <w:rPr>
            <w:rStyle w:val="Hyperlink"/>
            <w:rFonts w:cs="Arial"/>
          </w:rPr>
          <w:t>anatmilman@gmail.com</w:t>
        </w:r>
      </w:hyperlink>
    </w:p>
    <w:p w14:paraId="1F9FC3D1" w14:textId="4C941DDD" w:rsidR="009F398D" w:rsidRDefault="009F398D" w:rsidP="009F398D">
      <w:pPr>
        <w:rPr>
          <w:b/>
          <w:bCs/>
        </w:rPr>
      </w:pPr>
      <w:r w:rsidRPr="009F398D">
        <w:rPr>
          <w:b/>
          <w:bCs/>
        </w:rPr>
        <w:lastRenderedPageBreak/>
        <w:t>Nonstandard Abbreviations and Acronyms</w:t>
      </w:r>
      <w:r>
        <w:rPr>
          <w:b/>
          <w:bCs/>
        </w:rPr>
        <w:t>:</w:t>
      </w:r>
    </w:p>
    <w:p w14:paraId="11CE38E5" w14:textId="6E64E1F0" w:rsidR="009F398D" w:rsidRDefault="009F398D" w:rsidP="009F398D">
      <w:proofErr w:type="spellStart"/>
      <w:r>
        <w:rPr>
          <w:rStyle w:val="Hyperlink"/>
          <w:rFonts w:cs="Arial"/>
          <w:color w:val="auto"/>
          <w:u w:val="none"/>
        </w:rPr>
        <w:t>BrS</w:t>
      </w:r>
      <w:proofErr w:type="spellEnd"/>
      <w:r>
        <w:rPr>
          <w:rStyle w:val="Hyperlink"/>
          <w:rFonts w:cs="Arial"/>
          <w:color w:val="auto"/>
          <w:u w:val="none"/>
        </w:rPr>
        <w:t xml:space="preserve"> - </w:t>
      </w:r>
      <w:proofErr w:type="spellStart"/>
      <w:r w:rsidRPr="007D5D51">
        <w:t>Brugada</w:t>
      </w:r>
      <w:proofErr w:type="spellEnd"/>
      <w:r w:rsidRPr="007D5D51">
        <w:t xml:space="preserve"> syndrome</w:t>
      </w:r>
    </w:p>
    <w:p w14:paraId="2F3CB5AA" w14:textId="20231A7A" w:rsidR="009F398D" w:rsidRDefault="009F398D" w:rsidP="009F398D">
      <w:r>
        <w:rPr>
          <w:rStyle w:val="Hyperlink"/>
          <w:rFonts w:cs="Arial"/>
          <w:color w:val="auto"/>
          <w:u w:val="none"/>
        </w:rPr>
        <w:t xml:space="preserve">S – </w:t>
      </w:r>
      <w:r>
        <w:t>spontaneous</w:t>
      </w:r>
    </w:p>
    <w:p w14:paraId="30D180C6" w14:textId="70A58D22" w:rsidR="009F398D" w:rsidRDefault="009F398D" w:rsidP="009F398D">
      <w:r>
        <w:rPr>
          <w:rStyle w:val="Hyperlink"/>
          <w:rFonts w:cs="Arial"/>
          <w:color w:val="auto"/>
          <w:u w:val="none"/>
        </w:rPr>
        <w:t xml:space="preserve">DI - </w:t>
      </w:r>
      <w:r>
        <w:t>drug-induced</w:t>
      </w:r>
    </w:p>
    <w:p w14:paraId="1A244B6A" w14:textId="3959BEDF" w:rsidR="009F398D" w:rsidRDefault="009F398D" w:rsidP="009F398D">
      <w:r>
        <w:rPr>
          <w:rStyle w:val="Hyperlink"/>
          <w:rFonts w:cs="Arial"/>
          <w:color w:val="auto"/>
          <w:u w:val="none"/>
        </w:rPr>
        <w:t xml:space="preserve">AE – </w:t>
      </w:r>
      <w:r w:rsidRPr="00A93F7D">
        <w:t>arrhythmic events</w:t>
      </w:r>
    </w:p>
    <w:p w14:paraId="42FC47DB" w14:textId="26709C0F" w:rsidR="009F398D" w:rsidRDefault="009F398D" w:rsidP="009F398D">
      <w:r>
        <w:rPr>
          <w:rStyle w:val="Hyperlink"/>
          <w:rFonts w:cs="Arial"/>
          <w:color w:val="auto"/>
          <w:u w:val="none"/>
        </w:rPr>
        <w:t xml:space="preserve">SCD - </w:t>
      </w:r>
      <w:r w:rsidRPr="00A93F7D">
        <w:t>sudden cardiac death</w:t>
      </w:r>
    </w:p>
    <w:p w14:paraId="491FB148" w14:textId="7587E60A" w:rsidR="009F398D" w:rsidRDefault="009F398D" w:rsidP="009F398D">
      <w:r>
        <w:rPr>
          <w:rStyle w:val="Hyperlink"/>
          <w:rFonts w:cs="Arial"/>
          <w:color w:val="auto"/>
          <w:u w:val="none"/>
        </w:rPr>
        <w:t xml:space="preserve">SABRUS - </w:t>
      </w:r>
      <w:r w:rsidRPr="00A93F7D">
        <w:t xml:space="preserve">Survey on Arrhythmic events in </w:t>
      </w:r>
      <w:proofErr w:type="spellStart"/>
      <w:r w:rsidRPr="00A93F7D">
        <w:t>Brugada</w:t>
      </w:r>
      <w:proofErr w:type="spellEnd"/>
      <w:r w:rsidRPr="00A93F7D">
        <w:t xml:space="preserve"> Syndrome</w:t>
      </w:r>
    </w:p>
    <w:p w14:paraId="79911566" w14:textId="569C9F69" w:rsidR="009F398D" w:rsidRDefault="009F398D" w:rsidP="009F398D">
      <w:r>
        <w:t>ICD</w:t>
      </w:r>
      <w:r>
        <w:t xml:space="preserve"> – implantable cardiac defibrillator </w:t>
      </w:r>
    </w:p>
    <w:p w14:paraId="519C6199" w14:textId="00C973B1" w:rsidR="009F398D" w:rsidRDefault="009F398D" w:rsidP="009F398D">
      <w:r>
        <w:t xml:space="preserve">VF – ventricular fibrillation </w:t>
      </w:r>
    </w:p>
    <w:p w14:paraId="4B6801D3" w14:textId="77777777" w:rsidR="009F398D" w:rsidRPr="009F398D" w:rsidRDefault="009F398D" w:rsidP="009F398D">
      <w:pPr>
        <w:rPr>
          <w:rStyle w:val="Hyperlink"/>
          <w:rFonts w:cs="Arial"/>
          <w:color w:val="auto"/>
          <w:u w:val="none"/>
        </w:rPr>
      </w:pPr>
    </w:p>
    <w:p w14:paraId="7FCC9F0C" w14:textId="77777777" w:rsidR="009F398D" w:rsidRDefault="009F398D" w:rsidP="00814950"/>
    <w:p w14:paraId="6F365281" w14:textId="77777777" w:rsidR="009F398D" w:rsidRDefault="009F398D" w:rsidP="00814950">
      <w:pPr>
        <w:spacing w:line="480" w:lineRule="auto"/>
      </w:pPr>
    </w:p>
    <w:p w14:paraId="0BBD93B9" w14:textId="77777777" w:rsidR="009F398D" w:rsidRDefault="009F398D" w:rsidP="00814950">
      <w:pPr>
        <w:spacing w:line="480" w:lineRule="auto"/>
      </w:pPr>
    </w:p>
    <w:p w14:paraId="0E22E328" w14:textId="77777777" w:rsidR="009F398D" w:rsidRDefault="009F398D" w:rsidP="00814950">
      <w:pPr>
        <w:spacing w:line="480" w:lineRule="auto"/>
      </w:pPr>
    </w:p>
    <w:p w14:paraId="33DA59A7" w14:textId="77777777" w:rsidR="009F398D" w:rsidRDefault="009F398D" w:rsidP="00814950">
      <w:pPr>
        <w:spacing w:line="480" w:lineRule="auto"/>
      </w:pPr>
    </w:p>
    <w:p w14:paraId="32A99CD9" w14:textId="77777777" w:rsidR="009F398D" w:rsidRDefault="009F398D" w:rsidP="00814950">
      <w:pPr>
        <w:spacing w:line="480" w:lineRule="auto"/>
      </w:pPr>
    </w:p>
    <w:p w14:paraId="749FBFE7" w14:textId="77777777" w:rsidR="009F398D" w:rsidRDefault="009F398D" w:rsidP="00814950">
      <w:pPr>
        <w:spacing w:line="480" w:lineRule="auto"/>
      </w:pPr>
    </w:p>
    <w:p w14:paraId="5B456034" w14:textId="77777777" w:rsidR="009F398D" w:rsidRDefault="009F398D" w:rsidP="00814950">
      <w:pPr>
        <w:spacing w:line="480" w:lineRule="auto"/>
      </w:pPr>
    </w:p>
    <w:p w14:paraId="4D176F7D" w14:textId="77777777" w:rsidR="009F398D" w:rsidRDefault="009F398D" w:rsidP="00814950">
      <w:pPr>
        <w:spacing w:line="480" w:lineRule="auto"/>
      </w:pPr>
    </w:p>
    <w:p w14:paraId="044903F2" w14:textId="77777777" w:rsidR="009F398D" w:rsidRDefault="009F398D" w:rsidP="00814950">
      <w:pPr>
        <w:spacing w:line="480" w:lineRule="auto"/>
      </w:pPr>
    </w:p>
    <w:p w14:paraId="365F034B" w14:textId="77777777" w:rsidR="009F398D" w:rsidRDefault="009F398D" w:rsidP="00814950">
      <w:pPr>
        <w:spacing w:line="480" w:lineRule="auto"/>
      </w:pPr>
    </w:p>
    <w:p w14:paraId="28D52EE4" w14:textId="77777777" w:rsidR="009F398D" w:rsidRDefault="009F398D" w:rsidP="00814950">
      <w:pPr>
        <w:spacing w:line="480" w:lineRule="auto"/>
      </w:pPr>
    </w:p>
    <w:p w14:paraId="0D705176" w14:textId="77777777" w:rsidR="009F398D" w:rsidRDefault="009F398D" w:rsidP="00814950">
      <w:pPr>
        <w:spacing w:line="480" w:lineRule="auto"/>
      </w:pPr>
    </w:p>
    <w:p w14:paraId="27D59990" w14:textId="77777777" w:rsidR="009F398D" w:rsidRDefault="009F398D" w:rsidP="00814950">
      <w:pPr>
        <w:spacing w:line="480" w:lineRule="auto"/>
      </w:pPr>
    </w:p>
    <w:p w14:paraId="49F70164" w14:textId="64839AC6" w:rsidR="00E14F14" w:rsidRPr="00A93F7D" w:rsidRDefault="00E14F14" w:rsidP="00814950">
      <w:pPr>
        <w:spacing w:line="480" w:lineRule="auto"/>
      </w:pPr>
      <w:r w:rsidRPr="007D5D51">
        <w:lastRenderedPageBreak/>
        <w:t xml:space="preserve">Patients with </w:t>
      </w:r>
      <w:proofErr w:type="spellStart"/>
      <w:r w:rsidRPr="007D5D51">
        <w:t>Brugada</w:t>
      </w:r>
      <w:proofErr w:type="spellEnd"/>
      <w:r w:rsidRPr="007D5D51">
        <w:t xml:space="preserve"> syndrome (</w:t>
      </w:r>
      <w:proofErr w:type="spellStart"/>
      <w:r w:rsidRPr="007D5D51">
        <w:t>BrS</w:t>
      </w:r>
      <w:proofErr w:type="spellEnd"/>
      <w:r w:rsidRPr="007D5D51">
        <w:t xml:space="preserve">) </w:t>
      </w:r>
      <w:r>
        <w:t xml:space="preserve">may display either a spontaneous (S) or a drug-induced (DI) ECG pattern. </w:t>
      </w:r>
      <w:r w:rsidRPr="00A93F7D">
        <w:t xml:space="preserve">The latter group is considered at a lower risk of arrhythmic events (AE) and sudden cardiac death (SCD).  The only study that compared these two groups in </w:t>
      </w:r>
      <w:proofErr w:type="spellStart"/>
      <w:r w:rsidRPr="00A93F7D">
        <w:t>BrS</w:t>
      </w:r>
      <w:proofErr w:type="spellEnd"/>
      <w:r>
        <w:t xml:space="preserve"> </w:t>
      </w:r>
      <w:r w:rsidRPr="00A93F7D">
        <w:t xml:space="preserve">associated with AEs comprised a small cohort of 44 patients (1). </w:t>
      </w:r>
    </w:p>
    <w:p w14:paraId="23FD3FC2" w14:textId="77777777" w:rsidR="00E14F14" w:rsidRDefault="00E14F14" w:rsidP="0066218B">
      <w:pPr>
        <w:spacing w:line="480" w:lineRule="auto"/>
      </w:pPr>
      <w:bookmarkStart w:id="1" w:name="_Hlk94084970"/>
      <w:r w:rsidRPr="00A93F7D">
        <w:t xml:space="preserve">The SABRUS (Survey on Arrhythmic events in </w:t>
      </w:r>
      <w:proofErr w:type="spellStart"/>
      <w:r w:rsidRPr="00A93F7D">
        <w:t>Brugada</w:t>
      </w:r>
      <w:proofErr w:type="spellEnd"/>
      <w:r w:rsidRPr="00A93F7D">
        <w:t xml:space="preserve"> Syndrome) gather</w:t>
      </w:r>
      <w:r>
        <w:t>s</w:t>
      </w:r>
      <w:r w:rsidRPr="00A93F7D">
        <w:t xml:space="preserve"> the largest cohort of patients with </w:t>
      </w:r>
      <w:proofErr w:type="spellStart"/>
      <w:r w:rsidRPr="00A93F7D">
        <w:t>BrS</w:t>
      </w:r>
      <w:proofErr w:type="spellEnd"/>
      <w:r w:rsidRPr="00A93F7D">
        <w:t xml:space="preserve"> and AEs published to date</w:t>
      </w:r>
      <w:bookmarkEnd w:id="1"/>
      <w:r w:rsidRPr="00A93F7D">
        <w:t xml:space="preserve"> (2).</w:t>
      </w:r>
      <w:r>
        <w:t xml:space="preserve"> </w:t>
      </w:r>
      <w:bookmarkStart w:id="2" w:name="_Hlk112665645"/>
      <w:r w:rsidRPr="00C26481">
        <w:t xml:space="preserve">The data that support the findings of this study are available from the corresponding author upon reasonable request. </w:t>
      </w:r>
      <w:r>
        <w:t xml:space="preserve">Patients were divided into 2 groups according to their AE presentation: group A presented with aborted cardiac arrest prior to diagnosis of </w:t>
      </w:r>
      <w:proofErr w:type="spellStart"/>
      <w:r>
        <w:t>BrS</w:t>
      </w:r>
      <w:proofErr w:type="spellEnd"/>
      <w:r>
        <w:t xml:space="preserve"> and group B were </w:t>
      </w:r>
      <w:proofErr w:type="spellStart"/>
      <w:r>
        <w:t>Brugada</w:t>
      </w:r>
      <w:proofErr w:type="spellEnd"/>
      <w:r>
        <w:t xml:space="preserve"> patients implanted prophylactically with an ICD which proved to be justified during follow up.</w:t>
      </w:r>
      <w:bookmarkEnd w:id="2"/>
      <w:r>
        <w:t xml:space="preserve">  </w:t>
      </w:r>
      <w:r w:rsidRPr="00A93F7D">
        <w:t>The present study compares D</w:t>
      </w:r>
      <w:r>
        <w:t>I</w:t>
      </w:r>
      <w:r w:rsidRPr="00A93F7D">
        <w:t>-</w:t>
      </w:r>
      <w:proofErr w:type="spellStart"/>
      <w:r w:rsidRPr="00A93F7D">
        <w:t>BrS</w:t>
      </w:r>
      <w:proofErr w:type="spellEnd"/>
      <w:r w:rsidRPr="00A93F7D">
        <w:t xml:space="preserve"> and S-</w:t>
      </w:r>
      <w:proofErr w:type="spellStart"/>
      <w:r w:rsidRPr="00A93F7D">
        <w:t>BrS</w:t>
      </w:r>
      <w:proofErr w:type="spellEnd"/>
      <w:r w:rsidRPr="00A93F7D">
        <w:t xml:space="preserve"> patients from SABRUS.</w:t>
      </w:r>
      <w:r>
        <w:t xml:space="preserve"> </w:t>
      </w:r>
      <w:r w:rsidRPr="009F398D">
        <w:rPr>
          <w:b/>
          <w:bCs/>
        </w:rPr>
        <w:t xml:space="preserve">The study was approved by the Institutional Committee on Human Research at the Tel Aviv </w:t>
      </w:r>
      <w:proofErr w:type="spellStart"/>
      <w:r w:rsidRPr="009F398D">
        <w:rPr>
          <w:b/>
          <w:bCs/>
        </w:rPr>
        <w:t>Sourasky</w:t>
      </w:r>
      <w:proofErr w:type="spellEnd"/>
      <w:r w:rsidRPr="009F398D">
        <w:rPr>
          <w:b/>
          <w:bCs/>
        </w:rPr>
        <w:t xml:space="preserve"> Medical Center.</w:t>
      </w:r>
      <w:r>
        <w:t xml:space="preserve"> </w:t>
      </w:r>
      <w:r w:rsidRPr="00BA307F">
        <w:t xml:space="preserve">Continuous variables are presented as </w:t>
      </w:r>
      <w:proofErr w:type="spellStart"/>
      <w:r w:rsidRPr="0066218B">
        <w:t>mean±SD</w:t>
      </w:r>
      <w:proofErr w:type="spellEnd"/>
      <w:r w:rsidRPr="00BA307F">
        <w:t xml:space="preserve"> or median (interquartile range) and compared using the student’s t-test or Mann-Whitney U test as appropriate.  Categorical variables are presented by absolute numbers and proportions and compared using the χ2 test or Fisher exact test. All tests were 2-tailed, and a P &lt; 0.05 was considered statistically significant.</w:t>
      </w:r>
    </w:p>
    <w:p w14:paraId="4583B491" w14:textId="77777777" w:rsidR="00E14F14" w:rsidRPr="00A93F7D" w:rsidRDefault="00E14F14" w:rsidP="00814950">
      <w:pPr>
        <w:spacing w:line="480" w:lineRule="auto"/>
      </w:pPr>
      <w:r w:rsidRPr="00A93F7D">
        <w:t>Of the 678 SABRUS patients, 451 (66.5%) had S</w:t>
      </w:r>
      <w:r>
        <w:t>-</w:t>
      </w:r>
      <w:proofErr w:type="spellStart"/>
      <w:r>
        <w:t>BrS</w:t>
      </w:r>
      <w:proofErr w:type="spellEnd"/>
      <w:r>
        <w:t xml:space="preserve"> ECG</w:t>
      </w:r>
      <w:r w:rsidRPr="00A93F7D">
        <w:t xml:space="preserve"> and 227 (33.5%) had D</w:t>
      </w:r>
      <w:r>
        <w:t>I-</w:t>
      </w:r>
      <w:proofErr w:type="spellStart"/>
      <w:r>
        <w:t>BrS</w:t>
      </w:r>
      <w:proofErr w:type="spellEnd"/>
      <w:r>
        <w:t xml:space="preserve"> ECG</w:t>
      </w:r>
      <w:r w:rsidRPr="00A93F7D">
        <w:t xml:space="preserve"> (Table 1).  Females predominated in the D</w:t>
      </w:r>
      <w:r>
        <w:t>I-ECG</w:t>
      </w:r>
      <w:r w:rsidRPr="00A93F7D">
        <w:t xml:space="preserve"> group (15.4% vs 5.3%</w:t>
      </w:r>
      <w:r>
        <w:t xml:space="preserve"> in the S-ECG group</w:t>
      </w:r>
      <w:r w:rsidRPr="00A93F7D">
        <w:t xml:space="preserve">, p&lt;0.001), with less Asians than </w:t>
      </w:r>
      <w:r>
        <w:t>W</w:t>
      </w:r>
      <w:r w:rsidRPr="00A93F7D">
        <w:t>hite</w:t>
      </w:r>
      <w:r>
        <w:t>s</w:t>
      </w:r>
      <w:r w:rsidRPr="00A93F7D">
        <w:t xml:space="preserve"> (33.9% vs 42.8%</w:t>
      </w:r>
      <w:r>
        <w:t xml:space="preserve"> in the S-ECG group</w:t>
      </w:r>
      <w:r w:rsidRPr="00A93F7D">
        <w:t xml:space="preserve">, p=0.036). </w:t>
      </w:r>
      <w:bookmarkStart w:id="3" w:name="_Hlk115890611"/>
      <w:r w:rsidRPr="00A93F7D">
        <w:t>Higher inducibility rate</w:t>
      </w:r>
      <w:r>
        <w:t>s</w:t>
      </w:r>
      <w:r w:rsidRPr="00A93F7D">
        <w:t xml:space="preserve"> of ventricular fibrillation (VF) at electrophysiologic study (EPS) w</w:t>
      </w:r>
      <w:r>
        <w:t>ere</w:t>
      </w:r>
      <w:r w:rsidRPr="00A93F7D">
        <w:t xml:space="preserve"> found in the S</w:t>
      </w:r>
      <w:r>
        <w:t>-ECG</w:t>
      </w:r>
      <w:r w:rsidRPr="00A93F7D">
        <w:t xml:space="preserve"> group</w:t>
      </w:r>
      <w:r>
        <w:t xml:space="preserve"> </w:t>
      </w:r>
      <w:r w:rsidRPr="00A93F7D">
        <w:t>(67.3% vs 55%.7</w:t>
      </w:r>
      <w:r w:rsidRPr="00D577A1">
        <w:t xml:space="preserve"> </w:t>
      </w:r>
      <w:r>
        <w:t>in the DI-ECG groups</w:t>
      </w:r>
      <w:r w:rsidRPr="00A93F7D">
        <w:t xml:space="preserve">, </w:t>
      </w:r>
      <w:r>
        <w:t xml:space="preserve">respectively, </w:t>
      </w:r>
      <w:r w:rsidRPr="00A93F7D">
        <w:t>p=0.022)</w:t>
      </w:r>
      <w:r>
        <w:t>, with a similar rate of EPS performed in both groups (61.7% in the DI-ECG group vs 57.6% in the S-ECG group, p=0.315)</w:t>
      </w:r>
      <w:r w:rsidRPr="00A93F7D">
        <w:t xml:space="preserve">. </w:t>
      </w:r>
      <w:bookmarkEnd w:id="3"/>
      <w:r w:rsidRPr="00A93F7D">
        <w:t>There were no differences between D</w:t>
      </w:r>
      <w:r>
        <w:t>I-</w:t>
      </w:r>
      <w:proofErr w:type="spellStart"/>
      <w:r>
        <w:t>BrS</w:t>
      </w:r>
      <w:proofErr w:type="spellEnd"/>
      <w:r>
        <w:t xml:space="preserve"> ECG </w:t>
      </w:r>
      <w:r w:rsidRPr="00A93F7D">
        <w:t>and S</w:t>
      </w:r>
      <w:r>
        <w:t>-</w:t>
      </w:r>
      <w:proofErr w:type="spellStart"/>
      <w:r>
        <w:t>BrS</w:t>
      </w:r>
      <w:proofErr w:type="spellEnd"/>
      <w:r>
        <w:t xml:space="preserve"> ECG</w:t>
      </w:r>
      <w:r w:rsidRPr="00A93F7D">
        <w:t xml:space="preserve"> patients regarding age at AE, proband status, history of syncope, </w:t>
      </w:r>
      <w:r>
        <w:t xml:space="preserve">AE presentation, </w:t>
      </w:r>
      <w:r w:rsidRPr="00A93F7D">
        <w:t xml:space="preserve">family history of sudden cardiac death (SCD), fever related events and genetic analysis. </w:t>
      </w:r>
    </w:p>
    <w:p w14:paraId="68B2F644" w14:textId="77777777" w:rsidR="00E14F14" w:rsidRPr="00302570" w:rsidRDefault="00E14F14" w:rsidP="0061467E">
      <w:pPr>
        <w:spacing w:line="480" w:lineRule="auto"/>
      </w:pPr>
      <w:r w:rsidRPr="00302570">
        <w:lastRenderedPageBreak/>
        <w:t>To the best of our knowledge this is the first study comparing</w:t>
      </w:r>
      <w:r>
        <w:t xml:space="preserve"> </w:t>
      </w:r>
      <w:proofErr w:type="spellStart"/>
      <w:r>
        <w:t>BrS</w:t>
      </w:r>
      <w:proofErr w:type="spellEnd"/>
      <w:r>
        <w:t xml:space="preserve"> patients with S-ECG and DI-ECG </w:t>
      </w:r>
      <w:r w:rsidRPr="00302570">
        <w:t xml:space="preserve">in a large </w:t>
      </w:r>
      <w:r>
        <w:t xml:space="preserve">population </w:t>
      </w:r>
      <w:r w:rsidRPr="00302570">
        <w:t>cohort with AEs.</w:t>
      </w:r>
      <w:bookmarkStart w:id="4" w:name="_Hlk112669004"/>
      <w:r w:rsidRPr="00302570">
        <w:t xml:space="preserve"> </w:t>
      </w:r>
      <w:r>
        <w:t xml:space="preserve">Although a previous paper by </w:t>
      </w:r>
      <w:proofErr w:type="spellStart"/>
      <w:r>
        <w:t>Tadros</w:t>
      </w:r>
      <w:proofErr w:type="spellEnd"/>
      <w:r>
        <w:t xml:space="preserve"> et al. (3) showed that 8% of patients tested by drug provocation for </w:t>
      </w:r>
      <w:proofErr w:type="spellStart"/>
      <w:r>
        <w:t>BrS</w:t>
      </w:r>
      <w:proofErr w:type="spellEnd"/>
      <w:r>
        <w:t xml:space="preserve"> could have false positive results, we assume, based on our findings of the SABRUS cohort (4) that all our patients with DI-ECG have </w:t>
      </w:r>
      <w:bookmarkStart w:id="5" w:name="_Hlk112669148"/>
      <w:r>
        <w:t xml:space="preserve">proven </w:t>
      </w:r>
      <w:proofErr w:type="spellStart"/>
      <w:r>
        <w:t>BrS</w:t>
      </w:r>
      <w:proofErr w:type="spellEnd"/>
      <w:r>
        <w:t xml:space="preserve">, and that the results of our study should be taken in this context only. </w:t>
      </w:r>
    </w:p>
    <w:p w14:paraId="349E7581" w14:textId="77777777" w:rsidR="00E14F14" w:rsidRPr="00302570" w:rsidRDefault="00E14F14" w:rsidP="00C141D6">
      <w:pPr>
        <w:spacing w:line="480" w:lineRule="auto"/>
      </w:pPr>
      <w:bookmarkStart w:id="6" w:name="_Hlk112666495"/>
      <w:bookmarkEnd w:id="4"/>
      <w:bookmarkEnd w:id="5"/>
      <w:r>
        <w:t>S</w:t>
      </w:r>
      <w:r w:rsidRPr="00302570">
        <w:t xml:space="preserve">yncope </w:t>
      </w:r>
      <w:r>
        <w:t>combined with a</w:t>
      </w:r>
      <w:r w:rsidRPr="00302570">
        <w:t xml:space="preserve"> spontaneous type 1 </w:t>
      </w:r>
      <w:proofErr w:type="spellStart"/>
      <w:r w:rsidRPr="00302570">
        <w:t>Brugada</w:t>
      </w:r>
      <w:proofErr w:type="spellEnd"/>
      <w:r w:rsidRPr="00302570">
        <w:t xml:space="preserve"> ECG </w:t>
      </w:r>
      <w:r>
        <w:t xml:space="preserve">has been shown to be useful for identifying </w:t>
      </w:r>
      <w:proofErr w:type="spellStart"/>
      <w:r>
        <w:t>Brugada</w:t>
      </w:r>
      <w:proofErr w:type="spellEnd"/>
      <w:r>
        <w:t xml:space="preserve"> patients at risk for AE. </w:t>
      </w:r>
      <w:r w:rsidRPr="00C141D6">
        <w:t>However</w:t>
      </w:r>
      <w:r>
        <w:t>,</w:t>
      </w:r>
      <w:r w:rsidRPr="00C141D6">
        <w:t xml:space="preserve"> this is not relevant when a DI-ECG is encountered</w:t>
      </w:r>
      <w:r>
        <w:t xml:space="preserve">. </w:t>
      </w:r>
      <w:r w:rsidRPr="008F10A8">
        <w:t xml:space="preserve">In </w:t>
      </w:r>
      <w:r w:rsidRPr="003F210F">
        <w:t>addition, the use of programmed ventricular stimulation has shown conflicting results</w:t>
      </w:r>
      <w:r w:rsidRPr="00302570">
        <w:t xml:space="preserve">. </w:t>
      </w:r>
      <w:bookmarkEnd w:id="6"/>
      <w:r w:rsidRPr="00302570">
        <w:t>In a large series of patients with D</w:t>
      </w:r>
      <w:r>
        <w:t>I-</w:t>
      </w:r>
      <w:proofErr w:type="spellStart"/>
      <w:r>
        <w:t>BrS</w:t>
      </w:r>
      <w:proofErr w:type="spellEnd"/>
      <w:r>
        <w:t xml:space="preserve"> ECG</w:t>
      </w:r>
      <w:r w:rsidRPr="00302570">
        <w:t xml:space="preserve">, </w:t>
      </w:r>
      <w:proofErr w:type="spellStart"/>
      <w:r w:rsidRPr="00302570">
        <w:t>Sieira</w:t>
      </w:r>
      <w:proofErr w:type="spellEnd"/>
      <w:r w:rsidRPr="00302570">
        <w:t xml:space="preserve"> et al. (</w:t>
      </w:r>
      <w:r>
        <w:t>5</w:t>
      </w:r>
      <w:r w:rsidRPr="00302570">
        <w:t>) showed that VF inducibility rate was significantly lower than in patients with S</w:t>
      </w:r>
      <w:r>
        <w:t>-</w:t>
      </w:r>
      <w:proofErr w:type="spellStart"/>
      <w:r>
        <w:t>BrS</w:t>
      </w:r>
      <w:proofErr w:type="spellEnd"/>
      <w:r>
        <w:t xml:space="preserve"> ECG</w:t>
      </w:r>
      <w:r w:rsidRPr="00302570">
        <w:t xml:space="preserve"> (13.2% vs 42.4%, respectively, p&lt;0.01), however their cohort comprised a minority of patients with AEs. In our cohort comprising only patients with AEs, the lower inducibility rate is confirmed</w:t>
      </w:r>
      <w:r>
        <w:t xml:space="preserve"> </w:t>
      </w:r>
      <w:r w:rsidRPr="00302570">
        <w:t>(55</w:t>
      </w:r>
      <w:r>
        <w:t>.7</w:t>
      </w:r>
      <w:r w:rsidRPr="00302570">
        <w:t xml:space="preserve">%. vs 67.3%, respectively, p=0.022). </w:t>
      </w:r>
      <w:bookmarkStart w:id="7" w:name="_Hlk112586847"/>
      <w:bookmarkStart w:id="8" w:name="_Hlk112587223"/>
      <w:r w:rsidRPr="00302570">
        <w:t>These findings suggest</w:t>
      </w:r>
      <w:r>
        <w:t xml:space="preserve"> that EPS is less useful for the management of </w:t>
      </w:r>
      <w:proofErr w:type="spellStart"/>
      <w:r>
        <w:t>BrS</w:t>
      </w:r>
      <w:proofErr w:type="spellEnd"/>
      <w:r>
        <w:t xml:space="preserve"> patients with DI-ECG</w:t>
      </w:r>
      <w:r w:rsidRPr="00CF0892">
        <w:t xml:space="preserve">, </w:t>
      </w:r>
      <w:r>
        <w:t>and</w:t>
      </w:r>
      <w:r w:rsidRPr="007E117E">
        <w:t xml:space="preserve"> do not inform</w:t>
      </w:r>
      <w:r>
        <w:t xml:space="preserve"> </w:t>
      </w:r>
      <w:r w:rsidRPr="009F2425">
        <w:rPr>
          <w:rFonts w:cs="Calibri"/>
          <w:color w:val="222222"/>
          <w:shd w:val="clear" w:color="auto" w:fill="FFFFFF"/>
        </w:rPr>
        <w:t>necessarily</w:t>
      </w:r>
      <w:r w:rsidRPr="009F2425">
        <w:t xml:space="preserve"> </w:t>
      </w:r>
      <w:r>
        <w:t>on</w:t>
      </w:r>
      <w:r w:rsidRPr="007E117E">
        <w:t xml:space="preserve"> risk stratification strategies</w:t>
      </w:r>
      <w:r>
        <w:t>.</w:t>
      </w:r>
      <w:bookmarkEnd w:id="7"/>
      <w:r>
        <w:t xml:space="preserve"> These findings could actually represent a difference in the mechanism of arrhythmia generation of the two subgroups of </w:t>
      </w:r>
      <w:proofErr w:type="spellStart"/>
      <w:r>
        <w:t>Brugada</w:t>
      </w:r>
      <w:proofErr w:type="spellEnd"/>
      <w:r>
        <w:t xml:space="preserve"> patients, and future studies should test whether this could explain the lower arrhythmic risk of DI-ECG patients</w:t>
      </w:r>
      <w:r w:rsidRPr="00454FFE">
        <w:t>.</w:t>
      </w:r>
      <w:bookmarkEnd w:id="8"/>
      <w:r w:rsidRPr="00454FFE">
        <w:t xml:space="preserve">  </w:t>
      </w:r>
    </w:p>
    <w:p w14:paraId="3E0EB7CC" w14:textId="77777777" w:rsidR="00E14F14" w:rsidRPr="00302570" w:rsidRDefault="00E14F14" w:rsidP="00814950">
      <w:pPr>
        <w:spacing w:line="480" w:lineRule="auto"/>
      </w:pPr>
      <w:r w:rsidRPr="00302570">
        <w:t xml:space="preserve">Females </w:t>
      </w:r>
      <w:r>
        <w:t>predominated</w:t>
      </w:r>
      <w:r w:rsidRPr="00302570">
        <w:t xml:space="preserve"> in our D</w:t>
      </w:r>
      <w:r>
        <w:t>I-ECG</w:t>
      </w:r>
      <w:r w:rsidRPr="00302570">
        <w:t xml:space="preserve"> group. This is in line with the study by Nagayama et al. (1) in a smaller cohort. </w:t>
      </w:r>
    </w:p>
    <w:p w14:paraId="55ADD018" w14:textId="77777777" w:rsidR="00E14F14" w:rsidRPr="00302570" w:rsidRDefault="00E14F14" w:rsidP="00814950">
      <w:pPr>
        <w:spacing w:line="480" w:lineRule="auto"/>
      </w:pPr>
      <w:r>
        <w:t xml:space="preserve">For the first time, </w:t>
      </w:r>
      <w:r w:rsidRPr="00302570">
        <w:t>SABRUS showed that Asians with AEs displayed significantly less D</w:t>
      </w:r>
      <w:r>
        <w:t>I-ECG</w:t>
      </w:r>
      <w:r w:rsidRPr="00302570">
        <w:t xml:space="preserve"> compared to whites.  This may suggest that a genetic predisposition of Asians plays a role in the occurrence of the </w:t>
      </w:r>
      <w:r>
        <w:t>S-</w:t>
      </w:r>
      <w:proofErr w:type="spellStart"/>
      <w:r>
        <w:t>BrS</w:t>
      </w:r>
      <w:proofErr w:type="spellEnd"/>
      <w:r>
        <w:t xml:space="preserve"> </w:t>
      </w:r>
      <w:r w:rsidRPr="00302570">
        <w:t xml:space="preserve">ECG type. </w:t>
      </w:r>
    </w:p>
    <w:p w14:paraId="08151166" w14:textId="77777777" w:rsidR="00E14F14" w:rsidRPr="00302570" w:rsidRDefault="00E14F14" w:rsidP="00FA2061">
      <w:pPr>
        <w:spacing w:line="480" w:lineRule="auto"/>
      </w:pPr>
      <w:r w:rsidRPr="00302570">
        <w:t xml:space="preserve">No difference in the presence of </w:t>
      </w:r>
      <w:r w:rsidRPr="00302570">
        <w:rPr>
          <w:i/>
          <w:iCs/>
        </w:rPr>
        <w:t>SCN5A</w:t>
      </w:r>
      <w:r w:rsidRPr="00302570">
        <w:t xml:space="preserve"> gene mutation was found between </w:t>
      </w:r>
      <w:r>
        <w:t xml:space="preserve">the </w:t>
      </w:r>
      <w:r w:rsidRPr="00302570">
        <w:t>D</w:t>
      </w:r>
      <w:r>
        <w:t>I-ECG</w:t>
      </w:r>
      <w:r w:rsidRPr="00302570">
        <w:t xml:space="preserve"> and S</w:t>
      </w:r>
      <w:r>
        <w:t>-ECG groups</w:t>
      </w:r>
      <w:r w:rsidRPr="00302570">
        <w:t>. These findings agree with those reported by Nagayama et al. (1) in a similar</w:t>
      </w:r>
      <w:r>
        <w:t xml:space="preserve">, </w:t>
      </w:r>
      <w:r w:rsidRPr="00302570">
        <w:t xml:space="preserve">although significantly smaller patient cohort. </w:t>
      </w:r>
    </w:p>
    <w:p w14:paraId="2B492004" w14:textId="77777777" w:rsidR="00E14F14" w:rsidRDefault="00E14F14" w:rsidP="00814950">
      <w:pPr>
        <w:spacing w:line="480" w:lineRule="auto"/>
      </w:pPr>
      <w:r w:rsidRPr="00302570">
        <w:lastRenderedPageBreak/>
        <w:t>In conclusion, D</w:t>
      </w:r>
      <w:r>
        <w:t>I-</w:t>
      </w:r>
      <w:proofErr w:type="spellStart"/>
      <w:r>
        <w:t>BrS</w:t>
      </w:r>
      <w:proofErr w:type="spellEnd"/>
      <w:r w:rsidRPr="00302570">
        <w:t xml:space="preserve"> patients represented a third of </w:t>
      </w:r>
      <w:proofErr w:type="spellStart"/>
      <w:r w:rsidRPr="00302570">
        <w:t>BrS</w:t>
      </w:r>
      <w:proofErr w:type="spellEnd"/>
      <w:r w:rsidRPr="00302570">
        <w:t xml:space="preserve"> </w:t>
      </w:r>
      <w:r>
        <w:t>cohort with AEs</w:t>
      </w:r>
      <w:r w:rsidRPr="00302570">
        <w:t xml:space="preserve">.  They </w:t>
      </w:r>
      <w:r>
        <w:t>differed</w:t>
      </w:r>
      <w:r w:rsidRPr="00302570">
        <w:t xml:space="preserve"> from </w:t>
      </w:r>
      <w:r>
        <w:t>S-</w:t>
      </w:r>
      <w:proofErr w:type="spellStart"/>
      <w:r>
        <w:t>BrS</w:t>
      </w:r>
      <w:proofErr w:type="spellEnd"/>
      <w:r>
        <w:t xml:space="preserve"> patients</w:t>
      </w:r>
      <w:r w:rsidRPr="00302570">
        <w:t xml:space="preserve"> in gender, ethnicity</w:t>
      </w:r>
      <w:r>
        <w:t>,</w:t>
      </w:r>
      <w:r w:rsidRPr="00302570">
        <w:t xml:space="preserve"> and </w:t>
      </w:r>
      <w:r>
        <w:t>VF inducibility rates</w:t>
      </w:r>
      <w:r w:rsidRPr="00302570">
        <w:t xml:space="preserve">. </w:t>
      </w:r>
      <w:bookmarkStart w:id="9" w:name="_Hlk112673366"/>
      <w:r w:rsidRPr="00302570">
        <w:t>The most important observation is th</w:t>
      </w:r>
      <w:r>
        <w:t>at this group of patients is less studied and</w:t>
      </w:r>
      <w:r w:rsidRPr="00302570">
        <w:t xml:space="preserve"> identifying high</w:t>
      </w:r>
      <w:r>
        <w:t>-</w:t>
      </w:r>
      <w:r w:rsidRPr="00302570">
        <w:t xml:space="preserve">risk </w:t>
      </w:r>
      <w:r>
        <w:t>DI-</w:t>
      </w:r>
      <w:proofErr w:type="spellStart"/>
      <w:r>
        <w:t>BrS</w:t>
      </w:r>
      <w:proofErr w:type="spellEnd"/>
      <w:r>
        <w:t xml:space="preserve"> </w:t>
      </w:r>
      <w:r w:rsidRPr="00302570">
        <w:t>patients</w:t>
      </w:r>
      <w:r>
        <w:t xml:space="preserve"> is not an easy task.</w:t>
      </w:r>
      <w:r w:rsidRPr="00302570">
        <w:t xml:space="preserve"> We encourage seeking new risk markers in this group in future studies. </w:t>
      </w:r>
    </w:p>
    <w:bookmarkEnd w:id="9"/>
    <w:p w14:paraId="2F5E0881" w14:textId="77777777" w:rsidR="00E14F14" w:rsidRDefault="00E14F14" w:rsidP="00442B86">
      <w:pPr>
        <w:spacing w:line="480" w:lineRule="auto"/>
        <w:rPr>
          <w:b/>
          <w:bCs/>
        </w:rPr>
      </w:pPr>
    </w:p>
    <w:p w14:paraId="4579088A" w14:textId="77777777" w:rsidR="00E14F14" w:rsidRPr="00442B86" w:rsidRDefault="00E14F14" w:rsidP="00442B86">
      <w:pPr>
        <w:spacing w:line="480" w:lineRule="auto"/>
      </w:pPr>
      <w:r w:rsidRPr="00442B86">
        <w:rPr>
          <w:b/>
          <w:bCs/>
        </w:rPr>
        <w:t>Sources of Funding</w:t>
      </w:r>
      <w:r w:rsidRPr="00442B86">
        <w:t>: none</w:t>
      </w:r>
    </w:p>
    <w:p w14:paraId="4F498181" w14:textId="77777777" w:rsidR="00E14F14" w:rsidRDefault="00E14F14" w:rsidP="00442B86">
      <w:pPr>
        <w:spacing w:line="480" w:lineRule="auto"/>
        <w:rPr>
          <w:rtl/>
        </w:rPr>
      </w:pPr>
      <w:r w:rsidRPr="00442B86">
        <w:rPr>
          <w:b/>
          <w:bCs/>
        </w:rPr>
        <w:t>Disclosures</w:t>
      </w:r>
      <w:r>
        <w:t>: none</w:t>
      </w:r>
    </w:p>
    <w:p w14:paraId="51FA16DE" w14:textId="77777777" w:rsidR="00E14F14" w:rsidRDefault="00E14F14" w:rsidP="00814950">
      <w:pPr>
        <w:spacing w:line="480" w:lineRule="auto"/>
      </w:pPr>
    </w:p>
    <w:p w14:paraId="024C16CC" w14:textId="77777777" w:rsidR="00E14F14" w:rsidRDefault="00E14F14" w:rsidP="00814950">
      <w:pPr>
        <w:spacing w:line="480" w:lineRule="auto"/>
        <w:rPr>
          <w:b/>
          <w:bCs/>
        </w:rPr>
      </w:pPr>
    </w:p>
    <w:p w14:paraId="3C1342E9" w14:textId="77777777" w:rsidR="00E14F14" w:rsidRDefault="00E14F14" w:rsidP="00814950">
      <w:pPr>
        <w:spacing w:line="480" w:lineRule="auto"/>
        <w:rPr>
          <w:b/>
          <w:bCs/>
        </w:rPr>
      </w:pPr>
    </w:p>
    <w:p w14:paraId="49FAC454" w14:textId="77777777" w:rsidR="00E14F14" w:rsidRDefault="00E14F14" w:rsidP="000B5D36">
      <w:pPr>
        <w:spacing w:line="480" w:lineRule="auto"/>
        <w:rPr>
          <w:b/>
          <w:bCs/>
        </w:rPr>
      </w:pPr>
    </w:p>
    <w:p w14:paraId="344AB9A3" w14:textId="77777777" w:rsidR="00E14F14" w:rsidRDefault="00E14F14" w:rsidP="000B5D36">
      <w:pPr>
        <w:spacing w:line="480" w:lineRule="auto"/>
        <w:rPr>
          <w:b/>
          <w:bCs/>
        </w:rPr>
      </w:pPr>
    </w:p>
    <w:p w14:paraId="31C06401" w14:textId="77777777" w:rsidR="00E14F14" w:rsidRDefault="00E14F14" w:rsidP="000B5D36">
      <w:pPr>
        <w:spacing w:line="480" w:lineRule="auto"/>
        <w:rPr>
          <w:b/>
          <w:bCs/>
        </w:rPr>
      </w:pPr>
    </w:p>
    <w:p w14:paraId="3CC94046" w14:textId="77777777" w:rsidR="00E14F14" w:rsidRDefault="00E14F14" w:rsidP="000B5D36">
      <w:pPr>
        <w:spacing w:line="480" w:lineRule="auto"/>
        <w:rPr>
          <w:b/>
          <w:bCs/>
        </w:rPr>
      </w:pPr>
    </w:p>
    <w:p w14:paraId="0FB382F7" w14:textId="77777777" w:rsidR="00E14F14" w:rsidRDefault="00E14F14" w:rsidP="000B5D36">
      <w:pPr>
        <w:spacing w:line="480" w:lineRule="auto"/>
        <w:rPr>
          <w:b/>
          <w:bCs/>
        </w:rPr>
      </w:pPr>
    </w:p>
    <w:p w14:paraId="74B406C8" w14:textId="77777777" w:rsidR="00E14F14" w:rsidRDefault="00E14F14" w:rsidP="000B5D36">
      <w:pPr>
        <w:spacing w:line="480" w:lineRule="auto"/>
        <w:rPr>
          <w:b/>
          <w:bCs/>
        </w:rPr>
      </w:pPr>
    </w:p>
    <w:p w14:paraId="39752AAE" w14:textId="77777777" w:rsidR="00E14F14" w:rsidRDefault="00E14F14" w:rsidP="000B5D36">
      <w:pPr>
        <w:spacing w:line="480" w:lineRule="auto"/>
        <w:rPr>
          <w:b/>
          <w:bCs/>
        </w:rPr>
      </w:pPr>
    </w:p>
    <w:p w14:paraId="5EF33125" w14:textId="77777777" w:rsidR="00E14F14" w:rsidRDefault="00E14F14" w:rsidP="000B5D36">
      <w:pPr>
        <w:spacing w:line="480" w:lineRule="auto"/>
        <w:rPr>
          <w:b/>
          <w:bCs/>
        </w:rPr>
      </w:pPr>
    </w:p>
    <w:p w14:paraId="32B153C6" w14:textId="77777777" w:rsidR="00E14F14" w:rsidRDefault="00E14F14" w:rsidP="000B5D36">
      <w:pPr>
        <w:spacing w:line="480" w:lineRule="auto"/>
        <w:rPr>
          <w:b/>
          <w:bCs/>
        </w:rPr>
      </w:pPr>
    </w:p>
    <w:p w14:paraId="57E7AC05" w14:textId="77777777" w:rsidR="00E14F14" w:rsidRDefault="00E14F14" w:rsidP="000B5D36">
      <w:pPr>
        <w:spacing w:line="480" w:lineRule="auto"/>
        <w:rPr>
          <w:b/>
          <w:bCs/>
        </w:rPr>
      </w:pPr>
    </w:p>
    <w:p w14:paraId="6DBF1487" w14:textId="77777777" w:rsidR="00E14F14" w:rsidRDefault="00E14F14" w:rsidP="000B5D36">
      <w:pPr>
        <w:spacing w:line="480" w:lineRule="auto"/>
        <w:rPr>
          <w:b/>
          <w:bCs/>
        </w:rPr>
      </w:pPr>
    </w:p>
    <w:p w14:paraId="568381A4" w14:textId="77777777" w:rsidR="00E14F14" w:rsidRDefault="00E14F14" w:rsidP="000B5D36">
      <w:pPr>
        <w:spacing w:line="480" w:lineRule="auto"/>
        <w:rPr>
          <w:b/>
          <w:bCs/>
        </w:rPr>
      </w:pPr>
      <w:r w:rsidRPr="00302570">
        <w:rPr>
          <w:b/>
          <w:bCs/>
        </w:rPr>
        <w:lastRenderedPageBreak/>
        <w:t xml:space="preserve">References </w:t>
      </w:r>
    </w:p>
    <w:p w14:paraId="0E116180" w14:textId="0DD5E814" w:rsidR="00E14F14" w:rsidRPr="007D0347" w:rsidRDefault="00D03F9F" w:rsidP="00D03F9F">
      <w:pPr>
        <w:numPr>
          <w:ilvl w:val="0"/>
          <w:numId w:val="1"/>
        </w:numPr>
        <w:spacing w:line="480" w:lineRule="auto"/>
      </w:pPr>
      <w:r w:rsidRPr="00D03F9F">
        <w:t xml:space="preserve">Nagayama T, Nagase S, Kamakura T, Wada M, Ishibashi K, Inoue YY, Miyamoto K, Noda T, </w:t>
      </w:r>
      <w:proofErr w:type="spellStart"/>
      <w:r w:rsidRPr="00D03F9F">
        <w:t>Aiba</w:t>
      </w:r>
      <w:proofErr w:type="spellEnd"/>
      <w:r w:rsidRPr="00D03F9F">
        <w:t xml:space="preserve"> T, Takaki H</w:t>
      </w:r>
      <w:r w:rsidR="00E14F14" w:rsidRPr="007D0347">
        <w:rPr>
          <w:lang w:val="fr-FR"/>
        </w:rPr>
        <w:t xml:space="preserve">T et al. </w:t>
      </w:r>
      <w:r w:rsidR="00E14F14" w:rsidRPr="007D0347">
        <w:t xml:space="preserve">Clinical and electrocardiographic differences in </w:t>
      </w:r>
      <w:proofErr w:type="spellStart"/>
      <w:r w:rsidR="00E14F14" w:rsidRPr="007D0347">
        <w:t>Brugada</w:t>
      </w:r>
      <w:proofErr w:type="spellEnd"/>
      <w:r w:rsidR="00E14F14" w:rsidRPr="007D0347">
        <w:t xml:space="preserve"> syndrome with spontaneous or drug-induced type 1 electrocardiogram. </w:t>
      </w:r>
      <w:r w:rsidR="00E14F14" w:rsidRPr="00B64B96">
        <w:rPr>
          <w:i/>
          <w:iCs/>
        </w:rPr>
        <w:t>Circ J.</w:t>
      </w:r>
      <w:r w:rsidR="00E14F14" w:rsidRPr="007D0347">
        <w:t xml:space="preserve"> 2019;83:532-539. </w:t>
      </w:r>
    </w:p>
    <w:p w14:paraId="4BD614B6" w14:textId="011693EE" w:rsidR="00E14F14" w:rsidRDefault="00D03F9F" w:rsidP="00D03F9F">
      <w:pPr>
        <w:numPr>
          <w:ilvl w:val="0"/>
          <w:numId w:val="1"/>
        </w:numPr>
        <w:spacing w:line="480" w:lineRule="auto"/>
      </w:pPr>
      <w:r w:rsidRPr="00D03F9F">
        <w:t xml:space="preserve">Milman A, </w:t>
      </w:r>
      <w:proofErr w:type="spellStart"/>
      <w:r w:rsidRPr="00D03F9F">
        <w:t>Gourraud</w:t>
      </w:r>
      <w:proofErr w:type="spellEnd"/>
      <w:r w:rsidRPr="00D03F9F">
        <w:t xml:space="preserve"> JB, </w:t>
      </w:r>
      <w:proofErr w:type="spellStart"/>
      <w:r w:rsidRPr="00D03F9F">
        <w:t>Andorin</w:t>
      </w:r>
      <w:proofErr w:type="spellEnd"/>
      <w:r w:rsidRPr="00D03F9F">
        <w:t xml:space="preserve"> A, </w:t>
      </w:r>
      <w:proofErr w:type="spellStart"/>
      <w:r w:rsidRPr="00D03F9F">
        <w:t>Postema</w:t>
      </w:r>
      <w:proofErr w:type="spellEnd"/>
      <w:r w:rsidRPr="00D03F9F">
        <w:t xml:space="preserve"> PG, Sacher F, Mabo P, Conte G, </w:t>
      </w:r>
      <w:proofErr w:type="spellStart"/>
      <w:r w:rsidRPr="00D03F9F">
        <w:t>Giustetto</w:t>
      </w:r>
      <w:proofErr w:type="spellEnd"/>
      <w:r w:rsidRPr="00D03F9F">
        <w:t xml:space="preserve"> C, </w:t>
      </w:r>
      <w:proofErr w:type="spellStart"/>
      <w:r w:rsidRPr="00D03F9F">
        <w:t>Sarquella-Brugada</w:t>
      </w:r>
      <w:proofErr w:type="spellEnd"/>
      <w:r w:rsidRPr="00D03F9F">
        <w:t xml:space="preserve"> G, Hochstadt A</w:t>
      </w:r>
      <w:r>
        <w:t xml:space="preserve"> </w:t>
      </w:r>
      <w:r w:rsidR="00E14F14" w:rsidRPr="007D0347">
        <w:t xml:space="preserve">et al. Gender differences in patients with </w:t>
      </w:r>
      <w:proofErr w:type="spellStart"/>
      <w:r w:rsidR="00E14F14" w:rsidRPr="007D0347">
        <w:t>Brugada</w:t>
      </w:r>
      <w:proofErr w:type="spellEnd"/>
      <w:r w:rsidR="00E14F14" w:rsidRPr="007D0347">
        <w:t xml:space="preserve"> syndrome and arrhythmic events: Data from a survey on arrhythmic events in 678 patients. </w:t>
      </w:r>
      <w:r w:rsidR="00E14F14" w:rsidRPr="00B64B96">
        <w:rPr>
          <w:i/>
          <w:iCs/>
        </w:rPr>
        <w:t>Heart Rhythm</w:t>
      </w:r>
      <w:r w:rsidR="00E14F14">
        <w:rPr>
          <w:i/>
          <w:iCs/>
        </w:rPr>
        <w:t>.</w:t>
      </w:r>
      <w:r w:rsidR="00E14F14" w:rsidRPr="007D0347">
        <w:t xml:space="preserve"> 2018;15:1457-1465.</w:t>
      </w:r>
    </w:p>
    <w:p w14:paraId="6EE56035" w14:textId="44D84662" w:rsidR="00E14F14" w:rsidRDefault="00D03F9F" w:rsidP="00D03F9F">
      <w:pPr>
        <w:numPr>
          <w:ilvl w:val="0"/>
          <w:numId w:val="1"/>
        </w:numPr>
        <w:spacing w:line="480" w:lineRule="auto"/>
      </w:pPr>
      <w:proofErr w:type="spellStart"/>
      <w:r w:rsidRPr="00D03F9F">
        <w:t>Tadros</w:t>
      </w:r>
      <w:proofErr w:type="spellEnd"/>
      <w:r w:rsidRPr="00D03F9F">
        <w:t xml:space="preserve"> R, </w:t>
      </w:r>
      <w:proofErr w:type="spellStart"/>
      <w:r w:rsidRPr="00D03F9F">
        <w:t>Nannenberg</w:t>
      </w:r>
      <w:proofErr w:type="spellEnd"/>
      <w:r w:rsidRPr="00D03F9F">
        <w:t xml:space="preserve"> EA, </w:t>
      </w:r>
      <w:proofErr w:type="spellStart"/>
      <w:r w:rsidRPr="00D03F9F">
        <w:t>Lieve</w:t>
      </w:r>
      <w:proofErr w:type="spellEnd"/>
      <w:r w:rsidRPr="00D03F9F">
        <w:t xml:space="preserve"> KV, </w:t>
      </w:r>
      <w:proofErr w:type="spellStart"/>
      <w:r w:rsidRPr="00D03F9F">
        <w:t>Škorić-Milosavljević</w:t>
      </w:r>
      <w:proofErr w:type="spellEnd"/>
      <w:r w:rsidRPr="00D03F9F">
        <w:t xml:space="preserve"> D, </w:t>
      </w:r>
      <w:proofErr w:type="spellStart"/>
      <w:r w:rsidRPr="00D03F9F">
        <w:t>Lahrouchi</w:t>
      </w:r>
      <w:proofErr w:type="spellEnd"/>
      <w:r w:rsidRPr="00D03F9F">
        <w:t xml:space="preserve"> N, </w:t>
      </w:r>
      <w:proofErr w:type="spellStart"/>
      <w:r w:rsidRPr="00D03F9F">
        <w:t>Lekanne</w:t>
      </w:r>
      <w:proofErr w:type="spellEnd"/>
      <w:r w:rsidRPr="00D03F9F">
        <w:t xml:space="preserve"> </w:t>
      </w:r>
      <w:proofErr w:type="spellStart"/>
      <w:r w:rsidRPr="00D03F9F">
        <w:t>Deprez</w:t>
      </w:r>
      <w:proofErr w:type="spellEnd"/>
      <w:r w:rsidRPr="00D03F9F">
        <w:t xml:space="preserve"> RH, </w:t>
      </w:r>
      <w:proofErr w:type="spellStart"/>
      <w:r w:rsidRPr="00D03F9F">
        <w:t>Vendrik</w:t>
      </w:r>
      <w:proofErr w:type="spellEnd"/>
      <w:r w:rsidRPr="00D03F9F">
        <w:t xml:space="preserve"> J, </w:t>
      </w:r>
      <w:proofErr w:type="spellStart"/>
      <w:r w:rsidRPr="00D03F9F">
        <w:t>Reckman</w:t>
      </w:r>
      <w:proofErr w:type="spellEnd"/>
      <w:r w:rsidRPr="00D03F9F">
        <w:t xml:space="preserve"> YJ, </w:t>
      </w:r>
      <w:proofErr w:type="spellStart"/>
      <w:r w:rsidRPr="00D03F9F">
        <w:t>Postema</w:t>
      </w:r>
      <w:proofErr w:type="spellEnd"/>
      <w:r w:rsidRPr="00D03F9F">
        <w:t xml:space="preserve"> PG, Amin AS</w:t>
      </w:r>
      <w:r>
        <w:t xml:space="preserve"> </w:t>
      </w:r>
      <w:r w:rsidR="00E14F14" w:rsidRPr="00E75CF8">
        <w:rPr>
          <w:lang w:val="fr-FR"/>
        </w:rPr>
        <w:t xml:space="preserve">et al. </w:t>
      </w:r>
      <w:r w:rsidR="00E14F14" w:rsidRPr="006505B8">
        <w:t>Yield and Pitfalls of Ajmaline Testing in the Evaluation of Unexplained Cardiac Arrest and Sudden Unexplained Death. </w:t>
      </w:r>
      <w:r w:rsidR="00E14F14" w:rsidRPr="006505B8">
        <w:rPr>
          <w:i/>
          <w:iCs/>
        </w:rPr>
        <w:t xml:space="preserve">J Am Coll </w:t>
      </w:r>
      <w:proofErr w:type="spellStart"/>
      <w:r w:rsidR="00E14F14" w:rsidRPr="006505B8">
        <w:rPr>
          <w:i/>
          <w:iCs/>
        </w:rPr>
        <w:t>Cardiol</w:t>
      </w:r>
      <w:proofErr w:type="spellEnd"/>
      <w:r w:rsidR="00E14F14" w:rsidRPr="006505B8">
        <w:rPr>
          <w:i/>
          <w:iCs/>
        </w:rPr>
        <w:t xml:space="preserve"> EP. </w:t>
      </w:r>
      <w:r w:rsidR="00E14F14" w:rsidRPr="006505B8">
        <w:t>2017</w:t>
      </w:r>
      <w:r w:rsidR="00E14F14">
        <w:t>;</w:t>
      </w:r>
      <w:r w:rsidR="00E14F14" w:rsidRPr="006505B8">
        <w:t xml:space="preserve"> 3</w:t>
      </w:r>
      <w:r w:rsidR="00E14F14">
        <w:t>:</w:t>
      </w:r>
      <w:r w:rsidR="00E14F14" w:rsidRPr="006505B8">
        <w:t>1400–1408.</w:t>
      </w:r>
    </w:p>
    <w:p w14:paraId="70A8C624" w14:textId="5718FDD5" w:rsidR="00E14F14" w:rsidRPr="007D0347" w:rsidRDefault="00D03F9F" w:rsidP="00D03F9F">
      <w:pPr>
        <w:numPr>
          <w:ilvl w:val="0"/>
          <w:numId w:val="1"/>
        </w:numPr>
        <w:spacing w:line="480" w:lineRule="auto"/>
      </w:pPr>
      <w:bookmarkStart w:id="10" w:name="_Hlk115893006"/>
      <w:r w:rsidRPr="00D03F9F">
        <w:t xml:space="preserve">Milman A, </w:t>
      </w:r>
      <w:proofErr w:type="spellStart"/>
      <w:r w:rsidRPr="00D03F9F">
        <w:t>Andorin</w:t>
      </w:r>
      <w:proofErr w:type="spellEnd"/>
      <w:r w:rsidRPr="00D03F9F">
        <w:t xml:space="preserve"> A, </w:t>
      </w:r>
      <w:proofErr w:type="spellStart"/>
      <w:r w:rsidRPr="00D03F9F">
        <w:t>Gourraud</w:t>
      </w:r>
      <w:proofErr w:type="spellEnd"/>
      <w:r w:rsidRPr="00D03F9F">
        <w:t xml:space="preserve"> JB, Sacher F, Mabo P, Kim SH, Maeda S, Takahashi Y, Kamakura T, </w:t>
      </w:r>
      <w:proofErr w:type="spellStart"/>
      <w:r w:rsidRPr="00D03F9F">
        <w:t>Aiba</w:t>
      </w:r>
      <w:proofErr w:type="spellEnd"/>
      <w:r w:rsidRPr="00D03F9F">
        <w:t xml:space="preserve"> T</w:t>
      </w:r>
      <w:r>
        <w:t xml:space="preserve"> </w:t>
      </w:r>
      <w:r w:rsidR="00E14F14">
        <w:t xml:space="preserve">et al. </w:t>
      </w:r>
      <w:r w:rsidR="00E14F14" w:rsidRPr="006505B8">
        <w:t xml:space="preserve">Age of First Arrhythmic Event in </w:t>
      </w:r>
      <w:proofErr w:type="spellStart"/>
      <w:r w:rsidR="00E14F14" w:rsidRPr="006505B8">
        <w:t>Brugada</w:t>
      </w:r>
      <w:proofErr w:type="spellEnd"/>
      <w:r w:rsidR="00E14F14" w:rsidRPr="006505B8">
        <w:t xml:space="preserve"> Syndrome: Data from the SABRUS (Survey on Arrhythmic Events in </w:t>
      </w:r>
      <w:proofErr w:type="spellStart"/>
      <w:r w:rsidR="00E14F14" w:rsidRPr="006505B8">
        <w:t>Brugada</w:t>
      </w:r>
      <w:proofErr w:type="spellEnd"/>
      <w:r w:rsidR="00E14F14" w:rsidRPr="006505B8">
        <w:t xml:space="preserve"> Syndrome) in 678 Patients. </w:t>
      </w:r>
      <w:r w:rsidR="00E14F14" w:rsidRPr="00E75CF8">
        <w:rPr>
          <w:i/>
          <w:iCs/>
        </w:rPr>
        <w:t xml:space="preserve">Circ </w:t>
      </w:r>
      <w:proofErr w:type="spellStart"/>
      <w:r w:rsidR="00E14F14" w:rsidRPr="00E75CF8">
        <w:rPr>
          <w:i/>
          <w:iCs/>
        </w:rPr>
        <w:t>Arrhythm</w:t>
      </w:r>
      <w:proofErr w:type="spellEnd"/>
      <w:r w:rsidR="00E14F14" w:rsidRPr="00E75CF8">
        <w:rPr>
          <w:i/>
          <w:iCs/>
        </w:rPr>
        <w:t xml:space="preserve"> </w:t>
      </w:r>
      <w:proofErr w:type="spellStart"/>
      <w:r w:rsidR="00E14F14" w:rsidRPr="00E75CF8">
        <w:rPr>
          <w:i/>
          <w:iCs/>
        </w:rPr>
        <w:t>Electrophysiol</w:t>
      </w:r>
      <w:proofErr w:type="spellEnd"/>
      <w:r w:rsidR="00E14F14" w:rsidRPr="006505B8">
        <w:t>. 2017</w:t>
      </w:r>
      <w:r w:rsidR="00E14F14">
        <w:t>;</w:t>
      </w:r>
      <w:r w:rsidR="00E14F14" w:rsidRPr="006505B8">
        <w:t xml:space="preserve">10:e005222. </w:t>
      </w:r>
    </w:p>
    <w:bookmarkEnd w:id="10"/>
    <w:p w14:paraId="15C63AB5" w14:textId="3B9F7BB3" w:rsidR="00E14F14" w:rsidRDefault="00D03F9F" w:rsidP="00D03F9F">
      <w:pPr>
        <w:numPr>
          <w:ilvl w:val="0"/>
          <w:numId w:val="1"/>
        </w:numPr>
        <w:spacing w:line="480" w:lineRule="auto"/>
      </w:pPr>
      <w:proofErr w:type="spellStart"/>
      <w:r w:rsidRPr="00D03F9F">
        <w:t>Sieira</w:t>
      </w:r>
      <w:proofErr w:type="spellEnd"/>
      <w:r w:rsidRPr="00D03F9F">
        <w:t xml:space="preserve"> J, </w:t>
      </w:r>
      <w:proofErr w:type="spellStart"/>
      <w:r w:rsidRPr="00D03F9F">
        <w:t>Ciconte</w:t>
      </w:r>
      <w:proofErr w:type="spellEnd"/>
      <w:r w:rsidRPr="00D03F9F">
        <w:t xml:space="preserve"> G, Conte G, de </w:t>
      </w:r>
      <w:proofErr w:type="spellStart"/>
      <w:r w:rsidRPr="00D03F9F">
        <w:t>Asmundis</w:t>
      </w:r>
      <w:proofErr w:type="spellEnd"/>
      <w:r w:rsidRPr="00D03F9F">
        <w:t xml:space="preserve"> C, </w:t>
      </w:r>
      <w:proofErr w:type="spellStart"/>
      <w:r w:rsidRPr="00D03F9F">
        <w:t>Chierchia</w:t>
      </w:r>
      <w:proofErr w:type="spellEnd"/>
      <w:r w:rsidRPr="00D03F9F">
        <w:t xml:space="preserve"> GB, </w:t>
      </w:r>
      <w:proofErr w:type="spellStart"/>
      <w:r w:rsidRPr="00D03F9F">
        <w:t>Baltogiannis</w:t>
      </w:r>
      <w:proofErr w:type="spellEnd"/>
      <w:r w:rsidRPr="00D03F9F">
        <w:t xml:space="preserve"> G, Di Giovanni G, </w:t>
      </w:r>
      <w:proofErr w:type="spellStart"/>
      <w:r w:rsidRPr="00D03F9F">
        <w:t>Saitoh</w:t>
      </w:r>
      <w:proofErr w:type="spellEnd"/>
      <w:r w:rsidRPr="00D03F9F">
        <w:t xml:space="preserve"> Y, Casado-Arroyo R, </w:t>
      </w:r>
      <w:proofErr w:type="spellStart"/>
      <w:r w:rsidRPr="00D03F9F">
        <w:t>Juliá</w:t>
      </w:r>
      <w:proofErr w:type="spellEnd"/>
      <w:r w:rsidRPr="00D03F9F">
        <w:t xml:space="preserve"> J</w:t>
      </w:r>
      <w:r>
        <w:t xml:space="preserve"> </w:t>
      </w:r>
      <w:r w:rsidR="00E14F14" w:rsidRPr="007D0347">
        <w:rPr>
          <w:lang w:val="fr-FR"/>
        </w:rPr>
        <w:t xml:space="preserve">et al. </w:t>
      </w:r>
      <w:r w:rsidR="00E14F14" w:rsidRPr="007D0347">
        <w:t xml:space="preserve">Long-term prognosis of drug-induced </w:t>
      </w:r>
      <w:proofErr w:type="spellStart"/>
      <w:r w:rsidR="00E14F14" w:rsidRPr="007D0347">
        <w:t>Brugada</w:t>
      </w:r>
      <w:proofErr w:type="spellEnd"/>
      <w:r w:rsidR="00E14F14" w:rsidRPr="007D0347">
        <w:t xml:space="preserve"> syndrome. </w:t>
      </w:r>
      <w:r w:rsidR="00E14F14" w:rsidRPr="00B64B96">
        <w:rPr>
          <w:i/>
          <w:iCs/>
        </w:rPr>
        <w:t>Heart Rhythm</w:t>
      </w:r>
      <w:r w:rsidR="00E14F14" w:rsidRPr="007D0347">
        <w:t xml:space="preserve"> 2017;14:1427-1433.</w:t>
      </w:r>
    </w:p>
    <w:p w14:paraId="70596874" w14:textId="0CA15B14" w:rsidR="00882435" w:rsidRDefault="00882435" w:rsidP="00882435">
      <w:pPr>
        <w:spacing w:line="480" w:lineRule="auto"/>
      </w:pPr>
    </w:p>
    <w:p w14:paraId="252FC377" w14:textId="32598D6D" w:rsidR="00882435" w:rsidRDefault="00882435" w:rsidP="00882435">
      <w:pPr>
        <w:spacing w:line="480" w:lineRule="auto"/>
      </w:pPr>
    </w:p>
    <w:p w14:paraId="309369A3" w14:textId="62921D86" w:rsidR="00882435" w:rsidRDefault="00882435" w:rsidP="00882435">
      <w:pPr>
        <w:spacing w:line="480" w:lineRule="auto"/>
      </w:pPr>
    </w:p>
    <w:p w14:paraId="1A838742" w14:textId="5A25E93A" w:rsidR="00882435" w:rsidRDefault="00882435" w:rsidP="00882435">
      <w:pPr>
        <w:spacing w:line="480" w:lineRule="auto"/>
      </w:pPr>
    </w:p>
    <w:p w14:paraId="518247AE" w14:textId="77777777" w:rsidR="00882435" w:rsidRPr="00676363" w:rsidRDefault="00882435" w:rsidP="00882435">
      <w:pPr>
        <w:rPr>
          <w:b/>
          <w:bCs/>
        </w:rPr>
      </w:pPr>
      <w:bookmarkStart w:id="11" w:name="_Hlk108274342"/>
      <w:r w:rsidRPr="00676363">
        <w:rPr>
          <w:b/>
          <w:bCs/>
        </w:rPr>
        <w:lastRenderedPageBreak/>
        <w:t xml:space="preserve">Table 1. </w:t>
      </w:r>
      <w:r>
        <w:rPr>
          <w:b/>
          <w:bCs/>
        </w:rPr>
        <w:t xml:space="preserve">Patient characteristics according to </w:t>
      </w:r>
      <w:proofErr w:type="spellStart"/>
      <w:r>
        <w:rPr>
          <w:b/>
          <w:bCs/>
        </w:rPr>
        <w:t>Brugada</w:t>
      </w:r>
      <w:proofErr w:type="spellEnd"/>
      <w:r>
        <w:rPr>
          <w:b/>
          <w:bCs/>
        </w:rPr>
        <w:t xml:space="preserve"> ECG type.</w:t>
      </w:r>
    </w:p>
    <w:p w14:paraId="0E04C9D0" w14:textId="77777777" w:rsidR="00882435" w:rsidRPr="009D1D6D" w:rsidRDefault="00882435" w:rsidP="00882435">
      <w:r w:rsidRPr="00487C7F">
        <w:t xml:space="preserve"> </w:t>
      </w:r>
      <w:r w:rsidRPr="00165E4B">
        <w:t xml:space="preserve"> 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3200"/>
        <w:gridCol w:w="1700"/>
        <w:gridCol w:w="1980"/>
        <w:gridCol w:w="1940"/>
        <w:gridCol w:w="960"/>
      </w:tblGrid>
      <w:tr w:rsidR="00882435" w:rsidRPr="00CE0385" w14:paraId="3B10E003" w14:textId="77777777" w:rsidTr="00857F42">
        <w:trPr>
          <w:trHeight w:val="29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BEDDBE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4DB02A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6C3BE9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Drug-induced BrECG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432ED6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Spontaneous BrECG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68B5BD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P value</w:t>
            </w:r>
          </w:p>
        </w:tc>
      </w:tr>
      <w:tr w:rsidR="00882435" w:rsidRPr="00CE0385" w14:paraId="0A5B1E19" w14:textId="77777777" w:rsidTr="00857F42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6EB074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E74120E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5E57A9B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(n=227, 33.5%)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9D45C7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(n=451, 66.5%)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AC957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</w:p>
        </w:tc>
      </w:tr>
      <w:tr w:rsidR="00882435" w:rsidRPr="00CE0385" w14:paraId="2D3A0CE1" w14:textId="77777777" w:rsidTr="00857F42">
        <w:trPr>
          <w:trHeight w:val="30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49E5290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Age at AE, years (mean±SD)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D241F8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90E6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42 ±14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9E2C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42±15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8D6ED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0.969</w:t>
            </w:r>
          </w:p>
        </w:tc>
      </w:tr>
      <w:tr w:rsidR="00882435" w:rsidRPr="00CE0385" w14:paraId="6D97E3A2" w14:textId="77777777" w:rsidTr="00857F42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0CD1DB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DB884A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Age at AE ≤16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84E88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9 (4)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9478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23 (5.1)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189FE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0.532</w:t>
            </w:r>
          </w:p>
        </w:tc>
      </w:tr>
      <w:tr w:rsidR="00882435" w:rsidRPr="00CE0385" w14:paraId="45BB05EC" w14:textId="77777777" w:rsidTr="00857F42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04C28C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A86914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Age at AE &gt;16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CD41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218 (96)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F7CD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428 (94.9)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04E5C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</w:p>
        </w:tc>
      </w:tr>
      <w:tr w:rsidR="00882435" w:rsidRPr="00CE0385" w14:paraId="0A1DA9E5" w14:textId="77777777" w:rsidTr="00857F42">
        <w:trPr>
          <w:trHeight w:val="29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2DF1B28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Gender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A101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 xml:space="preserve">Male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642E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192 (84.6)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F0C2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427 (94.7)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1738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&lt;0.001</w:t>
            </w:r>
          </w:p>
        </w:tc>
      </w:tr>
      <w:tr w:rsidR="00882435" w:rsidRPr="00CE0385" w14:paraId="06781619" w14:textId="77777777" w:rsidTr="00857F42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0B750F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68322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Female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A284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35 (15.4)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482C3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24 (5.3)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94065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</w:p>
        </w:tc>
      </w:tr>
      <w:tr w:rsidR="00882435" w:rsidRPr="00CE0385" w14:paraId="2CD2624B" w14:textId="77777777" w:rsidTr="00857F42">
        <w:trPr>
          <w:trHeight w:val="29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F4616C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Ethnicity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4A49C0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White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F23E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130 (57.3)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DD70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234 (51.9)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3CBE8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0.036</w:t>
            </w:r>
          </w:p>
        </w:tc>
      </w:tr>
      <w:tr w:rsidR="00882435" w:rsidRPr="00CE0385" w14:paraId="39BA1AEE" w14:textId="77777777" w:rsidTr="00857F42">
        <w:trPr>
          <w:trHeight w:val="29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E119703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DB17AC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Asian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7E333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77 (33.9)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DA78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193 (42.8)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0F741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</w:p>
        </w:tc>
      </w:tr>
      <w:tr w:rsidR="00882435" w:rsidRPr="00CE0385" w14:paraId="35372332" w14:textId="77777777" w:rsidTr="00857F42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3A7FDA5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BA6CF8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 xml:space="preserve">Other/ Unknown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519D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20 (8.8)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E6F9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24 (5.3)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FD0BA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</w:p>
        </w:tc>
      </w:tr>
      <w:tr w:rsidR="00882435" w:rsidRPr="00CE0385" w14:paraId="66179498" w14:textId="77777777" w:rsidTr="00857F42">
        <w:trPr>
          <w:trHeight w:val="29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F4E14C6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Arrhythmic event documentation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7FC115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Group 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EB3D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150 (66.1)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6E3B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276 (61.2)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8BD01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0.214</w:t>
            </w:r>
          </w:p>
        </w:tc>
      </w:tr>
      <w:tr w:rsidR="00882435" w:rsidRPr="00CE0385" w14:paraId="7E5663D8" w14:textId="77777777" w:rsidTr="00857F42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AC8521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7C0AC5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Group B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601DB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77 (33.9)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03AE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175 (38.8)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3EAE0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</w:p>
        </w:tc>
      </w:tr>
      <w:tr w:rsidR="00882435" w:rsidRPr="00CE0385" w14:paraId="26B6D060" w14:textId="77777777" w:rsidTr="00857F42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416452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 xml:space="preserve">Proband status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26FFD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FA59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181 (85.4)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2670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361 (86.4)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6523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0.736</w:t>
            </w:r>
          </w:p>
        </w:tc>
      </w:tr>
      <w:tr w:rsidR="00882435" w:rsidRPr="00CE0385" w14:paraId="1696652C" w14:textId="77777777" w:rsidTr="00857F42">
        <w:trPr>
          <w:trHeight w:val="30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E64B27D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 xml:space="preserve">History of syncope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20476C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9DD3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82 (36.1)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38C34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183 (40.6)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69DF4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0.262</w:t>
            </w:r>
          </w:p>
        </w:tc>
      </w:tr>
      <w:tr w:rsidR="00882435" w:rsidRPr="00CE0385" w14:paraId="3B0A4BA6" w14:textId="77777777" w:rsidTr="00857F42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2B4000F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Fever during AE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730654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BE46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11 (5.9)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63B6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24 (6)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269D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0.961</w:t>
            </w:r>
          </w:p>
        </w:tc>
      </w:tr>
      <w:tr w:rsidR="00882435" w:rsidRPr="00CE0385" w14:paraId="66176419" w14:textId="77777777" w:rsidTr="00857F42">
        <w:trPr>
          <w:trHeight w:val="29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504E777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Family History of SCD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3070A2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Yes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DDBA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46 (20.3)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118C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99 (22)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EDC4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0.851</w:t>
            </w:r>
          </w:p>
        </w:tc>
      </w:tr>
      <w:tr w:rsidR="00882435" w:rsidRPr="00CE0385" w14:paraId="47494A6F" w14:textId="77777777" w:rsidTr="00857F42">
        <w:trPr>
          <w:trHeight w:val="29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680281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34C628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No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2EEAE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158 (69.6)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76AE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310 (68.7)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4D983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</w:p>
        </w:tc>
      </w:tr>
      <w:tr w:rsidR="00882435" w:rsidRPr="00CE0385" w14:paraId="2E021681" w14:textId="77777777" w:rsidTr="00857F42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1B967FA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D6D1FD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 xml:space="preserve">Unknown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AD86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23 (10.1)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7ECFB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42 (9.3)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B4A67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</w:p>
        </w:tc>
      </w:tr>
      <w:tr w:rsidR="00882435" w:rsidRPr="00CE0385" w14:paraId="5104F6E8" w14:textId="77777777" w:rsidTr="00857F42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261879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 xml:space="preserve">EPS performed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85A9FB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6DBBA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140 (61.7)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245F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260 (57.6)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81405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0.315</w:t>
            </w:r>
          </w:p>
        </w:tc>
      </w:tr>
      <w:tr w:rsidR="00882435" w:rsidRPr="00CE0385" w14:paraId="17FE21B5" w14:textId="77777777" w:rsidTr="00857F42">
        <w:trPr>
          <w:trHeight w:val="30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80FC1F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VF inducibility during EPS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5502EF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E6437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78 (55.7)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76035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175 (67.3)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29D02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0.022</w:t>
            </w:r>
          </w:p>
        </w:tc>
      </w:tr>
      <w:tr w:rsidR="00882435" w:rsidRPr="00CE0385" w14:paraId="48E821B7" w14:textId="77777777" w:rsidTr="00857F42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B5FD747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Genetic analysis performed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D26CF2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A7BED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158 (69.6)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0D7E4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327 (72.5)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7006D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0.429</w:t>
            </w:r>
          </w:p>
        </w:tc>
      </w:tr>
      <w:tr w:rsidR="00882435" w:rsidRPr="00CE0385" w14:paraId="30BF1294" w14:textId="77777777" w:rsidTr="00857F42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C62490E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CE0385">
              <w:rPr>
                <w:rFonts w:eastAsia="Times New Roman" w:cs="Calibri"/>
                <w:b/>
                <w:bCs/>
                <w:color w:val="000000"/>
                <w:lang/>
              </w:rPr>
              <w:t>SCN5A mutation present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995888" w14:textId="77777777" w:rsidR="00882435" w:rsidRPr="00CE0385" w:rsidRDefault="00882435" w:rsidP="00857F42">
            <w:pPr>
              <w:spacing w:after="0" w:line="240" w:lineRule="auto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26F5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41 (25.9)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15EC5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102 (31.2)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D7645" w14:textId="77777777" w:rsidR="00882435" w:rsidRPr="00CE0385" w:rsidRDefault="00882435" w:rsidP="00857F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/>
              </w:rPr>
            </w:pPr>
            <w:r w:rsidRPr="00CE0385">
              <w:rPr>
                <w:rFonts w:eastAsia="Times New Roman" w:cs="Calibri"/>
                <w:color w:val="000000"/>
                <w:lang/>
              </w:rPr>
              <w:t>0.235</w:t>
            </w:r>
          </w:p>
        </w:tc>
      </w:tr>
    </w:tbl>
    <w:p w14:paraId="2D38859E" w14:textId="77777777" w:rsidR="00882435" w:rsidRPr="009D1D6D" w:rsidRDefault="00882435" w:rsidP="00882435">
      <w:r w:rsidRPr="009D1D6D">
        <w:fldChar w:fldCharType="begin"/>
      </w:r>
      <w:r w:rsidRPr="009D1D6D">
        <w:instrText xml:space="preserve"> LINK </w:instrText>
      </w:r>
      <w:r>
        <w:instrText>Excel.Sheet.12 "C:\\Users\\anatm\\OneDrive\\</w:instrText>
      </w:r>
      <w:r>
        <w:rPr>
          <w:rtl/>
        </w:rPr>
        <w:instrText>שולחן העבודה</w:instrText>
      </w:r>
      <w:r>
        <w:instrText xml:space="preserve">\\cardiology\\BRUGADA\\SABRUS - NEW\\drug induced brugada\\from SABRUS 1.xlsx" "table 1!R3C3:R23C7" </w:instrText>
      </w:r>
      <w:r w:rsidRPr="009D1D6D">
        <w:instrText xml:space="preserve">\a \f 4 \h  \* MERGEFORMAT </w:instrText>
      </w:r>
      <w:r w:rsidRPr="009D1D6D">
        <w:fldChar w:fldCharType="separate"/>
      </w:r>
    </w:p>
    <w:p w14:paraId="6C6ACDAC" w14:textId="77777777" w:rsidR="00882435" w:rsidRDefault="00882435" w:rsidP="00882435">
      <w:r w:rsidRPr="009D1D6D">
        <w:fldChar w:fldCharType="end"/>
      </w:r>
    </w:p>
    <w:bookmarkEnd w:id="11"/>
    <w:p w14:paraId="58612011" w14:textId="77777777" w:rsidR="00882435" w:rsidRDefault="00882435" w:rsidP="00882435">
      <w:r>
        <w:t xml:space="preserve">Abbreviations:  AE = arrhythmic event, </w:t>
      </w:r>
      <w:proofErr w:type="spellStart"/>
      <w:r>
        <w:t>BrECG</w:t>
      </w:r>
      <w:proofErr w:type="spellEnd"/>
      <w:r>
        <w:t xml:space="preserve"> = </w:t>
      </w:r>
      <w:proofErr w:type="spellStart"/>
      <w:r>
        <w:t>Brugada</w:t>
      </w:r>
      <w:proofErr w:type="spellEnd"/>
      <w:r>
        <w:t xml:space="preserve"> electrocardiogram, EPS = electrophysiologic study; SCD = sudden cardiac death; SD = standard deviation; VF = ventricular fibrillation. </w:t>
      </w:r>
    </w:p>
    <w:p w14:paraId="21180B43" w14:textId="77777777" w:rsidR="00882435" w:rsidRDefault="00882435" w:rsidP="00882435"/>
    <w:p w14:paraId="7B713873" w14:textId="77777777" w:rsidR="00882435" w:rsidRDefault="00882435" w:rsidP="00882435">
      <w:pPr>
        <w:spacing w:line="480" w:lineRule="auto"/>
      </w:pPr>
    </w:p>
    <w:p w14:paraId="70C6ED52" w14:textId="77777777" w:rsidR="00E14F14" w:rsidRPr="00A93F7D" w:rsidRDefault="00E14F14" w:rsidP="00DB3206">
      <w:pPr>
        <w:pStyle w:val="ListParagraph"/>
        <w:spacing w:line="480" w:lineRule="auto"/>
      </w:pPr>
    </w:p>
    <w:p w14:paraId="1A8B4C24" w14:textId="1909CD96" w:rsidR="00E14F14" w:rsidRDefault="00E14F14" w:rsidP="000B5D36">
      <w:pPr>
        <w:spacing w:line="480" w:lineRule="auto"/>
        <w:rPr>
          <w:b/>
          <w:bCs/>
        </w:rPr>
      </w:pPr>
    </w:p>
    <w:p w14:paraId="2820B355" w14:textId="0CE2E981" w:rsidR="00882435" w:rsidRDefault="00882435" w:rsidP="000B5D36">
      <w:pPr>
        <w:spacing w:line="480" w:lineRule="auto"/>
        <w:rPr>
          <w:b/>
          <w:bCs/>
        </w:rPr>
      </w:pPr>
    </w:p>
    <w:p w14:paraId="7824AA6A" w14:textId="39760ADE" w:rsidR="00882435" w:rsidRDefault="00882435" w:rsidP="000B5D36">
      <w:pPr>
        <w:spacing w:line="480" w:lineRule="auto"/>
        <w:rPr>
          <w:b/>
          <w:bCs/>
        </w:rPr>
      </w:pPr>
    </w:p>
    <w:p w14:paraId="008BC9DC" w14:textId="3F0FEAB5" w:rsidR="00882435" w:rsidRDefault="00882435" w:rsidP="00882435">
      <w:pPr>
        <w:spacing w:line="480" w:lineRule="auto"/>
        <w:rPr>
          <w:b/>
          <w:bCs/>
        </w:rPr>
      </w:pPr>
      <w:r w:rsidRPr="00882435">
        <w:rPr>
          <w:b/>
          <w:bCs/>
        </w:rPr>
        <w:lastRenderedPageBreak/>
        <w:t>150-character tweet representing manuscript</w:t>
      </w:r>
      <w:r>
        <w:rPr>
          <w:b/>
          <w:bCs/>
        </w:rPr>
        <w:t>:</w:t>
      </w:r>
    </w:p>
    <w:p w14:paraId="60AC087B" w14:textId="14777DB9" w:rsidR="00882435" w:rsidRPr="00882435" w:rsidRDefault="00882435" w:rsidP="00882435">
      <w:pPr>
        <w:spacing w:line="480" w:lineRule="auto"/>
      </w:pPr>
      <w:r w:rsidRPr="00302570">
        <w:t>D</w:t>
      </w:r>
      <w:r>
        <w:t xml:space="preserve">rug induced </w:t>
      </w:r>
      <w:proofErr w:type="spellStart"/>
      <w:r>
        <w:t>Br</w:t>
      </w:r>
      <w:r>
        <w:t>ugada</w:t>
      </w:r>
      <w:proofErr w:type="spellEnd"/>
      <w:r w:rsidRPr="00302570">
        <w:t xml:space="preserve"> patients represented a third of </w:t>
      </w:r>
      <w:r>
        <w:t>the SABRUS</w:t>
      </w:r>
      <w:r w:rsidRPr="00302570">
        <w:t xml:space="preserve"> </w:t>
      </w:r>
      <w:r>
        <w:t>cohort</w:t>
      </w:r>
      <w:r w:rsidRPr="00302570">
        <w:t xml:space="preserve">. They </w:t>
      </w:r>
      <w:r>
        <w:t>differed</w:t>
      </w:r>
      <w:r w:rsidRPr="00302570">
        <w:t xml:space="preserve"> from </w:t>
      </w:r>
      <w:r>
        <w:t xml:space="preserve">spontaneous type 1 </w:t>
      </w:r>
      <w:proofErr w:type="spellStart"/>
      <w:r>
        <w:t>Brugada</w:t>
      </w:r>
      <w:proofErr w:type="spellEnd"/>
      <w:r>
        <w:t xml:space="preserve"> patients</w:t>
      </w:r>
      <w:r w:rsidRPr="00302570">
        <w:t xml:space="preserve"> in gender, ethnicity</w:t>
      </w:r>
      <w:r>
        <w:t>,</w:t>
      </w:r>
      <w:r w:rsidRPr="00302570">
        <w:t xml:space="preserve"> and </w:t>
      </w:r>
      <w:r>
        <w:t>VF inducibility rates</w:t>
      </w:r>
      <w:r>
        <w:t>.</w:t>
      </w:r>
      <w:r>
        <w:t xml:space="preserve"> </w:t>
      </w:r>
    </w:p>
    <w:p w14:paraId="6CF4C389" w14:textId="77777777" w:rsidR="00E14F14" w:rsidRPr="00A93F7D" w:rsidRDefault="00E14F14" w:rsidP="002E5260">
      <w:pPr>
        <w:pStyle w:val="ListParagraph"/>
        <w:spacing w:line="480" w:lineRule="auto"/>
      </w:pPr>
    </w:p>
    <w:sectPr w:rsidR="00E14F14" w:rsidRPr="00A93F7D" w:rsidSect="006341B3">
      <w:headerReference w:type="default" r:id="rId8"/>
      <w:pgSz w:w="11906" w:h="16838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AABA" w14:textId="77777777" w:rsidR="00D3507B" w:rsidRDefault="00D3507B" w:rsidP="00B64B96">
      <w:pPr>
        <w:spacing w:after="0" w:line="240" w:lineRule="auto"/>
      </w:pPr>
      <w:r>
        <w:separator/>
      </w:r>
    </w:p>
  </w:endnote>
  <w:endnote w:type="continuationSeparator" w:id="0">
    <w:p w14:paraId="27233BD7" w14:textId="77777777" w:rsidR="00D3507B" w:rsidRDefault="00D3507B" w:rsidP="00B6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3730" w14:textId="77777777" w:rsidR="00D3507B" w:rsidRDefault="00D3507B" w:rsidP="00B64B96">
      <w:pPr>
        <w:spacing w:after="0" w:line="240" w:lineRule="auto"/>
      </w:pPr>
      <w:r>
        <w:separator/>
      </w:r>
    </w:p>
  </w:footnote>
  <w:footnote w:type="continuationSeparator" w:id="0">
    <w:p w14:paraId="159072D7" w14:textId="77777777" w:rsidR="00D3507B" w:rsidRDefault="00D3507B" w:rsidP="00B6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E6F1" w14:textId="77777777" w:rsidR="00E14F14" w:rsidRDefault="0000000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F14">
      <w:rPr>
        <w:noProof/>
      </w:rPr>
      <w:t>3</w:t>
    </w:r>
    <w:r>
      <w:rPr>
        <w:noProof/>
      </w:rPr>
      <w:fldChar w:fldCharType="end"/>
    </w:r>
  </w:p>
  <w:p w14:paraId="5B8B77E7" w14:textId="77777777" w:rsidR="00E14F14" w:rsidRDefault="00E14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1DEC"/>
    <w:multiLevelType w:val="hybridMultilevel"/>
    <w:tmpl w:val="A7E8EE04"/>
    <w:lvl w:ilvl="0" w:tplc="1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888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7D"/>
    <w:rsid w:val="000057E9"/>
    <w:rsid w:val="00015156"/>
    <w:rsid w:val="000158E3"/>
    <w:rsid w:val="00020792"/>
    <w:rsid w:val="00057556"/>
    <w:rsid w:val="00080C66"/>
    <w:rsid w:val="0008197E"/>
    <w:rsid w:val="0008684D"/>
    <w:rsid w:val="000B5D36"/>
    <w:rsid w:val="000D38D1"/>
    <w:rsid w:val="000D4392"/>
    <w:rsid w:val="000E28E7"/>
    <w:rsid w:val="000F34F2"/>
    <w:rsid w:val="000F58AF"/>
    <w:rsid w:val="00152887"/>
    <w:rsid w:val="00176BB9"/>
    <w:rsid w:val="00177157"/>
    <w:rsid w:val="00190ED2"/>
    <w:rsid w:val="001926DF"/>
    <w:rsid w:val="00222ACE"/>
    <w:rsid w:val="00250DB1"/>
    <w:rsid w:val="002519A7"/>
    <w:rsid w:val="00256262"/>
    <w:rsid w:val="00257BA1"/>
    <w:rsid w:val="002625D0"/>
    <w:rsid w:val="0028308E"/>
    <w:rsid w:val="002C055C"/>
    <w:rsid w:val="002C2745"/>
    <w:rsid w:val="002C59AC"/>
    <w:rsid w:val="002E5260"/>
    <w:rsid w:val="002F7A65"/>
    <w:rsid w:val="00302570"/>
    <w:rsid w:val="00344DEE"/>
    <w:rsid w:val="003A7647"/>
    <w:rsid w:val="003E1CF1"/>
    <w:rsid w:val="003F210F"/>
    <w:rsid w:val="00431F28"/>
    <w:rsid w:val="00442B86"/>
    <w:rsid w:val="00454FFE"/>
    <w:rsid w:val="004C586C"/>
    <w:rsid w:val="004D62FC"/>
    <w:rsid w:val="004E0029"/>
    <w:rsid w:val="00560097"/>
    <w:rsid w:val="005815F4"/>
    <w:rsid w:val="00581D4F"/>
    <w:rsid w:val="00583E25"/>
    <w:rsid w:val="005A1D74"/>
    <w:rsid w:val="005B5086"/>
    <w:rsid w:val="0061467E"/>
    <w:rsid w:val="006341B3"/>
    <w:rsid w:val="00646618"/>
    <w:rsid w:val="006505B8"/>
    <w:rsid w:val="0065206D"/>
    <w:rsid w:val="0066218B"/>
    <w:rsid w:val="0068051B"/>
    <w:rsid w:val="006908A0"/>
    <w:rsid w:val="006A6CC4"/>
    <w:rsid w:val="006F3B91"/>
    <w:rsid w:val="00703931"/>
    <w:rsid w:val="00705700"/>
    <w:rsid w:val="00711D7E"/>
    <w:rsid w:val="00753B31"/>
    <w:rsid w:val="007A0397"/>
    <w:rsid w:val="007A4D48"/>
    <w:rsid w:val="007A4F23"/>
    <w:rsid w:val="007D0347"/>
    <w:rsid w:val="007D5D51"/>
    <w:rsid w:val="007E117E"/>
    <w:rsid w:val="00814950"/>
    <w:rsid w:val="008552A8"/>
    <w:rsid w:val="00882435"/>
    <w:rsid w:val="008A0C04"/>
    <w:rsid w:val="008A54AA"/>
    <w:rsid w:val="008E038D"/>
    <w:rsid w:val="008F10A8"/>
    <w:rsid w:val="008F76CB"/>
    <w:rsid w:val="00924062"/>
    <w:rsid w:val="00932327"/>
    <w:rsid w:val="00952663"/>
    <w:rsid w:val="00994304"/>
    <w:rsid w:val="00997B5D"/>
    <w:rsid w:val="009E414E"/>
    <w:rsid w:val="009F2425"/>
    <w:rsid w:val="009F398D"/>
    <w:rsid w:val="00A23F1C"/>
    <w:rsid w:val="00A41E3F"/>
    <w:rsid w:val="00A67A54"/>
    <w:rsid w:val="00A720F7"/>
    <w:rsid w:val="00A83314"/>
    <w:rsid w:val="00A93F7D"/>
    <w:rsid w:val="00AC4E49"/>
    <w:rsid w:val="00B64B96"/>
    <w:rsid w:val="00B80D7C"/>
    <w:rsid w:val="00BA2958"/>
    <w:rsid w:val="00BA307F"/>
    <w:rsid w:val="00BA6871"/>
    <w:rsid w:val="00BB40F1"/>
    <w:rsid w:val="00BC67B3"/>
    <w:rsid w:val="00BD4DD7"/>
    <w:rsid w:val="00C12FFB"/>
    <w:rsid w:val="00C141D6"/>
    <w:rsid w:val="00C1445A"/>
    <w:rsid w:val="00C26481"/>
    <w:rsid w:val="00C5355C"/>
    <w:rsid w:val="00C677B9"/>
    <w:rsid w:val="00C67A1A"/>
    <w:rsid w:val="00CA1760"/>
    <w:rsid w:val="00CF0892"/>
    <w:rsid w:val="00D03F9F"/>
    <w:rsid w:val="00D3507B"/>
    <w:rsid w:val="00D44EE4"/>
    <w:rsid w:val="00D57392"/>
    <w:rsid w:val="00D577A1"/>
    <w:rsid w:val="00D73D49"/>
    <w:rsid w:val="00D779EA"/>
    <w:rsid w:val="00DB1624"/>
    <w:rsid w:val="00DB3206"/>
    <w:rsid w:val="00DE3234"/>
    <w:rsid w:val="00E14F14"/>
    <w:rsid w:val="00E303F8"/>
    <w:rsid w:val="00E5634C"/>
    <w:rsid w:val="00E75CF8"/>
    <w:rsid w:val="00EA0377"/>
    <w:rsid w:val="00ED1703"/>
    <w:rsid w:val="00EE7524"/>
    <w:rsid w:val="00EF2865"/>
    <w:rsid w:val="00F36151"/>
    <w:rsid w:val="00F415EA"/>
    <w:rsid w:val="00F67C48"/>
    <w:rsid w:val="00FA2061"/>
    <w:rsid w:val="00FA5407"/>
    <w:rsid w:val="00FB78FA"/>
    <w:rsid w:val="00FE308F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5002EC"/>
  <w15:docId w15:val="{C573E4E2-80C7-41BF-BAF1-784737E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FC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025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02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2570"/>
    <w:rPr>
      <w:rFonts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D034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14950"/>
    <w:rPr>
      <w:rFonts w:cs="Times New Roman"/>
      <w:color w:val="0563C1"/>
      <w:u w:val="single"/>
    </w:rPr>
  </w:style>
  <w:style w:type="paragraph" w:styleId="Revision">
    <w:name w:val="Revision"/>
    <w:hidden/>
    <w:uiPriority w:val="99"/>
    <w:semiHidden/>
    <w:rsid w:val="007A4F23"/>
  </w:style>
  <w:style w:type="paragraph" w:styleId="Header">
    <w:name w:val="header"/>
    <w:basedOn w:val="Normal"/>
    <w:link w:val="HeaderChar"/>
    <w:uiPriority w:val="99"/>
    <w:rsid w:val="00B64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4B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4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B96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6341B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4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4DEE"/>
    <w:rPr>
      <w:rFonts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rsid w:val="00442B86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A41E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1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1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tmil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patients with spontaneous vs drug-induced Brugada ECG</vt:lpstr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patients with spontaneous vs drug-induced Brugada ECG</dc:title>
  <dc:subject/>
  <dc:creator>anat milman</dc:creator>
  <cp:keywords/>
  <dc:description/>
  <cp:lastModifiedBy>anat milman</cp:lastModifiedBy>
  <cp:revision>2</cp:revision>
  <dcterms:created xsi:type="dcterms:W3CDTF">2022-11-17T11:59:00Z</dcterms:created>
  <dcterms:modified xsi:type="dcterms:W3CDTF">2022-11-17T11:59:00Z</dcterms:modified>
</cp:coreProperties>
</file>