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FDC4" w14:textId="406E84C1" w:rsidR="00786E7A" w:rsidRPr="002F791B" w:rsidRDefault="00786E7A" w:rsidP="00786E7A">
      <w:pPr>
        <w:pStyle w:val="Heading2"/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</w:t>
      </w:r>
      <w:r w:rsidRPr="002F791B">
        <w:rPr>
          <w:rFonts w:ascii="Arial" w:hAnsi="Arial" w:cs="Arial"/>
          <w:szCs w:val="20"/>
        </w:rPr>
        <w:t>ournal</w:t>
      </w:r>
    </w:p>
    <w:p w14:paraId="3EF260BA" w14:textId="153CC364" w:rsidR="00786E7A" w:rsidRPr="002F791B" w:rsidRDefault="00786E7A" w:rsidP="00786E7A">
      <w:pPr>
        <w:spacing w:line="480" w:lineRule="auto"/>
        <w:rPr>
          <w:rFonts w:cs="Arial"/>
          <w:color w:val="000000" w:themeColor="text1"/>
          <w:szCs w:val="20"/>
        </w:rPr>
      </w:pPr>
      <w:proofErr w:type="spellStart"/>
      <w:r w:rsidRPr="002F791B">
        <w:rPr>
          <w:rFonts w:cs="Arial"/>
          <w:color w:val="000000" w:themeColor="text1"/>
          <w:szCs w:val="20"/>
        </w:rPr>
        <w:t>BioDrugs</w:t>
      </w:r>
      <w:proofErr w:type="spellEnd"/>
    </w:p>
    <w:p w14:paraId="7375962F" w14:textId="77777777" w:rsidR="00786E7A" w:rsidRPr="002F791B" w:rsidRDefault="00786E7A" w:rsidP="00786E7A">
      <w:pPr>
        <w:pStyle w:val="Heading2"/>
        <w:spacing w:line="480" w:lineRule="auto"/>
        <w:rPr>
          <w:rFonts w:ascii="Arial" w:hAnsi="Arial" w:cs="Arial"/>
          <w:szCs w:val="20"/>
        </w:rPr>
      </w:pPr>
      <w:r w:rsidRPr="002F791B">
        <w:rPr>
          <w:rFonts w:ascii="Arial" w:hAnsi="Arial" w:cs="Arial"/>
          <w:szCs w:val="20"/>
        </w:rPr>
        <w:t>Title</w:t>
      </w:r>
    </w:p>
    <w:p w14:paraId="6818F6A6" w14:textId="57208FA5" w:rsidR="00786E7A" w:rsidRPr="002F791B" w:rsidRDefault="00786E7A" w:rsidP="00786E7A">
      <w:pPr>
        <w:spacing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Maintaining Clinical Freedom Whilst Achieving Value in Biologics Prescribing: An Integrated Cross-Specialty Consensus of UK Dermatologists, Rheumatologists and Gastroenterologists</w:t>
      </w:r>
    </w:p>
    <w:p w14:paraId="20BB2D80" w14:textId="77777777" w:rsidR="00786E7A" w:rsidRPr="002F791B" w:rsidRDefault="00786E7A" w:rsidP="00786E7A">
      <w:pPr>
        <w:pStyle w:val="Heading2"/>
        <w:spacing w:line="480" w:lineRule="auto"/>
        <w:rPr>
          <w:rFonts w:ascii="Arial" w:hAnsi="Arial" w:cs="Arial"/>
          <w:szCs w:val="20"/>
        </w:rPr>
      </w:pPr>
      <w:r w:rsidRPr="002F791B">
        <w:rPr>
          <w:rFonts w:ascii="Arial" w:hAnsi="Arial" w:cs="Arial"/>
          <w:szCs w:val="20"/>
        </w:rPr>
        <w:t>Authors</w:t>
      </w:r>
    </w:p>
    <w:p w14:paraId="5F62BFE4" w14:textId="17338F40" w:rsidR="00786E7A" w:rsidRPr="00A4565C" w:rsidRDefault="00786E7A" w:rsidP="00A4565C">
      <w:pPr>
        <w:spacing w:after="120" w:line="480" w:lineRule="auto"/>
        <w:rPr>
          <w:rFonts w:cs="Arial"/>
          <w:color w:val="000000" w:themeColor="text1"/>
          <w:szCs w:val="20"/>
        </w:rPr>
      </w:pPr>
      <w:r w:rsidRPr="00A4565C">
        <w:rPr>
          <w:rFonts w:cs="Arial"/>
          <w:color w:val="000000" w:themeColor="text1"/>
          <w:szCs w:val="20"/>
        </w:rPr>
        <w:t>Tim Raine,</w:t>
      </w:r>
      <w:r w:rsidRPr="00A4565C">
        <w:rPr>
          <w:rFonts w:cs="Arial"/>
          <w:color w:val="000000" w:themeColor="text1"/>
          <w:szCs w:val="20"/>
          <w:vertAlign w:val="superscript"/>
        </w:rPr>
        <w:t>1</w:t>
      </w:r>
      <w:r w:rsidRPr="00A4565C">
        <w:rPr>
          <w:rFonts w:cs="Arial"/>
          <w:color w:val="000000" w:themeColor="text1"/>
          <w:szCs w:val="20"/>
        </w:rPr>
        <w:t xml:space="preserve"> Maria </w:t>
      </w:r>
      <w:proofErr w:type="spellStart"/>
      <w:r w:rsidRPr="00A4565C">
        <w:rPr>
          <w:rFonts w:cs="Arial"/>
          <w:color w:val="000000" w:themeColor="text1"/>
          <w:szCs w:val="20"/>
        </w:rPr>
        <w:t>Angeliki</w:t>
      </w:r>
      <w:proofErr w:type="spellEnd"/>
      <w:r w:rsidRPr="00A4565C">
        <w:rPr>
          <w:rFonts w:cs="Arial"/>
          <w:color w:val="000000" w:themeColor="text1"/>
          <w:szCs w:val="20"/>
        </w:rPr>
        <w:t xml:space="preserve"> Gkini,</w:t>
      </w:r>
      <w:r w:rsidRPr="00A4565C">
        <w:rPr>
          <w:rFonts w:cs="Arial"/>
          <w:color w:val="000000" w:themeColor="text1"/>
          <w:szCs w:val="20"/>
          <w:vertAlign w:val="superscript"/>
        </w:rPr>
        <w:t>2</w:t>
      </w:r>
      <w:r w:rsidRPr="00A4565C">
        <w:rPr>
          <w:rFonts w:cs="Arial"/>
          <w:color w:val="000000" w:themeColor="text1"/>
          <w:szCs w:val="20"/>
        </w:rPr>
        <w:t xml:space="preserve"> Peter M. Irving,</w:t>
      </w:r>
      <w:r w:rsidRPr="00A4565C">
        <w:rPr>
          <w:rFonts w:cs="Arial"/>
          <w:color w:val="000000" w:themeColor="text1"/>
          <w:szCs w:val="20"/>
          <w:vertAlign w:val="superscript"/>
        </w:rPr>
        <w:t>3,4</w:t>
      </w:r>
      <w:r w:rsidRPr="00A4565C">
        <w:rPr>
          <w:rFonts w:cs="Arial"/>
          <w:color w:val="000000" w:themeColor="text1"/>
          <w:szCs w:val="20"/>
        </w:rPr>
        <w:t xml:space="preserve"> Arvind Kaul,</w:t>
      </w:r>
      <w:r w:rsidRPr="00A4565C">
        <w:rPr>
          <w:rFonts w:cs="Arial"/>
          <w:color w:val="000000" w:themeColor="text1"/>
          <w:szCs w:val="20"/>
          <w:vertAlign w:val="superscript"/>
        </w:rPr>
        <w:t>5</w:t>
      </w:r>
      <w:r w:rsidRPr="00A4565C">
        <w:rPr>
          <w:rFonts w:cs="Arial"/>
          <w:color w:val="000000" w:themeColor="text1"/>
          <w:szCs w:val="20"/>
        </w:rPr>
        <w:t xml:space="preserve"> Eleanor Korendowych,</w:t>
      </w:r>
      <w:r w:rsidRPr="00A4565C">
        <w:rPr>
          <w:rFonts w:cs="Arial"/>
          <w:color w:val="000000" w:themeColor="text1"/>
          <w:szCs w:val="20"/>
          <w:vertAlign w:val="superscript"/>
        </w:rPr>
        <w:t>6</w:t>
      </w:r>
      <w:r w:rsidRPr="00A4565C">
        <w:rPr>
          <w:rFonts w:cs="Arial"/>
          <w:color w:val="000000" w:themeColor="text1"/>
          <w:szCs w:val="20"/>
        </w:rPr>
        <w:t xml:space="preserve"> Philip Laws,</w:t>
      </w:r>
      <w:r w:rsidRPr="00A4565C">
        <w:rPr>
          <w:rFonts w:cs="Arial"/>
          <w:color w:val="000000" w:themeColor="text1"/>
          <w:szCs w:val="20"/>
          <w:vertAlign w:val="superscript"/>
        </w:rPr>
        <w:t>7</w:t>
      </w:r>
      <w:r w:rsidRPr="00A4565C">
        <w:rPr>
          <w:rFonts w:cs="Arial"/>
          <w:color w:val="000000" w:themeColor="text1"/>
          <w:szCs w:val="20"/>
        </w:rPr>
        <w:t xml:space="preserve"> Amy C. Foulkes</w:t>
      </w:r>
      <w:r w:rsidRPr="00A4565C">
        <w:rPr>
          <w:rFonts w:cs="Arial"/>
          <w:color w:val="000000" w:themeColor="text1"/>
          <w:szCs w:val="20"/>
          <w:vertAlign w:val="superscript"/>
        </w:rPr>
        <w:t>8</w:t>
      </w:r>
    </w:p>
    <w:p w14:paraId="6A686DE2" w14:textId="77777777" w:rsidR="00786E7A" w:rsidRPr="002F791B" w:rsidRDefault="00786E7A" w:rsidP="00786E7A">
      <w:pPr>
        <w:pStyle w:val="Heading2"/>
        <w:spacing w:line="480" w:lineRule="auto"/>
        <w:rPr>
          <w:rFonts w:ascii="Arial" w:hAnsi="Arial" w:cs="Arial"/>
          <w:szCs w:val="20"/>
        </w:rPr>
      </w:pPr>
      <w:r w:rsidRPr="002F791B">
        <w:rPr>
          <w:rFonts w:ascii="Arial" w:hAnsi="Arial" w:cs="Arial"/>
          <w:szCs w:val="20"/>
        </w:rPr>
        <w:t>Affiliations</w:t>
      </w:r>
    </w:p>
    <w:p w14:paraId="434C720F" w14:textId="77777777" w:rsidR="00786E7A" w:rsidRPr="002F791B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Department of Gastroenterology, Addenbrooke’s Hospital, Cambridge University Hospitals NHS Foundation Trust, Cambridge, UK</w:t>
      </w:r>
    </w:p>
    <w:p w14:paraId="66C0860F" w14:textId="77777777" w:rsidR="00786E7A" w:rsidRPr="002F791B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Department of Dermatology, Barts Health NHS Trust, London, UK</w:t>
      </w:r>
    </w:p>
    <w:p w14:paraId="02E3DAC6" w14:textId="77777777" w:rsidR="00786E7A" w:rsidRPr="002F791B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IBD Centre, Department of Gastroenterology, Guy’s and St Thomas’ NHS Foundation Trust, London, UK</w:t>
      </w:r>
    </w:p>
    <w:p w14:paraId="7A4C91ED" w14:textId="77777777" w:rsidR="00786E7A" w:rsidRPr="002F791B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School of Immunology and Microbial Sciences, King’s College London, London, UK</w:t>
      </w:r>
    </w:p>
    <w:p w14:paraId="6687338C" w14:textId="77777777" w:rsidR="00786E7A" w:rsidRPr="002F791B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Centre for Rheumatology, St George’s University Hospitals NHS Foundation Trust, London, UK</w:t>
      </w:r>
    </w:p>
    <w:p w14:paraId="6BD17BC4" w14:textId="77777777" w:rsidR="00786E7A" w:rsidRPr="002F791B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Department of Rheumatology, Royal United Hospitals Bath NHS Foundation Trust, Bath, UK</w:t>
      </w:r>
    </w:p>
    <w:p w14:paraId="5E85FC59" w14:textId="77777777" w:rsidR="00786E7A" w:rsidRPr="002F791B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Department of Dermatology, The Leeds Teaching Hospitals NHS Trust, Leeds, UK</w:t>
      </w:r>
    </w:p>
    <w:p w14:paraId="7D0CB49E" w14:textId="076E833C" w:rsidR="00786E7A" w:rsidRPr="00A4565C" w:rsidRDefault="00786E7A" w:rsidP="00786E7A">
      <w:pPr>
        <w:pStyle w:val="ListParagraph"/>
        <w:numPr>
          <w:ilvl w:val="0"/>
          <w:numId w:val="8"/>
        </w:numPr>
        <w:spacing w:after="120"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The Dermatology Centre, Salford Royal NHS Foundation Trust, NIHR Manchester Biomedical Research Centre, Manchester Academic Health Science Centre, Manchester, UK</w:t>
      </w:r>
    </w:p>
    <w:p w14:paraId="6B7A168B" w14:textId="77777777" w:rsidR="00786E7A" w:rsidRPr="002F791B" w:rsidRDefault="00786E7A" w:rsidP="00786E7A">
      <w:pPr>
        <w:pStyle w:val="Heading2"/>
        <w:spacing w:line="480" w:lineRule="auto"/>
        <w:rPr>
          <w:rFonts w:ascii="Arial" w:hAnsi="Arial" w:cs="Arial"/>
          <w:szCs w:val="20"/>
        </w:rPr>
      </w:pPr>
      <w:r w:rsidRPr="002F791B">
        <w:rPr>
          <w:rFonts w:ascii="Arial" w:hAnsi="Arial" w:cs="Arial"/>
          <w:szCs w:val="20"/>
        </w:rPr>
        <w:t>Corresponding author</w:t>
      </w:r>
    </w:p>
    <w:p w14:paraId="45BFCA28" w14:textId="77777777" w:rsidR="00786E7A" w:rsidRPr="002F791B" w:rsidRDefault="00786E7A" w:rsidP="00786E7A">
      <w:pPr>
        <w:spacing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Tim Raine (tim.raine@addenbrookes.nhs.uk)</w:t>
      </w:r>
    </w:p>
    <w:p w14:paraId="09B6FDF2" w14:textId="4C38EBA1" w:rsidR="00391E99" w:rsidRDefault="00391E99">
      <w:pPr>
        <w:rPr>
          <w:color w:val="000000" w:themeColor="text1"/>
        </w:rPr>
        <w:sectPr w:rsidR="00391E99" w:rsidSect="00037195">
          <w:footerReference w:type="even" r:id="rId7"/>
          <w:footerReference w:type="default" r:id="rId8"/>
          <w:pgSz w:w="11900" w:h="16840"/>
          <w:pgMar w:top="1790" w:right="1440" w:bottom="1440" w:left="1440" w:header="708" w:footer="708" w:gutter="0"/>
          <w:cols w:space="708"/>
          <w:docGrid w:linePitch="360"/>
        </w:sectPr>
      </w:pPr>
    </w:p>
    <w:p w14:paraId="1AE9668C" w14:textId="26A64E87" w:rsidR="00B737A3" w:rsidRPr="006B79E8" w:rsidRDefault="00B737A3" w:rsidP="00B737A3">
      <w:pPr>
        <w:pStyle w:val="Title"/>
        <w:rPr>
          <w:color w:val="000000" w:themeColor="text1"/>
        </w:rPr>
      </w:pPr>
      <w:r>
        <w:rPr>
          <w:color w:val="000000" w:themeColor="text1"/>
        </w:rPr>
        <w:lastRenderedPageBreak/>
        <w:t>Supplementary Table</w:t>
      </w:r>
    </w:p>
    <w:p w14:paraId="06B0558D" w14:textId="77777777" w:rsidR="00391E99" w:rsidRDefault="00391E99" w:rsidP="00B737A3">
      <w:pPr>
        <w:spacing w:line="480" w:lineRule="auto"/>
        <w:rPr>
          <w:rFonts w:cs="Arial"/>
          <w:color w:val="000000" w:themeColor="text1"/>
          <w:szCs w:val="20"/>
        </w:rPr>
      </w:pPr>
    </w:p>
    <w:p w14:paraId="25577F7C" w14:textId="3DC9EDB0" w:rsidR="00B737A3" w:rsidRPr="002F791B" w:rsidRDefault="00B737A3" w:rsidP="00B737A3">
      <w:pPr>
        <w:spacing w:line="480" w:lineRule="auto"/>
        <w:rPr>
          <w:rFonts w:cs="Arial"/>
          <w:color w:val="000000" w:themeColor="text1"/>
          <w:szCs w:val="20"/>
        </w:rPr>
      </w:pPr>
      <w:r w:rsidRPr="002F791B">
        <w:rPr>
          <w:rFonts w:cs="Arial"/>
          <w:color w:val="000000" w:themeColor="text1"/>
          <w:szCs w:val="20"/>
        </w:rPr>
        <w:t>Phase III, randomised controlled trials of biologics targeting IL-12/23, IL-23, IL-17 and integrins that have shown superiority versus TNF inhibitors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1"/>
        <w:gridCol w:w="2764"/>
        <w:gridCol w:w="2625"/>
        <w:gridCol w:w="1659"/>
        <w:gridCol w:w="4621"/>
      </w:tblGrid>
      <w:tr w:rsidR="00B737A3" w:rsidRPr="002F791B" w14:paraId="3A91D681" w14:textId="77777777" w:rsidTr="008B54D2">
        <w:tc>
          <w:tcPr>
            <w:tcW w:w="710" w:type="pct"/>
          </w:tcPr>
          <w:p w14:paraId="28C26E5F" w14:textId="77777777" w:rsidR="00B737A3" w:rsidRPr="002F791B" w:rsidRDefault="00B737A3" w:rsidP="00DA09F3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Cs w:val="20"/>
              </w:rPr>
              <w:t>Indication</w:t>
            </w:r>
          </w:p>
        </w:tc>
        <w:tc>
          <w:tcPr>
            <w:tcW w:w="1016" w:type="pct"/>
          </w:tcPr>
          <w:p w14:paraId="46110070" w14:textId="77777777" w:rsidR="00B737A3" w:rsidRPr="002F791B" w:rsidRDefault="00B737A3" w:rsidP="00DA09F3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F791B">
              <w:rPr>
                <w:rFonts w:cs="Arial"/>
                <w:b/>
                <w:bCs/>
                <w:color w:val="000000" w:themeColor="text1"/>
                <w:szCs w:val="20"/>
              </w:rPr>
              <w:t>Study</w:t>
            </w:r>
          </w:p>
        </w:tc>
        <w:tc>
          <w:tcPr>
            <w:tcW w:w="965" w:type="pct"/>
          </w:tcPr>
          <w:p w14:paraId="154A9EEF" w14:textId="77777777" w:rsidR="00B737A3" w:rsidRPr="002F791B" w:rsidRDefault="00B737A3" w:rsidP="00DA09F3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F791B">
              <w:rPr>
                <w:rFonts w:cs="Arial"/>
                <w:b/>
                <w:bCs/>
                <w:color w:val="000000" w:themeColor="text1"/>
                <w:szCs w:val="20"/>
              </w:rPr>
              <w:t>Treatment comparisons</w:t>
            </w:r>
          </w:p>
        </w:tc>
        <w:tc>
          <w:tcPr>
            <w:tcW w:w="610" w:type="pct"/>
          </w:tcPr>
          <w:p w14:paraId="6ABFECEC" w14:textId="77777777" w:rsidR="00B737A3" w:rsidRPr="002F791B" w:rsidRDefault="00B737A3" w:rsidP="00DA09F3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F791B">
              <w:rPr>
                <w:rFonts w:cs="Arial"/>
                <w:b/>
                <w:bCs/>
                <w:color w:val="000000" w:themeColor="text1"/>
                <w:szCs w:val="20"/>
              </w:rPr>
              <w:t>Duration</w:t>
            </w:r>
          </w:p>
        </w:tc>
        <w:tc>
          <w:tcPr>
            <w:tcW w:w="1699" w:type="pct"/>
          </w:tcPr>
          <w:p w14:paraId="5FF0F91E" w14:textId="77777777" w:rsidR="00B737A3" w:rsidRPr="002F791B" w:rsidRDefault="00B737A3" w:rsidP="00DA09F3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2F791B">
              <w:rPr>
                <w:rFonts w:cs="Arial"/>
                <w:b/>
                <w:bCs/>
                <w:color w:val="000000" w:themeColor="text1"/>
                <w:szCs w:val="20"/>
              </w:rPr>
              <w:t xml:space="preserve">Outcomes superior to </w:t>
            </w:r>
            <w:proofErr w:type="spellStart"/>
            <w:r w:rsidRPr="002F791B">
              <w:rPr>
                <w:rFonts w:cs="Arial"/>
                <w:b/>
                <w:bCs/>
                <w:color w:val="000000" w:themeColor="text1"/>
                <w:szCs w:val="20"/>
              </w:rPr>
              <w:t>TNFi</w:t>
            </w:r>
            <w:proofErr w:type="spellEnd"/>
          </w:p>
        </w:tc>
      </w:tr>
      <w:tr w:rsidR="00B737A3" w:rsidRPr="002F791B" w14:paraId="1AE681DA" w14:textId="77777777" w:rsidTr="008B54D2">
        <w:tc>
          <w:tcPr>
            <w:tcW w:w="710" w:type="pct"/>
            <w:vMerge w:val="restart"/>
          </w:tcPr>
          <w:p w14:paraId="07DEEE34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Psoriasis</w:t>
            </w:r>
          </w:p>
        </w:tc>
        <w:tc>
          <w:tcPr>
            <w:tcW w:w="1016" w:type="pct"/>
          </w:tcPr>
          <w:p w14:paraId="0E65047B" w14:textId="2940D88C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ACCEPT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>
              <w:rPr>
                <w:rFonts w:cs="Arial"/>
                <w:noProof/>
                <w:color w:val="000000" w:themeColor="text1"/>
                <w:szCs w:val="20"/>
              </w:rPr>
              <w:t>1]</w:t>
            </w:r>
          </w:p>
        </w:tc>
        <w:tc>
          <w:tcPr>
            <w:tcW w:w="965" w:type="pct"/>
          </w:tcPr>
          <w:p w14:paraId="54699004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UST vs ETN</w:t>
            </w:r>
          </w:p>
        </w:tc>
        <w:tc>
          <w:tcPr>
            <w:tcW w:w="610" w:type="pct"/>
          </w:tcPr>
          <w:p w14:paraId="70C6BF2B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12 weeks</w:t>
            </w:r>
          </w:p>
        </w:tc>
        <w:tc>
          <w:tcPr>
            <w:tcW w:w="1699" w:type="pct"/>
          </w:tcPr>
          <w:p w14:paraId="13A0CD09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PASI 75, PASI 90, PGA 0/1, PGA 0</w:t>
            </w:r>
          </w:p>
        </w:tc>
      </w:tr>
      <w:tr w:rsidR="00B737A3" w:rsidRPr="002F791B" w14:paraId="49081FD0" w14:textId="77777777" w:rsidTr="008B54D2">
        <w:tc>
          <w:tcPr>
            <w:tcW w:w="710" w:type="pct"/>
            <w:vMerge/>
          </w:tcPr>
          <w:p w14:paraId="181048C9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16" w:type="pct"/>
          </w:tcPr>
          <w:p w14:paraId="43C51086" w14:textId="244858FA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FIXTURE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noProof/>
                <w:color w:val="000000" w:themeColor="text1"/>
                <w:szCs w:val="20"/>
              </w:rPr>
              <w:t>[</w:t>
            </w:r>
            <w:r w:rsidR="00BD0581">
              <w:rPr>
                <w:rFonts w:cs="Arial"/>
                <w:noProof/>
                <w:color w:val="000000" w:themeColor="text1"/>
                <w:szCs w:val="20"/>
              </w:rPr>
              <w:t>2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7A17C5C9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SEC vs ETN</w:t>
            </w:r>
          </w:p>
        </w:tc>
        <w:tc>
          <w:tcPr>
            <w:tcW w:w="610" w:type="pct"/>
          </w:tcPr>
          <w:p w14:paraId="7D0B9971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52 weeks</w:t>
            </w:r>
          </w:p>
        </w:tc>
        <w:tc>
          <w:tcPr>
            <w:tcW w:w="1699" w:type="pct"/>
          </w:tcPr>
          <w:p w14:paraId="410A73C5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PASI 75, PASI 90, PASI 100, IGA 0/1</w:t>
            </w:r>
          </w:p>
        </w:tc>
      </w:tr>
      <w:tr w:rsidR="00B737A3" w:rsidRPr="002F791B" w14:paraId="71B93ACF" w14:textId="77777777" w:rsidTr="008B54D2">
        <w:tc>
          <w:tcPr>
            <w:tcW w:w="710" w:type="pct"/>
            <w:vMerge/>
          </w:tcPr>
          <w:p w14:paraId="57B940D5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16" w:type="pct"/>
          </w:tcPr>
          <w:p w14:paraId="78F91626" w14:textId="586BC01D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2F791B">
              <w:rPr>
                <w:rFonts w:cs="Arial"/>
                <w:color w:val="000000" w:themeColor="text1"/>
                <w:szCs w:val="20"/>
              </w:rPr>
              <w:t>IMMvent</w:t>
            </w:r>
            <w:proofErr w:type="spellEnd"/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 w:rsidR="00BD0581">
              <w:rPr>
                <w:rFonts w:cs="Arial"/>
                <w:color w:val="000000" w:themeColor="text1"/>
                <w:szCs w:val="20"/>
              </w:rPr>
              <w:t>3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06D3A9CB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RIS vs ADA</w:t>
            </w:r>
          </w:p>
        </w:tc>
        <w:tc>
          <w:tcPr>
            <w:tcW w:w="610" w:type="pct"/>
          </w:tcPr>
          <w:p w14:paraId="01257923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16 weeks</w:t>
            </w:r>
          </w:p>
        </w:tc>
        <w:tc>
          <w:tcPr>
            <w:tcW w:w="1699" w:type="pct"/>
          </w:tcPr>
          <w:p w14:paraId="15A4E386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 xml:space="preserve">PASI 75, PASI 90, PASI 100, </w:t>
            </w:r>
            <w:proofErr w:type="spellStart"/>
            <w:r w:rsidRPr="002F791B">
              <w:rPr>
                <w:rFonts w:cs="Arial"/>
                <w:color w:val="000000" w:themeColor="text1"/>
                <w:szCs w:val="20"/>
              </w:rPr>
              <w:t>sPGA</w:t>
            </w:r>
            <w:proofErr w:type="spellEnd"/>
            <w:r w:rsidRPr="002F791B">
              <w:rPr>
                <w:rFonts w:cs="Arial"/>
                <w:color w:val="000000" w:themeColor="text1"/>
                <w:szCs w:val="20"/>
              </w:rPr>
              <w:t xml:space="preserve"> 0/1, </w:t>
            </w:r>
            <w:proofErr w:type="spellStart"/>
            <w:r w:rsidRPr="002F791B">
              <w:rPr>
                <w:rFonts w:cs="Arial"/>
                <w:color w:val="000000" w:themeColor="text1"/>
                <w:szCs w:val="20"/>
              </w:rPr>
              <w:t>sPGA</w:t>
            </w:r>
            <w:proofErr w:type="spellEnd"/>
            <w:r w:rsidRPr="002F791B">
              <w:rPr>
                <w:rFonts w:cs="Arial"/>
                <w:color w:val="000000" w:themeColor="text1"/>
                <w:szCs w:val="20"/>
              </w:rPr>
              <w:t xml:space="preserve"> 0, DLQI</w:t>
            </w:r>
          </w:p>
        </w:tc>
      </w:tr>
      <w:tr w:rsidR="00B737A3" w:rsidRPr="002F791B" w14:paraId="03F0B405" w14:textId="77777777" w:rsidTr="008B54D2">
        <w:tc>
          <w:tcPr>
            <w:tcW w:w="710" w:type="pct"/>
            <w:vMerge/>
          </w:tcPr>
          <w:p w14:paraId="6A120634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16" w:type="pct"/>
          </w:tcPr>
          <w:p w14:paraId="5084E9CF" w14:textId="62B6336F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2F791B">
              <w:rPr>
                <w:rFonts w:cs="Arial"/>
                <w:color w:val="000000" w:themeColor="text1"/>
                <w:szCs w:val="20"/>
              </w:rPr>
              <w:t>reSURFACE</w:t>
            </w:r>
            <w:proofErr w:type="spellEnd"/>
            <w:r w:rsidRPr="002F791B">
              <w:rPr>
                <w:rFonts w:cs="Arial"/>
                <w:color w:val="000000" w:themeColor="text1"/>
                <w:szCs w:val="20"/>
              </w:rPr>
              <w:t xml:space="preserve"> 2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 w:rsidR="00BD0581">
              <w:rPr>
                <w:rFonts w:cs="Arial"/>
                <w:color w:val="000000" w:themeColor="text1"/>
                <w:szCs w:val="20"/>
              </w:rPr>
              <w:t>4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160A79C7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TIL vs ETN</w:t>
            </w:r>
          </w:p>
        </w:tc>
        <w:tc>
          <w:tcPr>
            <w:tcW w:w="610" w:type="pct"/>
          </w:tcPr>
          <w:p w14:paraId="2AEE7706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12 weeks</w:t>
            </w:r>
          </w:p>
        </w:tc>
        <w:tc>
          <w:tcPr>
            <w:tcW w:w="1699" w:type="pct"/>
          </w:tcPr>
          <w:p w14:paraId="1958EFB5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PASI 75, PASI 90, PASI 100, PGA 0/1, DLQI</w:t>
            </w:r>
          </w:p>
        </w:tc>
      </w:tr>
      <w:tr w:rsidR="00B737A3" w:rsidRPr="002F791B" w14:paraId="6CF4506D" w14:textId="77777777" w:rsidTr="008B54D2">
        <w:tc>
          <w:tcPr>
            <w:tcW w:w="710" w:type="pct"/>
            <w:vMerge/>
          </w:tcPr>
          <w:p w14:paraId="4436DF4F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16" w:type="pct"/>
          </w:tcPr>
          <w:p w14:paraId="0821BC15" w14:textId="02F241E5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UNCOVER-2 and -3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 w:rsidR="00BD0581">
              <w:rPr>
                <w:rFonts w:cs="Arial"/>
                <w:color w:val="000000" w:themeColor="text1"/>
                <w:szCs w:val="20"/>
              </w:rPr>
              <w:t>5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11393811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IXE vs ETN</w:t>
            </w:r>
          </w:p>
        </w:tc>
        <w:tc>
          <w:tcPr>
            <w:tcW w:w="610" w:type="pct"/>
          </w:tcPr>
          <w:p w14:paraId="5B288DC2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12 weeks</w:t>
            </w:r>
          </w:p>
        </w:tc>
        <w:tc>
          <w:tcPr>
            <w:tcW w:w="1699" w:type="pct"/>
          </w:tcPr>
          <w:p w14:paraId="3DD34469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2F791B">
              <w:rPr>
                <w:rFonts w:cs="Arial"/>
                <w:color w:val="000000" w:themeColor="text1"/>
                <w:szCs w:val="20"/>
              </w:rPr>
              <w:t>sPGA</w:t>
            </w:r>
            <w:proofErr w:type="spellEnd"/>
            <w:r w:rsidRPr="002F791B">
              <w:rPr>
                <w:rFonts w:cs="Arial"/>
                <w:color w:val="000000" w:themeColor="text1"/>
                <w:szCs w:val="20"/>
              </w:rPr>
              <w:t xml:space="preserve"> 0/1, </w:t>
            </w:r>
            <w:proofErr w:type="spellStart"/>
            <w:r w:rsidRPr="002F791B">
              <w:rPr>
                <w:rFonts w:cs="Arial"/>
                <w:color w:val="000000" w:themeColor="text1"/>
                <w:szCs w:val="20"/>
              </w:rPr>
              <w:t>sPGA</w:t>
            </w:r>
            <w:proofErr w:type="spellEnd"/>
            <w:r w:rsidRPr="002F791B">
              <w:rPr>
                <w:rFonts w:cs="Arial"/>
                <w:color w:val="000000" w:themeColor="text1"/>
                <w:szCs w:val="20"/>
              </w:rPr>
              <w:t xml:space="preserve"> 0, PASI 75, PASI 90, PASI 100, DLQI</w:t>
            </w:r>
          </w:p>
        </w:tc>
      </w:tr>
      <w:tr w:rsidR="00B737A3" w:rsidRPr="002F791B" w14:paraId="67FBDF6A" w14:textId="77777777" w:rsidTr="008B54D2">
        <w:tc>
          <w:tcPr>
            <w:tcW w:w="710" w:type="pct"/>
            <w:vMerge/>
          </w:tcPr>
          <w:p w14:paraId="73BE4F18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16" w:type="pct"/>
          </w:tcPr>
          <w:p w14:paraId="66ED4254" w14:textId="1DF68742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VOYAGE 1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 w:rsidR="009D395D">
              <w:rPr>
                <w:rFonts w:cs="Arial"/>
                <w:color w:val="000000" w:themeColor="text1"/>
                <w:szCs w:val="20"/>
              </w:rPr>
              <w:t>6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37167F09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GUS vs ADA</w:t>
            </w:r>
          </w:p>
        </w:tc>
        <w:tc>
          <w:tcPr>
            <w:tcW w:w="610" w:type="pct"/>
          </w:tcPr>
          <w:p w14:paraId="75145309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48 weeks</w:t>
            </w:r>
          </w:p>
        </w:tc>
        <w:tc>
          <w:tcPr>
            <w:tcW w:w="1699" w:type="pct"/>
            <w:vAlign w:val="center"/>
          </w:tcPr>
          <w:p w14:paraId="27C26726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IGA 0/1, IGA 0, PASI 75, PASI 90, PASI 100, DLQI</w:t>
            </w:r>
          </w:p>
        </w:tc>
      </w:tr>
      <w:tr w:rsidR="00B737A3" w:rsidRPr="002F791B" w14:paraId="206C7E7B" w14:textId="77777777" w:rsidTr="008B54D2">
        <w:tc>
          <w:tcPr>
            <w:tcW w:w="710" w:type="pct"/>
            <w:vMerge/>
          </w:tcPr>
          <w:p w14:paraId="44B6D1B4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16" w:type="pct"/>
          </w:tcPr>
          <w:p w14:paraId="3497CB52" w14:textId="603210DB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VOYAGE 2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 w:rsidR="009D395D">
              <w:rPr>
                <w:rFonts w:cs="Arial"/>
                <w:color w:val="000000" w:themeColor="text1"/>
                <w:szCs w:val="20"/>
              </w:rPr>
              <w:t>7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3E5FD5F7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GUS vs ADA</w:t>
            </w:r>
          </w:p>
        </w:tc>
        <w:tc>
          <w:tcPr>
            <w:tcW w:w="610" w:type="pct"/>
          </w:tcPr>
          <w:p w14:paraId="7DA04203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24 weeks</w:t>
            </w:r>
          </w:p>
        </w:tc>
        <w:tc>
          <w:tcPr>
            <w:tcW w:w="1699" w:type="pct"/>
          </w:tcPr>
          <w:p w14:paraId="081172C4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IGA 0/1, IGA 0, PASI 75, PASI 90, PASI 100, DLQI</w:t>
            </w:r>
          </w:p>
        </w:tc>
      </w:tr>
      <w:tr w:rsidR="00B737A3" w:rsidRPr="002F791B" w14:paraId="775CE925" w14:textId="77777777" w:rsidTr="008B54D2">
        <w:tc>
          <w:tcPr>
            <w:tcW w:w="710" w:type="pct"/>
          </w:tcPr>
          <w:p w14:paraId="7D3CEDC7" w14:textId="77777777" w:rsidR="00B737A3" w:rsidRPr="002F791B" w:rsidDel="00CD0A8C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Cs w:val="20"/>
              </w:rPr>
              <w:t>PsA</w:t>
            </w:r>
            <w:proofErr w:type="spellEnd"/>
          </w:p>
        </w:tc>
        <w:tc>
          <w:tcPr>
            <w:tcW w:w="1016" w:type="pct"/>
          </w:tcPr>
          <w:p w14:paraId="257AD4DE" w14:textId="77C7E034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SPIRIT-H2H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 w:rsidR="009D395D">
              <w:rPr>
                <w:rFonts w:cs="Arial"/>
                <w:color w:val="000000" w:themeColor="text1"/>
                <w:szCs w:val="20"/>
              </w:rPr>
              <w:t>8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74451FF0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IXE vs ADA</w:t>
            </w:r>
          </w:p>
        </w:tc>
        <w:tc>
          <w:tcPr>
            <w:tcW w:w="610" w:type="pct"/>
          </w:tcPr>
          <w:p w14:paraId="1AE72B7B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24 weeks</w:t>
            </w:r>
          </w:p>
        </w:tc>
        <w:tc>
          <w:tcPr>
            <w:tcW w:w="1699" w:type="pct"/>
          </w:tcPr>
          <w:p w14:paraId="317BD9BD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ACR 50 and PASI 100 responses</w:t>
            </w:r>
          </w:p>
        </w:tc>
      </w:tr>
      <w:tr w:rsidR="00B737A3" w:rsidRPr="002F791B" w14:paraId="71E91310" w14:textId="77777777" w:rsidTr="008B54D2">
        <w:tc>
          <w:tcPr>
            <w:tcW w:w="710" w:type="pct"/>
          </w:tcPr>
          <w:p w14:paraId="42692734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</w:t>
            </w:r>
            <w:r w:rsidRPr="002F791B">
              <w:rPr>
                <w:rFonts w:cs="Arial"/>
                <w:color w:val="000000" w:themeColor="text1"/>
                <w:szCs w:val="20"/>
              </w:rPr>
              <w:t xml:space="preserve">xial </w:t>
            </w:r>
            <w:proofErr w:type="spellStart"/>
            <w:r w:rsidRPr="002F791B">
              <w:rPr>
                <w:rFonts w:cs="Arial"/>
                <w:color w:val="000000" w:themeColor="text1"/>
                <w:szCs w:val="20"/>
              </w:rPr>
              <w:t>spondyloarthritis</w:t>
            </w:r>
            <w:proofErr w:type="spellEnd"/>
          </w:p>
        </w:tc>
        <w:tc>
          <w:tcPr>
            <w:tcW w:w="1016" w:type="pct"/>
          </w:tcPr>
          <w:p w14:paraId="5711CBFB" w14:textId="52846530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COAST-V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 w:rsidR="009D395D">
              <w:rPr>
                <w:rFonts w:cs="Arial"/>
                <w:color w:val="000000" w:themeColor="text1"/>
                <w:szCs w:val="20"/>
              </w:rPr>
              <w:t>9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60CB5112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IXE vs ADA</w:t>
            </w:r>
          </w:p>
        </w:tc>
        <w:tc>
          <w:tcPr>
            <w:tcW w:w="610" w:type="pct"/>
          </w:tcPr>
          <w:p w14:paraId="72F20729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16 weeks</w:t>
            </w:r>
          </w:p>
        </w:tc>
        <w:tc>
          <w:tcPr>
            <w:tcW w:w="1699" w:type="pct"/>
          </w:tcPr>
          <w:p w14:paraId="4A09B81D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ASAS20, ASAS 40, BASDAI 50, MRI SPARCC spine score, MRI SPARCC sacroiliac joint score, SF-36 PCS, ASAS Health Index</w:t>
            </w:r>
          </w:p>
        </w:tc>
      </w:tr>
      <w:tr w:rsidR="00B737A3" w:rsidRPr="002F791B" w14:paraId="5A8BCC46" w14:textId="77777777" w:rsidTr="008B54D2">
        <w:tc>
          <w:tcPr>
            <w:tcW w:w="710" w:type="pct"/>
          </w:tcPr>
          <w:p w14:paraId="158D478C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</w:t>
            </w:r>
            <w:r w:rsidRPr="002F791B">
              <w:rPr>
                <w:rFonts w:cs="Arial"/>
                <w:color w:val="000000" w:themeColor="text1"/>
                <w:szCs w:val="20"/>
              </w:rPr>
              <w:t>lcerative colitis</w:t>
            </w:r>
          </w:p>
        </w:tc>
        <w:tc>
          <w:tcPr>
            <w:tcW w:w="1016" w:type="pct"/>
          </w:tcPr>
          <w:p w14:paraId="67FE8DB7" w14:textId="7EF7044B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VARSITY</w:t>
            </w:r>
            <w:r>
              <w:rPr>
                <w:rFonts w:cs="Arial"/>
                <w:color w:val="000000" w:themeColor="text1"/>
                <w:szCs w:val="20"/>
              </w:rPr>
              <w:t xml:space="preserve"> [</w:t>
            </w:r>
            <w:r>
              <w:rPr>
                <w:rFonts w:cs="Arial"/>
                <w:noProof/>
                <w:color w:val="000000" w:themeColor="text1"/>
                <w:szCs w:val="20"/>
              </w:rPr>
              <w:t>1</w:t>
            </w:r>
            <w:r w:rsidR="009D395D">
              <w:rPr>
                <w:rFonts w:cs="Arial"/>
                <w:noProof/>
                <w:color w:val="000000" w:themeColor="text1"/>
                <w:szCs w:val="20"/>
              </w:rPr>
              <w:t>0</w:t>
            </w:r>
            <w:r>
              <w:rPr>
                <w:rFonts w:cs="Arial"/>
                <w:noProof/>
                <w:color w:val="000000" w:themeColor="text1"/>
                <w:szCs w:val="20"/>
              </w:rPr>
              <w:t>]</w:t>
            </w:r>
          </w:p>
        </w:tc>
        <w:tc>
          <w:tcPr>
            <w:tcW w:w="965" w:type="pct"/>
          </w:tcPr>
          <w:p w14:paraId="2B8F86BD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VDZ vs ADA</w:t>
            </w:r>
          </w:p>
        </w:tc>
        <w:tc>
          <w:tcPr>
            <w:tcW w:w="610" w:type="pct"/>
          </w:tcPr>
          <w:p w14:paraId="3C30D1A8" w14:textId="77777777" w:rsidR="00B737A3" w:rsidRPr="002F791B" w:rsidRDefault="00B737A3" w:rsidP="00DA09F3">
            <w:pPr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>52 weeks</w:t>
            </w:r>
          </w:p>
        </w:tc>
        <w:tc>
          <w:tcPr>
            <w:tcW w:w="1699" w:type="pct"/>
          </w:tcPr>
          <w:p w14:paraId="37E8016F" w14:textId="77777777" w:rsidR="00B737A3" w:rsidRPr="002F791B" w:rsidRDefault="00B737A3" w:rsidP="00DA09F3">
            <w:pPr>
              <w:keepNext/>
              <w:rPr>
                <w:rFonts w:cs="Arial"/>
                <w:color w:val="000000" w:themeColor="text1"/>
                <w:szCs w:val="20"/>
              </w:rPr>
            </w:pPr>
            <w:r w:rsidRPr="002F791B">
              <w:rPr>
                <w:rFonts w:cs="Arial"/>
                <w:color w:val="000000" w:themeColor="text1"/>
                <w:szCs w:val="20"/>
              </w:rPr>
              <w:t xml:space="preserve">Clinical remission, endoscopic improvement </w:t>
            </w:r>
          </w:p>
        </w:tc>
      </w:tr>
    </w:tbl>
    <w:p w14:paraId="4028882D" w14:textId="522FCCDF" w:rsidR="00B737A3" w:rsidRDefault="00B737A3" w:rsidP="00DA09F3">
      <w:pPr>
        <w:pStyle w:val="Caption"/>
        <w:rPr>
          <w:rFonts w:cs="Arial"/>
          <w:color w:val="000000" w:themeColor="text1"/>
          <w:sz w:val="20"/>
          <w:szCs w:val="20"/>
        </w:rPr>
      </w:pPr>
      <w:r w:rsidRPr="002F791B">
        <w:rPr>
          <w:rFonts w:cs="Arial"/>
          <w:color w:val="000000" w:themeColor="text1"/>
          <w:sz w:val="20"/>
          <w:szCs w:val="20"/>
        </w:rPr>
        <w:t xml:space="preserve">ACR, American College of Rheumatology; ADA, adalimumab; ASAS, Assessment in Ankylosing Spondylitis; BASDAI, </w:t>
      </w:r>
      <w:r w:rsidRPr="002F791B">
        <w:rPr>
          <w:rFonts w:eastAsiaTheme="minorHAnsi" w:cs="Arial"/>
          <w:color w:val="000000" w:themeColor="text1"/>
          <w:sz w:val="20"/>
          <w:szCs w:val="20"/>
          <w:lang w:eastAsia="en-US"/>
        </w:rPr>
        <w:t>Bath Ankylosing Spondylitis Disease Activity Index</w:t>
      </w:r>
      <w:r w:rsidRPr="002F791B">
        <w:rPr>
          <w:rFonts w:cs="Arial"/>
          <w:color w:val="000000" w:themeColor="text1"/>
          <w:sz w:val="20"/>
          <w:szCs w:val="20"/>
        </w:rPr>
        <w:t xml:space="preserve">; DLQI, Dermatology Life Quality Index; ETN, etanercept; GUS, guselkumab; IBD, inflammatory bowel disease; IGA, Investigator’s Global Assessment; IL, interleukin; IXE, </w:t>
      </w:r>
      <w:proofErr w:type="spellStart"/>
      <w:r w:rsidRPr="002F791B">
        <w:rPr>
          <w:rFonts w:cs="Arial"/>
          <w:color w:val="000000" w:themeColor="text1"/>
          <w:sz w:val="20"/>
          <w:szCs w:val="20"/>
        </w:rPr>
        <w:t>ixekizumab</w:t>
      </w:r>
      <w:proofErr w:type="spellEnd"/>
      <w:r w:rsidRPr="002F791B">
        <w:rPr>
          <w:rFonts w:cs="Arial"/>
          <w:color w:val="000000" w:themeColor="text1"/>
          <w:sz w:val="20"/>
          <w:szCs w:val="20"/>
        </w:rPr>
        <w:t xml:space="preserve">; MRI, magnetic resonance imaging; PASI, Psoriasis Area and Severity Index; (s)PGA, (static) Physician’s Global Assessment; </w:t>
      </w:r>
      <w:proofErr w:type="spellStart"/>
      <w:r w:rsidRPr="002F791B">
        <w:rPr>
          <w:rFonts w:cs="Arial"/>
          <w:color w:val="000000" w:themeColor="text1"/>
          <w:sz w:val="20"/>
          <w:szCs w:val="20"/>
        </w:rPr>
        <w:t>PsA</w:t>
      </w:r>
      <w:proofErr w:type="spellEnd"/>
      <w:r w:rsidRPr="002F791B">
        <w:rPr>
          <w:rFonts w:cs="Arial"/>
          <w:color w:val="000000" w:themeColor="text1"/>
          <w:sz w:val="20"/>
          <w:szCs w:val="20"/>
        </w:rPr>
        <w:t xml:space="preserve">, psoriatic arthritis; RIS, risankizumab; SEC, secukinumab; SF-36 PCS, 36-Item Short Form Survey physical component score; SPARCC, </w:t>
      </w:r>
      <w:proofErr w:type="spellStart"/>
      <w:r w:rsidRPr="002F791B">
        <w:rPr>
          <w:rFonts w:eastAsiaTheme="minorHAnsi" w:cs="Arial"/>
          <w:color w:val="000000" w:themeColor="text1"/>
          <w:sz w:val="20"/>
          <w:szCs w:val="20"/>
          <w:lang w:eastAsia="en-US"/>
        </w:rPr>
        <w:t>Spondyloarthritis</w:t>
      </w:r>
      <w:proofErr w:type="spellEnd"/>
      <w:r w:rsidRPr="002F791B">
        <w:rPr>
          <w:rFonts w:eastAsiaTheme="minorHAnsi" w:cs="Arial"/>
          <w:color w:val="000000" w:themeColor="text1"/>
          <w:sz w:val="20"/>
          <w:szCs w:val="20"/>
          <w:lang w:eastAsia="en-US"/>
        </w:rPr>
        <w:t xml:space="preserve"> Research Consortium of Canada</w:t>
      </w:r>
      <w:r w:rsidRPr="002F791B">
        <w:rPr>
          <w:rFonts w:cs="Arial"/>
          <w:color w:val="000000" w:themeColor="text1"/>
          <w:sz w:val="20"/>
          <w:szCs w:val="20"/>
        </w:rPr>
        <w:t>; TIL, tildrakizumab; TNF(</w:t>
      </w:r>
      <w:proofErr w:type="spellStart"/>
      <w:r w:rsidRPr="002F791B">
        <w:rPr>
          <w:rFonts w:cs="Arial"/>
          <w:color w:val="000000" w:themeColor="text1"/>
          <w:sz w:val="20"/>
          <w:szCs w:val="20"/>
        </w:rPr>
        <w:t>i</w:t>
      </w:r>
      <w:proofErr w:type="spellEnd"/>
      <w:r w:rsidRPr="002F791B">
        <w:rPr>
          <w:rFonts w:cs="Arial"/>
          <w:color w:val="000000" w:themeColor="text1"/>
          <w:sz w:val="20"/>
          <w:szCs w:val="20"/>
        </w:rPr>
        <w:t>), tumour necrosis factor (inhibitor); UST, ustekinumab; VDZ, vedolizumab.</w:t>
      </w:r>
    </w:p>
    <w:p w14:paraId="30420DD8" w14:textId="77777777" w:rsidR="00DA09F3" w:rsidRDefault="00DA09F3">
      <w:pPr>
        <w:rPr>
          <w:rFonts w:asciiTheme="majorHAnsi" w:eastAsiaTheme="majorEastAsia" w:hAnsiTheme="majorHAnsi" w:cstheme="majorBidi"/>
          <w:i/>
          <w:color w:val="000000" w:themeColor="text1"/>
          <w:sz w:val="26"/>
          <w:szCs w:val="26"/>
        </w:rPr>
      </w:pPr>
      <w:r>
        <w:br w:type="page"/>
      </w:r>
    </w:p>
    <w:p w14:paraId="1534EA69" w14:textId="6520A40A" w:rsidR="00BD0581" w:rsidRPr="00BD0581" w:rsidRDefault="00BD0581" w:rsidP="00BD0581">
      <w:pPr>
        <w:pStyle w:val="Heading2"/>
      </w:pPr>
      <w:r>
        <w:lastRenderedPageBreak/>
        <w:t>References</w:t>
      </w:r>
    </w:p>
    <w:p w14:paraId="119CB3EB" w14:textId="43F3C627" w:rsidR="00BD0581" w:rsidRDefault="00BD0581" w:rsidP="00BD0581">
      <w:pPr>
        <w:pStyle w:val="Bibliography"/>
        <w:numPr>
          <w:ilvl w:val="0"/>
          <w:numId w:val="10"/>
        </w:numPr>
        <w:rPr>
          <w:rFonts w:cs="Arial"/>
          <w:color w:val="000000"/>
        </w:rPr>
      </w:pPr>
      <w:r w:rsidRPr="00194FE9">
        <w:rPr>
          <w:rFonts w:cs="Arial"/>
          <w:color w:val="000000"/>
        </w:rPr>
        <w:t>Griffiths CEM, Strober BE, van de Kerkhof P, Ho V, Fidelus-</w:t>
      </w:r>
      <w:proofErr w:type="spellStart"/>
      <w:r w:rsidRPr="00194FE9">
        <w:rPr>
          <w:rFonts w:cs="Arial"/>
          <w:color w:val="000000"/>
        </w:rPr>
        <w:t>Gort</w:t>
      </w:r>
      <w:proofErr w:type="spellEnd"/>
      <w:r w:rsidRPr="00194FE9">
        <w:rPr>
          <w:rFonts w:cs="Arial"/>
          <w:color w:val="000000"/>
        </w:rPr>
        <w:t xml:space="preserve"> R, </w:t>
      </w:r>
      <w:proofErr w:type="spellStart"/>
      <w:r w:rsidRPr="00194FE9">
        <w:rPr>
          <w:rFonts w:cs="Arial"/>
          <w:color w:val="000000"/>
        </w:rPr>
        <w:t>Yeilding</w:t>
      </w:r>
      <w:proofErr w:type="spellEnd"/>
      <w:r w:rsidRPr="00194FE9">
        <w:rPr>
          <w:rFonts w:cs="Arial"/>
          <w:color w:val="000000"/>
        </w:rPr>
        <w:t xml:space="preserve"> N, et al. Comparison of Ustekinumab and Etanercept for Moderate-to-Severe Psoriasis. </w:t>
      </w:r>
      <w:r w:rsidRPr="002F791B">
        <w:rPr>
          <w:rFonts w:cs="Arial"/>
          <w:noProof/>
          <w:color w:val="000000" w:themeColor="text1"/>
          <w:szCs w:val="20"/>
        </w:rPr>
        <w:t>N Engl J Med. 2010;362:118–</w:t>
      </w:r>
      <w:r>
        <w:rPr>
          <w:rFonts w:cs="Arial"/>
          <w:noProof/>
          <w:color w:val="000000" w:themeColor="text1"/>
          <w:szCs w:val="20"/>
        </w:rPr>
        <w:t>1</w:t>
      </w:r>
      <w:r w:rsidRPr="002F791B">
        <w:rPr>
          <w:rFonts w:cs="Arial"/>
          <w:noProof/>
          <w:color w:val="000000" w:themeColor="text1"/>
          <w:szCs w:val="20"/>
        </w:rPr>
        <w:t>28.</w:t>
      </w:r>
      <w:r w:rsidRPr="00194FE9">
        <w:rPr>
          <w:rFonts w:cs="Arial"/>
          <w:color w:val="000000"/>
        </w:rPr>
        <w:t xml:space="preserve"> </w:t>
      </w:r>
    </w:p>
    <w:p w14:paraId="2C57EB8A" w14:textId="068A2659" w:rsidR="00BD0581" w:rsidRPr="00BD0581" w:rsidRDefault="00BD0581" w:rsidP="00BD0581">
      <w:pPr>
        <w:pStyle w:val="ListParagraph"/>
        <w:numPr>
          <w:ilvl w:val="0"/>
          <w:numId w:val="10"/>
        </w:numPr>
      </w:pPr>
      <w:r w:rsidRPr="00194FE9">
        <w:rPr>
          <w:rFonts w:cs="Arial"/>
          <w:color w:val="000000"/>
        </w:rPr>
        <w:t xml:space="preserve">Langley RG, </w:t>
      </w:r>
      <w:proofErr w:type="spellStart"/>
      <w:r w:rsidRPr="00194FE9">
        <w:rPr>
          <w:rFonts w:cs="Arial"/>
          <w:color w:val="000000"/>
        </w:rPr>
        <w:t>Elewski</w:t>
      </w:r>
      <w:proofErr w:type="spellEnd"/>
      <w:r w:rsidRPr="00194FE9">
        <w:rPr>
          <w:rFonts w:cs="Arial"/>
          <w:color w:val="000000"/>
        </w:rPr>
        <w:t xml:space="preserve"> BE, </w:t>
      </w:r>
      <w:proofErr w:type="spellStart"/>
      <w:r w:rsidRPr="00194FE9">
        <w:rPr>
          <w:rFonts w:cs="Arial"/>
          <w:color w:val="000000"/>
        </w:rPr>
        <w:t>Lebwohl</w:t>
      </w:r>
      <w:proofErr w:type="spellEnd"/>
      <w:r w:rsidRPr="00194FE9">
        <w:rPr>
          <w:rFonts w:cs="Arial"/>
          <w:color w:val="000000"/>
        </w:rPr>
        <w:t xml:space="preserve"> M, Reich K, Griffiths CEM, Papp K, et al. Secukinumab in plaque psoriasis - Results of two phase 3 trials. </w:t>
      </w:r>
      <w:r w:rsidRPr="002F791B">
        <w:rPr>
          <w:rFonts w:cs="Arial"/>
          <w:noProof/>
          <w:color w:val="000000" w:themeColor="text1"/>
          <w:szCs w:val="20"/>
        </w:rPr>
        <w:t>N Engl J Med. 2014;371:326–</w:t>
      </w:r>
      <w:r>
        <w:rPr>
          <w:rFonts w:cs="Arial"/>
          <w:noProof/>
          <w:color w:val="000000" w:themeColor="text1"/>
          <w:szCs w:val="20"/>
        </w:rPr>
        <w:t>3</w:t>
      </w:r>
      <w:r w:rsidRPr="002F791B">
        <w:rPr>
          <w:rFonts w:cs="Arial"/>
          <w:noProof/>
          <w:color w:val="000000" w:themeColor="text1"/>
          <w:szCs w:val="20"/>
        </w:rPr>
        <w:t>38.</w:t>
      </w:r>
    </w:p>
    <w:p w14:paraId="7CEDC84B" w14:textId="31C9D13F" w:rsidR="00BD0581" w:rsidRPr="00BD0581" w:rsidRDefault="00BD0581" w:rsidP="00BD0581">
      <w:pPr>
        <w:pStyle w:val="ListParagraph"/>
        <w:numPr>
          <w:ilvl w:val="0"/>
          <w:numId w:val="10"/>
        </w:numPr>
      </w:pPr>
      <w:r w:rsidRPr="00194FE9">
        <w:rPr>
          <w:rFonts w:cs="Arial"/>
          <w:color w:val="000000"/>
        </w:rPr>
        <w:t xml:space="preserve">Reich K, Gooderham M, </w:t>
      </w:r>
      <w:proofErr w:type="spellStart"/>
      <w:r w:rsidRPr="00194FE9">
        <w:rPr>
          <w:rFonts w:cs="Arial"/>
          <w:color w:val="000000"/>
        </w:rPr>
        <w:t>Thaçi</w:t>
      </w:r>
      <w:proofErr w:type="spellEnd"/>
      <w:r w:rsidRPr="00194FE9">
        <w:rPr>
          <w:rFonts w:cs="Arial"/>
          <w:color w:val="000000"/>
        </w:rPr>
        <w:t xml:space="preserve"> D, Crowley JJ, Ryan C, Krueger JG, et al. Risankizumab compared with adalimumab in patients with moderate-to-severe plaque psoriasis (</w:t>
      </w:r>
      <w:proofErr w:type="spellStart"/>
      <w:r w:rsidRPr="00194FE9">
        <w:rPr>
          <w:rFonts w:cs="Arial"/>
          <w:color w:val="000000"/>
        </w:rPr>
        <w:t>IMMvent</w:t>
      </w:r>
      <w:proofErr w:type="spellEnd"/>
      <w:r w:rsidRPr="00194FE9">
        <w:rPr>
          <w:rFonts w:cs="Arial"/>
          <w:color w:val="000000"/>
        </w:rPr>
        <w:t xml:space="preserve">): a randomised, double-blind, active-comparator-controlled phase 3 trial. </w:t>
      </w:r>
      <w:r w:rsidRPr="002F791B">
        <w:rPr>
          <w:rFonts w:cs="Arial"/>
          <w:noProof/>
          <w:color w:val="000000" w:themeColor="text1"/>
          <w:szCs w:val="20"/>
        </w:rPr>
        <w:t>Lancet. 2019;394:576–</w:t>
      </w:r>
      <w:r>
        <w:rPr>
          <w:rFonts w:cs="Arial"/>
          <w:noProof/>
          <w:color w:val="000000" w:themeColor="text1"/>
          <w:szCs w:val="20"/>
        </w:rPr>
        <w:t>5</w:t>
      </w:r>
      <w:r w:rsidRPr="002F791B">
        <w:rPr>
          <w:rFonts w:cs="Arial"/>
          <w:noProof/>
          <w:color w:val="000000" w:themeColor="text1"/>
          <w:szCs w:val="20"/>
        </w:rPr>
        <w:t>86.</w:t>
      </w:r>
    </w:p>
    <w:p w14:paraId="01CCE038" w14:textId="77777777" w:rsidR="00BD0581" w:rsidRPr="00BD0581" w:rsidRDefault="00BD0581" w:rsidP="00BD0581">
      <w:pPr>
        <w:pStyle w:val="ListParagraph"/>
        <w:numPr>
          <w:ilvl w:val="0"/>
          <w:numId w:val="10"/>
        </w:numPr>
      </w:pPr>
      <w:r w:rsidRPr="00194FE9">
        <w:rPr>
          <w:rFonts w:cs="Arial"/>
          <w:color w:val="000000"/>
        </w:rPr>
        <w:t xml:space="preserve">Reich K, Papp KA, Blauvelt A, Tyring SK, Sinclair R, </w:t>
      </w:r>
      <w:proofErr w:type="spellStart"/>
      <w:r w:rsidRPr="00194FE9">
        <w:rPr>
          <w:rFonts w:cs="Arial"/>
          <w:color w:val="000000"/>
        </w:rPr>
        <w:t>Thaçi</w:t>
      </w:r>
      <w:proofErr w:type="spellEnd"/>
      <w:r w:rsidRPr="00194FE9">
        <w:rPr>
          <w:rFonts w:cs="Arial"/>
          <w:color w:val="000000"/>
        </w:rPr>
        <w:t xml:space="preserve"> D, et al. Tildrakizumab versus placebo or etanercept for chronic plaque psoriasis (</w:t>
      </w:r>
      <w:proofErr w:type="spellStart"/>
      <w:r w:rsidRPr="00194FE9">
        <w:rPr>
          <w:rFonts w:cs="Arial"/>
          <w:color w:val="000000"/>
        </w:rPr>
        <w:t>reSURFACE</w:t>
      </w:r>
      <w:proofErr w:type="spellEnd"/>
      <w:r w:rsidRPr="00194FE9">
        <w:rPr>
          <w:rFonts w:cs="Arial"/>
          <w:color w:val="000000"/>
        </w:rPr>
        <w:t xml:space="preserve"> 1 and </w:t>
      </w:r>
      <w:proofErr w:type="spellStart"/>
      <w:r w:rsidRPr="00194FE9">
        <w:rPr>
          <w:rFonts w:cs="Arial"/>
          <w:color w:val="000000"/>
        </w:rPr>
        <w:t>reSURFACE</w:t>
      </w:r>
      <w:proofErr w:type="spellEnd"/>
      <w:r w:rsidRPr="00194FE9">
        <w:rPr>
          <w:rFonts w:cs="Arial"/>
          <w:color w:val="000000"/>
        </w:rPr>
        <w:t xml:space="preserve"> 2): results from two randomised controlled, phase 3 trials. </w:t>
      </w:r>
      <w:r w:rsidRPr="002F791B">
        <w:rPr>
          <w:rFonts w:cs="Arial"/>
          <w:noProof/>
          <w:color w:val="000000" w:themeColor="text1"/>
          <w:szCs w:val="20"/>
        </w:rPr>
        <w:t>Lancet. 2017;390:276–</w:t>
      </w:r>
      <w:r>
        <w:rPr>
          <w:rFonts w:cs="Arial"/>
          <w:noProof/>
          <w:color w:val="000000" w:themeColor="text1"/>
          <w:szCs w:val="20"/>
        </w:rPr>
        <w:t>2</w:t>
      </w:r>
      <w:r w:rsidRPr="002F791B">
        <w:rPr>
          <w:rFonts w:cs="Arial"/>
          <w:noProof/>
          <w:color w:val="000000" w:themeColor="text1"/>
          <w:szCs w:val="20"/>
        </w:rPr>
        <w:t>88.</w:t>
      </w:r>
    </w:p>
    <w:p w14:paraId="43AEEA0E" w14:textId="15AFA7DA" w:rsidR="00BD0581" w:rsidRPr="009D395D" w:rsidRDefault="00BD0581" w:rsidP="00BD0581">
      <w:pPr>
        <w:pStyle w:val="ListParagraph"/>
        <w:numPr>
          <w:ilvl w:val="0"/>
          <w:numId w:val="10"/>
        </w:numPr>
      </w:pPr>
      <w:r w:rsidRPr="00BD0581">
        <w:rPr>
          <w:rFonts w:cs="Arial"/>
          <w:color w:val="000000"/>
        </w:rPr>
        <w:t xml:space="preserve">Griffiths CEM, Reich K, </w:t>
      </w:r>
      <w:proofErr w:type="spellStart"/>
      <w:r w:rsidRPr="00BD0581">
        <w:rPr>
          <w:rFonts w:cs="Arial"/>
          <w:color w:val="000000"/>
        </w:rPr>
        <w:t>Lebwohl</w:t>
      </w:r>
      <w:proofErr w:type="spellEnd"/>
      <w:r w:rsidRPr="00BD0581">
        <w:rPr>
          <w:rFonts w:cs="Arial"/>
          <w:color w:val="000000"/>
        </w:rPr>
        <w:t xml:space="preserve"> M, Van De Kerkhof P, Paul C, </w:t>
      </w:r>
      <w:proofErr w:type="spellStart"/>
      <w:r w:rsidRPr="00BD0581">
        <w:rPr>
          <w:rFonts w:cs="Arial"/>
          <w:color w:val="000000"/>
        </w:rPr>
        <w:t>Menter</w:t>
      </w:r>
      <w:proofErr w:type="spellEnd"/>
      <w:r w:rsidRPr="00BD0581">
        <w:rPr>
          <w:rFonts w:cs="Arial"/>
          <w:color w:val="000000"/>
        </w:rPr>
        <w:t xml:space="preserve"> A, et al. Comparison of </w:t>
      </w:r>
      <w:proofErr w:type="spellStart"/>
      <w:r w:rsidRPr="00BD0581">
        <w:rPr>
          <w:rFonts w:cs="Arial"/>
          <w:color w:val="000000"/>
        </w:rPr>
        <w:t>ixekizumab</w:t>
      </w:r>
      <w:proofErr w:type="spellEnd"/>
      <w:r w:rsidRPr="00BD0581">
        <w:rPr>
          <w:rFonts w:cs="Arial"/>
          <w:color w:val="000000"/>
        </w:rPr>
        <w:t xml:space="preserve"> with etanercept or placebo in moderate-to-severe psoriasis (UNCOVER-2 and UNCOVER-3): Results from two phase 3 randomised trials. </w:t>
      </w:r>
      <w:r w:rsidRPr="00BD0581">
        <w:rPr>
          <w:rFonts w:cs="Arial"/>
          <w:noProof/>
          <w:color w:val="000000" w:themeColor="text1"/>
          <w:szCs w:val="20"/>
        </w:rPr>
        <w:t>Lancet. 2015;386:541–551.</w:t>
      </w:r>
    </w:p>
    <w:p w14:paraId="0EC70481" w14:textId="27DD5BA9" w:rsidR="009D395D" w:rsidRPr="009D395D" w:rsidRDefault="009D395D" w:rsidP="00BD0581">
      <w:pPr>
        <w:pStyle w:val="ListParagraph"/>
        <w:numPr>
          <w:ilvl w:val="0"/>
          <w:numId w:val="10"/>
        </w:numPr>
      </w:pPr>
      <w:r w:rsidRPr="00194FE9">
        <w:rPr>
          <w:rFonts w:cs="Arial"/>
          <w:color w:val="000000"/>
        </w:rPr>
        <w:t xml:space="preserve">Blauvelt A, Papp KA, Griffiths CEM, Randazzo B, </w:t>
      </w:r>
      <w:proofErr w:type="spellStart"/>
      <w:r w:rsidRPr="00194FE9">
        <w:rPr>
          <w:rFonts w:cs="Arial"/>
          <w:color w:val="000000"/>
        </w:rPr>
        <w:t>Wasfi</w:t>
      </w:r>
      <w:proofErr w:type="spellEnd"/>
      <w:r w:rsidRPr="00194FE9">
        <w:rPr>
          <w:rFonts w:cs="Arial"/>
          <w:color w:val="000000"/>
        </w:rPr>
        <w:t xml:space="preserve"> Y, Shen YK, et al. Efficacy and safety of guselkumab, an anti-interleukin-23 monoclonal antibody, compared with adalimumab for the continuous treatment of patients with moderate to severe psoriasis: Results from the phase III, double-blinded, placebo- and active comparator–controlled VOYAGE 1 trial. </w:t>
      </w:r>
      <w:r w:rsidRPr="002F791B">
        <w:rPr>
          <w:rFonts w:cs="Arial"/>
          <w:noProof/>
          <w:color w:val="000000" w:themeColor="text1"/>
          <w:szCs w:val="20"/>
        </w:rPr>
        <w:t>J Am Acad Dermatol. 2017;76:405–</w:t>
      </w:r>
      <w:r>
        <w:rPr>
          <w:rFonts w:cs="Arial"/>
          <w:noProof/>
          <w:color w:val="000000" w:themeColor="text1"/>
          <w:szCs w:val="20"/>
        </w:rPr>
        <w:t>4</w:t>
      </w:r>
      <w:r w:rsidRPr="002F791B">
        <w:rPr>
          <w:rFonts w:cs="Arial"/>
          <w:noProof/>
          <w:color w:val="000000" w:themeColor="text1"/>
          <w:szCs w:val="20"/>
        </w:rPr>
        <w:t>17.</w:t>
      </w:r>
    </w:p>
    <w:p w14:paraId="2855F0F5" w14:textId="1B9BDCC2" w:rsidR="00BD0581" w:rsidRPr="009D395D" w:rsidRDefault="00BD0581" w:rsidP="00BD0581">
      <w:pPr>
        <w:pStyle w:val="ListParagraph"/>
        <w:numPr>
          <w:ilvl w:val="0"/>
          <w:numId w:val="10"/>
        </w:numPr>
      </w:pPr>
      <w:r w:rsidRPr="009D395D">
        <w:rPr>
          <w:rFonts w:cs="Arial"/>
          <w:color w:val="000000"/>
        </w:rPr>
        <w:t xml:space="preserve">Reich K, Armstrong AW, Foley P, Song M, </w:t>
      </w:r>
      <w:proofErr w:type="spellStart"/>
      <w:r w:rsidRPr="009D395D">
        <w:rPr>
          <w:rFonts w:cs="Arial"/>
          <w:color w:val="000000"/>
        </w:rPr>
        <w:t>Wasfi</w:t>
      </w:r>
      <w:proofErr w:type="spellEnd"/>
      <w:r w:rsidRPr="009D395D">
        <w:rPr>
          <w:rFonts w:cs="Arial"/>
          <w:color w:val="000000"/>
        </w:rPr>
        <w:t xml:space="preserve"> Y, Randazzo B, et al. Efficacy and safety of guselkumab, an anti-interleukin-23 monoclonal antibody, compared with adalimumab for the treatment of patients with moderate to severe psoriasis with randomized withdrawal and retreatment: Results from the phase III, double-blind, placebo- and active comparator–controlled VOYAGE 2 trial. </w:t>
      </w:r>
      <w:r w:rsidRPr="009D395D">
        <w:rPr>
          <w:rFonts w:cs="Arial"/>
          <w:noProof/>
          <w:color w:val="000000" w:themeColor="text1"/>
          <w:szCs w:val="20"/>
        </w:rPr>
        <w:t>J Am Acad Dermatol. 2017;76:418–431.</w:t>
      </w:r>
    </w:p>
    <w:p w14:paraId="653D5F9A" w14:textId="77777777" w:rsidR="009D395D" w:rsidRPr="009D395D" w:rsidRDefault="00BD0581" w:rsidP="00BD0581">
      <w:pPr>
        <w:pStyle w:val="ListParagraph"/>
        <w:numPr>
          <w:ilvl w:val="0"/>
          <w:numId w:val="10"/>
        </w:numPr>
      </w:pPr>
      <w:r w:rsidRPr="009D395D">
        <w:rPr>
          <w:rFonts w:cs="Arial"/>
          <w:color w:val="000000"/>
        </w:rPr>
        <w:t xml:space="preserve">Mease PJ, Smolen JS, Behrens F, Nash P, Liu </w:t>
      </w:r>
      <w:proofErr w:type="spellStart"/>
      <w:r w:rsidRPr="009D395D">
        <w:rPr>
          <w:rFonts w:cs="Arial"/>
          <w:color w:val="000000"/>
        </w:rPr>
        <w:t>Leage</w:t>
      </w:r>
      <w:proofErr w:type="spellEnd"/>
      <w:r w:rsidRPr="009D395D">
        <w:rPr>
          <w:rFonts w:cs="Arial"/>
          <w:color w:val="000000"/>
        </w:rPr>
        <w:t xml:space="preserve"> S, Li L, et al. A head-to-head comparison of the efficacy and safety of </w:t>
      </w:r>
      <w:proofErr w:type="spellStart"/>
      <w:r w:rsidRPr="009D395D">
        <w:rPr>
          <w:rFonts w:cs="Arial"/>
          <w:color w:val="000000"/>
        </w:rPr>
        <w:t>ixekizumab</w:t>
      </w:r>
      <w:proofErr w:type="spellEnd"/>
      <w:r w:rsidRPr="009D395D">
        <w:rPr>
          <w:rFonts w:cs="Arial"/>
          <w:color w:val="000000"/>
        </w:rPr>
        <w:t xml:space="preserve"> and adalimumab in biological-naïve patients with active psoriatic arthritis: 24-week results of a randomised, open-label, blinded-assessor trial. Ann Rheum Dis. </w:t>
      </w:r>
      <w:proofErr w:type="gramStart"/>
      <w:r w:rsidRPr="009D395D">
        <w:rPr>
          <w:rFonts w:cs="Arial"/>
          <w:color w:val="000000"/>
        </w:rPr>
        <w:t>2020;79:123</w:t>
      </w:r>
      <w:proofErr w:type="gramEnd"/>
      <w:r w:rsidRPr="009D395D">
        <w:rPr>
          <w:rFonts w:cs="Arial"/>
          <w:color w:val="000000"/>
        </w:rPr>
        <w:t xml:space="preserve">–131. </w:t>
      </w:r>
    </w:p>
    <w:p w14:paraId="0063E7C1" w14:textId="163C6CE1" w:rsidR="00BD0581" w:rsidRPr="009D395D" w:rsidRDefault="00BD0581" w:rsidP="00BD0581">
      <w:pPr>
        <w:pStyle w:val="ListParagraph"/>
        <w:numPr>
          <w:ilvl w:val="0"/>
          <w:numId w:val="10"/>
        </w:numPr>
      </w:pPr>
      <w:r w:rsidRPr="009D395D">
        <w:rPr>
          <w:rFonts w:cs="Arial"/>
          <w:color w:val="000000"/>
        </w:rPr>
        <w:t xml:space="preserve">van der </w:t>
      </w:r>
      <w:proofErr w:type="spellStart"/>
      <w:r w:rsidRPr="009D395D">
        <w:rPr>
          <w:rFonts w:cs="Arial"/>
          <w:color w:val="000000"/>
        </w:rPr>
        <w:t>Heijde</w:t>
      </w:r>
      <w:proofErr w:type="spellEnd"/>
      <w:r w:rsidRPr="009D395D">
        <w:rPr>
          <w:rFonts w:cs="Arial"/>
          <w:color w:val="000000"/>
        </w:rPr>
        <w:t xml:space="preserve"> D, Cheng-Chung Wei J, </w:t>
      </w:r>
      <w:proofErr w:type="spellStart"/>
      <w:r w:rsidRPr="009D395D">
        <w:rPr>
          <w:rFonts w:cs="Arial"/>
          <w:color w:val="000000"/>
        </w:rPr>
        <w:t>Dougados</w:t>
      </w:r>
      <w:proofErr w:type="spellEnd"/>
      <w:r w:rsidRPr="009D395D">
        <w:rPr>
          <w:rFonts w:cs="Arial"/>
          <w:color w:val="000000"/>
        </w:rPr>
        <w:t xml:space="preserve"> M, Mease P, </w:t>
      </w:r>
      <w:proofErr w:type="spellStart"/>
      <w:r w:rsidRPr="009D395D">
        <w:rPr>
          <w:rFonts w:cs="Arial"/>
          <w:color w:val="000000"/>
        </w:rPr>
        <w:t>Deodhar</w:t>
      </w:r>
      <w:proofErr w:type="spellEnd"/>
      <w:r w:rsidRPr="009D395D">
        <w:rPr>
          <w:rFonts w:cs="Arial"/>
          <w:color w:val="000000"/>
        </w:rPr>
        <w:t xml:space="preserve"> A, </w:t>
      </w:r>
      <w:proofErr w:type="spellStart"/>
      <w:r w:rsidRPr="009D395D">
        <w:rPr>
          <w:rFonts w:cs="Arial"/>
          <w:color w:val="000000"/>
        </w:rPr>
        <w:t>Maksymowych</w:t>
      </w:r>
      <w:proofErr w:type="spellEnd"/>
      <w:r w:rsidRPr="009D395D">
        <w:rPr>
          <w:rFonts w:cs="Arial"/>
          <w:color w:val="000000"/>
        </w:rPr>
        <w:t xml:space="preserve"> WP, et al. </w:t>
      </w:r>
      <w:proofErr w:type="spellStart"/>
      <w:r w:rsidRPr="009D395D">
        <w:rPr>
          <w:rFonts w:cs="Arial"/>
          <w:color w:val="000000"/>
        </w:rPr>
        <w:t>Ixekizumab</w:t>
      </w:r>
      <w:proofErr w:type="spellEnd"/>
      <w:r w:rsidRPr="009D395D">
        <w:rPr>
          <w:rFonts w:cs="Arial"/>
          <w:color w:val="000000"/>
        </w:rPr>
        <w:t xml:space="preserve">, an interleukin-17A antagonist in the treatment of ankylosing spondylitis or radiographic axial </w:t>
      </w:r>
      <w:proofErr w:type="spellStart"/>
      <w:r w:rsidRPr="009D395D">
        <w:rPr>
          <w:rFonts w:cs="Arial"/>
          <w:color w:val="000000"/>
        </w:rPr>
        <w:t>spondyloarthritis</w:t>
      </w:r>
      <w:proofErr w:type="spellEnd"/>
      <w:r w:rsidRPr="009D395D">
        <w:rPr>
          <w:rFonts w:cs="Arial"/>
          <w:color w:val="000000"/>
        </w:rPr>
        <w:t xml:space="preserve"> in patients previously untreated with biological disease-modifying anti-rheumatic drugs (COAST-V): </w:t>
      </w:r>
      <w:proofErr w:type="gramStart"/>
      <w:r w:rsidRPr="009D395D">
        <w:rPr>
          <w:rFonts w:cs="Arial"/>
          <w:color w:val="000000"/>
        </w:rPr>
        <w:t>16 week</w:t>
      </w:r>
      <w:proofErr w:type="gramEnd"/>
      <w:r w:rsidRPr="009D395D">
        <w:rPr>
          <w:rFonts w:cs="Arial"/>
          <w:color w:val="000000"/>
        </w:rPr>
        <w:t xml:space="preserve"> results of a phase 3 randomised, double-blind, active-controlled and placebo-controlled trial. Lancet. </w:t>
      </w:r>
      <w:proofErr w:type="gramStart"/>
      <w:r w:rsidRPr="009D395D">
        <w:rPr>
          <w:rFonts w:cs="Arial"/>
          <w:color w:val="000000"/>
        </w:rPr>
        <w:t>2018;392:2441</w:t>
      </w:r>
      <w:proofErr w:type="gramEnd"/>
      <w:r w:rsidRPr="009D395D">
        <w:rPr>
          <w:rFonts w:cs="Arial"/>
          <w:color w:val="000000"/>
        </w:rPr>
        <w:t xml:space="preserve">–2451. </w:t>
      </w:r>
    </w:p>
    <w:p w14:paraId="0ED3625A" w14:textId="681C81DA" w:rsidR="00BD0581" w:rsidRDefault="009D395D" w:rsidP="00D50FC4">
      <w:pPr>
        <w:pStyle w:val="ListParagraph"/>
        <w:numPr>
          <w:ilvl w:val="0"/>
          <w:numId w:val="10"/>
        </w:numPr>
        <w:rPr>
          <w:lang w:eastAsia="en-GB"/>
        </w:rPr>
      </w:pPr>
      <w:r w:rsidRPr="009D395D">
        <w:rPr>
          <w:rFonts w:cs="Arial"/>
          <w:color w:val="000000"/>
        </w:rPr>
        <w:t>Vedolizumab versus Adalimumab for Moderate-to-Severe Ulcerative Colitis.</w:t>
      </w:r>
      <w:r w:rsidRPr="009D395D">
        <w:rPr>
          <w:rFonts w:cs="Arial"/>
          <w:noProof/>
          <w:color w:val="000000" w:themeColor="text1"/>
          <w:szCs w:val="20"/>
        </w:rPr>
        <w:t xml:space="preserve"> N Engl J Med. 2019;381:1215–1226.</w:t>
      </w:r>
    </w:p>
    <w:p w14:paraId="2A72CFDA" w14:textId="77777777" w:rsidR="00BD0581" w:rsidRPr="00BD0581" w:rsidRDefault="00BD0581" w:rsidP="00BD0581">
      <w:pPr>
        <w:rPr>
          <w:lang w:eastAsia="en-GB"/>
        </w:rPr>
      </w:pPr>
    </w:p>
    <w:p w14:paraId="53BABBF8" w14:textId="77777777" w:rsidR="00391E99" w:rsidRDefault="00391E99" w:rsidP="002C20B5">
      <w:pPr>
        <w:pStyle w:val="Title"/>
        <w:rPr>
          <w:color w:val="000000" w:themeColor="text1"/>
        </w:rPr>
        <w:sectPr w:rsidR="00391E99" w:rsidSect="00391E99">
          <w:pgSz w:w="16840" w:h="11900" w:orient="landscape"/>
          <w:pgMar w:top="1440" w:right="1440" w:bottom="1440" w:left="1790" w:header="708" w:footer="708" w:gutter="0"/>
          <w:cols w:space="708"/>
          <w:docGrid w:linePitch="360"/>
        </w:sectPr>
      </w:pPr>
    </w:p>
    <w:p w14:paraId="38585A74" w14:textId="28049AFE" w:rsidR="00566C9B" w:rsidRPr="006B79E8" w:rsidRDefault="002C20B5" w:rsidP="002C20B5">
      <w:pPr>
        <w:pStyle w:val="Title"/>
        <w:rPr>
          <w:color w:val="000000" w:themeColor="text1"/>
        </w:rPr>
      </w:pPr>
      <w:r w:rsidRPr="006B79E8">
        <w:rPr>
          <w:color w:val="000000" w:themeColor="text1"/>
        </w:rPr>
        <w:lastRenderedPageBreak/>
        <w:t>Literature Search</w:t>
      </w:r>
    </w:p>
    <w:p w14:paraId="69DA82F7" w14:textId="0378FE58" w:rsidR="002C20B5" w:rsidRPr="006B79E8" w:rsidRDefault="002C20B5" w:rsidP="002C20B5">
      <w:pPr>
        <w:pStyle w:val="Heading1"/>
      </w:pPr>
      <w:r w:rsidRPr="006B79E8">
        <w:t>Objectives</w:t>
      </w:r>
    </w:p>
    <w:p w14:paraId="686BE6B8" w14:textId="7467DE86" w:rsidR="002C20B5" w:rsidRPr="00243209" w:rsidRDefault="00243209" w:rsidP="002C20B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 review available literature and relevant guidelines in order to support clinical opinion and guide the modified Delphi consensus process</w:t>
      </w:r>
    </w:p>
    <w:p w14:paraId="0D5AB0BE" w14:textId="3085ECDD" w:rsidR="002C20B5" w:rsidRPr="006B79E8" w:rsidRDefault="00ED636A" w:rsidP="002C20B5">
      <w:pPr>
        <w:pStyle w:val="Heading1"/>
      </w:pPr>
      <w:r w:rsidRPr="006B79E8">
        <w:t xml:space="preserve">Key </w:t>
      </w:r>
      <w:r w:rsidR="002C20B5" w:rsidRPr="006B79E8">
        <w:t>Research Questions</w:t>
      </w:r>
    </w:p>
    <w:p w14:paraId="2C40D15C" w14:textId="032ADC0E" w:rsidR="002C20B5" w:rsidRDefault="00243209" w:rsidP="00243209">
      <w:pPr>
        <w:pStyle w:val="Heading2"/>
        <w:numPr>
          <w:ilvl w:val="0"/>
          <w:numId w:val="6"/>
        </w:numPr>
      </w:pPr>
      <w:r>
        <w:t>Clinical Freedom</w:t>
      </w:r>
    </w:p>
    <w:p w14:paraId="1A3068A3" w14:textId="77777777" w:rsidR="00243209" w:rsidRDefault="00243209" w:rsidP="00243209">
      <w:pPr>
        <w:numPr>
          <w:ilvl w:val="1"/>
          <w:numId w:val="6"/>
        </w:numPr>
      </w:pPr>
      <w:r w:rsidRPr="00243209">
        <w:t>What is the principle of “clinical freedom”, and how does it differ from clinical judgement?</w:t>
      </w:r>
    </w:p>
    <w:p w14:paraId="1ECCC59B" w14:textId="77777777" w:rsidR="00243209" w:rsidRDefault="00243209" w:rsidP="00243209">
      <w:pPr>
        <w:numPr>
          <w:ilvl w:val="1"/>
          <w:numId w:val="6"/>
        </w:numPr>
      </w:pPr>
      <w:r w:rsidRPr="00243209">
        <w:t>What is the importance of the principle of “clinical freedom” to clinicians, patients and to the healthcare system?</w:t>
      </w:r>
    </w:p>
    <w:p w14:paraId="05C23193" w14:textId="77777777" w:rsidR="00243209" w:rsidRDefault="00243209" w:rsidP="00243209">
      <w:pPr>
        <w:numPr>
          <w:ilvl w:val="1"/>
          <w:numId w:val="6"/>
        </w:numPr>
      </w:pPr>
      <w:r w:rsidRPr="00243209">
        <w:t>To what extent would greater understanding of the Biologic Commissioning Framework permit greater clinical freedom?</w:t>
      </w:r>
    </w:p>
    <w:p w14:paraId="20B4C3D9" w14:textId="20DE2871" w:rsidR="00243209" w:rsidRPr="00243209" w:rsidRDefault="00243209" w:rsidP="00243209">
      <w:pPr>
        <w:numPr>
          <w:ilvl w:val="1"/>
          <w:numId w:val="6"/>
        </w:numPr>
      </w:pPr>
      <w:r w:rsidRPr="00243209">
        <w:t>Are population-based pathways always applicable to individual patient-level treatment decisions? If not, which patient factors should be considered when deviating from the pathway?</w:t>
      </w:r>
    </w:p>
    <w:p w14:paraId="1E48C501" w14:textId="4AE40AE8" w:rsidR="00243209" w:rsidRDefault="00243209" w:rsidP="00243209"/>
    <w:p w14:paraId="289D32ED" w14:textId="77777777" w:rsidR="00243209" w:rsidRDefault="00243209" w:rsidP="00243209">
      <w:pPr>
        <w:pStyle w:val="Heading2"/>
        <w:numPr>
          <w:ilvl w:val="0"/>
          <w:numId w:val="6"/>
        </w:numPr>
      </w:pPr>
      <w:r>
        <w:t>Value of Biologics</w:t>
      </w:r>
    </w:p>
    <w:p w14:paraId="45077835" w14:textId="77777777" w:rsidR="00243209" w:rsidRDefault="00243209" w:rsidP="00243209">
      <w:pPr>
        <w:pStyle w:val="ListParagraph"/>
        <w:numPr>
          <w:ilvl w:val="1"/>
          <w:numId w:val="6"/>
        </w:numPr>
      </w:pPr>
      <w:r w:rsidRPr="00243209">
        <w:t xml:space="preserve">What is the difference between “value” and “price”, and how should </w:t>
      </w:r>
      <w:proofErr w:type="gramStart"/>
      <w:r w:rsidRPr="00243209">
        <w:t>these factor</w:t>
      </w:r>
      <w:proofErr w:type="gramEnd"/>
      <w:r w:rsidRPr="00243209">
        <w:t xml:space="preserve"> into patient-level treatment decisions for psoriasis, </w:t>
      </w:r>
      <w:proofErr w:type="spellStart"/>
      <w:r w:rsidRPr="00243209">
        <w:t>PsA</w:t>
      </w:r>
      <w:proofErr w:type="spellEnd"/>
      <w:r w:rsidRPr="00243209">
        <w:t>, and IBD?</w:t>
      </w:r>
    </w:p>
    <w:p w14:paraId="75871D22" w14:textId="77777777" w:rsidR="00243209" w:rsidRDefault="00243209" w:rsidP="00243209">
      <w:pPr>
        <w:pStyle w:val="ListParagraph"/>
        <w:numPr>
          <w:ilvl w:val="1"/>
          <w:numId w:val="6"/>
        </w:numPr>
      </w:pPr>
      <w:r w:rsidRPr="00243209">
        <w:t xml:space="preserve">Which drug-related factors can impart additional value on both the patient with psoriasis, </w:t>
      </w:r>
      <w:proofErr w:type="spellStart"/>
      <w:r w:rsidRPr="00243209">
        <w:t>PsA</w:t>
      </w:r>
      <w:proofErr w:type="spellEnd"/>
      <w:r w:rsidRPr="00243209">
        <w:t>, and/or IBD and the healthcare system?</w:t>
      </w:r>
    </w:p>
    <w:p w14:paraId="1200F83D" w14:textId="77777777" w:rsidR="00243209" w:rsidRDefault="00243209" w:rsidP="00243209">
      <w:pPr>
        <w:pStyle w:val="ListParagraph"/>
        <w:numPr>
          <w:ilvl w:val="1"/>
          <w:numId w:val="6"/>
        </w:numPr>
      </w:pPr>
      <w:r w:rsidRPr="00243209">
        <w:t xml:space="preserve">What added value can novel biologics provide for patients with psoriasis, </w:t>
      </w:r>
      <w:proofErr w:type="spellStart"/>
      <w:r w:rsidRPr="00243209">
        <w:t>PsA</w:t>
      </w:r>
      <w:proofErr w:type="spellEnd"/>
      <w:r w:rsidRPr="00243209">
        <w:t xml:space="preserve">, and/or IBD, beyond that offered by a </w:t>
      </w:r>
      <w:proofErr w:type="spellStart"/>
      <w:r w:rsidRPr="00243209">
        <w:t>TNFi</w:t>
      </w:r>
      <w:proofErr w:type="spellEnd"/>
      <w:r w:rsidRPr="00243209">
        <w:t>? Is this specific to certain patient types or does it apply to the full patient spectrum?</w:t>
      </w:r>
    </w:p>
    <w:p w14:paraId="0A942C44" w14:textId="154EFB07" w:rsidR="00243209" w:rsidRPr="00243209" w:rsidRDefault="00243209" w:rsidP="00243209">
      <w:pPr>
        <w:pStyle w:val="ListParagraph"/>
        <w:numPr>
          <w:ilvl w:val="1"/>
          <w:numId w:val="6"/>
        </w:numPr>
      </w:pPr>
      <w:r w:rsidRPr="00243209">
        <w:t xml:space="preserve">Does any additional value to patients with psoriasis, </w:t>
      </w:r>
      <w:proofErr w:type="spellStart"/>
      <w:r w:rsidRPr="00243209">
        <w:t>PsA</w:t>
      </w:r>
      <w:proofErr w:type="spellEnd"/>
      <w:r w:rsidRPr="00243209">
        <w:t xml:space="preserve">, and/or IBD offered by novel biologics affect their positioning in the treatment pathway relative to </w:t>
      </w:r>
      <w:proofErr w:type="spellStart"/>
      <w:r w:rsidRPr="00243209">
        <w:t>TNFis</w:t>
      </w:r>
      <w:proofErr w:type="spellEnd"/>
      <w:r w:rsidRPr="00243209">
        <w:t>?</w:t>
      </w:r>
    </w:p>
    <w:p w14:paraId="75995C1D" w14:textId="1C6C0CC7" w:rsidR="00243209" w:rsidRDefault="00243209" w:rsidP="00243209"/>
    <w:p w14:paraId="7832F061" w14:textId="3DB757A3" w:rsidR="00243209" w:rsidRDefault="00243209" w:rsidP="00243209">
      <w:pPr>
        <w:pStyle w:val="Heading2"/>
        <w:numPr>
          <w:ilvl w:val="0"/>
          <w:numId w:val="6"/>
        </w:numPr>
      </w:pPr>
      <w:r>
        <w:t>Current Practices in the Biologic Era</w:t>
      </w:r>
    </w:p>
    <w:p w14:paraId="3999B755" w14:textId="77777777" w:rsidR="00243209" w:rsidRDefault="00243209" w:rsidP="00243209">
      <w:pPr>
        <w:pStyle w:val="ListParagraph"/>
        <w:numPr>
          <w:ilvl w:val="1"/>
          <w:numId w:val="6"/>
        </w:numPr>
      </w:pPr>
      <w:r w:rsidRPr="00243209">
        <w:t xml:space="preserve">Which patient factors should impact choice of biologic prescription for psoriasis, </w:t>
      </w:r>
      <w:proofErr w:type="spellStart"/>
      <w:r w:rsidRPr="00243209">
        <w:t>PsA</w:t>
      </w:r>
      <w:proofErr w:type="spellEnd"/>
      <w:r w:rsidRPr="00243209">
        <w:t xml:space="preserve">, or IBD (e.g. disease severity, location, duration, prior drug exposure, comorbidities, previous AEs or family history thereof, patient preferences and beliefs)? </w:t>
      </w:r>
    </w:p>
    <w:p w14:paraId="24AEBACE" w14:textId="77777777" w:rsidR="00243209" w:rsidRDefault="00243209" w:rsidP="00243209">
      <w:pPr>
        <w:pStyle w:val="ListParagraph"/>
        <w:numPr>
          <w:ilvl w:val="1"/>
          <w:numId w:val="6"/>
        </w:numPr>
      </w:pPr>
      <w:r w:rsidRPr="00243209">
        <w:t xml:space="preserve">Has availability of newer biologic options changed prescribing patterns in psoriasis, </w:t>
      </w:r>
      <w:proofErr w:type="spellStart"/>
      <w:r w:rsidRPr="00243209">
        <w:t>PsA</w:t>
      </w:r>
      <w:proofErr w:type="spellEnd"/>
      <w:r w:rsidRPr="00243209">
        <w:t>, and IBD? If so, how? What effect has this had on patient outcomes?</w:t>
      </w:r>
    </w:p>
    <w:p w14:paraId="5DD133AB" w14:textId="77777777" w:rsidR="00243209" w:rsidRDefault="00243209" w:rsidP="00243209">
      <w:pPr>
        <w:pStyle w:val="ListParagraph"/>
        <w:numPr>
          <w:ilvl w:val="1"/>
          <w:numId w:val="6"/>
        </w:numPr>
      </w:pPr>
      <w:r w:rsidRPr="00243209">
        <w:t xml:space="preserve">To what extent is there room for variation in interpretation of NICE guidelines for biologic prescription in psoriasis, </w:t>
      </w:r>
      <w:proofErr w:type="spellStart"/>
      <w:r w:rsidRPr="00243209">
        <w:t>PsA</w:t>
      </w:r>
      <w:proofErr w:type="spellEnd"/>
      <w:r w:rsidRPr="00243209">
        <w:t>, and IBD, and how well does this align with the Biologic Commissioning Framework?</w:t>
      </w:r>
    </w:p>
    <w:p w14:paraId="45A72714" w14:textId="0D31E22F" w:rsidR="002C20B5" w:rsidRPr="006E2BE3" w:rsidRDefault="00243209" w:rsidP="006E2BE3">
      <w:pPr>
        <w:pStyle w:val="ListParagraph"/>
        <w:numPr>
          <w:ilvl w:val="1"/>
          <w:numId w:val="6"/>
        </w:numPr>
      </w:pPr>
      <w:r w:rsidRPr="00243209">
        <w:t xml:space="preserve">At what point in the treatment of psoriasis, </w:t>
      </w:r>
      <w:proofErr w:type="spellStart"/>
      <w:r w:rsidRPr="00243209">
        <w:t>PsA</w:t>
      </w:r>
      <w:proofErr w:type="spellEnd"/>
      <w:r w:rsidRPr="00243209">
        <w:t>, and IBD should a clinician consider a switch from one biologic class to another? Which factors should go into making this decision?</w:t>
      </w:r>
    </w:p>
    <w:p w14:paraId="7A9E56A6" w14:textId="6CA2702C" w:rsidR="002C20B5" w:rsidRPr="006B79E8" w:rsidRDefault="002C20B5" w:rsidP="002C20B5">
      <w:pPr>
        <w:pStyle w:val="Heading1"/>
      </w:pPr>
      <w:r w:rsidRPr="006B79E8">
        <w:t>Process</w:t>
      </w:r>
    </w:p>
    <w:p w14:paraId="58C44CE3" w14:textId="1441EFB4" w:rsidR="002C20B5" w:rsidRPr="006B79E8" w:rsidRDefault="002C20B5" w:rsidP="00481E37">
      <w:pPr>
        <w:rPr>
          <w:i/>
          <w:iCs/>
          <w:color w:val="000000" w:themeColor="text1"/>
        </w:rPr>
      </w:pPr>
      <w:r w:rsidRPr="006B79E8">
        <w:rPr>
          <w:color w:val="000000" w:themeColor="text1"/>
        </w:rPr>
        <w:t>A literature search was performed ahead of the e-survey and group meeting. Search terms were identified and collated from PubMed Central and the European, UK national and NICE clinical guidelines. Articles that did not contribute to the</w:t>
      </w:r>
      <w:r w:rsidR="00481E37">
        <w:rPr>
          <w:color w:val="000000" w:themeColor="text1"/>
        </w:rPr>
        <w:t xml:space="preserve"> key</w:t>
      </w:r>
      <w:r w:rsidRPr="006B79E8">
        <w:rPr>
          <w:color w:val="000000" w:themeColor="text1"/>
        </w:rPr>
        <w:t xml:space="preserve"> research questions were excluded. </w:t>
      </w:r>
      <w:r w:rsidR="00D867A8" w:rsidRPr="006B79E8">
        <w:rPr>
          <w:color w:val="000000" w:themeColor="text1"/>
        </w:rPr>
        <w:t>Including the NICE clinical guidelines,</w:t>
      </w:r>
      <w:r w:rsidRPr="006B79E8">
        <w:rPr>
          <w:color w:val="000000" w:themeColor="text1"/>
        </w:rPr>
        <w:t xml:space="preserve"> 144 unique references were </w:t>
      </w:r>
      <w:r w:rsidR="00481E37">
        <w:rPr>
          <w:color w:val="000000" w:themeColor="text1"/>
        </w:rPr>
        <w:t xml:space="preserve">summarised into key themes and </w:t>
      </w:r>
      <w:r w:rsidR="006E2BE3">
        <w:rPr>
          <w:color w:val="000000" w:themeColor="text1"/>
        </w:rPr>
        <w:t xml:space="preserve">used to highlight </w:t>
      </w:r>
      <w:r w:rsidR="00481E37">
        <w:rPr>
          <w:color w:val="000000" w:themeColor="text1"/>
        </w:rPr>
        <w:t>research gaps or considerations.</w:t>
      </w:r>
    </w:p>
    <w:p w14:paraId="437648CC" w14:textId="03BBF1FA" w:rsidR="002C20B5" w:rsidRPr="006B79E8" w:rsidRDefault="002C20B5" w:rsidP="002C20B5">
      <w:pPr>
        <w:rPr>
          <w:color w:val="000000" w:themeColor="text1"/>
        </w:rPr>
      </w:pPr>
    </w:p>
    <w:p w14:paraId="7ABC4655" w14:textId="77777777" w:rsidR="0066555B" w:rsidRPr="006B79E8" w:rsidRDefault="0066555B" w:rsidP="002C20B5">
      <w:pPr>
        <w:rPr>
          <w:color w:val="000000" w:themeColor="text1"/>
        </w:rPr>
        <w:sectPr w:rsidR="0066555B" w:rsidRPr="006B79E8" w:rsidSect="00037195">
          <w:pgSz w:w="11900" w:h="16840"/>
          <w:pgMar w:top="1790" w:right="1440" w:bottom="1440" w:left="1440" w:header="708" w:footer="708" w:gutter="0"/>
          <w:cols w:space="708"/>
          <w:docGrid w:linePitch="360"/>
        </w:sectPr>
      </w:pPr>
    </w:p>
    <w:p w14:paraId="47D40791" w14:textId="6CE1AE5C" w:rsidR="002C20B5" w:rsidRPr="006B79E8" w:rsidRDefault="002C20B5" w:rsidP="0075376A">
      <w:pPr>
        <w:rPr>
          <w:color w:val="000000" w:themeColor="text1"/>
        </w:rPr>
      </w:pPr>
      <w:r w:rsidRPr="006B79E8">
        <w:rPr>
          <w:i/>
          <w:iCs/>
          <w:color w:val="000000" w:themeColor="text1"/>
        </w:rPr>
        <w:lastRenderedPageBreak/>
        <w:t>Supplementary Table 1: Search Terms</w:t>
      </w:r>
      <w:r w:rsidR="00D867A8" w:rsidRPr="006B79E8">
        <w:rPr>
          <w:i/>
          <w:iCs/>
          <w:color w:val="000000" w:themeColor="text1"/>
        </w:rPr>
        <w:t xml:space="preserve"> Used in PubMed Central</w:t>
      </w:r>
    </w:p>
    <w:p w14:paraId="51725E59" w14:textId="2B9A6010" w:rsidR="002C20B5" w:rsidRPr="006B79E8" w:rsidRDefault="002C20B5" w:rsidP="002C20B5">
      <w:pPr>
        <w:rPr>
          <w:color w:val="000000" w:themeColor="text1"/>
        </w:rPr>
      </w:pPr>
    </w:p>
    <w:tbl>
      <w:tblPr>
        <w:tblStyle w:val="ListTable3-Accent3"/>
        <w:tblW w:w="5000" w:type="pct"/>
        <w:tblLook w:val="04A0" w:firstRow="1" w:lastRow="0" w:firstColumn="1" w:lastColumn="0" w:noHBand="0" w:noVBand="1"/>
      </w:tblPr>
      <w:tblGrid>
        <w:gridCol w:w="4814"/>
        <w:gridCol w:w="7681"/>
        <w:gridCol w:w="1954"/>
      </w:tblGrid>
      <w:tr w:rsidR="006B79E8" w:rsidRPr="006B79E8" w14:paraId="6C029368" w14:textId="77777777" w:rsidTr="00D8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shd w:val="clear" w:color="auto" w:fill="D9D9D9" w:themeFill="background1" w:themeFillShade="D9"/>
          </w:tcPr>
          <w:p w14:paraId="25288B64" w14:textId="22A19C44" w:rsidR="002C20B5" w:rsidRPr="006B79E8" w:rsidRDefault="00683461" w:rsidP="002C20B5">
            <w:pPr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Key research question</w:t>
            </w:r>
          </w:p>
        </w:tc>
        <w:tc>
          <w:tcPr>
            <w:tcW w:w="2658" w:type="pct"/>
            <w:shd w:val="clear" w:color="auto" w:fill="D9D9D9" w:themeFill="background1" w:themeFillShade="D9"/>
          </w:tcPr>
          <w:p w14:paraId="1F7846EF" w14:textId="5AAB708D" w:rsidR="002C20B5" w:rsidRPr="006B79E8" w:rsidRDefault="002C20B5" w:rsidP="002C2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Search</w:t>
            </w:r>
            <w:r w:rsidR="00683461" w:rsidRPr="006B79E8">
              <w:rPr>
                <w:color w:val="000000" w:themeColor="text1"/>
              </w:rPr>
              <w:t xml:space="preserve"> query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6445FCDD" w14:textId="1775D021" w:rsidR="002C20B5" w:rsidRPr="006B79E8" w:rsidRDefault="002C20B5" w:rsidP="00B70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Hits</w:t>
            </w:r>
            <w:r w:rsidR="00683461" w:rsidRPr="006B79E8">
              <w:rPr>
                <w:color w:val="000000" w:themeColor="text1"/>
              </w:rPr>
              <w:t xml:space="preserve"> after exclusions</w:t>
            </w:r>
          </w:p>
        </w:tc>
      </w:tr>
      <w:tr w:rsidR="006B79E8" w:rsidRPr="006B79E8" w14:paraId="756293FF" w14:textId="77777777" w:rsidTr="00D8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239258E" w14:textId="4F5C898E" w:rsidR="00683461" w:rsidRPr="006B79E8" w:rsidRDefault="00683461" w:rsidP="0075376A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i/>
                <w:iCs/>
                <w:color w:val="000000" w:themeColor="text1"/>
              </w:rPr>
            </w:pPr>
            <w:r w:rsidRPr="006B79E8">
              <w:rPr>
                <w:i/>
                <w:iCs/>
                <w:color w:val="000000" w:themeColor="text1"/>
              </w:rPr>
              <w:t>Clinical freedom</w:t>
            </w:r>
          </w:p>
        </w:tc>
      </w:tr>
      <w:tr w:rsidR="006B79E8" w:rsidRPr="006B79E8" w14:paraId="0A437FE2" w14:textId="77777777" w:rsidTr="00D8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9DDF6EA" w14:textId="0F4B5E5F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>What is the principle of “clinical freedom”, and how does it differ from clinical judgement?</w:t>
            </w:r>
          </w:p>
        </w:tc>
        <w:tc>
          <w:tcPr>
            <w:tcW w:w="2658" w:type="pct"/>
          </w:tcPr>
          <w:p w14:paraId="13564BD9" w14:textId="7E2EF45F" w:rsidR="0066555B" w:rsidRPr="006B79E8" w:rsidRDefault="0066555B" w:rsidP="00665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(("clinical freedom") OR (“clinical freedom” AND "clinical judgement"))</w:t>
            </w:r>
          </w:p>
        </w:tc>
        <w:tc>
          <w:tcPr>
            <w:tcW w:w="676" w:type="pct"/>
          </w:tcPr>
          <w:p w14:paraId="70A87954" w14:textId="6CD2AACA" w:rsidR="0066555B" w:rsidRPr="006B79E8" w:rsidRDefault="00243209" w:rsidP="00B7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</w:tr>
      <w:tr w:rsidR="006B79E8" w:rsidRPr="006B79E8" w14:paraId="2DB7CBD2" w14:textId="77777777" w:rsidTr="00D8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A8DB806" w14:textId="0A0CE4B6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>What is the importance of the principle of “clinical freedom” to clinicians, patients and to the healthcare system?</w:t>
            </w:r>
          </w:p>
        </w:tc>
        <w:tc>
          <w:tcPr>
            <w:tcW w:w="2658" w:type="pct"/>
          </w:tcPr>
          <w:p w14:paraId="09D99D7E" w14:textId="79F117B3" w:rsidR="0066555B" w:rsidRPr="006B79E8" w:rsidRDefault="0066555B" w:rsidP="0066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(“clinical freedom”) AND ((relevance) OR (importance)) AND ((clinicians) OR (physicians) OR (doctors) OR (patients) OR (“healthcare system”)) NOT (prostate)</w:t>
            </w:r>
          </w:p>
        </w:tc>
        <w:tc>
          <w:tcPr>
            <w:tcW w:w="676" w:type="pct"/>
          </w:tcPr>
          <w:p w14:paraId="7C7BA00B" w14:textId="534944F2" w:rsidR="0066555B" w:rsidRPr="006B79E8" w:rsidRDefault="00243209" w:rsidP="00B7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6B79E8" w:rsidRPr="006B79E8" w14:paraId="03B91C29" w14:textId="77777777" w:rsidTr="00D8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F12FAA5" w14:textId="605E2016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>To what extent would greater understanding of the Biologic Commissioning Framework permit greater clinical freedom?</w:t>
            </w:r>
          </w:p>
        </w:tc>
        <w:tc>
          <w:tcPr>
            <w:tcW w:w="2658" w:type="pct"/>
          </w:tcPr>
          <w:p w14:paraId="16269776" w14:textId="4B301746" w:rsidR="0066555B" w:rsidRPr="006B79E8" w:rsidRDefault="0066555B" w:rsidP="00665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N/A</w:t>
            </w:r>
          </w:p>
        </w:tc>
        <w:tc>
          <w:tcPr>
            <w:tcW w:w="676" w:type="pct"/>
          </w:tcPr>
          <w:p w14:paraId="618D45BC" w14:textId="7C8E3BDA" w:rsidR="0066555B" w:rsidRPr="006B79E8" w:rsidRDefault="00243209" w:rsidP="00B7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</w:tr>
      <w:tr w:rsidR="006B79E8" w:rsidRPr="006B79E8" w14:paraId="1CB7A4FF" w14:textId="77777777" w:rsidTr="00D8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F7A02B8" w14:textId="03C0959E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>Are population-based pathways always applicable to individual patient-level treatment decisions? If not, which patient factors should be considered when deviating from the pathway?</w:t>
            </w:r>
          </w:p>
        </w:tc>
        <w:tc>
          <w:tcPr>
            <w:tcW w:w="2658" w:type="pct"/>
          </w:tcPr>
          <w:p w14:paraId="36C74508" w14:textId="04F85E78" w:rsidR="0066555B" w:rsidRPr="006B79E8" w:rsidRDefault="0066555B" w:rsidP="0066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(biologic) AND (((population) AND (pathway)) OR ("patient factors") OR ("treatment decisions") OR ("prescribing decisions") OR ("individualized care") OR ("personalized care") OR ("patient-centric")) AND ((psoriasis) OR (</w:t>
            </w:r>
            <w:proofErr w:type="spellStart"/>
            <w:r w:rsidRPr="006B79E8">
              <w:rPr>
                <w:color w:val="000000" w:themeColor="text1"/>
              </w:rPr>
              <w:t>PsA</w:t>
            </w:r>
            <w:proofErr w:type="spellEnd"/>
            <w:r w:rsidRPr="006B79E8">
              <w:rPr>
                <w:color w:val="000000" w:themeColor="text1"/>
              </w:rPr>
              <w:t>) OR (“psoriatic arthritis”) OR (IBD) OR (“inflammatory bowel disease”) OR (“Crohn’s disease”) OR (“ulcerative colitis”)) NOT (prostate)</w:t>
            </w:r>
          </w:p>
        </w:tc>
        <w:tc>
          <w:tcPr>
            <w:tcW w:w="676" w:type="pct"/>
          </w:tcPr>
          <w:p w14:paraId="15B004DF" w14:textId="78D4561C" w:rsidR="0066555B" w:rsidRPr="006B79E8" w:rsidRDefault="0066555B" w:rsidP="00B7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1</w:t>
            </w:r>
            <w:r w:rsidR="00243209">
              <w:rPr>
                <w:color w:val="000000" w:themeColor="text1"/>
              </w:rPr>
              <w:t>1</w:t>
            </w:r>
          </w:p>
        </w:tc>
      </w:tr>
      <w:tr w:rsidR="006B79E8" w:rsidRPr="006B79E8" w14:paraId="1473736A" w14:textId="77777777" w:rsidTr="00D8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C220DC" w14:textId="43512230" w:rsidR="0066555B" w:rsidRPr="006B79E8" w:rsidRDefault="0066555B" w:rsidP="0075376A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i/>
                <w:iCs/>
                <w:color w:val="000000" w:themeColor="text1"/>
              </w:rPr>
            </w:pPr>
            <w:r w:rsidRPr="006B79E8">
              <w:rPr>
                <w:i/>
                <w:iCs/>
                <w:color w:val="000000" w:themeColor="text1"/>
              </w:rPr>
              <w:t>Value of biologics</w:t>
            </w:r>
          </w:p>
        </w:tc>
      </w:tr>
      <w:tr w:rsidR="006B79E8" w:rsidRPr="006B79E8" w14:paraId="7F265EF8" w14:textId="77777777" w:rsidTr="00D8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C40C5D8" w14:textId="1D0F5824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 xml:space="preserve">What is the difference between “value” and “price”, and how should </w:t>
            </w:r>
            <w:proofErr w:type="gramStart"/>
            <w:r w:rsidRPr="006B79E8">
              <w:rPr>
                <w:b w:val="0"/>
                <w:bCs w:val="0"/>
                <w:color w:val="000000" w:themeColor="text1"/>
              </w:rPr>
              <w:t>these factor</w:t>
            </w:r>
            <w:proofErr w:type="gramEnd"/>
            <w:r w:rsidRPr="006B79E8">
              <w:rPr>
                <w:b w:val="0"/>
                <w:bCs w:val="0"/>
                <w:color w:val="000000" w:themeColor="text1"/>
              </w:rPr>
              <w:t xml:space="preserve"> into patient-level treatment decisions for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, and IBD?</w:t>
            </w:r>
          </w:p>
        </w:tc>
        <w:tc>
          <w:tcPr>
            <w:tcW w:w="2658" w:type="pct"/>
          </w:tcPr>
          <w:p w14:paraId="0BF2E496" w14:textId="676FDAA5" w:rsidR="0066555B" w:rsidRPr="006B79E8" w:rsidRDefault="0066555B" w:rsidP="0066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(biologic) AND ((drug) OR (healthcare) OR (medicine) OR (treatment) OR (therapy)) AND ((value) AND (price) AND (defined)) NOT (cost) NOT (analysis)</w:t>
            </w:r>
          </w:p>
        </w:tc>
        <w:tc>
          <w:tcPr>
            <w:tcW w:w="676" w:type="pct"/>
          </w:tcPr>
          <w:p w14:paraId="0037FE60" w14:textId="4923D2AB" w:rsidR="0066555B" w:rsidRPr="006B79E8" w:rsidRDefault="0066555B" w:rsidP="00B7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2</w:t>
            </w:r>
          </w:p>
        </w:tc>
      </w:tr>
      <w:tr w:rsidR="006B79E8" w:rsidRPr="006B79E8" w14:paraId="7F6C0FED" w14:textId="77777777" w:rsidTr="00D8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79486D1" w14:textId="24022C4C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 xml:space="preserve">Which drug-related factors can impart additional value on both the patient with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, and/or IBD and the healthcare system? (e.g. clinical efficacy, patient adherence, safety, tolerability and immunogenicity profiles, dosing regimen)</w:t>
            </w:r>
          </w:p>
        </w:tc>
        <w:tc>
          <w:tcPr>
            <w:tcW w:w="2658" w:type="pct"/>
          </w:tcPr>
          <w:p w14:paraId="1804EF7F" w14:textId="3B76A41A" w:rsidR="0066555B" w:rsidRPr="006B79E8" w:rsidRDefault="0066555B" w:rsidP="00665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((drug) OR (healthcare) OR (medicine) OR (treatment) OR (therapy)) AND (value) AND ("healthcare system") AND (factors) AND ((psoriasis) OR (</w:t>
            </w:r>
            <w:proofErr w:type="spellStart"/>
            <w:r w:rsidRPr="006B79E8">
              <w:rPr>
                <w:color w:val="000000" w:themeColor="text1"/>
              </w:rPr>
              <w:t>PsA</w:t>
            </w:r>
            <w:proofErr w:type="spellEnd"/>
            <w:r w:rsidRPr="006B79E8">
              <w:rPr>
                <w:color w:val="000000" w:themeColor="text1"/>
              </w:rPr>
              <w:t>) OR (“psoriatic arthritis”) OR (IBD) OR (“inflammatory bowel disease”) OR (“Crohn’s disease”) OR (“ulcerative colitis”)) NOT (prostate)</w:t>
            </w:r>
          </w:p>
        </w:tc>
        <w:tc>
          <w:tcPr>
            <w:tcW w:w="676" w:type="pct"/>
          </w:tcPr>
          <w:p w14:paraId="1064A073" w14:textId="11B38D04" w:rsidR="0066555B" w:rsidRPr="006B79E8" w:rsidRDefault="00243209" w:rsidP="00B7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B79E8" w:rsidRPr="006B79E8" w14:paraId="1DD6CF91" w14:textId="77777777" w:rsidTr="00D8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2951B26" w14:textId="3E10F2C8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 xml:space="preserve">Can novel biologics add value for patients with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 xml:space="preserve">, and/or IBD beyond that offered by a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TNFi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? Is this specific to certain patient types or does it apply to the full patient spectrum?</w:t>
            </w:r>
          </w:p>
        </w:tc>
        <w:tc>
          <w:tcPr>
            <w:tcW w:w="2658" w:type="pct"/>
          </w:tcPr>
          <w:p w14:paraId="5D3F8234" w14:textId="21A44CF6" w:rsidR="0066555B" w:rsidRPr="006B79E8" w:rsidRDefault="0066555B" w:rsidP="0066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((IL-17 inhibitor) OR (anti-IL-17) OR (</w:t>
            </w:r>
            <w:proofErr w:type="spellStart"/>
            <w:r w:rsidRPr="006B79E8">
              <w:rPr>
                <w:color w:val="000000" w:themeColor="text1"/>
              </w:rPr>
              <w:t>ixekizumab</w:t>
            </w:r>
            <w:proofErr w:type="spellEnd"/>
            <w:r w:rsidRPr="006B79E8">
              <w:rPr>
                <w:color w:val="000000" w:themeColor="text1"/>
              </w:rPr>
              <w:t>) OR (Taltz) OR (secukinumab) OR (Cosentyx) OR (</w:t>
            </w:r>
            <w:proofErr w:type="spellStart"/>
            <w:r w:rsidRPr="006B79E8">
              <w:rPr>
                <w:color w:val="000000" w:themeColor="text1"/>
              </w:rPr>
              <w:t>brodalumab</w:t>
            </w:r>
            <w:proofErr w:type="spellEnd"/>
            <w:r w:rsidRPr="006B79E8">
              <w:rPr>
                <w:color w:val="000000" w:themeColor="text1"/>
              </w:rPr>
              <w:t>) OR (</w:t>
            </w:r>
            <w:proofErr w:type="spellStart"/>
            <w:r w:rsidRPr="006B79E8">
              <w:rPr>
                <w:color w:val="000000" w:themeColor="text1"/>
              </w:rPr>
              <w:t>Kyntheum</w:t>
            </w:r>
            <w:proofErr w:type="spellEnd"/>
            <w:r w:rsidRPr="006B79E8">
              <w:rPr>
                <w:color w:val="000000" w:themeColor="text1"/>
              </w:rPr>
              <w:t>) OR (IL-12/23 inhibitor) OR (anti-IL-12/23) OR (ustekinumab) OR (Stelara) OR (IL-23 inhibitor) OR (anti-IL-23) OR (guselkumab) OR (Tremfya) OR (risankizumab) OR (</w:t>
            </w:r>
            <w:proofErr w:type="spellStart"/>
            <w:r w:rsidRPr="006B79E8">
              <w:rPr>
                <w:color w:val="000000" w:themeColor="text1"/>
              </w:rPr>
              <w:t>Skyrizi</w:t>
            </w:r>
            <w:proofErr w:type="spellEnd"/>
            <w:r w:rsidRPr="006B79E8">
              <w:rPr>
                <w:color w:val="000000" w:themeColor="text1"/>
              </w:rPr>
              <w:t>) OR (tildrakizumab) OR (</w:t>
            </w:r>
            <w:proofErr w:type="spellStart"/>
            <w:r w:rsidRPr="006B79E8">
              <w:rPr>
                <w:color w:val="000000" w:themeColor="text1"/>
              </w:rPr>
              <w:t>Ilumetri</w:t>
            </w:r>
            <w:proofErr w:type="spellEnd"/>
            <w:r w:rsidRPr="006B79E8">
              <w:rPr>
                <w:color w:val="000000" w:themeColor="text1"/>
              </w:rPr>
              <w:t>) OR (</w:t>
            </w:r>
            <w:proofErr w:type="spellStart"/>
            <w:r w:rsidRPr="006B79E8">
              <w:rPr>
                <w:color w:val="000000" w:themeColor="text1"/>
              </w:rPr>
              <w:t>Ilumya</w:t>
            </w:r>
            <w:proofErr w:type="spellEnd"/>
            <w:r w:rsidRPr="006B79E8">
              <w:rPr>
                <w:color w:val="000000" w:themeColor="text1"/>
              </w:rPr>
              <w:t>) OR (“novel biologics”)) AND (value) AND ((psoriasis) OR (</w:t>
            </w:r>
            <w:proofErr w:type="spellStart"/>
            <w:r w:rsidRPr="006B79E8">
              <w:rPr>
                <w:color w:val="000000" w:themeColor="text1"/>
              </w:rPr>
              <w:t>PsA</w:t>
            </w:r>
            <w:proofErr w:type="spellEnd"/>
            <w:r w:rsidRPr="006B79E8">
              <w:rPr>
                <w:color w:val="000000" w:themeColor="text1"/>
              </w:rPr>
              <w:t>) OR (“psoriatic arthritis”) OR (IBD) OR (“inflammatory bowel disease”) OR (“Crohn’s disease”) OR (“ulcerative colitis”)) NOT (prostate)</w:t>
            </w:r>
          </w:p>
        </w:tc>
        <w:tc>
          <w:tcPr>
            <w:tcW w:w="676" w:type="pct"/>
          </w:tcPr>
          <w:p w14:paraId="6872F967" w14:textId="13ACE71D" w:rsidR="0066555B" w:rsidRPr="006B79E8" w:rsidRDefault="0066555B" w:rsidP="00B7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1</w:t>
            </w:r>
            <w:r w:rsidR="00243209">
              <w:rPr>
                <w:color w:val="000000" w:themeColor="text1"/>
              </w:rPr>
              <w:t>1</w:t>
            </w:r>
          </w:p>
        </w:tc>
      </w:tr>
      <w:tr w:rsidR="006B79E8" w:rsidRPr="006B79E8" w14:paraId="30F6161E" w14:textId="77777777" w:rsidTr="00D8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4034F2B" w14:textId="1830D450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lastRenderedPageBreak/>
              <w:t xml:space="preserve">Does any additional value to patients with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 xml:space="preserve">, and/or IBD offered by novel biologics affect their positioning in the treatment pathway relative to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TNFis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2658" w:type="pct"/>
          </w:tcPr>
          <w:p w14:paraId="1E00FB51" w14:textId="2678F2E9" w:rsidR="0066555B" w:rsidRPr="006B79E8" w:rsidRDefault="0066555B" w:rsidP="00665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((IL-17 inhibitor) OR (anti-IL-17) OR (</w:t>
            </w:r>
            <w:proofErr w:type="spellStart"/>
            <w:r w:rsidRPr="006B79E8">
              <w:rPr>
                <w:color w:val="000000" w:themeColor="text1"/>
              </w:rPr>
              <w:t>ixekizumab</w:t>
            </w:r>
            <w:proofErr w:type="spellEnd"/>
            <w:r w:rsidRPr="006B79E8">
              <w:rPr>
                <w:color w:val="000000" w:themeColor="text1"/>
              </w:rPr>
              <w:t>) OR (Taltz) OR (secukinumab) OR (Cosentyx) OR (</w:t>
            </w:r>
            <w:proofErr w:type="spellStart"/>
            <w:r w:rsidRPr="006B79E8">
              <w:rPr>
                <w:color w:val="000000" w:themeColor="text1"/>
              </w:rPr>
              <w:t>brodalumab</w:t>
            </w:r>
            <w:proofErr w:type="spellEnd"/>
            <w:r w:rsidRPr="006B79E8">
              <w:rPr>
                <w:color w:val="000000" w:themeColor="text1"/>
              </w:rPr>
              <w:t>) OR (</w:t>
            </w:r>
            <w:proofErr w:type="spellStart"/>
            <w:r w:rsidRPr="006B79E8">
              <w:rPr>
                <w:color w:val="000000" w:themeColor="text1"/>
              </w:rPr>
              <w:t>Kyntheum</w:t>
            </w:r>
            <w:proofErr w:type="spellEnd"/>
            <w:r w:rsidRPr="006B79E8">
              <w:rPr>
                <w:color w:val="000000" w:themeColor="text1"/>
              </w:rPr>
              <w:t>) OR (IL-12/23 inhibitor) OR (anti-IL-12/23) OR (ustekinumab) OR (Stelara) OR (IL-23 inhibitor) OR (anti-IL-23) OR (guselkumab) OR (Tremfya) OR (risankizumab) OR (</w:t>
            </w:r>
            <w:proofErr w:type="spellStart"/>
            <w:r w:rsidRPr="006B79E8">
              <w:rPr>
                <w:color w:val="000000" w:themeColor="text1"/>
              </w:rPr>
              <w:t>Skyrizi</w:t>
            </w:r>
            <w:proofErr w:type="spellEnd"/>
            <w:r w:rsidRPr="006B79E8">
              <w:rPr>
                <w:color w:val="000000" w:themeColor="text1"/>
              </w:rPr>
              <w:t>) OR (tildrakizumab) OR (</w:t>
            </w:r>
            <w:proofErr w:type="spellStart"/>
            <w:r w:rsidRPr="006B79E8">
              <w:rPr>
                <w:color w:val="000000" w:themeColor="text1"/>
              </w:rPr>
              <w:t>Ilumetri</w:t>
            </w:r>
            <w:proofErr w:type="spellEnd"/>
            <w:r w:rsidRPr="006B79E8">
              <w:rPr>
                <w:color w:val="000000" w:themeColor="text1"/>
              </w:rPr>
              <w:t>) OR (“novel biologics”)) AND ((value) OR (additional benefits)) AND (position) AND ((psoriasis) OR (</w:t>
            </w:r>
            <w:proofErr w:type="spellStart"/>
            <w:r w:rsidRPr="006B79E8">
              <w:rPr>
                <w:color w:val="000000" w:themeColor="text1"/>
              </w:rPr>
              <w:t>PsA</w:t>
            </w:r>
            <w:proofErr w:type="spellEnd"/>
            <w:r w:rsidRPr="006B79E8">
              <w:rPr>
                <w:color w:val="000000" w:themeColor="text1"/>
              </w:rPr>
              <w:t>) OR (“psoriatic arthritis”) OR (IBD) OR (“inflammatory bowel disease”) OR (“Crohn’s disease”) OR (“ulcerative colitis”)) NOT (prostate)</w:t>
            </w:r>
          </w:p>
        </w:tc>
        <w:tc>
          <w:tcPr>
            <w:tcW w:w="676" w:type="pct"/>
          </w:tcPr>
          <w:p w14:paraId="26B60BF9" w14:textId="090B9EAD" w:rsidR="0066555B" w:rsidRPr="006B79E8" w:rsidRDefault="0066555B" w:rsidP="00B7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0</w:t>
            </w:r>
          </w:p>
        </w:tc>
      </w:tr>
      <w:tr w:rsidR="006B79E8" w:rsidRPr="006B79E8" w14:paraId="7962ACE8" w14:textId="77777777" w:rsidTr="00D8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518F459" w14:textId="0E0D33EE" w:rsidR="0066555B" w:rsidRPr="006B79E8" w:rsidRDefault="0066555B" w:rsidP="0075376A">
            <w:pPr>
              <w:pStyle w:val="ListParagraph"/>
              <w:numPr>
                <w:ilvl w:val="0"/>
                <w:numId w:val="5"/>
              </w:numPr>
              <w:spacing w:before="120"/>
              <w:ind w:left="403" w:hanging="403"/>
              <w:rPr>
                <w:i/>
                <w:iCs/>
                <w:color w:val="000000" w:themeColor="text1"/>
              </w:rPr>
            </w:pPr>
            <w:r w:rsidRPr="006B79E8">
              <w:rPr>
                <w:i/>
                <w:iCs/>
                <w:color w:val="000000" w:themeColor="text1"/>
              </w:rPr>
              <w:t>Current practices in the biologic era</w:t>
            </w:r>
          </w:p>
        </w:tc>
      </w:tr>
      <w:tr w:rsidR="006B79E8" w:rsidRPr="006B79E8" w14:paraId="18732D9C" w14:textId="77777777" w:rsidTr="00D8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7FF927B" w14:textId="79C41C4D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 xml:space="preserve">Which patient factors should impact choice of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TNFi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 xml:space="preserve"> vs. novel biologic prescription for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, or IBD (e.g. disease severity, location, duration, prior drug exposure, comorbidities, previous AEs or family history thereof, patient preferences and beliefs)?</w:t>
            </w:r>
          </w:p>
        </w:tc>
        <w:tc>
          <w:tcPr>
            <w:tcW w:w="2658" w:type="pct"/>
          </w:tcPr>
          <w:p w14:paraId="22A35F30" w14:textId="033F10A1" w:rsidR="0066555B" w:rsidRPr="006B79E8" w:rsidRDefault="0066555B" w:rsidP="00665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((</w:t>
            </w:r>
            <w:proofErr w:type="spellStart"/>
            <w:r w:rsidRPr="006B79E8">
              <w:rPr>
                <w:color w:val="000000" w:themeColor="text1"/>
              </w:rPr>
              <w:t>TNFi</w:t>
            </w:r>
            <w:proofErr w:type="spellEnd"/>
            <w:r w:rsidRPr="006B79E8">
              <w:rPr>
                <w:color w:val="000000" w:themeColor="text1"/>
              </w:rPr>
              <w:t>) OR (TNF inhibitor) OR (anti-TNF)) AND (patient) AND ((suitability) OR (suitable) OR (appropriate)) AND ((psoriasis) OR (</w:t>
            </w:r>
            <w:proofErr w:type="spellStart"/>
            <w:r w:rsidRPr="006B79E8">
              <w:rPr>
                <w:color w:val="000000" w:themeColor="text1"/>
              </w:rPr>
              <w:t>PsA</w:t>
            </w:r>
            <w:proofErr w:type="spellEnd"/>
            <w:r w:rsidRPr="006B79E8">
              <w:rPr>
                <w:color w:val="000000" w:themeColor="text1"/>
              </w:rPr>
              <w:t>) OR (“psoriatic arthritis”) OR (IBD) OR (“inflammatory bowel disease”) OR (“Crohn’s disease”) OR (“ulcerative colitis”)) NOT (prostate)</w:t>
            </w:r>
          </w:p>
        </w:tc>
        <w:tc>
          <w:tcPr>
            <w:tcW w:w="676" w:type="pct"/>
          </w:tcPr>
          <w:p w14:paraId="70877A7E" w14:textId="6CA8E4DC" w:rsidR="0066555B" w:rsidRPr="006B79E8" w:rsidRDefault="0066555B" w:rsidP="00B7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2</w:t>
            </w:r>
            <w:r w:rsidR="00243209">
              <w:rPr>
                <w:color w:val="000000" w:themeColor="text1"/>
              </w:rPr>
              <w:t>3</w:t>
            </w:r>
          </w:p>
        </w:tc>
      </w:tr>
      <w:tr w:rsidR="006B79E8" w:rsidRPr="006B79E8" w14:paraId="15458C6B" w14:textId="77777777" w:rsidTr="00D8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9D65CF0" w14:textId="47DBC035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 xml:space="preserve">Has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TNFi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 xml:space="preserve"> biosimilar availability changed prescribing patterns in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, and IBD? If so, how? What effect has this had on patient outcomes?</w:t>
            </w:r>
          </w:p>
        </w:tc>
        <w:tc>
          <w:tcPr>
            <w:tcW w:w="2658" w:type="pct"/>
          </w:tcPr>
          <w:p w14:paraId="7FB8245F" w14:textId="2A0BAA74" w:rsidR="0066555B" w:rsidRPr="006B79E8" w:rsidRDefault="0066555B" w:rsidP="0066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(biosimilars) AND (("patient outcomes") OR ("prescribing patterns") OR ("prescribing habits")) AND ((psoriasis) OR (</w:t>
            </w:r>
            <w:proofErr w:type="spellStart"/>
            <w:r w:rsidRPr="006B79E8">
              <w:rPr>
                <w:color w:val="000000" w:themeColor="text1"/>
              </w:rPr>
              <w:t>PsA</w:t>
            </w:r>
            <w:proofErr w:type="spellEnd"/>
            <w:r w:rsidRPr="006B79E8">
              <w:rPr>
                <w:color w:val="000000" w:themeColor="text1"/>
              </w:rPr>
              <w:t>) OR (“psoriatic arthritis”) OR (IBD) OR (“inflammatory bowel disease”) OR (“Crohn’s disease”) OR (“ulcerative colitis”)) NOT (prostate)</w:t>
            </w:r>
          </w:p>
        </w:tc>
        <w:tc>
          <w:tcPr>
            <w:tcW w:w="676" w:type="pct"/>
          </w:tcPr>
          <w:p w14:paraId="565851C3" w14:textId="687E50A6" w:rsidR="0066555B" w:rsidRPr="006B79E8" w:rsidRDefault="00243209" w:rsidP="00B7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B79E8" w:rsidRPr="006B79E8" w14:paraId="3BF7D612" w14:textId="77777777" w:rsidTr="00D86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B853538" w14:textId="0FA5BD73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 xml:space="preserve">To what extent is there room for variation in interpretation of NICE guidelines for biologic prescription in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, and IBD, and how well does this align with the Biologic Commissioning Framework on biosimilar prescription?</w:t>
            </w:r>
          </w:p>
        </w:tc>
        <w:tc>
          <w:tcPr>
            <w:tcW w:w="2658" w:type="pct"/>
          </w:tcPr>
          <w:p w14:paraId="60575CB7" w14:textId="3EC79E89" w:rsidR="0066555B" w:rsidRPr="006B79E8" w:rsidRDefault="0066555B" w:rsidP="00665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N/A</w:t>
            </w:r>
          </w:p>
        </w:tc>
        <w:tc>
          <w:tcPr>
            <w:tcW w:w="676" w:type="pct"/>
          </w:tcPr>
          <w:p w14:paraId="128CBB3D" w14:textId="10883D9F" w:rsidR="0066555B" w:rsidRPr="006B79E8" w:rsidRDefault="00243209" w:rsidP="00B7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</w:tr>
      <w:tr w:rsidR="006B79E8" w:rsidRPr="006B79E8" w14:paraId="37CFEC59" w14:textId="77777777" w:rsidTr="0075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128BC2D" w14:textId="7592BE7B" w:rsidR="0066555B" w:rsidRPr="006B79E8" w:rsidRDefault="0066555B" w:rsidP="0066555B">
            <w:pPr>
              <w:pStyle w:val="ListParagraph"/>
              <w:numPr>
                <w:ilvl w:val="1"/>
                <w:numId w:val="5"/>
              </w:numPr>
              <w:rPr>
                <w:b w:val="0"/>
                <w:bCs w:val="0"/>
                <w:color w:val="000000" w:themeColor="text1"/>
              </w:rPr>
            </w:pPr>
            <w:r w:rsidRPr="006B79E8">
              <w:rPr>
                <w:b w:val="0"/>
                <w:bCs w:val="0"/>
                <w:color w:val="000000" w:themeColor="text1"/>
              </w:rPr>
              <w:t xml:space="preserve">At what point in the treatment of psoriasis, </w:t>
            </w:r>
            <w:proofErr w:type="spellStart"/>
            <w:r w:rsidRPr="006B79E8">
              <w:rPr>
                <w:b w:val="0"/>
                <w:bCs w:val="0"/>
                <w:color w:val="000000" w:themeColor="text1"/>
              </w:rPr>
              <w:t>PsA</w:t>
            </w:r>
            <w:proofErr w:type="spellEnd"/>
            <w:r w:rsidRPr="006B79E8">
              <w:rPr>
                <w:b w:val="0"/>
                <w:bCs w:val="0"/>
                <w:color w:val="000000" w:themeColor="text1"/>
              </w:rPr>
              <w:t>, and IBD should a clinician consider a switch from one biologic class to another, and which factors should go into making this decision? (e.g. time on therapy, clinical response, anti-drug antibodies, adverse events, unit cost, potential costs to the healthcare system, patient satisfaction, comorbidity development)</w:t>
            </w:r>
          </w:p>
        </w:tc>
        <w:tc>
          <w:tcPr>
            <w:tcW w:w="2658" w:type="pct"/>
          </w:tcPr>
          <w:p w14:paraId="72C7EDED" w14:textId="7622A7D1" w:rsidR="0066555B" w:rsidRPr="006B79E8" w:rsidRDefault="0066555B" w:rsidP="00665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79E8">
              <w:rPr>
                <w:color w:val="000000" w:themeColor="text1"/>
              </w:rPr>
              <w:t>((</w:t>
            </w:r>
            <w:proofErr w:type="spellStart"/>
            <w:r w:rsidRPr="006B79E8">
              <w:rPr>
                <w:color w:val="000000" w:themeColor="text1"/>
              </w:rPr>
              <w:t>TNFi</w:t>
            </w:r>
            <w:proofErr w:type="spellEnd"/>
            <w:r w:rsidRPr="006B79E8">
              <w:rPr>
                <w:color w:val="000000" w:themeColor="text1"/>
              </w:rPr>
              <w:t>) OR (TNF inhibitor) OR (anti-TNF) OR (biosimilar) OR (biologic)) AND (switch) AND (class) AND ((psoriasis) OR (</w:t>
            </w:r>
            <w:proofErr w:type="spellStart"/>
            <w:r w:rsidRPr="006B79E8">
              <w:rPr>
                <w:color w:val="000000" w:themeColor="text1"/>
              </w:rPr>
              <w:t>PsA</w:t>
            </w:r>
            <w:proofErr w:type="spellEnd"/>
            <w:r w:rsidRPr="006B79E8">
              <w:rPr>
                <w:color w:val="000000" w:themeColor="text1"/>
              </w:rPr>
              <w:t>) OR (“psoriatic arthritis”) OR (IBD) OR (“inflammatory bowel disease”) OR (“Crohn’s disease”) OR (“ulcerative colitis”)) NOT (prostate)</w:t>
            </w:r>
          </w:p>
        </w:tc>
        <w:tc>
          <w:tcPr>
            <w:tcW w:w="676" w:type="pct"/>
          </w:tcPr>
          <w:p w14:paraId="7AFF864B" w14:textId="775A3AD6" w:rsidR="0066555B" w:rsidRPr="006B79E8" w:rsidRDefault="00243209" w:rsidP="00B7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14:paraId="5C641695" w14:textId="5AB3F080" w:rsidR="002C20B5" w:rsidRPr="006B79E8" w:rsidRDefault="002C20B5" w:rsidP="002C20B5">
      <w:pPr>
        <w:rPr>
          <w:color w:val="000000" w:themeColor="text1"/>
        </w:rPr>
      </w:pPr>
    </w:p>
    <w:p w14:paraId="00A24D83" w14:textId="77777777" w:rsidR="0066555B" w:rsidRPr="006B79E8" w:rsidRDefault="0066555B" w:rsidP="002C20B5">
      <w:pPr>
        <w:rPr>
          <w:color w:val="000000" w:themeColor="text1"/>
        </w:rPr>
        <w:sectPr w:rsidR="0066555B" w:rsidRPr="006B79E8" w:rsidSect="0075376A">
          <w:pgSz w:w="16840" w:h="11900" w:orient="landscape"/>
          <w:pgMar w:top="1440" w:right="1158" w:bottom="1082" w:left="1223" w:header="708" w:footer="708" w:gutter="0"/>
          <w:cols w:space="708"/>
          <w:docGrid w:linePitch="360"/>
        </w:sectPr>
      </w:pPr>
    </w:p>
    <w:p w14:paraId="31A2E90F" w14:textId="6C6E40C8" w:rsidR="002C20B5" w:rsidRPr="006B79E8" w:rsidRDefault="002C20B5" w:rsidP="002C20B5">
      <w:pPr>
        <w:pStyle w:val="Heading1"/>
      </w:pPr>
      <w:r w:rsidRPr="006B79E8">
        <w:lastRenderedPageBreak/>
        <w:t xml:space="preserve">List </w:t>
      </w:r>
      <w:r w:rsidR="00ED636A" w:rsidRPr="006B79E8">
        <w:t>of Publications Retrieved</w:t>
      </w:r>
    </w:p>
    <w:p w14:paraId="5CB81C9C" w14:textId="7F87AB73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Akai, M. (2002). Evidence-based medicine for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orthopedic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practice.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Orthopaedic Science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7, pp. 731–742. </w:t>
      </w:r>
    </w:p>
    <w:p w14:paraId="1E2E7280" w14:textId="20ED78D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Al Omari, M.,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(2009). Evidence-based medicine among hospital doctors in Jordan: Awareness, attitude and practice.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Evaluation in Clinical Practice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(6), 1137–1141.</w:t>
      </w:r>
    </w:p>
    <w:p w14:paraId="76EB6C91" w14:textId="53926F3A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Allocca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Biologic Therapies in Ulcerative Colitis: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Primi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Inter Pares?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Curr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Drug Targets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19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(7), 748–756.</w:t>
      </w:r>
    </w:p>
    <w:p w14:paraId="40B0EF3C" w14:textId="2E42F2A3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Almario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CV,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Optimizing Selection of Biologics in Inflammatory Bowel Disease: Development of an Online Patient Decision Aid Using Conjoint Analysis.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Am J Gastroenterol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113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(1), 58–71.</w:t>
      </w:r>
    </w:p>
    <w:p w14:paraId="5ED6B4AD" w14:textId="4DAB544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Amin, M.,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Choosing First-Line Biologic Treatment for Moderate-to-Severe Psoriasis: What Does the Evidence Say?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American Journal of Clinical Dermatology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19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(1).</w:t>
      </w:r>
    </w:p>
    <w:p w14:paraId="6DDE2F8E" w14:textId="0306965A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Atteno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M.,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(2014). The use of TNF-α blockers in psoriatic arthritis patients with latent tuberculosis infection.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Clinical Rheumatology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(4), 543–547.</w:t>
      </w:r>
    </w:p>
    <w:p w14:paraId="7FD34B33" w14:textId="7E83B57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Ayala, F.,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(2015). Efficacy, tolerability and safety of switching from etanercept to infliximab for the treatment of moderate-to-severe psoriasis: A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multicenter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open-label trial (TANGO).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The Journal of Dermatological Treatment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(4), 304–311.</w:t>
      </w:r>
    </w:p>
    <w:p w14:paraId="67F8E407" w14:textId="7E503AD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Beigel, F.,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(2009). Severe Legionella pneumophila pneumonia following infliximab therapy in a patient with Crohn’s disease.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Inflammatory Bowel Diseases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(8), 1240–1244.</w:t>
      </w:r>
    </w:p>
    <w:p w14:paraId="5250CE2A" w14:textId="33B3F213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Berger, T.,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Management of multiple sclerosis patients in central European countries: current needs and potential solutions.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Therapeutic Advances in Neurological Disorders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</w:t>
      </w:r>
      <w:r w:rsidR="00E87E38" w:rsidRPr="006B79E8">
        <w:rPr>
          <w:rFonts w:ascii="Arial" w:hAnsi="Arial" w:cs="Arial"/>
          <w:color w:val="000000" w:themeColor="text1"/>
          <w:sz w:val="20"/>
          <w:szCs w:val="20"/>
        </w:rPr>
        <w:t xml:space="preserve"> 1–12.</w:t>
      </w:r>
    </w:p>
    <w:p w14:paraId="0101F123" w14:textId="2FA195D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Bogod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D. G. (2009). Off-licence use of medicines is bad medicine flying the flag of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International Journal of Obstetric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Anesthesia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(3), 250–252.</w:t>
      </w:r>
    </w:p>
    <w:p w14:paraId="428C70F4" w14:textId="64FF049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Boyd, G. (2014). Clinical judgement and the emotions.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Internal Medicine Journal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44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(7), 704–706. </w:t>
      </w:r>
    </w:p>
    <w:p w14:paraId="20D6250C" w14:textId="266015B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Burls, A. (2010). On the resuscitation of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BMC Health Services Research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2580B95" w14:textId="7777777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Chang, J., &amp; Girgis, L. (2007). Clinical use of anti-TNF-α biological agents: A guide for GPs.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Australian Family Physician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(12), 1035–1038.</w:t>
      </w:r>
    </w:p>
    <w:p w14:paraId="16C1453F" w14:textId="51D4218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Chapman, M.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(2018). The Role of Biosimilars in Patient Access to Therapeutic Antibodies for Immune Mediated Inflammatory Diseases.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Current Pharmaceutical Design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(44), 6779–6783.</w:t>
      </w:r>
    </w:p>
    <w:p w14:paraId="0F8A4DDE" w14:textId="2188F33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Cline,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Current status and future prospects for biologic treatments of psoriasis.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Expert Review of Clinical Immunology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12, pp. 1273–1287. </w:t>
      </w:r>
    </w:p>
    <w:p w14:paraId="47D9F82B" w14:textId="6AA5002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Coates, L. C.,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(2012)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The 2012 BSR and BHPR guideline for the treatment of psoriatic arthritis with biologics. </w:t>
      </w:r>
      <w:r w:rsidR="00E87E38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Rheumatology, 52</w:t>
      </w:r>
      <w:r w:rsidR="00E87E38" w:rsidRPr="006B79E8">
        <w:rPr>
          <w:rFonts w:ascii="Arial" w:hAnsi="Arial" w:cs="Arial"/>
          <w:color w:val="000000" w:themeColor="text1"/>
          <w:sz w:val="20"/>
          <w:szCs w:val="20"/>
        </w:rPr>
        <w:t>(10), 1754–1757.</w:t>
      </w:r>
    </w:p>
    <w:p w14:paraId="10125E25" w14:textId="4DE70B93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Coates, L. C.,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New GRAPPA and EULAR recommendations for the management of psoriatic arthritis.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Rheumatology (United Kingdom)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56, pp. 1251–1253.</w:t>
      </w:r>
    </w:p>
    <w:p w14:paraId="2BB260B9" w14:textId="36514F7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Coates, L. C.,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Group for Research and Assessment of Psoriasis and Psoriatic Arthritis 2015 Treatment Recommendations for Psoriatic Arthritis.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Arthritis &amp; Rheumatology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87E38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68</w:t>
      </w:r>
      <w:r w:rsidR="00E87E38" w:rsidRPr="006B79E8">
        <w:rPr>
          <w:rFonts w:ascii="Arial" w:hAnsi="Arial" w:cs="Arial"/>
          <w:color w:val="000000" w:themeColor="text1"/>
          <w:sz w:val="20"/>
          <w:szCs w:val="20"/>
        </w:rPr>
        <w:t>(5), 1060–1071.</w:t>
      </w:r>
    </w:p>
    <w:p w14:paraId="75356448" w14:textId="7777777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Conroy, M., &amp; Shannon, W. (1995). Clinical guidelines: Their implementation in general practice.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Journal of General Practice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(396), 371–375.</w:t>
      </w:r>
    </w:p>
    <w:p w14:paraId="1C551E83" w14:textId="5A60E2E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Dávila-Seijo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P.,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(2016). Survival of classic and biological systemic drugs in psoriasis: results of the BIOBADADERM registry and critical analysis.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Journal of the European Academy of Dermatology and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Venereology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JEADV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(11), 1942–1950.</w:t>
      </w:r>
    </w:p>
    <w:p w14:paraId="088040EA" w14:textId="2EF2BBE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de Souza, S.,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Scintigraphy for detecting tumour necrosis factor-α on the skin of patients with psoriatic arthritis.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Scandinavian Journal of Rheumatology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(5), 377–380.</w:t>
      </w:r>
    </w:p>
    <w:p w14:paraId="3B4702C3" w14:textId="433833E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Decock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(2017). Sarcoidosis-Like Lesions: Another Paradoxical Reaction to Anti-TNF Therapy?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Crohn’s &amp; Colitis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(3), 378–383.</w:t>
      </w:r>
    </w:p>
    <w:p w14:paraId="2E41BDB2" w14:textId="57C8166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DeVoe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J.,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(2002). Does career dissatisfaction affect the ability of family physicians to deliver high-quality patient care?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Family Practice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51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(3), 223–228.</w:t>
      </w:r>
    </w:p>
    <w:p w14:paraId="2B171AC0" w14:textId="64A5022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Dini, V.,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Psoriatic arthritis prevalence in the clinical practice of dermatologists in North-West Tuscany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centers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of excellence: a screening experience.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Giornale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Italiano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Dermatologia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 </w:t>
      </w:r>
      <w:proofErr w:type="spellStart"/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Venereologia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Organo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Ufficiale,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Societa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Italiana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Dermatologia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Sifilografia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152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(1), 24–27.</w:t>
      </w:r>
    </w:p>
    <w:p w14:paraId="3069FD5C" w14:textId="6716727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Dolinar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R.,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(2019, July 4). The non-medical switching of prescription medications.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Postgraduate Medicine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131, pp. 335–341.</w:t>
      </w:r>
    </w:p>
    <w:p w14:paraId="6D298271" w14:textId="5977C2F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Dreesen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E, V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(2018). Evidence to Support Monitoring of Vedolizumab Trough Concentrations in Patients </w:t>
      </w:r>
      <w:proofErr w:type="gramStart"/>
      <w:r w:rsidRPr="006B79E8">
        <w:rPr>
          <w:rFonts w:ascii="Arial" w:hAnsi="Arial" w:cs="Arial"/>
          <w:color w:val="000000" w:themeColor="text1"/>
          <w:sz w:val="20"/>
          <w:szCs w:val="20"/>
        </w:rPr>
        <w:t>With</w:t>
      </w:r>
      <w:proofErr w:type="gram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Inflammatory Bowel Diseases.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Clin Gastroenterol Hepatol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(12), 1937–1946.</w:t>
      </w:r>
    </w:p>
    <w:p w14:paraId="6C7E28F3" w14:textId="59F3798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Duffin, K. C.,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(2014). Patient satisfaction with treatments for moderate-to-severe plaque psoriasis in clinical practice.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The British Journal of Dermatology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170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(3), 672–680. </w:t>
      </w:r>
    </w:p>
    <w:p w14:paraId="3EF5F4E1" w14:textId="36AA6BE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Egeberg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Safety, efficacy and drug survival of biologics and biosimilars for moderate-to-severe plaque psoriasis.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Journal of Dermatology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178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(2), 509–519.</w:t>
      </w:r>
    </w:p>
    <w:p w14:paraId="7CC0264A" w14:textId="1D402FB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Esposito, M.,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(2012). Efficacy and safety of subcutaneous anti-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tumor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necrosis factor-alpha agents, etanercept and adalimumab, in elderly patients affected by psoriasis and psoriatic arthritis: an observational long-term study.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Dermatology (Basel, Switzerland)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225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(4), 312–319.</w:t>
      </w:r>
    </w:p>
    <w:p w14:paraId="7289DAD1" w14:textId="5900AC78" w:rsidR="00ED636A" w:rsidRPr="006B79E8" w:rsidRDefault="00E87E38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Freddi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G., 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Romàn-Pumar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>, J.L</w:t>
      </w:r>
      <w:r w:rsidR="00ED636A" w:rsidRPr="006B79E8">
        <w:rPr>
          <w:rFonts w:ascii="Arial" w:hAnsi="Arial" w:cs="Arial"/>
          <w:color w:val="000000" w:themeColor="text1"/>
          <w:sz w:val="20"/>
          <w:szCs w:val="20"/>
        </w:rPr>
        <w:t xml:space="preserve">. (2011). Evidence-based Medicine: What It Can and Cannot Do. </w:t>
      </w:r>
      <w:proofErr w:type="spellStart"/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Annali</w:t>
      </w:r>
      <w:proofErr w:type="spellEnd"/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Dell’Istituto</w:t>
      </w:r>
      <w:proofErr w:type="spellEnd"/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Superiore</w:t>
      </w:r>
      <w:proofErr w:type="spellEnd"/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 </w:t>
      </w:r>
      <w:proofErr w:type="spellStart"/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Sanita</w:t>
      </w:r>
      <w:proofErr w:type="spellEnd"/>
      <w:r w:rsidR="00ED636A"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D636A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47</w:t>
      </w:r>
      <w:r w:rsidR="00ED636A" w:rsidRPr="006B79E8">
        <w:rPr>
          <w:rFonts w:ascii="Arial" w:hAnsi="Arial" w:cs="Arial"/>
          <w:color w:val="000000" w:themeColor="text1"/>
          <w:sz w:val="20"/>
          <w:szCs w:val="20"/>
        </w:rPr>
        <w:t>(1)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22–25</w:t>
      </w:r>
      <w:r w:rsidR="00ED636A" w:rsidRPr="006B79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9C8088" w14:textId="5BD678D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Galván-Banqueri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>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(2013). Biological treatments for moderate-to-severe psoriasis: indirect comparison.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 Clin Pharm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Ther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(2), 121–130.</w:t>
      </w:r>
    </w:p>
    <w:p w14:paraId="67FBBDF1" w14:textId="0BA7199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Geynisman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D. M.,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Biosimilar biologic drugs: a new frontier in medical care.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Postgraduate Medicine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129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(4), 460–470.</w:t>
      </w:r>
    </w:p>
    <w:p w14:paraId="3FB2ACE7" w14:textId="09BC07A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Ginsburg, G. S., &amp; Phillips, K. A. (2018).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Health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Aff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(Millwood)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(5), 694–701.</w:t>
      </w:r>
    </w:p>
    <w:p w14:paraId="449FF867" w14:textId="5F149EC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>Girolomoni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G.,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The role of IL-23 and the IL-23/TH 17 immune axis in the pathogenesis and treatment of psoriasis.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Journal of the European Academy of Dermatology and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Venereology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JEADV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(10), 1616–1626. </w:t>
      </w:r>
    </w:p>
    <w:p w14:paraId="48096321" w14:textId="355A709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González-Lama, Y.,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Timing of thiopurine or anti-TNF initiation is associated with the risk of major abdominal surgery in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crohn’s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disease: A retrospective cohort study.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Crohn’s and Colitis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(1), 55–60. </w:t>
      </w:r>
    </w:p>
    <w:p w14:paraId="2B2CCF6B" w14:textId="1FA627D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Gooderham, M. J.,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Shifting the focus - the primary role of IL-23 in psoriasis and other inflammatory disorders.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Journal of the European Academy of Dermatology and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Venereology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JEADV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32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(7), 1111–1119. </w:t>
      </w:r>
    </w:p>
    <w:p w14:paraId="711DFAF5" w14:textId="2A24BEC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Gostin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L. O. (2007). Abortion politics: clinical freedom, trust in the judiciary, and the autonomy of women.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JAMA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298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(13), 1562–1564. </w:t>
      </w:r>
    </w:p>
    <w:p w14:paraId="263186F6" w14:textId="6BD779C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Hampton, J. R. (1983). The end of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BMJ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287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(6401), 1237–1238.</w:t>
      </w:r>
    </w:p>
    <w:p w14:paraId="55134BE1" w14:textId="7A860983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Hampton, J. R. (1997). Evidence-based medicine, practice variations and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Evaluation in Clinical Practice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3, pp. 123–131.</w:t>
      </w:r>
    </w:p>
    <w:p w14:paraId="6052DFA3" w14:textId="418D111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Hampton, J. R. (2011). The end of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Epidemiology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40, pp. 848–849.</w:t>
      </w:r>
    </w:p>
    <w:p w14:paraId="665A5571" w14:textId="05CF4475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Hampton, J. (2011). Commentary: The need for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Epidemiology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40, pp. 849–852. </w:t>
      </w:r>
    </w:p>
    <w:p w14:paraId="328CB91A" w14:textId="34988DB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Hampton, J. R. (2002). Evidence-Based Medicine, Opinion-Based Medicine, and Real-World Medicine.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Perspectives in Biology and Medicine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(4), 549–568.</w:t>
      </w:r>
    </w:p>
    <w:p w14:paraId="5BA5E73F" w14:textId="1E10537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Hanning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M., &amp;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Spångberg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U. W. (2000). Maximum waiting time - A threat to clinical freedom? Implementation of a policy to reduce waiting times.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Health Policy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52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(1), 15–32.</w:t>
      </w:r>
    </w:p>
    <w:p w14:paraId="06A53CB3" w14:textId="42374812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Hart, R. I.,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(2015). Young people’s decisions about biologic therapies: who influences them and how?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Rheumatology (Oxford, England)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54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(7), 1294–1301.</w:t>
      </w:r>
    </w:p>
    <w:p w14:paraId="0C164638" w14:textId="4169BDD2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Healy, D.,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(2013). Data based medicine and clinical judgement.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Risk and Safety in Medicine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25, pp. 111–121.</w:t>
      </w:r>
    </w:p>
    <w:p w14:paraId="4D9085BE" w14:textId="7BF4A90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Hendrix, N.,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Cost-effectiveness of targeted pharmacotherapy for moderate to severe plaque psoriasis.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Managed Care and Specialty Pharmacy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24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(12), 1210-1217C.</w:t>
      </w:r>
    </w:p>
    <w:p w14:paraId="3C67BB17" w14:textId="1333B82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Hoffman, M. B.,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Current challenges and emerging drug delivery strategies for the treatment of psoriasis.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Expert Opinion on Drug Delivery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(10), 1461–1473.</w:t>
      </w:r>
    </w:p>
    <w:p w14:paraId="72813EDD" w14:textId="55ED579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Hopper, L.,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(2011). A qualitative investigation of the views of primary care dentists on participating in prospective studies in the North-West of England.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Dental Journal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210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(11). </w:t>
      </w:r>
    </w:p>
    <w:p w14:paraId="6355987F" w14:textId="75176A9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Hutton, J. L.,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(2008). Ethical issues in implementation research: a discussion of the problems in achieving informed consent.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Implementation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Science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52.</w:t>
      </w:r>
    </w:p>
    <w:p w14:paraId="4CC6AD62" w14:textId="3453A08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Iannone, F.,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Drug survival and effectiveness of ustekinumab in patients with psoriatic arthritis. Real-life data from the biologic Apulian registry (BIOPURE).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Clinical Rheumatology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(3), 667–675. https://doi.org/10.1007/s10067-018-3989-2</w:t>
      </w:r>
    </w:p>
    <w:p w14:paraId="7CF6637C" w14:textId="0DAC650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Johnson, F. R.,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(2010). Are gastroenterologists less tolerant of treatment risks than patients? Benefit-risk preferences in Crohn’s disease management.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Journal of Managed Care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Pharmacy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JMCP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(8), 616–628.</w:t>
      </w:r>
    </w:p>
    <w:p w14:paraId="135398EA" w14:textId="797B76C2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Johnson, M. R.,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(2015). Physician Non-adherence to Colonoscopy Interval Guidelines in the Veterans Affairs Healthcare System.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Gastroenterology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149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(4), 938–951.</w:t>
      </w:r>
    </w:p>
    <w:p w14:paraId="091E0F12" w14:textId="47E74F0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Johnson, S. L.,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(2015). Biological and steroid use in relationship to quality measures in older patients with inflammatory bowel disease: a US Medicare cohort study.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BMJ Open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(9), e008597. </w:t>
      </w:r>
    </w:p>
    <w:p w14:paraId="6134D2A5" w14:textId="6D1BF6E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Joyce, C. R., &amp; Hammond, K. R. (1983). Improving clinical judgement.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Journal of Rheumatology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22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(3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Suppl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), 14–17. </w:t>
      </w:r>
    </w:p>
    <w:p w14:paraId="4281EB1E" w14:textId="64DCA28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Kannan, D., &amp; Levitt, H. M. (2017). Self-criticism in therapist training: A grounded theory analysis.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Psychotherapy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Research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Journal of the Society for Psychotherapy Research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(2), 201–214. </w:t>
      </w:r>
    </w:p>
    <w:p w14:paraId="0D25BC50" w14:textId="0628A70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Karthikeyan, G., &amp;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Pais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P. (2010). Clinical judgement &amp; evidence-based medicine: Time for reconciliation.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Indian Journal of Medical Research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132, pp. 623–626.</w:t>
      </w:r>
    </w:p>
    <w:p w14:paraId="7BB5F771" w14:textId="29E8BA0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Kee, F.,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(2000). Stewardship or clinical freedom? Variations in dialysis decision making.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Nephrology Dialysis Transplantation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(10), 1647–1657.</w:t>
      </w:r>
    </w:p>
    <w:p w14:paraId="0EE2949A" w14:textId="7930B4A1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Khan, N.,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(2012). Long-term oral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mesalazine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adherence and the risk of disease flare in ulcerative colitis: Nationwide 10-year retrospective cohort from the </w:t>
      </w:r>
      <w:proofErr w:type="gramStart"/>
      <w:r w:rsidRPr="006B79E8">
        <w:rPr>
          <w:rFonts w:ascii="Arial" w:hAnsi="Arial" w:cs="Arial"/>
          <w:color w:val="000000" w:themeColor="text1"/>
          <w:sz w:val="20"/>
          <w:szCs w:val="20"/>
        </w:rPr>
        <w:t>veterans</w:t>
      </w:r>
      <w:proofErr w:type="gram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affairs healthcare system.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Alimentary Pharmacology and Therapeutics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(8), 755–764.</w:t>
      </w:r>
    </w:p>
    <w:p w14:paraId="256B96D0" w14:textId="01FC6CB2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Kienle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G. S., &amp;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Kiene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H. (2011). Clinical judgement and the medical profession.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Evaluation in Clinical Practice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(4), 621–627. </w:t>
      </w:r>
    </w:p>
    <w:p w14:paraId="2B856C40" w14:textId="6437589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Kravitz, R. L.,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(2008). N-of-1 trials of expensive biological therapies: A third way?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Archives of Internal Medicine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168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(10), 1030–1033.</w:t>
      </w:r>
    </w:p>
    <w:p w14:paraId="3896A00D" w14:textId="75133D7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Kulier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R.,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(2008). Five steps from evidence to effect: exercising clinical freedom to implement research findings.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BJOG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 International Journal of Obstetrics and Gynaecology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115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(10), 1197–1202. </w:t>
      </w:r>
    </w:p>
    <w:p w14:paraId="0586F389" w14:textId="199FEE7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Lamb, C.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(2019). British Society of Gastroenterology consensus guidelines on the management of inflammatory bowel disease in adults.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Gut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68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s1–s106. </w:t>
      </w:r>
    </w:p>
    <w:p w14:paraId="253975F6" w14:textId="5A7F0E7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Li, J.,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Profiles of Lamina Propria T Helper Cell Subsets Discriminate between Ulcerative Colitis and Crohn’s Disease.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Inflammatory Bowel Diseases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22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(8), 1779–1792.</w:t>
      </w:r>
    </w:p>
    <w:p w14:paraId="286F11C5" w14:textId="7A84EEA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Long, J.,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(2013). What do clinical optometrists like about their job?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Clinical and Experimental Optometry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96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(5), 460–466. </w:t>
      </w:r>
    </w:p>
    <w:p w14:paraId="48097D45" w14:textId="3231BFD6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Lubrano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E,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(2011). The effectiveness of a biologic agent on axial manifestations of psoriatic arthritis. A twelve months observational study in a group of patients treated with etanercept.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Clin Exp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Rheumatol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29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(1), 80–84.</w:t>
      </w:r>
    </w:p>
    <w:p w14:paraId="2F179D94" w14:textId="2B68EF25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Lysaght, T.,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(2013). Oversight for clinical uses of autologous adult stem cells: Lessons from international regulations.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Cell Stem Cell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13, pp. 647–651. </w:t>
      </w:r>
    </w:p>
    <w:p w14:paraId="3805049E" w14:textId="068C95E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>M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>ac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K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>innon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R. J. (2007). Evidence based medicine methods (part 1): the basics.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Pediatric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Anesthesia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(10), 918–923.</w:t>
      </w:r>
    </w:p>
    <w:p w14:paraId="338EF0AC" w14:textId="7DDF327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>Macnaughton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R. J. (1998). Evidence and clinical judgement.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Evaluation in Clinical Practice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(2), 89–92. </w:t>
      </w:r>
    </w:p>
    <w:p w14:paraId="17E6C3F4" w14:textId="77777777" w:rsidR="00E87E38" w:rsidRPr="006B79E8" w:rsidRDefault="00E87E38" w:rsidP="00E87E38">
      <w:pPr>
        <w:pStyle w:val="NormalWeb"/>
        <w:ind w:left="480" w:hanging="48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Masarwa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R, et al. (2018). Prenatal Exposure to Acetaminophen and Risk for Attention Deficit Hyperactivity Disorder and Autistic Spectrum Disorder: A Systematic Review, Meta-Analysis, and Meta-Regression Analysis of Cohort Studies.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American Journal of Epidemiology, 187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(8), 1817–1827.</w:t>
      </w:r>
    </w:p>
    <w:p w14:paraId="0DB3D712" w14:textId="3E0D9DB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Maynard, A. (2011). Commentary: Clinical freedom is </w:t>
      </w:r>
      <w:proofErr w:type="gramStart"/>
      <w:r w:rsidRPr="006B79E8">
        <w:rPr>
          <w:rFonts w:ascii="Arial" w:hAnsi="Arial" w:cs="Arial"/>
          <w:color w:val="000000" w:themeColor="text1"/>
          <w:sz w:val="20"/>
          <w:szCs w:val="20"/>
        </w:rPr>
        <w:t>dead</w:t>
      </w:r>
      <w:proofErr w:type="gram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and no one need regret its passing.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Epidemiology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40, pp. 858–859.</w:t>
      </w:r>
    </w:p>
    <w:p w14:paraId="474E862F" w14:textId="700F098A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McCarthy, M. W.,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Off the Charts: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Medical documentation and selective redaction in the age of transparency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Perspectives in Biology and Medicine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61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(1), 118–129. </w:t>
      </w:r>
    </w:p>
    <w:p w14:paraId="2A7E9F34" w14:textId="702F029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Melmed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G. Y.,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(2010). The Appropriateness of Concomitant Immunomodulators With Anti–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Tumor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Necrosis Factor Agents for Crohn’s Disease: One Size Does Not Fit All.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Clinical Gastroenterology and Hepatology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(8), 655–659. </w:t>
      </w:r>
    </w:p>
    <w:p w14:paraId="56AE5778" w14:textId="7401C9C1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Mendenhall, N. P.,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(2014). Five-year outcomes from 3 prospective trials of image-guided proton therapy for prostate cancer.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Radiation Oncology, Biology, Physics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88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(3), 596–602. </w:t>
      </w:r>
    </w:p>
    <w:p w14:paraId="795E7EAA" w14:textId="1127569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Menter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Drug survival of biologic therapy in a large, disease-based registry of patients with psoriasis: results from the Psoriasis Longitudinal Assessment and Registry (PSOLAR).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Journal of the European Academy of Dermatology and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Venereology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JEADV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(7), 1148–1158.</w:t>
      </w:r>
    </w:p>
    <w:p w14:paraId="392E4B6D" w14:textId="643D1C3A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Miners, A. H.,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(2005). Comparing estimates of cost effectiveness submitted to the National Institute for Clinical Excellence (NICE) by different organisations: Retrospective study.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Medical Journal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330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(7482), 65–68.</w:t>
      </w:r>
    </w:p>
    <w:p w14:paraId="40105E41" w14:textId="5CCF1BAA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Miyagawa, I.,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Precision medicine using different biological DMARDs based on characteristic phenotypes of peripheral T helper cells in psoriatic arthritis.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Rheumatology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(July), 1–9.</w:t>
      </w:r>
    </w:p>
    <w:p w14:paraId="4EFCAC4B" w14:textId="7A34FD9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Monaghan, N. (1999). Human nature and clinical freedom, barriers to evidence-based practice?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Dental Journal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186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(5), 208–209.</w:t>
      </w:r>
    </w:p>
    <w:p w14:paraId="4E6A9A6D" w14:textId="3C8E7A7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Narayanan, S. (2016). Demonstrating the value of medicines: evolution of value equation and stakeholder perception of uncertainties.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Market Access &amp; Health Policy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(1), 31670.</w:t>
      </w:r>
    </w:p>
    <w:p w14:paraId="6AB337FD" w14:textId="2B01491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Nast,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(2018). S3 guideline for the treatment of psoriasis vulgaris, update – short version part 2 – special patient populations and treatment situations.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JDDG - Journal of the German Society of Dermatology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16, pp. 806–814.</w:t>
      </w:r>
    </w:p>
    <w:p w14:paraId="7877D06E" w14:textId="2244230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Nguyen, E.,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Impact of non-medical switching on clinical and economic outcomes, resource utilization and medication-taking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behavior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: A systematic literature review.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Current Medical Research and Opinion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32, pp. 1281–1290.</w:t>
      </w:r>
    </w:p>
    <w:p w14:paraId="3236A531" w14:textId="77777777" w:rsidR="00AB15C3" w:rsidRPr="006B79E8" w:rsidRDefault="00AB15C3" w:rsidP="00AB15C3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NHS England. (2017).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Commissioning framework for biological medicines (including biosimilar medicines)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Available at: </w:t>
      </w:r>
      <w:hyperlink r:id="rId9" w:history="1">
        <w:r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https://www.england.nhs.uk/wp-content/uploads/2017/09/biosimilar-medicines-commissioning-framework.pdf</w:t>
        </w:r>
      </w:hyperlink>
      <w:r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2783FEE7" w14:textId="644D9E1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(2008).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Adalimumab for the treatment of adults with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>Available at: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="00666479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www.nice.org.uk/guidance/ta146</w:t>
        </w:r>
      </w:hyperlink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0DD6AFF9" w14:textId="789542B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NICE. (2017).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Certolizumab pegol and secukinumab for treating active psoriatic arthritis after inadequate response to DMARDs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1" w:history="1">
        <w:r w:rsidR="00666479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www.nice.org.uk/guidance/ta445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58A9A850" w14:textId="5F53CA3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(2009).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Costing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statement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Ustekinumab for the treatment of adults with moderate to severe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103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(September 2009), 1–4.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www.nice.org.uk/guidance/ta180</w:t>
      </w:r>
    </w:p>
    <w:p w14:paraId="7FAADB14" w14:textId="16FEFDB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Crohn’s disease: management NICE guideline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2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www.nice.org.uk/guidance/ng129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58A38A92" w14:textId="709D9311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(2006).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Etanercept and efalizumab for the treatment of adults with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.</w:t>
      </w:r>
      <w:r w:rsidR="00AB15C3" w:rsidRPr="006B79E8">
        <w:rPr>
          <w:rFonts w:ascii="Arial" w:hAnsi="Arial" w:cs="Arial"/>
          <w:color w:val="000000" w:themeColor="text1"/>
          <w:sz w:val="20"/>
          <w:szCs w:val="20"/>
        </w:rPr>
        <w:t xml:space="preserve"> Available at: </w:t>
      </w:r>
      <w:hyperlink r:id="rId13" w:history="1">
        <w:r w:rsidR="00AB15C3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https://www.nice.org.uk/guidance/TA103</w:t>
        </w:r>
      </w:hyperlink>
      <w:r w:rsidR="00AB15C3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1507EA12" w14:textId="25CFC85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(2011).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Golimumab for the treatment of psoriatic arthritis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4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www.nice.org.uk/guidance/ta220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6BAB5EA5" w14:textId="2E9086A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(2018).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Guselkumab for treating moderate to severe plaque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5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www.nice.org.uk/guidance/ta521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285AE34B" w14:textId="555D1F73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(2008).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Infliximab for the treatment of adults with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6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www.nice.org.uk/guidance/ta134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41CE77C2" w14:textId="259E539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(2018).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Ixekizumab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for treating active psoriatic arthritis after inadequate response to DMARDs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7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www.nice.org.uk/guidance/ta537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28D51A34" w14:textId="325303C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(2012).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Psoriasis: assessment and management Clinical guideline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8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www.nice.org.uk/guidance/cg153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125B16BC" w14:textId="63C3894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(2015).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Secukinumab for treating moderate to severe plaque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19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www.nice.org.uk/guidance/ta350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4B83D59B" w14:textId="3806503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(n.d.). Systemic biological therapy for psoriasis - NICE Pathways.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20" w:anchor="path=view%3A/pathways/psoriasis/systemic-biological-therapy-for-psoriasis.xml&amp;content=view-index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https://pathways.nice.org.uk/pathways/psoriasis#path=view%3A/pathways/psoriasis/systemic-biological-therapy-for-psoriasis.xml&amp;content=view-index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1BA674B3" w14:textId="1F96EFF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Tildrakizumab for treating moderate to severe plaque psoriasis Technology appraisal guidance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21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www.nice.org.uk/guidance/ta575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5BD7C540" w14:textId="5B3560B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Ulcerative colitis: management NICE guideline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22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www.nice.org.uk/guidance/ng130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7FB71A5D" w14:textId="0C689781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(2015).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Ustekinumab for treating active psoriatic arthritis</w:t>
      </w:r>
      <w:r w:rsidR="006B79E8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Available at: </w:t>
      </w:r>
      <w:hyperlink r:id="rId23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https://www.nice.org.uk/guidance/ta340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</w:t>
      </w:r>
      <w:r w:rsidR="006B79E8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Last accessed 06 August 2020.</w:t>
      </w:r>
    </w:p>
    <w:p w14:paraId="2E7B5421" w14:textId="097657C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Risankizumab for treating moderate to severe plaque psoriasis.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24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https://www.nice.org.uk/guidance/ta596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4C5730A8" w14:textId="4D20963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Ustekinumab for moderately to severely active Crohn’s disease after previous treatment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25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https://www.nice.org.uk/guidance/ta456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47F27F7D" w14:textId="36898B61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Etanercept, infliximab and adalimumab for the treatment of psoriatic arthritis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>Available at: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6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https://www.nice.org.uk/guidance/ta199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3D11ABD0" w14:textId="4FBD7AA6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Vedolizumab for treating moderately to severely active ulcerative colitis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27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https://www.nice.org.uk/guidance/ta342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69F91663" w14:textId="1E29AEE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NICE. (2018).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Infliximab, adalimumab and golimumab for treating moderately to severely active ulcerative colitis after the failure of conventional therapy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28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https://www.nice.org.uk/guidance/ta329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13DCCD47" w14:textId="26E9DC0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Vedolizumab for treating moderately to severely active Crohn’s disease after prior therapy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29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https://www.nice.org.uk/guidance/ta352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18BBD332" w14:textId="5E129F7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(2018).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Brodalumab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for treating moderate to severe plaque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30" w:history="1">
        <w:r w:rsidR="00FE7172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www.nice.org.uk/guidance/ta511</w:t>
        </w:r>
      </w:hyperlink>
      <w:r w:rsidR="00FE7172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78A1D3B1" w14:textId="39C09DD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NICE. (2019).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Ixekizumab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for treating moderate to severe plaque psoriasis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66479" w:rsidRPr="006B79E8">
        <w:rPr>
          <w:rFonts w:ascii="Arial" w:hAnsi="Arial" w:cs="Arial"/>
          <w:color w:val="000000" w:themeColor="text1"/>
          <w:sz w:val="20"/>
          <w:szCs w:val="20"/>
        </w:rPr>
        <w:t xml:space="preserve">Available at: </w:t>
      </w:r>
      <w:hyperlink r:id="rId31" w:history="1">
        <w:r w:rsidR="006B79E8" w:rsidRPr="006B79E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https://www.nice.org.uk/guidance/ta442</w:t>
        </w:r>
      </w:hyperlink>
      <w:r w:rsidR="006B79E8" w:rsidRPr="006B79E8">
        <w:rPr>
          <w:rFonts w:ascii="Arial" w:hAnsi="Arial" w:cs="Arial"/>
          <w:color w:val="000000" w:themeColor="text1"/>
          <w:sz w:val="20"/>
          <w:szCs w:val="20"/>
        </w:rPr>
        <w:t>. Last accessed 06 August 2020.</w:t>
      </w:r>
    </w:p>
    <w:p w14:paraId="734325C8" w14:textId="13050516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Oskouei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S. T. (2017). Following the Biosimilar Breadcrumbs: When Health Systems and Manufacturers Approach Forks in the Road.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Managed Care &amp; Specialty Pharmacy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(12), 1245–1248. </w:t>
      </w:r>
    </w:p>
    <w:p w14:paraId="0815E980" w14:textId="1EC4745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Parker, M. (2005). False dichotomies: EBM, clinical freedom, and the art of medicine.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Medical Humanities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(1), 23–30.</w:t>
      </w:r>
    </w:p>
    <w:p w14:paraId="4BAB822E" w14:textId="320B863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Parker, M. (2011). Commentary: The clinical freedom worth </w:t>
      </w:r>
      <w:proofErr w:type="gramStart"/>
      <w:r w:rsidRPr="006B79E8">
        <w:rPr>
          <w:rFonts w:ascii="Arial" w:hAnsi="Arial" w:cs="Arial"/>
          <w:color w:val="000000" w:themeColor="text1"/>
          <w:sz w:val="20"/>
          <w:szCs w:val="20"/>
        </w:rPr>
        <w:t>Having-commentary</w:t>
      </w:r>
      <w:proofErr w:type="gram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on Hampton (1983).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Epidemiology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40, pp. 853–855.</w:t>
      </w:r>
    </w:p>
    <w:p w14:paraId="0DADFEC6" w14:textId="6072535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Peters, R.,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(20</w:t>
      </w:r>
      <w:r w:rsidR="005064E4" w:rsidRPr="006B79E8">
        <w:rPr>
          <w:rFonts w:ascii="Arial" w:hAnsi="Arial" w:cs="Arial"/>
          <w:color w:val="000000" w:themeColor="text1"/>
          <w:sz w:val="20"/>
          <w:szCs w:val="20"/>
        </w:rPr>
        <w:t>20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). An investigation of antihypertensive class, dementia, and cognitive decline: A meta-analysis.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Neurology</w:t>
      </w:r>
      <w:r w:rsidR="005064E4"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064E4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94</w:t>
      </w:r>
      <w:r w:rsidR="005064E4" w:rsidRPr="006B79E8">
        <w:rPr>
          <w:rFonts w:ascii="Arial" w:hAnsi="Arial" w:cs="Arial"/>
          <w:color w:val="000000" w:themeColor="text1"/>
          <w:sz w:val="20"/>
          <w:szCs w:val="20"/>
        </w:rPr>
        <w:t>(3), e267–e281.</w:t>
      </w:r>
    </w:p>
    <w:p w14:paraId="6713A029" w14:textId="33C0B90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Piaserico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S,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Adalimumab is a safe option for psoriasis patients with concomitant hepatitis B or C infection: a multicentre cohort study of 37 patients and review of the literature.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 Eur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Acad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Dermatol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Venereol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(11), 1853–1859.</w:t>
      </w:r>
    </w:p>
    <w:p w14:paraId="76F42181" w14:textId="03875F92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Porter, M. E. (2010). What is value in health care?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New England Journal of Medicine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363, pp. 2477–2481. </w:t>
      </w:r>
    </w:p>
    <w:p w14:paraId="0EB63F30" w14:textId="58406D1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Prieto-Pérez, R.,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(2015). The polymorphism rs763780 in the IL-17F gene is associated with response to biological drugs in patients with psoriasis.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Pharmacogenomics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(15), 1723–1731.</w:t>
      </w:r>
    </w:p>
    <w:p w14:paraId="00A2C884" w14:textId="6ACECBF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Puig, L.,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(2015). Biosimilars in Dermatology: Current Situation (Part II).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Actas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Dermo-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Sifiliograficas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106, pp. 550–554. </w:t>
      </w:r>
    </w:p>
    <w:p w14:paraId="7FF32CA4" w14:textId="01D19C9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Puig, L.,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(2015).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Biosimilares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dermatología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Situación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actual (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parte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Actas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Dermo-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Sifiliográficas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106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(7), 545–549. </w:t>
      </w:r>
    </w:p>
    <w:p w14:paraId="2F0494BA" w14:textId="36FB453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Rawlins, M. D. (2011). Commentary: the death of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Epidemiology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(4), 859–861.</w:t>
      </w:r>
    </w:p>
    <w:p w14:paraId="5DCA8068" w14:textId="777D41C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Razanskaite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Biosimilar Infliximab in Inflammatory Bowel Disease: Outcomes of a Managed Switching Programme.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Crohn’s &amp; Colitis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(6), 690–696. </w:t>
      </w:r>
    </w:p>
    <w:p w14:paraId="3CACF1A5" w14:textId="4176D68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Rompas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S.,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(2015). Demonstrating Value for Biosimilars: A Conceptual Framework.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American Health &amp; Drug Benefits</w:t>
      </w:r>
      <w:r w:rsidR="005064E4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, 8</w:t>
      </w:r>
      <w:r w:rsidR="005064E4" w:rsidRPr="006B79E8">
        <w:rPr>
          <w:rFonts w:ascii="Arial" w:hAnsi="Arial" w:cs="Arial"/>
          <w:color w:val="000000" w:themeColor="text1"/>
          <w:sz w:val="20"/>
          <w:szCs w:val="20"/>
        </w:rPr>
        <w:t>(3),129–139.</w:t>
      </w:r>
    </w:p>
    <w:p w14:paraId="51BF14F1" w14:textId="4691D23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Sacristán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J. A., &amp;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Avendaño-Solá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C. (2015). On heterogeneity of treatment effects and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Clinical Practice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69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(1), 6–8. </w:t>
      </w:r>
    </w:p>
    <w:p w14:paraId="2A933EC3" w14:textId="4073681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>Sacristn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J. A.,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(2010). Health economics: The start of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BMC Health Services Research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10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DDB972E" w14:textId="1AAD74F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Saraceno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R,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(2013). High density cholesterol level as predictor of clinical response to anti-TNF-alpha therapy in psoriatic patients.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Biol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Regul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Homeost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Agents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(3), 903–908.</w:t>
      </w:r>
    </w:p>
    <w:p w14:paraId="1C439F79" w14:textId="2F157A5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Schimpf, K. (1994). Should clinical freedom be constrained in the name of self-sufficiency?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Blood Coagulation and Fibrinolysis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(S</w:t>
      </w:r>
      <w:r w:rsidR="00D5662D" w:rsidRPr="006B79E8">
        <w:rPr>
          <w:rFonts w:ascii="Arial" w:hAnsi="Arial" w:cs="Arial"/>
          <w:color w:val="000000" w:themeColor="text1"/>
          <w:sz w:val="20"/>
          <w:szCs w:val="20"/>
        </w:rPr>
        <w:t>uppl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. 4)</w:t>
      </w:r>
      <w:r w:rsidR="00D5662D" w:rsidRPr="006B79E8">
        <w:rPr>
          <w:rFonts w:ascii="Arial" w:hAnsi="Arial" w:cs="Arial"/>
          <w:color w:val="000000" w:themeColor="text1"/>
          <w:sz w:val="20"/>
          <w:szCs w:val="20"/>
        </w:rPr>
        <w:t>, S57–S50.</w:t>
      </w:r>
    </w:p>
    <w:p w14:paraId="69499DD3" w14:textId="0CFFA05F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Schmitt, H.,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(2019). Expansion of IL-23 receptor bearing TNFR2+ T cells is associated with molecular resistance to anti-TNF therapy in Crohn’s disease.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Gut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68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(5), 814–828. </w:t>
      </w:r>
    </w:p>
    <w:p w14:paraId="4838A2AF" w14:textId="1E59C8B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>Schnell-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Inderst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P.,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(2011). Individual health services.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GMS Health Technology Assessment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Doc05. </w:t>
      </w:r>
    </w:p>
    <w:p w14:paraId="3FC5F727" w14:textId="75755191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>Schulze-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Koops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H., &amp;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Skapenko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A. (2017). Biosimilars in rheumatology: A review of the evidence and their place in the treatment algorithm.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Rheumatology (Oxford, England)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56, pp. iv30–iv48. </w:t>
      </w:r>
    </w:p>
    <w:p w14:paraId="28A77C5E" w14:textId="4DEBB97C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Shah, V. V.,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(2018). Comparison of guidelines for the use of TNF inhibitors for psoriasis in the United States, Canada, Europe and the United Kingdom: a critical appraisal and comprehensive review.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Dermatological Treatment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Vol. 29, pp. 586–592. </w:t>
      </w:r>
    </w:p>
    <w:p w14:paraId="3C5AFCE3" w14:textId="5E4359D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Sipeki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N., </w:t>
      </w:r>
      <w:r w:rsidR="00B628E0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B628E0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(2015). Prevalence, significance and predictive value of antiphospholipid antibodies in Crohn’s disease.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World Journal of Gastroenterology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(22), 6952–6964. </w:t>
      </w:r>
    </w:p>
    <w:p w14:paraId="09A46909" w14:textId="3F9980C0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Siriwardena, A. N. (1995). Clinical guidelines in primary care: a survey of general practitioners’ attitudes and behaviour.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British Journal of General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Practice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The Journal of the Royal College of General Practitioners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(401), 643–647. </w:t>
      </w:r>
    </w:p>
    <w:p w14:paraId="035E2636" w14:textId="0DD411E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Smith, C. H., </w:t>
      </w:r>
      <w:r w:rsidR="0035155F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35155F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British Association of Dermatologists guidelines for biologic therapy for psoriasis 2017.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Journal of Dermatology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177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(3), 628–636. </w:t>
      </w:r>
    </w:p>
    <w:p w14:paraId="4DEC91F9" w14:textId="3C83053D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Sneyd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J. R. (2009). Off-label use of medicines is bad medicine flying the flag of clinical freedom.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International Journal of Obstetric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Anesthesia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(3), 249–250.</w:t>
      </w:r>
    </w:p>
    <w:p w14:paraId="07A8EBAE" w14:textId="7C04056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Sostegni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>, R.</w:t>
      </w:r>
      <w:r w:rsidR="0035155F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(2003). Crohn’s disease: monitoring disease activity.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Alimentary Pharmacology and Therapeutics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(s2), 11–17.</w:t>
      </w:r>
    </w:p>
    <w:p w14:paraId="76662D1A" w14:textId="18480087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Srivastava, S., </w:t>
      </w:r>
      <w:r w:rsidR="0035155F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(2010). Beating Heart Totally Endoscopic Coronary Artery Bypass.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Annals of Thoracic Surgery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89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(6), 1873–1880.</w:t>
      </w:r>
    </w:p>
    <w:p w14:paraId="48DD35CE" w14:textId="04E0EAA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Strik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A. S., </w:t>
      </w:r>
      <w:r w:rsidR="0035155F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(2018). Serum concentrations after switching from originator infliximab to the biosimilar CT-P13 in patients with quiescent inflammatory bowel disease (SECURE): an open-label, multicentre, phase 4 non-inferiority trial.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The Lancet Gastroenterology and Hepatology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(6), 404–412. </w:t>
      </w:r>
    </w:p>
    <w:p w14:paraId="6966074F" w14:textId="0C5D1F58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Strober, B. E., </w:t>
      </w:r>
      <w:r w:rsidR="0035155F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35155F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Comparative effectiveness of biologic agents for the treatment of psoriasis in a real-world setting: Results from a large, prospective, observational study (Psoriasis Longitudinal Assessment and Registry [PSOLAR]).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the American Academy of Dermatology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74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(5), 851-</w:t>
      </w:r>
      <w:proofErr w:type="gramStart"/>
      <w:r w:rsidRPr="006B79E8">
        <w:rPr>
          <w:rFonts w:ascii="Arial" w:hAnsi="Arial" w:cs="Arial"/>
          <w:color w:val="000000" w:themeColor="text1"/>
          <w:sz w:val="20"/>
          <w:szCs w:val="20"/>
        </w:rPr>
        <w:t>61.e</w:t>
      </w:r>
      <w:proofErr w:type="gram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</w:p>
    <w:p w14:paraId="0A335BFC" w14:textId="2B0C8906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Stuart Horner, J. (2000). Autonomy in the medical profession in the United Kingdom - An historical perspective.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Theoretical Medicine and Bioethics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, Vol. 21, pp. 409–423.</w:t>
      </w:r>
    </w:p>
    <w:p w14:paraId="6F5C96CE" w14:textId="62E401D1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Tada, Y., </w:t>
      </w:r>
      <w:r w:rsidR="0035155F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35155F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(2019). Patient preference for biologic treatments of psoriasis in Japan.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The Journal of Dermatology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(6), 466–477.</w:t>
      </w:r>
    </w:p>
    <w:p w14:paraId="4E1248E2" w14:textId="7FA9767B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Tarallo, M., </w:t>
      </w:r>
      <w:r w:rsidR="007D2A71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7D2A71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(2019). Costs associated with non-medical switching from originator to biosimilar etanercept in patients with rheumatoid arthritis in the UK.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Medical Economics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22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(11), 1162–1170.</w:t>
      </w:r>
    </w:p>
    <w:p w14:paraId="2E82DD3F" w14:textId="01F6F3C5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Tyssen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R., </w:t>
      </w:r>
      <w:r w:rsidR="007D2A71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7D2A71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(2013). Physicians’ perceptions of quality of care, professional autonomy, and job satisfaction in Canada, Norway, and the United States.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BMC Health Services Research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(1)</w:t>
      </w:r>
      <w:r w:rsidR="005064E4" w:rsidRPr="006B79E8">
        <w:rPr>
          <w:rFonts w:ascii="Arial" w:hAnsi="Arial" w:cs="Arial"/>
          <w:color w:val="000000" w:themeColor="text1"/>
          <w:sz w:val="20"/>
          <w:szCs w:val="20"/>
        </w:rPr>
        <w:t>, 516.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D6E76E0" w14:textId="6AADD565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Vasconcellos, J. B. </w:t>
      </w:r>
      <w:r w:rsidR="00D324E3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D324E3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(2016). Paradoxical psoriasis after the use of anti-TNF in a patient with rheumatoid arthritis.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Anais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Brasileiros</w:t>
      </w:r>
      <w:proofErr w:type="spell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 </w:t>
      </w:r>
      <w:proofErr w:type="spell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Dermatologia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91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(5 </w:t>
      </w: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suppl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 1), 137–139.</w:t>
      </w:r>
    </w:p>
    <w:p w14:paraId="41D36A08" w14:textId="478CD6B3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Warwicker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T. (1998). Managerialism and the British GP: the GP as manager and as managed. </w:t>
      </w:r>
      <w:r w:rsidR="005064E4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Journal of Public Sector Management</w:t>
      </w:r>
      <w:r w:rsidR="005064E4"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064E4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11</w:t>
      </w:r>
      <w:r w:rsidR="005064E4" w:rsidRPr="006B79E8">
        <w:rPr>
          <w:rFonts w:ascii="Arial" w:hAnsi="Arial" w:cs="Arial"/>
          <w:color w:val="000000" w:themeColor="text1"/>
          <w:sz w:val="20"/>
          <w:szCs w:val="20"/>
        </w:rPr>
        <w:t xml:space="preserve"> (2/3), 201–221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6979C15" w14:textId="158A1C5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Williams, A. (1988). Health economics: the end of clinical freedom?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BMJ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297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(6657), 1183–1186.</w:t>
      </w:r>
    </w:p>
    <w:p w14:paraId="614BB009" w14:textId="6E6D8ABE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Wong, U., &amp; Cross, R. K. (2019). Expert opinion on interleukin-12/23 and interleukin-23 antagonists as potential therapeutic options for the treatment of inflammatory bowel disease.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Expert Opinion on Investigational Drugs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28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(5), 473–479. </w:t>
      </w:r>
    </w:p>
    <w:p w14:paraId="2FAD4461" w14:textId="23538F55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Yanai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H., </w:t>
      </w:r>
      <w:r w:rsidR="00D324E3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D324E3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(2015). Levels of drug and antidrug antibodies are associated with outcome of interventions after loss of response to infliximab or adalimumab.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Clinical Gastroenterology and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Hepatology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The Official Clinical Practice Journal of the American Gastroenterological Association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13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>(3), 522-530.e2.</w:t>
      </w:r>
    </w:p>
    <w:p w14:paraId="2525016D" w14:textId="5CDDB56A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Yau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Y. Y., </w:t>
      </w:r>
      <w:r w:rsidR="00D324E3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D324E3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(2017). Serological Epithelial Component Proteins Identify Intestinal Complications in Crohn’s Disease.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Molecular &amp; Cellular </w:t>
      </w:r>
      <w:proofErr w:type="gramStart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Proteomics :</w:t>
      </w:r>
      <w:proofErr w:type="gramEnd"/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MCP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16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(7), 1244–1257. </w:t>
      </w:r>
    </w:p>
    <w:p w14:paraId="17B47151" w14:textId="7B3D2809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Young, A. P. (1997). Competing Ideologies in Health Care: a personal perspective.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Nursing Ethics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(3), 191–201. </w:t>
      </w:r>
    </w:p>
    <w:p w14:paraId="006BE52E" w14:textId="7435D854" w:rsidR="00ED636A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Young, D. W. (1982). A survey of decision aids for clinicians.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British Medical Journal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285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(6351), 1332–1336. </w:t>
      </w:r>
    </w:p>
    <w:p w14:paraId="0B1C468E" w14:textId="5B68D98A" w:rsidR="002C20B5" w:rsidRPr="006B79E8" w:rsidRDefault="00ED636A" w:rsidP="00ED636A">
      <w:pPr>
        <w:pStyle w:val="NormalWeb"/>
        <w:ind w:left="480" w:hanging="4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B79E8">
        <w:rPr>
          <w:rFonts w:ascii="Arial" w:hAnsi="Arial" w:cs="Arial"/>
          <w:color w:val="000000" w:themeColor="text1"/>
          <w:sz w:val="20"/>
          <w:szCs w:val="20"/>
        </w:rPr>
        <w:t>Zeebregts</w:t>
      </w:r>
      <w:proofErr w:type="spellEnd"/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C. J., </w:t>
      </w:r>
      <w:r w:rsidR="00D324E3"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et al.</w:t>
      </w:r>
      <w:r w:rsidR="00D324E3" w:rsidRPr="006B79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(2003). Synchronous tumours of the unilateral parotid gland: Rare or undetected?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Journal of Cranio-Maxillofacial Surgery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79E8">
        <w:rPr>
          <w:rFonts w:ascii="Arial" w:hAnsi="Arial" w:cs="Arial"/>
          <w:i/>
          <w:iCs/>
          <w:color w:val="000000" w:themeColor="text1"/>
          <w:sz w:val="20"/>
          <w:szCs w:val="20"/>
        </w:rPr>
        <w:t>31</w:t>
      </w:r>
      <w:r w:rsidRPr="006B79E8">
        <w:rPr>
          <w:rFonts w:ascii="Arial" w:hAnsi="Arial" w:cs="Arial"/>
          <w:color w:val="000000" w:themeColor="text1"/>
          <w:sz w:val="20"/>
          <w:szCs w:val="20"/>
        </w:rPr>
        <w:t xml:space="preserve">(1), 62–66. </w:t>
      </w:r>
    </w:p>
    <w:sectPr w:rsidR="002C20B5" w:rsidRPr="006B79E8" w:rsidSect="00037195">
      <w:pgSz w:w="11900" w:h="16840"/>
      <w:pgMar w:top="1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DCC6" w14:textId="77777777" w:rsidR="00DE7562" w:rsidRDefault="00DE7562" w:rsidP="00037195">
      <w:r>
        <w:separator/>
      </w:r>
    </w:p>
  </w:endnote>
  <w:endnote w:type="continuationSeparator" w:id="0">
    <w:p w14:paraId="14175DEC" w14:textId="77777777" w:rsidR="00DE7562" w:rsidRDefault="00DE7562" w:rsidP="0003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7140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D976C8" w14:textId="50E650BD" w:rsidR="006B79E8" w:rsidRDefault="006B79E8" w:rsidP="006B79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A10EE7" w14:textId="77777777" w:rsidR="006B79E8" w:rsidRDefault="006B7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Cs w:val="20"/>
      </w:rPr>
      <w:id w:val="1084965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722CBD" w14:textId="0A550AF8" w:rsidR="006B79E8" w:rsidRPr="00037195" w:rsidRDefault="006B79E8" w:rsidP="006B79E8">
        <w:pPr>
          <w:pStyle w:val="Footer"/>
          <w:framePr w:wrap="none" w:vAnchor="text" w:hAnchor="margin" w:xAlign="center" w:y="1"/>
          <w:rPr>
            <w:rStyle w:val="PageNumber"/>
            <w:szCs w:val="20"/>
          </w:rPr>
        </w:pPr>
        <w:r w:rsidRPr="00037195">
          <w:rPr>
            <w:rStyle w:val="PageNumber"/>
            <w:szCs w:val="20"/>
          </w:rPr>
          <w:fldChar w:fldCharType="begin"/>
        </w:r>
        <w:r w:rsidRPr="00037195">
          <w:rPr>
            <w:rStyle w:val="PageNumber"/>
            <w:szCs w:val="20"/>
          </w:rPr>
          <w:instrText xml:space="preserve"> PAGE </w:instrText>
        </w:r>
        <w:r w:rsidRPr="00037195">
          <w:rPr>
            <w:rStyle w:val="PageNumber"/>
            <w:szCs w:val="20"/>
          </w:rPr>
          <w:fldChar w:fldCharType="separate"/>
        </w:r>
        <w:r w:rsidRPr="00037195">
          <w:rPr>
            <w:rStyle w:val="PageNumber"/>
            <w:noProof/>
            <w:szCs w:val="20"/>
          </w:rPr>
          <w:t>1</w:t>
        </w:r>
        <w:r w:rsidRPr="00037195">
          <w:rPr>
            <w:rStyle w:val="PageNumber"/>
            <w:szCs w:val="20"/>
          </w:rPr>
          <w:fldChar w:fldCharType="end"/>
        </w:r>
      </w:p>
    </w:sdtContent>
  </w:sdt>
  <w:p w14:paraId="0C6616F2" w14:textId="77777777" w:rsidR="006B79E8" w:rsidRPr="00037195" w:rsidRDefault="006B79E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8559" w14:textId="77777777" w:rsidR="00DE7562" w:rsidRDefault="00DE7562" w:rsidP="00037195">
      <w:r>
        <w:separator/>
      </w:r>
    </w:p>
  </w:footnote>
  <w:footnote w:type="continuationSeparator" w:id="0">
    <w:p w14:paraId="2491FE50" w14:textId="77777777" w:rsidR="00DE7562" w:rsidRDefault="00DE7562" w:rsidP="0003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18E9"/>
    <w:multiLevelType w:val="hybridMultilevel"/>
    <w:tmpl w:val="B99E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68BB"/>
    <w:multiLevelType w:val="hybridMultilevel"/>
    <w:tmpl w:val="756E8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220"/>
    <w:multiLevelType w:val="hybridMultilevel"/>
    <w:tmpl w:val="7C66D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353F"/>
    <w:multiLevelType w:val="hybridMultilevel"/>
    <w:tmpl w:val="CF626F94"/>
    <w:lvl w:ilvl="0" w:tplc="9E3E562E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46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6F3D5D"/>
    <w:multiLevelType w:val="multilevel"/>
    <w:tmpl w:val="D51C551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8B1BBB"/>
    <w:multiLevelType w:val="hybridMultilevel"/>
    <w:tmpl w:val="2F8A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73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D41B62"/>
    <w:multiLevelType w:val="hybridMultilevel"/>
    <w:tmpl w:val="5D420CBA"/>
    <w:lvl w:ilvl="0" w:tplc="767CEF5A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4628"/>
    <w:multiLevelType w:val="hybridMultilevel"/>
    <w:tmpl w:val="52AAA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95"/>
    <w:rsid w:val="00037195"/>
    <w:rsid w:val="000A00B3"/>
    <w:rsid w:val="000A136F"/>
    <w:rsid w:val="00243209"/>
    <w:rsid w:val="002C20B5"/>
    <w:rsid w:val="0035155F"/>
    <w:rsid w:val="00391E99"/>
    <w:rsid w:val="003B2723"/>
    <w:rsid w:val="00411DD6"/>
    <w:rsid w:val="00430381"/>
    <w:rsid w:val="00481E37"/>
    <w:rsid w:val="005064E4"/>
    <w:rsid w:val="00566C9B"/>
    <w:rsid w:val="005A3C21"/>
    <w:rsid w:val="0066555B"/>
    <w:rsid w:val="00666479"/>
    <w:rsid w:val="00683461"/>
    <w:rsid w:val="006B75AE"/>
    <w:rsid w:val="006B79E8"/>
    <w:rsid w:val="006E2BE3"/>
    <w:rsid w:val="006E7222"/>
    <w:rsid w:val="00751958"/>
    <w:rsid w:val="0075376A"/>
    <w:rsid w:val="00786E7A"/>
    <w:rsid w:val="007D2A71"/>
    <w:rsid w:val="008265E3"/>
    <w:rsid w:val="008878BA"/>
    <w:rsid w:val="008C37DD"/>
    <w:rsid w:val="009D395D"/>
    <w:rsid w:val="00A4565C"/>
    <w:rsid w:val="00AB15C3"/>
    <w:rsid w:val="00B628E0"/>
    <w:rsid w:val="00B675DB"/>
    <w:rsid w:val="00B705D9"/>
    <w:rsid w:val="00B737A3"/>
    <w:rsid w:val="00BD0581"/>
    <w:rsid w:val="00D324E3"/>
    <w:rsid w:val="00D5662D"/>
    <w:rsid w:val="00D867A8"/>
    <w:rsid w:val="00DA09F3"/>
    <w:rsid w:val="00DE7562"/>
    <w:rsid w:val="00E87E38"/>
    <w:rsid w:val="00ED636A"/>
    <w:rsid w:val="00FC338E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2B8E"/>
  <w15:chartTrackingRefBased/>
  <w15:docId w15:val="{8BE9524F-ECCE-5945-B4C4-21092F0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6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7A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95"/>
  </w:style>
  <w:style w:type="paragraph" w:styleId="Footer">
    <w:name w:val="footer"/>
    <w:basedOn w:val="Normal"/>
    <w:link w:val="FooterChar"/>
    <w:uiPriority w:val="99"/>
    <w:unhideWhenUsed/>
    <w:rsid w:val="0003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95"/>
  </w:style>
  <w:style w:type="character" w:styleId="PageNumber">
    <w:name w:val="page number"/>
    <w:basedOn w:val="DefaultParagraphFont"/>
    <w:uiPriority w:val="99"/>
    <w:semiHidden/>
    <w:unhideWhenUsed/>
    <w:rsid w:val="00037195"/>
  </w:style>
  <w:style w:type="paragraph" w:styleId="Title">
    <w:name w:val="Title"/>
    <w:basedOn w:val="Normal"/>
    <w:next w:val="Normal"/>
    <w:link w:val="TitleChar"/>
    <w:uiPriority w:val="10"/>
    <w:qFormat/>
    <w:rsid w:val="002C20B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0B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20B5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2C2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0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B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D867A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867A8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D6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66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47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737A3"/>
    <w:pPr>
      <w:spacing w:after="200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B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103" TargetMode="External"/><Relationship Id="rId18" Type="http://schemas.openxmlformats.org/officeDocument/2006/relationships/hyperlink" Target="http://www.nice.org.uk/guidance/cg153" TargetMode="External"/><Relationship Id="rId26" Type="http://schemas.openxmlformats.org/officeDocument/2006/relationships/hyperlink" Target="https://www.nice.org.uk/guidance/ta1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ce.org.uk/guidance/ta575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nice.org.uk/guidance/ng129" TargetMode="External"/><Relationship Id="rId17" Type="http://schemas.openxmlformats.org/officeDocument/2006/relationships/hyperlink" Target="http://www.nice.org.uk/guidance/ta537" TargetMode="External"/><Relationship Id="rId25" Type="http://schemas.openxmlformats.org/officeDocument/2006/relationships/hyperlink" Target="https://www.nice.org.uk/guidance/ta45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ice.org.uk/guidance/ta134" TargetMode="External"/><Relationship Id="rId20" Type="http://schemas.openxmlformats.org/officeDocument/2006/relationships/hyperlink" Target="https://pathways.nice.org.uk/pathways/psoriasis" TargetMode="External"/><Relationship Id="rId29" Type="http://schemas.openxmlformats.org/officeDocument/2006/relationships/hyperlink" Target="https://www.nice.org.uk/guidance/ta3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e.org.uk/guidance/ta445" TargetMode="External"/><Relationship Id="rId24" Type="http://schemas.openxmlformats.org/officeDocument/2006/relationships/hyperlink" Target="https://www.nice.org.uk/guidance/ta59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ice.org.uk/guidance/ta521" TargetMode="External"/><Relationship Id="rId23" Type="http://schemas.openxmlformats.org/officeDocument/2006/relationships/hyperlink" Target="https://www.nice.org.uk/guidance/ta340" TargetMode="External"/><Relationship Id="rId28" Type="http://schemas.openxmlformats.org/officeDocument/2006/relationships/hyperlink" Target="https://www.nice.org.uk/guidance/ta329" TargetMode="External"/><Relationship Id="rId10" Type="http://schemas.openxmlformats.org/officeDocument/2006/relationships/hyperlink" Target="http://www.nice.org.uk/guidance/ta146" TargetMode="External"/><Relationship Id="rId19" Type="http://schemas.openxmlformats.org/officeDocument/2006/relationships/hyperlink" Target="http://www.nice.org.uk/guidance/ta350" TargetMode="External"/><Relationship Id="rId31" Type="http://schemas.openxmlformats.org/officeDocument/2006/relationships/hyperlink" Target="https://www.nice.org.uk/guidance/ta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wp-content/uploads/2017/09/biosimilar-medicines-commissioning-framework.pdf" TargetMode="External"/><Relationship Id="rId14" Type="http://schemas.openxmlformats.org/officeDocument/2006/relationships/hyperlink" Target="http://www.nice.org.uk/guidance/ta220" TargetMode="External"/><Relationship Id="rId22" Type="http://schemas.openxmlformats.org/officeDocument/2006/relationships/hyperlink" Target="http://www.nice.org.uk/guidance/ng130" TargetMode="External"/><Relationship Id="rId27" Type="http://schemas.openxmlformats.org/officeDocument/2006/relationships/hyperlink" Target="https://www.nice.org.uk/guidance/ta342" TargetMode="External"/><Relationship Id="rId30" Type="http://schemas.openxmlformats.org/officeDocument/2006/relationships/hyperlink" Target="http://www.nice.org.uk/guidance/ta511" TargetMode="Externa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2020-09-10T15:34:00Z</dcterms:created>
  <dcterms:modified xsi:type="dcterms:W3CDTF">2021-02-01T15:23:00Z</dcterms:modified>
</cp:coreProperties>
</file>