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81" w:rsidRPr="001F110E" w:rsidRDefault="00AD0781" w:rsidP="00AD0781">
      <w:pPr>
        <w:pStyle w:val="Heading2"/>
        <w:spacing w:after="240"/>
      </w:pPr>
      <w:bookmarkStart w:id="0" w:name="_Toc5061166"/>
      <w:r w:rsidRPr="00F75800">
        <w:t>Table S</w:t>
      </w:r>
      <w:r>
        <w:t xml:space="preserve">1. Prenatal and Postnatal Diagnosis of Other Abnormalities Not Associated with </w:t>
      </w:r>
      <w:r w:rsidRPr="001F110E">
        <w:t>ZIKV Infection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1170"/>
      </w:tblGrid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b/>
                <w:bCs/>
                <w:sz w:val="24"/>
                <w:szCs w:val="24"/>
              </w:rPr>
              <w:t>Prenatal Diagnosis</w:t>
            </w:r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9E">
              <w:rPr>
                <w:rFonts w:ascii="Arial" w:hAnsi="Arial" w:cs="Arial"/>
                <w:b/>
                <w:sz w:val="24"/>
                <w:szCs w:val="24"/>
              </w:rPr>
              <w:t>9 (8)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 xml:space="preserve"> Oligohydramnios</w:t>
            </w:r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1 (1)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 xml:space="preserve"> Polyhydramnios</w:t>
            </w:r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3 (3)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 xml:space="preserve"> Situs </w:t>
            </w:r>
            <w:proofErr w:type="spellStart"/>
            <w:r w:rsidRPr="00F76B9E">
              <w:rPr>
                <w:rFonts w:ascii="Arial" w:hAnsi="Arial" w:cs="Arial"/>
                <w:sz w:val="24"/>
                <w:szCs w:val="24"/>
              </w:rPr>
              <w:t>inversus</w:t>
            </w:r>
            <w:proofErr w:type="spellEnd"/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1 (1)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B9E">
              <w:rPr>
                <w:rFonts w:ascii="Arial" w:hAnsi="Arial" w:cs="Arial"/>
                <w:sz w:val="24"/>
                <w:szCs w:val="24"/>
              </w:rPr>
              <w:t>Pyelectasis</w:t>
            </w:r>
            <w:proofErr w:type="spellEnd"/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2 (2)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 xml:space="preserve"> Persistent right umbilical vein</w:t>
            </w:r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1 (1)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Increased nuchal translucency</w:t>
            </w:r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1 (1)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76B9E">
              <w:rPr>
                <w:rFonts w:ascii="Arial" w:hAnsi="Arial" w:cs="Arial"/>
                <w:b/>
                <w:bCs/>
                <w:sz w:val="24"/>
                <w:szCs w:val="24"/>
              </w:rPr>
              <w:t>Postnatal Diagnosis</w:t>
            </w:r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76B9E">
              <w:rPr>
                <w:rFonts w:ascii="Arial" w:hAnsi="Arial" w:cs="Arial"/>
                <w:b/>
                <w:bCs/>
                <w:sz w:val="24"/>
                <w:szCs w:val="24"/>
              </w:rPr>
              <w:t>4 (4)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 xml:space="preserve"> Choroid plexus cyst**</w:t>
            </w:r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3(3)</w:t>
            </w:r>
          </w:p>
        </w:tc>
      </w:tr>
      <w:tr w:rsidR="00AD0781" w:rsidRPr="00F76B9E" w:rsidTr="00545606">
        <w:tc>
          <w:tcPr>
            <w:tcW w:w="5395" w:type="dxa"/>
          </w:tcPr>
          <w:p w:rsidR="00AD0781" w:rsidRPr="00F76B9E" w:rsidRDefault="00AD0781" w:rsidP="00545606">
            <w:pPr>
              <w:spacing w:after="40" w:line="276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 xml:space="preserve">Atrial septal defect and patent ductus </w:t>
            </w:r>
            <w:proofErr w:type="spellStart"/>
            <w:r w:rsidRPr="00F76B9E">
              <w:rPr>
                <w:rFonts w:ascii="Arial" w:hAnsi="Arial" w:cs="Arial"/>
                <w:sz w:val="24"/>
                <w:szCs w:val="24"/>
              </w:rPr>
              <w:t>arteriosis</w:t>
            </w:r>
            <w:proofErr w:type="spellEnd"/>
          </w:p>
        </w:tc>
        <w:tc>
          <w:tcPr>
            <w:tcW w:w="1170" w:type="dxa"/>
          </w:tcPr>
          <w:p w:rsidR="00AD0781" w:rsidRPr="00F76B9E" w:rsidRDefault="00AD0781" w:rsidP="00545606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9E">
              <w:rPr>
                <w:rFonts w:ascii="Arial" w:hAnsi="Arial" w:cs="Arial"/>
                <w:sz w:val="24"/>
                <w:szCs w:val="24"/>
              </w:rPr>
              <w:t>1 (1)</w:t>
            </w:r>
          </w:p>
        </w:tc>
      </w:tr>
    </w:tbl>
    <w:p w:rsidR="00630846" w:rsidRPr="00630846" w:rsidRDefault="00630846" w:rsidP="00AD0781">
      <w:pPr>
        <w:jc w:val="both"/>
        <w:rPr>
          <w:rFonts w:ascii="Arial" w:eastAsiaTheme="majorEastAsia" w:hAnsi="Arial" w:cs="Arial"/>
          <w:bCs/>
          <w:sz w:val="12"/>
          <w:szCs w:val="12"/>
        </w:rPr>
      </w:pPr>
      <w:bookmarkStart w:id="1" w:name="_GoBack"/>
    </w:p>
    <w:bookmarkEnd w:id="1"/>
    <w:p w:rsidR="00AD0781" w:rsidRPr="004D3F59" w:rsidRDefault="00AD0781" w:rsidP="00AD0781">
      <w:pPr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The </w:t>
      </w:r>
      <w:r w:rsidRPr="004D3F59">
        <w:rPr>
          <w:rFonts w:ascii="Arial" w:eastAsiaTheme="majorEastAsia" w:hAnsi="Arial" w:cs="Arial"/>
          <w:bCs/>
          <w:sz w:val="24"/>
          <w:szCs w:val="24"/>
        </w:rPr>
        <w:t xml:space="preserve">numbers shown reflect </w:t>
      </w:r>
      <w:r>
        <w:rPr>
          <w:rFonts w:ascii="Arial" w:eastAsiaTheme="majorEastAsia" w:hAnsi="Arial" w:cs="Arial"/>
          <w:bCs/>
          <w:sz w:val="24"/>
          <w:szCs w:val="24"/>
        </w:rPr>
        <w:t xml:space="preserve">either the </w:t>
      </w:r>
      <w:r w:rsidRPr="004D3F59">
        <w:rPr>
          <w:rFonts w:ascii="Arial" w:eastAsiaTheme="majorEastAsia" w:hAnsi="Arial" w:cs="Arial"/>
          <w:bCs/>
          <w:sz w:val="24"/>
          <w:szCs w:val="24"/>
        </w:rPr>
        <w:t xml:space="preserve">N (%) </w:t>
      </w:r>
      <w:r>
        <w:rPr>
          <w:rFonts w:ascii="Arial" w:eastAsiaTheme="majorEastAsia" w:hAnsi="Arial" w:cs="Arial"/>
          <w:bCs/>
          <w:sz w:val="24"/>
          <w:szCs w:val="24"/>
        </w:rPr>
        <w:t xml:space="preserve">of fetal abnormalities not attributed to ZIKV infection </w:t>
      </w:r>
      <w:r w:rsidRPr="004D3F59">
        <w:rPr>
          <w:rFonts w:ascii="Arial" w:eastAsiaTheme="majorEastAsia" w:hAnsi="Arial" w:cs="Arial"/>
          <w:bCs/>
          <w:sz w:val="24"/>
          <w:szCs w:val="24"/>
        </w:rPr>
        <w:t>out o</w:t>
      </w:r>
      <w:r>
        <w:rPr>
          <w:rFonts w:ascii="Arial" w:eastAsiaTheme="majorEastAsia" w:hAnsi="Arial" w:cs="Arial"/>
          <w:bCs/>
          <w:sz w:val="24"/>
          <w:szCs w:val="24"/>
        </w:rPr>
        <w:t>f either 111 fetuses undergoing ultrasound for prenatal diagnosis or 95 neonates evaluated by postnatal testing</w:t>
      </w:r>
      <w:r w:rsidRPr="004D3F59">
        <w:rPr>
          <w:rFonts w:ascii="Arial" w:eastAsiaTheme="majorEastAsia" w:hAnsi="Arial" w:cs="Arial"/>
          <w:bCs/>
          <w:sz w:val="24"/>
          <w:szCs w:val="24"/>
        </w:rPr>
        <w:t xml:space="preserve">. These findings </w:t>
      </w:r>
      <w:r>
        <w:rPr>
          <w:rFonts w:ascii="Arial" w:eastAsiaTheme="majorEastAsia" w:hAnsi="Arial" w:cs="Arial"/>
          <w:bCs/>
          <w:sz w:val="24"/>
          <w:szCs w:val="24"/>
        </w:rPr>
        <w:t xml:space="preserve">did not contribute to our analysis, but are presented to reflect a more comprehensive picture of the cohort. </w:t>
      </w:r>
      <w:r w:rsidRPr="004D3F59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:rsidR="0062779E" w:rsidRPr="00AD0781" w:rsidRDefault="00AD0781" w:rsidP="00AD0781">
      <w:pPr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4D3F59">
        <w:rPr>
          <w:rFonts w:ascii="Arial" w:eastAsiaTheme="majorEastAsia" w:hAnsi="Arial" w:cs="Arial"/>
          <w:bCs/>
          <w:sz w:val="24"/>
          <w:szCs w:val="24"/>
        </w:rPr>
        <w:t>**We note that a choroid plexus cyst can be a normal varia</w:t>
      </w:r>
      <w:r>
        <w:rPr>
          <w:rFonts w:ascii="Arial" w:eastAsiaTheme="majorEastAsia" w:hAnsi="Arial" w:cs="Arial"/>
          <w:bCs/>
          <w:sz w:val="24"/>
          <w:szCs w:val="24"/>
        </w:rPr>
        <w:t>nt, but list its presence in three</w:t>
      </w:r>
      <w:r w:rsidRPr="004D3F59">
        <w:rPr>
          <w:rFonts w:ascii="Arial" w:eastAsiaTheme="majorEastAsia" w:hAnsi="Arial" w:cs="Arial"/>
          <w:bCs/>
          <w:sz w:val="24"/>
          <w:szCs w:val="24"/>
        </w:rPr>
        <w:t xml:space="preserve"> cases because it occurred in combination with other anomalies.</w:t>
      </w:r>
    </w:p>
    <w:sectPr w:rsidR="0062779E" w:rsidRPr="00AD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81"/>
    <w:rsid w:val="0062779E"/>
    <w:rsid w:val="00630846"/>
    <w:rsid w:val="00A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0ED5"/>
  <w15:chartTrackingRefBased/>
  <w15:docId w15:val="{45E0EA60-D299-4DC5-98D7-46B11D79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781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781"/>
    <w:rPr>
      <w:rFonts w:ascii="Arial" w:eastAsiaTheme="majorEastAsia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Adams Waldorf</dc:creator>
  <cp:keywords/>
  <dc:description/>
  <cp:lastModifiedBy>Kristina Adams Waldorf</cp:lastModifiedBy>
  <cp:revision>2</cp:revision>
  <dcterms:created xsi:type="dcterms:W3CDTF">2020-04-09T00:41:00Z</dcterms:created>
  <dcterms:modified xsi:type="dcterms:W3CDTF">2020-04-09T00:42:00Z</dcterms:modified>
</cp:coreProperties>
</file>