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4EBC" w14:textId="2C4152C5" w:rsidR="001F3356" w:rsidRPr="00F25634" w:rsidRDefault="001F3356" w:rsidP="001F3356">
      <w:pPr>
        <w:spacing w:after="120" w:line="252" w:lineRule="auto"/>
        <w:jc w:val="both"/>
        <w:rPr>
          <w:b/>
          <w:vertAlign w:val="superscript"/>
          <w:lang w:val="en-GB"/>
        </w:rPr>
      </w:pPr>
      <w:r w:rsidRPr="00F25634">
        <w:rPr>
          <w:b/>
          <w:lang w:val="en-GB"/>
        </w:rPr>
        <w:t xml:space="preserve">Supplementary Table 1. </w:t>
      </w:r>
      <w:r w:rsidRPr="00F25634">
        <w:rPr>
          <w:b/>
          <w:bCs/>
          <w:lang w:val="en-GB"/>
        </w:rPr>
        <w:t xml:space="preserve">Anthropometric measures at 2 years of age in children who contributed data to the international </w:t>
      </w:r>
      <w:r w:rsidR="00F25634">
        <w:rPr>
          <w:b/>
          <w:bCs/>
          <w:lang w:val="en-GB"/>
        </w:rPr>
        <w:t xml:space="preserve">estimated </w:t>
      </w:r>
      <w:r w:rsidRPr="00F25634">
        <w:rPr>
          <w:b/>
          <w:bCs/>
          <w:lang w:val="en-GB"/>
        </w:rPr>
        <w:t xml:space="preserve">haemoglobin values </w:t>
      </w:r>
      <w:r w:rsidR="00F25634">
        <w:rPr>
          <w:b/>
          <w:bCs/>
          <w:lang w:val="en-GB"/>
        </w:rPr>
        <w:t>proposing</w:t>
      </w:r>
      <w:r w:rsidR="00F25634" w:rsidRPr="00F25634">
        <w:rPr>
          <w:b/>
          <w:bCs/>
          <w:lang w:val="en-GB"/>
        </w:rPr>
        <w:t xml:space="preserve"> </w:t>
      </w:r>
      <w:r w:rsidRPr="00F25634">
        <w:rPr>
          <w:b/>
          <w:bCs/>
          <w:lang w:val="en-GB"/>
        </w:rPr>
        <w:t xml:space="preserve">new thresholds for </w:t>
      </w:r>
      <w:r w:rsidR="00F25634">
        <w:rPr>
          <w:b/>
          <w:bCs/>
          <w:lang w:val="en-GB"/>
        </w:rPr>
        <w:t>apparently health</w:t>
      </w:r>
      <w:r w:rsidR="00CE2B9F">
        <w:rPr>
          <w:b/>
          <w:bCs/>
          <w:lang w:val="en-GB"/>
        </w:rPr>
        <w:t>y</w:t>
      </w:r>
      <w:r w:rsidR="00F25634">
        <w:rPr>
          <w:b/>
          <w:bCs/>
          <w:lang w:val="en-GB"/>
        </w:rPr>
        <w:t xml:space="preserve"> women</w:t>
      </w:r>
      <w:r w:rsidR="00F25634" w:rsidRPr="00F25634">
        <w:rPr>
          <w:b/>
          <w:bCs/>
          <w:lang w:val="en-GB"/>
        </w:rPr>
        <w:t xml:space="preserve"> </w:t>
      </w:r>
      <w:r w:rsidRPr="00F25634">
        <w:rPr>
          <w:b/>
          <w:bCs/>
          <w:lang w:val="en-GB"/>
        </w:rPr>
        <w:t>in pregnancy compared with the World Health Organization Child Growth Standards</w:t>
      </w:r>
      <w:r w:rsidRPr="00F25634">
        <w:rPr>
          <w:b/>
          <w:bCs/>
          <w:vertAlign w:val="superscript"/>
          <w:lang w:val="en-GB"/>
        </w:rPr>
        <w:t>*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2392"/>
        <w:gridCol w:w="1665"/>
        <w:gridCol w:w="1330"/>
      </w:tblGrid>
      <w:tr w:rsidR="001F3356" w:rsidRPr="00F25634" w14:paraId="2648469F" w14:textId="77777777" w:rsidTr="001511D3">
        <w:trPr>
          <w:trHeight w:val="508"/>
        </w:trPr>
        <w:tc>
          <w:tcPr>
            <w:tcW w:w="2405" w:type="dxa"/>
          </w:tcPr>
          <w:p w14:paraId="00635E9D" w14:textId="77777777" w:rsidR="001F3356" w:rsidRPr="00F25634" w:rsidRDefault="001F3356" w:rsidP="001511D3">
            <w:pPr>
              <w:spacing w:before="120" w:after="120" w:line="360" w:lineRule="auto"/>
              <w:rPr>
                <w:b/>
                <w:lang w:val="en-GB"/>
              </w:rPr>
            </w:pPr>
          </w:p>
        </w:tc>
        <w:tc>
          <w:tcPr>
            <w:tcW w:w="709" w:type="dxa"/>
          </w:tcPr>
          <w:p w14:paraId="7F31581E" w14:textId="77777777" w:rsidR="001F3356" w:rsidRPr="00F25634" w:rsidRDefault="001F3356" w:rsidP="001511D3">
            <w:pPr>
              <w:spacing w:before="120" w:after="120" w:line="360" w:lineRule="auto"/>
              <w:rPr>
                <w:b/>
                <w:lang w:val="en-GB"/>
              </w:rPr>
            </w:pPr>
          </w:p>
        </w:tc>
        <w:tc>
          <w:tcPr>
            <w:tcW w:w="3951" w:type="dxa"/>
            <w:gridSpan w:val="2"/>
          </w:tcPr>
          <w:p w14:paraId="230E61C0" w14:textId="77777777" w:rsidR="001F3356" w:rsidRPr="00F25634" w:rsidRDefault="001F3356" w:rsidP="00F25634">
            <w:pPr>
              <w:spacing w:before="120"/>
              <w:jc w:val="center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Present analysis: INTERGROWTH-21</w:t>
            </w:r>
            <w:r w:rsidRPr="00F25634">
              <w:rPr>
                <w:b/>
                <w:vertAlign w:val="superscript"/>
                <w:lang w:val="en-GB"/>
              </w:rPr>
              <w:t>st</w:t>
            </w:r>
            <w:r w:rsidRPr="00F25634">
              <w:rPr>
                <w:b/>
                <w:lang w:val="en-GB"/>
              </w:rPr>
              <w:t xml:space="preserve"> cohort</w:t>
            </w:r>
          </w:p>
        </w:tc>
        <w:tc>
          <w:tcPr>
            <w:tcW w:w="2995" w:type="dxa"/>
            <w:gridSpan w:val="2"/>
          </w:tcPr>
          <w:p w14:paraId="79C8C55C" w14:textId="77777777" w:rsidR="001F3356" w:rsidRPr="00F25634" w:rsidRDefault="001F3356" w:rsidP="001511D3">
            <w:pPr>
              <w:spacing w:before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INTERGROWTH-21</w:t>
            </w:r>
            <w:r w:rsidRPr="00F25634">
              <w:rPr>
                <w:b/>
                <w:vertAlign w:val="superscript"/>
                <w:lang w:val="en-GB"/>
              </w:rPr>
              <w:t>st</w:t>
            </w:r>
            <w:r w:rsidRPr="00F25634">
              <w:rPr>
                <w:b/>
                <w:lang w:val="en-GB"/>
              </w:rPr>
              <w:t xml:space="preserve"> cohort expressed according to the WHO Child Growth Standards</w:t>
            </w:r>
          </w:p>
        </w:tc>
      </w:tr>
      <w:tr w:rsidR="001F3356" w:rsidRPr="00F25634" w14:paraId="787DA20F" w14:textId="77777777" w:rsidTr="001511D3">
        <w:trPr>
          <w:trHeight w:val="750"/>
        </w:trPr>
        <w:tc>
          <w:tcPr>
            <w:tcW w:w="2405" w:type="dxa"/>
          </w:tcPr>
          <w:p w14:paraId="3DCA0054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Variable</w:t>
            </w:r>
          </w:p>
        </w:tc>
        <w:tc>
          <w:tcPr>
            <w:tcW w:w="709" w:type="dxa"/>
          </w:tcPr>
          <w:p w14:paraId="097B63B2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N</w:t>
            </w:r>
          </w:p>
        </w:tc>
        <w:tc>
          <w:tcPr>
            <w:tcW w:w="1559" w:type="dxa"/>
          </w:tcPr>
          <w:p w14:paraId="5DAC5A96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Mean</w:t>
            </w:r>
            <w:r w:rsidRPr="00F25634">
              <w:rPr>
                <w:b/>
                <w:vertAlign w:val="superscript"/>
                <w:lang w:val="en-GB"/>
              </w:rPr>
              <w:sym w:font="Symbol" w:char="F02B"/>
            </w:r>
            <w:r w:rsidRPr="00F25634">
              <w:rPr>
                <w:b/>
                <w:lang w:val="en-GB"/>
              </w:rPr>
              <w:t xml:space="preserve"> </w:t>
            </w:r>
            <w:r w:rsidRPr="00F25634">
              <w:rPr>
                <w:b/>
                <w:lang w:val="en-GB"/>
              </w:rPr>
              <w:sym w:font="Symbol" w:char="F0B1"/>
            </w:r>
            <w:r w:rsidRPr="00F25634">
              <w:rPr>
                <w:b/>
                <w:lang w:val="en-GB"/>
              </w:rPr>
              <w:t xml:space="preserve"> SD</w:t>
            </w:r>
            <w:r w:rsidRPr="00F25634">
              <w:rPr>
                <w:color w:val="333333"/>
                <w:shd w:val="clear" w:color="auto" w:fill="FAFBFC"/>
                <w:vertAlign w:val="superscript"/>
                <w:lang w:val="en-GB"/>
              </w:rPr>
              <w:t>‡</w:t>
            </w:r>
          </w:p>
        </w:tc>
        <w:tc>
          <w:tcPr>
            <w:tcW w:w="2392" w:type="dxa"/>
          </w:tcPr>
          <w:p w14:paraId="381C0BCD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Median (interquartile range)</w:t>
            </w:r>
          </w:p>
        </w:tc>
        <w:tc>
          <w:tcPr>
            <w:tcW w:w="1665" w:type="dxa"/>
          </w:tcPr>
          <w:p w14:paraId="26FD931D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 xml:space="preserve">Mean z-score </w:t>
            </w:r>
            <w:r w:rsidRPr="00F25634">
              <w:rPr>
                <w:b/>
                <w:lang w:val="en-GB"/>
              </w:rPr>
              <w:sym w:font="Symbol" w:char="F0B1"/>
            </w:r>
            <w:r w:rsidRPr="00F25634">
              <w:rPr>
                <w:b/>
                <w:lang w:val="en-GB"/>
              </w:rPr>
              <w:t xml:space="preserve"> SD</w:t>
            </w:r>
          </w:p>
        </w:tc>
        <w:tc>
          <w:tcPr>
            <w:tcW w:w="1330" w:type="dxa"/>
          </w:tcPr>
          <w:p w14:paraId="690178A1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Median centile</w:t>
            </w:r>
          </w:p>
        </w:tc>
      </w:tr>
      <w:tr w:rsidR="001F3356" w:rsidRPr="00F25634" w14:paraId="33D9948E" w14:textId="77777777" w:rsidTr="001511D3">
        <w:trPr>
          <w:trHeight w:val="237"/>
        </w:trPr>
        <w:tc>
          <w:tcPr>
            <w:tcW w:w="2405" w:type="dxa"/>
            <w:shd w:val="clear" w:color="auto" w:fill="auto"/>
          </w:tcPr>
          <w:p w14:paraId="06BF1708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Weight (kg)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351DD" w14:textId="77777777" w:rsidR="001F3356" w:rsidRPr="00F25634" w:rsidRDefault="001F3356" w:rsidP="001511D3">
            <w:pPr>
              <w:spacing w:before="120" w:after="120"/>
              <w:jc w:val="both"/>
              <w:rPr>
                <w:lang w:val="en-GB"/>
              </w:rPr>
            </w:pPr>
            <w:r w:rsidRPr="00F25634">
              <w:rPr>
                <w:lang w:val="en-GB"/>
              </w:rPr>
              <w:t>2601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881D3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12.3 (1.7)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9293CEA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12.1 (11.1, 13.3)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12BEDD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0.2 (1.1)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03106AB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56</w:t>
            </w:r>
          </w:p>
        </w:tc>
      </w:tr>
      <w:tr w:rsidR="001F3356" w:rsidRPr="00F25634" w14:paraId="35C3EB81" w14:textId="77777777" w:rsidTr="001511D3">
        <w:trPr>
          <w:trHeight w:val="256"/>
        </w:trPr>
        <w:tc>
          <w:tcPr>
            <w:tcW w:w="2405" w:type="dxa"/>
            <w:shd w:val="clear" w:color="auto" w:fill="auto"/>
          </w:tcPr>
          <w:p w14:paraId="3D24DB89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Length (cm)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6E957" w14:textId="77777777" w:rsidR="001F3356" w:rsidRPr="00F25634" w:rsidRDefault="001F3356" w:rsidP="001511D3">
            <w:pPr>
              <w:spacing w:before="120" w:after="120"/>
              <w:jc w:val="both"/>
              <w:rPr>
                <w:lang w:val="en-GB"/>
              </w:rPr>
            </w:pPr>
            <w:r w:rsidRPr="00F25634">
              <w:rPr>
                <w:lang w:val="en-GB"/>
              </w:rPr>
              <w:t>2584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28EE4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87.4 (3.6)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CA083F6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87.3 (85.0, 89.8)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F36AFB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0.1 (1.1)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95BE743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55</w:t>
            </w:r>
          </w:p>
        </w:tc>
      </w:tr>
      <w:tr w:rsidR="001F3356" w:rsidRPr="00F25634" w14:paraId="7A14B31C" w14:textId="77777777" w:rsidTr="001511D3">
        <w:trPr>
          <w:trHeight w:val="270"/>
        </w:trPr>
        <w:tc>
          <w:tcPr>
            <w:tcW w:w="2405" w:type="dxa"/>
            <w:shd w:val="clear" w:color="auto" w:fill="auto"/>
          </w:tcPr>
          <w:p w14:paraId="382E7880" w14:textId="77777777" w:rsidR="001F3356" w:rsidRPr="00F25634" w:rsidRDefault="001F3356" w:rsidP="001511D3">
            <w:pPr>
              <w:spacing w:before="120" w:after="120"/>
              <w:rPr>
                <w:b/>
                <w:lang w:val="en-GB"/>
              </w:rPr>
            </w:pPr>
            <w:r w:rsidRPr="00F25634">
              <w:rPr>
                <w:b/>
                <w:lang w:val="en-GB"/>
              </w:rPr>
              <w:t>Head circumference (cm)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188A9" w14:textId="77777777" w:rsidR="001F3356" w:rsidRPr="00F25634" w:rsidRDefault="001F3356" w:rsidP="001511D3">
            <w:pPr>
              <w:spacing w:before="120" w:after="120"/>
              <w:jc w:val="both"/>
              <w:rPr>
                <w:lang w:val="en-GB"/>
              </w:rPr>
            </w:pPr>
            <w:r w:rsidRPr="00F25634">
              <w:rPr>
                <w:lang w:val="en-GB"/>
              </w:rPr>
              <w:t>2602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4A425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47.7 (1.6)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3C9F6BB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47.7 (46.6, 48.8)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60B5539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-0.1 (1.1)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BD15E20" w14:textId="77777777" w:rsidR="001F3356" w:rsidRPr="00F25634" w:rsidRDefault="001F3356" w:rsidP="001511D3">
            <w:pPr>
              <w:spacing w:before="120" w:after="120"/>
              <w:jc w:val="center"/>
              <w:rPr>
                <w:lang w:val="en-GB"/>
              </w:rPr>
            </w:pPr>
            <w:r w:rsidRPr="00F25634">
              <w:rPr>
                <w:lang w:val="en-GB"/>
              </w:rPr>
              <w:t>48</w:t>
            </w:r>
          </w:p>
        </w:tc>
      </w:tr>
    </w:tbl>
    <w:p w14:paraId="07282FF0" w14:textId="77777777" w:rsidR="001F3356" w:rsidRPr="00F25634" w:rsidRDefault="001F3356" w:rsidP="001F3356">
      <w:pPr>
        <w:spacing w:before="120" w:after="120" w:line="252" w:lineRule="auto"/>
        <w:rPr>
          <w:b/>
          <w:color w:val="2F5496" w:themeColor="accent1" w:themeShade="BF"/>
          <w:lang w:val="en-GB"/>
        </w:rPr>
      </w:pPr>
      <w:r w:rsidRPr="00F25634">
        <w:rPr>
          <w:lang w:val="en-GB"/>
        </w:rPr>
        <w:t xml:space="preserve">*Age and gender specific z-scores and percentiles compared with the WHO Child Growth Standards; </w:t>
      </w:r>
      <w:r w:rsidRPr="00F25634">
        <w:rPr>
          <w:vertAlign w:val="superscript"/>
          <w:lang w:val="en-GB"/>
        </w:rPr>
        <w:sym w:font="Symbol" w:char="F02B"/>
      </w:r>
      <w:r w:rsidRPr="00F25634">
        <w:rPr>
          <w:vertAlign w:val="superscript"/>
          <w:lang w:val="en-GB"/>
        </w:rPr>
        <w:t xml:space="preserve"> </w:t>
      </w:r>
      <w:r w:rsidRPr="00F25634">
        <w:rPr>
          <w:lang w:val="en-GB"/>
        </w:rPr>
        <w:t xml:space="preserve">Mean values were estimated from raw data; </w:t>
      </w:r>
      <w:r w:rsidRPr="00F25634">
        <w:rPr>
          <w:color w:val="333333"/>
          <w:shd w:val="clear" w:color="auto" w:fill="FAFBFC"/>
          <w:vertAlign w:val="superscript"/>
          <w:lang w:val="en-GB"/>
        </w:rPr>
        <w:t xml:space="preserve">‡ </w:t>
      </w:r>
      <w:r w:rsidRPr="00F25634">
        <w:rPr>
          <w:lang w:val="en-GB"/>
        </w:rPr>
        <w:t>SD = Standard Deviation.</w:t>
      </w:r>
    </w:p>
    <w:p w14:paraId="2BC3B9EB" w14:textId="77777777" w:rsidR="001F3356" w:rsidRPr="00F25634" w:rsidRDefault="001F3356" w:rsidP="001F3356">
      <w:pPr>
        <w:jc w:val="both"/>
        <w:rPr>
          <w:b/>
          <w:lang w:val="en-GB"/>
        </w:rPr>
      </w:pPr>
    </w:p>
    <w:p w14:paraId="11A3D957" w14:textId="77777777" w:rsidR="003B7D65" w:rsidRPr="00F25634" w:rsidRDefault="003B7D65">
      <w:pPr>
        <w:rPr>
          <w:b/>
          <w:lang w:val="en-GB"/>
        </w:rPr>
      </w:pPr>
      <w:r w:rsidRPr="00F25634">
        <w:rPr>
          <w:b/>
          <w:lang w:val="en-GB"/>
        </w:rPr>
        <w:br w:type="page"/>
      </w:r>
    </w:p>
    <w:p w14:paraId="0EC03AE6" w14:textId="60E33444" w:rsidR="001F3356" w:rsidRPr="00F25634" w:rsidRDefault="001F3356" w:rsidP="001F3356">
      <w:pPr>
        <w:spacing w:after="120" w:line="252" w:lineRule="auto"/>
        <w:jc w:val="both"/>
        <w:rPr>
          <w:lang w:val="en-GB"/>
        </w:rPr>
      </w:pPr>
      <w:r w:rsidRPr="00F25634">
        <w:rPr>
          <w:b/>
          <w:lang w:val="en-GB"/>
        </w:rPr>
        <w:lastRenderedPageBreak/>
        <w:t xml:space="preserve">Supplementary Table 2. Morbidity at 1 and 2 years of age of children who contributed data to the international </w:t>
      </w:r>
      <w:r w:rsidR="00F25634">
        <w:rPr>
          <w:b/>
          <w:lang w:val="en-GB"/>
        </w:rPr>
        <w:t xml:space="preserve">estimated </w:t>
      </w:r>
      <w:r w:rsidRPr="00F25634">
        <w:rPr>
          <w:b/>
          <w:lang w:val="en-GB"/>
        </w:rPr>
        <w:t xml:space="preserve">haemoglobin values </w:t>
      </w:r>
      <w:r w:rsidR="00F25634">
        <w:rPr>
          <w:b/>
          <w:lang w:val="en-GB"/>
        </w:rPr>
        <w:t>proposing</w:t>
      </w:r>
      <w:r w:rsidR="00F25634" w:rsidRPr="00F25634">
        <w:rPr>
          <w:b/>
          <w:lang w:val="en-GB"/>
        </w:rPr>
        <w:t xml:space="preserve"> </w:t>
      </w:r>
      <w:r w:rsidRPr="00F25634">
        <w:rPr>
          <w:b/>
          <w:lang w:val="en-GB"/>
        </w:rPr>
        <w:t xml:space="preserve">new thresholds for </w:t>
      </w:r>
      <w:r w:rsidR="00F25634">
        <w:rPr>
          <w:b/>
          <w:lang w:val="en-GB"/>
        </w:rPr>
        <w:t>apparently healthy women</w:t>
      </w:r>
      <w:r w:rsidR="00F25634" w:rsidRPr="00F25634">
        <w:rPr>
          <w:b/>
          <w:lang w:val="en-GB"/>
        </w:rPr>
        <w:t xml:space="preserve"> </w:t>
      </w:r>
      <w:r w:rsidRPr="00F25634">
        <w:rPr>
          <w:b/>
          <w:lang w:val="en-GB"/>
        </w:rPr>
        <w:t>in pregnancy</w:t>
      </w:r>
      <w:r w:rsidRPr="00F25634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55"/>
        <w:gridCol w:w="2268"/>
      </w:tblGrid>
      <w:tr w:rsidR="001F3356" w:rsidRPr="007F61D7" w14:paraId="107411CF" w14:textId="77777777" w:rsidTr="001511D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04AD0" w14:textId="77777777" w:rsidR="001F3356" w:rsidRPr="007F61D7" w:rsidRDefault="001F3356" w:rsidP="001511D3">
            <w:pPr>
              <w:spacing w:before="100" w:beforeAutospacing="1" w:after="100" w:afterAutospacing="1" w:line="480" w:lineRule="auto"/>
              <w:jc w:val="both"/>
              <w:rPr>
                <w:sz w:val="22"/>
                <w:szCs w:val="22"/>
                <w:lang w:val="en-GB"/>
              </w:rPr>
            </w:pPr>
            <w:r w:rsidRPr="007F61D7">
              <w:rPr>
                <w:b/>
                <w:bCs/>
                <w:iCs/>
                <w:sz w:val="22"/>
                <w:szCs w:val="22"/>
                <w:lang w:val="en-GB"/>
              </w:rPr>
              <w:t>Medical condition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315C8" w14:textId="77777777" w:rsidR="001F3356" w:rsidRPr="007F61D7" w:rsidRDefault="001F3356" w:rsidP="00D70E52">
            <w:pPr>
              <w:spacing w:before="100" w:beforeAutospacing="1" w:after="100" w:afterAutospacing="1" w:line="480" w:lineRule="auto"/>
              <w:jc w:val="center"/>
              <w:rPr>
                <w:sz w:val="22"/>
                <w:szCs w:val="22"/>
                <w:lang w:val="en-GB"/>
              </w:rPr>
            </w:pPr>
            <w:r w:rsidRPr="007F61D7">
              <w:rPr>
                <w:b/>
                <w:color w:val="000000"/>
                <w:sz w:val="22"/>
                <w:szCs w:val="22"/>
                <w:lang w:val="en-GB"/>
              </w:rPr>
              <w:t>1 year of 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477C30" w14:textId="77777777" w:rsidR="001F3356" w:rsidRPr="007F61D7" w:rsidRDefault="001F3356" w:rsidP="00D70E52">
            <w:pPr>
              <w:spacing w:before="100" w:beforeAutospacing="1" w:after="100" w:afterAutospacing="1" w:line="480" w:lineRule="auto"/>
              <w:jc w:val="center"/>
              <w:rPr>
                <w:sz w:val="22"/>
                <w:szCs w:val="22"/>
                <w:lang w:val="en-GB"/>
              </w:rPr>
            </w:pPr>
            <w:r w:rsidRPr="007F61D7">
              <w:rPr>
                <w:b/>
                <w:color w:val="000000"/>
                <w:sz w:val="22"/>
                <w:szCs w:val="22"/>
                <w:lang w:val="en-GB"/>
              </w:rPr>
              <w:t>2 years of age</w:t>
            </w:r>
          </w:p>
        </w:tc>
      </w:tr>
      <w:tr w:rsidR="001F3356" w:rsidRPr="007F61D7" w14:paraId="14FB76BB" w14:textId="77777777" w:rsidTr="007F61D7">
        <w:trPr>
          <w:trHeight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F9E8" w14:textId="77777777" w:rsidR="001F3356" w:rsidRPr="007F61D7" w:rsidRDefault="001F3356" w:rsidP="001511D3">
            <w:pPr>
              <w:spacing w:before="100" w:beforeAutospacing="1" w:after="100" w:afterAutospacing="1" w:line="480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50F0C9A" w14:textId="77777777" w:rsidR="001F3356" w:rsidRPr="007F61D7" w:rsidRDefault="001F3356" w:rsidP="00D70E52">
            <w:pPr>
              <w:spacing w:before="100" w:beforeAutospacing="1" w:after="100" w:afterAutospacing="1" w:line="480" w:lineRule="auto"/>
              <w:jc w:val="center"/>
              <w:rPr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N = 2320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63492F" w14:textId="77777777" w:rsidR="001F3356" w:rsidRPr="007F61D7" w:rsidRDefault="001F3356" w:rsidP="00D70E52">
            <w:pPr>
              <w:spacing w:before="100" w:beforeAutospacing="1" w:after="100" w:afterAutospacing="1" w:line="480" w:lineRule="auto"/>
              <w:jc w:val="center"/>
              <w:rPr>
                <w:sz w:val="22"/>
                <w:szCs w:val="22"/>
                <w:lang w:val="en-GB"/>
              </w:rPr>
            </w:pPr>
            <w:r w:rsidRPr="007F61D7">
              <w:rPr>
                <w:rFonts w:eastAsia="Shaker2Lancet-Regular"/>
                <w:sz w:val="22"/>
                <w:szCs w:val="22"/>
                <w:lang w:val="en-GB"/>
              </w:rPr>
              <w:t>N = 2650 (%)</w:t>
            </w:r>
          </w:p>
        </w:tc>
      </w:tr>
      <w:tr w:rsidR="001F3356" w:rsidRPr="007F61D7" w14:paraId="7F7B693D" w14:textId="77777777" w:rsidTr="001511D3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E0691B8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Hospitalised at least once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D10F2A6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278 (11.4)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39839F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237 (8.9)</w:t>
            </w:r>
          </w:p>
        </w:tc>
      </w:tr>
      <w:tr w:rsidR="001F3356" w:rsidRPr="007F61D7" w14:paraId="345313C1" w14:textId="77777777" w:rsidTr="001511D3">
        <w:tc>
          <w:tcPr>
            <w:tcW w:w="3936" w:type="dxa"/>
            <w:vAlign w:val="center"/>
          </w:tcPr>
          <w:p w14:paraId="3C813A61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Total no. of days hospitalised *</w:t>
            </w:r>
          </w:p>
        </w:tc>
        <w:tc>
          <w:tcPr>
            <w:tcW w:w="2155" w:type="dxa"/>
            <w:vAlign w:val="center"/>
          </w:tcPr>
          <w:p w14:paraId="44A96066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3 (1, 6)</w:t>
            </w:r>
          </w:p>
        </w:tc>
        <w:tc>
          <w:tcPr>
            <w:tcW w:w="2268" w:type="dxa"/>
            <w:vAlign w:val="center"/>
          </w:tcPr>
          <w:p w14:paraId="30E3F5A2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rFonts w:eastAsia="Shaker2Lancet-Regular"/>
                <w:sz w:val="22"/>
                <w:szCs w:val="22"/>
                <w:lang w:val="en-GB"/>
              </w:rPr>
              <w:t>2 (1, 4)</w:t>
            </w:r>
          </w:p>
        </w:tc>
      </w:tr>
      <w:tr w:rsidR="001F3356" w:rsidRPr="007F61D7" w14:paraId="20876C71" w14:textId="77777777" w:rsidTr="001511D3">
        <w:tc>
          <w:tcPr>
            <w:tcW w:w="3936" w:type="dxa"/>
            <w:vAlign w:val="center"/>
          </w:tcPr>
          <w:p w14:paraId="7229AD06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Any prescription made by a health care professional</w:t>
            </w:r>
          </w:p>
        </w:tc>
        <w:tc>
          <w:tcPr>
            <w:tcW w:w="2155" w:type="dxa"/>
            <w:vAlign w:val="center"/>
          </w:tcPr>
          <w:p w14:paraId="43DFBE2F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1452 (59.7)</w:t>
            </w:r>
          </w:p>
        </w:tc>
        <w:tc>
          <w:tcPr>
            <w:tcW w:w="2268" w:type="dxa"/>
            <w:vAlign w:val="center"/>
          </w:tcPr>
          <w:p w14:paraId="798FE66A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1669 (63.0)</w:t>
            </w:r>
          </w:p>
        </w:tc>
      </w:tr>
      <w:tr w:rsidR="001F3356" w:rsidRPr="007F61D7" w14:paraId="3BC939BB" w14:textId="77777777" w:rsidTr="001511D3">
        <w:tc>
          <w:tcPr>
            <w:tcW w:w="3936" w:type="dxa"/>
            <w:vAlign w:val="center"/>
          </w:tcPr>
          <w:p w14:paraId="0657EF50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Antibiotics (≥ 3 regimens)</w:t>
            </w:r>
          </w:p>
        </w:tc>
        <w:tc>
          <w:tcPr>
            <w:tcW w:w="2155" w:type="dxa"/>
            <w:vAlign w:val="center"/>
          </w:tcPr>
          <w:p w14:paraId="768495BE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270 (11.1)</w:t>
            </w:r>
          </w:p>
        </w:tc>
        <w:tc>
          <w:tcPr>
            <w:tcW w:w="2268" w:type="dxa"/>
            <w:vAlign w:val="center"/>
          </w:tcPr>
          <w:p w14:paraId="57719761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427 (16.1)</w:t>
            </w:r>
          </w:p>
        </w:tc>
      </w:tr>
      <w:tr w:rsidR="001F3356" w:rsidRPr="007F61D7" w14:paraId="13A93DA1" w14:textId="77777777" w:rsidTr="001511D3">
        <w:tc>
          <w:tcPr>
            <w:tcW w:w="3936" w:type="dxa"/>
            <w:vAlign w:val="center"/>
          </w:tcPr>
          <w:p w14:paraId="31B89E71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Up-to-date with local vaccination policies</w:t>
            </w:r>
          </w:p>
        </w:tc>
        <w:tc>
          <w:tcPr>
            <w:tcW w:w="2155" w:type="dxa"/>
            <w:vAlign w:val="center"/>
          </w:tcPr>
          <w:p w14:paraId="12A310EC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2225 (91.5)</w:t>
            </w:r>
          </w:p>
        </w:tc>
        <w:tc>
          <w:tcPr>
            <w:tcW w:w="2268" w:type="dxa"/>
            <w:vAlign w:val="center"/>
          </w:tcPr>
          <w:p w14:paraId="14CCE63C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2542 (96.0)</w:t>
            </w:r>
          </w:p>
        </w:tc>
      </w:tr>
      <w:tr w:rsidR="001F3356" w:rsidRPr="007F61D7" w14:paraId="4FE39EBA" w14:textId="77777777" w:rsidTr="001511D3">
        <w:tc>
          <w:tcPr>
            <w:tcW w:w="3936" w:type="dxa"/>
            <w:vAlign w:val="center"/>
          </w:tcPr>
          <w:p w14:paraId="5EADF4F2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Otitis media/pneumonia/bronchiolitis</w:t>
            </w:r>
          </w:p>
        </w:tc>
        <w:tc>
          <w:tcPr>
            <w:tcW w:w="2155" w:type="dxa"/>
            <w:vAlign w:val="center"/>
          </w:tcPr>
          <w:p w14:paraId="529ACF3D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208 (8.6)</w:t>
            </w:r>
          </w:p>
        </w:tc>
        <w:tc>
          <w:tcPr>
            <w:tcW w:w="2268" w:type="dxa"/>
            <w:vAlign w:val="center"/>
          </w:tcPr>
          <w:p w14:paraId="180D4382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267 (10.1)</w:t>
            </w:r>
          </w:p>
        </w:tc>
      </w:tr>
      <w:tr w:rsidR="001F3356" w:rsidRPr="007F61D7" w14:paraId="7A38DFE4" w14:textId="77777777" w:rsidTr="001511D3">
        <w:tc>
          <w:tcPr>
            <w:tcW w:w="3936" w:type="dxa"/>
            <w:vAlign w:val="center"/>
          </w:tcPr>
          <w:p w14:paraId="6A4D30DE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Parasitosis/diarrhoea/vomiting</w:t>
            </w:r>
          </w:p>
        </w:tc>
        <w:tc>
          <w:tcPr>
            <w:tcW w:w="2155" w:type="dxa"/>
            <w:vAlign w:val="center"/>
          </w:tcPr>
          <w:p w14:paraId="2E5892AF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123 (5.1)</w:t>
            </w:r>
          </w:p>
        </w:tc>
        <w:tc>
          <w:tcPr>
            <w:tcW w:w="2268" w:type="dxa"/>
            <w:vAlign w:val="center"/>
          </w:tcPr>
          <w:p w14:paraId="17001BD8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125 (4.7)</w:t>
            </w:r>
          </w:p>
        </w:tc>
      </w:tr>
      <w:tr w:rsidR="001F3356" w:rsidRPr="007F61D7" w14:paraId="35BC6AF9" w14:textId="77777777" w:rsidTr="001511D3">
        <w:tc>
          <w:tcPr>
            <w:tcW w:w="3936" w:type="dxa"/>
            <w:vAlign w:val="center"/>
          </w:tcPr>
          <w:p w14:paraId="72F23765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Seizures/cerebral palsy/neurological disorders</w:t>
            </w:r>
          </w:p>
        </w:tc>
        <w:tc>
          <w:tcPr>
            <w:tcW w:w="2155" w:type="dxa"/>
            <w:vAlign w:val="center"/>
          </w:tcPr>
          <w:p w14:paraId="51440A69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(0.3)</w:t>
            </w:r>
          </w:p>
        </w:tc>
        <w:tc>
          <w:tcPr>
            <w:tcW w:w="2268" w:type="dxa"/>
            <w:vAlign w:val="center"/>
          </w:tcPr>
          <w:p w14:paraId="3A504D90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(0.2)</w:t>
            </w:r>
          </w:p>
        </w:tc>
      </w:tr>
      <w:tr w:rsidR="001F3356" w:rsidRPr="007F61D7" w14:paraId="3F101E5B" w14:textId="77777777" w:rsidTr="001511D3">
        <w:tc>
          <w:tcPr>
            <w:tcW w:w="3936" w:type="dxa"/>
            <w:vAlign w:val="center"/>
          </w:tcPr>
          <w:p w14:paraId="1860AE3F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Exanthema/skin disease</w:t>
            </w:r>
          </w:p>
        </w:tc>
        <w:tc>
          <w:tcPr>
            <w:tcW w:w="2155" w:type="dxa"/>
            <w:vAlign w:val="center"/>
          </w:tcPr>
          <w:p w14:paraId="50096DEB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360 (14.8)</w:t>
            </w:r>
          </w:p>
        </w:tc>
        <w:tc>
          <w:tcPr>
            <w:tcW w:w="2268" w:type="dxa"/>
            <w:vAlign w:val="center"/>
          </w:tcPr>
          <w:p w14:paraId="14CAB1B5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332 (12.5)</w:t>
            </w:r>
          </w:p>
        </w:tc>
      </w:tr>
      <w:tr w:rsidR="001F3356" w:rsidRPr="007F61D7" w14:paraId="20A153A5" w14:textId="77777777" w:rsidTr="001511D3">
        <w:tc>
          <w:tcPr>
            <w:tcW w:w="3936" w:type="dxa"/>
            <w:vAlign w:val="center"/>
          </w:tcPr>
          <w:p w14:paraId="68696C56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UTI</w:t>
            </w:r>
            <w:r w:rsidRPr="007F61D7">
              <w:rPr>
                <w:sz w:val="22"/>
                <w:szCs w:val="22"/>
                <w:vertAlign w:val="superscript"/>
                <w:lang w:val="en-GB"/>
              </w:rPr>
              <w:sym w:font="Symbol" w:char="F02B"/>
            </w:r>
            <w:r w:rsidRPr="007F61D7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7F61D7">
              <w:rPr>
                <w:sz w:val="22"/>
                <w:szCs w:val="22"/>
                <w:lang w:val="en-GB"/>
              </w:rPr>
              <w:t>/pyelonephritis</w:t>
            </w:r>
          </w:p>
        </w:tc>
        <w:tc>
          <w:tcPr>
            <w:tcW w:w="2155" w:type="dxa"/>
            <w:vAlign w:val="center"/>
          </w:tcPr>
          <w:p w14:paraId="2F6E12EF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5 (0.2)</w:t>
            </w:r>
          </w:p>
        </w:tc>
        <w:tc>
          <w:tcPr>
            <w:tcW w:w="2268" w:type="dxa"/>
            <w:vAlign w:val="center"/>
          </w:tcPr>
          <w:p w14:paraId="2CD91FAF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9 (0.3)</w:t>
            </w:r>
          </w:p>
        </w:tc>
      </w:tr>
      <w:tr w:rsidR="001F3356" w:rsidRPr="007F61D7" w14:paraId="2AD16096" w14:textId="77777777" w:rsidTr="001511D3">
        <w:tc>
          <w:tcPr>
            <w:tcW w:w="3936" w:type="dxa"/>
            <w:vAlign w:val="center"/>
          </w:tcPr>
          <w:p w14:paraId="681296F6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Fever ≥ 3 days (≥ 3 episodes)</w:t>
            </w:r>
          </w:p>
        </w:tc>
        <w:tc>
          <w:tcPr>
            <w:tcW w:w="2155" w:type="dxa"/>
            <w:vAlign w:val="center"/>
          </w:tcPr>
          <w:p w14:paraId="2C365A26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255 (10.5)</w:t>
            </w:r>
          </w:p>
        </w:tc>
        <w:tc>
          <w:tcPr>
            <w:tcW w:w="2268" w:type="dxa"/>
            <w:vAlign w:val="center"/>
          </w:tcPr>
          <w:p w14:paraId="3C2D242B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277 (10.5)</w:t>
            </w:r>
          </w:p>
        </w:tc>
      </w:tr>
      <w:tr w:rsidR="001F3356" w:rsidRPr="007F61D7" w14:paraId="6FD85691" w14:textId="77777777" w:rsidTr="001511D3">
        <w:tc>
          <w:tcPr>
            <w:tcW w:w="3936" w:type="dxa"/>
            <w:vAlign w:val="center"/>
          </w:tcPr>
          <w:p w14:paraId="3D73219A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Malaria</w:t>
            </w:r>
          </w:p>
        </w:tc>
        <w:tc>
          <w:tcPr>
            <w:tcW w:w="2155" w:type="dxa"/>
            <w:vAlign w:val="center"/>
          </w:tcPr>
          <w:p w14:paraId="04DCD2E3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5 (0.2)</w:t>
            </w:r>
          </w:p>
        </w:tc>
        <w:tc>
          <w:tcPr>
            <w:tcW w:w="2268" w:type="dxa"/>
            <w:vAlign w:val="center"/>
          </w:tcPr>
          <w:p w14:paraId="2692FBF3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(0.2)</w:t>
            </w:r>
          </w:p>
        </w:tc>
      </w:tr>
      <w:tr w:rsidR="001F3356" w:rsidRPr="007F61D7" w14:paraId="5A013E7E" w14:textId="77777777" w:rsidTr="001511D3">
        <w:tc>
          <w:tcPr>
            <w:tcW w:w="3936" w:type="dxa"/>
            <w:vAlign w:val="center"/>
          </w:tcPr>
          <w:p w14:paraId="597DE8D8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Meningitis</w:t>
            </w:r>
          </w:p>
        </w:tc>
        <w:tc>
          <w:tcPr>
            <w:tcW w:w="2155" w:type="dxa"/>
            <w:vAlign w:val="center"/>
          </w:tcPr>
          <w:p w14:paraId="4E5A7D29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8 (0.3)</w:t>
            </w:r>
          </w:p>
        </w:tc>
        <w:tc>
          <w:tcPr>
            <w:tcW w:w="2268" w:type="dxa"/>
            <w:vAlign w:val="center"/>
          </w:tcPr>
          <w:p w14:paraId="00806DCF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rFonts w:eastAsia="Shaker2Lancet-Regular"/>
                <w:sz w:val="22"/>
                <w:szCs w:val="22"/>
                <w:lang w:val="en-GB"/>
              </w:rPr>
              <w:t>1 (&lt;0.1)</w:t>
            </w:r>
          </w:p>
        </w:tc>
      </w:tr>
      <w:tr w:rsidR="001F3356" w:rsidRPr="007F61D7" w14:paraId="2EA8427D" w14:textId="77777777" w:rsidTr="001511D3">
        <w:tc>
          <w:tcPr>
            <w:tcW w:w="3936" w:type="dxa"/>
            <w:vAlign w:val="center"/>
          </w:tcPr>
          <w:p w14:paraId="7CC74CA0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Other infections that required antibiotics</w:t>
            </w:r>
          </w:p>
        </w:tc>
        <w:tc>
          <w:tcPr>
            <w:tcW w:w="2155" w:type="dxa"/>
            <w:vAlign w:val="center"/>
          </w:tcPr>
          <w:p w14:paraId="04D38E2A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59 (2.4)</w:t>
            </w:r>
          </w:p>
        </w:tc>
        <w:tc>
          <w:tcPr>
            <w:tcW w:w="2268" w:type="dxa"/>
            <w:vAlign w:val="center"/>
          </w:tcPr>
          <w:p w14:paraId="4301946F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68 (2.6)</w:t>
            </w:r>
          </w:p>
        </w:tc>
      </w:tr>
      <w:tr w:rsidR="001F3356" w:rsidRPr="007F61D7" w14:paraId="413BAB6D" w14:textId="77777777" w:rsidTr="001511D3">
        <w:tc>
          <w:tcPr>
            <w:tcW w:w="3936" w:type="dxa"/>
            <w:vAlign w:val="center"/>
          </w:tcPr>
          <w:p w14:paraId="080B78ED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Hearing problems</w:t>
            </w:r>
          </w:p>
        </w:tc>
        <w:tc>
          <w:tcPr>
            <w:tcW w:w="2155" w:type="dxa"/>
            <w:vAlign w:val="center"/>
          </w:tcPr>
          <w:p w14:paraId="3B2AC276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4 (0.2)</w:t>
            </w:r>
          </w:p>
        </w:tc>
        <w:tc>
          <w:tcPr>
            <w:tcW w:w="2268" w:type="dxa"/>
            <w:vAlign w:val="center"/>
          </w:tcPr>
          <w:p w14:paraId="727302B4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 (0.1)</w:t>
            </w:r>
          </w:p>
        </w:tc>
      </w:tr>
      <w:tr w:rsidR="001F3356" w:rsidRPr="007F61D7" w14:paraId="1A7102FB" w14:textId="77777777" w:rsidTr="001511D3">
        <w:tc>
          <w:tcPr>
            <w:tcW w:w="3936" w:type="dxa"/>
            <w:vAlign w:val="center"/>
          </w:tcPr>
          <w:p w14:paraId="292C4E24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Asthma</w:t>
            </w:r>
          </w:p>
        </w:tc>
        <w:tc>
          <w:tcPr>
            <w:tcW w:w="2155" w:type="dxa"/>
            <w:vAlign w:val="center"/>
          </w:tcPr>
          <w:p w14:paraId="23BE70E1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15 (0.6)</w:t>
            </w:r>
          </w:p>
        </w:tc>
        <w:tc>
          <w:tcPr>
            <w:tcW w:w="2268" w:type="dxa"/>
            <w:vAlign w:val="center"/>
          </w:tcPr>
          <w:p w14:paraId="5BFD2B3F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30 (1.1)</w:t>
            </w:r>
          </w:p>
        </w:tc>
      </w:tr>
      <w:tr w:rsidR="001F3356" w:rsidRPr="007F61D7" w14:paraId="628E38A4" w14:textId="77777777" w:rsidTr="001511D3">
        <w:tc>
          <w:tcPr>
            <w:tcW w:w="3936" w:type="dxa"/>
            <w:vAlign w:val="center"/>
          </w:tcPr>
          <w:p w14:paraId="7C8C0AA8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Cardiovascular problems</w:t>
            </w:r>
          </w:p>
        </w:tc>
        <w:tc>
          <w:tcPr>
            <w:tcW w:w="2155" w:type="dxa"/>
            <w:vAlign w:val="center"/>
          </w:tcPr>
          <w:p w14:paraId="2381C712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(0.3)</w:t>
            </w:r>
          </w:p>
        </w:tc>
        <w:tc>
          <w:tcPr>
            <w:tcW w:w="2268" w:type="dxa"/>
            <w:vAlign w:val="center"/>
          </w:tcPr>
          <w:p w14:paraId="44BEB0B7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(0.2)</w:t>
            </w:r>
          </w:p>
        </w:tc>
      </w:tr>
      <w:tr w:rsidR="001F3356" w:rsidRPr="007F61D7" w14:paraId="3F03BA15" w14:textId="77777777" w:rsidTr="001511D3">
        <w:tc>
          <w:tcPr>
            <w:tcW w:w="3936" w:type="dxa"/>
            <w:vAlign w:val="center"/>
          </w:tcPr>
          <w:p w14:paraId="051FD575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Blindness</w:t>
            </w:r>
          </w:p>
        </w:tc>
        <w:tc>
          <w:tcPr>
            <w:tcW w:w="2155" w:type="dxa"/>
            <w:vAlign w:val="center"/>
          </w:tcPr>
          <w:p w14:paraId="314C8FDE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5 (0.2)</w:t>
            </w:r>
          </w:p>
        </w:tc>
        <w:tc>
          <w:tcPr>
            <w:tcW w:w="2268" w:type="dxa"/>
            <w:vAlign w:val="center"/>
          </w:tcPr>
          <w:p w14:paraId="6138117C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3 (0.1)</w:t>
            </w:r>
          </w:p>
        </w:tc>
      </w:tr>
      <w:tr w:rsidR="001F3356" w:rsidRPr="007F61D7" w14:paraId="2B11F1BB" w14:textId="77777777" w:rsidTr="001511D3">
        <w:tc>
          <w:tcPr>
            <w:tcW w:w="3936" w:type="dxa"/>
            <w:vAlign w:val="center"/>
          </w:tcPr>
          <w:p w14:paraId="0D069106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Gastro-oesophageal reflux</w:t>
            </w:r>
          </w:p>
        </w:tc>
        <w:tc>
          <w:tcPr>
            <w:tcW w:w="2155" w:type="dxa"/>
            <w:vAlign w:val="center"/>
          </w:tcPr>
          <w:p w14:paraId="4FF63B0A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72 (3.0)</w:t>
            </w:r>
          </w:p>
        </w:tc>
        <w:tc>
          <w:tcPr>
            <w:tcW w:w="2268" w:type="dxa"/>
            <w:vAlign w:val="center"/>
          </w:tcPr>
          <w:p w14:paraId="3443E0C0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8 (0.3)</w:t>
            </w:r>
          </w:p>
        </w:tc>
      </w:tr>
      <w:tr w:rsidR="001F3356" w:rsidRPr="007F61D7" w14:paraId="240016B7" w14:textId="77777777" w:rsidTr="001511D3">
        <w:tc>
          <w:tcPr>
            <w:tcW w:w="3936" w:type="dxa"/>
            <w:vAlign w:val="center"/>
          </w:tcPr>
          <w:p w14:paraId="6A734D73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Any haemolytic condition</w:t>
            </w:r>
          </w:p>
        </w:tc>
        <w:tc>
          <w:tcPr>
            <w:tcW w:w="2155" w:type="dxa"/>
            <w:vAlign w:val="center"/>
          </w:tcPr>
          <w:p w14:paraId="646F2FA8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14 (0.6)</w:t>
            </w:r>
          </w:p>
        </w:tc>
        <w:tc>
          <w:tcPr>
            <w:tcW w:w="2268" w:type="dxa"/>
            <w:vAlign w:val="center"/>
          </w:tcPr>
          <w:p w14:paraId="18843C0A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rFonts w:eastAsia="Shaker2Lancet-Regular"/>
                <w:sz w:val="22"/>
                <w:szCs w:val="22"/>
                <w:lang w:val="en-GB"/>
              </w:rPr>
              <w:t>21 (0.8)</w:t>
            </w:r>
          </w:p>
        </w:tc>
      </w:tr>
      <w:tr w:rsidR="001F3356" w:rsidRPr="007F61D7" w14:paraId="3D60D9CB" w14:textId="77777777" w:rsidTr="001511D3">
        <w:tc>
          <w:tcPr>
            <w:tcW w:w="3936" w:type="dxa"/>
            <w:vAlign w:val="center"/>
          </w:tcPr>
          <w:p w14:paraId="32741E1B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Any malignancy</w:t>
            </w:r>
          </w:p>
        </w:tc>
        <w:tc>
          <w:tcPr>
            <w:tcW w:w="2155" w:type="dxa"/>
            <w:vAlign w:val="center"/>
          </w:tcPr>
          <w:p w14:paraId="2BB3D16B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2 (0.1)</w:t>
            </w:r>
          </w:p>
        </w:tc>
        <w:tc>
          <w:tcPr>
            <w:tcW w:w="2268" w:type="dxa"/>
            <w:vAlign w:val="center"/>
          </w:tcPr>
          <w:p w14:paraId="2C75C705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6 (0.2)</w:t>
            </w:r>
          </w:p>
        </w:tc>
      </w:tr>
      <w:tr w:rsidR="001F3356" w:rsidRPr="007F61D7" w14:paraId="2054976D" w14:textId="77777777" w:rsidTr="001511D3">
        <w:tc>
          <w:tcPr>
            <w:tcW w:w="3936" w:type="dxa"/>
            <w:vAlign w:val="center"/>
          </w:tcPr>
          <w:p w14:paraId="47900575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Cow’s milk protein allergy</w:t>
            </w:r>
          </w:p>
        </w:tc>
        <w:tc>
          <w:tcPr>
            <w:tcW w:w="2155" w:type="dxa"/>
            <w:vAlign w:val="center"/>
          </w:tcPr>
          <w:p w14:paraId="7B2E22A1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NA</w:t>
            </w:r>
            <w:r w:rsidRPr="007F61D7">
              <w:rPr>
                <w:color w:val="333333"/>
                <w:sz w:val="22"/>
                <w:szCs w:val="22"/>
                <w:shd w:val="clear" w:color="auto" w:fill="FAFBFC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vAlign w:val="center"/>
          </w:tcPr>
          <w:p w14:paraId="33F3857B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17 (0.6)</w:t>
            </w:r>
          </w:p>
        </w:tc>
      </w:tr>
      <w:tr w:rsidR="001F3356" w:rsidRPr="007F61D7" w14:paraId="595300C3" w14:textId="77777777" w:rsidTr="001511D3">
        <w:tc>
          <w:tcPr>
            <w:tcW w:w="3936" w:type="dxa"/>
            <w:vAlign w:val="center"/>
          </w:tcPr>
          <w:p w14:paraId="6841FEF8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Food allergies</w:t>
            </w:r>
          </w:p>
        </w:tc>
        <w:tc>
          <w:tcPr>
            <w:tcW w:w="2155" w:type="dxa"/>
            <w:vAlign w:val="center"/>
          </w:tcPr>
          <w:p w14:paraId="46DF7025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color w:val="000000"/>
                <w:sz w:val="22"/>
                <w:szCs w:val="22"/>
                <w:lang w:val="en-GB"/>
              </w:rPr>
              <w:t>NA</w:t>
            </w:r>
            <w:r w:rsidRPr="007F61D7">
              <w:rPr>
                <w:color w:val="333333"/>
                <w:sz w:val="22"/>
                <w:szCs w:val="22"/>
                <w:shd w:val="clear" w:color="auto" w:fill="FAFBFC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vAlign w:val="center"/>
          </w:tcPr>
          <w:p w14:paraId="04DE258B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44 (1.7)</w:t>
            </w:r>
          </w:p>
        </w:tc>
      </w:tr>
      <w:tr w:rsidR="001F3356" w:rsidRPr="007F61D7" w14:paraId="14353F5D" w14:textId="77777777" w:rsidTr="001511D3">
        <w:tc>
          <w:tcPr>
            <w:tcW w:w="3936" w:type="dxa"/>
            <w:vAlign w:val="center"/>
          </w:tcPr>
          <w:p w14:paraId="60512CAD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Injury trauma</w:t>
            </w:r>
          </w:p>
        </w:tc>
        <w:tc>
          <w:tcPr>
            <w:tcW w:w="2155" w:type="dxa"/>
            <w:vAlign w:val="center"/>
          </w:tcPr>
          <w:p w14:paraId="252BE202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41 (1.7)</w:t>
            </w:r>
          </w:p>
        </w:tc>
        <w:tc>
          <w:tcPr>
            <w:tcW w:w="2268" w:type="dxa"/>
            <w:vAlign w:val="center"/>
          </w:tcPr>
          <w:p w14:paraId="1F8A358E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120 (4.5)</w:t>
            </w:r>
          </w:p>
        </w:tc>
      </w:tr>
      <w:tr w:rsidR="001F3356" w:rsidRPr="007F61D7" w14:paraId="3899CBFF" w14:textId="77777777" w:rsidTr="001511D3">
        <w:tc>
          <w:tcPr>
            <w:tcW w:w="3936" w:type="dxa"/>
            <w:vAlign w:val="center"/>
          </w:tcPr>
          <w:p w14:paraId="59CC7DCB" w14:textId="77777777" w:rsidR="001F3356" w:rsidRPr="007F61D7" w:rsidRDefault="001F3356" w:rsidP="001511D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Any condition that required surgery</w:t>
            </w:r>
          </w:p>
        </w:tc>
        <w:tc>
          <w:tcPr>
            <w:tcW w:w="2155" w:type="dxa"/>
            <w:vAlign w:val="center"/>
          </w:tcPr>
          <w:p w14:paraId="1502B8A1" w14:textId="77777777" w:rsidR="001F3356" w:rsidRPr="007F61D7" w:rsidRDefault="001F3356" w:rsidP="001511D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22 (0.9)</w:t>
            </w:r>
          </w:p>
        </w:tc>
        <w:tc>
          <w:tcPr>
            <w:tcW w:w="2268" w:type="dxa"/>
            <w:vAlign w:val="center"/>
          </w:tcPr>
          <w:p w14:paraId="2471B0D6" w14:textId="77777777" w:rsidR="001F3356" w:rsidRPr="007F61D7" w:rsidRDefault="001F3356" w:rsidP="001511D3">
            <w:pPr>
              <w:spacing w:before="60" w:after="60"/>
              <w:jc w:val="center"/>
              <w:rPr>
                <w:rFonts w:eastAsia="Shaker2Lancet-Regular"/>
                <w:sz w:val="22"/>
                <w:szCs w:val="22"/>
                <w:lang w:val="en-GB"/>
              </w:rPr>
            </w:pPr>
            <w:r w:rsidRPr="007F61D7">
              <w:rPr>
                <w:sz w:val="22"/>
                <w:szCs w:val="22"/>
                <w:lang w:val="en-GB"/>
              </w:rPr>
              <w:t>28 (1.1)</w:t>
            </w:r>
          </w:p>
        </w:tc>
      </w:tr>
    </w:tbl>
    <w:p w14:paraId="7F33CFB2" w14:textId="77777777" w:rsidR="001F3356" w:rsidRPr="00F25634" w:rsidRDefault="001F3356" w:rsidP="001F3356">
      <w:pPr>
        <w:spacing w:before="120" w:line="252" w:lineRule="auto"/>
        <w:rPr>
          <w:lang w:val="en-GB"/>
        </w:rPr>
      </w:pPr>
      <w:r w:rsidRPr="00F25634">
        <w:rPr>
          <w:lang w:val="en-GB"/>
        </w:rPr>
        <w:t xml:space="preserve">*Data are given as median (interquartile range); </w:t>
      </w:r>
      <w:r w:rsidRPr="00F25634">
        <w:rPr>
          <w:vertAlign w:val="superscript"/>
          <w:lang w:val="en-GB"/>
        </w:rPr>
        <w:sym w:font="Symbol" w:char="F02B"/>
      </w:r>
      <w:r w:rsidRPr="00F25634">
        <w:rPr>
          <w:vertAlign w:val="superscript"/>
          <w:lang w:val="en-GB"/>
        </w:rPr>
        <w:t xml:space="preserve"> </w:t>
      </w:r>
      <w:r w:rsidRPr="00F25634">
        <w:rPr>
          <w:lang w:val="en-GB"/>
        </w:rPr>
        <w:t xml:space="preserve">UTI = Urinary tract infection; </w:t>
      </w:r>
      <w:r w:rsidRPr="00F25634">
        <w:rPr>
          <w:color w:val="333333"/>
          <w:shd w:val="clear" w:color="auto" w:fill="FAFBFC"/>
          <w:vertAlign w:val="superscript"/>
          <w:lang w:val="en-GB"/>
        </w:rPr>
        <w:t xml:space="preserve">‡ </w:t>
      </w:r>
      <w:r w:rsidRPr="00F25634">
        <w:rPr>
          <w:lang w:val="en-GB"/>
        </w:rPr>
        <w:t>NA, not applicable (data were not collected at the 1-year follow-up visit)</w:t>
      </w:r>
    </w:p>
    <w:p w14:paraId="4EB55DE3" w14:textId="35EB8E42" w:rsidR="0061718A" w:rsidRPr="00F25634" w:rsidRDefault="0061718A" w:rsidP="001F335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b/>
          <w:color w:val="2F5496" w:themeColor="accent1" w:themeShade="BF"/>
          <w:lang w:val="en-GB"/>
        </w:rPr>
      </w:pPr>
    </w:p>
    <w:p w14:paraId="49D76EAC" w14:textId="03CE9A72" w:rsidR="0061718A" w:rsidRPr="00F25634" w:rsidRDefault="0061718A" w:rsidP="007F61D7">
      <w:pPr>
        <w:rPr>
          <w:b/>
          <w:lang w:val="en-GB"/>
        </w:rPr>
      </w:pPr>
      <w:r w:rsidRPr="00F25634">
        <w:rPr>
          <w:b/>
          <w:lang w:val="en-GB"/>
        </w:rPr>
        <w:lastRenderedPageBreak/>
        <w:t>Supplementary Figure 1</w:t>
      </w:r>
      <w:r w:rsidRPr="00F25634">
        <w:rPr>
          <w:b/>
          <w:iCs/>
          <w:lang w:val="en-GB"/>
        </w:rPr>
        <w:t>. Median age of achievement (3</w:t>
      </w:r>
      <w:r w:rsidRPr="00F25634">
        <w:rPr>
          <w:b/>
          <w:iCs/>
          <w:vertAlign w:val="superscript"/>
          <w:lang w:val="en-GB"/>
        </w:rPr>
        <w:t>rd</w:t>
      </w:r>
      <w:r w:rsidRPr="00F25634">
        <w:rPr>
          <w:b/>
          <w:iCs/>
          <w:lang w:val="en-GB"/>
        </w:rPr>
        <w:t xml:space="preserve"> and 97</w:t>
      </w:r>
      <w:r w:rsidRPr="00F25634">
        <w:rPr>
          <w:b/>
          <w:iCs/>
          <w:vertAlign w:val="superscript"/>
          <w:lang w:val="en-GB"/>
        </w:rPr>
        <w:t>th</w:t>
      </w:r>
      <w:r w:rsidRPr="00F25634">
        <w:rPr>
          <w:b/>
          <w:iCs/>
          <w:lang w:val="en-GB"/>
        </w:rPr>
        <w:t xml:space="preserve"> centiles) of four gross motor development milestones. Data are for </w:t>
      </w:r>
      <w:r w:rsidRPr="00F25634">
        <w:rPr>
          <w:b/>
          <w:lang w:val="en-GB"/>
        </w:rPr>
        <w:t xml:space="preserve">children who contributed data to the </w:t>
      </w:r>
      <w:r w:rsidR="00F25634">
        <w:rPr>
          <w:b/>
          <w:lang w:val="en-GB"/>
        </w:rPr>
        <w:t xml:space="preserve">proposed </w:t>
      </w:r>
      <w:r w:rsidRPr="00F25634">
        <w:rPr>
          <w:b/>
          <w:lang w:val="en-GB"/>
        </w:rPr>
        <w:t xml:space="preserve">international </w:t>
      </w:r>
      <w:r w:rsidR="00F25634">
        <w:rPr>
          <w:b/>
          <w:lang w:val="en-GB"/>
        </w:rPr>
        <w:t xml:space="preserve">estimated </w:t>
      </w:r>
      <w:r w:rsidRPr="00F25634">
        <w:rPr>
          <w:b/>
          <w:lang w:val="en-GB"/>
        </w:rPr>
        <w:t xml:space="preserve">haemoglobin values for </w:t>
      </w:r>
      <w:r w:rsidR="00F25634">
        <w:rPr>
          <w:b/>
          <w:lang w:val="en-GB"/>
        </w:rPr>
        <w:t>apparently healthy women</w:t>
      </w:r>
      <w:r w:rsidR="00F25634" w:rsidRPr="00F25634">
        <w:rPr>
          <w:b/>
          <w:lang w:val="en-GB"/>
        </w:rPr>
        <w:t xml:space="preserve"> </w:t>
      </w:r>
      <w:r w:rsidRPr="00F25634">
        <w:rPr>
          <w:b/>
          <w:lang w:val="en-GB"/>
        </w:rPr>
        <w:t xml:space="preserve">in pregnancy. For comparison, the </w:t>
      </w:r>
      <w:r w:rsidRPr="00F25634">
        <w:rPr>
          <w:b/>
          <w:iCs/>
          <w:lang w:val="en-GB"/>
        </w:rPr>
        <w:t>3</w:t>
      </w:r>
      <w:r w:rsidRPr="00F25634">
        <w:rPr>
          <w:b/>
          <w:iCs/>
          <w:vertAlign w:val="superscript"/>
          <w:lang w:val="en-GB"/>
        </w:rPr>
        <w:t>rd</w:t>
      </w:r>
      <w:r w:rsidRPr="00F25634">
        <w:rPr>
          <w:b/>
          <w:iCs/>
          <w:lang w:val="en-GB"/>
        </w:rPr>
        <w:t xml:space="preserve"> and 97</w:t>
      </w:r>
      <w:r w:rsidRPr="00F25634">
        <w:rPr>
          <w:b/>
          <w:iCs/>
          <w:vertAlign w:val="superscript"/>
          <w:lang w:val="en-GB"/>
        </w:rPr>
        <w:t>th</w:t>
      </w:r>
      <w:r w:rsidRPr="00F25634">
        <w:rPr>
          <w:b/>
          <w:iCs/>
          <w:lang w:val="en-GB"/>
        </w:rPr>
        <w:t xml:space="preserve"> centiles of the World Health Organization windows of achievement for the same milestones </w:t>
      </w:r>
      <w:r w:rsidRPr="00F25634">
        <w:rPr>
          <w:b/>
          <w:iCs/>
          <w:lang w:val="en-GB"/>
        </w:rPr>
        <w:fldChar w:fldCharType="begin"/>
      </w:r>
      <w:r w:rsidRPr="00F25634">
        <w:rPr>
          <w:b/>
          <w:iCs/>
          <w:lang w:val="en-GB"/>
        </w:rPr>
        <w:instrText xml:space="preserve"> ADDIN EN.CITE &lt;EndNote&gt;&lt;Cite&gt;&lt;Year&gt;2006&lt;/Year&gt;&lt;RecNum&gt;515&lt;/RecNum&gt;&lt;DisplayText&gt;(36)&lt;/DisplayText&gt;&lt;record&gt;&lt;rec-number&gt;515&lt;/rec-number&gt;&lt;foreign-keys&gt;&lt;key app="EN" db-id="f9wzxtppaxzztwez5zr52ezsrsz0vedf0te0" timestamp="1547209623"&gt;515&lt;/key&gt;&lt;/foreign-keys&gt;&lt;ref-type name="Journal Article"&gt;17&lt;/ref-type&gt;&lt;contributors&gt;&lt;/contributors&gt;&lt;titles&gt;&lt;title&gt;WHO Motor Development Study: windows of achievement for six gross motor development milestones&lt;/title&gt;&lt;secondary-title&gt;Acta Paediatr Suppl&lt;/secondary-title&gt;&lt;alt-title&gt;Acta paediatrica (Oslo, Norway : 1992). Supplement&lt;/alt-title&gt;&lt;/titles&gt;&lt;periodical&gt;&lt;full-title&gt;Acta Paediatr Suppl&lt;/full-title&gt;&lt;abbr-1&gt;Acta paediatrica (Oslo, Norway : 1992). Supplement&lt;/abbr-1&gt;&lt;/periodical&gt;&lt;alt-periodical&gt;&lt;full-title&gt;Acta Paediatr Suppl&lt;/full-title&gt;&lt;abbr-1&gt;Acta paediatrica (Oslo, Norway : 1992). Supplement&lt;/abbr-1&gt;&lt;/alt-periodical&gt;&lt;pages&gt;86-95&lt;/pages&gt;&lt;volume&gt;450&lt;/volume&gt;&lt;edition&gt;2006/07/05&lt;/edition&gt;&lt;keywords&gt;&lt;keyword&gt;Child Development&lt;/keyword&gt;&lt;keyword&gt;Child, Preschool&lt;/keyword&gt;&lt;keyword&gt;Female&lt;/keyword&gt;&lt;keyword&gt;Humans&lt;/keyword&gt;&lt;keyword&gt;Infant&lt;/keyword&gt;&lt;keyword&gt;Infant, Newborn&lt;/keyword&gt;&lt;keyword&gt;Longitudinal Studies&lt;/keyword&gt;&lt;keyword&gt;Male&lt;/keyword&gt;&lt;keyword&gt;Models, Statistical&lt;/keyword&gt;&lt;keyword&gt;*Motor Skills&lt;/keyword&gt;&lt;keyword&gt;Multicenter Studies as Topic&lt;/keyword&gt;&lt;keyword&gt;Walking&lt;/keyword&gt;&lt;keyword&gt;World Health Organization&lt;/keyword&gt;&lt;/keywords&gt;&lt;dates&gt;&lt;year&gt;2006&lt;/year&gt;&lt;pub-dates&gt;&lt;date&gt;Apr&lt;/date&gt;&lt;/pub-dates&gt;&lt;/dates&gt;&lt;isbn&gt;0803-5326 (Print)&amp;#xD;0803-5326&lt;/isbn&gt;&lt;accession-num&gt;16817682&lt;/accession-num&gt;&lt;urls&gt;&lt;/urls&gt;&lt;remote-database-provider&gt;NLM&lt;/remote-database-provider&gt;&lt;language&gt;eng&lt;/language&gt;&lt;/record&gt;&lt;/Cite&gt;&lt;/EndNote&gt;</w:instrText>
      </w:r>
      <w:r w:rsidRPr="00F25634">
        <w:rPr>
          <w:b/>
          <w:iCs/>
          <w:lang w:val="en-GB"/>
        </w:rPr>
        <w:fldChar w:fldCharType="separate"/>
      </w:r>
      <w:r w:rsidRPr="00F25634">
        <w:rPr>
          <w:b/>
          <w:iCs/>
          <w:noProof/>
          <w:lang w:val="en-GB"/>
        </w:rPr>
        <w:t>(36)</w:t>
      </w:r>
      <w:r w:rsidRPr="00F25634">
        <w:rPr>
          <w:b/>
          <w:iCs/>
          <w:lang w:val="en-GB"/>
        </w:rPr>
        <w:fldChar w:fldCharType="end"/>
      </w:r>
      <w:r w:rsidRPr="00F25634">
        <w:rPr>
          <w:b/>
          <w:iCs/>
          <w:lang w:val="en-GB"/>
        </w:rPr>
        <w:t xml:space="preserve"> are presented in </w:t>
      </w:r>
      <w:r w:rsidRPr="00F25634">
        <w:rPr>
          <w:b/>
          <w:i/>
          <w:lang w:val="en-GB"/>
        </w:rPr>
        <w:t>grey</w:t>
      </w:r>
      <w:r w:rsidRPr="00F25634">
        <w:rPr>
          <w:b/>
          <w:iCs/>
          <w:lang w:val="en-GB"/>
        </w:rPr>
        <w:t xml:space="preserve"> (with the median shown as a </w:t>
      </w:r>
      <w:r w:rsidRPr="00F25634">
        <w:rPr>
          <w:b/>
          <w:i/>
          <w:lang w:val="en-GB"/>
        </w:rPr>
        <w:t>vertical line</w:t>
      </w:r>
      <w:r w:rsidRPr="00F25634">
        <w:rPr>
          <w:b/>
          <w:iCs/>
          <w:lang w:val="en-GB"/>
        </w:rPr>
        <w:t>).</w:t>
      </w:r>
    </w:p>
    <w:p w14:paraId="68BD8D54" w14:textId="77777777" w:rsidR="0061718A" w:rsidRPr="00F25634" w:rsidRDefault="0061718A" w:rsidP="0061718A">
      <w:pPr>
        <w:spacing w:before="100" w:beforeAutospacing="1" w:after="100" w:afterAutospacing="1" w:line="480" w:lineRule="auto"/>
        <w:jc w:val="both"/>
        <w:rPr>
          <w:b/>
          <w:lang w:val="en-GB"/>
        </w:rPr>
      </w:pPr>
      <w:r w:rsidRPr="00F25634">
        <w:rPr>
          <w:b/>
          <w:noProof/>
          <w:lang w:val="en-GB" w:eastAsia="en-GB"/>
        </w:rPr>
        <w:drawing>
          <wp:inline distT="0" distB="0" distL="0" distR="0" wp14:anchorId="2096382A" wp14:editId="3DF56AE4">
            <wp:extent cx="54864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C368" w14:textId="38081071" w:rsidR="001F3356" w:rsidRPr="00F25634" w:rsidRDefault="001F3356" w:rsidP="001F3356">
      <w:pPr>
        <w:rPr>
          <w:b/>
          <w:iCs/>
          <w:lang w:val="en-GB"/>
        </w:rPr>
      </w:pPr>
    </w:p>
    <w:p w14:paraId="45F9B0DE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6A9A8B3A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29CD6F45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2E9FB39F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794D6280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3A3E4DC3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627A9F6D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495AC1D0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1A4BDE74" w14:textId="77777777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7A7A5A8C" w14:textId="6BB49DD8" w:rsidR="004D3299" w:rsidRDefault="004D3299" w:rsidP="004D3299">
      <w:pPr>
        <w:rPr>
          <w:b/>
          <w:lang w:val="en-GB"/>
        </w:rPr>
      </w:pPr>
      <w:r w:rsidRPr="00F25634">
        <w:rPr>
          <w:b/>
          <w:bCs/>
          <w:color w:val="000000"/>
          <w:lang w:val="en-GB"/>
        </w:rPr>
        <w:lastRenderedPageBreak/>
        <w:t xml:space="preserve">Supplementary Figure 2: </w:t>
      </w:r>
      <w:r w:rsidRPr="00F25634">
        <w:rPr>
          <w:b/>
          <w:lang w:val="en-GB"/>
        </w:rPr>
        <w:t xml:space="preserve">represents the distribution of maternal haemoglobin </w:t>
      </w:r>
      <w:r w:rsidR="00F25634">
        <w:rPr>
          <w:b/>
          <w:lang w:val="en-GB"/>
        </w:rPr>
        <w:t xml:space="preserve">(in g/L) </w:t>
      </w:r>
      <w:r w:rsidRPr="00F25634">
        <w:rPr>
          <w:b/>
          <w:lang w:val="en-GB"/>
        </w:rPr>
        <w:t xml:space="preserve">obtained from medical records of 3502 women participating in the </w:t>
      </w:r>
      <w:proofErr w:type="spellStart"/>
      <w:r w:rsidRPr="00F25634">
        <w:rPr>
          <w:b/>
          <w:lang w:val="en-GB"/>
        </w:rPr>
        <w:t>Fetal</w:t>
      </w:r>
      <w:proofErr w:type="spellEnd"/>
      <w:r w:rsidRPr="00F25634">
        <w:rPr>
          <w:b/>
          <w:lang w:val="en-GB"/>
        </w:rPr>
        <w:t xml:space="preserve"> Growth Longitudinal Study</w:t>
      </w:r>
      <w:r w:rsidR="001F42CB" w:rsidRPr="00F25634">
        <w:rPr>
          <w:b/>
          <w:lang w:val="en-GB"/>
        </w:rPr>
        <w:t xml:space="preserve"> </w:t>
      </w:r>
      <w:r w:rsidR="00942E35">
        <w:rPr>
          <w:b/>
          <w:lang w:val="en-GB"/>
        </w:rPr>
        <w:t>who</w:t>
      </w:r>
      <w:r w:rsidRPr="00F25634">
        <w:rPr>
          <w:b/>
          <w:lang w:val="en-GB"/>
        </w:rPr>
        <w:t xml:space="preserve"> reported </w:t>
      </w:r>
      <w:r w:rsidR="00F25634">
        <w:rPr>
          <w:b/>
          <w:lang w:val="en-GB"/>
        </w:rPr>
        <w:t xml:space="preserve">consuming supplements containing </w:t>
      </w:r>
      <w:r w:rsidRPr="00F25634">
        <w:rPr>
          <w:b/>
          <w:lang w:val="en-GB"/>
        </w:rPr>
        <w:t xml:space="preserve">iron (n=2747), folic (n=2972), calcium (n=1788) (either iron/calcium/folic acid, n=3130), or any </w:t>
      </w:r>
      <w:r w:rsidR="00F25634">
        <w:rPr>
          <w:b/>
          <w:lang w:val="en-GB"/>
        </w:rPr>
        <w:t xml:space="preserve">other </w:t>
      </w:r>
      <w:r w:rsidR="0015522B" w:rsidRPr="00F25634">
        <w:rPr>
          <w:b/>
          <w:lang w:val="en-GB"/>
        </w:rPr>
        <w:t>supplement</w:t>
      </w:r>
      <w:r w:rsidR="0015522B">
        <w:rPr>
          <w:b/>
          <w:lang w:val="en-GB"/>
        </w:rPr>
        <w:t>s</w:t>
      </w:r>
      <w:r w:rsidR="0015522B" w:rsidRPr="00F25634">
        <w:rPr>
          <w:b/>
          <w:lang w:val="en-GB"/>
        </w:rPr>
        <w:t xml:space="preserve"> </w:t>
      </w:r>
      <w:r w:rsidRPr="00F25634">
        <w:rPr>
          <w:b/>
          <w:lang w:val="en-GB"/>
        </w:rPr>
        <w:t>(n=3213) during pregnancy</w:t>
      </w:r>
    </w:p>
    <w:p w14:paraId="7CC0A194" w14:textId="0503B550" w:rsidR="00193A7D" w:rsidRDefault="00193A7D" w:rsidP="004D3299">
      <w:pPr>
        <w:rPr>
          <w:b/>
          <w:lang w:val="en-GB"/>
        </w:rPr>
      </w:pPr>
    </w:p>
    <w:p w14:paraId="7A4F6BFE" w14:textId="4C97ED3D" w:rsidR="00193A7D" w:rsidRDefault="00D70E52" w:rsidP="004D3299">
      <w:pPr>
        <w:rPr>
          <w:b/>
          <w:lang w:val="en-GB"/>
        </w:rPr>
      </w:pPr>
      <w:r w:rsidRPr="00D70E52">
        <w:rPr>
          <w:b/>
          <w:noProof/>
          <w:lang w:val="en-GB" w:eastAsia="en-GB"/>
        </w:rPr>
        <w:drawing>
          <wp:inline distT="0" distB="0" distL="0" distR="0" wp14:anchorId="68BE92C8" wp14:editId="72120328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15F2" w14:textId="77777777" w:rsidR="00D70E52" w:rsidRDefault="00D70E52" w:rsidP="004D3299">
      <w:pPr>
        <w:rPr>
          <w:b/>
          <w:lang w:val="en-GB"/>
        </w:rPr>
      </w:pPr>
    </w:p>
    <w:p w14:paraId="27564689" w14:textId="77777777" w:rsidR="00193A7D" w:rsidRDefault="00193A7D" w:rsidP="004D3299">
      <w:pPr>
        <w:rPr>
          <w:b/>
          <w:lang w:val="en-GB"/>
        </w:rPr>
      </w:pPr>
    </w:p>
    <w:p w14:paraId="271D913D" w14:textId="4404ECD1" w:rsidR="004D3299" w:rsidRPr="00F25634" w:rsidRDefault="004D3299" w:rsidP="004D3299">
      <w:pPr>
        <w:rPr>
          <w:b/>
          <w:bCs/>
          <w:color w:val="000000"/>
          <w:lang w:val="en-GB"/>
        </w:rPr>
      </w:pPr>
    </w:p>
    <w:p w14:paraId="231474A5" w14:textId="77777777" w:rsidR="0061718A" w:rsidRPr="00F25634" w:rsidRDefault="0061718A" w:rsidP="001F3356">
      <w:pPr>
        <w:rPr>
          <w:b/>
          <w:iCs/>
          <w:lang w:val="en-GB"/>
        </w:rPr>
      </w:pPr>
    </w:p>
    <w:p w14:paraId="1D06D0B9" w14:textId="77777777" w:rsidR="003959AB" w:rsidRPr="00F25634" w:rsidRDefault="003959AB">
      <w:pPr>
        <w:rPr>
          <w:lang w:val="en-GB"/>
        </w:rPr>
      </w:pPr>
      <w:bookmarkStart w:id="0" w:name="_GoBack"/>
      <w:bookmarkEnd w:id="0"/>
    </w:p>
    <w:sectPr w:rsidR="003959AB" w:rsidRPr="00F25634" w:rsidSect="00D00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ker2Lance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56"/>
    <w:rsid w:val="000250E5"/>
    <w:rsid w:val="00027A00"/>
    <w:rsid w:val="00027F3D"/>
    <w:rsid w:val="00033247"/>
    <w:rsid w:val="000348E1"/>
    <w:rsid w:val="000419D1"/>
    <w:rsid w:val="00045E37"/>
    <w:rsid w:val="0005516C"/>
    <w:rsid w:val="00060501"/>
    <w:rsid w:val="00073228"/>
    <w:rsid w:val="00075CE5"/>
    <w:rsid w:val="00082818"/>
    <w:rsid w:val="00093C3D"/>
    <w:rsid w:val="00094DCD"/>
    <w:rsid w:val="000A0B3E"/>
    <w:rsid w:val="000A2600"/>
    <w:rsid w:val="000A72B4"/>
    <w:rsid w:val="000B1A27"/>
    <w:rsid w:val="000C1E7D"/>
    <w:rsid w:val="000C28C4"/>
    <w:rsid w:val="000C4208"/>
    <w:rsid w:val="000C7716"/>
    <w:rsid w:val="000E0F15"/>
    <w:rsid w:val="000E2A4B"/>
    <w:rsid w:val="000F2B69"/>
    <w:rsid w:val="0011191B"/>
    <w:rsid w:val="00122425"/>
    <w:rsid w:val="00126065"/>
    <w:rsid w:val="00130C4B"/>
    <w:rsid w:val="00134545"/>
    <w:rsid w:val="00134955"/>
    <w:rsid w:val="00141711"/>
    <w:rsid w:val="00141BFD"/>
    <w:rsid w:val="001425FE"/>
    <w:rsid w:val="0015152F"/>
    <w:rsid w:val="00154DEF"/>
    <w:rsid w:val="0015522B"/>
    <w:rsid w:val="00156563"/>
    <w:rsid w:val="00163AC9"/>
    <w:rsid w:val="00165CDF"/>
    <w:rsid w:val="001667C9"/>
    <w:rsid w:val="0016690C"/>
    <w:rsid w:val="00167EEC"/>
    <w:rsid w:val="00171668"/>
    <w:rsid w:val="0019164D"/>
    <w:rsid w:val="001924B2"/>
    <w:rsid w:val="00193A7D"/>
    <w:rsid w:val="001A2760"/>
    <w:rsid w:val="001B05D2"/>
    <w:rsid w:val="001D3AFE"/>
    <w:rsid w:val="001D60FD"/>
    <w:rsid w:val="001D7639"/>
    <w:rsid w:val="001E0A34"/>
    <w:rsid w:val="001E1860"/>
    <w:rsid w:val="001E3951"/>
    <w:rsid w:val="001F1FE9"/>
    <w:rsid w:val="001F3356"/>
    <w:rsid w:val="001F3656"/>
    <w:rsid w:val="001F42CB"/>
    <w:rsid w:val="001F4A7B"/>
    <w:rsid w:val="001F4D23"/>
    <w:rsid w:val="00201F0A"/>
    <w:rsid w:val="00202FFB"/>
    <w:rsid w:val="00203B37"/>
    <w:rsid w:val="00205D7C"/>
    <w:rsid w:val="002074BC"/>
    <w:rsid w:val="002105B5"/>
    <w:rsid w:val="00212B5A"/>
    <w:rsid w:val="00213836"/>
    <w:rsid w:val="00213F3F"/>
    <w:rsid w:val="002228C9"/>
    <w:rsid w:val="00224102"/>
    <w:rsid w:val="0022669C"/>
    <w:rsid w:val="00230B91"/>
    <w:rsid w:val="00236866"/>
    <w:rsid w:val="00251F93"/>
    <w:rsid w:val="0026303F"/>
    <w:rsid w:val="002760EA"/>
    <w:rsid w:val="00277A80"/>
    <w:rsid w:val="002831BD"/>
    <w:rsid w:val="0029484B"/>
    <w:rsid w:val="00294CEF"/>
    <w:rsid w:val="002A1C14"/>
    <w:rsid w:val="002A29FE"/>
    <w:rsid w:val="002A6338"/>
    <w:rsid w:val="002B3ED4"/>
    <w:rsid w:val="002B7969"/>
    <w:rsid w:val="002D240E"/>
    <w:rsid w:val="002D24D7"/>
    <w:rsid w:val="002D2504"/>
    <w:rsid w:val="00313123"/>
    <w:rsid w:val="00322FEA"/>
    <w:rsid w:val="00323F26"/>
    <w:rsid w:val="003246BA"/>
    <w:rsid w:val="00326ABC"/>
    <w:rsid w:val="00332643"/>
    <w:rsid w:val="003365DE"/>
    <w:rsid w:val="00340385"/>
    <w:rsid w:val="0034238A"/>
    <w:rsid w:val="00346DBC"/>
    <w:rsid w:val="003539C6"/>
    <w:rsid w:val="00357D40"/>
    <w:rsid w:val="00364206"/>
    <w:rsid w:val="00366504"/>
    <w:rsid w:val="00366C27"/>
    <w:rsid w:val="00375164"/>
    <w:rsid w:val="00385D98"/>
    <w:rsid w:val="003959AB"/>
    <w:rsid w:val="00396947"/>
    <w:rsid w:val="003A302B"/>
    <w:rsid w:val="003B1B81"/>
    <w:rsid w:val="003B4D48"/>
    <w:rsid w:val="003B7D65"/>
    <w:rsid w:val="003C177E"/>
    <w:rsid w:val="003D43B5"/>
    <w:rsid w:val="003E430C"/>
    <w:rsid w:val="003E44CC"/>
    <w:rsid w:val="003F1038"/>
    <w:rsid w:val="003F2D21"/>
    <w:rsid w:val="003F7269"/>
    <w:rsid w:val="00413DE9"/>
    <w:rsid w:val="00417534"/>
    <w:rsid w:val="004240BA"/>
    <w:rsid w:val="004374A7"/>
    <w:rsid w:val="0044593C"/>
    <w:rsid w:val="0045263A"/>
    <w:rsid w:val="00467DA6"/>
    <w:rsid w:val="004732A2"/>
    <w:rsid w:val="00480991"/>
    <w:rsid w:val="00481699"/>
    <w:rsid w:val="00486AA8"/>
    <w:rsid w:val="004976CC"/>
    <w:rsid w:val="004979B2"/>
    <w:rsid w:val="004A05D5"/>
    <w:rsid w:val="004A6ED4"/>
    <w:rsid w:val="004B2F13"/>
    <w:rsid w:val="004B3715"/>
    <w:rsid w:val="004B6869"/>
    <w:rsid w:val="004C0196"/>
    <w:rsid w:val="004C20C0"/>
    <w:rsid w:val="004C5333"/>
    <w:rsid w:val="004C7415"/>
    <w:rsid w:val="004C78B8"/>
    <w:rsid w:val="004D0FB6"/>
    <w:rsid w:val="004D2EE7"/>
    <w:rsid w:val="004D3299"/>
    <w:rsid w:val="004E68B2"/>
    <w:rsid w:val="004F12EA"/>
    <w:rsid w:val="0050199B"/>
    <w:rsid w:val="005020A5"/>
    <w:rsid w:val="005049F2"/>
    <w:rsid w:val="00504D3D"/>
    <w:rsid w:val="00507997"/>
    <w:rsid w:val="005126A8"/>
    <w:rsid w:val="00522F47"/>
    <w:rsid w:val="0054008B"/>
    <w:rsid w:val="0055715A"/>
    <w:rsid w:val="00564A7F"/>
    <w:rsid w:val="0058542D"/>
    <w:rsid w:val="005C1A5E"/>
    <w:rsid w:val="005C59AF"/>
    <w:rsid w:val="005E47BA"/>
    <w:rsid w:val="005E5954"/>
    <w:rsid w:val="005E73B6"/>
    <w:rsid w:val="005F168B"/>
    <w:rsid w:val="005F3A1F"/>
    <w:rsid w:val="006023DC"/>
    <w:rsid w:val="00615B9F"/>
    <w:rsid w:val="00616407"/>
    <w:rsid w:val="0061718A"/>
    <w:rsid w:val="006214CE"/>
    <w:rsid w:val="006219C5"/>
    <w:rsid w:val="00622009"/>
    <w:rsid w:val="006224E6"/>
    <w:rsid w:val="00624615"/>
    <w:rsid w:val="006365F0"/>
    <w:rsid w:val="00637FD1"/>
    <w:rsid w:val="0064035C"/>
    <w:rsid w:val="00641EF3"/>
    <w:rsid w:val="006573A0"/>
    <w:rsid w:val="006633D3"/>
    <w:rsid w:val="00664C14"/>
    <w:rsid w:val="00670F41"/>
    <w:rsid w:val="00682132"/>
    <w:rsid w:val="006823DA"/>
    <w:rsid w:val="00682B88"/>
    <w:rsid w:val="0069019D"/>
    <w:rsid w:val="00691256"/>
    <w:rsid w:val="006934D9"/>
    <w:rsid w:val="006A292E"/>
    <w:rsid w:val="006A5BAD"/>
    <w:rsid w:val="006B002B"/>
    <w:rsid w:val="006B1B08"/>
    <w:rsid w:val="006B555E"/>
    <w:rsid w:val="006D7873"/>
    <w:rsid w:val="006E29F1"/>
    <w:rsid w:val="006E77E7"/>
    <w:rsid w:val="006F00F1"/>
    <w:rsid w:val="006F0FB8"/>
    <w:rsid w:val="006F3699"/>
    <w:rsid w:val="006F7BAC"/>
    <w:rsid w:val="00702188"/>
    <w:rsid w:val="00704680"/>
    <w:rsid w:val="0070517B"/>
    <w:rsid w:val="00707F8F"/>
    <w:rsid w:val="007148C9"/>
    <w:rsid w:val="00716FEB"/>
    <w:rsid w:val="00717B5B"/>
    <w:rsid w:val="007262F5"/>
    <w:rsid w:val="00733BF1"/>
    <w:rsid w:val="00734920"/>
    <w:rsid w:val="007473CC"/>
    <w:rsid w:val="007522D3"/>
    <w:rsid w:val="00752DA7"/>
    <w:rsid w:val="00765884"/>
    <w:rsid w:val="00775D68"/>
    <w:rsid w:val="0078055D"/>
    <w:rsid w:val="00783FFB"/>
    <w:rsid w:val="00784503"/>
    <w:rsid w:val="0079028E"/>
    <w:rsid w:val="00793CD7"/>
    <w:rsid w:val="007A0F5F"/>
    <w:rsid w:val="007A1C07"/>
    <w:rsid w:val="007B398A"/>
    <w:rsid w:val="007C6E18"/>
    <w:rsid w:val="007D2882"/>
    <w:rsid w:val="007D4940"/>
    <w:rsid w:val="007D639C"/>
    <w:rsid w:val="007D7D71"/>
    <w:rsid w:val="007E0945"/>
    <w:rsid w:val="007E209D"/>
    <w:rsid w:val="007E2240"/>
    <w:rsid w:val="007E54B9"/>
    <w:rsid w:val="007F5148"/>
    <w:rsid w:val="007F61D7"/>
    <w:rsid w:val="008046F2"/>
    <w:rsid w:val="00813C74"/>
    <w:rsid w:val="008173E1"/>
    <w:rsid w:val="0082276D"/>
    <w:rsid w:val="00830D4E"/>
    <w:rsid w:val="0083370D"/>
    <w:rsid w:val="00836056"/>
    <w:rsid w:val="008368A5"/>
    <w:rsid w:val="008415BD"/>
    <w:rsid w:val="00842021"/>
    <w:rsid w:val="00842ACB"/>
    <w:rsid w:val="00861E94"/>
    <w:rsid w:val="00863A95"/>
    <w:rsid w:val="00873B56"/>
    <w:rsid w:val="00874AAE"/>
    <w:rsid w:val="00881478"/>
    <w:rsid w:val="00882214"/>
    <w:rsid w:val="00882386"/>
    <w:rsid w:val="0088546B"/>
    <w:rsid w:val="00885B7F"/>
    <w:rsid w:val="00890451"/>
    <w:rsid w:val="00893161"/>
    <w:rsid w:val="00893ED8"/>
    <w:rsid w:val="00894389"/>
    <w:rsid w:val="008951D7"/>
    <w:rsid w:val="008C55FE"/>
    <w:rsid w:val="008C58F0"/>
    <w:rsid w:val="008D3AC4"/>
    <w:rsid w:val="008D6860"/>
    <w:rsid w:val="008E632F"/>
    <w:rsid w:val="008E66E1"/>
    <w:rsid w:val="008F07DB"/>
    <w:rsid w:val="008F225C"/>
    <w:rsid w:val="008F71C4"/>
    <w:rsid w:val="0090533D"/>
    <w:rsid w:val="00915697"/>
    <w:rsid w:val="0092165E"/>
    <w:rsid w:val="00924F27"/>
    <w:rsid w:val="0093505D"/>
    <w:rsid w:val="00941EE9"/>
    <w:rsid w:val="00942E35"/>
    <w:rsid w:val="009504DA"/>
    <w:rsid w:val="00954EB3"/>
    <w:rsid w:val="009649AE"/>
    <w:rsid w:val="00972CB7"/>
    <w:rsid w:val="00982F70"/>
    <w:rsid w:val="009860B9"/>
    <w:rsid w:val="0098696B"/>
    <w:rsid w:val="009A003A"/>
    <w:rsid w:val="009A3477"/>
    <w:rsid w:val="009A52E4"/>
    <w:rsid w:val="009A6131"/>
    <w:rsid w:val="009C32A5"/>
    <w:rsid w:val="009D6118"/>
    <w:rsid w:val="009E4246"/>
    <w:rsid w:val="00A011B4"/>
    <w:rsid w:val="00A02070"/>
    <w:rsid w:val="00A02846"/>
    <w:rsid w:val="00A05788"/>
    <w:rsid w:val="00A213EB"/>
    <w:rsid w:val="00A2362E"/>
    <w:rsid w:val="00A264B2"/>
    <w:rsid w:val="00A3510F"/>
    <w:rsid w:val="00A3626A"/>
    <w:rsid w:val="00A36AB1"/>
    <w:rsid w:val="00A42378"/>
    <w:rsid w:val="00A42B8E"/>
    <w:rsid w:val="00A44B2C"/>
    <w:rsid w:val="00A54B28"/>
    <w:rsid w:val="00A61849"/>
    <w:rsid w:val="00A61BFB"/>
    <w:rsid w:val="00A720E4"/>
    <w:rsid w:val="00A7568E"/>
    <w:rsid w:val="00A8152E"/>
    <w:rsid w:val="00A84FAB"/>
    <w:rsid w:val="00A92F04"/>
    <w:rsid w:val="00A94C8E"/>
    <w:rsid w:val="00A95E31"/>
    <w:rsid w:val="00A96F00"/>
    <w:rsid w:val="00AA15E1"/>
    <w:rsid w:val="00AA2966"/>
    <w:rsid w:val="00AB066B"/>
    <w:rsid w:val="00AB0881"/>
    <w:rsid w:val="00AB1AE8"/>
    <w:rsid w:val="00AC16E9"/>
    <w:rsid w:val="00AD0FB4"/>
    <w:rsid w:val="00AE7ECD"/>
    <w:rsid w:val="00AF6105"/>
    <w:rsid w:val="00B0018E"/>
    <w:rsid w:val="00B138E8"/>
    <w:rsid w:val="00B15EC7"/>
    <w:rsid w:val="00B37209"/>
    <w:rsid w:val="00B3762A"/>
    <w:rsid w:val="00B41636"/>
    <w:rsid w:val="00B445D2"/>
    <w:rsid w:val="00B44822"/>
    <w:rsid w:val="00B45268"/>
    <w:rsid w:val="00B46462"/>
    <w:rsid w:val="00B47A01"/>
    <w:rsid w:val="00B50570"/>
    <w:rsid w:val="00B510BF"/>
    <w:rsid w:val="00B6056E"/>
    <w:rsid w:val="00B61AD5"/>
    <w:rsid w:val="00B66C15"/>
    <w:rsid w:val="00B77D15"/>
    <w:rsid w:val="00B84F87"/>
    <w:rsid w:val="00B92026"/>
    <w:rsid w:val="00BA03F1"/>
    <w:rsid w:val="00BA1BCD"/>
    <w:rsid w:val="00BA7D47"/>
    <w:rsid w:val="00BB02F7"/>
    <w:rsid w:val="00BB0D92"/>
    <w:rsid w:val="00BB6840"/>
    <w:rsid w:val="00BC240B"/>
    <w:rsid w:val="00BC48E9"/>
    <w:rsid w:val="00BD570B"/>
    <w:rsid w:val="00BD7D27"/>
    <w:rsid w:val="00BE0C4B"/>
    <w:rsid w:val="00BF6139"/>
    <w:rsid w:val="00C02E4D"/>
    <w:rsid w:val="00C0521A"/>
    <w:rsid w:val="00C05D9B"/>
    <w:rsid w:val="00C12DC8"/>
    <w:rsid w:val="00C1791F"/>
    <w:rsid w:val="00C27026"/>
    <w:rsid w:val="00C303F9"/>
    <w:rsid w:val="00C354F6"/>
    <w:rsid w:val="00C41853"/>
    <w:rsid w:val="00C653ED"/>
    <w:rsid w:val="00C71FBB"/>
    <w:rsid w:val="00C91D94"/>
    <w:rsid w:val="00CA027D"/>
    <w:rsid w:val="00CA164B"/>
    <w:rsid w:val="00CB348E"/>
    <w:rsid w:val="00CB5378"/>
    <w:rsid w:val="00CB7A10"/>
    <w:rsid w:val="00CE2B9F"/>
    <w:rsid w:val="00CF4CF6"/>
    <w:rsid w:val="00CF63B1"/>
    <w:rsid w:val="00D006E4"/>
    <w:rsid w:val="00D00882"/>
    <w:rsid w:val="00D03EDA"/>
    <w:rsid w:val="00D161AF"/>
    <w:rsid w:val="00D211B4"/>
    <w:rsid w:val="00D2250C"/>
    <w:rsid w:val="00D26824"/>
    <w:rsid w:val="00D331D0"/>
    <w:rsid w:val="00D34A97"/>
    <w:rsid w:val="00D365A9"/>
    <w:rsid w:val="00D372F1"/>
    <w:rsid w:val="00D423BE"/>
    <w:rsid w:val="00D54879"/>
    <w:rsid w:val="00D54BA1"/>
    <w:rsid w:val="00D57265"/>
    <w:rsid w:val="00D61315"/>
    <w:rsid w:val="00D625A8"/>
    <w:rsid w:val="00D70E52"/>
    <w:rsid w:val="00D73ED5"/>
    <w:rsid w:val="00D90499"/>
    <w:rsid w:val="00DA35FC"/>
    <w:rsid w:val="00DA7BC6"/>
    <w:rsid w:val="00DB3FBE"/>
    <w:rsid w:val="00DB70A9"/>
    <w:rsid w:val="00DB723F"/>
    <w:rsid w:val="00DC69FE"/>
    <w:rsid w:val="00DC7657"/>
    <w:rsid w:val="00DE16F0"/>
    <w:rsid w:val="00DF1563"/>
    <w:rsid w:val="00E206C0"/>
    <w:rsid w:val="00E269BD"/>
    <w:rsid w:val="00E344EA"/>
    <w:rsid w:val="00E40BB9"/>
    <w:rsid w:val="00E41FD5"/>
    <w:rsid w:val="00E5236F"/>
    <w:rsid w:val="00E528B4"/>
    <w:rsid w:val="00E564C8"/>
    <w:rsid w:val="00E63BB6"/>
    <w:rsid w:val="00E6766D"/>
    <w:rsid w:val="00E6782A"/>
    <w:rsid w:val="00E9378C"/>
    <w:rsid w:val="00EA3845"/>
    <w:rsid w:val="00EA6F15"/>
    <w:rsid w:val="00EB2CB1"/>
    <w:rsid w:val="00EE1BED"/>
    <w:rsid w:val="00EF2856"/>
    <w:rsid w:val="00EF7666"/>
    <w:rsid w:val="00EF7A7B"/>
    <w:rsid w:val="00F01D79"/>
    <w:rsid w:val="00F04680"/>
    <w:rsid w:val="00F14A61"/>
    <w:rsid w:val="00F15022"/>
    <w:rsid w:val="00F159FA"/>
    <w:rsid w:val="00F2107C"/>
    <w:rsid w:val="00F22F69"/>
    <w:rsid w:val="00F23237"/>
    <w:rsid w:val="00F25634"/>
    <w:rsid w:val="00F33542"/>
    <w:rsid w:val="00F432BC"/>
    <w:rsid w:val="00F460AC"/>
    <w:rsid w:val="00F4666F"/>
    <w:rsid w:val="00F46C2E"/>
    <w:rsid w:val="00F70B64"/>
    <w:rsid w:val="00F74874"/>
    <w:rsid w:val="00F749C8"/>
    <w:rsid w:val="00F7782E"/>
    <w:rsid w:val="00F815BC"/>
    <w:rsid w:val="00F84A53"/>
    <w:rsid w:val="00FA01ED"/>
    <w:rsid w:val="00FA3C1A"/>
    <w:rsid w:val="00FA449D"/>
    <w:rsid w:val="00FB0813"/>
    <w:rsid w:val="00FB11F4"/>
    <w:rsid w:val="00FB2563"/>
    <w:rsid w:val="00FB31A2"/>
    <w:rsid w:val="00FB45B2"/>
    <w:rsid w:val="00FD25E8"/>
    <w:rsid w:val="00FD6474"/>
    <w:rsid w:val="00FD7C59"/>
    <w:rsid w:val="00FE45A9"/>
    <w:rsid w:val="00FF13F6"/>
    <w:rsid w:val="00FF338A"/>
    <w:rsid w:val="00FF3EC6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626C"/>
  <w15:chartTrackingRefBased/>
  <w15:docId w15:val="{A345FF7E-780D-7547-9F50-490C9597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5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3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56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6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A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F6EB8CC097D4D9FFF2090D7B7BAFB" ma:contentTypeVersion="13" ma:contentTypeDescription="Create a new document." ma:contentTypeScope="" ma:versionID="8340cb9735b33d013088e53b2bb869ed">
  <xsd:schema xmlns:xsd="http://www.w3.org/2001/XMLSchema" xmlns:xs="http://www.w3.org/2001/XMLSchema" xmlns:p="http://schemas.microsoft.com/office/2006/metadata/properties" xmlns:ns3="4953f6e4-8bd4-4326-b6ca-e3f4f00ccdde" xmlns:ns4="fb00a440-16a7-4b3d-89d6-4a551466631c" targetNamespace="http://schemas.microsoft.com/office/2006/metadata/properties" ma:root="true" ma:fieldsID="540a4208ebb90e23837fca34eab88d6c" ns3:_="" ns4:_="">
    <xsd:import namespace="4953f6e4-8bd4-4326-b6ca-e3f4f00ccdde"/>
    <xsd:import namespace="fb00a440-16a7-4b3d-89d6-4a55146663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f6e4-8bd4-4326-b6ca-e3f4f00cc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a440-16a7-4b3d-89d6-4a5514666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5D623-773A-4A49-8DAC-53550AD0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30DD0-11F1-4B9C-BECB-4A2C9125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f6e4-8bd4-4326-b6ca-e3f4f00ccdde"/>
    <ds:schemaRef ds:uri="fb00a440-16a7-4b3d-89d6-4a5514666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13B5A-6FEB-4273-9666-3584B1181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Ohuma</dc:creator>
  <cp:keywords/>
  <dc:description/>
  <cp:lastModifiedBy>ndog0256@nexus.ox.ac.uk</cp:lastModifiedBy>
  <cp:revision>5</cp:revision>
  <dcterms:created xsi:type="dcterms:W3CDTF">2020-07-08T13:43:00Z</dcterms:created>
  <dcterms:modified xsi:type="dcterms:W3CDTF">2020-08-07T13:15:00Z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0x0101000BBF6EB8CC097D4D9FFF2090D7B7BAFB</vt:lpwstr>
  </property>
</Properties>
</file>