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820" w:rsidRPr="000A4C8B" w:rsidRDefault="009D5820" w:rsidP="009D5820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0A4C8B">
        <w:rPr>
          <w:rFonts w:ascii="Times New Roman" w:hAnsi="Times New Roman" w:cs="Times New Roman"/>
          <w:b/>
          <w:sz w:val="20"/>
          <w:szCs w:val="20"/>
        </w:rPr>
        <w:t>Supplementary Material.</w:t>
      </w:r>
      <w:proofErr w:type="gramEnd"/>
    </w:p>
    <w:p w:rsidR="009D5820" w:rsidRPr="000A4C8B" w:rsidRDefault="009D5820" w:rsidP="009D5820">
      <w:pPr>
        <w:spacing w:before="240" w:line="240" w:lineRule="auto"/>
        <w:rPr>
          <w:rFonts w:ascii="Times New Roman" w:hAnsi="Times New Roman" w:cs="Times New Roman"/>
          <w:sz w:val="20"/>
          <w:szCs w:val="20"/>
        </w:rPr>
      </w:pPr>
      <w:r w:rsidRPr="000A4C8B">
        <w:rPr>
          <w:rFonts w:ascii="Times New Roman" w:hAnsi="Times New Roman" w:cs="Times New Roman"/>
          <w:b/>
          <w:sz w:val="20"/>
          <w:szCs w:val="20"/>
        </w:rPr>
        <w:t xml:space="preserve">Supplementary Table 1: </w:t>
      </w:r>
      <w:r w:rsidRPr="000A4C8B">
        <w:rPr>
          <w:rFonts w:ascii="Times New Roman" w:hAnsi="Times New Roman" w:cs="Times New Roman"/>
          <w:sz w:val="20"/>
          <w:szCs w:val="20"/>
        </w:rPr>
        <w:t>A comparison of viral load and component siRNA strands of TKM-130803 compared by outcome (survived or died)</w:t>
      </w:r>
      <w:r w:rsidRPr="000A4C8B">
        <w:rPr>
          <w:sz w:val="20"/>
          <w:szCs w:val="20"/>
        </w:rPr>
        <w:t>.</w:t>
      </w:r>
    </w:p>
    <w:p w:rsidR="009D5820" w:rsidRPr="000A4C8B" w:rsidRDefault="009D5820" w:rsidP="009D5820">
      <w:pPr>
        <w:tabs>
          <w:tab w:val="left" w:pos="2880"/>
        </w:tabs>
        <w:spacing w:before="240" w:line="240" w:lineRule="auto"/>
        <w:rPr>
          <w:rFonts w:cstheme="minorHAnsi"/>
          <w:b/>
        </w:rPr>
      </w:pPr>
      <w:r w:rsidRPr="000A4C8B">
        <w:rPr>
          <w:rFonts w:cstheme="minorHAnsi"/>
          <w:b/>
        </w:rPr>
        <w:tab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93"/>
        <w:gridCol w:w="2380"/>
        <w:gridCol w:w="2268"/>
        <w:gridCol w:w="851"/>
        <w:gridCol w:w="850"/>
      </w:tblGrid>
      <w:tr w:rsidR="000A4C8B" w:rsidRPr="000A4C8B" w:rsidTr="00B1678C">
        <w:tc>
          <w:tcPr>
            <w:tcW w:w="2293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sz w:val="20"/>
                <w:szCs w:val="20"/>
              </w:rPr>
              <w:t>Parameter</w:t>
            </w:r>
          </w:p>
        </w:tc>
        <w:tc>
          <w:tcPr>
            <w:tcW w:w="238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sz w:val="20"/>
                <w:szCs w:val="20"/>
              </w:rPr>
              <w:t>Survived (N=3)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sz w:val="20"/>
                <w:szCs w:val="20"/>
              </w:rPr>
              <w:t>Median (IQR)</w:t>
            </w:r>
          </w:p>
        </w:tc>
        <w:tc>
          <w:tcPr>
            <w:tcW w:w="2268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sz w:val="20"/>
                <w:szCs w:val="20"/>
              </w:rPr>
              <w:t>Died (N=5)</w:t>
            </w:r>
          </w:p>
        </w:tc>
        <w:tc>
          <w:tcPr>
            <w:tcW w:w="851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850" w:type="dxa"/>
          </w:tcPr>
          <w:p w:rsidR="009D5820" w:rsidRPr="000A4C8B" w:rsidRDefault="009D5820" w:rsidP="00B1678C">
            <w:pPr>
              <w:ind w:left="-27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sz w:val="20"/>
                <w:szCs w:val="20"/>
              </w:rPr>
              <w:t>Figure</w:t>
            </w:r>
          </w:p>
        </w:tc>
      </w:tr>
      <w:tr w:rsidR="000A4C8B" w:rsidRPr="000A4C8B" w:rsidTr="00B1678C">
        <w:tc>
          <w:tcPr>
            <w:tcW w:w="2293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log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10 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Viral Load (VL) pretreatment (T0)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(genomes/ml)</w:t>
            </w:r>
          </w:p>
        </w:tc>
        <w:tc>
          <w:tcPr>
            <w:tcW w:w="238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log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10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VL 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26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(IQR </w:t>
            </w: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IQR</w:t>
            </w:r>
            <w:proofErr w:type="spellEnd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04-8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80)</w:t>
            </w:r>
          </w:p>
        </w:tc>
        <w:tc>
          <w:tcPr>
            <w:tcW w:w="2268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log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10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VL 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23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(IQR 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79-9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49)</w:t>
            </w:r>
          </w:p>
        </w:tc>
        <w:tc>
          <w:tcPr>
            <w:tcW w:w="851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099</w:t>
            </w:r>
          </w:p>
        </w:tc>
        <w:tc>
          <w:tcPr>
            <w:tcW w:w="85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4A</w:t>
            </w:r>
          </w:p>
        </w:tc>
      </w:tr>
      <w:tr w:rsidR="000A4C8B" w:rsidRPr="000A4C8B" w:rsidTr="00B1678C">
        <w:tc>
          <w:tcPr>
            <w:tcW w:w="2293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log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10 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(AUC of VL)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(genomes/ml/</w:t>
            </w: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hr</w:t>
            </w:r>
            <w:proofErr w:type="spellEnd"/>
          </w:p>
        </w:tc>
        <w:tc>
          <w:tcPr>
            <w:tcW w:w="238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67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(IQR 7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-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21)</w:t>
            </w:r>
          </w:p>
        </w:tc>
        <w:tc>
          <w:tcPr>
            <w:tcW w:w="2268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33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(IQR 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14- 9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41)</w:t>
            </w:r>
          </w:p>
        </w:tc>
        <w:tc>
          <w:tcPr>
            <w:tcW w:w="851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4B</w:t>
            </w:r>
          </w:p>
        </w:tc>
      </w:tr>
      <w:tr w:rsidR="000A4C8B" w:rsidRPr="000A4C8B" w:rsidTr="00B1678C">
        <w:tc>
          <w:tcPr>
            <w:tcW w:w="2293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AUC siLpol-2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(ng/ml/</w:t>
            </w: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hr</w:t>
            </w:r>
            <w:proofErr w:type="spellEnd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8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13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(IQR 149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74-272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48)</w:t>
            </w:r>
          </w:p>
        </w:tc>
        <w:tc>
          <w:tcPr>
            <w:tcW w:w="2268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1,112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IQR 1,636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85- 5,918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025</w:t>
            </w:r>
          </w:p>
        </w:tc>
        <w:tc>
          <w:tcPr>
            <w:tcW w:w="85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4C</w:t>
            </w:r>
          </w:p>
        </w:tc>
      </w:tr>
      <w:tr w:rsidR="000A4C8B" w:rsidRPr="000A4C8B" w:rsidTr="00B1678C">
        <w:tc>
          <w:tcPr>
            <w:tcW w:w="2293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AUC siVP35-2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(ng/ml/</w:t>
            </w: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hr</w:t>
            </w:r>
            <w:proofErr w:type="spellEnd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8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2 613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61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(IQR 611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87-880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99)</w:t>
            </w:r>
          </w:p>
        </w:tc>
        <w:tc>
          <w:tcPr>
            <w:tcW w:w="2268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2 2,999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94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IQR 1,442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28- 440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025</w:t>
            </w:r>
          </w:p>
        </w:tc>
        <w:tc>
          <w:tcPr>
            <w:tcW w:w="85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4D</w:t>
            </w:r>
          </w:p>
        </w:tc>
      </w:tr>
      <w:tr w:rsidR="000A4C8B" w:rsidRPr="000A4C8B" w:rsidTr="00B1678C">
        <w:tc>
          <w:tcPr>
            <w:tcW w:w="2293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Molecules of siLpol-2/ genome EBOV</w:t>
            </w:r>
          </w:p>
        </w:tc>
        <w:tc>
          <w:tcPr>
            <w:tcW w:w="238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37,340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IQR 2,943 – 221,678)</w:t>
            </w:r>
          </w:p>
        </w:tc>
        <w:tc>
          <w:tcPr>
            <w:tcW w:w="2268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36,907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IQR 31,479-46,531</w:t>
            </w:r>
          </w:p>
        </w:tc>
        <w:tc>
          <w:tcPr>
            <w:tcW w:w="851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5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463B44" w:rsidRPr="000A4C8B" w:rsidTr="00B1678C">
        <w:tc>
          <w:tcPr>
            <w:tcW w:w="2293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Molecules of siVP35-2 genome EBOV</w:t>
            </w:r>
          </w:p>
        </w:tc>
        <w:tc>
          <w:tcPr>
            <w:tcW w:w="238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145,570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(IQR 9,682–1,183,506)</w:t>
            </w:r>
          </w:p>
        </w:tc>
        <w:tc>
          <w:tcPr>
            <w:tcW w:w="2268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112,696 </w:t>
            </w:r>
          </w:p>
          <w:p w:rsidR="009D5820" w:rsidRPr="000A4C8B" w:rsidRDefault="009D5820" w:rsidP="00B1678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(IQR 109,736-119,151)</w:t>
            </w:r>
          </w:p>
        </w:tc>
        <w:tc>
          <w:tcPr>
            <w:tcW w:w="851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0" w:type="dxa"/>
          </w:tcPr>
          <w:p w:rsidR="009D5820" w:rsidRPr="000A4C8B" w:rsidRDefault="009D5820" w:rsidP="00B167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9D5820" w:rsidRPr="000A4C8B" w:rsidRDefault="009D5820" w:rsidP="009D5820">
      <w:pPr>
        <w:spacing w:before="240" w:line="240" w:lineRule="auto"/>
        <w:rPr>
          <w:rFonts w:cstheme="minorHAnsi"/>
          <w:b/>
        </w:rPr>
      </w:pPr>
    </w:p>
    <w:p w:rsidR="009D5820" w:rsidRPr="000A4C8B" w:rsidRDefault="009D5820" w:rsidP="009D5820">
      <w:pPr>
        <w:spacing w:before="240" w:line="240" w:lineRule="auto"/>
        <w:rPr>
          <w:rFonts w:cstheme="minorHAnsi"/>
          <w:b/>
        </w:rPr>
      </w:pPr>
    </w:p>
    <w:p w:rsidR="009D5820" w:rsidRPr="000A4C8B" w:rsidRDefault="009D5820" w:rsidP="009D5820">
      <w:pPr>
        <w:rPr>
          <w:rFonts w:cstheme="minorHAnsi"/>
          <w:b/>
        </w:rPr>
      </w:pPr>
      <w:r w:rsidRPr="000A4C8B">
        <w:rPr>
          <w:rFonts w:cstheme="minorHAnsi"/>
          <w:b/>
        </w:rPr>
        <w:br w:type="page"/>
      </w:r>
    </w:p>
    <w:p w:rsidR="009D5820" w:rsidRPr="000A4C8B" w:rsidRDefault="009D5820" w:rsidP="009D5820">
      <w:pPr>
        <w:rPr>
          <w:rFonts w:ascii="Times New Roman" w:hAnsi="Times New Roman" w:cs="Times New Roman"/>
          <w:sz w:val="20"/>
          <w:szCs w:val="20"/>
        </w:rPr>
      </w:pPr>
      <w:r w:rsidRPr="000A4C8B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 Material – Table 2</w:t>
      </w:r>
      <w:r w:rsidRPr="000A4C8B">
        <w:rPr>
          <w:b/>
          <w:bCs/>
          <w:sz w:val="20"/>
          <w:szCs w:val="20"/>
        </w:rPr>
        <w:t>:</w:t>
      </w:r>
      <w:r w:rsidRPr="000A4C8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0A4C8B">
        <w:rPr>
          <w:rFonts w:ascii="Times New Roman" w:hAnsi="Times New Roman" w:cs="Times New Roman"/>
          <w:sz w:val="20"/>
          <w:szCs w:val="20"/>
        </w:rPr>
        <w:t xml:space="preserve">Population pharmacokinetic parameters for TKM component siRNAs from two compartment population pharmacokinetic models fitted to EBOV patient drug concentrations. CL, </w:t>
      </w:r>
      <w:proofErr w:type="spellStart"/>
      <w:proofErr w:type="gramStart"/>
      <w:r w:rsidRPr="000A4C8B">
        <w:rPr>
          <w:rFonts w:ascii="Times New Roman" w:hAnsi="Times New Roman" w:cs="Times New Roman"/>
          <w:sz w:val="20"/>
          <w:szCs w:val="20"/>
        </w:rPr>
        <w:t>Vc</w:t>
      </w:r>
      <w:proofErr w:type="spellEnd"/>
      <w:proofErr w:type="gramEnd"/>
      <w:r w:rsidRPr="000A4C8B">
        <w:rPr>
          <w:rFonts w:ascii="Times New Roman" w:hAnsi="Times New Roman" w:cs="Times New Roman"/>
          <w:sz w:val="20"/>
          <w:szCs w:val="20"/>
        </w:rPr>
        <w:t xml:space="preserve"> denote clearance and volume distribution. </w:t>
      </w:r>
      <w:proofErr w:type="spellStart"/>
      <w:r w:rsidRPr="000A4C8B">
        <w:rPr>
          <w:rFonts w:ascii="Times New Roman" w:hAnsi="Times New Roman" w:cs="Times New Roman"/>
          <w:sz w:val="20"/>
          <w:szCs w:val="20"/>
        </w:rPr>
        <w:t>K</w:t>
      </w:r>
      <w:r w:rsidRPr="000A4C8B">
        <w:rPr>
          <w:rFonts w:ascii="Times New Roman" w:hAnsi="Times New Roman" w:cs="Times New Roman"/>
          <w:sz w:val="20"/>
          <w:szCs w:val="20"/>
          <w:vertAlign w:val="subscript"/>
        </w:rPr>
        <w:t>e</w:t>
      </w:r>
      <w:proofErr w:type="spellEnd"/>
      <w:r w:rsidRPr="000A4C8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A4C8B">
        <w:rPr>
          <w:rFonts w:ascii="Times New Roman" w:hAnsi="Times New Roman" w:cs="Times New Roman"/>
          <w:sz w:val="20"/>
          <w:szCs w:val="20"/>
        </w:rPr>
        <w:t>k</w:t>
      </w:r>
      <w:r w:rsidRPr="000A4C8B">
        <w:rPr>
          <w:rFonts w:ascii="Times New Roman" w:hAnsi="Times New Roman" w:cs="Times New Roman"/>
          <w:sz w:val="20"/>
          <w:szCs w:val="20"/>
          <w:vertAlign w:val="subscript"/>
        </w:rPr>
        <w:t>cp</w:t>
      </w:r>
      <w:r w:rsidRPr="000A4C8B">
        <w:rPr>
          <w:rFonts w:ascii="Times New Roman" w:hAnsi="Times New Roman" w:cs="Times New Roman"/>
          <w:sz w:val="20"/>
          <w:szCs w:val="20"/>
        </w:rPr>
        <w:t>and</w:t>
      </w:r>
      <w:proofErr w:type="spellEnd"/>
      <w:r w:rsidRPr="000A4C8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A4C8B">
        <w:rPr>
          <w:rFonts w:ascii="Times New Roman" w:hAnsi="Times New Roman" w:cs="Times New Roman"/>
          <w:sz w:val="20"/>
          <w:szCs w:val="20"/>
        </w:rPr>
        <w:t>k</w:t>
      </w:r>
      <w:r w:rsidRPr="000A4C8B">
        <w:rPr>
          <w:rFonts w:ascii="Times New Roman" w:hAnsi="Times New Roman" w:cs="Times New Roman"/>
          <w:sz w:val="20"/>
          <w:szCs w:val="20"/>
          <w:vertAlign w:val="subscript"/>
        </w:rPr>
        <w:t>pc</w:t>
      </w:r>
      <w:proofErr w:type="spellEnd"/>
      <w:r w:rsidRPr="000A4C8B">
        <w:rPr>
          <w:rFonts w:ascii="Times New Roman" w:hAnsi="Times New Roman" w:cs="Times New Roman"/>
          <w:sz w:val="20"/>
          <w:szCs w:val="20"/>
        </w:rPr>
        <w:t xml:space="preserve"> denote first order rate constants for elimination from the central compartment and transfer to and from the peripheral compartment, respectively. </w:t>
      </w:r>
      <w:proofErr w:type="gramStart"/>
      <w:r w:rsidRPr="000A4C8B">
        <w:rPr>
          <w:rFonts w:ascii="Times New Roman" w:hAnsi="Times New Roman" w:cs="Times New Roman"/>
          <w:sz w:val="20"/>
          <w:szCs w:val="20"/>
        </w:rPr>
        <w:t>Parameter mean values given (standard deviations show in parentheses), [95% CI values in square parentheses].</w:t>
      </w:r>
      <w:proofErr w:type="gramEnd"/>
    </w:p>
    <w:p w:rsidR="009D5820" w:rsidRPr="000A4C8B" w:rsidRDefault="009D5820" w:rsidP="009D5820">
      <w:pPr>
        <w:rPr>
          <w:rFonts w:ascii="Times New Roman" w:hAnsi="Times New Roman" w:cs="Times New Roman"/>
          <w:sz w:val="20"/>
          <w:szCs w:val="20"/>
        </w:rPr>
      </w:pPr>
    </w:p>
    <w:p w:rsidR="009D5820" w:rsidRPr="00F7681B" w:rsidRDefault="009D5820" w:rsidP="009D5820">
      <w:pPr>
        <w:rPr>
          <w:rFonts w:ascii="Times New Roman" w:hAnsi="Times New Roman" w:cs="Times New Roman"/>
          <w:sz w:val="8"/>
          <w:szCs w:val="10"/>
        </w:rPr>
      </w:pPr>
      <w:r w:rsidRPr="000A4C8B">
        <w:rPr>
          <w:rFonts w:ascii="Times New Roman" w:hAnsi="Times New Roman" w:cs="Times New Roman"/>
          <w:sz w:val="20"/>
          <w:szCs w:val="20"/>
        </w:rPr>
        <w:t xml:space="preserve">CI values were generated via a Monte Carlo simulation to create 1000 x </w:t>
      </w:r>
      <w:proofErr w:type="spellStart"/>
      <w:r w:rsidRPr="000A4C8B">
        <w:rPr>
          <w:rFonts w:ascii="Times New Roman" w:hAnsi="Times New Roman" w:cs="Times New Roman"/>
          <w:sz w:val="20"/>
          <w:szCs w:val="20"/>
        </w:rPr>
        <w:t>npoint</w:t>
      </w:r>
      <w:proofErr w:type="spellEnd"/>
      <w:r w:rsidRPr="000A4C8B">
        <w:rPr>
          <w:rFonts w:ascii="Times New Roman" w:hAnsi="Times New Roman" w:cs="Times New Roman"/>
          <w:sz w:val="20"/>
          <w:szCs w:val="20"/>
        </w:rPr>
        <w:t xml:space="preserve"> samples with replacement from the weighted marginal distribution of each parameter, where </w:t>
      </w:r>
      <w:proofErr w:type="spellStart"/>
      <w:r w:rsidRPr="000A4C8B">
        <w:rPr>
          <w:rFonts w:ascii="Times New Roman" w:hAnsi="Times New Roman" w:cs="Times New Roman"/>
          <w:sz w:val="20"/>
          <w:szCs w:val="20"/>
        </w:rPr>
        <w:t>npoint</w:t>
      </w:r>
      <w:proofErr w:type="spellEnd"/>
      <w:r w:rsidRPr="000A4C8B">
        <w:rPr>
          <w:rFonts w:ascii="Times New Roman" w:hAnsi="Times New Roman" w:cs="Times New Roman"/>
          <w:sz w:val="20"/>
          <w:szCs w:val="20"/>
        </w:rPr>
        <w:t xml:space="preserve"> is the number of support points in the model. </w:t>
      </w:r>
      <w:r w:rsidRPr="00F7681B">
        <w:rPr>
          <w:rFonts w:ascii="Times New Roman" w:hAnsi="Times New Roman" w:cs="Times New Roman"/>
          <w:sz w:val="20"/>
        </w:rPr>
        <w:t>The simulations performed did not account for this uncertainty in parameter estimates.</w:t>
      </w:r>
    </w:p>
    <w:p w:rsidR="009D5820" w:rsidRPr="000A4C8B" w:rsidRDefault="009D5820" w:rsidP="009D5820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936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23"/>
        <w:gridCol w:w="3123"/>
        <w:gridCol w:w="3123"/>
      </w:tblGrid>
      <w:tr w:rsidR="000A4C8B" w:rsidRPr="000A4C8B" w:rsidTr="00B1678C">
        <w:trPr>
          <w:trHeight w:val="193"/>
        </w:trPr>
        <w:tc>
          <w:tcPr>
            <w:tcW w:w="31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</w:p>
        </w:tc>
        <w:tc>
          <w:tcPr>
            <w:tcW w:w="31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siLpol-2</w:t>
            </w:r>
          </w:p>
        </w:tc>
        <w:tc>
          <w:tcPr>
            <w:tcW w:w="3123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siVP35</w:t>
            </w:r>
          </w:p>
        </w:tc>
      </w:tr>
      <w:tr w:rsidR="000A4C8B" w:rsidRPr="000A4C8B" w:rsidTr="00B1678C">
        <w:trPr>
          <w:trHeight w:val="193"/>
        </w:trPr>
        <w:tc>
          <w:tcPr>
            <w:tcW w:w="312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CL (mL/</w:t>
            </w: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hr</w:t>
            </w:r>
            <w:proofErr w:type="spellEnd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/Kg)</w:t>
            </w:r>
          </w:p>
        </w:tc>
        <w:tc>
          <w:tcPr>
            <w:tcW w:w="312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43 (16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77) </w:t>
            </w:r>
          </w:p>
        </w:tc>
        <w:tc>
          <w:tcPr>
            <w:tcW w:w="312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39 (4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92) </w:t>
            </w:r>
          </w:p>
        </w:tc>
      </w:tr>
      <w:tr w:rsidR="000A4C8B" w:rsidRPr="000A4C8B" w:rsidTr="00B1678C">
        <w:trPr>
          <w:trHeight w:val="193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e</w:t>
            </w:r>
            <w:proofErr w:type="spellEnd"/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28  (0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41)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00001─0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98]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21 (0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29)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017─0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68</w:t>
            </w:r>
            <w:r w:rsidRPr="000A4C8B">
              <w:rPr>
                <w:rFonts w:eastAsia="Arial"/>
                <w:sz w:val="20"/>
                <w:szCs w:val="20"/>
              </w:rPr>
              <w:t>4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]</w:t>
            </w:r>
          </w:p>
        </w:tc>
      </w:tr>
      <w:tr w:rsidR="000A4C8B" w:rsidRPr="000A4C8B" w:rsidTr="00B1678C">
        <w:trPr>
          <w:trHeight w:val="193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</w:t>
            </w:r>
            <w:proofErr w:type="spellEnd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 (mL/Kg)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69 (20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48)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[39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46-81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22]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69 (1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55)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[15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65─16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62]</w:t>
            </w:r>
          </w:p>
        </w:tc>
      </w:tr>
      <w:tr w:rsidR="000A4C8B" w:rsidRPr="000A4C8B" w:rsidTr="00B1678C">
        <w:trPr>
          <w:trHeight w:val="193"/>
        </w:trPr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cp</w:t>
            </w:r>
            <w:proofErr w:type="spellEnd"/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29 (0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29)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98─1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61]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29 (0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42)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82─1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90]</w:t>
            </w:r>
          </w:p>
        </w:tc>
      </w:tr>
      <w:tr w:rsidR="000A4C8B" w:rsidRPr="000A4C8B" w:rsidTr="00B1678C">
        <w:trPr>
          <w:trHeight w:val="193"/>
        </w:trPr>
        <w:tc>
          <w:tcPr>
            <w:tcW w:w="312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proofErr w:type="spellStart"/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0A4C8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pc</w:t>
            </w:r>
            <w:proofErr w:type="spellEnd"/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94 (1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63)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05─2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12]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39 (0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 xml:space="preserve">40) 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[0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04─1</w:t>
            </w:r>
            <w:r w:rsidRPr="000A4C8B">
              <w:rPr>
                <w:rFonts w:eastAsia="Arial"/>
                <w:sz w:val="20"/>
                <w:szCs w:val="20"/>
              </w:rPr>
              <w:t>·</w:t>
            </w:r>
            <w:r w:rsidRPr="000A4C8B">
              <w:rPr>
                <w:rFonts w:ascii="Times New Roman" w:eastAsia="Arial" w:hAnsi="Times New Roman" w:cs="Times New Roman"/>
                <w:sz w:val="20"/>
                <w:szCs w:val="20"/>
              </w:rPr>
              <w:t>00]</w:t>
            </w:r>
          </w:p>
        </w:tc>
      </w:tr>
    </w:tbl>
    <w:p w:rsidR="009D5820" w:rsidRPr="000A4C8B" w:rsidRDefault="009D5820" w:rsidP="009D5820">
      <w:pPr>
        <w:spacing w:line="240" w:lineRule="auto"/>
        <w:rPr>
          <w:rFonts w:cstheme="minorHAnsi"/>
        </w:rPr>
      </w:pPr>
    </w:p>
    <w:p w:rsidR="009D5820" w:rsidRPr="000A4C8B" w:rsidRDefault="009D5820" w:rsidP="009D5820">
      <w:pPr>
        <w:spacing w:line="240" w:lineRule="auto"/>
        <w:rPr>
          <w:rFonts w:cstheme="minorHAnsi"/>
        </w:rPr>
      </w:pPr>
    </w:p>
    <w:p w:rsidR="009D5820" w:rsidRPr="000A4C8B" w:rsidRDefault="009D5820" w:rsidP="009D5820">
      <w:pPr>
        <w:spacing w:line="240" w:lineRule="auto"/>
        <w:rPr>
          <w:rFonts w:cstheme="minorHAnsi"/>
        </w:rPr>
      </w:pPr>
    </w:p>
    <w:p w:rsidR="009D5820" w:rsidRPr="000A4C8B" w:rsidRDefault="009D5820" w:rsidP="009D5820">
      <w:pPr>
        <w:rPr>
          <w:rFonts w:cstheme="minorHAnsi"/>
        </w:rPr>
      </w:pPr>
      <w:r w:rsidRPr="000A4C8B">
        <w:rPr>
          <w:rFonts w:cstheme="minorHAnsi"/>
        </w:rPr>
        <w:br w:type="page"/>
      </w:r>
    </w:p>
    <w:p w:rsidR="009D5820" w:rsidRPr="000A4C8B" w:rsidRDefault="009D5820" w:rsidP="009D5820">
      <w:pPr>
        <w:spacing w:before="240" w:line="240" w:lineRule="auto"/>
        <w:jc w:val="both"/>
        <w:rPr>
          <w:rFonts w:cstheme="minorHAnsi"/>
          <w:bCs/>
        </w:rPr>
      </w:pPr>
    </w:p>
    <w:p w:rsidR="009D5820" w:rsidRPr="000A4C8B" w:rsidRDefault="009D5820" w:rsidP="009D5820">
      <w:pPr>
        <w:rPr>
          <w:b/>
          <w:bCs/>
          <w:sz w:val="20"/>
          <w:szCs w:val="20"/>
        </w:rPr>
      </w:pPr>
      <w:proofErr w:type="gramStart"/>
      <w:r w:rsidRPr="000A4C8B">
        <w:rPr>
          <w:rFonts w:ascii="Times New Roman" w:hAnsi="Times New Roman" w:cs="Times New Roman"/>
          <w:b/>
          <w:bCs/>
          <w:sz w:val="20"/>
          <w:szCs w:val="20"/>
        </w:rPr>
        <w:t xml:space="preserve">Supplementary Material – Figure </w:t>
      </w:r>
      <w:r w:rsidRPr="000A4C8B">
        <w:rPr>
          <w:b/>
          <w:bCs/>
          <w:sz w:val="20"/>
          <w:szCs w:val="20"/>
        </w:rPr>
        <w:t>1.</w:t>
      </w:r>
      <w:proofErr w:type="gramEnd"/>
    </w:p>
    <w:p w:rsidR="009D5820" w:rsidRPr="000A4C8B" w:rsidRDefault="009D5820" w:rsidP="009D5820">
      <w:pPr>
        <w:rPr>
          <w:rFonts w:ascii="Times New Roman" w:eastAsia="Arial" w:hAnsi="Times New Roman" w:cs="Times New Roman"/>
          <w:sz w:val="20"/>
          <w:szCs w:val="20"/>
        </w:rPr>
      </w:pPr>
      <w:r w:rsidRPr="000A4C8B">
        <w:rPr>
          <w:rFonts w:ascii="Times New Roman" w:eastAsia="Arial" w:hAnsi="Times New Roman" w:cs="Times New Roman"/>
          <w:sz w:val="20"/>
          <w:szCs w:val="20"/>
        </w:rPr>
        <w:t xml:space="preserve">Individual fits for A) siLpol-2 siRNA and B) VP35 component concentrations. Observed concentrations shown in black open circles and model predictions show as a solid black line. </w:t>
      </w: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  <w:r w:rsidRPr="000A4C8B">
        <w:rPr>
          <w:rFonts w:eastAsia="Arial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4D433" wp14:editId="3FCDA56F">
                <wp:simplePos x="0" y="0"/>
                <wp:positionH relativeFrom="column">
                  <wp:posOffset>3510622</wp:posOffset>
                </wp:positionH>
                <wp:positionV relativeFrom="paragraph">
                  <wp:posOffset>258543</wp:posOffset>
                </wp:positionV>
                <wp:extent cx="914400" cy="281354"/>
                <wp:effectExtent l="0" t="0" r="381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5820" w:rsidRPr="009C5EE8" w:rsidRDefault="009D5820" w:rsidP="009D582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</w:t>
                            </w:r>
                            <w:r w:rsidRPr="009C5EE8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76.45pt;margin-top:20.35pt;width:1in;height:22.1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" fillcolor="white [3201]" stroked="f" strokeweight=".5pt">
                <v:textbox>
                  <w:txbxContent>
                    <w:p w:rsidR="009D5820" w:rsidRPr="009C5EE8" w:rsidRDefault="009D5820" w:rsidP="009D5820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</w:t>
                      </w:r>
                      <w:r w:rsidRPr="009C5EE8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A4C8B">
        <w:rPr>
          <w:rFonts w:eastAsia="Arial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50654C" wp14:editId="5A4AE382">
                <wp:simplePos x="0" y="0"/>
                <wp:positionH relativeFrom="column">
                  <wp:posOffset>398145</wp:posOffset>
                </wp:positionH>
                <wp:positionV relativeFrom="paragraph">
                  <wp:posOffset>267677</wp:posOffset>
                </wp:positionV>
                <wp:extent cx="914400" cy="28135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1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5820" w:rsidRPr="009C5EE8" w:rsidRDefault="009D5820" w:rsidP="009D5820">
                            <w:pPr>
                              <w:rPr>
                                <w:rFonts w:cstheme="minorHAnsi"/>
                              </w:rPr>
                            </w:pPr>
                            <w:r w:rsidRPr="009C5EE8">
                              <w:rPr>
                                <w:rFonts w:cstheme="minorHAnsi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1.35pt;margin-top:21.1pt;width:1in;height:22.1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" fillcolor="white [3201]" stroked="f" strokeweight=".5pt">
                <v:textbox>
                  <w:txbxContent>
                    <w:p w:rsidR="009D5820" w:rsidRPr="009C5EE8" w:rsidRDefault="009D5820" w:rsidP="009D5820">
                      <w:pPr>
                        <w:rPr>
                          <w:rFonts w:cstheme="minorHAnsi"/>
                        </w:rPr>
                      </w:pPr>
                      <w:r w:rsidRPr="009C5EE8">
                        <w:rPr>
                          <w:rFonts w:cstheme="minorHAnsi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0A4C8B">
        <w:rPr>
          <w:rFonts w:eastAsia="Arial" w:cstheme="minorHAnsi"/>
          <w:noProof/>
          <w:lang w:val="en-GB" w:eastAsia="en-GB"/>
        </w:rPr>
        <w:drawing>
          <wp:inline distT="0" distB="0" distL="0" distR="0" wp14:anchorId="0606D656" wp14:editId="4F594821">
            <wp:extent cx="6460761" cy="4184811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1953" cy="4198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  <w:noProof/>
        </w:rPr>
      </w:pPr>
    </w:p>
    <w:p w:rsidR="009D5820" w:rsidRPr="000A4C8B" w:rsidRDefault="009D5820" w:rsidP="009D5820">
      <w:pPr>
        <w:spacing w:before="240" w:line="240" w:lineRule="auto"/>
        <w:jc w:val="both"/>
        <w:rPr>
          <w:rFonts w:eastAsia="Arial" w:cstheme="minorHAnsi"/>
        </w:rPr>
      </w:pPr>
    </w:p>
    <w:p w:rsidR="009D5820" w:rsidRPr="000A4C8B" w:rsidRDefault="009D5820" w:rsidP="009D5820">
      <w:pPr>
        <w:spacing w:before="240"/>
        <w:jc w:val="both"/>
        <w:rPr>
          <w:rFonts w:eastAsia="Arial" w:cstheme="minorHAnsi"/>
        </w:rPr>
      </w:pPr>
    </w:p>
    <w:p w:rsidR="009D5820" w:rsidRPr="000A4C8B" w:rsidRDefault="009D5820" w:rsidP="009D5820">
      <w:pPr>
        <w:spacing w:before="240"/>
        <w:jc w:val="both"/>
        <w:rPr>
          <w:rFonts w:eastAsia="Arial" w:cstheme="minorHAnsi"/>
        </w:rPr>
      </w:pPr>
    </w:p>
    <w:p w:rsidR="009D5820" w:rsidRPr="000A4C8B" w:rsidRDefault="009D5820" w:rsidP="009D5820">
      <w:pPr>
        <w:spacing w:before="240"/>
        <w:jc w:val="both"/>
        <w:rPr>
          <w:rFonts w:eastAsia="Arial" w:cstheme="minorHAnsi"/>
        </w:rPr>
      </w:pPr>
    </w:p>
    <w:p w:rsidR="009D5820" w:rsidRPr="000A4C8B" w:rsidRDefault="009D5820" w:rsidP="009D5820">
      <w:pPr>
        <w:rPr>
          <w:b/>
          <w:bCs/>
          <w:sz w:val="20"/>
          <w:szCs w:val="20"/>
        </w:rPr>
      </w:pPr>
      <w:proofErr w:type="gramStart"/>
      <w:r w:rsidRPr="000A4C8B">
        <w:rPr>
          <w:rFonts w:ascii="Times New Roman" w:hAnsi="Times New Roman" w:cs="Times New Roman"/>
          <w:b/>
          <w:bCs/>
          <w:sz w:val="20"/>
          <w:szCs w:val="20"/>
        </w:rPr>
        <w:t xml:space="preserve">Supplementary Material – Figure </w:t>
      </w:r>
      <w:r w:rsidRPr="000A4C8B">
        <w:rPr>
          <w:b/>
          <w:bCs/>
          <w:sz w:val="20"/>
          <w:szCs w:val="20"/>
        </w:rPr>
        <w:t>2.</w:t>
      </w:r>
      <w:proofErr w:type="gramEnd"/>
    </w:p>
    <w:p w:rsidR="009D5820" w:rsidRPr="000A4C8B" w:rsidRDefault="009D5820" w:rsidP="009D5820">
      <w:pPr>
        <w:rPr>
          <w:rFonts w:ascii="Times New Roman" w:eastAsia="Arial" w:hAnsi="Times New Roman" w:cs="Times New Roman"/>
          <w:sz w:val="20"/>
          <w:szCs w:val="20"/>
        </w:rPr>
      </w:pPr>
      <w:r w:rsidRPr="000A4C8B">
        <w:rPr>
          <w:rFonts w:ascii="Times New Roman" w:eastAsia="Arial" w:hAnsi="Times New Roman" w:cs="Times New Roman"/>
          <w:sz w:val="20"/>
          <w:szCs w:val="20"/>
        </w:rPr>
        <w:t xml:space="preserve">Visual predictive check plots depicting concentration against time after first dose, for a) siLpol-2 and b) siVP35. </w:t>
      </w:r>
      <w:proofErr w:type="gramStart"/>
      <w:r w:rsidRPr="000A4C8B">
        <w:rPr>
          <w:rFonts w:ascii="Times New Roman" w:eastAsia="Arial" w:hAnsi="Times New Roman" w:cs="Times New Roman"/>
          <w:sz w:val="20"/>
          <w:szCs w:val="20"/>
        </w:rPr>
        <w:t>Observed concentrations shown as blue circles and simulated 5</w:t>
      </w:r>
      <w:r w:rsidRPr="000A4C8B">
        <w:rPr>
          <w:rFonts w:ascii="Times New Roman" w:eastAsia="Arial" w:hAnsi="Times New Roman" w:cs="Times New Roman"/>
          <w:sz w:val="20"/>
          <w:szCs w:val="20"/>
          <w:vertAlign w:val="superscript"/>
        </w:rPr>
        <w:t>th</w:t>
      </w:r>
      <w:r w:rsidRPr="000A4C8B">
        <w:rPr>
          <w:rFonts w:ascii="Times New Roman" w:eastAsia="Arial" w:hAnsi="Times New Roman" w:cs="Times New Roman"/>
          <w:sz w:val="20"/>
          <w:szCs w:val="20"/>
        </w:rPr>
        <w:t>, 50</w:t>
      </w:r>
      <w:r w:rsidRPr="000A4C8B">
        <w:rPr>
          <w:rFonts w:ascii="Times New Roman" w:eastAsia="Arial" w:hAnsi="Times New Roman" w:cs="Times New Roman"/>
          <w:sz w:val="20"/>
          <w:szCs w:val="20"/>
          <w:vertAlign w:val="superscript"/>
        </w:rPr>
        <w:t>th</w:t>
      </w:r>
      <w:r w:rsidRPr="000A4C8B">
        <w:rPr>
          <w:rFonts w:ascii="Times New Roman" w:eastAsia="Arial" w:hAnsi="Times New Roman" w:cs="Times New Roman"/>
          <w:sz w:val="20"/>
          <w:szCs w:val="20"/>
        </w:rPr>
        <w:t xml:space="preserve"> and 95</w:t>
      </w:r>
      <w:r w:rsidRPr="000A4C8B">
        <w:rPr>
          <w:rFonts w:ascii="Times New Roman" w:eastAsia="Arial" w:hAnsi="Times New Roman" w:cs="Times New Roman"/>
          <w:sz w:val="20"/>
          <w:szCs w:val="20"/>
          <w:vertAlign w:val="superscript"/>
        </w:rPr>
        <w:t>th</w:t>
      </w:r>
      <w:r w:rsidRPr="000A4C8B">
        <w:rPr>
          <w:rFonts w:ascii="Times New Roman" w:eastAsia="Arial" w:hAnsi="Times New Roman" w:cs="Times New Roman"/>
          <w:sz w:val="20"/>
          <w:szCs w:val="20"/>
        </w:rPr>
        <w:t xml:space="preserve"> percentile concentration levels are shown in dark grey.</w:t>
      </w:r>
      <w:proofErr w:type="gramEnd"/>
      <w:r w:rsidRPr="000A4C8B">
        <w:rPr>
          <w:rFonts w:ascii="Times New Roman" w:eastAsia="Arial" w:hAnsi="Times New Roman" w:cs="Times New Roman"/>
          <w:sz w:val="20"/>
          <w:szCs w:val="20"/>
        </w:rPr>
        <w:t xml:space="preserve"> Confidence intervals for simulated percent are shown in light grey.</w:t>
      </w:r>
    </w:p>
    <w:p w:rsidR="009D5820" w:rsidRPr="000A4C8B" w:rsidRDefault="00B27D65" w:rsidP="009D5820">
      <w:pPr>
        <w:rPr>
          <w:rFonts w:ascii="Times New Roman" w:eastAsia="Arial" w:hAnsi="Times New Roman" w:cs="Times New Roman"/>
          <w:sz w:val="20"/>
          <w:szCs w:val="20"/>
        </w:rPr>
      </w:pPr>
      <w:r>
        <w:rPr>
          <w:rFonts w:ascii="Times New Roman" w:eastAsia="Arial" w:hAnsi="Times New Roman" w:cs="Times New Roman"/>
          <w:sz w:val="20"/>
          <w:szCs w:val="20"/>
        </w:rPr>
        <w:t>a)</w:t>
      </w:r>
    </w:p>
    <w:p w:rsidR="009D5820" w:rsidRDefault="009C64E5" w:rsidP="009D5820">
      <w:pPr>
        <w:rPr>
          <w:rFonts w:eastAsia="Arial" w:cstheme="minorHAnsi"/>
        </w:rPr>
      </w:pPr>
      <w:r>
        <w:rPr>
          <w:rFonts w:eastAsia="Arial" w:cstheme="minorHAnsi"/>
          <w:noProof/>
          <w:lang w:val="en-GB" w:eastAsia="en-GB"/>
        </w:rPr>
        <w:drawing>
          <wp:inline distT="0" distB="0" distL="0" distR="0" wp14:anchorId="786F44E5" wp14:editId="5FB2EF70">
            <wp:extent cx="3245457" cy="2981325"/>
            <wp:effectExtent l="0" t="0" r="0" b="0"/>
            <wp:docPr id="1" name="Picture 1" descr="C:\Users\Raman\Dropbox\Janet Scott\8. TKM PKPD Manuscript\2019 December\high_res_figures\Supplementary_Material_Figure2\SI_Figure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n\Dropbox\Janet Scott\8. TKM PKPD Manuscript\2019 December\high_res_figures\Supplementary_Material_Figure2\SI_Figure2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38" cy="29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B27D65" w:rsidRPr="000A4C8B" w:rsidRDefault="00B27D65" w:rsidP="009D5820">
      <w:pPr>
        <w:rPr>
          <w:rFonts w:eastAsia="Arial" w:cstheme="minorHAnsi"/>
        </w:rPr>
      </w:pPr>
      <w:r>
        <w:rPr>
          <w:rFonts w:eastAsia="Arial" w:cstheme="minorHAnsi"/>
        </w:rPr>
        <w:t>b)</w:t>
      </w:r>
      <w:bookmarkEnd w:id="0"/>
    </w:p>
    <w:p w:rsidR="009D5820" w:rsidRPr="000A4C8B" w:rsidRDefault="009C64E5" w:rsidP="009D5820">
      <w:pPr>
        <w:rPr>
          <w:rFonts w:eastAsia="Arial" w:cstheme="minorHAnsi"/>
        </w:rPr>
      </w:pPr>
      <w:r>
        <w:rPr>
          <w:rFonts w:eastAsia="Arial" w:cstheme="minorHAnsi"/>
          <w:noProof/>
          <w:lang w:val="en-GB" w:eastAsia="en-GB"/>
        </w:rPr>
        <w:drawing>
          <wp:inline distT="0" distB="0" distL="0" distR="0" wp14:anchorId="4A7AEE50" wp14:editId="691541F6">
            <wp:extent cx="3209925" cy="2948684"/>
            <wp:effectExtent l="0" t="0" r="0" b="4445"/>
            <wp:docPr id="2" name="Picture 2" descr="C:\Users\Raman\Dropbox\Janet Scott\8. TKM PKPD Manuscript\2019 December\high_res_figures\Supplementary_Material_Figure2\SI_Figure2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n\Dropbox\Janet Scott\8. TKM PKPD Manuscript\2019 December\high_res_figures\Supplementary_Material_Figure2\SI_Figure2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28" cy="29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20" w:rsidRPr="000A4C8B" w:rsidRDefault="009D5820" w:rsidP="009D5820">
      <w:pPr>
        <w:spacing w:line="240" w:lineRule="auto"/>
      </w:pPr>
      <w:r w:rsidRPr="000A4C8B">
        <w:br w:type="page"/>
      </w:r>
    </w:p>
    <w:p w:rsidR="009D5820" w:rsidRPr="000A4C8B" w:rsidRDefault="009D5820" w:rsidP="009D5820">
      <w:pPr>
        <w:rPr>
          <w:rFonts w:ascii="Times New Roman" w:hAnsi="Times New Roman"/>
          <w:sz w:val="20"/>
          <w:szCs w:val="20"/>
        </w:rPr>
      </w:pPr>
    </w:p>
    <w:p w:rsidR="009D5820" w:rsidRPr="000A4C8B" w:rsidRDefault="009D5820" w:rsidP="009D5820">
      <w:pPr>
        <w:rPr>
          <w:rFonts w:ascii="Times New Roman" w:hAnsi="Times New Roman"/>
          <w:sz w:val="20"/>
          <w:szCs w:val="20"/>
        </w:rPr>
      </w:pPr>
      <w:r w:rsidRPr="000A4C8B">
        <w:rPr>
          <w:rFonts w:ascii="Times New Roman" w:hAnsi="Times New Roman" w:cs="Times New Roman"/>
          <w:b/>
          <w:bCs/>
          <w:sz w:val="20"/>
          <w:szCs w:val="20"/>
        </w:rPr>
        <w:t>Supplementary Material – Table 3</w:t>
      </w:r>
      <w:r w:rsidRPr="000A4C8B">
        <w:rPr>
          <w:b/>
          <w:bCs/>
          <w:sz w:val="20"/>
          <w:szCs w:val="20"/>
        </w:rPr>
        <w:t>:</w:t>
      </w:r>
      <w:r w:rsidRPr="000A4C8B">
        <w:rPr>
          <w:rFonts w:ascii="Times New Roman" w:hAnsi="Times New Roman"/>
          <w:sz w:val="20"/>
          <w:szCs w:val="20"/>
        </w:rPr>
        <w:t xml:space="preserve"> Justification of the choice of 2 compartment models over 1 compartment models. </w:t>
      </w:r>
      <w:proofErr w:type="gramStart"/>
      <w:r w:rsidRPr="000A4C8B">
        <w:rPr>
          <w:rFonts w:ascii="Times New Roman" w:hAnsi="Times New Roman"/>
          <w:sz w:val="20"/>
          <w:szCs w:val="20"/>
        </w:rPr>
        <w:t>-2LL, AIC and BIC values for 1 and 2 compartment population models for siLpol-2 and siVP35.</w:t>
      </w:r>
      <w:proofErr w:type="gramEnd"/>
      <w:r w:rsidRPr="000A4C8B">
        <w:rPr>
          <w:rFonts w:ascii="Times New Roman" w:hAnsi="Times New Roman"/>
          <w:sz w:val="20"/>
          <w:szCs w:val="20"/>
        </w:rPr>
        <w:t xml:space="preserve"> There is “strong evidence” (ΔBIC &gt; 6-10) for the 2-compartment models in the siLpol-2 model and “strong to positive” evidence for the siVP35 model (ΔBIC &gt; 2-6). In practice, a drop in AIC or BIC of 2 is an accepted a threshold for considering one model over another. </w:t>
      </w:r>
    </w:p>
    <w:tbl>
      <w:tblPr>
        <w:tblpPr w:leftFromText="180" w:rightFromText="180" w:vertAnchor="page" w:horzAnchor="margin" w:tblpY="3525"/>
        <w:tblW w:w="931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4"/>
        <w:gridCol w:w="1909"/>
        <w:gridCol w:w="1885"/>
        <w:gridCol w:w="1855"/>
        <w:gridCol w:w="1781"/>
      </w:tblGrid>
      <w:tr w:rsidR="000A4C8B" w:rsidRPr="000A4C8B" w:rsidTr="00B1678C">
        <w:trPr>
          <w:trHeight w:val="180"/>
        </w:trPr>
        <w:tc>
          <w:tcPr>
            <w:tcW w:w="188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Parameter</w:t>
            </w:r>
          </w:p>
        </w:tc>
        <w:tc>
          <w:tcPr>
            <w:tcW w:w="3794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siLpol-2</w:t>
            </w:r>
          </w:p>
        </w:tc>
        <w:tc>
          <w:tcPr>
            <w:tcW w:w="3636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siVP35</w:t>
            </w:r>
          </w:p>
        </w:tc>
      </w:tr>
      <w:tr w:rsidR="000A4C8B" w:rsidRPr="000A4C8B" w:rsidTr="00B1678C">
        <w:trPr>
          <w:trHeight w:val="180"/>
        </w:trPr>
        <w:tc>
          <w:tcPr>
            <w:tcW w:w="188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0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compartment</w:t>
            </w:r>
          </w:p>
        </w:tc>
        <w:tc>
          <w:tcPr>
            <w:tcW w:w="188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compartment</w:t>
            </w:r>
          </w:p>
        </w:tc>
        <w:tc>
          <w:tcPr>
            <w:tcW w:w="185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compartment</w:t>
            </w:r>
          </w:p>
        </w:tc>
        <w:tc>
          <w:tcPr>
            <w:tcW w:w="178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compartment</w:t>
            </w:r>
          </w:p>
        </w:tc>
      </w:tr>
      <w:tr w:rsidR="000A4C8B" w:rsidRPr="000A4C8B" w:rsidTr="00B1678C">
        <w:trPr>
          <w:trHeight w:val="590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-2LL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537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8299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492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598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5058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585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7327</w:t>
            </w:r>
          </w:p>
        </w:tc>
      </w:tr>
      <w:tr w:rsidR="000A4C8B" w:rsidRPr="000A4C8B" w:rsidTr="00B1678C">
        <w:trPr>
          <w:trHeight w:val="180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544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5572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504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605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2558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597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7327</w:t>
            </w:r>
          </w:p>
        </w:tc>
      </w:tr>
      <w:tr w:rsidR="000A4C8B" w:rsidRPr="000A4C8B" w:rsidTr="00B1678C">
        <w:trPr>
          <w:trHeight w:val="180"/>
        </w:trPr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D5820" w:rsidRPr="000A4C8B" w:rsidRDefault="009D5820" w:rsidP="00B1678C">
            <w:pPr>
              <w:spacing w:before="240" w:line="240" w:lineRule="auto"/>
              <w:jc w:val="both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0A4C8B">
              <w:rPr>
                <w:rFonts w:ascii="Times New Roman" w:hAnsi="Times New Roman" w:cs="Times New Roman"/>
                <w:sz w:val="20"/>
                <w:szCs w:val="20"/>
              </w:rPr>
              <w:t>BIC</w:t>
            </w:r>
          </w:p>
        </w:tc>
        <w:tc>
          <w:tcPr>
            <w:tcW w:w="1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548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6627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510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0616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609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2563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820" w:rsidRPr="000A4C8B" w:rsidRDefault="009D5820" w:rsidP="00B1678C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4C8B">
              <w:rPr>
                <w:rFonts w:ascii="Times New Roman" w:hAnsi="Times New Roman"/>
                <w:sz w:val="20"/>
                <w:szCs w:val="20"/>
              </w:rPr>
              <w:t>603</w:t>
            </w:r>
            <w:r w:rsidRPr="000A4C8B">
              <w:rPr>
                <w:sz w:val="20"/>
                <w:szCs w:val="20"/>
              </w:rPr>
              <w:t>·</w:t>
            </w:r>
            <w:r w:rsidRPr="000A4C8B">
              <w:rPr>
                <w:rFonts w:ascii="Times New Roman" w:hAnsi="Times New Roman"/>
                <w:sz w:val="20"/>
                <w:szCs w:val="20"/>
              </w:rPr>
              <w:t>6503</w:t>
            </w:r>
          </w:p>
        </w:tc>
      </w:tr>
    </w:tbl>
    <w:p w:rsidR="009D5820" w:rsidRPr="000A4C8B" w:rsidRDefault="009D5820" w:rsidP="009D5820"/>
    <w:p w:rsidR="009D5820" w:rsidRPr="000A4C8B" w:rsidRDefault="009D5820" w:rsidP="009D5820">
      <w:pPr>
        <w:spacing w:line="240" w:lineRule="auto"/>
        <w:ind w:left="142" w:hanging="142"/>
        <w:rPr>
          <w:rFonts w:cstheme="minorHAnsi"/>
        </w:rPr>
      </w:pPr>
    </w:p>
    <w:p w:rsidR="00F45421" w:rsidRPr="000A4C8B" w:rsidRDefault="00F45421"/>
    <w:sectPr w:rsidR="00F45421" w:rsidRPr="000A4C8B" w:rsidSect="00EB77C0">
      <w:footerReference w:type="default" r:id="rId10"/>
      <w:pgSz w:w="11906" w:h="16838"/>
      <w:pgMar w:top="568" w:right="1274" w:bottom="426" w:left="993" w:header="708" w:footer="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3485" w:rsidRDefault="00933485" w:rsidP="009D5820">
      <w:pPr>
        <w:spacing w:after="0" w:line="240" w:lineRule="auto"/>
      </w:pPr>
      <w:r>
        <w:separator/>
      </w:r>
    </w:p>
  </w:endnote>
  <w:endnote w:type="continuationSeparator" w:id="0">
    <w:p w:rsidR="00933485" w:rsidRDefault="00933485" w:rsidP="009D5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23A" w:rsidRDefault="00933485" w:rsidP="00F7252F">
    <w:pPr>
      <w:pStyle w:val="Footer"/>
    </w:pPr>
    <w:sdt>
      <w:sdtPr>
        <w:id w:val="175778128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A5EA1">
          <w:tab/>
        </w:r>
        <w:r w:rsidR="00EA5EA1">
          <w:fldChar w:fldCharType="begin"/>
        </w:r>
        <w:r w:rsidR="00EA5EA1">
          <w:instrText xml:space="preserve"> PAGE   \* MERGEFORMAT </w:instrText>
        </w:r>
        <w:r w:rsidR="00EA5EA1">
          <w:fldChar w:fldCharType="separate"/>
        </w:r>
        <w:r w:rsidR="00B27D65">
          <w:rPr>
            <w:noProof/>
          </w:rPr>
          <w:t>4</w:t>
        </w:r>
        <w:r w:rsidR="00EA5EA1">
          <w:rPr>
            <w:noProof/>
          </w:rPr>
          <w:fldChar w:fldCharType="end"/>
        </w:r>
      </w:sdtContent>
    </w:sdt>
  </w:p>
  <w:p w:rsidR="00A6023A" w:rsidRPr="0071019B" w:rsidRDefault="00933485" w:rsidP="00F7252F">
    <w:pPr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3485" w:rsidRDefault="00933485" w:rsidP="009D5820">
      <w:pPr>
        <w:spacing w:after="0" w:line="240" w:lineRule="auto"/>
      </w:pPr>
      <w:r>
        <w:separator/>
      </w:r>
    </w:p>
  </w:footnote>
  <w:footnote w:type="continuationSeparator" w:id="0">
    <w:p w:rsidR="00933485" w:rsidRDefault="00933485" w:rsidP="009D58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820"/>
    <w:rsid w:val="0007386F"/>
    <w:rsid w:val="000A4C8B"/>
    <w:rsid w:val="001B36FD"/>
    <w:rsid w:val="001E3FEE"/>
    <w:rsid w:val="003A5E5D"/>
    <w:rsid w:val="00463B44"/>
    <w:rsid w:val="004E2343"/>
    <w:rsid w:val="008450CE"/>
    <w:rsid w:val="00933485"/>
    <w:rsid w:val="009354AF"/>
    <w:rsid w:val="00961EA8"/>
    <w:rsid w:val="009C64E5"/>
    <w:rsid w:val="009D5820"/>
    <w:rsid w:val="00A56EF7"/>
    <w:rsid w:val="00A97D68"/>
    <w:rsid w:val="00B27D65"/>
    <w:rsid w:val="00D463AA"/>
    <w:rsid w:val="00D74388"/>
    <w:rsid w:val="00EA5EA1"/>
    <w:rsid w:val="00F45421"/>
    <w:rsid w:val="00F76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D5820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9D5820"/>
    <w:rPr>
      <w:lang w:val="en-GB"/>
    </w:rPr>
  </w:style>
  <w:style w:type="table" w:styleId="TableGrid">
    <w:name w:val="Table Grid"/>
    <w:basedOn w:val="TableNormal"/>
    <w:uiPriority w:val="59"/>
    <w:rsid w:val="009D5820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9D5820"/>
  </w:style>
  <w:style w:type="paragraph" w:styleId="Header">
    <w:name w:val="header"/>
    <w:basedOn w:val="Normal"/>
    <w:link w:val="HeaderChar"/>
    <w:uiPriority w:val="99"/>
    <w:unhideWhenUsed/>
    <w:rsid w:val="009D5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9D5820"/>
  </w:style>
  <w:style w:type="paragraph" w:styleId="BalloonText">
    <w:name w:val="Balloon Text"/>
    <w:basedOn w:val="Normal"/>
    <w:link w:val="BalloonTextChar"/>
    <w:uiPriority w:val="99"/>
    <w:semiHidden/>
    <w:unhideWhenUsed/>
    <w:rsid w:val="009D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82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64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4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64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4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4E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D5820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9D5820"/>
    <w:rPr>
      <w:lang w:val="en-GB"/>
    </w:rPr>
  </w:style>
  <w:style w:type="table" w:styleId="TableGrid">
    <w:name w:val="Table Grid"/>
    <w:basedOn w:val="TableNormal"/>
    <w:uiPriority w:val="59"/>
    <w:rsid w:val="009D5820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9D5820"/>
  </w:style>
  <w:style w:type="paragraph" w:styleId="Header">
    <w:name w:val="header"/>
    <w:basedOn w:val="Normal"/>
    <w:link w:val="HeaderChar"/>
    <w:uiPriority w:val="99"/>
    <w:unhideWhenUsed/>
    <w:rsid w:val="009D58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9D5820"/>
  </w:style>
  <w:style w:type="paragraph" w:styleId="BalloonText">
    <w:name w:val="Balloon Text"/>
    <w:basedOn w:val="Normal"/>
    <w:link w:val="BalloonTextChar"/>
    <w:uiPriority w:val="99"/>
    <w:semiHidden/>
    <w:unhideWhenUsed/>
    <w:rsid w:val="009D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82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C64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64E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64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64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64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484</Words>
  <Characters>2760</Characters>
  <Application>Microsoft Office Word</Application>
  <DocSecurity>0</DocSecurity>
  <Lines>23</Lines>
  <Paragraphs>6</Paragraphs>
  <ScaleCrop>false</ScaleCrop>
  <Company>LSTM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 Edit 6.0</dc:creator>
  <cp:lastModifiedBy>Raman</cp:lastModifiedBy>
  <cp:revision>5</cp:revision>
  <dcterms:created xsi:type="dcterms:W3CDTF">2019-12-24T13:22:00Z</dcterms:created>
  <dcterms:modified xsi:type="dcterms:W3CDTF">2020-01-07T11:36:00Z</dcterms:modified>
</cp:coreProperties>
</file>