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89F41" w14:textId="577FA309" w:rsidR="001208EB" w:rsidRPr="00502FC1" w:rsidRDefault="001208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02FC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4D5715" w:rsidRPr="00502FC1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155049" w:rsidRPr="00502FC1">
        <w:rPr>
          <w:rFonts w:ascii="Times New Roman" w:hAnsi="Times New Roman" w:cs="Times New Roman"/>
          <w:b/>
          <w:bCs/>
          <w:sz w:val="24"/>
          <w:szCs w:val="24"/>
        </w:rPr>
        <w:t>nformation</w:t>
      </w:r>
    </w:p>
    <w:p w14:paraId="22308004" w14:textId="67061B43" w:rsidR="001208EB" w:rsidRPr="00502FC1" w:rsidRDefault="00B86DAC" w:rsidP="00DC1049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/>
        </w:rPr>
      </w:pPr>
      <w:r w:rsidRPr="00502FC1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en-AU" w:eastAsia="en-AU"/>
        </w:rPr>
        <w:t xml:space="preserve">Title: </w:t>
      </w:r>
      <w:r w:rsidR="001208EB" w:rsidRPr="00502FC1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en-AU" w:eastAsia="en-AU"/>
        </w:rPr>
        <w:t xml:space="preserve">Bioaccumulation and Tolerance Indices of Cadmium in Wheat Plants Grown in Cadmium- spiked Soil: </w:t>
      </w:r>
      <w:r w:rsidR="001208EB" w:rsidRPr="00502F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/>
        </w:rPr>
        <w:t>Health Risk Assessment</w:t>
      </w:r>
    </w:p>
    <w:p w14:paraId="18407217" w14:textId="77777777" w:rsidR="00DC1049" w:rsidRPr="00502FC1" w:rsidRDefault="00DC1049" w:rsidP="00DC1049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AU"/>
        </w:rPr>
      </w:pPr>
    </w:p>
    <w:p w14:paraId="39ABD984" w14:textId="77777777" w:rsidR="001208EB" w:rsidRPr="00502FC1" w:rsidRDefault="001208EB" w:rsidP="001208E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vertAlign w:val="superscript"/>
          <w:lang w:val="en-AU" w:eastAsia="en-AU"/>
        </w:rPr>
      </w:pPr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en-AU" w:eastAsia="en-AU"/>
        </w:rPr>
        <w:t>Md Abdul Halim</w:t>
      </w:r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vertAlign w:val="superscript"/>
          <w:lang w:val="en-AU" w:eastAsia="en-AU"/>
        </w:rPr>
        <w:t>1, 2, 3</w:t>
      </w:r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en-AU" w:eastAsia="en-AU"/>
        </w:rPr>
        <w:t>, Mohammad Mahmudur Rahman</w:t>
      </w:r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vertAlign w:val="superscript"/>
          <w:lang w:val="en-AU" w:eastAsia="en-AU"/>
        </w:rPr>
        <w:t>1, 2*</w:t>
      </w:r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en-AU" w:eastAsia="en-AU"/>
        </w:rPr>
        <w:t xml:space="preserve">, </w:t>
      </w:r>
      <w:proofErr w:type="spellStart"/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en-AU" w:eastAsia="en-AU"/>
        </w:rPr>
        <w:t>Debapriya</w:t>
      </w:r>
      <w:proofErr w:type="spellEnd"/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en-AU" w:eastAsia="en-AU"/>
        </w:rPr>
        <w:t xml:space="preserve"> Mondal</w:t>
      </w:r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vertAlign w:val="superscript"/>
          <w:lang w:val="en-AU" w:eastAsia="en-AU"/>
        </w:rPr>
        <w:t>4</w:t>
      </w:r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en-AU" w:eastAsia="en-AU"/>
        </w:rPr>
        <w:t xml:space="preserve">, </w:t>
      </w:r>
      <w:proofErr w:type="spellStart"/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en-AU" w:eastAsia="en-AU"/>
        </w:rPr>
        <w:t>Mallavarapu</w:t>
      </w:r>
      <w:proofErr w:type="spellEnd"/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en-AU" w:eastAsia="en-AU"/>
        </w:rPr>
        <w:t xml:space="preserve"> </w:t>
      </w:r>
      <w:proofErr w:type="spellStart"/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en-AU" w:eastAsia="en-AU"/>
        </w:rPr>
        <w:t>Megharaj</w:t>
      </w:r>
      <w:proofErr w:type="spellEnd"/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en-AU" w:eastAsia="en-AU"/>
        </w:rPr>
        <w:t xml:space="preserve"> </w:t>
      </w:r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vertAlign w:val="superscript"/>
          <w:lang w:val="en-AU" w:eastAsia="en-AU"/>
        </w:rPr>
        <w:t>1, 2</w:t>
      </w:r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val="en-AU" w:eastAsia="en-AU"/>
        </w:rPr>
        <w:t>, Ravi Naidu</w:t>
      </w:r>
      <w:r w:rsidRPr="00502FC1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vertAlign w:val="superscript"/>
          <w:lang w:val="en-AU" w:eastAsia="en-AU"/>
        </w:rPr>
        <w:t>1, 2*</w:t>
      </w:r>
    </w:p>
    <w:p w14:paraId="10C48269" w14:textId="77777777" w:rsidR="001208EB" w:rsidRPr="00502FC1" w:rsidRDefault="001208EB" w:rsidP="001208EB">
      <w:pPr>
        <w:spacing w:after="0" w:line="480" w:lineRule="auto"/>
        <w:jc w:val="both"/>
        <w:outlineLvl w:val="0"/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vertAlign w:val="superscript"/>
          <w:lang w:val="en-AU" w:eastAsia="en-AU"/>
        </w:rPr>
      </w:pPr>
    </w:p>
    <w:p w14:paraId="5DCBA75F" w14:textId="77777777" w:rsidR="001208EB" w:rsidRPr="00502FC1" w:rsidRDefault="001208EB" w:rsidP="001208E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4"/>
          <w:szCs w:val="24"/>
          <w:lang w:val="en-AU" w:eastAsia="en-AU"/>
        </w:rPr>
      </w:pPr>
      <w:r w:rsidRPr="00502FC1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4"/>
          <w:szCs w:val="24"/>
          <w:vertAlign w:val="superscript"/>
          <w:lang w:val="en-AU" w:eastAsia="en-AU"/>
        </w:rPr>
        <w:t>1</w:t>
      </w:r>
      <w:r w:rsidRPr="00502FC1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4"/>
          <w:szCs w:val="24"/>
          <w:lang w:val="en-AU" w:eastAsia="en-AU"/>
        </w:rPr>
        <w:t>Global Centre for Environmental Remediation (GCER), College of Science, Engineering and Environment, The University of Newcastle, Callaghan, NSW 2308, Australia.</w:t>
      </w:r>
    </w:p>
    <w:p w14:paraId="68E0CE50" w14:textId="77777777" w:rsidR="001208EB" w:rsidRPr="00502FC1" w:rsidRDefault="001208EB" w:rsidP="001208E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4"/>
          <w:szCs w:val="24"/>
          <w:lang w:val="en-AU" w:eastAsia="en-AU"/>
        </w:rPr>
      </w:pPr>
      <w:r w:rsidRPr="00502FC1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4"/>
          <w:szCs w:val="24"/>
          <w:vertAlign w:val="superscript"/>
          <w:lang w:val="en-AU" w:eastAsia="en-AU"/>
        </w:rPr>
        <w:t>2</w:t>
      </w:r>
      <w:r w:rsidRPr="00502FC1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4"/>
          <w:szCs w:val="24"/>
          <w:lang w:val="en-AU" w:eastAsia="en-AU"/>
        </w:rPr>
        <w:t>Cooperative Research Centre for Contamination Assessment and Remediation of the Environment (CRC CARE), ATC Building, The University of Newcastle, Callaghan NSW 2308, Australia.</w:t>
      </w:r>
    </w:p>
    <w:p w14:paraId="1357B4FF" w14:textId="77777777" w:rsidR="001208EB" w:rsidRPr="00502FC1" w:rsidRDefault="001208EB" w:rsidP="001208E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4"/>
          <w:szCs w:val="24"/>
          <w:lang w:val="en-AU" w:eastAsia="en-AU"/>
        </w:rPr>
      </w:pPr>
      <w:r w:rsidRPr="00502FC1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4"/>
          <w:szCs w:val="24"/>
          <w:vertAlign w:val="superscript"/>
          <w:lang w:val="en-AU" w:eastAsia="en-AU"/>
        </w:rPr>
        <w:t>3</w:t>
      </w:r>
      <w:r w:rsidRPr="00502FC1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4"/>
          <w:szCs w:val="24"/>
          <w:lang w:val="en-AU" w:eastAsia="en-AU"/>
        </w:rPr>
        <w:t>Department of Biotechnology, Sher-e-Bangla Agricultural University, Dhaka-1207, Bangladesh.</w:t>
      </w:r>
    </w:p>
    <w:p w14:paraId="26C75DA0" w14:textId="77777777" w:rsidR="001208EB" w:rsidRPr="00502FC1" w:rsidRDefault="001208EB" w:rsidP="001208E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02FC1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4</w:t>
      </w:r>
      <w:r w:rsidRPr="00502FC1">
        <w:rPr>
          <w:rFonts w:ascii="Times New Roman" w:hAnsi="Times New Roman" w:cs="Times New Roman"/>
          <w:i/>
          <w:iCs/>
          <w:sz w:val="24"/>
          <w:szCs w:val="24"/>
        </w:rPr>
        <w:t>Institite of Medical and Biomedical Education, St George’s University of London, London SW17 0RE, UK.</w:t>
      </w:r>
    </w:p>
    <w:p w14:paraId="51B343E3" w14:textId="611508AE" w:rsidR="0091408A" w:rsidRPr="00502FC1" w:rsidRDefault="001208EB" w:rsidP="001208E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02FC1">
        <w:rPr>
          <w:rFonts w:ascii="Times New Roman" w:hAnsi="Times New Roman" w:cs="Times New Roman"/>
          <w:i/>
          <w:iCs/>
          <w:sz w:val="24"/>
          <w:szCs w:val="24"/>
        </w:rPr>
        <w:t xml:space="preserve">*Corresponding author: </w:t>
      </w:r>
      <w:hyperlink r:id="rId4" w:history="1">
        <w:r w:rsidRPr="00502FC1">
          <w:rPr>
            <w:rFonts w:ascii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mahmud.rahman@newcastle.edu.au</w:t>
        </w:r>
      </w:hyperlink>
      <w:r w:rsidRPr="00502FC1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hyperlink r:id="rId5" w:history="1">
        <w:r w:rsidRPr="00502FC1">
          <w:rPr>
            <w:rFonts w:ascii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ravi.naidu@newcastle.edu.au</w:t>
        </w:r>
      </w:hyperlink>
      <w:r w:rsidRPr="00502F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EFADBA4" w14:textId="78C91A03" w:rsidR="0091408A" w:rsidRPr="00502FC1" w:rsidRDefault="0091408A" w:rsidP="001208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7DDE84" w14:textId="1CDE84C3" w:rsidR="0091408A" w:rsidRPr="00502FC1" w:rsidRDefault="0091408A" w:rsidP="009140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</w:pPr>
    </w:p>
    <w:p w14:paraId="1F97E1E5" w14:textId="77777777" w:rsidR="009E030C" w:rsidRPr="00502FC1" w:rsidRDefault="009E030C" w:rsidP="009140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</w:pPr>
    </w:p>
    <w:p w14:paraId="3ACE356F" w14:textId="77777777" w:rsidR="0091408A" w:rsidRPr="00502FC1" w:rsidRDefault="0091408A" w:rsidP="009140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</w:pPr>
      <w:r w:rsidRPr="00502FC1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t xml:space="preserve">TABLE S1 </w:t>
      </w:r>
      <w:r w:rsidRPr="00502FC1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sym w:font="Symbol" w:char="F0F7"/>
      </w:r>
      <w:r w:rsidRPr="00502FC1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t xml:space="preserve"> Aqua regia and DTPA extractable Cd from different levels of spiking Cd in soil after 120 days of incubation</w:t>
      </w:r>
    </w:p>
    <w:tbl>
      <w:tblPr>
        <w:tblStyle w:val="TableGrid"/>
        <w:tblpPr w:leftFromText="180" w:rightFromText="180" w:vertAnchor="text" w:horzAnchor="margin" w:tblpY="194"/>
        <w:tblW w:w="88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2270"/>
        <w:gridCol w:w="2050"/>
        <w:gridCol w:w="2700"/>
      </w:tblGrid>
      <w:tr w:rsidR="0091408A" w:rsidRPr="00502FC1" w14:paraId="300446A0" w14:textId="77777777" w:rsidTr="008F0E2F">
        <w:trPr>
          <w:trHeight w:val="276"/>
        </w:trPr>
        <w:tc>
          <w:tcPr>
            <w:tcW w:w="180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3E4C81B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Treatment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ADD730C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Spiking</w:t>
            </w:r>
          </w:p>
          <w:p w14:paraId="2C9378E4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Cd (mg kg</w:t>
            </w:r>
            <w:r w:rsidRPr="00502F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-1 </w:t>
            </w:r>
            <w:r w:rsidRPr="00502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soil)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0917B07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  <w:p w14:paraId="582977DC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Cd (mg kg</w:t>
            </w:r>
            <w:r w:rsidRPr="00502F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-1 </w:t>
            </w:r>
            <w:r w:rsidRPr="00502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soil)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9E8153A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DTPA Extracted</w:t>
            </w:r>
          </w:p>
          <w:p w14:paraId="678337E5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Cd (mg kg</w:t>
            </w:r>
            <w:r w:rsidRPr="00502F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-1 </w:t>
            </w:r>
            <w:r w:rsidRPr="00502F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soil)</w:t>
            </w:r>
          </w:p>
        </w:tc>
      </w:tr>
      <w:tr w:rsidR="0091408A" w:rsidRPr="00502FC1" w14:paraId="4454D1B7" w14:textId="77777777" w:rsidTr="008F0E2F">
        <w:trPr>
          <w:trHeight w:val="398"/>
        </w:trPr>
        <w:tc>
          <w:tcPr>
            <w:tcW w:w="1800" w:type="dxa"/>
            <w:vMerge/>
            <w:tcBorders>
              <w:top w:val="nil"/>
              <w:bottom w:val="single" w:sz="4" w:space="0" w:color="auto"/>
            </w:tcBorders>
          </w:tcPr>
          <w:p w14:paraId="2F163A53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top w:val="nil"/>
              <w:bottom w:val="single" w:sz="4" w:space="0" w:color="auto"/>
            </w:tcBorders>
          </w:tcPr>
          <w:p w14:paraId="02C83F99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0" w:type="dxa"/>
            <w:vMerge/>
            <w:tcBorders>
              <w:top w:val="nil"/>
              <w:bottom w:val="single" w:sz="4" w:space="0" w:color="auto"/>
            </w:tcBorders>
          </w:tcPr>
          <w:p w14:paraId="573C81F5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nil"/>
              <w:bottom w:val="single" w:sz="4" w:space="0" w:color="auto"/>
            </w:tcBorders>
          </w:tcPr>
          <w:p w14:paraId="475288BF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1408A" w:rsidRPr="00502FC1" w14:paraId="3A12F611" w14:textId="77777777" w:rsidTr="008F0E2F">
        <w:trPr>
          <w:trHeight w:val="213"/>
        </w:trPr>
        <w:tc>
          <w:tcPr>
            <w:tcW w:w="1800" w:type="dxa"/>
            <w:tcBorders>
              <w:top w:val="single" w:sz="4" w:space="0" w:color="auto"/>
            </w:tcBorders>
          </w:tcPr>
          <w:p w14:paraId="04FE3A84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CK</w:t>
            </w:r>
          </w:p>
        </w:tc>
        <w:tc>
          <w:tcPr>
            <w:tcW w:w="2270" w:type="dxa"/>
            <w:tcBorders>
              <w:top w:val="single" w:sz="4" w:space="0" w:color="auto"/>
            </w:tcBorders>
            <w:shd w:val="clear" w:color="auto" w:fill="auto"/>
          </w:tcPr>
          <w:p w14:paraId="2817960C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0" w:type="dxa"/>
            <w:tcBorders>
              <w:top w:val="single" w:sz="4" w:space="0" w:color="auto"/>
            </w:tcBorders>
            <w:shd w:val="clear" w:color="auto" w:fill="auto"/>
          </w:tcPr>
          <w:p w14:paraId="2BE417C3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0.084±0.093</w:t>
            </w:r>
          </w:p>
        </w:tc>
        <w:tc>
          <w:tcPr>
            <w:tcW w:w="2700" w:type="dxa"/>
            <w:tcBorders>
              <w:top w:val="single" w:sz="4" w:space="0" w:color="auto"/>
            </w:tcBorders>
            <w:shd w:val="clear" w:color="auto" w:fill="auto"/>
          </w:tcPr>
          <w:p w14:paraId="68705FAA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0.0486±0.053</w:t>
            </w:r>
          </w:p>
        </w:tc>
      </w:tr>
      <w:tr w:rsidR="0091408A" w:rsidRPr="00502FC1" w14:paraId="7328C15A" w14:textId="77777777" w:rsidTr="008F0E2F">
        <w:trPr>
          <w:trHeight w:val="213"/>
        </w:trPr>
        <w:tc>
          <w:tcPr>
            <w:tcW w:w="1800" w:type="dxa"/>
          </w:tcPr>
          <w:p w14:paraId="0476C6F1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Cd1</w:t>
            </w:r>
          </w:p>
        </w:tc>
        <w:tc>
          <w:tcPr>
            <w:tcW w:w="2270" w:type="dxa"/>
            <w:shd w:val="clear" w:color="auto" w:fill="auto"/>
          </w:tcPr>
          <w:p w14:paraId="5BBABA14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0" w:type="dxa"/>
            <w:shd w:val="clear" w:color="auto" w:fill="auto"/>
          </w:tcPr>
          <w:p w14:paraId="258189C1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0.903±0.032</w:t>
            </w:r>
          </w:p>
        </w:tc>
        <w:tc>
          <w:tcPr>
            <w:tcW w:w="2700" w:type="dxa"/>
            <w:shd w:val="clear" w:color="auto" w:fill="auto"/>
          </w:tcPr>
          <w:p w14:paraId="758E6795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0.382±0.049</w:t>
            </w:r>
          </w:p>
        </w:tc>
      </w:tr>
      <w:tr w:rsidR="0091408A" w:rsidRPr="00502FC1" w14:paraId="28FAFA01" w14:textId="77777777" w:rsidTr="008F0E2F">
        <w:trPr>
          <w:trHeight w:val="213"/>
        </w:trPr>
        <w:tc>
          <w:tcPr>
            <w:tcW w:w="1800" w:type="dxa"/>
          </w:tcPr>
          <w:p w14:paraId="7D8E8E35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Cd2</w:t>
            </w:r>
          </w:p>
        </w:tc>
        <w:tc>
          <w:tcPr>
            <w:tcW w:w="2270" w:type="dxa"/>
            <w:shd w:val="clear" w:color="auto" w:fill="auto"/>
          </w:tcPr>
          <w:p w14:paraId="60F2727A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0" w:type="dxa"/>
            <w:shd w:val="clear" w:color="auto" w:fill="auto"/>
          </w:tcPr>
          <w:p w14:paraId="501E8976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1.655±0.044</w:t>
            </w:r>
          </w:p>
        </w:tc>
        <w:tc>
          <w:tcPr>
            <w:tcW w:w="2700" w:type="dxa"/>
            <w:shd w:val="clear" w:color="auto" w:fill="auto"/>
          </w:tcPr>
          <w:p w14:paraId="3E8C5739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0.742±0.024</w:t>
            </w:r>
          </w:p>
        </w:tc>
      </w:tr>
      <w:tr w:rsidR="0091408A" w:rsidRPr="00502FC1" w14:paraId="70FE029C" w14:textId="77777777" w:rsidTr="008F0E2F">
        <w:trPr>
          <w:trHeight w:val="206"/>
        </w:trPr>
        <w:tc>
          <w:tcPr>
            <w:tcW w:w="1800" w:type="dxa"/>
          </w:tcPr>
          <w:p w14:paraId="3F55B91A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Cd4</w:t>
            </w:r>
          </w:p>
        </w:tc>
        <w:tc>
          <w:tcPr>
            <w:tcW w:w="2270" w:type="dxa"/>
            <w:shd w:val="clear" w:color="auto" w:fill="auto"/>
          </w:tcPr>
          <w:p w14:paraId="56AAF1E3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0" w:type="dxa"/>
            <w:shd w:val="clear" w:color="auto" w:fill="auto"/>
          </w:tcPr>
          <w:p w14:paraId="770E6A54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3.839±0.108</w:t>
            </w:r>
          </w:p>
        </w:tc>
        <w:tc>
          <w:tcPr>
            <w:tcW w:w="2700" w:type="dxa"/>
            <w:shd w:val="clear" w:color="auto" w:fill="auto"/>
          </w:tcPr>
          <w:p w14:paraId="7F1202AF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2.361±0.087</w:t>
            </w:r>
          </w:p>
        </w:tc>
      </w:tr>
      <w:tr w:rsidR="0091408A" w:rsidRPr="00502FC1" w14:paraId="38C3AF48" w14:textId="77777777" w:rsidTr="008F0E2F">
        <w:trPr>
          <w:trHeight w:val="213"/>
        </w:trPr>
        <w:tc>
          <w:tcPr>
            <w:tcW w:w="1800" w:type="dxa"/>
          </w:tcPr>
          <w:p w14:paraId="5BB7116F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Cd8</w:t>
            </w:r>
          </w:p>
        </w:tc>
        <w:tc>
          <w:tcPr>
            <w:tcW w:w="2270" w:type="dxa"/>
            <w:shd w:val="clear" w:color="auto" w:fill="auto"/>
          </w:tcPr>
          <w:p w14:paraId="1924A56B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50" w:type="dxa"/>
            <w:shd w:val="clear" w:color="auto" w:fill="auto"/>
          </w:tcPr>
          <w:p w14:paraId="2DEAC866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8.120±0.081</w:t>
            </w:r>
          </w:p>
        </w:tc>
        <w:tc>
          <w:tcPr>
            <w:tcW w:w="2700" w:type="dxa"/>
            <w:shd w:val="clear" w:color="auto" w:fill="auto"/>
          </w:tcPr>
          <w:p w14:paraId="2316B252" w14:textId="77777777" w:rsidR="0091408A" w:rsidRPr="00502FC1" w:rsidRDefault="0091408A" w:rsidP="008F0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FC1">
              <w:rPr>
                <w:rFonts w:ascii="Times New Roman" w:hAnsi="Times New Roman" w:cs="Times New Roman"/>
                <w:sz w:val="24"/>
                <w:szCs w:val="24"/>
              </w:rPr>
              <w:t>6.521±0.093</w:t>
            </w:r>
          </w:p>
        </w:tc>
      </w:tr>
    </w:tbl>
    <w:p w14:paraId="46283F89" w14:textId="77777777" w:rsidR="0091408A" w:rsidRPr="00502FC1" w:rsidRDefault="0091408A" w:rsidP="0091408A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AU" w:eastAsia="en-AU"/>
        </w:rPr>
      </w:pPr>
    </w:p>
    <w:p w14:paraId="55F7D39C" w14:textId="77777777" w:rsidR="0091408A" w:rsidRPr="00502FC1" w:rsidRDefault="0091408A" w:rsidP="001208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B0F663" w14:textId="77777777" w:rsidR="00F65502" w:rsidRPr="00502FC1" w:rsidRDefault="00F65502" w:rsidP="00F65502">
      <w:pPr>
        <w:rPr>
          <w:rFonts w:ascii="Times New Roman" w:hAnsi="Times New Roman" w:cs="Times New Roman"/>
          <w:sz w:val="24"/>
          <w:szCs w:val="24"/>
        </w:rPr>
      </w:pPr>
      <w:r w:rsidRPr="00502FC1">
        <w:rPr>
          <w:rFonts w:ascii="Times New Roman" w:eastAsia="Times New Roman" w:hAnsi="Times New Roman" w:cs="Times New Roman"/>
          <w:noProof/>
          <w:sz w:val="24"/>
          <w:szCs w:val="24"/>
          <w:lang w:val="en-AU" w:eastAsia="en-AU"/>
        </w:rPr>
        <w:lastRenderedPageBreak/>
        <w:drawing>
          <wp:anchor distT="0" distB="0" distL="114300" distR="114300" simplePos="0" relativeHeight="251659264" behindDoc="1" locked="0" layoutInCell="1" allowOverlap="1" wp14:anchorId="5E1F1B67" wp14:editId="6A6B2571">
            <wp:simplePos x="0" y="0"/>
            <wp:positionH relativeFrom="column">
              <wp:posOffset>-361849</wp:posOffset>
            </wp:positionH>
            <wp:positionV relativeFrom="paragraph">
              <wp:posOffset>302053</wp:posOffset>
            </wp:positionV>
            <wp:extent cx="6715125" cy="2423160"/>
            <wp:effectExtent l="0" t="0" r="9525" b="0"/>
            <wp:wrapTight wrapText="bothSides">
              <wp:wrapPolygon edited="0">
                <wp:start x="0" y="0"/>
                <wp:lineTo x="0" y="21396"/>
                <wp:lineTo x="21569" y="21396"/>
                <wp:lineTo x="21569" y="0"/>
                <wp:lineTo x="0" y="0"/>
              </wp:wrapPolygon>
            </wp:wrapTight>
            <wp:docPr id="3" name="Picture 3" descr="A picture containing tex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8F934" w14:textId="77777777" w:rsidR="00F65502" w:rsidRPr="00502FC1" w:rsidRDefault="00F65502" w:rsidP="00F65502">
      <w:pPr>
        <w:rPr>
          <w:rFonts w:ascii="Times New Roman" w:hAnsi="Times New Roman" w:cs="Times New Roman"/>
          <w:sz w:val="24"/>
          <w:szCs w:val="24"/>
        </w:rPr>
      </w:pPr>
    </w:p>
    <w:p w14:paraId="19ACED13" w14:textId="4C3B52DE" w:rsidR="00F65502" w:rsidRPr="00502FC1" w:rsidRDefault="00F65502" w:rsidP="00BE7A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FC1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t xml:space="preserve">FIGURE S1 </w:t>
      </w:r>
      <w:r w:rsidRPr="00502FC1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sym w:font="Symbol" w:char="F0F7"/>
      </w:r>
      <w:r w:rsidRPr="00502FC1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t xml:space="preserve">  </w:t>
      </w:r>
      <w:r w:rsidRPr="00502FC1">
        <w:rPr>
          <w:rFonts w:ascii="Times New Roman" w:hAnsi="Times New Roman" w:cs="Times New Roman"/>
          <w:sz w:val="24"/>
          <w:szCs w:val="24"/>
        </w:rPr>
        <w:t>Plant growth experiment on two spring wheat varieties Mustang (M) and Lancer (L) in pots under different levels of Cd-spiked soil in greenhouse conditions.</w:t>
      </w:r>
    </w:p>
    <w:p w14:paraId="1A0FB9B0" w14:textId="3D71350F" w:rsidR="00F65502" w:rsidRPr="00502FC1" w:rsidRDefault="00936718" w:rsidP="00F6550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2FC1">
        <w:rPr>
          <w:noProof/>
        </w:rPr>
        <w:drawing>
          <wp:inline distT="0" distB="0" distL="0" distR="0" wp14:anchorId="3B0D5F3C" wp14:editId="247A61AB">
            <wp:extent cx="5731753" cy="2125683"/>
            <wp:effectExtent l="0" t="0" r="2540" b="825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6423" t="28916" r="15341" b="19501"/>
                    <a:stretch/>
                  </pic:blipFill>
                  <pic:spPr bwMode="auto">
                    <a:xfrm>
                      <a:off x="0" y="0"/>
                      <a:ext cx="5758665" cy="213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348DC" w14:textId="3ECA8F5A" w:rsidR="00F65502" w:rsidRPr="00502FC1" w:rsidRDefault="00F65502" w:rsidP="00BE7A2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AU"/>
        </w:rPr>
      </w:pPr>
      <w:r w:rsidRPr="00502FC1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t xml:space="preserve">FIGURE S2 </w:t>
      </w:r>
      <w:r w:rsidRPr="00502FC1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sym w:font="Symbol" w:char="F0F7"/>
      </w:r>
      <w:r w:rsidRPr="00502FC1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t xml:space="preserve">  </w:t>
      </w:r>
      <w:r w:rsidRPr="00502FC1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AU"/>
        </w:rPr>
        <w:t>Total biomass dry weight and Tolerance index under different levels of soil cadmium (Cd) concentrations in two wheat cultivars (Mustang and Lancer). Data are mean ± standard error of three replicates. Different letters indicate the significant differences</w:t>
      </w:r>
      <w:r w:rsidR="00BE7A2C" w:rsidRPr="00502FC1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AU"/>
        </w:rPr>
        <w:t xml:space="preserve"> </w:t>
      </w:r>
      <w:r w:rsidR="00BE7A2C" w:rsidRPr="00502F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 letters </w:t>
      </w:r>
      <w:r w:rsidR="00BE7A2C" w:rsidRPr="00502FC1">
        <w:rPr>
          <w:rFonts w:ascii="Times New Roman" w:eastAsia="Calibri" w:hAnsi="Times New Roman" w:cs="Times New Roman"/>
          <w:color w:val="000000"/>
          <w:sz w:val="24"/>
          <w:szCs w:val="24"/>
          <w:lang w:val="en-AU"/>
        </w:rPr>
        <w:t>(a, b, c, d, e for Mustang and z, y, x, w, v for Lancer) among treatments</w:t>
      </w:r>
      <w:r w:rsidRPr="00502FC1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AU"/>
        </w:rPr>
        <w:t xml:space="preserve"> at </w:t>
      </w:r>
      <w:r w:rsidRPr="00502FC1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val="en-AU"/>
        </w:rPr>
        <w:t>p</w:t>
      </w:r>
      <w:r w:rsidRPr="00502FC1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AU"/>
        </w:rPr>
        <w:t xml:space="preserve"> &lt; 0.05 as per Duncan’s multiple range test.</w:t>
      </w:r>
    </w:p>
    <w:p w14:paraId="6F380BCD" w14:textId="77777777" w:rsidR="00F65502" w:rsidRPr="00502FC1" w:rsidRDefault="00F65502" w:rsidP="00F6550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</w:pPr>
    </w:p>
    <w:p w14:paraId="40906BB9" w14:textId="77777777" w:rsidR="00F65502" w:rsidRPr="00502FC1" w:rsidRDefault="00F65502" w:rsidP="00F65502">
      <w:pPr>
        <w:rPr>
          <w:rFonts w:ascii="Times New Roman" w:hAnsi="Times New Roman" w:cs="Times New Roman"/>
          <w:sz w:val="24"/>
          <w:szCs w:val="24"/>
        </w:rPr>
      </w:pPr>
    </w:p>
    <w:p w14:paraId="7F817CC2" w14:textId="078734B9" w:rsidR="00F65502" w:rsidRPr="00B86DAC" w:rsidRDefault="00F65502" w:rsidP="00F65502">
      <w:pPr>
        <w:spacing w:before="24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AU"/>
        </w:rPr>
      </w:pPr>
      <w:r w:rsidRPr="00502FC1">
        <w:rPr>
          <w:noProof/>
        </w:rPr>
        <w:lastRenderedPageBreak/>
        <w:drawing>
          <wp:inline distT="0" distB="0" distL="0" distR="0" wp14:anchorId="259C158A" wp14:editId="6FF31ABC">
            <wp:extent cx="5759204" cy="2511188"/>
            <wp:effectExtent l="0" t="0" r="0" b="381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t="10953" b="11533"/>
                    <a:stretch/>
                  </pic:blipFill>
                  <pic:spPr bwMode="auto">
                    <a:xfrm>
                      <a:off x="0" y="0"/>
                      <a:ext cx="5759450" cy="251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2FC1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t>FIGURE S</w:t>
      </w:r>
      <w:r w:rsidR="0002698C" w:rsidRPr="00502FC1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t>3</w:t>
      </w:r>
      <w:r w:rsidRPr="00502FC1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sym w:font="Symbol" w:char="F0F7"/>
      </w:r>
      <w:r w:rsidRPr="00502FC1">
        <w:rPr>
          <w:rFonts w:ascii="Times New Roman" w:eastAsia="Times New Roman" w:hAnsi="Times New Roman" w:cs="Times New Roman"/>
          <w:b/>
          <w:bCs/>
          <w:sz w:val="24"/>
          <w:szCs w:val="24"/>
          <w:lang w:val="en-AU" w:eastAsia="en-AU"/>
        </w:rPr>
        <w:t xml:space="preserve">  </w:t>
      </w:r>
      <w:r w:rsidRPr="00502FC1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t xml:space="preserve">The </w:t>
      </w:r>
      <w:r w:rsidRPr="00502FC1">
        <w:rPr>
          <w:rFonts w:ascii="Times New Roman" w:eastAsia="Calibri" w:hAnsi="Times New Roman" w:cs="Times New Roman"/>
          <w:color w:val="000000"/>
          <w:sz w:val="24"/>
          <w:szCs w:val="24"/>
          <w:lang w:val="en-AU"/>
        </w:rPr>
        <w:t>Correlation co-efficient (n=15) among soil DTPA Cd, Bio Cd (Bioaccumulation Cd), BCF Cd, Shoot TF, Root TF, TI in two spring wheat cultivars which are grown under Cd spiked soil. (Red to Blue +</w:t>
      </w:r>
      <w:proofErr w:type="spellStart"/>
      <w:r w:rsidRPr="00502FC1">
        <w:rPr>
          <w:rFonts w:ascii="Times New Roman" w:eastAsia="Calibri" w:hAnsi="Times New Roman" w:cs="Times New Roman"/>
          <w:color w:val="000000"/>
          <w:sz w:val="24"/>
          <w:szCs w:val="24"/>
          <w:lang w:val="en-AU"/>
        </w:rPr>
        <w:t>ve</w:t>
      </w:r>
      <w:proofErr w:type="spellEnd"/>
      <w:r w:rsidRPr="00502FC1">
        <w:rPr>
          <w:rFonts w:ascii="Times New Roman" w:eastAsia="Calibri" w:hAnsi="Times New Roman" w:cs="Times New Roman"/>
          <w:color w:val="000000"/>
          <w:sz w:val="24"/>
          <w:szCs w:val="24"/>
          <w:lang w:val="en-AU"/>
        </w:rPr>
        <w:t xml:space="preserve"> to -</w:t>
      </w:r>
      <w:proofErr w:type="spellStart"/>
      <w:r w:rsidRPr="00502FC1">
        <w:rPr>
          <w:rFonts w:ascii="Times New Roman" w:eastAsia="Calibri" w:hAnsi="Times New Roman" w:cs="Times New Roman"/>
          <w:color w:val="000000"/>
          <w:sz w:val="24"/>
          <w:szCs w:val="24"/>
          <w:lang w:val="en-AU"/>
        </w:rPr>
        <w:t>ve</w:t>
      </w:r>
      <w:proofErr w:type="spellEnd"/>
      <w:r w:rsidRPr="00502FC1">
        <w:rPr>
          <w:rFonts w:ascii="Times New Roman" w:eastAsia="Calibri" w:hAnsi="Times New Roman" w:cs="Times New Roman"/>
          <w:color w:val="000000"/>
          <w:sz w:val="24"/>
          <w:szCs w:val="24"/>
          <w:lang w:val="en-AU"/>
        </w:rPr>
        <w:t xml:space="preserve"> correlation, * </w:t>
      </w:r>
      <w:r w:rsidRPr="00502F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AU"/>
        </w:rPr>
        <w:t>p</w:t>
      </w:r>
      <w:r w:rsidRPr="00502FC1">
        <w:rPr>
          <w:rFonts w:ascii="Times New Roman" w:eastAsia="Calibri" w:hAnsi="Times New Roman" w:cs="Times New Roman"/>
          <w:color w:val="000000"/>
          <w:sz w:val="24"/>
          <w:szCs w:val="24"/>
          <w:lang w:val="en-AU"/>
        </w:rPr>
        <w:t xml:space="preserve">&lt;0.05, ** </w:t>
      </w:r>
      <w:r w:rsidRPr="00502F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AU"/>
        </w:rPr>
        <w:t>p</w:t>
      </w:r>
      <w:r w:rsidRPr="00502FC1">
        <w:rPr>
          <w:rFonts w:ascii="Times New Roman" w:eastAsia="Calibri" w:hAnsi="Times New Roman" w:cs="Times New Roman"/>
          <w:color w:val="000000"/>
          <w:sz w:val="24"/>
          <w:szCs w:val="24"/>
          <w:lang w:val="en-AU"/>
        </w:rPr>
        <w:t xml:space="preserve">&lt;0.01, *** </w:t>
      </w:r>
      <w:r w:rsidRPr="00502F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AU"/>
        </w:rPr>
        <w:t>p</w:t>
      </w:r>
      <w:r w:rsidRPr="00502FC1">
        <w:rPr>
          <w:rFonts w:ascii="Times New Roman" w:eastAsia="Calibri" w:hAnsi="Times New Roman" w:cs="Times New Roman"/>
          <w:color w:val="000000"/>
          <w:sz w:val="24"/>
          <w:szCs w:val="24"/>
          <w:lang w:val="en-AU"/>
        </w:rPr>
        <w:t>&lt;0.001</w:t>
      </w:r>
      <w:r w:rsidRPr="00502F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-AU"/>
        </w:rPr>
        <w:t>).</w:t>
      </w:r>
    </w:p>
    <w:p w14:paraId="5A89B823" w14:textId="77777777" w:rsidR="00F65502" w:rsidRPr="00DC1049" w:rsidRDefault="00F65502" w:rsidP="00F65502">
      <w:pPr>
        <w:rPr>
          <w:rFonts w:ascii="Times New Roman" w:hAnsi="Times New Roman" w:cs="Times New Roman"/>
          <w:sz w:val="24"/>
          <w:szCs w:val="24"/>
        </w:rPr>
      </w:pPr>
    </w:p>
    <w:sectPr w:rsidR="00F65502" w:rsidRPr="00DC104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8EB"/>
    <w:rsid w:val="0002698C"/>
    <w:rsid w:val="000D12FC"/>
    <w:rsid w:val="001208EB"/>
    <w:rsid w:val="00155049"/>
    <w:rsid w:val="004D5715"/>
    <w:rsid w:val="0050130D"/>
    <w:rsid w:val="00502FC1"/>
    <w:rsid w:val="005C4AA9"/>
    <w:rsid w:val="0091408A"/>
    <w:rsid w:val="00936718"/>
    <w:rsid w:val="009E030C"/>
    <w:rsid w:val="00B86DAC"/>
    <w:rsid w:val="00BE7A2C"/>
    <w:rsid w:val="00DC1049"/>
    <w:rsid w:val="00DD072F"/>
    <w:rsid w:val="00EA5CB5"/>
    <w:rsid w:val="00F6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D95FB"/>
  <w15:chartTrackingRefBased/>
  <w15:docId w15:val="{96BF31F2-64EC-419A-8135-941CFEDC4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5502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">
    <w:name w:val="List Table 2"/>
    <w:basedOn w:val="TableNormal"/>
    <w:uiPriority w:val="47"/>
    <w:rsid w:val="00F6550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ravi.naidu@newcastle.edu.au" TargetMode="External"/><Relationship Id="rId10" Type="http://schemas.openxmlformats.org/officeDocument/2006/relationships/image" Target="media/image5.svg"/><Relationship Id="rId4" Type="http://schemas.openxmlformats.org/officeDocument/2006/relationships/hyperlink" Target="mailto:mahmud.rahman@newcastle.edu.au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Halim</dc:creator>
  <cp:keywords/>
  <dc:description/>
  <cp:lastModifiedBy>Florine Lièvre</cp:lastModifiedBy>
  <cp:revision>15</cp:revision>
  <dcterms:created xsi:type="dcterms:W3CDTF">2021-11-04T12:58:00Z</dcterms:created>
  <dcterms:modified xsi:type="dcterms:W3CDTF">2021-11-24T09:52:00Z</dcterms:modified>
</cp:coreProperties>
</file>