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E5B9" w14:textId="77777777" w:rsidR="0027490E" w:rsidRPr="0027490E" w:rsidRDefault="0027490E" w:rsidP="0027490E">
      <w:pPr>
        <w:jc w:val="center"/>
        <w:rPr>
          <w:b/>
          <w:bCs/>
          <w:sz w:val="32"/>
          <w:szCs w:val="32"/>
        </w:rPr>
      </w:pPr>
      <w:r w:rsidRPr="0027490E">
        <w:rPr>
          <w:b/>
          <w:bCs/>
          <w:sz w:val="32"/>
          <w:szCs w:val="32"/>
        </w:rPr>
        <w:t>Associations between inflammation, cardiovascular biomarkers and incident frailty: the British Regional Heart Study</w:t>
      </w:r>
    </w:p>
    <w:p w14:paraId="71A24D13" w14:textId="77777777" w:rsidR="0027490E" w:rsidRDefault="0027490E">
      <w:pPr>
        <w:rPr>
          <w:b/>
          <w:bCs/>
          <w:sz w:val="32"/>
          <w:szCs w:val="32"/>
        </w:rPr>
      </w:pPr>
    </w:p>
    <w:p w14:paraId="44569556" w14:textId="77777777" w:rsidR="0027490E" w:rsidRDefault="0027490E">
      <w:pPr>
        <w:rPr>
          <w:b/>
          <w:bCs/>
          <w:sz w:val="32"/>
          <w:szCs w:val="32"/>
        </w:rPr>
      </w:pPr>
    </w:p>
    <w:p w14:paraId="1A76EE6B" w14:textId="7A73B794" w:rsidR="00B825C7" w:rsidRPr="00133DFF" w:rsidRDefault="00B825C7">
      <w:pPr>
        <w:rPr>
          <w:b/>
          <w:bCs/>
          <w:sz w:val="32"/>
          <w:szCs w:val="32"/>
        </w:rPr>
      </w:pPr>
      <w:r w:rsidRPr="00133DFF">
        <w:rPr>
          <w:b/>
          <w:bCs/>
          <w:sz w:val="32"/>
          <w:szCs w:val="32"/>
        </w:rPr>
        <w:t>Supplementary methods</w:t>
      </w:r>
      <w:bookmarkStart w:id="0" w:name="_GoBack"/>
      <w:bookmarkEnd w:id="0"/>
    </w:p>
    <w:p w14:paraId="388DAFB7" w14:textId="14F3D40C" w:rsidR="00B825C7" w:rsidRDefault="00B825C7">
      <w:pPr>
        <w:rPr>
          <w:b/>
          <w:bCs/>
        </w:rPr>
      </w:pPr>
    </w:p>
    <w:p w14:paraId="691A8A94" w14:textId="4637F150" w:rsidR="006A02CE" w:rsidRDefault="006A02CE">
      <w:pPr>
        <w:rPr>
          <w:b/>
          <w:bCs/>
        </w:rPr>
      </w:pPr>
      <w:r>
        <w:rPr>
          <w:b/>
          <w:bCs/>
        </w:rPr>
        <w:t>Socioeconomic class</w:t>
      </w:r>
    </w:p>
    <w:p w14:paraId="6B316E17" w14:textId="62595500" w:rsidR="006A02CE" w:rsidRDefault="006A02CE">
      <w:pPr>
        <w:rPr>
          <w:b/>
          <w:bCs/>
        </w:rPr>
      </w:pPr>
    </w:p>
    <w:p w14:paraId="181EC987" w14:textId="2DD38B0A" w:rsidR="006A02CE" w:rsidRDefault="006A02CE">
      <w:pPr>
        <w:rPr>
          <w:b/>
          <w:bCs/>
        </w:rPr>
      </w:pPr>
      <w:r>
        <w:t xml:space="preserve">Socio-economic class was defined based on the longest-held occupation of participants at study entry (aged 40-59), using the Registrar General’s Social Class Classification. Three groups were defined: “non-manual” (class I, II, and III), “manual” (classes III, IV, and V), and “military” (employment with the Armed Forces). </w:t>
      </w:r>
    </w:p>
    <w:p w14:paraId="7B4300DD" w14:textId="548519FE" w:rsidR="006A02CE" w:rsidRDefault="006A02CE">
      <w:pPr>
        <w:rPr>
          <w:b/>
          <w:bCs/>
        </w:rPr>
      </w:pPr>
    </w:p>
    <w:p w14:paraId="1142FAEB" w14:textId="7AE9B849" w:rsidR="006A02CE" w:rsidRDefault="006A02CE">
      <w:pPr>
        <w:rPr>
          <w:b/>
          <w:bCs/>
        </w:rPr>
      </w:pPr>
      <w:r>
        <w:rPr>
          <w:b/>
          <w:bCs/>
        </w:rPr>
        <w:t>Tobacco usage</w:t>
      </w:r>
    </w:p>
    <w:p w14:paraId="734FC7E5" w14:textId="77777777" w:rsidR="006A02CE" w:rsidRDefault="006A02CE">
      <w:pPr>
        <w:rPr>
          <w:b/>
          <w:bCs/>
        </w:rPr>
      </w:pPr>
    </w:p>
    <w:p w14:paraId="3E66480F" w14:textId="1CEAFB56" w:rsidR="006A02CE" w:rsidRDefault="006A02CE">
      <w:pPr>
        <w:rPr>
          <w:b/>
          <w:bCs/>
        </w:rPr>
      </w:pPr>
      <w:r>
        <w:t xml:space="preserve">Four groups of tobacco usage </w:t>
      </w:r>
      <w:proofErr w:type="gramStart"/>
      <w:r>
        <w:t>was</w:t>
      </w:r>
      <w:proofErr w:type="gramEnd"/>
      <w:r>
        <w:t xml:space="preserve"> defined: never-smokers, long term ex-smokers (stopped smoking 10 or more years prior), recent ex-smokers (stopped smoking less than 10 years prior), and current smokers.</w:t>
      </w:r>
    </w:p>
    <w:p w14:paraId="11CACF9D" w14:textId="77777777" w:rsidR="006A02CE" w:rsidRDefault="006A02CE">
      <w:pPr>
        <w:rPr>
          <w:b/>
          <w:bCs/>
        </w:rPr>
      </w:pPr>
    </w:p>
    <w:p w14:paraId="0422E0E4" w14:textId="0106D27A" w:rsidR="00B825C7" w:rsidRPr="00B825C7" w:rsidRDefault="00B825C7">
      <w:pPr>
        <w:rPr>
          <w:b/>
          <w:bCs/>
        </w:rPr>
      </w:pPr>
      <w:r>
        <w:rPr>
          <w:b/>
          <w:bCs/>
        </w:rPr>
        <w:t>Multimorbidity</w:t>
      </w:r>
    </w:p>
    <w:p w14:paraId="64465B6D" w14:textId="77777777" w:rsidR="00B825C7" w:rsidRDefault="00B825C7"/>
    <w:p w14:paraId="2A55D21A" w14:textId="77777777" w:rsidR="00756D86" w:rsidRDefault="00B825C7">
      <w:r>
        <w:t xml:space="preserve">As part of the baseline questionnaire, participants were asked if they had ever been told by a doctor that they had any of the following: cancer (at any site); anaemia; asthma; bronchitis; cataracts; chronic kidney disease; Crohn’s disease; depression; emphysema; gall bladder disease; gastric, peptic, or duodenal ulcers; glaucoma; gout; liver disease, cirrhosis or hepatitis; macular degeneration; osteoporosis; Parkinson’s disease; pneumonia; “prostate trouble”; shingles; ulcerative colitis; arthritis; a deep vein thrombosis and/or pulmonary embolus; and claudication. </w:t>
      </w:r>
    </w:p>
    <w:p w14:paraId="32049D70" w14:textId="77777777" w:rsidR="00756D86" w:rsidRDefault="00756D86"/>
    <w:p w14:paraId="7D032581" w14:textId="3F9F6FEB" w:rsidR="00DF67B0" w:rsidRDefault="00B825C7">
      <w:r>
        <w:t xml:space="preserve">The total number of reported comorbidities, plus any </w:t>
      </w:r>
      <w:proofErr w:type="gramStart"/>
      <w:r>
        <w:t>of:</w:t>
      </w:r>
      <w:proofErr w:type="gramEnd"/>
      <w:r>
        <w:t xml:space="preserve"> diabetes mellitus; atrial fibrillation; severe cognitive impairment; myocardial infarction; heart failure; and stroke (as defined elsewhere in Methods) were summed</w:t>
      </w:r>
      <w:r w:rsidR="00756D86">
        <w:t>,</w:t>
      </w:r>
      <w:r>
        <w:t xml:space="preserve"> without weighting</w:t>
      </w:r>
      <w:r w:rsidR="00756D86">
        <w:t>,</w:t>
      </w:r>
      <w:r>
        <w:t xml:space="preserve"> for each participant.</w:t>
      </w:r>
    </w:p>
    <w:p w14:paraId="27842184" w14:textId="13069EDF" w:rsidR="00756D86" w:rsidRDefault="00756D86"/>
    <w:p w14:paraId="0009834B" w14:textId="02C2C5EE" w:rsidR="00756D86" w:rsidRPr="00756D86" w:rsidRDefault="00756D86">
      <w:pPr>
        <w:rPr>
          <w:b/>
          <w:bCs/>
        </w:rPr>
      </w:pPr>
      <w:r>
        <w:rPr>
          <w:b/>
          <w:bCs/>
        </w:rPr>
        <w:t>Cognitive testing</w:t>
      </w:r>
    </w:p>
    <w:p w14:paraId="7B4D0796" w14:textId="55290804" w:rsidR="00756D86" w:rsidRDefault="00756D86"/>
    <w:p w14:paraId="22256B7B" w14:textId="70A77803" w:rsidR="00756D86" w:rsidRDefault="00756D86">
      <w:r>
        <w:t>The TYM is a 10-task self-administered test that assesses orientation, copying, semantic knowledge, calculation, verbal fluency, similarities, naming, visuospatial abilities, and recall of a copied sentence. An 11</w:t>
      </w:r>
      <w:r w:rsidRPr="008033BD">
        <w:rPr>
          <w:vertAlign w:val="superscript"/>
        </w:rPr>
        <w:t>th</w:t>
      </w:r>
      <w:r>
        <w:t xml:space="preserve"> item measures the extent of help required from others, but all participants completed the TYM in a controlled setting without assistance and received the highest score for this task. Total TYM scores range between 0 to 50, with higher scores indicating better cognitive performance. Scores below 33 were defined as ‘severe cognitive impairment’, and scores between 33 and 45 (if older than 80 years) or 33 and 46 (if younger than 80 years of age) were defined as ‘mild cognitive impairment’.</w:t>
      </w:r>
    </w:p>
    <w:p w14:paraId="63B3F736" w14:textId="0A1FB0A8" w:rsidR="00756D86" w:rsidRDefault="00756D86"/>
    <w:p w14:paraId="7CC8CEEE" w14:textId="6ECD945A" w:rsidR="00756D86" w:rsidRDefault="00756D86">
      <w:pPr>
        <w:rPr>
          <w:b/>
          <w:bCs/>
        </w:rPr>
      </w:pPr>
      <w:r>
        <w:rPr>
          <w:b/>
          <w:bCs/>
        </w:rPr>
        <w:t>Physical examination</w:t>
      </w:r>
    </w:p>
    <w:p w14:paraId="5FC134D5" w14:textId="11928EC2" w:rsidR="00756D86" w:rsidRDefault="00756D86">
      <w:pPr>
        <w:rPr>
          <w:b/>
          <w:bCs/>
        </w:rPr>
      </w:pPr>
    </w:p>
    <w:p w14:paraId="3E7B5283" w14:textId="1C32CB90" w:rsidR="00756D86" w:rsidRPr="00756D86" w:rsidRDefault="00756D86">
      <w:r>
        <w:t>Blood pressure was measured with an Omron sphygmomanometer twice in the right arm, with the subject seated and the arm supported. The mean of the two readings was used for analysis. With subjects in light clothing and without shoes, height</w:t>
      </w:r>
      <w:r w:rsidRPr="00B20371">
        <w:t xml:space="preserve"> was measured with a Harpenden stadiometer to the last complete 0.1 cm</w:t>
      </w:r>
      <w:r>
        <w:t>,</w:t>
      </w:r>
      <w:r w:rsidRPr="00B20371">
        <w:t xml:space="preserve"> and weight with a Tanita MA-418-BC body composition analyser (Tanita, Tokyo, Japan)</w:t>
      </w:r>
      <w:r>
        <w:t xml:space="preserve">. Body mass index (BMI) was calculated as </w:t>
      </w:r>
      <w:r w:rsidRPr="00B20371">
        <w:t>weight/(height)</w:t>
      </w:r>
      <w:r w:rsidRPr="00B20371">
        <w:rPr>
          <w:vertAlign w:val="superscript"/>
        </w:rPr>
        <w:t>2</w:t>
      </w:r>
      <w:r w:rsidRPr="00B20371">
        <w:t xml:space="preserve"> (kg/m</w:t>
      </w:r>
      <w:r w:rsidRPr="00B20371">
        <w:rPr>
          <w:vertAlign w:val="superscript"/>
        </w:rPr>
        <w:t>2</w:t>
      </w:r>
      <w:r w:rsidRPr="00B20371">
        <w:t>)</w:t>
      </w:r>
      <w:r>
        <w:t xml:space="preserve">. Grip strength was measured using a Jamar Hydraulic Hand Dynamometer. Three measurements were taken with each hand, and the best of six used for analysis. Walking speed over 3 metres was recorded. Forced expiratory volume in 1s (FEV1) was measured using a </w:t>
      </w:r>
      <w:proofErr w:type="spellStart"/>
      <w:r>
        <w:t>Vitalograph</w:t>
      </w:r>
      <w:proofErr w:type="spellEnd"/>
      <w:r>
        <w:t xml:space="preserve"> Compact II instrument with subjects standing, without nose clips.</w:t>
      </w:r>
      <w:r w:rsidRPr="005D4DE0">
        <w:t xml:space="preserve"> FEV1 was standardised to the average </w:t>
      </w:r>
      <w:r>
        <w:t xml:space="preserve">study </w:t>
      </w:r>
      <w:r w:rsidRPr="005D4DE0">
        <w:t xml:space="preserve">height, 1.71 m, </w:t>
      </w:r>
      <w:r>
        <w:t xml:space="preserve">using the formula: standardised </w:t>
      </w:r>
      <w:r w:rsidRPr="005D4DE0">
        <w:t>FEV1=FEV1 × (1.71/height)</w:t>
      </w:r>
      <w:r w:rsidRPr="005D4DE0">
        <w:rPr>
          <w:rFonts w:cs="Times New Roman (Body CS)"/>
          <w:vertAlign w:val="superscript"/>
        </w:rPr>
        <w:t>2</w:t>
      </w:r>
      <w:r>
        <w:t>.</w:t>
      </w:r>
    </w:p>
    <w:p w14:paraId="79645B76" w14:textId="1A15B8FA" w:rsidR="00B825C7" w:rsidRDefault="00B825C7"/>
    <w:p w14:paraId="4E661314" w14:textId="3DBA5D24" w:rsidR="00B825C7" w:rsidRDefault="00B825C7">
      <w:pPr>
        <w:rPr>
          <w:b/>
          <w:bCs/>
        </w:rPr>
      </w:pPr>
      <w:r>
        <w:rPr>
          <w:b/>
          <w:bCs/>
        </w:rPr>
        <w:t>Blood measurements</w:t>
      </w:r>
    </w:p>
    <w:p w14:paraId="31940E23" w14:textId="17EF2950" w:rsidR="00B825C7" w:rsidRDefault="00B825C7">
      <w:pPr>
        <w:rPr>
          <w:b/>
          <w:bCs/>
        </w:rPr>
      </w:pPr>
    </w:p>
    <w:p w14:paraId="10AFFC06" w14:textId="77777777" w:rsidR="00B825C7" w:rsidRDefault="00B825C7" w:rsidP="00B825C7">
      <w:r w:rsidRPr="0002648C">
        <w:t>Glucose was measured in a fluoride oxidase plasma sample</w:t>
      </w:r>
      <w:r>
        <w:t xml:space="preserve"> and creatinine</w:t>
      </w:r>
      <w:r w:rsidRPr="0002648C">
        <w:t xml:space="preserve"> measured using enzymatic colorimetric assays.</w:t>
      </w:r>
      <w:r>
        <w:t xml:space="preserve"> Total and high-density lipoprotein cholesterol were analysed using the methods of </w:t>
      </w:r>
      <w:proofErr w:type="spellStart"/>
      <w:r>
        <w:t>Nauck</w:t>
      </w:r>
      <w:proofErr w:type="spellEnd"/>
      <w:r>
        <w:t xml:space="preserve"> et al.</w:t>
      </w:r>
      <w:r>
        <w:fldChar w:fldCharType="begin"/>
      </w:r>
      <w:r>
        <w:instrText xml:space="preserve"> ADDIN ZOTERO_ITEM CSL_CITATION {"citationID":"se5i0v0q2","properties":{"formattedCitation":"(33)","plainCitation":"(33)","noteIndex":0},"citationItems":[{"id":"jVVdl48i/iVcMzl60","uris":["http://zotero.org/users/local/xbuBig6U/items/IBV24QD8"],"uri":["http://zotero.org/users/local/xbuBig6U/items/IBV24QD8"],"itemData":{"id":1767,"type":"article-journal","abstract":"Abstract. We evaluated a new homogeneous assay for the measurement of HDL-cholesterol (HDL-C) in six European laboratories. The assay includes two reagents and","container-title":"Clinical Chemistry","DOI":"10.1093/clinchem/43.9.1622","ISSN":"0009-9147","issue":"9","journalAbbreviation":"Clin Chem","language":"en","page":"1622-1629","source":"academic.oup.com","title":"Multicenter evaluation of a homogeneous assay for HDL-cholesterol without sample pretreatment","volume":"43","author":[{"family":"Nauck","given":"Matthias"},{"family":"März","given":"Winfried"},{"family":"Jarausch","given":"Jochen"},{"family":"Cobbaert","given":"Christa"},{"family":"Sägers","given":"Anja"},{"family":"Bernard","given":"Dirk"},{"family":"Delanghe","given":"Joris"},{"family":"Honauer","given":"Gunter"},{"family":"Lehmann","given":"Paul"},{"family":"Oestrich","given":"Evelyn"},{"family":"Eckardstein","given":"Arnold","non-dropping-particle":"von"},{"family":"Walch","given":"Stephan"},{"family":"Wieland","given":"Heinrich"},{"family":"Assmann","given":"Gerd"}],"issued":{"date-parts":[["1997",9,1]]}}}],"schema":"https://github.com/citation-style-language/schema/raw/master/csl-citation.json"} </w:instrText>
      </w:r>
      <w:r>
        <w:fldChar w:fldCharType="separate"/>
      </w:r>
      <w:r>
        <w:rPr>
          <w:noProof/>
        </w:rPr>
        <w:t>(33)</w:t>
      </w:r>
      <w:r>
        <w:fldChar w:fldCharType="end"/>
      </w:r>
      <w:r>
        <w:t xml:space="preserve">; low-density lipoprotein cholesterol values were calculated using the </w:t>
      </w:r>
      <w:proofErr w:type="spellStart"/>
      <w:r>
        <w:t>Friedrickson-Friedwald</w:t>
      </w:r>
      <w:proofErr w:type="spellEnd"/>
      <w:r>
        <w:t xml:space="preserve"> equation.  Estimated glomerular filtration rate (eGFR) was calculated using the MDRD equation.</w:t>
      </w:r>
      <w:r>
        <w:fldChar w:fldCharType="begin"/>
      </w:r>
      <w:r>
        <w:instrText xml:space="preserve"> ADDIN ZOTERO_ITEM CSL_CITATION {"citationID":"1hg25ed7s3","properties":{"formattedCitation":"(34)","plainCitation":"(34)","noteIndex":0},"citationItems":[{"id":"jVVdl48i/YRaX92tw","uris":["http://zotero.org/users/local/xbuBig6U/items/7GTX36V3"],"uri":["http://zotero.org/users/local/xbuBig6U/items/7GTX36V3"],"itemData":{"id":1003,"type":"article-journal","abstract":"BACKGROUND: Serum creatinine concentration is widely used as an index of renal function, but this concentration is affected by factors other than glomerular filtration rate (GFR).\nOBJECTIVE: To develop an equation to predict GFR from serum creatinine concentration and other factors.\nDESIGN: Cross-sectional study of GFR, creatinine clearance, serum creatinine concentration, and demographic and clinical characteristics in patients with chronic renal disease.\nPATIENTS: 1628 patients enrolled in the baseline period of the Modification of Diet in Renal Disease (MDRD) Study, of whom 1070 were randomly selected as the training sample; the remaining 558 patients constituted the validation sample.\nMETHODS: The prediction equation was developed by stepwise regression applied to the training sample. The equation was then tested and compared with other prediction equations in the validation sample.\nRESULTS: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respectively.\nCONCLUSION: The equation developed from the MDRD Study provided a more accurate estimate of GFR in our study group than measured creatinine clearance or other commonly used equations.","container-title":"Annals of Internal Medicine","DOI":"10.7326/0003-4819-130-6-199903160-00002","ISSN":"0003-4819","issue":"6","journalAbbreviation":"Ann. Intern. Med.","language":"eng","note":"PMID: 10075613","page":"461-470","source":"PubMed","title":"A more accurate method to estimate glomerular filtration rate from serum creatinine: a new prediction equation. Modification of Diet in Renal Disease Study Group","title-short":"A more accurate method to estimate glomerular filtration rate from serum creatinine","volume":"130","author":[{"family":"Levey","given":"A. S."},{"family":"Bosch","given":"J. P."},{"family":"Lewis","given":"J. B."},{"family":"Greene","given":"T."},{"family":"Rogers","given":"N."},{"family":"Roth","given":"D."}],"issued":{"date-parts":[["1999",3,16]]}}}],"schema":"https://github.com/citation-style-language/schema/raw/master/csl-citation.json"} </w:instrText>
      </w:r>
      <w:r>
        <w:fldChar w:fldCharType="separate"/>
      </w:r>
      <w:r>
        <w:rPr>
          <w:noProof/>
        </w:rPr>
        <w:t>(34)</w:t>
      </w:r>
      <w:r>
        <w:fldChar w:fldCharType="end"/>
      </w:r>
      <w:r>
        <w:t xml:space="preserve"> Plasma interleukin-6 (IL-6) was measured using a high-sensitivity enzyme-linked immunosorbent assays (R&amp;D systems, Oxon, UK). The lower limit of detection was </w:t>
      </w:r>
      <w:r w:rsidRPr="00F77725">
        <w:t>0.15pg/ml</w:t>
      </w:r>
      <w:r>
        <w:t xml:space="preserve">. High-sensitivity CRP </w:t>
      </w:r>
      <w:r w:rsidRPr="006C5EC5">
        <w:t>was assayed by ultra-sensitive nephelometry (Dade Behring, Milton Keynes, UK</w:t>
      </w:r>
      <w:r>
        <w:t xml:space="preserve">). </w:t>
      </w:r>
      <w:proofErr w:type="spellStart"/>
      <w:r>
        <w:t>hs-TnT</w:t>
      </w:r>
      <w:proofErr w:type="spellEnd"/>
      <w:r>
        <w:t xml:space="preserve"> and NT-</w:t>
      </w:r>
      <w:proofErr w:type="spellStart"/>
      <w:r>
        <w:t>proBNP</w:t>
      </w:r>
      <w:proofErr w:type="spellEnd"/>
      <w:r>
        <w:t xml:space="preserve"> </w:t>
      </w:r>
      <w:r w:rsidRPr="0077589F">
        <w:t>w</w:t>
      </w:r>
      <w:r>
        <w:t>ere</w:t>
      </w:r>
      <w:r w:rsidRPr="0077589F">
        <w:t xml:space="preserve"> measured </w:t>
      </w:r>
      <w:r>
        <w:t xml:space="preserve">by </w:t>
      </w:r>
      <w:r w:rsidRPr="0077589F">
        <w:t xml:space="preserve">electrochemiluminescence immunoassay, performed on a Roche </w:t>
      </w:r>
      <w:proofErr w:type="spellStart"/>
      <w:r w:rsidRPr="0077589F">
        <w:t>Elecsys</w:t>
      </w:r>
      <w:proofErr w:type="spellEnd"/>
      <w:r w:rsidRPr="0077589F">
        <w:t xml:space="preserve"> 2010 automated platform (Roche Diagnostics, Burgess Hill, UK)</w:t>
      </w:r>
      <w:r>
        <w:t>.</w:t>
      </w:r>
    </w:p>
    <w:p w14:paraId="4D10984F" w14:textId="77777777" w:rsidR="00B825C7" w:rsidRPr="00B825C7" w:rsidRDefault="00B825C7">
      <w:pPr>
        <w:rPr>
          <w:b/>
          <w:bCs/>
        </w:rPr>
      </w:pPr>
    </w:p>
    <w:sectPr w:rsidR="00B825C7" w:rsidRPr="00B82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82"/>
    <w:rsid w:val="00116182"/>
    <w:rsid w:val="00133DFF"/>
    <w:rsid w:val="0027490E"/>
    <w:rsid w:val="006A02CE"/>
    <w:rsid w:val="00756D86"/>
    <w:rsid w:val="00B825C7"/>
    <w:rsid w:val="00DF67B0"/>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D4D9"/>
  <w15:chartTrackingRefBased/>
  <w15:docId w15:val="{CB199398-36B1-8243-BF1E-4936680E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5" ma:contentTypeDescription="Create a new document." ma:contentTypeScope="" ma:versionID="08740fa02c7b922659663f9bfb5ba990">
  <xsd:schema xmlns:xsd="http://www.w3.org/2001/XMLSchema" xmlns:xs="http://www.w3.org/2001/XMLSchema" xmlns:p="http://schemas.microsoft.com/office/2006/metadata/properties" xmlns:ns3="0c1e910d-4918-42f1-af2c-ed1101d63abc" targetNamespace="http://schemas.microsoft.com/office/2006/metadata/properties" ma:root="true" ma:fieldsID="b084579aed7b325c23496db30897e25b" ns3:_="">
    <xsd:import namespace="0c1e910d-4918-42f1-af2c-ed1101d63ab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Props1.xml><?xml version="1.0" encoding="utf-8"?>
<ds:datastoreItem xmlns:ds="http://schemas.openxmlformats.org/officeDocument/2006/customXml" ds:itemID="{2938B977-F0A1-4843-8AC2-1C245212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4EEA1-0BD9-4023-AEF2-A965B94578DD}">
  <ds:schemaRefs>
    <ds:schemaRef ds:uri="http://schemas.microsoft.com/sharepoint/v3/contenttype/forms"/>
  </ds:schemaRefs>
</ds:datastoreItem>
</file>

<file path=customXml/itemProps3.xml><?xml version="1.0" encoding="utf-8"?>
<ds:datastoreItem xmlns:ds="http://schemas.openxmlformats.org/officeDocument/2006/customXml" ds:itemID="{D51E1594-F56C-4254-A2CD-7BD0DA361A77}">
  <ds:schemaRefs>
    <ds:schemaRef ds:uri="http://schemas.microsoft.com/office/2006/metadata/properties"/>
    <ds:schemaRef ds:uri="http://schemas.microsoft.com/office/infopath/2007/PartnerControls"/>
    <ds:schemaRef ds:uri="0c1e910d-4918-42f1-af2c-ed1101d63a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McKechnie</dc:creator>
  <cp:keywords/>
  <dc:description/>
  <cp:lastModifiedBy>Claire Hardwidge</cp:lastModifiedBy>
  <cp:revision>2</cp:revision>
  <dcterms:created xsi:type="dcterms:W3CDTF">2021-06-09T12:36:00Z</dcterms:created>
  <dcterms:modified xsi:type="dcterms:W3CDTF">2021-06-09T12:36:00Z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