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11/relationships/webextensiontaskpanes" Target="word/webextensions/taskpanes.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2BB8" w14:textId="15684EA4" w:rsidR="00F13CFA" w:rsidRPr="0069649A" w:rsidRDefault="005B4A22" w:rsidP="001E0342">
      <w:pPr>
        <w:spacing w:line="276" w:lineRule="auto"/>
        <w:jc w:val="both"/>
        <w:rPr>
          <w:rFonts w:asciiTheme="majorHAnsi" w:hAnsiTheme="majorHAnsi"/>
          <w:b/>
        </w:rPr>
      </w:pPr>
      <w:r w:rsidRPr="0069649A">
        <w:rPr>
          <w:rFonts w:asciiTheme="majorHAnsi" w:hAnsiTheme="majorHAnsi"/>
          <w:b/>
        </w:rPr>
        <w:t xml:space="preserve">A retrospective cohort study of risk factors and outcomes in older patients admitted to an </w:t>
      </w:r>
      <w:r w:rsidR="000A6638" w:rsidRPr="0069649A">
        <w:rPr>
          <w:rFonts w:asciiTheme="majorHAnsi" w:hAnsiTheme="majorHAnsi"/>
          <w:b/>
        </w:rPr>
        <w:t>Inner</w:t>
      </w:r>
      <w:r w:rsidR="00DF062D" w:rsidRPr="0069649A">
        <w:rPr>
          <w:rFonts w:asciiTheme="majorHAnsi" w:hAnsiTheme="majorHAnsi"/>
          <w:b/>
        </w:rPr>
        <w:t xml:space="preserve"> </w:t>
      </w:r>
      <w:r w:rsidR="000A6638" w:rsidRPr="0069649A">
        <w:rPr>
          <w:rFonts w:asciiTheme="majorHAnsi" w:hAnsiTheme="majorHAnsi"/>
          <w:b/>
        </w:rPr>
        <w:t>City</w:t>
      </w:r>
      <w:r w:rsidRPr="0069649A">
        <w:rPr>
          <w:rFonts w:asciiTheme="majorHAnsi" w:hAnsiTheme="majorHAnsi"/>
          <w:b/>
        </w:rPr>
        <w:t xml:space="preserve"> Geriatric Unit in London during first peak of </w:t>
      </w:r>
      <w:r w:rsidR="005C7F22" w:rsidRPr="0069649A">
        <w:rPr>
          <w:rFonts w:asciiTheme="majorHAnsi" w:hAnsiTheme="majorHAnsi"/>
          <w:b/>
        </w:rPr>
        <w:t>COVID-19</w:t>
      </w:r>
      <w:r w:rsidRPr="0069649A">
        <w:rPr>
          <w:rFonts w:asciiTheme="majorHAnsi" w:hAnsiTheme="majorHAnsi"/>
          <w:b/>
        </w:rPr>
        <w:t xml:space="preserve"> Pandemic</w:t>
      </w:r>
    </w:p>
    <w:p w14:paraId="4BF4C2B9" w14:textId="6C51ABA0" w:rsidR="00344C55" w:rsidRPr="0069649A" w:rsidRDefault="00654DA8" w:rsidP="00FE1537">
      <w:pPr>
        <w:spacing w:line="276" w:lineRule="auto"/>
        <w:jc w:val="both"/>
        <w:rPr>
          <w:rFonts w:asciiTheme="majorHAnsi" w:hAnsiTheme="majorHAnsi"/>
        </w:rPr>
      </w:pPr>
      <w:r w:rsidRPr="0069649A">
        <w:rPr>
          <w:rFonts w:asciiTheme="majorHAnsi" w:hAnsiTheme="majorHAnsi"/>
          <w:b/>
        </w:rPr>
        <w:br/>
      </w:r>
      <w:r w:rsidRPr="0069649A">
        <w:rPr>
          <w:rFonts w:asciiTheme="majorHAnsi" w:hAnsiTheme="majorHAnsi"/>
        </w:rPr>
        <w:t>Carmela Maniero</w:t>
      </w:r>
      <w:r w:rsidRPr="0069649A">
        <w:rPr>
          <w:rFonts w:asciiTheme="majorHAnsi" w:hAnsiTheme="majorHAnsi"/>
          <w:vertAlign w:val="superscript"/>
        </w:rPr>
        <w:t>1</w:t>
      </w:r>
      <w:r w:rsidRPr="0069649A">
        <w:rPr>
          <w:rFonts w:asciiTheme="majorHAnsi" w:hAnsiTheme="majorHAnsi"/>
        </w:rPr>
        <w:t>, Dev</w:t>
      </w:r>
      <w:r w:rsidR="00812159" w:rsidRPr="0069649A">
        <w:rPr>
          <w:rFonts w:asciiTheme="majorHAnsi" w:hAnsiTheme="majorHAnsi"/>
        </w:rPr>
        <w:t>an</w:t>
      </w:r>
      <w:r w:rsidRPr="0069649A">
        <w:rPr>
          <w:rFonts w:asciiTheme="majorHAnsi" w:hAnsiTheme="majorHAnsi"/>
        </w:rPr>
        <w:t xml:space="preserve"> Patel</w:t>
      </w:r>
      <w:r w:rsidRPr="0069649A">
        <w:rPr>
          <w:rFonts w:asciiTheme="majorHAnsi" w:hAnsiTheme="majorHAnsi"/>
          <w:vertAlign w:val="superscript"/>
        </w:rPr>
        <w:t>2</w:t>
      </w:r>
      <w:r w:rsidRPr="0069649A">
        <w:rPr>
          <w:rFonts w:asciiTheme="majorHAnsi" w:hAnsiTheme="majorHAnsi"/>
        </w:rPr>
        <w:t xml:space="preserve">, </w:t>
      </w:r>
      <w:r w:rsidR="007276E8" w:rsidRPr="0069649A">
        <w:rPr>
          <w:rFonts w:asciiTheme="majorHAnsi" w:hAnsiTheme="majorHAnsi"/>
        </w:rPr>
        <w:t>Asha Pavithran</w:t>
      </w:r>
      <w:r w:rsidRPr="0069649A">
        <w:rPr>
          <w:rFonts w:asciiTheme="majorHAnsi" w:hAnsiTheme="majorHAnsi"/>
          <w:vertAlign w:val="superscript"/>
        </w:rPr>
        <w:t>2</w:t>
      </w:r>
      <w:r w:rsidRPr="0069649A">
        <w:rPr>
          <w:rFonts w:asciiTheme="majorHAnsi" w:hAnsiTheme="majorHAnsi"/>
        </w:rPr>
        <w:t xml:space="preserve"> </w:t>
      </w:r>
      <w:r w:rsidR="007276E8" w:rsidRPr="0069649A">
        <w:rPr>
          <w:rFonts w:asciiTheme="majorHAnsi" w:hAnsiTheme="majorHAnsi"/>
        </w:rPr>
        <w:t>Prasheena Naran</w:t>
      </w:r>
      <w:r w:rsidR="00E46E20" w:rsidRPr="0069649A">
        <w:rPr>
          <w:rFonts w:asciiTheme="majorHAnsi" w:hAnsiTheme="majorHAnsi"/>
          <w:vertAlign w:val="superscript"/>
        </w:rPr>
        <w:t>2</w:t>
      </w:r>
      <w:r w:rsidR="00E46E20" w:rsidRPr="0069649A">
        <w:rPr>
          <w:rFonts w:asciiTheme="majorHAnsi" w:hAnsiTheme="majorHAnsi"/>
        </w:rPr>
        <w:t>,</w:t>
      </w:r>
      <w:r w:rsidRPr="0069649A">
        <w:rPr>
          <w:rFonts w:asciiTheme="majorHAnsi" w:hAnsiTheme="majorHAnsi"/>
        </w:rPr>
        <w:t xml:space="preserve"> </w:t>
      </w:r>
      <w:r w:rsidR="00412351" w:rsidRPr="0069649A">
        <w:rPr>
          <w:rFonts w:asciiTheme="majorHAnsi" w:hAnsiTheme="majorHAnsi"/>
        </w:rPr>
        <w:t>Fu Liang Ng</w:t>
      </w:r>
      <w:r w:rsidR="00412351" w:rsidRPr="0069649A">
        <w:rPr>
          <w:rFonts w:asciiTheme="majorHAnsi" w:hAnsiTheme="majorHAnsi"/>
          <w:vertAlign w:val="superscript"/>
        </w:rPr>
        <w:t>1,3</w:t>
      </w:r>
      <w:r w:rsidRPr="0069649A">
        <w:rPr>
          <w:rFonts w:asciiTheme="majorHAnsi" w:hAnsiTheme="majorHAnsi"/>
        </w:rPr>
        <w:t xml:space="preserve">, </w:t>
      </w:r>
      <w:r w:rsidR="002057D2" w:rsidRPr="0069649A">
        <w:rPr>
          <w:rFonts w:asciiTheme="majorHAnsi" w:hAnsiTheme="majorHAnsi"/>
        </w:rPr>
        <w:t>John Pro</w:t>
      </w:r>
      <w:r w:rsidR="00FF77B3" w:rsidRPr="0069649A">
        <w:rPr>
          <w:rFonts w:asciiTheme="majorHAnsi" w:hAnsiTheme="majorHAnsi"/>
        </w:rPr>
        <w:t xml:space="preserve">wle </w:t>
      </w:r>
      <w:r w:rsidR="00FF77B3" w:rsidRPr="0069649A">
        <w:rPr>
          <w:rFonts w:asciiTheme="majorHAnsi" w:hAnsiTheme="majorHAnsi"/>
          <w:vertAlign w:val="superscript"/>
        </w:rPr>
        <w:t>4</w:t>
      </w:r>
      <w:r w:rsidR="002B33B1" w:rsidRPr="0069649A">
        <w:rPr>
          <w:rFonts w:asciiTheme="majorHAnsi" w:hAnsiTheme="majorHAnsi"/>
          <w:vertAlign w:val="superscript"/>
        </w:rPr>
        <w:t xml:space="preserve">, </w:t>
      </w:r>
      <w:r w:rsidR="00FF77B3" w:rsidRPr="0069649A">
        <w:rPr>
          <w:rFonts w:asciiTheme="majorHAnsi" w:hAnsiTheme="majorHAnsi"/>
          <w:vertAlign w:val="superscript"/>
        </w:rPr>
        <w:t xml:space="preserve"> </w:t>
      </w:r>
      <w:r w:rsidRPr="0069649A">
        <w:rPr>
          <w:rFonts w:asciiTheme="majorHAnsi" w:hAnsiTheme="majorHAnsi"/>
        </w:rPr>
        <w:t>Dhanupriya Sivapathasuntharam</w:t>
      </w:r>
      <w:r w:rsidRPr="0069649A">
        <w:rPr>
          <w:rFonts w:asciiTheme="majorHAnsi" w:hAnsiTheme="majorHAnsi"/>
          <w:vertAlign w:val="superscript"/>
        </w:rPr>
        <w:t>2</w:t>
      </w:r>
    </w:p>
    <w:p w14:paraId="0301B138" w14:textId="77777777" w:rsidR="005B4A22" w:rsidRPr="0069649A" w:rsidRDefault="005B4A22" w:rsidP="00FE1537">
      <w:pPr>
        <w:spacing w:line="276" w:lineRule="auto"/>
        <w:jc w:val="both"/>
        <w:rPr>
          <w:rFonts w:asciiTheme="majorHAnsi" w:hAnsiTheme="majorHAnsi"/>
          <w:b/>
        </w:rPr>
      </w:pPr>
    </w:p>
    <w:p w14:paraId="34CFA005" w14:textId="77777777" w:rsidR="00654DA8" w:rsidRPr="0069649A" w:rsidRDefault="00654DA8" w:rsidP="00FE1537">
      <w:pPr>
        <w:spacing w:line="276" w:lineRule="auto"/>
        <w:jc w:val="both"/>
        <w:rPr>
          <w:rFonts w:asciiTheme="majorHAnsi" w:hAnsiTheme="majorHAnsi"/>
          <w:b/>
        </w:rPr>
      </w:pPr>
    </w:p>
    <w:p w14:paraId="142AB11F" w14:textId="093FCE07" w:rsidR="00654DA8" w:rsidRPr="0069649A" w:rsidRDefault="00093080" w:rsidP="00FE1537">
      <w:pPr>
        <w:spacing w:line="276" w:lineRule="auto"/>
        <w:jc w:val="both"/>
        <w:rPr>
          <w:rFonts w:asciiTheme="majorHAnsi" w:hAnsiTheme="majorHAnsi"/>
        </w:rPr>
      </w:pPr>
      <w:r w:rsidRPr="0069649A">
        <w:rPr>
          <w:rFonts w:asciiTheme="majorHAnsi" w:hAnsiTheme="majorHAnsi"/>
          <w:b/>
        </w:rPr>
        <w:t xml:space="preserve">Running head: </w:t>
      </w:r>
      <w:r w:rsidRPr="0069649A">
        <w:rPr>
          <w:rFonts w:asciiTheme="majorHAnsi" w:hAnsiTheme="majorHAnsi"/>
        </w:rPr>
        <w:t xml:space="preserve">Covid-19 infection in </w:t>
      </w:r>
      <w:r w:rsidR="008B29FC" w:rsidRPr="0069649A">
        <w:rPr>
          <w:rFonts w:asciiTheme="majorHAnsi" w:hAnsiTheme="majorHAnsi"/>
        </w:rPr>
        <w:t>older</w:t>
      </w:r>
      <w:r w:rsidR="00D17737" w:rsidRPr="0069649A">
        <w:rPr>
          <w:rFonts w:asciiTheme="majorHAnsi" w:hAnsiTheme="majorHAnsi"/>
        </w:rPr>
        <w:t xml:space="preserve"> </w:t>
      </w:r>
      <w:r w:rsidRPr="0069649A">
        <w:rPr>
          <w:rFonts w:asciiTheme="majorHAnsi" w:hAnsiTheme="majorHAnsi"/>
        </w:rPr>
        <w:t>patients</w:t>
      </w:r>
    </w:p>
    <w:p w14:paraId="5B67930E" w14:textId="77777777" w:rsidR="00FA3948" w:rsidRPr="0069649A" w:rsidRDefault="00FA3948" w:rsidP="00FE1537">
      <w:pPr>
        <w:spacing w:line="276" w:lineRule="auto"/>
        <w:jc w:val="both"/>
        <w:rPr>
          <w:rFonts w:asciiTheme="majorHAnsi" w:hAnsiTheme="majorHAnsi"/>
        </w:rPr>
      </w:pPr>
    </w:p>
    <w:p w14:paraId="2F81646B" w14:textId="77777777" w:rsidR="00FA3948" w:rsidRPr="0069649A" w:rsidRDefault="00FA3948" w:rsidP="00FE1537">
      <w:pPr>
        <w:spacing w:line="276" w:lineRule="auto"/>
        <w:jc w:val="both"/>
        <w:rPr>
          <w:rFonts w:asciiTheme="majorHAnsi" w:hAnsiTheme="majorHAnsi"/>
        </w:rPr>
      </w:pPr>
    </w:p>
    <w:p w14:paraId="11F618AB" w14:textId="77777777" w:rsidR="00FA3948" w:rsidRPr="0069649A" w:rsidRDefault="00FA3948" w:rsidP="00FE1537">
      <w:pPr>
        <w:spacing w:line="276" w:lineRule="auto"/>
        <w:jc w:val="both"/>
        <w:rPr>
          <w:rFonts w:asciiTheme="majorHAnsi" w:hAnsiTheme="majorHAnsi"/>
        </w:rPr>
      </w:pPr>
    </w:p>
    <w:p w14:paraId="291D09A7" w14:textId="3D9478C0" w:rsidR="00FA3948" w:rsidRDefault="00093080" w:rsidP="00FE1537">
      <w:pPr>
        <w:spacing w:line="276" w:lineRule="auto"/>
        <w:jc w:val="both"/>
        <w:rPr>
          <w:rFonts w:asciiTheme="majorHAnsi" w:hAnsiTheme="majorHAnsi"/>
        </w:rPr>
      </w:pPr>
      <w:r w:rsidRPr="0069649A">
        <w:rPr>
          <w:rFonts w:asciiTheme="majorHAnsi" w:hAnsiTheme="majorHAnsi"/>
        </w:rPr>
        <w:t>Word count:</w:t>
      </w:r>
      <w:r w:rsidR="0069649A">
        <w:rPr>
          <w:rFonts w:asciiTheme="majorHAnsi" w:hAnsiTheme="majorHAnsi"/>
        </w:rPr>
        <w:t xml:space="preserve"> 4026</w:t>
      </w:r>
    </w:p>
    <w:p w14:paraId="03E93D5D" w14:textId="25E3C392" w:rsidR="0069649A" w:rsidRPr="0069649A" w:rsidRDefault="0069649A" w:rsidP="00FE1537">
      <w:pPr>
        <w:spacing w:line="276" w:lineRule="auto"/>
        <w:jc w:val="both"/>
        <w:rPr>
          <w:rFonts w:asciiTheme="majorHAnsi" w:hAnsiTheme="majorHAnsi"/>
        </w:rPr>
      </w:pPr>
      <w:r>
        <w:rPr>
          <w:rFonts w:asciiTheme="majorHAnsi" w:hAnsiTheme="majorHAnsi"/>
        </w:rPr>
        <w:t>Abstract: 237</w:t>
      </w:r>
    </w:p>
    <w:p w14:paraId="23110976" w14:textId="623C479F" w:rsidR="00093080" w:rsidRPr="0069649A" w:rsidRDefault="00093080" w:rsidP="00FE1537">
      <w:pPr>
        <w:spacing w:line="276" w:lineRule="auto"/>
        <w:jc w:val="both"/>
        <w:rPr>
          <w:rFonts w:asciiTheme="majorHAnsi" w:hAnsiTheme="majorHAnsi"/>
        </w:rPr>
      </w:pPr>
      <w:r w:rsidRPr="0069649A">
        <w:rPr>
          <w:rFonts w:asciiTheme="majorHAnsi" w:hAnsiTheme="majorHAnsi"/>
        </w:rPr>
        <w:t>Tables:</w:t>
      </w:r>
      <w:r w:rsidR="005E3296" w:rsidRPr="0069649A">
        <w:rPr>
          <w:rFonts w:asciiTheme="majorHAnsi" w:hAnsiTheme="majorHAnsi"/>
        </w:rPr>
        <w:t xml:space="preserve"> </w:t>
      </w:r>
      <w:r w:rsidR="0069649A">
        <w:rPr>
          <w:rFonts w:asciiTheme="majorHAnsi" w:hAnsiTheme="majorHAnsi"/>
        </w:rPr>
        <w:t>4</w:t>
      </w:r>
    </w:p>
    <w:p w14:paraId="5FA4A88A" w14:textId="196E4391" w:rsidR="00093080" w:rsidRPr="0069649A" w:rsidRDefault="00093080" w:rsidP="00FE1537">
      <w:pPr>
        <w:spacing w:line="276" w:lineRule="auto"/>
        <w:jc w:val="both"/>
        <w:rPr>
          <w:rFonts w:asciiTheme="majorHAnsi" w:hAnsiTheme="majorHAnsi"/>
        </w:rPr>
      </w:pPr>
      <w:r w:rsidRPr="0069649A">
        <w:rPr>
          <w:rFonts w:asciiTheme="majorHAnsi" w:hAnsiTheme="majorHAnsi"/>
        </w:rPr>
        <w:t>Supplemental data: 2 tables</w:t>
      </w:r>
    </w:p>
    <w:p w14:paraId="74B68737" w14:textId="20B9A2EF" w:rsidR="00093080" w:rsidRPr="0069649A" w:rsidRDefault="00093080" w:rsidP="00FE1537">
      <w:pPr>
        <w:spacing w:line="276" w:lineRule="auto"/>
        <w:jc w:val="both"/>
        <w:rPr>
          <w:rFonts w:asciiTheme="majorHAnsi" w:hAnsiTheme="majorHAnsi"/>
        </w:rPr>
      </w:pPr>
      <w:r w:rsidRPr="0069649A">
        <w:rPr>
          <w:rFonts w:asciiTheme="majorHAnsi" w:hAnsiTheme="majorHAnsi"/>
        </w:rPr>
        <w:t>Figures:</w:t>
      </w:r>
      <w:r w:rsidR="005E3296" w:rsidRPr="0069649A">
        <w:rPr>
          <w:rFonts w:asciiTheme="majorHAnsi" w:hAnsiTheme="majorHAnsi"/>
        </w:rPr>
        <w:t xml:space="preserve"> </w:t>
      </w:r>
      <w:r w:rsidRPr="0069649A">
        <w:rPr>
          <w:rFonts w:asciiTheme="majorHAnsi" w:hAnsiTheme="majorHAnsi"/>
        </w:rPr>
        <w:t>1</w:t>
      </w:r>
    </w:p>
    <w:p w14:paraId="5A08019D" w14:textId="77777777" w:rsidR="00FA3948" w:rsidRPr="0069649A" w:rsidRDefault="00FA3948" w:rsidP="00FE1537">
      <w:pPr>
        <w:spacing w:line="276" w:lineRule="auto"/>
        <w:jc w:val="both"/>
        <w:rPr>
          <w:rFonts w:asciiTheme="majorHAnsi" w:hAnsiTheme="majorHAnsi"/>
        </w:rPr>
      </w:pPr>
    </w:p>
    <w:p w14:paraId="0032DBDA" w14:textId="77777777" w:rsidR="00FA3948" w:rsidRPr="0069649A" w:rsidRDefault="00FA3948" w:rsidP="00FE1537">
      <w:pPr>
        <w:spacing w:line="276" w:lineRule="auto"/>
        <w:jc w:val="both"/>
        <w:rPr>
          <w:rFonts w:asciiTheme="majorHAnsi" w:hAnsiTheme="majorHAnsi"/>
        </w:rPr>
      </w:pPr>
    </w:p>
    <w:p w14:paraId="44D99F98" w14:textId="7325FCB4" w:rsidR="00654DA8" w:rsidRPr="0069649A" w:rsidRDefault="00654DA8" w:rsidP="00FE1537">
      <w:pPr>
        <w:spacing w:line="276" w:lineRule="auto"/>
        <w:jc w:val="both"/>
        <w:rPr>
          <w:rFonts w:asciiTheme="majorHAnsi" w:hAnsiTheme="majorHAnsi"/>
        </w:rPr>
      </w:pPr>
      <w:r w:rsidRPr="0069649A">
        <w:rPr>
          <w:rFonts w:asciiTheme="majorHAnsi" w:hAnsiTheme="majorHAnsi"/>
          <w:vertAlign w:val="superscript"/>
        </w:rPr>
        <w:t>1</w:t>
      </w:r>
      <w:r w:rsidRPr="0069649A">
        <w:rPr>
          <w:rFonts w:asciiTheme="majorHAnsi" w:hAnsiTheme="majorHAnsi"/>
        </w:rPr>
        <w:t xml:space="preserve">Clinical Pharmacology </w:t>
      </w:r>
      <w:r w:rsidR="0036595C" w:rsidRPr="0069649A">
        <w:rPr>
          <w:rFonts w:asciiTheme="majorHAnsi" w:hAnsiTheme="majorHAnsi"/>
        </w:rPr>
        <w:t>Unit,</w:t>
      </w:r>
      <w:r w:rsidRPr="0069649A">
        <w:rPr>
          <w:rFonts w:asciiTheme="majorHAnsi" w:hAnsiTheme="majorHAnsi"/>
        </w:rPr>
        <w:t xml:space="preserve"> QMUL, Barts NHS Trust, London</w:t>
      </w:r>
    </w:p>
    <w:p w14:paraId="09958B3E" w14:textId="32D8AA9E" w:rsidR="00654DA8" w:rsidRPr="0069649A" w:rsidRDefault="00654DA8" w:rsidP="00FE1537">
      <w:pPr>
        <w:spacing w:line="276" w:lineRule="auto"/>
        <w:jc w:val="both"/>
        <w:rPr>
          <w:rFonts w:asciiTheme="majorHAnsi" w:hAnsiTheme="majorHAnsi"/>
        </w:rPr>
      </w:pPr>
      <w:r w:rsidRPr="0069649A">
        <w:rPr>
          <w:rFonts w:asciiTheme="majorHAnsi" w:hAnsiTheme="majorHAnsi"/>
          <w:vertAlign w:val="superscript"/>
        </w:rPr>
        <w:t>2</w:t>
      </w:r>
      <w:r w:rsidR="00975D6A" w:rsidRPr="0069649A">
        <w:rPr>
          <w:rFonts w:asciiTheme="majorHAnsi" w:hAnsiTheme="majorHAnsi"/>
        </w:rPr>
        <w:t>Older People’s Services</w:t>
      </w:r>
      <w:r w:rsidRPr="0069649A">
        <w:rPr>
          <w:rFonts w:asciiTheme="majorHAnsi" w:hAnsiTheme="majorHAnsi"/>
        </w:rPr>
        <w:t>, Royal London Hospital, Barts NHS Trust, London</w:t>
      </w:r>
    </w:p>
    <w:p w14:paraId="3D16468A" w14:textId="4F003192" w:rsidR="00412351" w:rsidRPr="0069649A" w:rsidRDefault="00412351" w:rsidP="00FE1537">
      <w:pPr>
        <w:spacing w:line="276" w:lineRule="auto"/>
        <w:jc w:val="both"/>
        <w:rPr>
          <w:rFonts w:asciiTheme="majorHAnsi" w:hAnsiTheme="majorHAnsi"/>
        </w:rPr>
      </w:pPr>
      <w:r w:rsidRPr="0069649A">
        <w:rPr>
          <w:rFonts w:asciiTheme="majorHAnsi" w:hAnsiTheme="majorHAnsi"/>
          <w:vertAlign w:val="superscript"/>
        </w:rPr>
        <w:t>3</w:t>
      </w:r>
      <w:r w:rsidRPr="0069649A">
        <w:rPr>
          <w:rFonts w:asciiTheme="majorHAnsi" w:hAnsiTheme="majorHAnsi"/>
        </w:rPr>
        <w:t>Department of Clinical Pharmacology, St George’s, University of London</w:t>
      </w:r>
    </w:p>
    <w:p w14:paraId="09B5B6A7" w14:textId="4AA51B07" w:rsidR="00654DA8" w:rsidRPr="0069649A" w:rsidRDefault="00FF77B3" w:rsidP="00FE1537">
      <w:pPr>
        <w:spacing w:line="276" w:lineRule="auto"/>
        <w:jc w:val="both"/>
        <w:rPr>
          <w:rFonts w:asciiTheme="majorHAnsi" w:hAnsiTheme="majorHAnsi"/>
        </w:rPr>
      </w:pPr>
      <w:r w:rsidRPr="0069649A">
        <w:rPr>
          <w:rFonts w:asciiTheme="majorHAnsi" w:hAnsiTheme="majorHAnsi"/>
          <w:vertAlign w:val="superscript"/>
        </w:rPr>
        <w:t xml:space="preserve">4 </w:t>
      </w:r>
      <w:r w:rsidR="00A706FB" w:rsidRPr="0069649A">
        <w:rPr>
          <w:rFonts w:asciiTheme="majorHAnsi" w:hAnsiTheme="majorHAnsi"/>
        </w:rPr>
        <w:t xml:space="preserve">Critical Care and Perioperative Medicine Research Group, QMUL, Barts NHS </w:t>
      </w:r>
      <w:r w:rsidR="00DF062D" w:rsidRPr="0069649A">
        <w:rPr>
          <w:rFonts w:asciiTheme="majorHAnsi" w:hAnsiTheme="majorHAnsi"/>
        </w:rPr>
        <w:t>Trust,</w:t>
      </w:r>
      <w:r w:rsidR="00A706FB" w:rsidRPr="0069649A">
        <w:rPr>
          <w:rFonts w:asciiTheme="majorHAnsi" w:hAnsiTheme="majorHAnsi"/>
        </w:rPr>
        <w:t xml:space="preserve"> London</w:t>
      </w:r>
    </w:p>
    <w:p w14:paraId="3A28D851" w14:textId="77777777" w:rsidR="00FA3948" w:rsidRPr="0069649A" w:rsidRDefault="00FA3948" w:rsidP="00FE1537">
      <w:pPr>
        <w:spacing w:line="276" w:lineRule="auto"/>
        <w:jc w:val="both"/>
        <w:rPr>
          <w:rFonts w:asciiTheme="majorHAnsi" w:hAnsiTheme="majorHAnsi"/>
        </w:rPr>
      </w:pPr>
    </w:p>
    <w:p w14:paraId="4BFF7604" w14:textId="77777777" w:rsidR="00FA3948" w:rsidRPr="0069649A" w:rsidRDefault="00FA3948" w:rsidP="00FE1537">
      <w:pPr>
        <w:spacing w:line="276" w:lineRule="auto"/>
        <w:jc w:val="both"/>
        <w:rPr>
          <w:rFonts w:asciiTheme="majorHAnsi" w:hAnsiTheme="majorHAnsi"/>
        </w:rPr>
      </w:pPr>
    </w:p>
    <w:p w14:paraId="1ADC8C0E" w14:textId="4A3BD0F1" w:rsidR="00093080" w:rsidRPr="0069649A" w:rsidRDefault="00093080" w:rsidP="00FE1537">
      <w:pPr>
        <w:spacing w:line="276" w:lineRule="auto"/>
        <w:jc w:val="both"/>
        <w:rPr>
          <w:rFonts w:asciiTheme="majorHAnsi" w:hAnsiTheme="majorHAnsi"/>
        </w:rPr>
      </w:pPr>
      <w:r w:rsidRPr="0069649A">
        <w:rPr>
          <w:rFonts w:asciiTheme="majorHAnsi" w:hAnsiTheme="majorHAnsi"/>
        </w:rPr>
        <w:t>Corresponding author:</w:t>
      </w:r>
      <w:r w:rsidR="00990DA2" w:rsidRPr="0069649A">
        <w:rPr>
          <w:rFonts w:asciiTheme="majorHAnsi" w:hAnsiTheme="majorHAnsi"/>
        </w:rPr>
        <w:t xml:space="preserve"> Dr </w:t>
      </w:r>
      <w:r w:rsidRPr="0069649A">
        <w:rPr>
          <w:rFonts w:asciiTheme="majorHAnsi" w:hAnsiTheme="majorHAnsi"/>
        </w:rPr>
        <w:t>Dhanupriya Sivapathasuntharam</w:t>
      </w:r>
    </w:p>
    <w:p w14:paraId="1C61F073" w14:textId="325A88C0" w:rsidR="00093080" w:rsidRPr="0069649A" w:rsidRDefault="00093080" w:rsidP="00FE1537">
      <w:pPr>
        <w:spacing w:line="276" w:lineRule="auto"/>
        <w:jc w:val="both"/>
        <w:rPr>
          <w:rFonts w:asciiTheme="majorHAnsi" w:hAnsiTheme="majorHAnsi"/>
        </w:rPr>
      </w:pPr>
      <w:r w:rsidRPr="0069649A">
        <w:rPr>
          <w:rFonts w:asciiTheme="majorHAnsi" w:hAnsiTheme="majorHAnsi"/>
        </w:rPr>
        <w:t>Address:</w:t>
      </w:r>
      <w:r w:rsidR="00872607" w:rsidRPr="0069649A">
        <w:rPr>
          <w:rFonts w:asciiTheme="majorHAnsi" w:hAnsiTheme="majorHAnsi"/>
        </w:rPr>
        <w:t xml:space="preserve"> Older People’s Services, 14</w:t>
      </w:r>
      <w:r w:rsidR="00872607" w:rsidRPr="0069649A">
        <w:rPr>
          <w:rFonts w:asciiTheme="majorHAnsi" w:hAnsiTheme="majorHAnsi"/>
          <w:vertAlign w:val="superscript"/>
        </w:rPr>
        <w:t>th</w:t>
      </w:r>
      <w:r w:rsidR="00872607" w:rsidRPr="0069649A">
        <w:rPr>
          <w:rFonts w:asciiTheme="majorHAnsi" w:hAnsiTheme="majorHAnsi"/>
        </w:rPr>
        <w:t xml:space="preserve"> Floor Royal London Hospital, Whitechapel Road</w:t>
      </w:r>
      <w:r w:rsidR="00990DA2" w:rsidRPr="0069649A">
        <w:rPr>
          <w:rFonts w:asciiTheme="majorHAnsi" w:hAnsiTheme="majorHAnsi"/>
        </w:rPr>
        <w:t>, L</w:t>
      </w:r>
      <w:r w:rsidR="00872607" w:rsidRPr="0069649A">
        <w:rPr>
          <w:rFonts w:asciiTheme="majorHAnsi" w:hAnsiTheme="majorHAnsi"/>
        </w:rPr>
        <w:t>ondon E1 1FR</w:t>
      </w:r>
    </w:p>
    <w:p w14:paraId="745230EF" w14:textId="6984FF4A" w:rsidR="00093080" w:rsidRPr="0069649A" w:rsidRDefault="00093080" w:rsidP="00FE1537">
      <w:pPr>
        <w:spacing w:line="276" w:lineRule="auto"/>
        <w:jc w:val="both"/>
        <w:rPr>
          <w:rFonts w:asciiTheme="majorHAnsi" w:hAnsiTheme="majorHAnsi"/>
          <w:vertAlign w:val="superscript"/>
        </w:rPr>
      </w:pPr>
      <w:r w:rsidRPr="0069649A">
        <w:rPr>
          <w:rFonts w:asciiTheme="majorHAnsi" w:hAnsiTheme="majorHAnsi"/>
        </w:rPr>
        <w:t>Telephone:</w:t>
      </w:r>
      <w:r w:rsidR="00990DA2" w:rsidRPr="0069649A">
        <w:rPr>
          <w:rFonts w:asciiTheme="majorHAnsi" w:hAnsiTheme="majorHAnsi"/>
        </w:rPr>
        <w:t xml:space="preserve"> </w:t>
      </w:r>
      <w:r w:rsidR="00872607" w:rsidRPr="0069649A">
        <w:rPr>
          <w:rFonts w:asciiTheme="majorHAnsi" w:hAnsiTheme="majorHAnsi"/>
        </w:rPr>
        <w:t>02035942841</w:t>
      </w:r>
    </w:p>
    <w:p w14:paraId="3B6658A1" w14:textId="79ABEE65" w:rsidR="00093080" w:rsidRPr="0069649A" w:rsidRDefault="00093080" w:rsidP="00FE1537">
      <w:pPr>
        <w:spacing w:line="276" w:lineRule="auto"/>
        <w:jc w:val="both"/>
        <w:rPr>
          <w:rFonts w:asciiTheme="majorHAnsi" w:hAnsiTheme="majorHAnsi"/>
        </w:rPr>
      </w:pPr>
      <w:r w:rsidRPr="0069649A">
        <w:rPr>
          <w:rFonts w:asciiTheme="majorHAnsi" w:hAnsiTheme="majorHAnsi"/>
        </w:rPr>
        <w:t>Email</w:t>
      </w:r>
      <w:r w:rsidR="00990DA2" w:rsidRPr="0069649A">
        <w:rPr>
          <w:rFonts w:asciiTheme="majorHAnsi" w:hAnsiTheme="majorHAnsi"/>
        </w:rPr>
        <w:t xml:space="preserve">: </w:t>
      </w:r>
      <w:r w:rsidR="00872607" w:rsidRPr="0069649A">
        <w:rPr>
          <w:rFonts w:asciiTheme="majorHAnsi" w:hAnsiTheme="majorHAnsi"/>
        </w:rPr>
        <w:t>Dhanupriya.Sivapathasuntharam@nhs.net</w:t>
      </w:r>
    </w:p>
    <w:p w14:paraId="0911BC68" w14:textId="77777777" w:rsidR="00093080" w:rsidRPr="0069649A" w:rsidRDefault="00093080" w:rsidP="00FE1537">
      <w:pPr>
        <w:spacing w:line="276" w:lineRule="auto"/>
        <w:jc w:val="both"/>
        <w:rPr>
          <w:rFonts w:asciiTheme="majorHAnsi" w:hAnsiTheme="majorHAnsi"/>
        </w:rPr>
      </w:pPr>
    </w:p>
    <w:p w14:paraId="5AB89CAB" w14:textId="77777777" w:rsidR="00093080" w:rsidRPr="0069649A" w:rsidRDefault="00093080" w:rsidP="00FE1537">
      <w:pPr>
        <w:spacing w:line="276" w:lineRule="auto"/>
        <w:jc w:val="both"/>
        <w:rPr>
          <w:rFonts w:asciiTheme="majorHAnsi" w:hAnsiTheme="majorHAnsi"/>
        </w:rPr>
      </w:pPr>
    </w:p>
    <w:p w14:paraId="225F5078" w14:textId="3D9EDD57" w:rsidR="00FA3948" w:rsidRPr="0069649A" w:rsidRDefault="00FA3948" w:rsidP="000A6638">
      <w:pPr>
        <w:jc w:val="both"/>
        <w:rPr>
          <w:rFonts w:asciiTheme="majorHAnsi" w:hAnsiTheme="majorHAnsi"/>
        </w:rPr>
      </w:pPr>
      <w:r w:rsidRPr="0069649A">
        <w:rPr>
          <w:rFonts w:asciiTheme="majorHAnsi" w:hAnsiTheme="majorHAnsi"/>
        </w:rPr>
        <w:br w:type="page"/>
      </w:r>
    </w:p>
    <w:p w14:paraId="22C80E28" w14:textId="7A698204" w:rsidR="00F13CFA" w:rsidRPr="0069649A" w:rsidRDefault="00F13CFA" w:rsidP="001E0342">
      <w:pPr>
        <w:spacing w:line="480" w:lineRule="auto"/>
        <w:jc w:val="both"/>
        <w:rPr>
          <w:rFonts w:asciiTheme="majorHAnsi" w:hAnsiTheme="majorHAnsi"/>
          <w:b/>
        </w:rPr>
      </w:pPr>
      <w:r w:rsidRPr="0069649A">
        <w:rPr>
          <w:rFonts w:asciiTheme="majorHAnsi" w:hAnsiTheme="majorHAnsi"/>
          <w:b/>
        </w:rPr>
        <w:lastRenderedPageBreak/>
        <w:t>Abstract</w:t>
      </w:r>
    </w:p>
    <w:p w14:paraId="0890042B" w14:textId="05A2141B" w:rsidR="00FA3948" w:rsidRPr="0069649A" w:rsidRDefault="004A111F" w:rsidP="00FE1537">
      <w:pPr>
        <w:spacing w:line="480" w:lineRule="auto"/>
        <w:jc w:val="both"/>
        <w:rPr>
          <w:rFonts w:asciiTheme="majorHAnsi" w:hAnsiTheme="majorHAnsi"/>
        </w:rPr>
      </w:pPr>
      <w:r w:rsidRPr="0069649A">
        <w:rPr>
          <w:rFonts w:asciiTheme="majorHAnsi" w:hAnsiTheme="majorHAnsi"/>
          <w:b/>
        </w:rPr>
        <w:t>Purpose</w:t>
      </w:r>
      <w:r w:rsidR="00FA3948" w:rsidRPr="0069649A">
        <w:rPr>
          <w:rFonts w:asciiTheme="majorHAnsi" w:hAnsiTheme="majorHAnsi"/>
          <w:b/>
        </w:rPr>
        <w:t>:</w:t>
      </w:r>
      <w:r w:rsidR="00FA3948" w:rsidRPr="0069649A">
        <w:rPr>
          <w:rFonts w:asciiTheme="majorHAnsi" w:hAnsiTheme="majorHAnsi"/>
        </w:rPr>
        <w:t xml:space="preserve"> </w:t>
      </w:r>
      <w:r w:rsidRPr="0069649A">
        <w:rPr>
          <w:rFonts w:asciiTheme="majorHAnsi" w:hAnsiTheme="majorHAnsi"/>
        </w:rPr>
        <w:t>Compared to younger patients</w:t>
      </w:r>
      <w:r w:rsidRPr="0069649A">
        <w:rPr>
          <w:rFonts w:ascii="Calibri" w:hAnsi="Calibri" w:cs="Arial"/>
          <w:shd w:val="clear" w:color="auto" w:fill="FFFFFF"/>
        </w:rPr>
        <w:t>, c</w:t>
      </w:r>
      <w:r w:rsidR="007A3639" w:rsidRPr="0069649A">
        <w:rPr>
          <w:rFonts w:ascii="Calibri" w:hAnsi="Calibri" w:cs="Arial"/>
          <w:shd w:val="clear" w:color="auto" w:fill="FFFFFF"/>
        </w:rPr>
        <w:t>oronavirus disease 2019 (</w:t>
      </w:r>
      <w:r w:rsidR="00093080" w:rsidRPr="0069649A">
        <w:rPr>
          <w:rFonts w:ascii="Calibri" w:hAnsi="Calibri"/>
        </w:rPr>
        <w:t>COVID-1</w:t>
      </w:r>
      <w:r w:rsidR="00FA3948" w:rsidRPr="0069649A">
        <w:rPr>
          <w:rFonts w:ascii="Calibri" w:hAnsi="Calibri"/>
        </w:rPr>
        <w:t>9</w:t>
      </w:r>
      <w:r w:rsidR="007A3639" w:rsidRPr="0069649A">
        <w:rPr>
          <w:rFonts w:asciiTheme="majorHAnsi" w:hAnsiTheme="majorHAnsi"/>
        </w:rPr>
        <w:t>)</w:t>
      </w:r>
      <w:r w:rsidR="00FA3948" w:rsidRPr="0069649A">
        <w:rPr>
          <w:rFonts w:asciiTheme="majorHAnsi" w:hAnsiTheme="majorHAnsi"/>
        </w:rPr>
        <w:t xml:space="preserve"> clinical presentation in</w:t>
      </w:r>
      <w:r w:rsidR="007A3639" w:rsidRPr="0069649A">
        <w:rPr>
          <w:rFonts w:asciiTheme="majorHAnsi" w:hAnsiTheme="majorHAnsi"/>
        </w:rPr>
        <w:t xml:space="preserve"> older people</w:t>
      </w:r>
      <w:r w:rsidR="00FA3948" w:rsidRPr="0069649A">
        <w:rPr>
          <w:rFonts w:asciiTheme="majorHAnsi" w:hAnsiTheme="majorHAnsi"/>
        </w:rPr>
        <w:t xml:space="preserve"> can be more heterogeneous</w:t>
      </w:r>
      <w:r w:rsidRPr="0069649A">
        <w:rPr>
          <w:rFonts w:asciiTheme="majorHAnsi" w:hAnsiTheme="majorHAnsi"/>
        </w:rPr>
        <w:t xml:space="preserve"> and fatal</w:t>
      </w:r>
      <w:r w:rsidR="00FA3948" w:rsidRPr="0069649A">
        <w:rPr>
          <w:rFonts w:asciiTheme="majorHAnsi" w:hAnsiTheme="majorHAnsi"/>
        </w:rPr>
        <w:t>.</w:t>
      </w:r>
      <w:r w:rsidR="000420C2" w:rsidRPr="0069649A">
        <w:rPr>
          <w:rFonts w:asciiTheme="majorHAnsi" w:hAnsiTheme="majorHAnsi"/>
        </w:rPr>
        <w:t xml:space="preserve"> We aim </w:t>
      </w:r>
      <w:r w:rsidR="00111B40" w:rsidRPr="0069649A">
        <w:rPr>
          <w:rFonts w:asciiTheme="majorHAnsi" w:hAnsiTheme="majorHAnsi"/>
        </w:rPr>
        <w:t>to</w:t>
      </w:r>
      <w:r w:rsidR="000420C2" w:rsidRPr="0069649A">
        <w:rPr>
          <w:rFonts w:asciiTheme="majorHAnsi" w:hAnsiTheme="majorHAnsi"/>
        </w:rPr>
        <w:t xml:space="preserve"> describe </w:t>
      </w:r>
      <w:r w:rsidR="00DB5181" w:rsidRPr="0069649A">
        <w:rPr>
          <w:rFonts w:asciiTheme="majorHAnsi" w:hAnsiTheme="majorHAnsi"/>
        </w:rPr>
        <w:t>a cohort of older adults admitted in an inner</w:t>
      </w:r>
      <w:r w:rsidR="005E3296" w:rsidRPr="0069649A">
        <w:rPr>
          <w:rFonts w:asciiTheme="majorHAnsi" w:hAnsiTheme="majorHAnsi"/>
        </w:rPr>
        <w:t xml:space="preserve"> </w:t>
      </w:r>
      <w:r w:rsidR="00DB5181" w:rsidRPr="0069649A">
        <w:rPr>
          <w:rFonts w:asciiTheme="majorHAnsi" w:hAnsiTheme="majorHAnsi"/>
        </w:rPr>
        <w:t xml:space="preserve">city London </w:t>
      </w:r>
      <w:r w:rsidR="007009DB" w:rsidRPr="0069649A">
        <w:rPr>
          <w:rFonts w:asciiTheme="majorHAnsi" w:hAnsiTheme="majorHAnsi"/>
        </w:rPr>
        <w:t>h</w:t>
      </w:r>
      <w:r w:rsidR="00DB5181" w:rsidRPr="0069649A">
        <w:rPr>
          <w:rFonts w:asciiTheme="majorHAnsi" w:hAnsiTheme="majorHAnsi"/>
        </w:rPr>
        <w:t>ospital during the first peak of the pandemic.</w:t>
      </w:r>
    </w:p>
    <w:p w14:paraId="518A45A2" w14:textId="26108FDC" w:rsidR="00FA3948" w:rsidRPr="0069649A" w:rsidRDefault="004A111F" w:rsidP="004A111F">
      <w:pPr>
        <w:spacing w:line="480" w:lineRule="auto"/>
        <w:jc w:val="both"/>
        <w:rPr>
          <w:rFonts w:asciiTheme="majorHAnsi" w:hAnsiTheme="majorHAnsi"/>
        </w:rPr>
      </w:pPr>
      <w:r w:rsidRPr="0069649A">
        <w:rPr>
          <w:rFonts w:asciiTheme="majorHAnsi" w:hAnsiTheme="majorHAnsi"/>
          <w:b/>
        </w:rPr>
        <w:t>Methods:</w:t>
      </w:r>
      <w:r w:rsidRPr="0069649A">
        <w:rPr>
          <w:rFonts w:asciiTheme="majorHAnsi" w:hAnsiTheme="majorHAnsi"/>
          <w:b/>
        </w:rPr>
        <w:br/>
      </w:r>
      <w:r w:rsidR="009D4A23" w:rsidRPr="0069649A">
        <w:rPr>
          <w:rFonts w:asciiTheme="majorHAnsi" w:hAnsiTheme="majorHAnsi"/>
        </w:rPr>
        <w:t xml:space="preserve">A </w:t>
      </w:r>
      <w:r w:rsidRPr="0069649A">
        <w:rPr>
          <w:rFonts w:asciiTheme="majorHAnsi" w:hAnsiTheme="majorHAnsi"/>
        </w:rPr>
        <w:t>r</w:t>
      </w:r>
      <w:r w:rsidR="00FA3948" w:rsidRPr="0069649A">
        <w:rPr>
          <w:rFonts w:asciiTheme="majorHAnsi" w:hAnsiTheme="majorHAnsi"/>
        </w:rPr>
        <w:t xml:space="preserve">etrospective </w:t>
      </w:r>
      <w:r w:rsidR="002F361C" w:rsidRPr="0069649A">
        <w:rPr>
          <w:rFonts w:asciiTheme="majorHAnsi" w:hAnsiTheme="majorHAnsi"/>
        </w:rPr>
        <w:t xml:space="preserve">observational </w:t>
      </w:r>
      <w:r w:rsidR="00FA3948" w:rsidRPr="0069649A">
        <w:rPr>
          <w:rFonts w:asciiTheme="majorHAnsi" w:hAnsiTheme="majorHAnsi"/>
        </w:rPr>
        <w:t>study</w:t>
      </w:r>
      <w:r w:rsidRPr="0069649A">
        <w:rPr>
          <w:rFonts w:asciiTheme="majorHAnsi" w:hAnsiTheme="majorHAnsi"/>
        </w:rPr>
        <w:t xml:space="preserve"> that enrolled </w:t>
      </w:r>
      <w:r w:rsidR="009D4A23" w:rsidRPr="0069649A">
        <w:rPr>
          <w:rFonts w:asciiTheme="majorHAnsi" w:hAnsiTheme="majorHAnsi"/>
        </w:rPr>
        <w:t>older adults consecutively</w:t>
      </w:r>
      <w:r w:rsidRPr="0069649A">
        <w:rPr>
          <w:rFonts w:asciiTheme="majorHAnsi" w:hAnsiTheme="majorHAnsi"/>
        </w:rPr>
        <w:t xml:space="preserve"> admitted into</w:t>
      </w:r>
      <w:r w:rsidR="00FA3948" w:rsidRPr="0069649A">
        <w:rPr>
          <w:rFonts w:asciiTheme="majorHAnsi" w:hAnsiTheme="majorHAnsi"/>
        </w:rPr>
        <w:t xml:space="preserve"> </w:t>
      </w:r>
      <w:r w:rsidRPr="0069649A">
        <w:rPr>
          <w:rFonts w:asciiTheme="majorHAnsi" w:hAnsiTheme="majorHAnsi"/>
        </w:rPr>
        <w:t>t</w:t>
      </w:r>
      <w:r w:rsidR="00FA3948" w:rsidRPr="0069649A">
        <w:rPr>
          <w:rFonts w:asciiTheme="majorHAnsi" w:hAnsiTheme="majorHAnsi"/>
        </w:rPr>
        <w:t>wo geriatric wards</w:t>
      </w:r>
      <w:r w:rsidR="009D4A23" w:rsidRPr="0069649A">
        <w:rPr>
          <w:rFonts w:asciiTheme="majorHAnsi" w:hAnsiTheme="majorHAnsi"/>
        </w:rPr>
        <w:t xml:space="preserve"> </w:t>
      </w:r>
      <w:r w:rsidR="00FA3948" w:rsidRPr="0069649A">
        <w:rPr>
          <w:rFonts w:ascii="Calibri" w:hAnsi="Calibri"/>
        </w:rPr>
        <w:t xml:space="preserve">with suspected or confirmed </w:t>
      </w:r>
      <w:r w:rsidR="007A3639" w:rsidRPr="0069649A">
        <w:rPr>
          <w:rFonts w:ascii="Calibri" w:hAnsi="Calibri" w:cs="Arial"/>
          <w:shd w:val="clear" w:color="auto" w:fill="FFFFFF"/>
        </w:rPr>
        <w:t>severe acute respiratory syndrome coronavirus 2 (SARS-CoV-2)</w:t>
      </w:r>
      <w:r w:rsidR="00093080" w:rsidRPr="0069649A">
        <w:rPr>
          <w:rFonts w:ascii="Calibri" w:hAnsi="Calibri"/>
        </w:rPr>
        <w:t xml:space="preserve"> </w:t>
      </w:r>
      <w:r w:rsidR="00FA3948" w:rsidRPr="0069649A">
        <w:rPr>
          <w:rFonts w:ascii="Calibri" w:hAnsi="Calibri"/>
        </w:rPr>
        <w:t>infecti</w:t>
      </w:r>
      <w:r w:rsidR="00FA3948" w:rsidRPr="0069649A">
        <w:rPr>
          <w:rFonts w:asciiTheme="majorHAnsi" w:hAnsiTheme="majorHAnsi"/>
        </w:rPr>
        <w:t xml:space="preserve">on. </w:t>
      </w:r>
      <w:r w:rsidRPr="0069649A">
        <w:rPr>
          <w:rFonts w:asciiTheme="majorHAnsi" w:hAnsiTheme="majorHAnsi"/>
        </w:rPr>
        <w:t>We collected</w:t>
      </w:r>
      <w:r w:rsidRPr="0069649A">
        <w:rPr>
          <w:rFonts w:asciiTheme="majorHAnsi" w:hAnsiTheme="majorHAnsi"/>
          <w:b/>
        </w:rPr>
        <w:t xml:space="preserve"> </w:t>
      </w:r>
      <w:r w:rsidRPr="0069649A">
        <w:rPr>
          <w:rFonts w:asciiTheme="majorHAnsi" w:hAnsiTheme="majorHAnsi"/>
        </w:rPr>
        <w:t>s</w:t>
      </w:r>
      <w:r w:rsidR="00FA3948" w:rsidRPr="0069649A">
        <w:rPr>
          <w:rFonts w:asciiTheme="majorHAnsi" w:hAnsiTheme="majorHAnsi"/>
        </w:rPr>
        <w:t>ocio-demographic data, comorbidities, symptoms at presentation and/or during admission, biochemical and radiological data and outcomes at 28 days</w:t>
      </w:r>
      <w:r w:rsidRPr="0069649A">
        <w:rPr>
          <w:rFonts w:asciiTheme="majorHAnsi" w:hAnsiTheme="majorHAnsi"/>
        </w:rPr>
        <w:t>.</w:t>
      </w:r>
    </w:p>
    <w:p w14:paraId="35769EF1" w14:textId="261071D3" w:rsidR="00FA3948" w:rsidRPr="0069649A" w:rsidRDefault="00FA3948" w:rsidP="00FE1537">
      <w:pPr>
        <w:spacing w:line="480" w:lineRule="auto"/>
        <w:jc w:val="both"/>
        <w:rPr>
          <w:rFonts w:asciiTheme="majorHAnsi" w:eastAsia="Times New Roman" w:hAnsiTheme="majorHAnsi"/>
        </w:rPr>
      </w:pPr>
      <w:r w:rsidRPr="0069649A">
        <w:rPr>
          <w:rFonts w:asciiTheme="majorHAnsi" w:hAnsiTheme="majorHAnsi"/>
          <w:b/>
        </w:rPr>
        <w:t xml:space="preserve">Results: </w:t>
      </w:r>
      <w:r w:rsidRPr="0069649A">
        <w:rPr>
          <w:rFonts w:asciiTheme="majorHAnsi" w:hAnsiTheme="majorHAnsi"/>
        </w:rPr>
        <w:t>124 patients were</w:t>
      </w:r>
      <w:r w:rsidR="009D4A23" w:rsidRPr="0069649A">
        <w:rPr>
          <w:rFonts w:asciiTheme="majorHAnsi" w:hAnsiTheme="majorHAnsi"/>
        </w:rPr>
        <w:t xml:space="preserve"> included,</w:t>
      </w:r>
      <w:r w:rsidRPr="0069649A">
        <w:rPr>
          <w:rFonts w:asciiTheme="majorHAnsi" w:hAnsiTheme="majorHAnsi"/>
        </w:rPr>
        <w:t xml:space="preserve"> </w:t>
      </w:r>
      <w:r w:rsidRPr="0069649A">
        <w:rPr>
          <w:rFonts w:asciiTheme="majorHAnsi" w:eastAsia="MS Gothic" w:hAnsiTheme="majorHAnsi"/>
        </w:rPr>
        <w:t xml:space="preserve">75% were </w:t>
      </w:r>
      <w:r w:rsidR="001143CF" w:rsidRPr="0069649A">
        <w:rPr>
          <w:rFonts w:asciiTheme="majorHAnsi" w:eastAsia="MS Gothic" w:hAnsiTheme="majorHAnsi"/>
        </w:rPr>
        <w:t>&gt;</w:t>
      </w:r>
      <w:r w:rsidRPr="0069649A">
        <w:rPr>
          <w:rFonts w:asciiTheme="majorHAnsi" w:eastAsia="MS Gothic" w:hAnsiTheme="majorHAnsi"/>
        </w:rPr>
        <w:t>80</w:t>
      </w:r>
      <w:r w:rsidR="001143CF" w:rsidRPr="0069649A">
        <w:rPr>
          <w:rFonts w:asciiTheme="majorHAnsi" w:eastAsia="MS Gothic" w:hAnsiTheme="majorHAnsi"/>
        </w:rPr>
        <w:t xml:space="preserve"> years old</w:t>
      </w:r>
      <w:r w:rsidRPr="0069649A">
        <w:rPr>
          <w:rFonts w:asciiTheme="majorHAnsi" w:eastAsia="MS Gothic" w:hAnsiTheme="majorHAnsi"/>
        </w:rPr>
        <w:t xml:space="preserve">. </w:t>
      </w:r>
      <w:r w:rsidRPr="0069649A">
        <w:rPr>
          <w:rFonts w:asciiTheme="majorHAnsi" w:hAnsiTheme="majorHAnsi"/>
        </w:rPr>
        <w:t xml:space="preserve">19.5 % of </w:t>
      </w:r>
      <w:r w:rsidR="007009DB" w:rsidRPr="0069649A">
        <w:rPr>
          <w:rFonts w:asciiTheme="majorHAnsi" w:hAnsiTheme="majorHAnsi"/>
        </w:rPr>
        <w:t xml:space="preserve">COVID-19 </w:t>
      </w:r>
      <w:r w:rsidRPr="0069649A">
        <w:rPr>
          <w:rFonts w:asciiTheme="majorHAnsi" w:hAnsiTheme="majorHAnsi"/>
        </w:rPr>
        <w:t>cases were adjudged to be hospital acquir</w:t>
      </w:r>
      <w:r w:rsidR="00347E95" w:rsidRPr="0069649A">
        <w:rPr>
          <w:rFonts w:asciiTheme="majorHAnsi" w:hAnsiTheme="majorHAnsi"/>
        </w:rPr>
        <w:t>ed</w:t>
      </w:r>
      <w:r w:rsidRPr="0069649A">
        <w:rPr>
          <w:rFonts w:asciiTheme="majorHAnsi" w:hAnsiTheme="majorHAnsi"/>
        </w:rPr>
        <w:t>.</w:t>
      </w:r>
      <w:r w:rsidR="00E46E20" w:rsidRPr="0069649A">
        <w:rPr>
          <w:rFonts w:asciiTheme="majorHAnsi" w:hAnsiTheme="majorHAnsi"/>
        </w:rPr>
        <w:t xml:space="preserve"> More than half</w:t>
      </w:r>
      <w:r w:rsidRPr="0069649A">
        <w:rPr>
          <w:rFonts w:asciiTheme="majorHAnsi" w:hAnsiTheme="majorHAnsi"/>
        </w:rPr>
        <w:t xml:space="preserve"> presented or developed typical symptoms, respiratory failure or fatigue. 46.8% were diagnosed with delirium, 24.2% with falls and dysphagia was present in 13.7%</w:t>
      </w:r>
      <w:r w:rsidR="009D4A23" w:rsidRPr="0069649A">
        <w:rPr>
          <w:rFonts w:asciiTheme="majorHAnsi" w:hAnsiTheme="majorHAnsi"/>
        </w:rPr>
        <w:t>.</w:t>
      </w:r>
    </w:p>
    <w:p w14:paraId="4F6B81F3" w14:textId="5F762836" w:rsidR="00FA3948" w:rsidRPr="0069649A" w:rsidRDefault="001143CF" w:rsidP="00FF77B3">
      <w:pPr>
        <w:tabs>
          <w:tab w:val="left" w:pos="5760"/>
        </w:tabs>
        <w:spacing w:line="480" w:lineRule="auto"/>
        <w:jc w:val="both"/>
        <w:rPr>
          <w:rFonts w:asciiTheme="majorHAnsi" w:hAnsiTheme="majorHAnsi"/>
          <w:b/>
          <w:szCs w:val="22"/>
          <w:u w:val="single"/>
        </w:rPr>
      </w:pPr>
      <w:r w:rsidRPr="0069649A">
        <w:rPr>
          <w:rFonts w:asciiTheme="majorHAnsi" w:hAnsiTheme="majorHAnsi"/>
        </w:rPr>
        <w:t xml:space="preserve">The mortality rate was </w:t>
      </w:r>
      <w:r w:rsidR="00FA3948" w:rsidRPr="0069649A">
        <w:rPr>
          <w:rFonts w:asciiTheme="majorHAnsi" w:hAnsiTheme="majorHAnsi"/>
        </w:rPr>
        <w:t>29.8%</w:t>
      </w:r>
      <w:r w:rsidR="00347E95" w:rsidRPr="0069649A">
        <w:rPr>
          <w:rFonts w:asciiTheme="majorHAnsi" w:hAnsiTheme="majorHAnsi"/>
        </w:rPr>
        <w:t xml:space="preserve"> </w:t>
      </w:r>
      <w:r w:rsidRPr="0069649A">
        <w:rPr>
          <w:rFonts w:asciiTheme="majorHAnsi" w:eastAsia="Times New Roman" w:hAnsiTheme="majorHAnsi"/>
        </w:rPr>
        <w:t xml:space="preserve">and </w:t>
      </w:r>
      <w:r w:rsidR="002F361C" w:rsidRPr="0069649A">
        <w:rPr>
          <w:rFonts w:asciiTheme="majorHAnsi" w:eastAsia="Times New Roman" w:hAnsiTheme="majorHAnsi"/>
        </w:rPr>
        <w:t xml:space="preserve">was higher among </w:t>
      </w:r>
      <w:r w:rsidR="00FA3948" w:rsidRPr="0069649A">
        <w:rPr>
          <w:rFonts w:asciiTheme="majorHAnsi" w:eastAsia="Times New Roman" w:hAnsiTheme="majorHAnsi"/>
        </w:rPr>
        <w:t>male</w:t>
      </w:r>
      <w:r w:rsidR="002F361C" w:rsidRPr="0069649A">
        <w:rPr>
          <w:rFonts w:asciiTheme="majorHAnsi" w:eastAsia="Times New Roman" w:hAnsiTheme="majorHAnsi"/>
        </w:rPr>
        <w:t>s</w:t>
      </w:r>
      <w:r w:rsidR="00FA3948" w:rsidRPr="0069649A">
        <w:rPr>
          <w:rFonts w:asciiTheme="majorHAnsi" w:eastAsia="Times New Roman" w:hAnsiTheme="majorHAnsi"/>
        </w:rPr>
        <w:t xml:space="preserve">, </w:t>
      </w:r>
      <w:r w:rsidR="002F361C" w:rsidRPr="0069649A">
        <w:rPr>
          <w:rFonts w:asciiTheme="majorHAnsi" w:eastAsia="Times New Roman" w:hAnsiTheme="majorHAnsi"/>
        </w:rPr>
        <w:t xml:space="preserve">those </w:t>
      </w:r>
      <w:r w:rsidRPr="0069649A">
        <w:rPr>
          <w:rFonts w:asciiTheme="majorHAnsi" w:eastAsia="Times New Roman" w:hAnsiTheme="majorHAnsi"/>
        </w:rPr>
        <w:t>&gt;</w:t>
      </w:r>
      <w:r w:rsidR="00FA3948" w:rsidRPr="0069649A">
        <w:rPr>
          <w:rFonts w:asciiTheme="majorHAnsi" w:eastAsia="Times New Roman" w:hAnsiTheme="majorHAnsi"/>
        </w:rPr>
        <w:t>80 years</w:t>
      </w:r>
      <w:r w:rsidR="00837CB0" w:rsidRPr="0069649A">
        <w:rPr>
          <w:rFonts w:asciiTheme="majorHAnsi" w:eastAsia="Times New Roman" w:hAnsiTheme="majorHAnsi"/>
        </w:rPr>
        <w:t>,</w:t>
      </w:r>
      <w:r w:rsidR="00111B40" w:rsidRPr="0069649A">
        <w:rPr>
          <w:rFonts w:asciiTheme="majorHAnsi" w:eastAsia="Times New Roman" w:hAnsiTheme="majorHAnsi"/>
        </w:rPr>
        <w:t xml:space="preserve"> </w:t>
      </w:r>
      <w:r w:rsidR="00837CB0" w:rsidRPr="0069649A">
        <w:rPr>
          <w:rFonts w:asciiTheme="majorHAnsi" w:eastAsia="Times New Roman" w:hAnsiTheme="majorHAnsi"/>
        </w:rPr>
        <w:t xml:space="preserve">patients with a </w:t>
      </w:r>
      <w:r w:rsidR="00FA3948" w:rsidRPr="0069649A">
        <w:rPr>
          <w:rFonts w:asciiTheme="majorHAnsi" w:eastAsia="Times New Roman" w:hAnsiTheme="majorHAnsi"/>
        </w:rPr>
        <w:t xml:space="preserve">higher </w:t>
      </w:r>
      <w:r w:rsidR="002F361C" w:rsidRPr="0069649A">
        <w:rPr>
          <w:rFonts w:asciiTheme="majorHAnsi" w:eastAsia="Times New Roman" w:hAnsiTheme="majorHAnsi"/>
        </w:rPr>
        <w:t>grade</w:t>
      </w:r>
      <w:r w:rsidR="00FA3948" w:rsidRPr="0069649A">
        <w:rPr>
          <w:rFonts w:asciiTheme="majorHAnsi" w:eastAsia="Times New Roman" w:hAnsiTheme="majorHAnsi"/>
        </w:rPr>
        <w:t xml:space="preserve"> of frailty, a history of </w:t>
      </w:r>
      <w:r w:rsidR="00FA3948" w:rsidRPr="0069649A">
        <w:rPr>
          <w:rFonts w:asciiTheme="majorHAnsi" w:hAnsiTheme="majorHAnsi"/>
        </w:rPr>
        <w:t xml:space="preserve">dementia </w:t>
      </w:r>
      <w:r w:rsidR="00837CB0" w:rsidRPr="0069649A">
        <w:rPr>
          <w:rFonts w:asciiTheme="majorHAnsi" w:hAnsiTheme="majorHAnsi"/>
        </w:rPr>
        <w:t>or</w:t>
      </w:r>
      <w:r w:rsidR="00FA3948" w:rsidRPr="0069649A">
        <w:rPr>
          <w:rFonts w:asciiTheme="majorHAnsi" w:hAnsiTheme="majorHAnsi"/>
        </w:rPr>
        <w:t xml:space="preserve"> chronic kidney disease, a</w:t>
      </w:r>
      <w:r w:rsidR="00837CB0" w:rsidRPr="0069649A">
        <w:rPr>
          <w:rFonts w:asciiTheme="majorHAnsi" w:hAnsiTheme="majorHAnsi"/>
        </w:rPr>
        <w:t xml:space="preserve">s well as those </w:t>
      </w:r>
      <w:r w:rsidR="00FA3948" w:rsidRPr="0069649A">
        <w:rPr>
          <w:rFonts w:asciiTheme="majorHAnsi" w:eastAsia="Times New Roman" w:hAnsiTheme="majorHAnsi"/>
        </w:rPr>
        <w:t xml:space="preserve">diagnosed with respiratory failure, acute kidney injury </w:t>
      </w:r>
      <w:r w:rsidR="00837CB0" w:rsidRPr="0069649A">
        <w:rPr>
          <w:rFonts w:asciiTheme="majorHAnsi" w:eastAsia="Times New Roman" w:hAnsiTheme="majorHAnsi"/>
        </w:rPr>
        <w:t xml:space="preserve">or </w:t>
      </w:r>
      <w:r w:rsidR="00FA3948" w:rsidRPr="0069649A">
        <w:rPr>
          <w:rFonts w:asciiTheme="majorHAnsi" w:eastAsia="Times New Roman" w:hAnsiTheme="majorHAnsi"/>
        </w:rPr>
        <w:t>hypernatremia.</w:t>
      </w:r>
      <w:r w:rsidR="00DE723E" w:rsidRPr="0069649A">
        <w:rPr>
          <w:rFonts w:asciiTheme="majorHAnsi" w:hAnsiTheme="majorHAnsi"/>
          <w:szCs w:val="22"/>
        </w:rPr>
        <w:t xml:space="preserve"> </w:t>
      </w:r>
      <w:r w:rsidR="001D3742" w:rsidRPr="0069649A">
        <w:rPr>
          <w:rFonts w:asciiTheme="majorHAnsi" w:hAnsiTheme="majorHAnsi"/>
          <w:szCs w:val="22"/>
        </w:rPr>
        <w:t>I</w:t>
      </w:r>
      <w:r w:rsidR="00DE723E" w:rsidRPr="0069649A">
        <w:rPr>
          <w:rFonts w:asciiTheme="majorHAnsi" w:hAnsiTheme="majorHAnsi"/>
          <w:szCs w:val="22"/>
        </w:rPr>
        <w:t xml:space="preserve">ndependent predictors of mortality were male sex, age &gt;80 years, respiratory failure and </w:t>
      </w:r>
      <w:r w:rsidR="00DF062D" w:rsidRPr="0069649A">
        <w:rPr>
          <w:rFonts w:asciiTheme="majorHAnsi" w:hAnsiTheme="majorHAnsi"/>
          <w:szCs w:val="22"/>
        </w:rPr>
        <w:t>hypernatremia</w:t>
      </w:r>
      <w:r w:rsidR="00DE723E" w:rsidRPr="0069649A">
        <w:rPr>
          <w:rFonts w:asciiTheme="majorHAnsi" w:hAnsiTheme="majorHAnsi"/>
          <w:szCs w:val="22"/>
        </w:rPr>
        <w:t>.</w:t>
      </w:r>
    </w:p>
    <w:p w14:paraId="3CADDA66" w14:textId="6FBBE06A" w:rsidR="00B50662" w:rsidRPr="0069649A" w:rsidRDefault="00FA3948" w:rsidP="008B29FC">
      <w:pPr>
        <w:tabs>
          <w:tab w:val="left" w:pos="5760"/>
        </w:tabs>
        <w:spacing w:line="480" w:lineRule="auto"/>
        <w:jc w:val="both"/>
        <w:rPr>
          <w:rFonts w:asciiTheme="majorHAnsi" w:hAnsiTheme="majorHAnsi"/>
        </w:rPr>
      </w:pPr>
      <w:r w:rsidRPr="0069649A">
        <w:rPr>
          <w:rFonts w:asciiTheme="majorHAnsi" w:hAnsiTheme="majorHAnsi"/>
          <w:b/>
        </w:rPr>
        <w:t>Conclusion</w:t>
      </w:r>
      <w:r w:rsidRPr="0069649A">
        <w:rPr>
          <w:rFonts w:ascii="Arial" w:eastAsia="Times New Roman" w:hAnsi="Arial" w:cs="Arial"/>
          <w:sz w:val="21"/>
          <w:szCs w:val="21"/>
          <w:shd w:val="clear" w:color="auto" w:fill="FFFFFF"/>
        </w:rPr>
        <w:t>:</w:t>
      </w:r>
      <w:r w:rsidR="00DB5181" w:rsidRPr="0069649A">
        <w:rPr>
          <w:rFonts w:ascii="Arial" w:eastAsia="Times New Roman" w:hAnsi="Arial" w:cs="Arial"/>
          <w:sz w:val="21"/>
          <w:szCs w:val="21"/>
          <w:shd w:val="clear" w:color="auto" w:fill="FFFFFF"/>
        </w:rPr>
        <w:t xml:space="preserve"> </w:t>
      </w:r>
      <w:r w:rsidR="005E758F" w:rsidRPr="0069649A">
        <w:rPr>
          <w:rFonts w:asciiTheme="majorHAnsi" w:hAnsiTheme="majorHAnsi"/>
        </w:rPr>
        <w:t xml:space="preserve">We have described a cohort </w:t>
      </w:r>
      <w:r w:rsidR="007C7C8F" w:rsidRPr="0069649A">
        <w:rPr>
          <w:rFonts w:asciiTheme="majorHAnsi" w:hAnsiTheme="majorHAnsi"/>
        </w:rPr>
        <w:t>of patients</w:t>
      </w:r>
      <w:r w:rsidR="005E758F" w:rsidRPr="0069649A">
        <w:rPr>
          <w:rFonts w:asciiTheme="majorHAnsi" w:hAnsiTheme="majorHAnsi"/>
        </w:rPr>
        <w:t xml:space="preserve"> with </w:t>
      </w:r>
      <w:r w:rsidR="007A3639" w:rsidRPr="0069649A">
        <w:rPr>
          <w:rFonts w:ascii="Calibri" w:hAnsi="Calibri" w:cs="Arial"/>
          <w:shd w:val="clear" w:color="auto" w:fill="FFFFFF"/>
        </w:rPr>
        <w:t>SARS-CoV-2</w:t>
      </w:r>
      <w:r w:rsidR="005E758F" w:rsidRPr="0069649A">
        <w:rPr>
          <w:rFonts w:asciiTheme="majorHAnsi" w:hAnsiTheme="majorHAnsi"/>
        </w:rPr>
        <w:t xml:space="preserve"> </w:t>
      </w:r>
      <w:r w:rsidR="00347E95" w:rsidRPr="0069649A">
        <w:rPr>
          <w:rFonts w:asciiTheme="majorHAnsi" w:hAnsiTheme="majorHAnsi"/>
        </w:rPr>
        <w:t>infection in</w:t>
      </w:r>
      <w:r w:rsidR="005E758F" w:rsidRPr="0069649A">
        <w:rPr>
          <w:rFonts w:asciiTheme="majorHAnsi" w:hAnsiTheme="majorHAnsi"/>
        </w:rPr>
        <w:t xml:space="preserve"> the first UK peak of the global pandemic.</w:t>
      </w:r>
      <w:r w:rsidR="00F25A28" w:rsidRPr="0069649A">
        <w:rPr>
          <w:rFonts w:asciiTheme="majorHAnsi" w:hAnsiTheme="majorHAnsi"/>
        </w:rPr>
        <w:t xml:space="preserve"> We found t</w:t>
      </w:r>
      <w:r w:rsidR="005E758F" w:rsidRPr="0069649A">
        <w:rPr>
          <w:rFonts w:asciiTheme="majorHAnsi" w:hAnsiTheme="majorHAnsi"/>
        </w:rPr>
        <w:t xml:space="preserve">hese patients </w:t>
      </w:r>
      <w:r w:rsidR="00F25A28" w:rsidRPr="0069649A">
        <w:rPr>
          <w:rFonts w:asciiTheme="majorHAnsi" w:hAnsiTheme="majorHAnsi"/>
        </w:rPr>
        <w:t xml:space="preserve">had significant </w:t>
      </w:r>
      <w:r w:rsidR="005E758F" w:rsidRPr="0069649A">
        <w:rPr>
          <w:rFonts w:asciiTheme="majorHAnsi" w:hAnsiTheme="majorHAnsi"/>
        </w:rPr>
        <w:t xml:space="preserve">frailty </w:t>
      </w:r>
      <w:r w:rsidR="00F25A28" w:rsidRPr="0069649A">
        <w:rPr>
          <w:rFonts w:asciiTheme="majorHAnsi" w:hAnsiTheme="majorHAnsi"/>
        </w:rPr>
        <w:t>with multiple</w:t>
      </w:r>
      <w:r w:rsidR="005E758F" w:rsidRPr="0069649A">
        <w:rPr>
          <w:rFonts w:asciiTheme="majorHAnsi" w:hAnsiTheme="majorHAnsi"/>
        </w:rPr>
        <w:t xml:space="preserve"> comorbidities</w:t>
      </w:r>
      <w:r w:rsidR="00F25A28" w:rsidRPr="0069649A">
        <w:rPr>
          <w:rFonts w:asciiTheme="majorHAnsi" w:hAnsiTheme="majorHAnsi"/>
        </w:rPr>
        <w:t xml:space="preserve">. There was a </w:t>
      </w:r>
      <w:r w:rsidR="005E758F" w:rsidRPr="0069649A">
        <w:rPr>
          <w:rFonts w:asciiTheme="majorHAnsi" w:hAnsiTheme="majorHAnsi"/>
        </w:rPr>
        <w:t>high mortality and increas</w:t>
      </w:r>
      <w:r w:rsidR="006D2E61" w:rsidRPr="0069649A">
        <w:rPr>
          <w:rFonts w:asciiTheme="majorHAnsi" w:hAnsiTheme="majorHAnsi"/>
        </w:rPr>
        <w:t>ed</w:t>
      </w:r>
      <w:r w:rsidR="00FD59BC" w:rsidRPr="0069649A">
        <w:rPr>
          <w:rFonts w:asciiTheme="majorHAnsi" w:hAnsiTheme="majorHAnsi"/>
        </w:rPr>
        <w:t xml:space="preserve"> </w:t>
      </w:r>
      <w:r w:rsidR="008B29FC" w:rsidRPr="0069649A">
        <w:rPr>
          <w:rFonts w:asciiTheme="majorHAnsi" w:hAnsiTheme="majorHAnsi"/>
        </w:rPr>
        <w:t>dependency and</w:t>
      </w:r>
      <w:r w:rsidR="00F73317" w:rsidRPr="0069649A">
        <w:rPr>
          <w:rFonts w:asciiTheme="majorHAnsi" w:hAnsiTheme="majorHAnsi"/>
        </w:rPr>
        <w:t xml:space="preserve"> greater social care need </w:t>
      </w:r>
      <w:r w:rsidR="006D2E61" w:rsidRPr="0069649A">
        <w:rPr>
          <w:rFonts w:asciiTheme="majorHAnsi" w:hAnsiTheme="majorHAnsi"/>
        </w:rPr>
        <w:t>in survivors</w:t>
      </w:r>
      <w:r w:rsidR="005E758F" w:rsidRPr="0069649A">
        <w:rPr>
          <w:rFonts w:asciiTheme="majorHAnsi" w:hAnsiTheme="majorHAnsi"/>
        </w:rPr>
        <w:t xml:space="preserve">. </w:t>
      </w:r>
    </w:p>
    <w:p w14:paraId="28F2F1C8" w14:textId="4C037894" w:rsidR="00162FE4" w:rsidRPr="0069649A" w:rsidRDefault="00323776" w:rsidP="008B29FC">
      <w:pPr>
        <w:tabs>
          <w:tab w:val="left" w:pos="5760"/>
        </w:tabs>
        <w:spacing w:line="480" w:lineRule="auto"/>
        <w:jc w:val="both"/>
        <w:rPr>
          <w:rFonts w:asciiTheme="majorHAnsi" w:hAnsiTheme="majorHAnsi"/>
        </w:rPr>
      </w:pPr>
      <w:r w:rsidRPr="0069649A">
        <w:rPr>
          <w:rFonts w:asciiTheme="majorHAnsi" w:hAnsiTheme="majorHAnsi"/>
          <w:b/>
        </w:rPr>
        <w:t>Key words:</w:t>
      </w:r>
      <w:r w:rsidRPr="0069649A">
        <w:rPr>
          <w:rFonts w:asciiTheme="majorHAnsi" w:hAnsiTheme="majorHAnsi"/>
        </w:rPr>
        <w:t xml:space="preserve">  Covid-19, frailty, </w:t>
      </w:r>
      <w:r w:rsidR="00372875" w:rsidRPr="0069649A">
        <w:rPr>
          <w:rFonts w:ascii="Calibri" w:hAnsi="Calibri" w:cs="Arial"/>
          <w:shd w:val="clear" w:color="auto" w:fill="FFFFFF"/>
        </w:rPr>
        <w:t>SARS-CoV-2, co</w:t>
      </w:r>
      <w:r w:rsidRPr="0069649A">
        <w:rPr>
          <w:rFonts w:asciiTheme="majorHAnsi" w:hAnsiTheme="majorHAnsi"/>
        </w:rPr>
        <w:t>ronavirus pandemic</w:t>
      </w:r>
    </w:p>
    <w:p w14:paraId="108267E8" w14:textId="3677F837" w:rsidR="00372875" w:rsidRPr="0069649A" w:rsidRDefault="00372875" w:rsidP="00372875">
      <w:pPr>
        <w:spacing w:line="480" w:lineRule="auto"/>
        <w:jc w:val="both"/>
        <w:rPr>
          <w:rFonts w:asciiTheme="majorHAnsi" w:hAnsiTheme="majorHAnsi"/>
          <w:b/>
        </w:rPr>
      </w:pPr>
      <w:r w:rsidRPr="0069649A">
        <w:rPr>
          <w:rFonts w:asciiTheme="majorHAnsi" w:hAnsiTheme="majorHAnsi"/>
          <w:b/>
        </w:rPr>
        <w:t>Declarations</w:t>
      </w:r>
    </w:p>
    <w:p w14:paraId="4C75437B" w14:textId="6FAAADA7" w:rsidR="00372875" w:rsidRPr="0069649A" w:rsidRDefault="00372875" w:rsidP="00372875">
      <w:pPr>
        <w:spacing w:line="480" w:lineRule="auto"/>
        <w:jc w:val="both"/>
        <w:rPr>
          <w:rFonts w:asciiTheme="majorHAnsi" w:hAnsiTheme="majorHAnsi"/>
        </w:rPr>
      </w:pPr>
      <w:r w:rsidRPr="0069649A">
        <w:rPr>
          <w:rFonts w:asciiTheme="majorHAnsi" w:hAnsiTheme="majorHAnsi"/>
        </w:rPr>
        <w:t>Funding : None</w:t>
      </w:r>
    </w:p>
    <w:p w14:paraId="3040FA2A" w14:textId="4CFD41AB" w:rsidR="00372875" w:rsidRPr="0069649A" w:rsidRDefault="00372875" w:rsidP="00372875">
      <w:pPr>
        <w:spacing w:line="480" w:lineRule="auto"/>
        <w:jc w:val="both"/>
        <w:rPr>
          <w:rFonts w:asciiTheme="majorHAnsi" w:hAnsiTheme="majorHAnsi"/>
        </w:rPr>
      </w:pPr>
      <w:r w:rsidRPr="0069649A">
        <w:rPr>
          <w:rFonts w:asciiTheme="majorHAnsi" w:hAnsiTheme="majorHAnsi"/>
        </w:rPr>
        <w:t>Conflicts of interest/Competing interests: the authors declare no conflicts of interest</w:t>
      </w:r>
    </w:p>
    <w:p w14:paraId="29D44EDC" w14:textId="72872E4C" w:rsidR="00372875" w:rsidRPr="0069649A" w:rsidRDefault="00372875" w:rsidP="00372875">
      <w:pPr>
        <w:spacing w:line="480" w:lineRule="auto"/>
        <w:jc w:val="both"/>
        <w:rPr>
          <w:rFonts w:asciiTheme="majorHAnsi" w:hAnsiTheme="majorHAnsi"/>
        </w:rPr>
      </w:pPr>
      <w:r w:rsidRPr="0069649A">
        <w:rPr>
          <w:rFonts w:asciiTheme="majorHAnsi" w:hAnsiTheme="majorHAnsi"/>
        </w:rPr>
        <w:t>Availability of data and material: data are available upon request to the principal investigator and corresponding author</w:t>
      </w:r>
    </w:p>
    <w:p w14:paraId="0C9E123A" w14:textId="1CCA72A0" w:rsidR="00372875" w:rsidRPr="0069649A" w:rsidRDefault="00372875" w:rsidP="00372875">
      <w:pPr>
        <w:spacing w:line="480" w:lineRule="auto"/>
        <w:jc w:val="both"/>
        <w:rPr>
          <w:rFonts w:asciiTheme="majorHAnsi" w:hAnsiTheme="majorHAnsi"/>
        </w:rPr>
      </w:pPr>
      <w:r w:rsidRPr="0069649A">
        <w:rPr>
          <w:rFonts w:asciiTheme="majorHAnsi" w:hAnsiTheme="majorHAnsi"/>
        </w:rPr>
        <w:t>Code availability (software application or custom code): NA</w:t>
      </w:r>
    </w:p>
    <w:p w14:paraId="14C9F34E" w14:textId="14FDD1DA" w:rsidR="00372875" w:rsidRPr="0069649A" w:rsidRDefault="00372875" w:rsidP="00372875">
      <w:pPr>
        <w:spacing w:line="480" w:lineRule="auto"/>
        <w:jc w:val="both"/>
        <w:rPr>
          <w:rFonts w:asciiTheme="majorHAnsi" w:hAnsiTheme="majorHAnsi"/>
        </w:rPr>
      </w:pPr>
      <w:r w:rsidRPr="0069649A">
        <w:rPr>
          <w:rFonts w:asciiTheme="majorHAnsi" w:hAnsiTheme="majorHAnsi"/>
        </w:rPr>
        <w:t>Authors' contributions (optional: please review the submission guidelines from the journal whether statements are mandatory)</w:t>
      </w:r>
    </w:p>
    <w:p w14:paraId="4BAAA879" w14:textId="3DE663BA" w:rsidR="00372875" w:rsidRPr="0069649A" w:rsidRDefault="00372875" w:rsidP="00372875">
      <w:pPr>
        <w:spacing w:line="480" w:lineRule="auto"/>
        <w:jc w:val="both"/>
        <w:rPr>
          <w:rFonts w:asciiTheme="majorHAnsi" w:hAnsiTheme="majorHAnsi"/>
        </w:rPr>
      </w:pPr>
      <w:r w:rsidRPr="0069649A">
        <w:rPr>
          <w:rFonts w:asciiTheme="majorHAnsi" w:hAnsiTheme="majorHAnsi"/>
        </w:rPr>
        <w:t xml:space="preserve">Ethics approval (include appropriate approvals or waivers): </w:t>
      </w:r>
      <w:r w:rsidR="00FC6060" w:rsidRPr="0069649A">
        <w:rPr>
          <w:rFonts w:asciiTheme="majorHAnsi" w:hAnsiTheme="majorHAnsi"/>
        </w:rPr>
        <w:t xml:space="preserve"> this is a sub analysis of the ETHICAL Study which was reviewed by the Yorkshire &amp; The Humber – Bradford Leeds Research Ethics Committee and approved as anonymized analysis of routinely collected patient data without the need for consent by NHS England Health Research Authority (IRAS Project ID 283512).</w:t>
      </w:r>
    </w:p>
    <w:p w14:paraId="4E2D3559" w14:textId="37C5CD67" w:rsidR="00372875" w:rsidRPr="0069649A" w:rsidRDefault="00FC6060" w:rsidP="00372875">
      <w:pPr>
        <w:spacing w:line="480" w:lineRule="auto"/>
        <w:jc w:val="both"/>
        <w:rPr>
          <w:rFonts w:asciiTheme="majorHAnsi" w:hAnsiTheme="majorHAnsi"/>
        </w:rPr>
      </w:pPr>
      <w:r w:rsidRPr="0069649A">
        <w:rPr>
          <w:rFonts w:asciiTheme="majorHAnsi" w:hAnsiTheme="majorHAnsi"/>
        </w:rPr>
        <w:t>Consent to participate: see above.</w:t>
      </w:r>
    </w:p>
    <w:p w14:paraId="65CF696E" w14:textId="76D523B9" w:rsidR="00323776" w:rsidRPr="0069649A" w:rsidRDefault="00372875" w:rsidP="00FC6060">
      <w:pPr>
        <w:spacing w:line="480" w:lineRule="auto"/>
        <w:jc w:val="both"/>
        <w:rPr>
          <w:rFonts w:asciiTheme="majorHAnsi" w:hAnsiTheme="majorHAnsi"/>
        </w:rPr>
      </w:pPr>
      <w:r w:rsidRPr="0069649A">
        <w:rPr>
          <w:rFonts w:asciiTheme="majorHAnsi" w:hAnsiTheme="majorHAnsi"/>
        </w:rPr>
        <w:t xml:space="preserve">Consent for </w:t>
      </w:r>
      <w:r w:rsidR="00FC6060" w:rsidRPr="0069649A">
        <w:rPr>
          <w:rFonts w:asciiTheme="majorHAnsi" w:hAnsiTheme="majorHAnsi"/>
        </w:rPr>
        <w:t>publication: see `above.</w:t>
      </w:r>
    </w:p>
    <w:p w14:paraId="1F5B111A" w14:textId="416D7264" w:rsidR="00162FE4" w:rsidRPr="0069649A" w:rsidRDefault="00162FE4" w:rsidP="00162FE4">
      <w:pPr>
        <w:tabs>
          <w:tab w:val="left" w:pos="5760"/>
        </w:tabs>
        <w:spacing w:line="480" w:lineRule="auto"/>
        <w:jc w:val="both"/>
        <w:rPr>
          <w:rFonts w:asciiTheme="majorHAnsi" w:hAnsiTheme="majorHAnsi"/>
          <w:b/>
        </w:rPr>
      </w:pPr>
      <w:r w:rsidRPr="0069649A">
        <w:rPr>
          <w:rFonts w:asciiTheme="majorHAnsi" w:hAnsiTheme="majorHAnsi"/>
          <w:b/>
        </w:rPr>
        <w:t>Key summary points</w:t>
      </w:r>
    </w:p>
    <w:p w14:paraId="654E704D" w14:textId="0C2A35FB" w:rsidR="00162FE4" w:rsidRPr="0069649A" w:rsidRDefault="00162FE4" w:rsidP="00162FE4">
      <w:pPr>
        <w:tabs>
          <w:tab w:val="left" w:pos="5760"/>
        </w:tabs>
        <w:spacing w:line="480" w:lineRule="auto"/>
        <w:jc w:val="both"/>
        <w:rPr>
          <w:rFonts w:ascii="Calibri" w:hAnsi="Calibri"/>
        </w:rPr>
      </w:pPr>
      <w:r w:rsidRPr="0069649A">
        <w:rPr>
          <w:rFonts w:ascii="Calibri" w:hAnsi="Calibri"/>
        </w:rPr>
        <w:t xml:space="preserve">Aim: What are the clinical features of Covid19 disease in </w:t>
      </w:r>
      <w:r w:rsidR="0069649A" w:rsidRPr="0069649A">
        <w:rPr>
          <w:rFonts w:ascii="Calibri" w:hAnsi="Calibri"/>
        </w:rPr>
        <w:t xml:space="preserve">older </w:t>
      </w:r>
      <w:r w:rsidRPr="0069649A">
        <w:rPr>
          <w:rFonts w:ascii="Calibri" w:hAnsi="Calibri"/>
        </w:rPr>
        <w:t>patient</w:t>
      </w:r>
      <w:r w:rsidR="00372875" w:rsidRPr="0069649A">
        <w:rPr>
          <w:rFonts w:ascii="Calibri" w:hAnsi="Calibri"/>
        </w:rPr>
        <w:t>s from a socially deprived area?</w:t>
      </w:r>
    </w:p>
    <w:p w14:paraId="3FBD75A8" w14:textId="200F1475" w:rsidR="00162FE4" w:rsidRPr="0069649A" w:rsidRDefault="00162FE4" w:rsidP="00162FE4">
      <w:pPr>
        <w:tabs>
          <w:tab w:val="left" w:pos="5760"/>
        </w:tabs>
        <w:spacing w:line="480" w:lineRule="auto"/>
        <w:jc w:val="both"/>
        <w:rPr>
          <w:rFonts w:ascii="Calibri" w:hAnsi="Calibri"/>
        </w:rPr>
      </w:pPr>
      <w:r w:rsidRPr="0069649A">
        <w:rPr>
          <w:rFonts w:ascii="Calibri" w:hAnsi="Calibri"/>
        </w:rPr>
        <w:t>Findings:</w:t>
      </w:r>
      <w:r w:rsidR="00372875" w:rsidRPr="0069649A">
        <w:rPr>
          <w:rFonts w:ascii="Calibri" w:hAnsi="Calibri"/>
        </w:rPr>
        <w:t xml:space="preserve"> </w:t>
      </w:r>
      <w:r w:rsidR="00CA668F" w:rsidRPr="0069649A">
        <w:rPr>
          <w:rFonts w:ascii="Calibri" w:hAnsi="Calibri"/>
        </w:rPr>
        <w:t xml:space="preserve">About half of </w:t>
      </w:r>
      <w:r w:rsidRPr="0069649A">
        <w:rPr>
          <w:rFonts w:ascii="Calibri" w:hAnsi="Calibri"/>
        </w:rPr>
        <w:t xml:space="preserve">patients had atypical presentation. Mortality rate was </w:t>
      </w:r>
      <w:r w:rsidR="000C0CDB" w:rsidRPr="0069649A">
        <w:rPr>
          <w:rFonts w:ascii="Calibri" w:hAnsi="Calibri"/>
        </w:rPr>
        <w:t xml:space="preserve">30 % </w:t>
      </w:r>
      <w:r w:rsidR="00CA668F" w:rsidRPr="0069649A">
        <w:rPr>
          <w:rFonts w:ascii="Calibri" w:hAnsi="Calibri"/>
        </w:rPr>
        <w:br/>
      </w:r>
      <w:r w:rsidR="00323776" w:rsidRPr="0069649A">
        <w:rPr>
          <w:rFonts w:ascii="Calibri" w:hAnsi="Calibri"/>
        </w:rPr>
        <w:t>P</w:t>
      </w:r>
      <w:r w:rsidR="00CA668F" w:rsidRPr="0069649A">
        <w:rPr>
          <w:rFonts w:ascii="Calibri" w:hAnsi="Calibri"/>
        </w:rPr>
        <w:t>atients who survived had higher dependency and required increased social support.</w:t>
      </w:r>
    </w:p>
    <w:p w14:paraId="03FB3ED7" w14:textId="02DB510C" w:rsidR="0099487E" w:rsidRPr="0069649A" w:rsidRDefault="00162FE4" w:rsidP="0069649A">
      <w:pPr>
        <w:spacing w:line="480" w:lineRule="auto"/>
        <w:jc w:val="both"/>
        <w:rPr>
          <w:rFonts w:ascii="Calibri" w:eastAsia="Times New Roman" w:hAnsi="Calibri" w:cs="Calibri"/>
        </w:rPr>
      </w:pPr>
      <w:r w:rsidRPr="0069649A">
        <w:rPr>
          <w:rFonts w:ascii="Calibri" w:hAnsi="Calibri"/>
        </w:rPr>
        <w:t>Message:</w:t>
      </w:r>
      <w:r w:rsidR="00CA668F" w:rsidRPr="0069649A">
        <w:rPr>
          <w:rFonts w:ascii="Calibri" w:hAnsi="Calibri"/>
        </w:rPr>
        <w:t xml:space="preserve"> </w:t>
      </w:r>
      <w:r w:rsidR="0099487E" w:rsidRPr="0069649A">
        <w:rPr>
          <w:rFonts w:ascii="Calibri" w:eastAsia="Times New Roman" w:hAnsi="Calibri" w:cs="Calibri"/>
          <w:shd w:val="clear" w:color="auto" w:fill="FFFFFF"/>
        </w:rPr>
        <w:t xml:space="preserve">Covid-19 disease in older patients presents specific challenges for providing </w:t>
      </w:r>
      <w:r w:rsidR="007E7570">
        <w:rPr>
          <w:rFonts w:ascii="Calibri" w:eastAsia="Times New Roman" w:hAnsi="Calibri" w:cs="Calibri"/>
          <w:shd w:val="clear" w:color="auto" w:fill="FFFFFF"/>
        </w:rPr>
        <w:t>c</w:t>
      </w:r>
      <w:r w:rsidR="0099487E" w:rsidRPr="0069649A">
        <w:rPr>
          <w:rFonts w:ascii="Calibri" w:eastAsia="Times New Roman" w:hAnsi="Calibri" w:cs="Calibri"/>
          <w:shd w:val="clear" w:color="auto" w:fill="FFFFFF"/>
        </w:rPr>
        <w:t>are</w:t>
      </w:r>
      <w:r w:rsidR="007E7570">
        <w:rPr>
          <w:rFonts w:ascii="Calibri" w:eastAsia="Times New Roman" w:hAnsi="Calibri" w:cs="Calibri"/>
          <w:shd w:val="clear" w:color="auto" w:fill="FFFFFF"/>
        </w:rPr>
        <w:t>,</w:t>
      </w:r>
      <w:r w:rsidR="0099487E" w:rsidRPr="0069649A">
        <w:rPr>
          <w:rFonts w:ascii="Calibri" w:eastAsia="Times New Roman" w:hAnsi="Calibri" w:cs="Calibri"/>
          <w:shd w:val="clear" w:color="auto" w:fill="FFFFFF"/>
        </w:rPr>
        <w:t xml:space="preserve"> both in hospital and on discharge.</w:t>
      </w:r>
    </w:p>
    <w:p w14:paraId="742509D8" w14:textId="77777777" w:rsidR="00B50662" w:rsidRPr="0069649A" w:rsidRDefault="00B50662" w:rsidP="0069649A">
      <w:pPr>
        <w:spacing w:line="480" w:lineRule="auto"/>
        <w:jc w:val="both"/>
        <w:rPr>
          <w:rFonts w:ascii="Calibri" w:hAnsi="Calibri"/>
        </w:rPr>
      </w:pPr>
      <w:r w:rsidRPr="0069649A">
        <w:rPr>
          <w:rFonts w:ascii="Calibri" w:hAnsi="Calibri"/>
        </w:rPr>
        <w:br w:type="page"/>
      </w:r>
    </w:p>
    <w:p w14:paraId="67D10D88" w14:textId="77777777" w:rsidR="00F13CFA" w:rsidRPr="0069649A" w:rsidRDefault="00F13CFA" w:rsidP="00B055E6">
      <w:pPr>
        <w:spacing w:line="480" w:lineRule="auto"/>
        <w:jc w:val="both"/>
        <w:rPr>
          <w:rFonts w:asciiTheme="majorHAnsi" w:hAnsiTheme="majorHAnsi"/>
          <w:b/>
        </w:rPr>
      </w:pPr>
    </w:p>
    <w:p w14:paraId="6FD3E5FA" w14:textId="77777777" w:rsidR="005B4A22" w:rsidRPr="0069649A" w:rsidRDefault="005B4A22" w:rsidP="001E0342">
      <w:pPr>
        <w:spacing w:line="480" w:lineRule="auto"/>
        <w:jc w:val="both"/>
        <w:rPr>
          <w:rFonts w:asciiTheme="majorHAnsi" w:hAnsiTheme="majorHAnsi"/>
          <w:b/>
        </w:rPr>
      </w:pPr>
      <w:r w:rsidRPr="0069649A">
        <w:rPr>
          <w:rFonts w:asciiTheme="majorHAnsi" w:hAnsiTheme="majorHAnsi"/>
          <w:b/>
        </w:rPr>
        <w:t>Introduction</w:t>
      </w:r>
    </w:p>
    <w:p w14:paraId="2FA4C9AE" w14:textId="5E1F587B" w:rsidR="00D6671A" w:rsidRPr="0069649A" w:rsidRDefault="00065621" w:rsidP="00434E20">
      <w:pPr>
        <w:tabs>
          <w:tab w:val="left" w:pos="2694"/>
        </w:tabs>
        <w:spacing w:line="480" w:lineRule="auto"/>
        <w:jc w:val="both"/>
        <w:rPr>
          <w:rFonts w:asciiTheme="majorHAnsi" w:hAnsiTheme="majorHAnsi"/>
        </w:rPr>
      </w:pPr>
      <w:r w:rsidRPr="0069649A">
        <w:rPr>
          <w:rFonts w:asciiTheme="majorHAnsi" w:hAnsiTheme="majorHAnsi"/>
        </w:rPr>
        <w:t>COVID</w:t>
      </w:r>
      <w:r w:rsidR="005C7F22" w:rsidRPr="0069649A">
        <w:rPr>
          <w:rFonts w:asciiTheme="majorHAnsi" w:hAnsiTheme="majorHAnsi"/>
        </w:rPr>
        <w:t>-</w:t>
      </w:r>
      <w:r w:rsidRPr="0069649A">
        <w:rPr>
          <w:rFonts w:asciiTheme="majorHAnsi" w:hAnsiTheme="majorHAnsi"/>
        </w:rPr>
        <w:t>19 is a heterogeneous diseas</w:t>
      </w:r>
      <w:r w:rsidR="00225F5B" w:rsidRPr="0069649A">
        <w:rPr>
          <w:rFonts w:asciiTheme="majorHAnsi" w:hAnsiTheme="majorHAnsi"/>
        </w:rPr>
        <w:t xml:space="preserve">e.  </w:t>
      </w:r>
      <w:r w:rsidR="00181037" w:rsidRPr="0069649A">
        <w:rPr>
          <w:rFonts w:asciiTheme="majorHAnsi" w:hAnsiTheme="majorHAnsi"/>
        </w:rPr>
        <w:t>T</w:t>
      </w:r>
      <w:r w:rsidR="00D46B39" w:rsidRPr="0069649A">
        <w:rPr>
          <w:rFonts w:asciiTheme="majorHAnsi" w:hAnsiTheme="majorHAnsi"/>
        </w:rPr>
        <w:t>ypical symptoms are cough, pyrexia, and dyspnoea, however</w:t>
      </w:r>
      <w:r w:rsidRPr="0069649A">
        <w:rPr>
          <w:rFonts w:asciiTheme="majorHAnsi" w:hAnsiTheme="majorHAnsi"/>
        </w:rPr>
        <w:t xml:space="preserve"> </w:t>
      </w:r>
      <w:r w:rsidR="00D46B39" w:rsidRPr="0069649A">
        <w:rPr>
          <w:rFonts w:asciiTheme="majorHAnsi" w:hAnsiTheme="majorHAnsi"/>
        </w:rPr>
        <w:t xml:space="preserve">clinical manifestations can </w:t>
      </w:r>
      <w:r w:rsidRPr="0069649A">
        <w:rPr>
          <w:rFonts w:asciiTheme="majorHAnsi" w:hAnsiTheme="majorHAnsi"/>
        </w:rPr>
        <w:t xml:space="preserve">vary widely, from asymptomatic disease to pneumonia and life-threatening complications. In </w:t>
      </w:r>
      <w:r w:rsidR="007A3639" w:rsidRPr="0069649A">
        <w:rPr>
          <w:rFonts w:asciiTheme="majorHAnsi" w:hAnsiTheme="majorHAnsi"/>
        </w:rPr>
        <w:t>older people</w:t>
      </w:r>
      <w:r w:rsidR="00434E20" w:rsidRPr="0069649A">
        <w:rPr>
          <w:rFonts w:asciiTheme="majorHAnsi" w:hAnsiTheme="majorHAnsi"/>
        </w:rPr>
        <w:t>,</w:t>
      </w:r>
      <w:r w:rsidR="00181037" w:rsidRPr="0069649A">
        <w:rPr>
          <w:rFonts w:asciiTheme="majorHAnsi" w:hAnsiTheme="majorHAnsi"/>
        </w:rPr>
        <w:t xml:space="preserve"> clinical</w:t>
      </w:r>
      <w:r w:rsidRPr="0069649A">
        <w:rPr>
          <w:rFonts w:asciiTheme="majorHAnsi" w:hAnsiTheme="majorHAnsi"/>
        </w:rPr>
        <w:t xml:space="preserve"> </w:t>
      </w:r>
      <w:r w:rsidR="00181037" w:rsidRPr="0069649A">
        <w:rPr>
          <w:rFonts w:asciiTheme="majorHAnsi" w:hAnsiTheme="majorHAnsi"/>
        </w:rPr>
        <w:t>presentation</w:t>
      </w:r>
      <w:r w:rsidRPr="0069649A">
        <w:rPr>
          <w:rFonts w:asciiTheme="majorHAnsi" w:hAnsiTheme="majorHAnsi"/>
        </w:rPr>
        <w:t xml:space="preserve"> can be</w:t>
      </w:r>
      <w:r w:rsidR="00D6671A" w:rsidRPr="0069649A">
        <w:rPr>
          <w:rFonts w:asciiTheme="majorHAnsi" w:hAnsiTheme="majorHAnsi"/>
        </w:rPr>
        <w:t xml:space="preserve"> </w:t>
      </w:r>
      <w:r w:rsidRPr="0069649A">
        <w:rPr>
          <w:rFonts w:asciiTheme="majorHAnsi" w:hAnsiTheme="majorHAnsi"/>
        </w:rPr>
        <w:t xml:space="preserve">more </w:t>
      </w:r>
      <w:r w:rsidR="00183067" w:rsidRPr="0069649A">
        <w:rPr>
          <w:rFonts w:asciiTheme="majorHAnsi" w:hAnsiTheme="majorHAnsi"/>
        </w:rPr>
        <w:t>heterogeneous and subtle</w:t>
      </w:r>
      <w:r w:rsidR="00D46B39" w:rsidRPr="0069649A">
        <w:rPr>
          <w:rFonts w:asciiTheme="majorHAnsi" w:hAnsiTheme="majorHAnsi"/>
        </w:rPr>
        <w:t xml:space="preserve"> compared to younger patients, with </w:t>
      </w:r>
      <w:r w:rsidR="00CF6B03" w:rsidRPr="0069649A">
        <w:rPr>
          <w:rFonts w:asciiTheme="majorHAnsi" w:hAnsiTheme="majorHAnsi"/>
        </w:rPr>
        <w:t xml:space="preserve">delirium </w:t>
      </w:r>
      <w:r w:rsidR="005C7F22" w:rsidRPr="0069649A">
        <w:rPr>
          <w:rFonts w:asciiTheme="majorHAnsi" w:hAnsiTheme="majorHAnsi"/>
        </w:rPr>
        <w:t xml:space="preserve">on </w:t>
      </w:r>
      <w:r w:rsidR="00D46B39" w:rsidRPr="0069649A">
        <w:rPr>
          <w:rFonts w:asciiTheme="majorHAnsi" w:hAnsiTheme="majorHAnsi"/>
        </w:rPr>
        <w:t xml:space="preserve">presentation </w:t>
      </w:r>
      <w:r w:rsidR="00CF6B03" w:rsidRPr="0069649A">
        <w:rPr>
          <w:rFonts w:asciiTheme="majorHAnsi" w:hAnsiTheme="majorHAnsi"/>
        </w:rPr>
        <w:t>as common as 20-30%</w:t>
      </w:r>
      <w:r w:rsidR="00183067" w:rsidRPr="0069649A">
        <w:rPr>
          <w:rFonts w:asciiTheme="majorHAnsi" w:hAnsiTheme="majorHAnsi"/>
        </w:rPr>
        <w:t xml:space="preserve"> of cases</w:t>
      </w:r>
      <w:r w:rsidR="00372875" w:rsidRPr="0069649A">
        <w:rPr>
          <w:rFonts w:asciiTheme="majorHAnsi" w:hAnsiTheme="majorHAnsi"/>
        </w:rPr>
        <w:t xml:space="preserve"> </w:t>
      </w:r>
      <w:r w:rsidR="00E32A7D" w:rsidRPr="0069649A">
        <w:rPr>
          <w:rFonts w:asciiTheme="majorHAnsi" w:hAnsiTheme="majorHAnsi"/>
        </w:rPr>
        <w:fldChar w:fldCharType="begin" w:fldLock="1"/>
      </w:r>
      <w:r w:rsidR="00982414" w:rsidRPr="0069649A">
        <w:rPr>
          <w:rFonts w:asciiTheme="majorHAnsi" w:hAnsiTheme="majorHAnsi"/>
        </w:rPr>
        <w:instrText xml:space="preserve">ADDIN CSL_CITATION {"citationItems":[{"id":"ITEM-1","itemData":{"DOI":"10.1001/jamanetworkopen.2020.29540","ISSN":"25743805","PMID":"33211114","abstract":"Importance: Delirium is common among older emergency department (ED) patients, is associated with high morbidity and mortality, and frequently goes unrecognized. Anecdotal evidence has described atypical presentations of coronavirus disease 2019 (COVID-19) in older adults; however, the frequency of and outcomes associated with delirium in older ED patients with COVID-19 infection have not been well described. Objective: To determine how frequently older adults with COVID-19 present to the ED with delirium and their associated hospital outcomes. Design, Setting, and Participants: This multicenter cohort study was conducted at 7 sites in the US. Participants included consecutive older adults with COVID-19 presenting to the ED on or after March 13, 2020. Exposure: COVID-19 was diagnosed by positive nasal swab for severe acute respiratory syndrome coronavirus 2 (99% of cases) or classic radiological findings (1% of cases). Main Outcomes and Measures: The primary outcome was delirium as identified from the medical record according to a validated record review approach. Results: A total of 817 older patients with COVID-19 were included, of whom 386 (47%) were male, 493 (62%) were White, 215 (27%) were Black, and 54 (7%) were Hispanic or Latinx. The mean (SD) age of patients was 77.7 (8.2) years. Of included patients, 226 (28%) had delirium at presentation, and delirium was the sixth most common of all presenting symptoms and signs. Among the patients with delirium, 37 (16%) had delirium as a primary symptom and 84 (37%) had no typical COVID-19 symptoms or signs, such as fever or shortness of breath. Factors associated with delirium were age older than 75 years (adjusted relative risk [aRR], 1.51; 95% CI, 1.17-1.95), living in a nursing home or assisted living (aRR, 1.23; 95% CI, 0.98-1.55), prior use of psychoactive medication (aRR, 1.42; 95% CI, 1.11-1.81), vision impairment (aRR, 1.98; 95% CI, 1.54-2.54), hearing impairment (aRR, 1.10; 95% CI 0.78-1.55), stroke (aRR, 1.47; 95% CI, 1.15-1.88), and Parkinson disease (aRR, 1.88; 95% CI, 1.30-2.58). Delirium was associated with intensive care unit stay (aRR, 1.67; 95% CI, 1.30-2.15) and death (aRR, 1.24; 95% CI, 1.00-1.55). Conclusions and Relevance: In this cohort study of 817 older adults with COVID-19 presenting to US emergency departments, delirium was common and often was seen without other typical symptoms or signs. In addition, delirium was associated with poor hospital outcomes and death. These findings…","author":[{"dropping-particle":"","family":"Kennedy","given":"Maura","non-dropping-particle":"","parse-names":false,"suffix":""},{"dropping-particle":"","family":"Helfand","given":"Benjamin K.I.","non-dropping-particle":"","parse-names":false,"suffix":""},{"dropping-particle":"","family":"Gou","given":"Ray Yun","non-dropping-particle":"","parse-names":false,"suffix":""},{"dropping-particle":"","family":"Gartaganis","given":"Sarah L.","non-dropping-particle":"","parse-names":false,"suffix":""},{"dropping-particle":"","family":"Webb","given":"Margaret","non-dropping-particle":"","parse-names":false,"suffix":""},{"dropping-particle":"","family":"Moccia","given":"J. Michelle","non-dropping-particle":"","parse-names":false,"suffix":""},{"dropping-particle":"","family":"Bruursema","given":"Stacey N.","non-dropping-particle":"","parse-names":false,"suffix":""},{"dropping-particle":"","family":"Dokic","given":"Belinda","non-dropping-particle":"","parse-names":false,"suffix":""},{"dropping-particle":"","family":"McCulloch","given":"Brigid","non-dropping-particle":"","parse-names":false,"suffix":""},{"dropping-particle":"","family":"Ring","given":"Hope","non-dropping-particle":"","parse-names":false,"suffix":""},{"dropping-particle":"","family":"Margolin","given":"Justin D.","non-dropping-particle":"","parse-names":false,"suffix":""},{"dropping-particle":"","family":"Zhang","given":"Ellen","non-dropping-particle":"","parse-names":false,"suffix":""},{"dropping-particle":"","family":"Anderson","given":"Robert","non-dropping-particle":"","parse-names":false,"suffix":""},{"dropping-particle":"","family":"Babine","given":"Rhonda L.","non-dropping-particle":"","parse-names":false,"suffix":""},{"dropping-particle":"","family":"Hshieh","given":"Tammy","non-dropping-particle":"","parse-names":false,"suffix":""},{"dropping-particle":"","family":"Wong","given":"Ambrose H.","non-dropping-particle":"","parse-names":false,"suffix":""},{"dropping-particle":"","family":"Taylor","given":"R. Andrew","non-dropping-particle":"","parse-names":false,"suffix":""},{"dropping-particle":"","family":"Davenport","given":"Kathleen","non-dropping-particle":"","parse-names":false,"suffix":""},{"dropping-particle":"","family":"Teresi","given":"Brittni","non-dropping-particle":"","parse-names":false,"suffix":""},{"dropping-particle":"","family":"Fong","given":"Tamara G.","non-dropping-particle":"","parse-names":false,"suffix":""},{"dropping-particle":"","family":"Inouye","given":"Sharon K.","non-dropping-particle":"","parse-names":false,"suffix":""}],"container-title":"JAMA network open","id":"ITEM-1","issued":{"date-parts":[["2020"]]},"title":"Delirium in Older Patients With COVID-19 Presenting to the Emergency Department","type":"article-journal"},"uris":["http://www.mendeley.com/documents/?uuid=2205f46e-01fc-4df9-b1f7-bfbab143407f"]},{"id":"ITEM-2","itemData":{"DOI":"10.1093/ageing/afaa094","ISSN":"14682834","PMID":"32374367","author":[{"dropping-particle":"","family":"O'Hanlon","given":"Shane","non-dropping-particle":"","parse-names":false,"suffix":""},{"dropping-particle":"","family":"Inouye","given":"Sharon K.","non-dropping-particle":"","parse-names":false,"suffix":""}],"container-title":"Age and Ageing","id":"ITEM-2","issued":{"date-parts":[["2020"]]},"title":"Delirium: A missing piece in the COVID-19 pandemic puzzle","type":"article"},"uris":["http://www.mendeley.com/documents/?uuid=5c632514-48db-4bba-80e5-192673b69f53"]},{"id":"ITEM-3","itemData":{"DOI":"10.1093/ageing/afaa223","ISSN":"0002-0729","abstract":"Key points: </w:instrText>
      </w:r>
      <w:r w:rsidR="00982414" w:rsidRPr="0069649A">
        <w:rPr>
          <w:rFonts w:asciiTheme="majorHAnsi" w:hAnsiTheme="majorHAnsi"/>
        </w:rPr>
        <w:instrText xml:space="preserve"> Older adults with frailty hospitalised with COVID-19 were more likely to present with probable delirium than non-frail adults of the same age. </w:instrText>
      </w:r>
      <w:r w:rsidR="00982414" w:rsidRPr="0069649A">
        <w:rPr>
          <w:rFonts w:asciiTheme="majorHAnsi" w:hAnsiTheme="majorHAnsi"/>
        </w:rPr>
        <w:instrText xml:space="preserve"> Possible delirium was also observed in a community cohort, in whom fatigue and breathlessness were also more common in frail than non-frail older adults. </w:instrText>
      </w:r>
      <w:r w:rsidR="00982414" w:rsidRPr="0069649A">
        <w:rPr>
          <w:rFonts w:asciiTheme="majorHAnsi" w:hAnsiTheme="majorHAnsi"/>
        </w:rPr>
        <w:instrText xml:space="preserve"> Clinicians should suspect COVID-19 when assessing frail older adults with less typical symptoms of the disease, particularly delirium. A systematic evaluation of change in mental status needs to be included when assessing this population. </w:instrText>
      </w:r>
      <w:r w:rsidR="00982414" w:rsidRPr="0069649A">
        <w:rPr>
          <w:rFonts w:asciiTheme="majorHAnsi" w:hAnsiTheme="majorHAnsi"/>
        </w:rPr>
        <w:instrText> Early detection facilitates infection control measures to mitigate against catastrophic spread and preventable hospitalisations and deaths amongst frail, vulnerable older adults. Abstract: Background: Frailty, increased vulnerability to physiological stressors, is associated with","author":[{"dropping-particle":"","family":"Zazzara","given":"Maria Beatrice","non-dropping-particle":"","parse-names":false,"suffix":""},{"dropping-particle":"","family":"Penfold","given":"Rose S","non-dropping-particle":"","parse-names":false,"suffix":""},{"dropping-particle":"","family":"Roberts","given":"Amy L","non-dropping-particle":"","parse-names":false,"suffix":""},{"dropping-particle":"","family":"Lee","given":"Karla A","non-dropping-particle":"","parse-names":false,"suffix":""},{"dropping-particle":"","family":"Dooley","given":"Hannah","non-dropping-particle":"","parse-names":false,"suffix":""},{"dropping-particle":"","family":"Sudre","given":"Carole H","non-dropping-particle":"","parse-names":false,"suffix":""},{"dropping-particle":"","family":"Welch","given":"Carly","non-dropping-particle":"","parse-names":false,"suffix":""},{"dropping-particle":"","family":"Bowyer","given":"Ruth C E","non-dropping-particle":"","parse-names":false,"suffix":""},{"dropping-particle":"","family":"Visconti","given":"Alessia","non-dropping-particle":"","parse-names":false,"suffix":""},{"dropping-particle":"","family":"Mangino","given":"Massimo","non-dropping-particle":"","parse-names":false,"suffix":""},{"dropping-particle":"","family":"Freidin","given":"Maxim B","non-dropping-particle":"","parse-names":false,"suffix":""},{"dropping-particle":"","family":"El-Sayed Moustafa","given":"Julia S","non-dropping-particle":"","parse-names":false,"suffix":""},{"dropping-particle":"","family":"Small","given":"Kerrin S","non-dropping-particle":"","parse-names":false,"suffix":""},{"dropping-particle":"","family":"Murray","given":"Benjamin","non-dropping-particle":"","parse-names":false,"suffix":""},{"dropping-particle":"","family":"Modat","given":"Marc","non-dropping-particle":"","parse-names":false,"suffix":""},{"dropping-particle":"","family":"Graham","given":"Mark S","non-dropping-particle":"","parse-names":false,"suffix":""},{"dropping-particle":"","family":"Wolf","given":"Jonathan","non-dropping-particle":"","parse-names":false,"suffix":""},{"dropping-particle":"","family":"Ourselin","given":"Sebastien","non-dropping-particle":"","parse-names":false,"suffix":""},{"dropping-particle":"","family":"Martin","given":"Finbarr C","non-dropping-particle":"","parse-names":false,"suffix":""},{"dropping-particle":"","family":"Steves","given":"Claire J","non-dropping-particle":"","parse-names":false,"suffix":""},{"dropping-particle":"","family":"Lochlainn","given":"Mary Ni","non-dropping-particle":"","parse-names":false,"suffix":""}],"container-title":"Age and Ageing","id":"ITEM-3","issued":{"date-parts":[["2021"]]},"title":"Probable delirium is a presenting symptom of COVID-19 in frail, older adults: a cohort study of 322 hospitalised and 535 community-based older adults","type":"article-journal"},"uris":["http://www.mendeley.com/documents/?uuid=03f2d80e-3418-4a54-a198-155ea938a327"]}],"mendeley":{"formattedCitation":"[1–3]","plainTextFormattedCitation":"[1–3]","previouslyFormattedCitation":"(1–3)"},"properties":{"noteIndex":0},"schema":"https://github.com/citation-style-language/schema/raw/master/csl-citation.json"}</w:instrText>
      </w:r>
      <w:r w:rsidR="00E32A7D" w:rsidRPr="0069649A">
        <w:rPr>
          <w:rFonts w:asciiTheme="majorHAnsi" w:hAnsiTheme="majorHAnsi"/>
        </w:rPr>
        <w:fldChar w:fldCharType="separate"/>
      </w:r>
      <w:r w:rsidR="00982414" w:rsidRPr="0069649A">
        <w:rPr>
          <w:rFonts w:asciiTheme="majorHAnsi" w:hAnsiTheme="majorHAnsi"/>
          <w:noProof/>
        </w:rPr>
        <w:t>[1–3]</w:t>
      </w:r>
      <w:r w:rsidR="00E32A7D" w:rsidRPr="0069649A">
        <w:rPr>
          <w:rFonts w:asciiTheme="majorHAnsi" w:hAnsiTheme="majorHAnsi"/>
        </w:rPr>
        <w:fldChar w:fldCharType="end"/>
      </w:r>
      <w:r w:rsidR="00372875" w:rsidRPr="0069649A">
        <w:rPr>
          <w:rFonts w:asciiTheme="majorHAnsi" w:hAnsiTheme="majorHAnsi"/>
        </w:rPr>
        <w:t>.</w:t>
      </w:r>
    </w:p>
    <w:p w14:paraId="3DC5773D" w14:textId="77777777" w:rsidR="00434E20" w:rsidRPr="0069649A" w:rsidRDefault="00434E20" w:rsidP="000A6638">
      <w:pPr>
        <w:tabs>
          <w:tab w:val="left" w:pos="2694"/>
        </w:tabs>
        <w:spacing w:line="480" w:lineRule="auto"/>
        <w:jc w:val="both"/>
        <w:rPr>
          <w:rFonts w:asciiTheme="majorHAnsi" w:hAnsiTheme="majorHAnsi"/>
        </w:rPr>
      </w:pPr>
    </w:p>
    <w:p w14:paraId="0F1B33FD" w14:textId="54FAD06D" w:rsidR="00D6671A" w:rsidRPr="0069649A" w:rsidRDefault="007A3639" w:rsidP="00D32085">
      <w:pPr>
        <w:spacing w:line="480" w:lineRule="auto"/>
        <w:jc w:val="both"/>
        <w:rPr>
          <w:rFonts w:asciiTheme="majorHAnsi" w:hAnsiTheme="majorHAnsi"/>
        </w:rPr>
      </w:pPr>
      <w:r w:rsidRPr="0069649A">
        <w:rPr>
          <w:rFonts w:asciiTheme="majorHAnsi" w:hAnsiTheme="majorHAnsi"/>
        </w:rPr>
        <w:t>Older patients h</w:t>
      </w:r>
      <w:r w:rsidR="00D46B39" w:rsidRPr="0069649A">
        <w:rPr>
          <w:rFonts w:asciiTheme="majorHAnsi" w:hAnsiTheme="majorHAnsi"/>
        </w:rPr>
        <w:t xml:space="preserve">ave </w:t>
      </w:r>
      <w:r w:rsidR="00D32085" w:rsidRPr="0069649A">
        <w:rPr>
          <w:rFonts w:asciiTheme="majorHAnsi" w:hAnsiTheme="majorHAnsi"/>
        </w:rPr>
        <w:t xml:space="preserve">been found to have </w:t>
      </w:r>
      <w:r w:rsidR="00D46B39" w:rsidRPr="0069649A">
        <w:rPr>
          <w:rFonts w:asciiTheme="majorHAnsi" w:hAnsiTheme="majorHAnsi"/>
        </w:rPr>
        <w:t xml:space="preserve">significantly higher </w:t>
      </w:r>
      <w:r w:rsidR="00D42C1D" w:rsidRPr="0069649A">
        <w:rPr>
          <w:rFonts w:asciiTheme="majorHAnsi" w:hAnsiTheme="majorHAnsi"/>
        </w:rPr>
        <w:t>mortality</w:t>
      </w:r>
      <w:r w:rsidR="00372875" w:rsidRPr="0069649A">
        <w:rPr>
          <w:rFonts w:asciiTheme="majorHAnsi" w:hAnsiTheme="majorHAnsi"/>
        </w:rPr>
        <w:t xml:space="preserve"> </w:t>
      </w:r>
      <w:r w:rsidR="00E32A7D"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{"citationItems":[{"id":"ITEM-1","itemData":{"DOI":"10.1001/jama.2020.2648","ISSN":"0098-7484","abstract":"The Chinese Center for Disease Control and Prevention recently published the largest case series to date of coronavirus disease 2019 (COVID-19) in mainland China (72 314 cases, updated through February 11, 2020).1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M.","non-dropping-particle":"","parse-names":false,"suffix":""}],"container-title":"JAMA","id":"ITEM-1","issued":{"date-parts":[["2020"]]},"title":"Characteristics of and Important Lessons From the Coronavirus Disease 2019 (COVID-19) Outbreak in China","type":"article-journal"},"uris":["http://www.mendeley.com/documents/?uuid=af0c0341-2825-4fac-9372-1ee0f2d64d9c"]}],"mendeley":{"formattedCitation":"[4]","plainTextFormattedCitation":"[4]","previouslyFormattedCitation":"(4)"},"properties":{"noteIndex":0},"schema":"https://github.com/citation-style-language/schema/raw/master/csl-citation.json"}</w:instrText>
      </w:r>
      <w:r w:rsidR="00E32A7D" w:rsidRPr="0069649A">
        <w:rPr>
          <w:rFonts w:asciiTheme="majorHAnsi" w:hAnsiTheme="majorHAnsi"/>
        </w:rPr>
        <w:fldChar w:fldCharType="separate"/>
      </w:r>
      <w:r w:rsidR="00982414" w:rsidRPr="0069649A">
        <w:rPr>
          <w:rFonts w:asciiTheme="majorHAnsi" w:hAnsiTheme="majorHAnsi"/>
          <w:noProof/>
        </w:rPr>
        <w:t>[4]</w:t>
      </w:r>
      <w:r w:rsidR="00E32A7D" w:rsidRPr="0069649A">
        <w:rPr>
          <w:rFonts w:asciiTheme="majorHAnsi" w:hAnsiTheme="majorHAnsi"/>
        </w:rPr>
        <w:fldChar w:fldCharType="end"/>
      </w:r>
      <w:r w:rsidR="00372875" w:rsidRPr="0069649A">
        <w:rPr>
          <w:rFonts w:asciiTheme="majorHAnsi" w:hAnsiTheme="majorHAnsi"/>
        </w:rPr>
        <w:t xml:space="preserve">.  </w:t>
      </w:r>
      <w:r w:rsidR="00DF062D" w:rsidRPr="0069649A">
        <w:rPr>
          <w:rFonts w:asciiTheme="majorHAnsi" w:hAnsiTheme="majorHAnsi"/>
        </w:rPr>
        <w:t>Other</w:t>
      </w:r>
      <w:r w:rsidR="00D6671A" w:rsidRPr="0069649A">
        <w:rPr>
          <w:rFonts w:asciiTheme="majorHAnsi" w:hAnsiTheme="majorHAnsi"/>
        </w:rPr>
        <w:t xml:space="preserve"> risk factors include male sex, hypertension and type 2 diabetes</w:t>
      </w:r>
      <w:r w:rsidR="00372875" w:rsidRPr="0069649A">
        <w:rPr>
          <w:rFonts w:asciiTheme="majorHAnsi" w:hAnsiTheme="majorHAnsi"/>
        </w:rPr>
        <w:t xml:space="preserve"> </w:t>
      </w:r>
      <w:r w:rsidR="00E32A7D"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10.1111/jgs.16407","ISSN":"15325415","PMID":"32162679","author":[{"dropping-particle":"","family":"Garnier-Crussard","given":"Antoine","non-dropping-particle":"","parse-names":false,"suffix":""},{"dropping-particle":"","family":"Forestier","given":"Emmanuel","non-dropping-particle":"","parse-names":false,"suffix":""},{"dropping-particle":"","family":"Gilbert","given":"Thomas","non-dropping-particle":"","parse-names":false,"suffix":""},{"dropping-particle":"","family":"Krolak-Salmon","given":"Pierre","non-dropping-particle":"","parse-names":false,"suffix":""}],"container-title":"Journal of the American Geriatrics Society","id":"ITEM-1","issued":{"date-parts":[["2020"]]},"title":"Novel Coronavirus (COVID-19) Epidemic: What Are the Risks for Older Patients?","type":"article"},"uris":["http://www.mendeley.com/documents/?uuid=1f52e86d-f08c-40cb-96b8-d203abbf23bc"]},{"id":"ITEM-2","itemData":{"DOI":"10.1183/13993003.00524-2020","ISSN":"13993003","PMID":"32269088","abstract":"The aim of this study was to identify factors associated with the death of patients with COVID-19 pneumonia caused by the novel coronavirus SARS-CoV-2. All clinical and laboratory parameters were collected prospectively from a cohort of patients with COVID-19 pneumonia who were hospitalised to Wuhan Pulmonary Hospital (Wuhan City, Hubei Province, China) between 25 December 2019 and 7 February 2020. Univariate and multivariate logistic regression was performed to investigate the relationship between each variable and the risk of death of COVID-19 pneumonia patients. In total, 179 patients with COVID-19 pneumonia (97 male and 82 female) were included in the present prospective study, of whom 21 died. Univariate and multivariate logistic regression analysis revealed that age ≥65 years (OR 3.765, 95% CI 1.146-17.394; p=0.023), pre-existing concurrent cardiovascular or cerebrovascular diseases (OR 2.464, 95% CI 0.755-8.044; p=0.007), CD3+CD8+ T-cells ≤75 cells μL-1 (OR 3.982, 95% CI 1.132-14.006; p&lt;0.001) and cardiac troponin I ≥0.05 ng mL-1 (OR 4.077, 95% CI 1.166- 14.253; p&lt;0.001) were associated with an increase in risk of mortality from COVID-19 pneumonia. In a sex-, age- and comorbid illness-matched case-control study, CD3+CD8+ T-cells ≤75 cells μL-1 and cardiac troponin I ≥0.05 ng mL-1 remained as predictors for high mortality from COVID-19 pneumonia. We identified four risk factors: Age ≥65 years, pre-existing concurrent cardiovascular or cerebrovascular diseases, CD3+CD8+ T-cells ≤75 cells μL-1 and cardiac troponin I ≥0.05 ng mL-1. The latter two factors, especially, were predictors for mortality of COVID-19 pneumonia patients.","author":[{"dropping-particle":"","family":"Du","given":"Rong Hui","non-dropping-particle":"","parse-names":false,"suffix":""},{"dropping-particle":"","family":"Liang","given":"Li Rong","non-dropping-particle":"","parse-names":false,"suffix":""},{"dropping-particle":"","family":"Yang","given":"Cheng Qing","non-dropping-particle":"","parse-names":false,"suffix":""},{"dropping-particle":"","family":"Wang","given":"Wen","non-dropping-particle":"","parse-names":false,"suffix":""},{"dropping-particle":"","family":"Cao","given":"Tan Ze","non-dropping-particle":"","parse-names":false,"suffix":""},{"dropping-particle":"","family":"Li","given":"Ming","non-dropping-particle":"","parse-names":false,"suffix":""},{"dropping-particle":"","family":"Guo","given":"Guang Yun","non-dropping-particle":"","parse-names":false,"suffix":""},{"dropping-particle":"","family":"Du","given":"Juan","non-dropping-particle":"","parse-names":false,"suffix":""},{"dropping-particle":"","family":"Zheng","given":"Chun Lan","non-dropping-particle":"","parse-names":false,"suffix":""},{"dropping-particle":"","family":"Zhu","given":"Qi","non-dropping-particle":"","parse-names":false,"suffix":""},{"dropping-particle":"","family":"Hu","given":"Ming","non-dropping-particle":"","parse-names":false,"suffix":""},{"dropping-particle":"","family":"Li","given":"Xu Yan","non-dropping-particle":"","parse-names":false,"suffix":""},{"dropping-particle":"","family":"Peng","given":"Peng","non-dropping-particle":"","parse-names":false,"suffix":""},{"dropping-particle":"","family":"Shi","given":"Huan Zhong","non-dropping-particle":"","parse-names":false,"suffix":""}],"container-title":"European Respiratory Journal","id":"ITEM-2","issued":{"date-parts":[["2020"]]},"title":"Predictors of mortality for patients with COVID-19 pneumonia caused by SARSCoV- 2: A prospective cohort study","type":"article-journal"},"uris":["http://www.mendeley.com/documents/?uuid=aedd5824-6fd5-45c9-b876-0f0d5e931cf0"]},{"id":"ITEM-3","itemData":{"DOI":"10.1016/S0140-6736(20)30566-3","ISSN":"1474547X","PMID":"32171076","abstract":"Background: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Lancet","id":"ITEM-3","issued":{"date-parts":[["2020"]]},"title":"Clinical course and risk factors for mortality of adult inpatients with COVID-19 in Wuhan, China: a retrospective cohort study","type":"article-journal"},"uris":["http://www.mendeley.com/documents/?uuid=09bba10b-4752-4908-b44f-8bcc9d85da10"]}],"mendeley":{"formattedCitation":"[5–7]","plainTextFormattedCitation":"[5–7]","previouslyFormattedCitation":"(5–7)"},"properties":{"noteIndex":0},"schema":"https://github.com/citation-style-language/schema/raw/master/csl-citation.json"}</w:instrText>
      </w:r>
      <w:r w:rsidR="00E32A7D" w:rsidRPr="0069649A">
        <w:rPr>
          <w:rFonts w:asciiTheme="majorHAnsi" w:hAnsiTheme="majorHAnsi"/>
        </w:rPr>
        <w:fldChar w:fldCharType="separate"/>
      </w:r>
      <w:r w:rsidR="00982414" w:rsidRPr="0069649A">
        <w:rPr>
          <w:rFonts w:asciiTheme="majorHAnsi" w:hAnsiTheme="majorHAnsi"/>
          <w:noProof/>
        </w:rPr>
        <w:t>[5–7]</w:t>
      </w:r>
      <w:r w:rsidR="00E32A7D" w:rsidRPr="0069649A">
        <w:rPr>
          <w:rFonts w:asciiTheme="majorHAnsi" w:hAnsiTheme="majorHAnsi"/>
        </w:rPr>
        <w:fldChar w:fldCharType="end"/>
      </w:r>
      <w:r w:rsidR="00372875" w:rsidRPr="0069649A">
        <w:rPr>
          <w:rFonts w:asciiTheme="majorHAnsi" w:hAnsiTheme="majorHAnsi"/>
        </w:rPr>
        <w:t>.</w:t>
      </w:r>
    </w:p>
    <w:p w14:paraId="188E477C" w14:textId="351AC3DC" w:rsidR="00D6671A" w:rsidRPr="0069649A" w:rsidRDefault="005B7171" w:rsidP="00FE1537">
      <w:pPr>
        <w:spacing w:line="480" w:lineRule="auto"/>
        <w:jc w:val="both"/>
        <w:rPr>
          <w:rFonts w:asciiTheme="majorHAnsi" w:hAnsiTheme="majorHAnsi"/>
        </w:rPr>
      </w:pPr>
      <w:r w:rsidRPr="0069649A">
        <w:rPr>
          <w:rFonts w:asciiTheme="majorHAnsi" w:hAnsiTheme="majorHAnsi"/>
        </w:rPr>
        <w:t>T</w:t>
      </w:r>
      <w:r w:rsidR="00D42C1D" w:rsidRPr="0069649A">
        <w:rPr>
          <w:rFonts w:asciiTheme="majorHAnsi" w:hAnsiTheme="majorHAnsi"/>
        </w:rPr>
        <w:t xml:space="preserve">here is a strong correlation </w:t>
      </w:r>
      <w:r w:rsidR="00181037" w:rsidRPr="0069649A">
        <w:rPr>
          <w:rFonts w:asciiTheme="majorHAnsi" w:hAnsiTheme="majorHAnsi"/>
        </w:rPr>
        <w:t>between Alzheimer’s d</w:t>
      </w:r>
      <w:r w:rsidR="00D42C1D" w:rsidRPr="0069649A">
        <w:rPr>
          <w:rFonts w:asciiTheme="majorHAnsi" w:hAnsiTheme="majorHAnsi"/>
        </w:rPr>
        <w:t>em</w:t>
      </w:r>
      <w:r w:rsidRPr="0069649A">
        <w:rPr>
          <w:rFonts w:asciiTheme="majorHAnsi" w:hAnsiTheme="majorHAnsi"/>
        </w:rPr>
        <w:t>entia and COVID-</w:t>
      </w:r>
      <w:r w:rsidR="00D42C1D" w:rsidRPr="0069649A">
        <w:rPr>
          <w:rFonts w:asciiTheme="majorHAnsi" w:hAnsiTheme="majorHAnsi"/>
        </w:rPr>
        <w:t>19 death</w:t>
      </w:r>
      <w:r w:rsidR="00E32A7D" w:rsidRPr="0069649A">
        <w:rPr>
          <w:rFonts w:asciiTheme="majorHAnsi" w:hAnsiTheme="majorHAnsi"/>
        </w:rPr>
        <w:t xml:space="preserve"> </w:t>
      </w:r>
      <w:r w:rsidR="00D42C1D" w:rsidRPr="0069649A">
        <w:rPr>
          <w:rFonts w:asciiTheme="majorHAnsi" w:hAnsiTheme="majorHAnsi"/>
        </w:rPr>
        <w:t xml:space="preserve">rates. Whilst </w:t>
      </w:r>
      <w:r w:rsidR="00225F5B" w:rsidRPr="0069649A">
        <w:rPr>
          <w:rFonts w:asciiTheme="majorHAnsi" w:hAnsiTheme="majorHAnsi"/>
        </w:rPr>
        <w:t>this may be multifactorial</w:t>
      </w:r>
      <w:r w:rsidR="00D42C1D" w:rsidRPr="0069649A">
        <w:rPr>
          <w:rFonts w:asciiTheme="majorHAnsi" w:hAnsiTheme="majorHAnsi"/>
        </w:rPr>
        <w:t xml:space="preserve">, it has been postulated the </w:t>
      </w:r>
      <w:r w:rsidR="00D42C1D" w:rsidRPr="0069649A">
        <w:rPr>
          <w:rFonts w:asciiTheme="majorHAnsi" w:hAnsiTheme="majorHAnsi"/>
          <w:i/>
        </w:rPr>
        <w:t>ApoE4</w:t>
      </w:r>
      <w:r w:rsidR="00D42C1D" w:rsidRPr="0069649A">
        <w:rPr>
          <w:rFonts w:asciiTheme="majorHAnsi" w:hAnsiTheme="majorHAnsi"/>
        </w:rPr>
        <w:t xml:space="preserve"> genotype, which is more commonly associated in dementia and delirium, may also have a specific role in increasing mortality</w:t>
      </w:r>
      <w:r w:rsidR="00372875" w:rsidRPr="0069649A">
        <w:rPr>
          <w:rFonts w:asciiTheme="majorHAnsi" w:hAnsiTheme="majorHAnsi"/>
        </w:rPr>
        <w:t xml:space="preserve"> </w:t>
      </w:r>
      <w:r w:rsidR="00E32A7D"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{"citationItems":[{"id":"ITEM-1","itemData":{"DOI":"10.1093/gerona/glaa131","ISSN":"1758535X","PMID":"32451547","author":[{"dropping-particle":"","family":"Kuo","given":"Chia Ling","non-dropping-particle":"","parse-names":false,"suffix":""},{"dropping-particle":"","family":"Pilling","given":"Luke C.","non-dropping-particle":"","parse-names":false,"suffix":""},{"dropping-particle":"","family":"Atkins","given":"Janice L.","non-dropping-particle":"","parse-names":false,"suffix":""},{"dropping-particle":"","family":"Masoli","given":"Jane A.H.","non-dropping-particle":"","parse-names":false,"suffix":""},{"dropping-particle":"","family":"Delgado","given":"João","non-dropping-particle":"","parse-names":false,"suffix":""},{"dropping-particle":"","family":"Kuchel","given":"George A.","non-dropping-particle":"","parse-names":false,"suffix":""},{"dropping-particle":"","family":"Melzer","given":"David","non-dropping-particle":"","parse-names":false,"suffix":""}],"container-title":"The journals of gerontology. Series A, Biological sciences and medical sciences","id":"ITEM-1","issued":{"date-parts":[["2020"]]},"title":"APOE e4 Genotype Predicts Severe COVID-19 in the UK Biobank Community Cohort","type":"article-journal"},"uris":["http://www.mendeley.com/documents/?uuid=15d9c2dc-ec2c-4e9a-b1e9-f2ae0560ca44"]}],"mendeley":{"formattedCitation":"[8]","plainTextFormattedCitation":"[8]","previouslyFormattedCitation":"(8)"},"properties":{"noteIndex":0},"schema":"https://github.com/citation-style-language/schema/raw/master/csl-citation.json"}</w:instrText>
      </w:r>
      <w:r w:rsidR="00E32A7D" w:rsidRPr="0069649A">
        <w:rPr>
          <w:rFonts w:asciiTheme="majorHAnsi" w:hAnsiTheme="majorHAnsi"/>
        </w:rPr>
        <w:fldChar w:fldCharType="separate"/>
      </w:r>
      <w:r w:rsidR="00982414" w:rsidRPr="0069649A">
        <w:rPr>
          <w:rFonts w:asciiTheme="majorHAnsi" w:hAnsiTheme="majorHAnsi"/>
          <w:noProof/>
        </w:rPr>
        <w:t>[8]</w:t>
      </w:r>
      <w:r w:rsidR="00E32A7D" w:rsidRPr="0069649A">
        <w:rPr>
          <w:rFonts w:asciiTheme="majorHAnsi" w:hAnsiTheme="majorHAnsi"/>
        </w:rPr>
        <w:fldChar w:fldCharType="end"/>
      </w:r>
      <w:r w:rsidR="00372875" w:rsidRPr="0069649A">
        <w:rPr>
          <w:rFonts w:asciiTheme="majorHAnsi" w:hAnsiTheme="majorHAnsi"/>
        </w:rPr>
        <w:t>.</w:t>
      </w:r>
    </w:p>
    <w:p w14:paraId="2F9F257C" w14:textId="77777777" w:rsidR="001E4875" w:rsidRPr="0069649A" w:rsidRDefault="001E4875" w:rsidP="00FE1537">
      <w:pPr>
        <w:spacing w:line="480" w:lineRule="auto"/>
        <w:jc w:val="both"/>
        <w:rPr>
          <w:rFonts w:asciiTheme="majorHAnsi" w:hAnsiTheme="majorHAnsi" w:cstheme="majorHAnsi"/>
        </w:rPr>
      </w:pPr>
    </w:p>
    <w:p w14:paraId="3BE8528F" w14:textId="35F4F35D" w:rsidR="00181037" w:rsidRPr="0069649A" w:rsidRDefault="003C7916" w:rsidP="00FE1537">
      <w:pPr>
        <w:spacing w:line="480" w:lineRule="auto"/>
        <w:jc w:val="both"/>
        <w:rPr>
          <w:rFonts w:asciiTheme="majorHAnsi" w:eastAsia="Times New Roman" w:hAnsiTheme="majorHAnsi" w:cstheme="majorHAnsi"/>
          <w:shd w:val="clear" w:color="auto" w:fill="FFFFFF"/>
        </w:rPr>
      </w:pPr>
      <w:r w:rsidRPr="0069649A">
        <w:rPr>
          <w:rFonts w:asciiTheme="majorHAnsi" w:eastAsia="Times New Roman" w:hAnsiTheme="majorHAnsi" w:cstheme="majorHAnsi"/>
          <w:shd w:val="clear" w:color="auto" w:fill="FFFFFF"/>
        </w:rPr>
        <w:t>T</w:t>
      </w:r>
      <w:r w:rsidR="00D42C1D" w:rsidRPr="0069649A">
        <w:rPr>
          <w:rFonts w:asciiTheme="majorHAnsi" w:eastAsia="Times New Roman" w:hAnsiTheme="majorHAnsi" w:cstheme="majorHAnsi"/>
          <w:shd w:val="clear" w:color="auto" w:fill="FFFFFF"/>
        </w:rPr>
        <w:t>he effects of</w:t>
      </w:r>
      <w:r w:rsidR="007A3639" w:rsidRPr="0069649A">
        <w:rPr>
          <w:rFonts w:asciiTheme="majorHAnsi" w:eastAsia="Times New Roman" w:hAnsiTheme="majorHAnsi" w:cstheme="majorHAnsi"/>
          <w:shd w:val="clear" w:color="auto" w:fill="FFFFFF"/>
        </w:rPr>
        <w:t xml:space="preserve"> </w:t>
      </w:r>
      <w:r w:rsidR="007A3639" w:rsidRPr="0069649A">
        <w:rPr>
          <w:rFonts w:ascii="Calibri" w:hAnsi="Calibri" w:cs="Arial"/>
          <w:shd w:val="clear" w:color="auto" w:fill="FFFFFF"/>
        </w:rPr>
        <w:t>severe acute respiratory syndrome coronavirus 2 </w:t>
      </w:r>
      <w:r w:rsidR="00D42C1D" w:rsidRPr="0069649A">
        <w:rPr>
          <w:rFonts w:ascii="Calibri" w:eastAsia="Times New Roman" w:hAnsi="Calibri" w:cstheme="majorHAnsi"/>
          <w:shd w:val="clear" w:color="auto" w:fill="FFFFFF"/>
        </w:rPr>
        <w:t xml:space="preserve"> </w:t>
      </w:r>
      <w:r w:rsidR="007A3639" w:rsidRPr="0069649A">
        <w:rPr>
          <w:rFonts w:ascii="Calibri" w:eastAsia="Times New Roman" w:hAnsi="Calibri" w:cstheme="majorHAnsi"/>
          <w:shd w:val="clear" w:color="auto" w:fill="FFFFFF"/>
        </w:rPr>
        <w:t>(</w:t>
      </w:r>
      <w:r w:rsidR="007A3639" w:rsidRPr="0069649A">
        <w:rPr>
          <w:rFonts w:ascii="Calibri" w:hAnsi="Calibri" w:cs="Arial"/>
          <w:shd w:val="clear" w:color="auto" w:fill="FFFFFF"/>
        </w:rPr>
        <w:t>SARS-CoV-2)</w:t>
      </w:r>
      <w:r w:rsidR="007A3639" w:rsidRPr="0069649A">
        <w:rPr>
          <w:rFonts w:asciiTheme="majorHAnsi" w:hAnsiTheme="majorHAnsi"/>
        </w:rPr>
        <w:t xml:space="preserve"> </w:t>
      </w:r>
      <w:r w:rsidRPr="0069649A">
        <w:rPr>
          <w:rFonts w:asciiTheme="majorHAnsi" w:eastAsia="Times New Roman" w:hAnsiTheme="majorHAnsi" w:cstheme="majorHAnsi"/>
          <w:shd w:val="clear" w:color="auto" w:fill="FFFFFF"/>
        </w:rPr>
        <w:t>infection differ among ethn</w:t>
      </w:r>
      <w:r w:rsidR="00D42C1D" w:rsidRPr="0069649A">
        <w:rPr>
          <w:rFonts w:asciiTheme="majorHAnsi" w:eastAsia="Times New Roman" w:hAnsiTheme="majorHAnsi" w:cstheme="majorHAnsi"/>
          <w:shd w:val="clear" w:color="auto" w:fill="FFFFFF"/>
        </w:rPr>
        <w:t>ic group</w:t>
      </w:r>
      <w:r w:rsidRPr="0069649A">
        <w:rPr>
          <w:rFonts w:asciiTheme="majorHAnsi" w:eastAsia="Times New Roman" w:hAnsiTheme="majorHAnsi" w:cstheme="majorHAnsi"/>
          <w:shd w:val="clear" w:color="auto" w:fill="FFFFFF"/>
        </w:rPr>
        <w:t>s</w:t>
      </w:r>
      <w:r w:rsidR="00CC7271" w:rsidRPr="0069649A">
        <w:rPr>
          <w:rFonts w:asciiTheme="majorHAnsi" w:eastAsia="Times New Roman" w:hAnsiTheme="majorHAnsi" w:cstheme="majorHAnsi"/>
          <w:shd w:val="clear" w:color="auto" w:fill="FFFFFF"/>
        </w:rPr>
        <w:t xml:space="preserve">. </w:t>
      </w:r>
      <w:r w:rsidR="00C23B34" w:rsidRPr="0069649A">
        <w:rPr>
          <w:rFonts w:asciiTheme="majorHAnsi" w:eastAsia="Times New Roman" w:hAnsiTheme="majorHAnsi" w:cstheme="majorHAnsi"/>
          <w:shd w:val="clear" w:color="auto" w:fill="FFFFFF"/>
        </w:rPr>
        <w:t>Recent meta-</w:t>
      </w:r>
      <w:r w:rsidR="005B7171" w:rsidRPr="0069649A">
        <w:rPr>
          <w:rFonts w:asciiTheme="majorHAnsi" w:eastAsia="Times New Roman" w:hAnsiTheme="majorHAnsi" w:cstheme="majorHAnsi"/>
          <w:shd w:val="clear" w:color="auto" w:fill="FFFFFF"/>
        </w:rPr>
        <w:t>analyses have</w:t>
      </w:r>
      <w:r w:rsidR="00CC7271" w:rsidRPr="0069649A">
        <w:rPr>
          <w:rFonts w:asciiTheme="majorHAnsi" w:eastAsia="Times New Roman" w:hAnsiTheme="majorHAnsi" w:cstheme="majorHAnsi"/>
          <w:shd w:val="clear" w:color="auto" w:fill="FFFFFF"/>
        </w:rPr>
        <w:t xml:space="preserve"> showed that </w:t>
      </w:r>
      <w:r w:rsidR="005B7171" w:rsidRPr="0069649A">
        <w:rPr>
          <w:rFonts w:asciiTheme="majorHAnsi" w:eastAsia="Times New Roman" w:hAnsiTheme="majorHAnsi" w:cstheme="majorHAnsi"/>
          <w:shd w:val="clear" w:color="auto" w:fill="FFFFFF"/>
        </w:rPr>
        <w:t>B</w:t>
      </w:r>
      <w:r w:rsidR="00C23B34" w:rsidRPr="0069649A">
        <w:rPr>
          <w:rFonts w:asciiTheme="majorHAnsi" w:eastAsia="Times New Roman" w:hAnsiTheme="majorHAnsi" w:cstheme="majorHAnsi"/>
          <w:shd w:val="clear" w:color="auto" w:fill="FFFFFF"/>
        </w:rPr>
        <w:t xml:space="preserve">lack, Hispanic and Asian </w:t>
      </w:r>
      <w:r w:rsidRPr="0069649A">
        <w:rPr>
          <w:rFonts w:asciiTheme="majorHAnsi" w:eastAsia="Times New Roman" w:hAnsiTheme="majorHAnsi" w:cstheme="majorHAnsi"/>
          <w:shd w:val="clear" w:color="auto" w:fill="FFFFFF"/>
        </w:rPr>
        <w:t>population</w:t>
      </w:r>
      <w:r w:rsidR="00C23B34" w:rsidRPr="0069649A">
        <w:rPr>
          <w:rFonts w:asciiTheme="majorHAnsi" w:eastAsia="Times New Roman" w:hAnsiTheme="majorHAnsi" w:cstheme="majorHAnsi"/>
          <w:shd w:val="clear" w:color="auto" w:fill="FFFFFF"/>
        </w:rPr>
        <w:t>s</w:t>
      </w:r>
      <w:r w:rsidR="00CC7271" w:rsidRPr="0069649A">
        <w:rPr>
          <w:rFonts w:asciiTheme="majorHAnsi" w:eastAsia="Times New Roman" w:hAnsiTheme="majorHAnsi" w:cstheme="majorHAnsi"/>
          <w:shd w:val="clear" w:color="auto" w:fill="FFFFFF"/>
        </w:rPr>
        <w:t xml:space="preserve"> present </w:t>
      </w:r>
      <w:r w:rsidR="00E46E20" w:rsidRPr="0069649A">
        <w:rPr>
          <w:rFonts w:asciiTheme="majorHAnsi" w:eastAsia="Times New Roman" w:hAnsiTheme="majorHAnsi" w:cstheme="majorHAnsi"/>
          <w:shd w:val="clear" w:color="auto" w:fill="FFFFFF"/>
        </w:rPr>
        <w:t xml:space="preserve">with </w:t>
      </w:r>
      <w:r w:rsidRPr="0069649A">
        <w:rPr>
          <w:rFonts w:asciiTheme="majorHAnsi" w:eastAsia="Times New Roman" w:hAnsiTheme="majorHAnsi" w:cstheme="majorHAnsi"/>
          <w:shd w:val="clear" w:color="auto" w:fill="FFFFFF"/>
        </w:rPr>
        <w:t>higher rates of SARS-CoV-2 infe</w:t>
      </w:r>
      <w:r w:rsidR="0056712B" w:rsidRPr="0069649A">
        <w:rPr>
          <w:rFonts w:asciiTheme="majorHAnsi" w:eastAsia="Times New Roman" w:hAnsiTheme="majorHAnsi" w:cstheme="majorHAnsi"/>
          <w:shd w:val="clear" w:color="auto" w:fill="FFFFFF"/>
        </w:rPr>
        <w:t>ction and mortality</w:t>
      </w:r>
      <w:r w:rsidR="00372875" w:rsidRPr="0069649A">
        <w:rPr>
          <w:rFonts w:asciiTheme="majorHAnsi" w:eastAsia="Times New Roman" w:hAnsiTheme="majorHAnsi" w:cstheme="majorHAnsi"/>
          <w:shd w:val="clear" w:color="auto" w:fill="FFFFFF"/>
        </w:rPr>
        <w:t xml:space="preserve"> </w:t>
      </w:r>
      <w:r w:rsidR="00E32A7D" w:rsidRPr="0069649A">
        <w:rPr>
          <w:rFonts w:asciiTheme="majorHAnsi" w:eastAsia="Times New Roman" w:hAnsiTheme="majorHAnsi" w:cstheme="majorHAnsi"/>
          <w:shd w:val="clear" w:color="auto" w:fill="FFFFFF"/>
        </w:rPr>
        <w:fldChar w:fldCharType="begin" w:fldLock="1"/>
      </w:r>
      <w:r w:rsidR="00982414" w:rsidRPr="0069649A">
        <w:rPr>
          <w:rFonts w:asciiTheme="majorHAnsi" w:eastAsia="Times New Roman" w:hAnsiTheme="majorHAnsi" w:cstheme="majorHAnsi"/>
          <w:shd w:val="clear" w:color="auto" w:fill="FFFFFF"/>
        </w:rPr>
        <w:instrText>ADDIN CSL_CITATION {"citationItems":[{"id":"ITEM-1","itemData":{"DOI":"10.1016/j.eclinm.2020.100630","ISSN":"25895370","PMID":"33200120","abstract":"Background Patients from ethnic minority groups are disproportionately affected by Coronavirus disease (COVID-19). We performed a systematic review and meta-analysis to explore the relationship between ethnicity and clinical outcomes in COVID-19. Methods Databases (MEDLINE, EMBASE, PROSPERO, Cochrane library and MedRxiv) were searched up to 31st August 2020, for studies reporting COVID-19 data disaggregated by ethnicity. Outcomes were: risk of infection; intensive therapy unit (ITU) admission and death. PROSPERO ID: 180654. Findings 18,728,893 patients from 50 studies were included; 26 were peer-reviewed; 42 were from the United States of America and 8 from the United Kingdom. Individuals from Black and Asian ethnicities had a higher risk of COVID-19 infection compared to White individuals. This was consistent in both the main analysis (pooled adjusted RR for Black: 2.02, 95% CI 1.67-2.44; pooled adjusted RR for Asian: 1.50, 95% CI 1.24-1.83) and sensitivity analyses examining peer-reviewed studies only (pooled adjusted RR for Black: 1.85, 95%CI: 1.46-2.35; pooled adjusted RR for Asian: 1.51, 95% CI 1.22-1.88). Individuals of Asian ethnicity may also be at higher risk of ITU admission (pooled adjusted RR 1.97 95% CI 1.34-2.89) (but no studies had yet been peer-reviewed) and death (pooled adjusted RR/HR 1.22 [0.99-1.50]). Interpretation Individuals of Black and Asian ethnicity are at increased risk of COVID-19 infection compared to White individuals; Asians may be at higher risk of ITU admission and death. These findings are of critical public health importance in informing interventions to reduce morbidity and mortality amongst ethnic minority groups.","author":[{"dropping-particle":"","family":"Sze","given":"Shirley","non-dropping-particle":"","parse-names":false,"suffix":""},{"dropping-particle":"","family":"Pan","given":"Daniel","non-dropping-particle":"","parse-names":false,"suffix":""},{"dropping-particle":"","family":"Nevill","given":"Clareece R.","non-dropping-particle":"","parse-names":false,"suffix":""},{"dropping-particle":"","family":"Gray","given":"Laura J.","non-dropping-particle":"","parse-names":false,"suffix":""},{"dropping-particle":"","family":"Martin","given":"Christopher A.","non-dropping-particle":"","parse-names":false,"suffix":""},{"dropping-particle":"","family":"Nazareth","given":"Joshua","non-dropping-particle":"","parse-names":false,"suffix":""},{"dropping-particle":"","family":"Minhas","given":"Jatinder S.","non-dropping-particle":"","parse-names":false,"suffix":""},{"dropping-particle":"","family":"Divall","given":"Pip","non-dropping-particle":"","parse-names":false,"suffix":""},{"dropping-particle":"","family":"Khunti","given":"Kamlesh","non-dropping-particle":"","parse-names":false,"suffix":""},{"dropping-particle":"","family":"Abrams","given":"Keith R.","non-dropping-particle":"","parse-names":false,"suffix":""},{"dropping-particle":"","family":"Nellums","given":"Laura B.","non-dropping-particle":"","parse-names":false,"suffix":""},{"dropping-particle":"","family":"Pareek","given":"Manish","non-dropping-particle":"","parse-names":false,"suffix":""}],"container-title":"EClinicalMedicine","id":"ITEM-1","issued":{"date-parts":[["2020"]]},"title":"Ethnicity and clinical outcomes in COVID-19: A systematic review and meta-analysis","type":"article-journal"},"uris":["http://www.mendeley.com/documents/?uuid=eaa973f9-029e-4bb7-b6cd-7798ffea315a"]},{"id":"ITEM-2","itemData":{"DOI":"10.7326/m20-6306","ISSN":"0003-4819","abstract":"BACKGROUND Data suggest that the effects of coronavirus disease 2019 (COVID-19) differ among U.S. racial/ethnic groups. PURPOSE To evaluate racial/ethnic disparities in severe acute respiratory syndrome coronavirus 2 (SARS-CoV-2) infection rates and COVID-19 outcomes, factors contributing to disparities, and interventions to reduce them. (PROSPERO: CRD42020187078). DATA SOURCES English-language articles in MEDLINE, PsycINFO, CINAHL, Cochrane Central Register of Controlled Trials, Cochrane Database of Systematic Reviews, and Scopus, searched from inception through 31 August 2020. Gray literature sources were searched through 2 November 2020. STUDY SELECTION Observational studies examining SARS-CoV-2 infections, hospitalizations, or deaths by race/ethnicity in U.S. settings. DATA EXTRACTION Single-reviewer abstraction confirmed by a second reviewer; independent dual-reviewer assessment of quality and strength of evidence. DATA SYNTHESIS 37 mostly fair-quality cohort and cross-sectional studies, 15 mostly good-quality ecological studies, and data from the Centers for Disease Control and Prevention and APM Research Lab were included. African American/Black and Hispanic populations experience disproportionately higher rates of SARS-CoV-2 infection, hospitalization, and COVID-19-related mortality compared with non-Hispanic White populations, but not higher case-fatality rates (mostly reported as in-hospital mortality) (moderate- to high-strength evidence). Asian populations experience similar outcomes to non-Hispanic White populations (low-strength evidence). Outcomes for other racial/ethnic groups have been insufficiently studied. Health care access and exposure factors may underlie the observed disparities more than susceptibility due to comorbid conditions (low-strength evidence). LIMITATIONS Selection bias, missing race/ethnicity data, and incomplete outcome assessments in cohort and cross-sectional studies must be considered. In addition, adjustment for key demographic covariates was lacking in ecological studies. CONCLUSION African American/Black and Hispanic populations experience disproportionately higher rates of SARS-CoV-2 infection and COVID-19-related mortality but similar rates of case fatality. Differences in health care access and exposure risk may be driving higher infection and mortality rates. PRIMARY FUNDING SOURCE Department of Veterans Affairs, Veterans Health Administration, Health Services Research &amp; Development.","author":[{"dropping-particle":"","family":"Mackey","given":"Katherine","non-dropping-particle":"","parse-names":false,"suffix":""},{"dropping-particle":"","family":"Ayers","given":"Chelsea K.","non-dropping-particle":"","parse-names":false,"suffix":""},{"dropping-particle":"","family":"Kondo","given":"Karli K.","non-dropping-particle":"","parse-names":false,"suffix":""},{"dropping-particle":"","family":"Saha","given":"Somnath","non-dropping-particle":"","parse-names":false,"suffix":""},{"dropping-particle":"","family":"Advani","given":"Shailesh M.","non-dropping-particle":"","parse-names":false,"suffix":""},{"dropping-particle":"","family":"Young","given":"Sarah","non-dropping-particle":"","parse-names":false,"suffix":""},{"dropping-particle":"","family":"Spencer","given":"Hunter","non-dropping-particle":"","parse-names":false,"suffix":""},{"dropping-particle":"","family":"Rusek","given":"Max","non-dropping-particle":"","parse-names":false,"suffix":""},{"dropping-particle":"","family":"Anderson","given":"Johanna","non-dropping-particle":"","parse-names":false,"suffix":""},{"dropping-particle":"","family":"Veazie","given":"Stephanie","non-dropping-particle":"","parse-names":false,"suffix":""},{"dropping-particle":"","family":"Smith","given":"Mia","non-dropping-particle":"","parse-names":false,"suffix":""},{"dropping-particle":"","family":"Kansagara","given":"Devan","non-dropping-particle":"","parse-names":false,"suffix":""}],"container-title":"Annals of Internal Medicine","id":"ITEM-2","issued":{"date-parts":[["2020"]]},"title":"Racial and Ethnic Disparities in COVID-19–Related Infections, Hospitalizations, and Deaths","type":"article-journal"},"uris":["http://www.mendeley.com/documents/?uuid=b9c4c0b5-7dfa-4f30-ba3a-2de0a6b22de6"]}],"mendeley":{"formattedCitation":"[9, 10]","plainTextFormattedCitation":"[9, 10]","previouslyFormattedCitation":"(9,10)"},"properties":{"noteIndex":0},"schema":"https://github.com/citation-style-language/schema/raw/master/csl-citation.json"}</w:instrText>
      </w:r>
      <w:r w:rsidR="00E32A7D" w:rsidRPr="0069649A">
        <w:rPr>
          <w:rFonts w:asciiTheme="majorHAnsi" w:eastAsia="Times New Roman" w:hAnsiTheme="majorHAnsi" w:cstheme="majorHAnsi"/>
          <w:shd w:val="clear" w:color="auto" w:fill="FFFFFF"/>
        </w:rPr>
        <w:fldChar w:fldCharType="separate"/>
      </w:r>
      <w:r w:rsidR="00982414" w:rsidRPr="0069649A">
        <w:rPr>
          <w:rFonts w:asciiTheme="majorHAnsi" w:eastAsia="Times New Roman" w:hAnsiTheme="majorHAnsi" w:cstheme="majorHAnsi"/>
          <w:noProof/>
          <w:shd w:val="clear" w:color="auto" w:fill="FFFFFF"/>
        </w:rPr>
        <w:t>[9, 10]</w:t>
      </w:r>
      <w:r w:rsidR="00E32A7D" w:rsidRPr="0069649A">
        <w:rPr>
          <w:rFonts w:asciiTheme="majorHAnsi" w:eastAsia="Times New Roman" w:hAnsiTheme="majorHAnsi" w:cstheme="majorHAnsi"/>
          <w:shd w:val="clear" w:color="auto" w:fill="FFFFFF"/>
        </w:rPr>
        <w:fldChar w:fldCharType="end"/>
      </w:r>
      <w:r w:rsidR="00372875" w:rsidRPr="0069649A">
        <w:rPr>
          <w:rFonts w:asciiTheme="majorHAnsi" w:eastAsia="Times New Roman" w:hAnsiTheme="majorHAnsi" w:cstheme="majorHAnsi"/>
          <w:shd w:val="clear" w:color="auto" w:fill="FFFFFF"/>
        </w:rPr>
        <w:t xml:space="preserve">. </w:t>
      </w:r>
      <w:r w:rsidR="0056712B" w:rsidRPr="0069649A">
        <w:rPr>
          <w:rFonts w:asciiTheme="majorHAnsi" w:eastAsia="Times New Roman" w:hAnsiTheme="majorHAnsi" w:cstheme="majorHAnsi"/>
          <w:shd w:val="clear" w:color="auto" w:fill="FFFFFF"/>
        </w:rPr>
        <w:t xml:space="preserve">Possible causes include </w:t>
      </w:r>
      <w:r w:rsidR="00D6671A" w:rsidRPr="0069649A">
        <w:rPr>
          <w:rFonts w:asciiTheme="majorHAnsi" w:eastAsia="Times New Roman" w:hAnsiTheme="majorHAnsi" w:cstheme="majorHAnsi"/>
          <w:shd w:val="clear" w:color="auto" w:fill="FFFFFF"/>
        </w:rPr>
        <w:t xml:space="preserve">comorbidities, </w:t>
      </w:r>
      <w:r w:rsidR="0056712B" w:rsidRPr="0069649A">
        <w:rPr>
          <w:rFonts w:asciiTheme="majorHAnsi" w:eastAsia="Times New Roman" w:hAnsiTheme="majorHAnsi" w:cstheme="majorHAnsi"/>
          <w:shd w:val="clear" w:color="auto" w:fill="FFFFFF"/>
        </w:rPr>
        <w:t>inequality in care access</w:t>
      </w:r>
      <w:r w:rsidR="00D6671A" w:rsidRPr="0069649A">
        <w:rPr>
          <w:rFonts w:asciiTheme="majorHAnsi" w:eastAsia="Times New Roman" w:hAnsiTheme="majorHAnsi" w:cstheme="majorHAnsi"/>
          <w:shd w:val="clear" w:color="auto" w:fill="FFFFFF"/>
        </w:rPr>
        <w:t xml:space="preserve"> and different living arrangements.</w:t>
      </w:r>
    </w:p>
    <w:p w14:paraId="74541D15" w14:textId="77777777" w:rsidR="00D6671A" w:rsidRPr="0069649A" w:rsidRDefault="00D6671A" w:rsidP="00FE1537">
      <w:pPr>
        <w:spacing w:line="480" w:lineRule="auto"/>
        <w:jc w:val="both"/>
        <w:rPr>
          <w:rFonts w:asciiTheme="majorHAnsi" w:eastAsia="Times New Roman" w:hAnsiTheme="majorHAnsi" w:cstheme="majorHAnsi"/>
          <w:shd w:val="clear" w:color="auto" w:fill="FFFFFF"/>
        </w:rPr>
      </w:pPr>
    </w:p>
    <w:p w14:paraId="6E1A49BB" w14:textId="62A319C9" w:rsidR="00320895" w:rsidRPr="0069649A" w:rsidRDefault="00065621" w:rsidP="007A3639">
      <w:pPr>
        <w:pStyle w:val="CommentText"/>
        <w:spacing w:line="480" w:lineRule="auto"/>
        <w:jc w:val="both"/>
        <w:rPr>
          <w:rFonts w:asciiTheme="majorHAnsi" w:hAnsiTheme="majorHAnsi"/>
          <w:noProof/>
          <w:sz w:val="24"/>
          <w:szCs w:val="24"/>
          <w:vertAlign w:val="superscript"/>
        </w:rPr>
      </w:pPr>
      <w:r w:rsidRPr="0069649A">
        <w:rPr>
          <w:rFonts w:asciiTheme="majorHAnsi" w:hAnsiTheme="majorHAnsi"/>
          <w:sz w:val="24"/>
          <w:szCs w:val="24"/>
        </w:rPr>
        <w:t xml:space="preserve">The </w:t>
      </w:r>
      <w:r w:rsidR="000A6638" w:rsidRPr="0069649A">
        <w:rPr>
          <w:rFonts w:asciiTheme="majorHAnsi" w:hAnsiTheme="majorHAnsi"/>
          <w:sz w:val="24"/>
          <w:szCs w:val="24"/>
        </w:rPr>
        <w:t>inner-</w:t>
      </w:r>
      <w:r w:rsidR="00456905" w:rsidRPr="0069649A">
        <w:rPr>
          <w:rFonts w:asciiTheme="majorHAnsi" w:hAnsiTheme="majorHAnsi"/>
          <w:sz w:val="24"/>
          <w:szCs w:val="24"/>
        </w:rPr>
        <w:t xml:space="preserve">city </w:t>
      </w:r>
      <w:r w:rsidR="009E71E5" w:rsidRPr="0069649A">
        <w:rPr>
          <w:rFonts w:asciiTheme="majorHAnsi" w:hAnsiTheme="majorHAnsi"/>
          <w:sz w:val="24"/>
          <w:szCs w:val="24"/>
        </w:rPr>
        <w:t>area served by our instit</w:t>
      </w:r>
      <w:r w:rsidR="007276E8" w:rsidRPr="0069649A">
        <w:rPr>
          <w:rFonts w:asciiTheme="majorHAnsi" w:hAnsiTheme="majorHAnsi"/>
          <w:sz w:val="24"/>
          <w:szCs w:val="24"/>
        </w:rPr>
        <w:t>ut</w:t>
      </w:r>
      <w:r w:rsidR="009E71E5" w:rsidRPr="0069649A">
        <w:rPr>
          <w:rFonts w:asciiTheme="majorHAnsi" w:hAnsiTheme="majorHAnsi"/>
          <w:sz w:val="24"/>
          <w:szCs w:val="24"/>
        </w:rPr>
        <w:t xml:space="preserve">ion </w:t>
      </w:r>
      <w:r w:rsidR="007276E8" w:rsidRPr="0069649A">
        <w:rPr>
          <w:rFonts w:asciiTheme="majorHAnsi" w:hAnsiTheme="majorHAnsi"/>
          <w:sz w:val="24"/>
          <w:szCs w:val="24"/>
        </w:rPr>
        <w:t>has</w:t>
      </w:r>
      <w:r w:rsidR="001C6816" w:rsidRPr="0069649A">
        <w:rPr>
          <w:rFonts w:asciiTheme="majorHAnsi" w:hAnsiTheme="majorHAnsi"/>
          <w:sz w:val="24"/>
          <w:szCs w:val="24"/>
        </w:rPr>
        <w:t xml:space="preserve"> distinctive characteristics compared to the rest of the UK, with significant levels of social </w:t>
      </w:r>
      <w:r w:rsidR="001C6816" w:rsidRPr="0069649A">
        <w:rPr>
          <w:rFonts w:ascii="Calibri" w:hAnsi="Calibri"/>
          <w:sz w:val="24"/>
          <w:szCs w:val="24"/>
        </w:rPr>
        <w:t>deprivation</w:t>
      </w:r>
      <w:r w:rsidR="008B29FC" w:rsidRPr="0069649A">
        <w:rPr>
          <w:rFonts w:ascii="Calibri" w:hAnsi="Calibri"/>
          <w:sz w:val="24"/>
          <w:szCs w:val="24"/>
        </w:rPr>
        <w:t xml:space="preserve">: </w:t>
      </w:r>
      <w:r w:rsidR="007A3639" w:rsidRPr="0069649A">
        <w:rPr>
          <w:rFonts w:ascii="Calibri" w:hAnsi="Calibri" w:cs="Arial"/>
          <w:bCs/>
          <w:sz w:val="24"/>
          <w:szCs w:val="24"/>
          <w:shd w:val="clear" w:color="auto" w:fill="FFFFFF"/>
        </w:rPr>
        <w:t>Tower Hamlets</w:t>
      </w:r>
      <w:r w:rsidR="007A3639" w:rsidRPr="0069649A">
        <w:rPr>
          <w:rFonts w:ascii="Calibri" w:hAnsi="Calibri" w:cs="Arial"/>
          <w:sz w:val="24"/>
          <w:szCs w:val="24"/>
          <w:shd w:val="clear" w:color="auto" w:fill="FFFFFF"/>
        </w:rPr>
        <w:t> </w:t>
      </w:r>
      <w:r w:rsidR="008B29FC" w:rsidRPr="0069649A">
        <w:rPr>
          <w:rFonts w:ascii="Calibri" w:hAnsi="Calibri" w:cs="Arial"/>
          <w:sz w:val="24"/>
          <w:szCs w:val="24"/>
          <w:shd w:val="clear" w:color="auto" w:fill="FFFFFF"/>
        </w:rPr>
        <w:t>has</w:t>
      </w:r>
      <w:r w:rsidR="000C0CDB" w:rsidRPr="0069649A">
        <w:rPr>
          <w:rFonts w:ascii="Calibri" w:hAnsi="Calibri" w:cs="Arial"/>
          <w:sz w:val="24"/>
          <w:szCs w:val="24"/>
          <w:shd w:val="clear" w:color="auto" w:fill="FFFFFF"/>
        </w:rPr>
        <w:t xml:space="preserve"> a</w:t>
      </w:r>
      <w:r w:rsidR="008B29FC" w:rsidRPr="0069649A">
        <w:rPr>
          <w:rFonts w:ascii="Calibri" w:hAnsi="Calibri"/>
          <w:sz w:val="24"/>
          <w:szCs w:val="24"/>
        </w:rPr>
        <w:t xml:space="preserve"> high population density, is ethnically </w:t>
      </w:r>
      <w:r w:rsidR="008B29FC" w:rsidRPr="0069649A">
        <w:rPr>
          <w:rFonts w:asciiTheme="majorHAnsi" w:hAnsiTheme="majorHAnsi"/>
          <w:sz w:val="24"/>
          <w:szCs w:val="24"/>
        </w:rPr>
        <w:t>diverse</w:t>
      </w:r>
      <w:r w:rsidR="008B29FC" w:rsidRPr="0069649A">
        <w:rPr>
          <w:rFonts w:ascii="Calibri" w:hAnsi="Calibri" w:cs="Arial"/>
          <w:sz w:val="24"/>
          <w:szCs w:val="24"/>
          <w:shd w:val="clear" w:color="auto" w:fill="FFFFFF"/>
        </w:rPr>
        <w:t xml:space="preserve"> and </w:t>
      </w:r>
      <w:r w:rsidR="007A3639" w:rsidRPr="0069649A">
        <w:rPr>
          <w:rFonts w:ascii="Calibri" w:hAnsi="Calibri" w:cs="Arial"/>
          <w:sz w:val="24"/>
          <w:szCs w:val="24"/>
          <w:shd w:val="clear" w:color="auto" w:fill="FFFFFF"/>
        </w:rPr>
        <w:t>ranked</w:t>
      </w:r>
      <w:r w:rsidR="000C0CDB" w:rsidRPr="0069649A">
        <w:rPr>
          <w:rFonts w:ascii="Calibri" w:hAnsi="Calibri" w:cs="Arial"/>
          <w:sz w:val="24"/>
          <w:szCs w:val="24"/>
          <w:shd w:val="clear" w:color="auto" w:fill="FFFFFF"/>
        </w:rPr>
        <w:t xml:space="preserve"> as the</w:t>
      </w:r>
      <w:r w:rsidR="0069649A">
        <w:rPr>
          <w:rFonts w:ascii="Calibri" w:hAnsi="Calibri" w:cs="Arial"/>
          <w:sz w:val="24"/>
          <w:szCs w:val="24"/>
          <w:shd w:val="clear" w:color="auto" w:fill="FFFFFF"/>
        </w:rPr>
        <w:t xml:space="preserve"> </w:t>
      </w:r>
      <w:r w:rsidR="006352E4" w:rsidRPr="0069649A">
        <w:rPr>
          <w:rFonts w:ascii="Calibri" w:hAnsi="Calibri" w:cs="Arial"/>
          <w:sz w:val="24"/>
          <w:szCs w:val="24"/>
          <w:shd w:val="clear" w:color="auto" w:fill="FFFFFF"/>
        </w:rPr>
        <w:t>10</w:t>
      </w:r>
      <w:r w:rsidR="006352E4" w:rsidRPr="0069649A">
        <w:rPr>
          <w:rFonts w:ascii="Calibri" w:hAnsi="Calibri" w:cs="Arial"/>
          <w:sz w:val="24"/>
          <w:szCs w:val="24"/>
          <w:shd w:val="clear" w:color="auto" w:fill="FFFFFF"/>
          <w:vertAlign w:val="superscript"/>
        </w:rPr>
        <w:t>th</w:t>
      </w:r>
      <w:r w:rsidR="006352E4" w:rsidRPr="0069649A">
        <w:rPr>
          <w:rFonts w:ascii="Calibri" w:hAnsi="Calibri" w:cs="Arial"/>
          <w:sz w:val="24"/>
          <w:szCs w:val="24"/>
          <w:shd w:val="clear" w:color="auto" w:fill="FFFFFF"/>
        </w:rPr>
        <w:t xml:space="preserve"> </w:t>
      </w:r>
      <w:r w:rsidR="007A3639" w:rsidRPr="0069649A">
        <w:rPr>
          <w:rFonts w:ascii="Calibri" w:hAnsi="Calibri" w:cs="Arial"/>
          <w:sz w:val="24"/>
          <w:szCs w:val="24"/>
          <w:shd w:val="clear" w:color="auto" w:fill="FFFFFF"/>
        </w:rPr>
        <w:t>most </w:t>
      </w:r>
      <w:r w:rsidR="007A3639" w:rsidRPr="0069649A">
        <w:rPr>
          <w:rFonts w:ascii="Calibri" w:hAnsi="Calibri" w:cs="Arial"/>
          <w:bCs/>
          <w:sz w:val="24"/>
          <w:szCs w:val="24"/>
          <w:shd w:val="clear" w:color="auto" w:fill="FFFFFF"/>
        </w:rPr>
        <w:t>deprived</w:t>
      </w:r>
      <w:r w:rsidR="007A3639" w:rsidRPr="0069649A">
        <w:rPr>
          <w:rFonts w:ascii="Calibri" w:hAnsi="Calibri" w:cs="Arial"/>
          <w:sz w:val="24"/>
          <w:szCs w:val="24"/>
          <w:shd w:val="clear" w:color="auto" w:fill="FFFFFF"/>
        </w:rPr>
        <w:t> out of 326 areas in England</w:t>
      </w:r>
      <w:r w:rsidR="006352E4" w:rsidRPr="0069649A">
        <w:rPr>
          <w:rFonts w:ascii="Calibri" w:hAnsi="Calibri" w:cs="Arial"/>
          <w:sz w:val="24"/>
          <w:szCs w:val="24"/>
          <w:shd w:val="clear" w:color="auto" w:fill="FFFFFF"/>
        </w:rPr>
        <w:t xml:space="preserve"> in terms of average level of deprivation</w:t>
      </w:r>
      <w:r w:rsidR="00E32A7D" w:rsidRPr="0069649A">
        <w:rPr>
          <w:rFonts w:ascii="Calibri" w:hAnsi="Calibri" w:cs="Arial"/>
          <w:sz w:val="24"/>
          <w:szCs w:val="24"/>
          <w:shd w:val="clear" w:color="auto" w:fill="FFFFFF"/>
        </w:rPr>
        <w:t xml:space="preserve"> and is the most income deprived in regard to older</w:t>
      </w:r>
      <w:r w:rsidR="00EB42E9" w:rsidRPr="0069649A">
        <w:rPr>
          <w:rFonts w:asciiTheme="majorHAnsi" w:hAnsiTheme="majorHAnsi"/>
          <w:sz w:val="24"/>
          <w:szCs w:val="24"/>
        </w:rPr>
        <w:t xml:space="preserve"> people</w:t>
      </w:r>
      <w:r w:rsidR="00372875" w:rsidRPr="0069649A">
        <w:rPr>
          <w:rFonts w:asciiTheme="majorHAnsi" w:hAnsiTheme="majorHAnsi"/>
          <w:sz w:val="24"/>
          <w:szCs w:val="24"/>
        </w:rPr>
        <w:t xml:space="preserve"> </w:t>
      </w:r>
      <w:r w:rsidR="00AC17AA" w:rsidRPr="0069649A">
        <w:rPr>
          <w:rFonts w:asciiTheme="majorHAnsi" w:hAnsiTheme="majorHAnsi"/>
          <w:noProof/>
          <w:sz w:val="24"/>
          <w:szCs w:val="24"/>
          <w:vertAlign w:val="superscript"/>
        </w:rPr>
        <w:t xml:space="preserve"> </w:t>
      </w:r>
      <w:r w:rsidR="00AC17AA" w:rsidRPr="0069649A">
        <w:rPr>
          <w:rFonts w:asciiTheme="majorHAnsi" w:hAnsiTheme="majorHAnsi"/>
          <w:noProof/>
          <w:sz w:val="24"/>
          <w:szCs w:val="24"/>
          <w:vertAlign w:val="superscript"/>
        </w:rPr>
        <w:fldChar w:fldCharType="begin" w:fldLock="1"/>
      </w:r>
      <w:r w:rsidR="00982414" w:rsidRPr="0069649A">
        <w:rPr>
          <w:rFonts w:asciiTheme="majorHAnsi" w:hAnsiTheme="majorHAnsi"/>
          <w:noProof/>
          <w:sz w:val="24"/>
          <w:szCs w:val="24"/>
          <w:vertAlign w:val="superscript"/>
        </w:rPr>
        <w:instrText>ADDIN CSL_CITATION {"citationItems":[{"id":"ITEM-1","itemData":{"author":[{"dropping-particle":"","family":"towerhamlets.gov.uk","given":"","non-dropping-particle":"","parse-names":false,"suffix":""}],"container-title":"https://www.towerhamlets.gov.uk/lgnl/community_and_living/borough_statistics/population.aspx","id":"ITEM-1","issued":{"date-parts":[["2018"]]},"title":"Borough Profile 2018: Population","type":"article-journal"},"uris":["http://www.mendeley.com/documents/?uuid=6cb01283-e5c1-4c81-ab3f-4e36bfd5a7db"]},{"id":"ITEM-2","itemData":{"author":[{"dropping-particle":"","family":"the Ministry of Housing","given":"Communities and Local Government","non-dropping-particle":"","parse-names":false,"suffix":""}],"id":"ITEM-2","issued":{"date-parts":[["2019"]]},"title":"The English Indices of Deprivation 2019 (IoD2019)","type":"article"},"uris":["http://www.mendeley.com/documents/?uuid=d1fd4d5c-794b-4a71-98a0-11cb78900166"]}],"mendeley":{"formattedCitation":"[11, 12]","plainTextFormattedCitation":"[11, 12]","previouslyFormattedCitation":"(11,12)"},"properties":{"noteIndex":0},"schema":"https://github.com/citation-style-language/schema/raw/master/csl-citation.json"}</w:instrText>
      </w:r>
      <w:r w:rsidR="00AC17AA" w:rsidRPr="0069649A">
        <w:rPr>
          <w:rFonts w:asciiTheme="majorHAnsi" w:hAnsiTheme="majorHAnsi"/>
          <w:noProof/>
          <w:sz w:val="24"/>
          <w:szCs w:val="24"/>
          <w:vertAlign w:val="superscript"/>
        </w:rPr>
        <w:fldChar w:fldCharType="separate"/>
      </w:r>
      <w:r w:rsidR="00982414" w:rsidRPr="0069649A">
        <w:rPr>
          <w:rFonts w:asciiTheme="majorHAnsi" w:hAnsiTheme="majorHAnsi"/>
          <w:noProof/>
          <w:sz w:val="24"/>
          <w:szCs w:val="24"/>
        </w:rPr>
        <w:t>[11, 12]</w:t>
      </w:r>
      <w:r w:rsidR="00AC17AA" w:rsidRPr="0069649A">
        <w:rPr>
          <w:rFonts w:asciiTheme="majorHAnsi" w:hAnsiTheme="majorHAnsi"/>
          <w:noProof/>
          <w:sz w:val="24"/>
          <w:szCs w:val="24"/>
          <w:vertAlign w:val="superscript"/>
        </w:rPr>
        <w:fldChar w:fldCharType="end"/>
      </w:r>
      <w:r w:rsidR="00372875" w:rsidRPr="0069649A">
        <w:rPr>
          <w:rFonts w:asciiTheme="majorHAnsi" w:hAnsiTheme="majorHAnsi"/>
          <w:noProof/>
          <w:sz w:val="24"/>
          <w:szCs w:val="24"/>
        </w:rPr>
        <w:t>.</w:t>
      </w:r>
    </w:p>
    <w:p w14:paraId="4D4669E8" w14:textId="1A774EE4" w:rsidR="00065621" w:rsidRPr="0069649A" w:rsidRDefault="003A31BA" w:rsidP="007A3639">
      <w:pPr>
        <w:pStyle w:val="CommentText"/>
        <w:spacing w:line="480" w:lineRule="auto"/>
        <w:jc w:val="both"/>
      </w:pPr>
      <w:r w:rsidRPr="0069649A">
        <w:rPr>
          <w:rFonts w:asciiTheme="majorHAnsi" w:hAnsiTheme="majorHAnsi"/>
          <w:sz w:val="24"/>
          <w:szCs w:val="24"/>
        </w:rPr>
        <w:t>Therefore we had the opportunity to</w:t>
      </w:r>
      <w:r w:rsidR="005B0016" w:rsidRPr="0069649A">
        <w:rPr>
          <w:rFonts w:asciiTheme="majorHAnsi" w:hAnsiTheme="majorHAnsi"/>
          <w:sz w:val="24"/>
          <w:szCs w:val="24"/>
        </w:rPr>
        <w:t xml:space="preserve"> describe the characteristics of th</w:t>
      </w:r>
      <w:r w:rsidRPr="0069649A">
        <w:rPr>
          <w:rFonts w:asciiTheme="majorHAnsi" w:hAnsiTheme="majorHAnsi"/>
          <w:sz w:val="24"/>
          <w:szCs w:val="24"/>
        </w:rPr>
        <w:t>is</w:t>
      </w:r>
      <w:r w:rsidR="005B0016" w:rsidRPr="0069649A">
        <w:rPr>
          <w:rFonts w:asciiTheme="majorHAnsi" w:hAnsiTheme="majorHAnsi"/>
          <w:sz w:val="24"/>
          <w:szCs w:val="24"/>
        </w:rPr>
        <w:t xml:space="preserve"> unique population of patients treated</w:t>
      </w:r>
      <w:r w:rsidR="00B40670" w:rsidRPr="0069649A">
        <w:rPr>
          <w:rFonts w:asciiTheme="majorHAnsi" w:hAnsiTheme="majorHAnsi"/>
          <w:sz w:val="24"/>
          <w:szCs w:val="24"/>
        </w:rPr>
        <w:t xml:space="preserve"> in our Older Peoples’ Service </w:t>
      </w:r>
      <w:r w:rsidR="005B0016" w:rsidRPr="0069649A">
        <w:rPr>
          <w:rFonts w:asciiTheme="majorHAnsi" w:hAnsiTheme="majorHAnsi"/>
          <w:sz w:val="24"/>
          <w:szCs w:val="24"/>
        </w:rPr>
        <w:t xml:space="preserve">during the first peak of the </w:t>
      </w:r>
      <w:r w:rsidR="005C7F22" w:rsidRPr="0069649A">
        <w:rPr>
          <w:rFonts w:asciiTheme="majorHAnsi" w:hAnsiTheme="majorHAnsi"/>
          <w:sz w:val="24"/>
          <w:szCs w:val="24"/>
        </w:rPr>
        <w:t>COVID-19</w:t>
      </w:r>
      <w:r w:rsidR="005B0016" w:rsidRPr="0069649A">
        <w:rPr>
          <w:rFonts w:asciiTheme="majorHAnsi" w:hAnsiTheme="majorHAnsi"/>
          <w:sz w:val="24"/>
          <w:szCs w:val="24"/>
        </w:rPr>
        <w:t xml:space="preserve"> pandemic</w:t>
      </w:r>
      <w:r w:rsidRPr="0069649A">
        <w:rPr>
          <w:rFonts w:asciiTheme="majorHAnsi" w:hAnsiTheme="majorHAnsi"/>
          <w:sz w:val="24"/>
          <w:szCs w:val="24"/>
        </w:rPr>
        <w:t xml:space="preserve"> in the UK</w:t>
      </w:r>
      <w:r w:rsidRPr="0069649A">
        <w:rPr>
          <w:rFonts w:asciiTheme="majorHAnsi" w:hAnsiTheme="majorHAnsi"/>
        </w:rPr>
        <w:t>.</w:t>
      </w:r>
    </w:p>
    <w:p w14:paraId="01FCF5CE" w14:textId="77777777" w:rsidR="00B40670" w:rsidRPr="0069649A" w:rsidRDefault="00B40670" w:rsidP="00FE1537">
      <w:pPr>
        <w:spacing w:line="480" w:lineRule="auto"/>
        <w:jc w:val="both"/>
        <w:rPr>
          <w:rFonts w:asciiTheme="majorHAnsi" w:hAnsiTheme="majorHAnsi"/>
          <w:b/>
        </w:rPr>
      </w:pPr>
    </w:p>
    <w:p w14:paraId="127AC47D" w14:textId="52221E9B" w:rsidR="00FC75D2" w:rsidRPr="0069649A" w:rsidRDefault="005B4A22" w:rsidP="00FE1537">
      <w:pPr>
        <w:spacing w:line="480" w:lineRule="auto"/>
        <w:jc w:val="both"/>
        <w:rPr>
          <w:rFonts w:asciiTheme="majorHAnsi" w:hAnsiTheme="majorHAnsi"/>
        </w:rPr>
      </w:pPr>
      <w:r w:rsidRPr="0069649A">
        <w:rPr>
          <w:rFonts w:asciiTheme="majorHAnsi" w:hAnsiTheme="majorHAnsi"/>
          <w:b/>
        </w:rPr>
        <w:t>Methods</w:t>
      </w:r>
    </w:p>
    <w:p w14:paraId="353EBFE0" w14:textId="3613234E" w:rsidR="00225F5B" w:rsidRPr="0069649A" w:rsidRDefault="007276E8" w:rsidP="00FE1537">
      <w:pPr>
        <w:spacing w:line="480" w:lineRule="auto"/>
        <w:jc w:val="both"/>
        <w:rPr>
          <w:rFonts w:asciiTheme="majorHAnsi" w:hAnsiTheme="majorHAnsi"/>
        </w:rPr>
      </w:pPr>
      <w:r w:rsidRPr="0069649A">
        <w:rPr>
          <w:rFonts w:asciiTheme="majorHAnsi" w:hAnsiTheme="majorHAnsi"/>
        </w:rPr>
        <w:t xml:space="preserve">We </w:t>
      </w:r>
      <w:r w:rsidR="00866902" w:rsidRPr="0069649A">
        <w:rPr>
          <w:rFonts w:asciiTheme="majorHAnsi" w:hAnsiTheme="majorHAnsi"/>
        </w:rPr>
        <w:t>retrospectively collected socio-demographic data (including age, race, sex, social care needs, type of residence), comorbiditi</w:t>
      </w:r>
      <w:r w:rsidR="007A624C" w:rsidRPr="0069649A">
        <w:rPr>
          <w:rFonts w:asciiTheme="majorHAnsi" w:hAnsiTheme="majorHAnsi"/>
        </w:rPr>
        <w:t>es, symptoms at presentation and/or</w:t>
      </w:r>
      <w:r w:rsidR="00866902" w:rsidRPr="0069649A">
        <w:rPr>
          <w:rFonts w:asciiTheme="majorHAnsi" w:hAnsiTheme="majorHAnsi"/>
        </w:rPr>
        <w:t xml:space="preserve"> during admission, biochemical and radiological data and outcomes at 28 days in a cohort of</w:t>
      </w:r>
      <w:r w:rsidR="00975D6A" w:rsidRPr="0069649A">
        <w:rPr>
          <w:rFonts w:asciiTheme="majorHAnsi" w:hAnsiTheme="majorHAnsi"/>
        </w:rPr>
        <w:t xml:space="preserve"> </w:t>
      </w:r>
      <w:r w:rsidR="00412351" w:rsidRPr="0069649A">
        <w:rPr>
          <w:rFonts w:asciiTheme="majorHAnsi" w:hAnsiTheme="majorHAnsi"/>
        </w:rPr>
        <w:t xml:space="preserve">124 </w:t>
      </w:r>
      <w:r w:rsidR="00975D6A" w:rsidRPr="0069649A">
        <w:rPr>
          <w:rFonts w:asciiTheme="majorHAnsi" w:hAnsiTheme="majorHAnsi"/>
        </w:rPr>
        <w:t>older</w:t>
      </w:r>
      <w:r w:rsidR="00866902" w:rsidRPr="0069649A">
        <w:rPr>
          <w:rFonts w:asciiTheme="majorHAnsi" w:hAnsiTheme="majorHAnsi"/>
        </w:rPr>
        <w:t xml:space="preserve"> adults</w:t>
      </w:r>
      <w:r w:rsidR="005B4A22" w:rsidRPr="0069649A">
        <w:rPr>
          <w:rFonts w:asciiTheme="majorHAnsi" w:hAnsiTheme="majorHAnsi"/>
        </w:rPr>
        <w:t xml:space="preserve"> consecutive</w:t>
      </w:r>
      <w:r w:rsidR="00866902" w:rsidRPr="0069649A">
        <w:rPr>
          <w:rFonts w:asciiTheme="majorHAnsi" w:hAnsiTheme="majorHAnsi"/>
        </w:rPr>
        <w:t>ly admitted</w:t>
      </w:r>
      <w:r w:rsidR="005B4A22" w:rsidRPr="0069649A">
        <w:rPr>
          <w:rFonts w:asciiTheme="majorHAnsi" w:hAnsiTheme="majorHAnsi"/>
        </w:rPr>
        <w:t xml:space="preserve"> with suspected </w:t>
      </w:r>
      <w:r w:rsidR="005C7F22" w:rsidRPr="0069649A">
        <w:rPr>
          <w:rFonts w:asciiTheme="majorHAnsi" w:hAnsiTheme="majorHAnsi"/>
        </w:rPr>
        <w:t>COVID-19</w:t>
      </w:r>
      <w:r w:rsidR="00A046D5" w:rsidRPr="0069649A">
        <w:rPr>
          <w:rFonts w:asciiTheme="majorHAnsi" w:hAnsiTheme="majorHAnsi"/>
        </w:rPr>
        <w:t xml:space="preserve"> disease</w:t>
      </w:r>
      <w:r w:rsidR="003A31BA" w:rsidRPr="0069649A">
        <w:rPr>
          <w:rFonts w:asciiTheme="majorHAnsi" w:hAnsiTheme="majorHAnsi"/>
        </w:rPr>
        <w:t xml:space="preserve"> </w:t>
      </w:r>
      <w:r w:rsidR="001C74E2" w:rsidRPr="0069649A">
        <w:rPr>
          <w:rFonts w:asciiTheme="majorHAnsi" w:hAnsiTheme="majorHAnsi"/>
        </w:rPr>
        <w:t xml:space="preserve">from the Emergency Department to the </w:t>
      </w:r>
      <w:r w:rsidR="00975D6A" w:rsidRPr="0069649A">
        <w:rPr>
          <w:rFonts w:asciiTheme="majorHAnsi" w:hAnsiTheme="majorHAnsi"/>
        </w:rPr>
        <w:t xml:space="preserve">two </w:t>
      </w:r>
      <w:r w:rsidR="00F25A28" w:rsidRPr="0069649A">
        <w:rPr>
          <w:rFonts w:asciiTheme="majorHAnsi" w:hAnsiTheme="majorHAnsi"/>
        </w:rPr>
        <w:t xml:space="preserve">older people’s services </w:t>
      </w:r>
      <w:r w:rsidR="00866902" w:rsidRPr="0069649A">
        <w:rPr>
          <w:rFonts w:asciiTheme="majorHAnsi" w:hAnsiTheme="majorHAnsi"/>
        </w:rPr>
        <w:t>ward</w:t>
      </w:r>
      <w:r w:rsidR="00975D6A" w:rsidRPr="0069649A">
        <w:rPr>
          <w:rFonts w:asciiTheme="majorHAnsi" w:hAnsiTheme="majorHAnsi"/>
        </w:rPr>
        <w:t>s</w:t>
      </w:r>
      <w:r w:rsidR="005B4A22" w:rsidRPr="0069649A">
        <w:rPr>
          <w:rFonts w:asciiTheme="majorHAnsi" w:hAnsiTheme="majorHAnsi"/>
        </w:rPr>
        <w:t xml:space="preserve"> </w:t>
      </w:r>
      <w:r w:rsidR="002057D2" w:rsidRPr="0069649A">
        <w:rPr>
          <w:rFonts w:asciiTheme="majorHAnsi" w:hAnsiTheme="majorHAnsi"/>
        </w:rPr>
        <w:t>at the Royal London Hospital</w:t>
      </w:r>
      <w:r w:rsidR="001C74E2" w:rsidRPr="0069649A">
        <w:rPr>
          <w:rFonts w:asciiTheme="majorHAnsi" w:hAnsiTheme="majorHAnsi"/>
        </w:rPr>
        <w:t xml:space="preserve"> between</w:t>
      </w:r>
      <w:r w:rsidRPr="0069649A">
        <w:rPr>
          <w:rFonts w:asciiTheme="majorHAnsi" w:hAnsiTheme="majorHAnsi"/>
        </w:rPr>
        <w:t xml:space="preserve"> 15</w:t>
      </w:r>
      <w:r w:rsidRPr="0069649A">
        <w:rPr>
          <w:rFonts w:asciiTheme="majorHAnsi" w:hAnsiTheme="majorHAnsi"/>
          <w:vertAlign w:val="superscript"/>
        </w:rPr>
        <w:t>th</w:t>
      </w:r>
      <w:r w:rsidRPr="0069649A">
        <w:rPr>
          <w:rFonts w:asciiTheme="majorHAnsi" w:hAnsiTheme="majorHAnsi"/>
        </w:rPr>
        <w:t xml:space="preserve"> March 2020 and the 30</w:t>
      </w:r>
      <w:r w:rsidRPr="0069649A">
        <w:rPr>
          <w:rFonts w:asciiTheme="majorHAnsi" w:hAnsiTheme="majorHAnsi"/>
          <w:vertAlign w:val="superscript"/>
        </w:rPr>
        <w:t>th</w:t>
      </w:r>
      <w:r w:rsidRPr="0069649A">
        <w:rPr>
          <w:rFonts w:asciiTheme="majorHAnsi" w:hAnsiTheme="majorHAnsi"/>
        </w:rPr>
        <w:t xml:space="preserve"> April 2020, the first UK wave of the coronavirus pandemic.</w:t>
      </w:r>
      <w:r w:rsidR="00434E20" w:rsidRPr="0069649A">
        <w:rPr>
          <w:rFonts w:asciiTheme="majorHAnsi" w:hAnsiTheme="majorHAnsi"/>
        </w:rPr>
        <w:t xml:space="preserve"> </w:t>
      </w:r>
      <w:r w:rsidR="00A046D5" w:rsidRPr="0069649A">
        <w:rPr>
          <w:rFonts w:asciiTheme="majorHAnsi" w:hAnsiTheme="majorHAnsi"/>
        </w:rPr>
        <w:t xml:space="preserve"> </w:t>
      </w:r>
      <w:r w:rsidR="001C74E2" w:rsidRPr="0069649A">
        <w:rPr>
          <w:rFonts w:asciiTheme="majorHAnsi" w:hAnsiTheme="majorHAnsi"/>
        </w:rPr>
        <w:t>The criteria for admission to our unit w</w:t>
      </w:r>
      <w:r w:rsidR="00F25A28" w:rsidRPr="0069649A">
        <w:rPr>
          <w:rFonts w:asciiTheme="majorHAnsi" w:hAnsiTheme="majorHAnsi"/>
        </w:rPr>
        <w:t>ere patients aged</w:t>
      </w:r>
      <w:r w:rsidR="001C74E2" w:rsidRPr="0069649A">
        <w:rPr>
          <w:rFonts w:asciiTheme="majorHAnsi" w:hAnsiTheme="majorHAnsi"/>
        </w:rPr>
        <w:t xml:space="preserve"> above the age of 65 years w</w:t>
      </w:r>
      <w:r w:rsidR="00F25A28" w:rsidRPr="0069649A">
        <w:rPr>
          <w:rFonts w:asciiTheme="majorHAnsi" w:hAnsiTheme="majorHAnsi"/>
        </w:rPr>
        <w:t>ho had</w:t>
      </w:r>
      <w:r w:rsidR="001C74E2" w:rsidRPr="0069649A">
        <w:rPr>
          <w:rFonts w:asciiTheme="majorHAnsi" w:hAnsiTheme="majorHAnsi"/>
        </w:rPr>
        <w:t xml:space="preserve"> significant needs </w:t>
      </w:r>
      <w:r w:rsidR="00F25A28" w:rsidRPr="0069649A">
        <w:rPr>
          <w:rFonts w:asciiTheme="majorHAnsi" w:hAnsiTheme="majorHAnsi"/>
        </w:rPr>
        <w:t>and comorbidities that</w:t>
      </w:r>
      <w:r w:rsidR="001C74E2" w:rsidRPr="0069649A">
        <w:rPr>
          <w:rFonts w:asciiTheme="majorHAnsi" w:hAnsiTheme="majorHAnsi"/>
        </w:rPr>
        <w:t xml:space="preserve"> would benefit from being under the care of a geriatrician</w:t>
      </w:r>
      <w:r w:rsidR="00AC17AA" w:rsidRPr="0069649A">
        <w:rPr>
          <w:rFonts w:asciiTheme="majorHAnsi" w:hAnsiTheme="majorHAnsi"/>
        </w:rPr>
        <w:t>.</w:t>
      </w:r>
    </w:p>
    <w:p w14:paraId="6455C788" w14:textId="49D4A7E3" w:rsidR="002057D2" w:rsidRPr="0069649A" w:rsidRDefault="002057D2" w:rsidP="00FE1537">
      <w:pPr>
        <w:spacing w:line="480" w:lineRule="auto"/>
        <w:jc w:val="both"/>
        <w:rPr>
          <w:rFonts w:asciiTheme="majorHAnsi" w:hAnsiTheme="majorHAnsi"/>
        </w:rPr>
      </w:pPr>
    </w:p>
    <w:p w14:paraId="7035359A" w14:textId="65E35BA7" w:rsidR="00434E20" w:rsidRPr="0069649A" w:rsidRDefault="002057D2" w:rsidP="00FE1537">
      <w:pPr>
        <w:spacing w:line="480" w:lineRule="auto"/>
        <w:jc w:val="both"/>
        <w:rPr>
          <w:rFonts w:asciiTheme="majorHAnsi" w:hAnsiTheme="majorHAnsi"/>
        </w:rPr>
      </w:pPr>
      <w:r w:rsidRPr="0069649A">
        <w:rPr>
          <w:rFonts w:asciiTheme="majorHAnsi" w:hAnsiTheme="majorHAnsi"/>
        </w:rPr>
        <w:t>This study was performed as a sub-population analysis within the Ethnicity and outcomes in patients hospitalised with COVID-19 infection in East London (ETHICAL) study</w:t>
      </w:r>
      <w:r w:rsidR="00372875" w:rsidRPr="0069649A">
        <w:rPr>
          <w:rFonts w:asciiTheme="majorHAnsi" w:hAnsiTheme="majorHAnsi"/>
        </w:rPr>
        <w:t xml:space="preserve"> </w:t>
      </w:r>
      <w:r w:rsidR="00EB42E9"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{"citationItems":[{"id":"ITEM-1","itemData":{"DOI":"10.1136/bmjopen-2020-042140","abstract":"Objective To describe outcomes within different ethnic groups of a cohort of hospitalised patients with confirmed COVID-19 infection. To quantify and describe the impact of a number of prognostic factors, including frailty and inflammatory markers.Setting Five acute National Health Service Hospitals in east London.Design Prospectively defined observational study using registry data.Participants 1737 patients aged 16 years or over admitted to hospital with confirmed COVID-19 infection between 1 January and 13 May 2020.Main outcome measures The primary outcome was 30-day mortality from time of first hospital admission with COVID-19 diagnosis during or prior to admission. Secondary outcomes were 90-day mortality, intensive care unit (ICU) admission, ICU and hospital length of stay and type and duration of organ support. Multivariable survival analyses were adjusted for potential confounders.Results 1737 were included in our analysis of whom 511 had died by day 30 (29%). 538 (31%) were from Asian, 340 (20%) black and 707 (40%) white backgrounds. Compared with white patients, those from minority ethnic backgrounds were younger, with differing comorbidity profiles and less frailty. Asian and black patients were more likely to be admitted to ICU and to receive invasive ventilation (OR 1.54, (95% CI 1.06 to 2.23); p=0.023 and OR 1.80 (95% CI 1.20 to 2.71); p=0.005, respectively). After adjustment for age and sex, patients from Asian (HR 1.49 (95% CI 1.19 to 1.86); p&amp;amp;lt;0.001) and black (HR 1.30 (95% CI 1.02 to 1.65); p=0.036) backgrounds were more likely to die. These findings persisted across a range of risk factor-adjusted analyses accounting for major comorbidities, obesity, smoking, frailty and ABO blood group.Conclusions Patients from Asian and black backgrounds had higher mortality from COVID-19 infection despite controlling for all previously identified confounders and frailty. Higher rates of invasive ventilation indicate greater acute disease severity. Our analyses suggest that patients of Asian and black backgrounds suffered disproportionate rates of premature death from COVID-19.","author":[{"dropping-particle":"","family":"Apea","given":"Vanessa J","non-dropping-particle":"","parse-names":false,"suffix":""},{"dropping-particle":"","family":"Wan","given":"Yize I","non-dropping-particle":"","parse-names":false,"suffix":""},{"dropping-particle":"","family":"Dhairyawan","given":"Rageshri","non-dropping-particle":"","parse-names":false,"suffix":""},{"dropping-particle":"","family":"Puthucheary","given":"Zudin A","non-dropping-particle":"","parse-names":false,"suffix":""},{"dropping-particle":"","family":"Pearse","given":"Rupert M","non-dropping-particle":"","parse-names":false,"suffix":""},{"dropping-particle":"","family":"Orkin","given":"Chloe M","non-dropping-particle":"","parse-names":false,"suffix":""},{"dropping-particle":"","family":"Prowle","given":"John R","non-dropping-particle":"","parse-names":false,"suffix":""}],"container-title":"BMJ Open","id":"ITEM-1","issue":"1","issued":{"date-parts":[["2021","1","1"]]},"page":"e042140","title":"Ethnicity and outcomes in patients hospitalised with COVID-19 infection in East London: an observational cohort study","type":"article-journal","volume":"11"},"uris":["http://www.mendeley.com/documents/?uuid=34247381-d260-4655-b840-1ee0a85057db"]}],"mendeley":{"formattedCitation":"[13]","plainTextFormattedCitation":"[13]","previouslyFormattedCitation":"(13)"},"properties":{"noteIndex":0},"schema":"https://github.com/citation-style-language/schema/raw/master/csl-citation.json"}</w:instrText>
      </w:r>
      <w:r w:rsidR="00EB42E9" w:rsidRPr="0069649A">
        <w:rPr>
          <w:rFonts w:asciiTheme="majorHAnsi" w:hAnsiTheme="majorHAnsi"/>
        </w:rPr>
        <w:fldChar w:fldCharType="separate"/>
      </w:r>
      <w:r w:rsidR="00982414" w:rsidRPr="0069649A">
        <w:rPr>
          <w:rFonts w:asciiTheme="majorHAnsi" w:hAnsiTheme="majorHAnsi"/>
          <w:noProof/>
        </w:rPr>
        <w:t>[13]</w:t>
      </w:r>
      <w:r w:rsidR="00EB42E9" w:rsidRPr="0069649A">
        <w:rPr>
          <w:rFonts w:asciiTheme="majorHAnsi" w:hAnsiTheme="majorHAnsi"/>
        </w:rPr>
        <w:fldChar w:fldCharType="end"/>
      </w:r>
      <w:r w:rsidR="00372875" w:rsidRPr="0069649A">
        <w:rPr>
          <w:rFonts w:asciiTheme="majorHAnsi" w:hAnsiTheme="majorHAnsi"/>
        </w:rPr>
        <w:t>,</w:t>
      </w:r>
      <w:r w:rsidR="002B33B1" w:rsidRPr="0069649A">
        <w:rPr>
          <w:rFonts w:asciiTheme="majorHAnsi" w:hAnsiTheme="majorHAnsi"/>
        </w:rPr>
        <w:t xml:space="preserve"> </w:t>
      </w:r>
      <w:r w:rsidRPr="0069649A">
        <w:rPr>
          <w:rFonts w:asciiTheme="majorHAnsi" w:hAnsiTheme="majorHAnsi"/>
        </w:rPr>
        <w:t>involving analysis of routinely collected patient data by members of the usual care team and approved by NHS England Health Research Authority (IRAS Project ID 283512).</w:t>
      </w:r>
    </w:p>
    <w:p w14:paraId="4F67D84E" w14:textId="20722D38" w:rsidR="00560925" w:rsidRPr="0069649A" w:rsidRDefault="00866902" w:rsidP="00FE1537">
      <w:pPr>
        <w:spacing w:line="480" w:lineRule="auto"/>
        <w:jc w:val="both"/>
        <w:rPr>
          <w:rFonts w:asciiTheme="majorHAnsi" w:hAnsiTheme="majorHAnsi"/>
        </w:rPr>
      </w:pPr>
      <w:r w:rsidRPr="0069649A">
        <w:rPr>
          <w:rFonts w:asciiTheme="majorHAnsi" w:hAnsiTheme="majorHAnsi"/>
        </w:rPr>
        <w:t xml:space="preserve">The cohort included patients </w:t>
      </w:r>
      <w:r w:rsidR="00B40670" w:rsidRPr="0069649A">
        <w:rPr>
          <w:rFonts w:asciiTheme="majorHAnsi" w:hAnsiTheme="majorHAnsi"/>
        </w:rPr>
        <w:t xml:space="preserve">above the age of 65 years of age </w:t>
      </w:r>
      <w:r w:rsidRPr="0069649A">
        <w:rPr>
          <w:rFonts w:asciiTheme="majorHAnsi" w:hAnsiTheme="majorHAnsi"/>
        </w:rPr>
        <w:t>with</w:t>
      </w:r>
      <w:r w:rsidR="005B4A22" w:rsidRPr="0069649A">
        <w:rPr>
          <w:rFonts w:asciiTheme="majorHAnsi" w:hAnsiTheme="majorHAnsi"/>
        </w:rPr>
        <w:t xml:space="preserve"> a positive</w:t>
      </w:r>
      <w:r w:rsidRPr="0069649A">
        <w:rPr>
          <w:rFonts w:asciiTheme="majorHAnsi" w:hAnsiTheme="majorHAnsi"/>
        </w:rPr>
        <w:t xml:space="preserve"> s</w:t>
      </w:r>
      <w:r w:rsidR="005B4A22" w:rsidRPr="0069649A">
        <w:rPr>
          <w:rFonts w:asciiTheme="majorHAnsi" w:hAnsiTheme="majorHAnsi"/>
        </w:rPr>
        <w:t>wab (PCR-</w:t>
      </w:r>
      <w:r w:rsidR="00797DAA" w:rsidRPr="0069649A">
        <w:rPr>
          <w:rFonts w:ascii="Calibri" w:hAnsi="Calibri" w:cs="Arial"/>
          <w:shd w:val="clear" w:color="auto" w:fill="FFFFFF"/>
        </w:rPr>
        <w:t>SARS-CoV-2</w:t>
      </w:r>
      <w:r w:rsidR="00797DAA" w:rsidRPr="0069649A">
        <w:rPr>
          <w:rFonts w:asciiTheme="majorHAnsi" w:hAnsiTheme="majorHAnsi"/>
        </w:rPr>
        <w:t>)</w:t>
      </w:r>
      <w:r w:rsidR="005B4A22" w:rsidRPr="0069649A">
        <w:rPr>
          <w:rFonts w:asciiTheme="majorHAnsi" w:hAnsiTheme="majorHAnsi"/>
        </w:rPr>
        <w:t xml:space="preserve"> </w:t>
      </w:r>
      <w:r w:rsidR="00412351" w:rsidRPr="0069649A">
        <w:rPr>
          <w:rFonts w:asciiTheme="majorHAnsi" w:hAnsiTheme="majorHAnsi"/>
        </w:rPr>
        <w:t xml:space="preserve">(n=102) </w:t>
      </w:r>
      <w:r w:rsidR="005B4A22" w:rsidRPr="0069649A">
        <w:rPr>
          <w:rFonts w:asciiTheme="majorHAnsi" w:hAnsiTheme="majorHAnsi"/>
        </w:rPr>
        <w:t xml:space="preserve">and/or high clinical suspicion of </w:t>
      </w:r>
      <w:r w:rsidR="005C7F22" w:rsidRPr="0069649A">
        <w:rPr>
          <w:rFonts w:asciiTheme="majorHAnsi" w:hAnsiTheme="majorHAnsi"/>
        </w:rPr>
        <w:t>COVID-19</w:t>
      </w:r>
      <w:r w:rsidR="005B4A22" w:rsidRPr="0069649A">
        <w:rPr>
          <w:rFonts w:asciiTheme="majorHAnsi" w:hAnsiTheme="majorHAnsi"/>
        </w:rPr>
        <w:t xml:space="preserve"> disease</w:t>
      </w:r>
      <w:r w:rsidR="0091782D" w:rsidRPr="0069649A">
        <w:rPr>
          <w:rFonts w:asciiTheme="majorHAnsi" w:hAnsiTheme="majorHAnsi"/>
        </w:rPr>
        <w:t xml:space="preserve"> who were swab negative</w:t>
      </w:r>
      <w:r w:rsidR="00412351" w:rsidRPr="0069649A">
        <w:rPr>
          <w:rFonts w:asciiTheme="majorHAnsi" w:hAnsiTheme="majorHAnsi"/>
        </w:rPr>
        <w:t xml:space="preserve"> (n=22)</w:t>
      </w:r>
      <w:r w:rsidR="005B4A22" w:rsidRPr="0069649A">
        <w:rPr>
          <w:rFonts w:asciiTheme="majorHAnsi" w:hAnsiTheme="majorHAnsi"/>
        </w:rPr>
        <w:t>.</w:t>
      </w:r>
      <w:r w:rsidR="00975D6A" w:rsidRPr="0069649A">
        <w:rPr>
          <w:rFonts w:asciiTheme="majorHAnsi" w:hAnsiTheme="majorHAnsi"/>
        </w:rPr>
        <w:t xml:space="preserve"> </w:t>
      </w:r>
      <w:r w:rsidR="00577C92" w:rsidRPr="0069649A">
        <w:rPr>
          <w:rFonts w:asciiTheme="majorHAnsi" w:hAnsiTheme="majorHAnsi"/>
        </w:rPr>
        <w:t xml:space="preserve">Acute Kidney Injury </w:t>
      </w:r>
      <w:r w:rsidR="00E936CF" w:rsidRPr="0069649A">
        <w:rPr>
          <w:rFonts w:asciiTheme="majorHAnsi" w:hAnsiTheme="majorHAnsi"/>
        </w:rPr>
        <w:t xml:space="preserve">(AKI) </w:t>
      </w:r>
      <w:r w:rsidR="00577C92" w:rsidRPr="0069649A">
        <w:rPr>
          <w:rFonts w:asciiTheme="majorHAnsi" w:hAnsiTheme="majorHAnsi"/>
        </w:rPr>
        <w:t xml:space="preserve">was </w:t>
      </w:r>
      <w:r w:rsidR="004177C4" w:rsidRPr="0069649A">
        <w:rPr>
          <w:rFonts w:asciiTheme="majorHAnsi" w:hAnsiTheme="majorHAnsi"/>
        </w:rPr>
        <w:t>diagnosed</w:t>
      </w:r>
      <w:r w:rsidR="00577C92" w:rsidRPr="0069649A">
        <w:rPr>
          <w:rFonts w:asciiTheme="majorHAnsi" w:hAnsiTheme="majorHAnsi"/>
        </w:rPr>
        <w:t xml:space="preserve"> using KDIGO criteria</w:t>
      </w:r>
      <w:r w:rsidR="00FC6060"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{"citationItems":[{"id":"ITEM-1","itemData":{"DOI":"10.1038/kisup.2012.1","ISSN":"21571716","abstract":"The 2011 Kidney Disease: Improving Global Outcomes (KDIGO) Clinical Practice Guideline for Acute Kidney Injury (AKI) aims to assist practitioners caring for adults and children at risk for or with AKI, including contrast-induced acute kidney injury (CI-AKI). Guideline development followed an explicit process of evidence review and appraisal. The guideline contains chapters on definition, risk assessment, evaluation, prevention, and treatment. Definition and staging of AKI are based on the Risk, Injury, Failure; Loss, End-Stage Renal Disease (RIFLE) and Acute Kidney Injury Network (AKIN) criteria and studies on risk relationships. The treatment chapters cover pharmacological approaches to prevent or treat AKI, and management of renal replacement for kidney failure from AKI. Guideline recommendations are based on systematic reviews of relevant trials. Appraisal of the quality of the evidence and the strength of recommendations followed the GRADE approach. Limitations of the evidence are discussed and specific suggestions are provided for future research.","author":[{"dropping-particle":"","family":"Kellum","given":"John A.","non-dropping-particle":"","parse-names":false,"suffix":""},{"dropping-particle":"","family":"Lameire","given":"Norbert","non-dropping-particle":"","parse-names":false,"suffix":""},{"dropping-particle":"","family":"Aspelin","given":"Peter","non-dropping-particle":"","parse-names":false,"suffix":""},{"dropping-particle":"","family":"Barsoum","given":"Rashad S.","non-dropping-particle":"","parse-names":false,"suffix":""},{"dropping-particle":"","family":"Burdmann","given":"Emmanuel A.","non-dropping-particle":"","parse-names":false,"suffix":""},{"dropping-particle":"","family":"Goldstein","given":"Stuart L.","non-dropping-particle":"","parse-names":false,"suffix":""},{"dropping-particle":"","family":"Herzog","given":"Charles A.","non-dropping-particle":"","parse-names":false,"suffix":""},{"dropping-particle":"","family":"Joannidis","given":"Michael","non-dropping-particle":"","parse-names":false,"suffix":""},{"dropping-particle":"","family":"Kribben","given":"Andreas","non-dropping-particle":"","parse-names":false,"suffix":""},{"dropping-particle":"","family":"Levey","given":"Andrew S.","non-dropping-particle":"","parse-names":false,"suffix":""},{"dropping-particle":"","family":"MacLeod","given":"Alison M.","non-dropping-particle":"","parse-names":false,"suffix":""},{"dropping-particle":"","family":"Mehta","given":"Ravindra L.","non-dropping-particle":"","parse-names":false,"suffix":""},{"dropping-particle":"","family":"Murray","given":"Patrick T.","non-dropping-particle":"","parse-names":false,"suffix":""},{"dropping-particle":"","family":"Naicker","given":"Saraladevi","non-dropping-particle":"","parse-names":false,"suffix":""},{"dropping-particle":"","family":"Opal","given":"Steven M.","non-dropping-particle":"","parse-names":false,"suffix":""},{"dropping-particle":"","family":"Schaefer","given":"Franz","non-dropping-particle":"","parse-names":false,"suffix":""},{"dropping-particle":"","family":"Schetz","given":"Miet","non-dropping-particle":"","parse-names":false,"suffix":""},{"dropping-particle":"","family":"Uchino","given":"Shigehiko","non-dropping-particle":"","parse-names":false,"suffix":""}],"container-title":"Kidney International Supplements","id":"ITEM-1","issued":{"date-parts":[["2012"]]},"title":"Kidney disease: Improving global outcomes (KDIGO) acute kidney injury work group. KDIGO clinical practice guideline for acute kidney injury","type":"article"},"uris":["http://www.mendeley.com/documents/?uuid=1861ab61-7ed2-40e3-b35b-1938ed1e7f7b"]}],"mendeley":{"formattedCitation":"[14]","plainTextFormattedCitation":"[14]","previouslyFormattedCitation":"(14)"},"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[14]</w:t>
      </w:r>
      <w:r w:rsidR="003D00D6" w:rsidRPr="0069649A">
        <w:rPr>
          <w:rFonts w:asciiTheme="majorHAnsi" w:hAnsiTheme="majorHAnsi"/>
        </w:rPr>
        <w:fldChar w:fldCharType="end"/>
      </w:r>
      <w:r w:rsidR="00FC6060" w:rsidRPr="0069649A">
        <w:rPr>
          <w:rFonts w:asciiTheme="majorHAnsi" w:hAnsiTheme="majorHAnsi"/>
        </w:rPr>
        <w:t xml:space="preserve">.  </w:t>
      </w:r>
      <w:r w:rsidR="00111B40" w:rsidRPr="0069649A">
        <w:rPr>
          <w:rFonts w:asciiTheme="majorHAnsi" w:hAnsiTheme="majorHAnsi"/>
        </w:rPr>
        <w:t>Pre</w:t>
      </w:r>
      <w:r w:rsidR="00A046D5" w:rsidRPr="0069649A">
        <w:rPr>
          <w:rFonts w:asciiTheme="majorHAnsi" w:hAnsiTheme="majorHAnsi"/>
        </w:rPr>
        <w:t>-</w:t>
      </w:r>
      <w:r w:rsidR="00111B40" w:rsidRPr="0069649A">
        <w:rPr>
          <w:rFonts w:asciiTheme="majorHAnsi" w:hAnsiTheme="majorHAnsi"/>
        </w:rPr>
        <w:t>admission f</w:t>
      </w:r>
      <w:r w:rsidR="00225F5B" w:rsidRPr="0069649A">
        <w:rPr>
          <w:rFonts w:asciiTheme="majorHAnsi" w:hAnsiTheme="majorHAnsi"/>
        </w:rPr>
        <w:t xml:space="preserve">railty was assessed </w:t>
      </w:r>
      <w:r w:rsidR="00E46E20" w:rsidRPr="0069649A">
        <w:rPr>
          <w:rFonts w:asciiTheme="majorHAnsi" w:hAnsiTheme="majorHAnsi"/>
        </w:rPr>
        <w:t xml:space="preserve">on admission by the Emergency Department, and for this study retrospectively </w:t>
      </w:r>
      <w:r w:rsidR="00225F5B" w:rsidRPr="0069649A">
        <w:rPr>
          <w:rFonts w:asciiTheme="majorHAnsi" w:hAnsiTheme="majorHAnsi"/>
        </w:rPr>
        <w:t xml:space="preserve">by </w:t>
      </w:r>
      <w:r w:rsidR="00111B40" w:rsidRPr="0069649A">
        <w:rPr>
          <w:rFonts w:asciiTheme="majorHAnsi" w:hAnsiTheme="majorHAnsi"/>
        </w:rPr>
        <w:t xml:space="preserve">two geriatricians </w:t>
      </w:r>
      <w:r w:rsidR="00225F5B" w:rsidRPr="0069649A">
        <w:rPr>
          <w:rFonts w:asciiTheme="majorHAnsi" w:hAnsiTheme="majorHAnsi"/>
        </w:rPr>
        <w:t>using th</w:t>
      </w:r>
      <w:r w:rsidR="00D57A08" w:rsidRPr="0069649A">
        <w:rPr>
          <w:rFonts w:asciiTheme="majorHAnsi" w:hAnsiTheme="majorHAnsi"/>
        </w:rPr>
        <w:t xml:space="preserve">e Rockwood Clinical Frailty </w:t>
      </w:r>
      <w:r w:rsidR="00C00503" w:rsidRPr="0069649A">
        <w:rPr>
          <w:rFonts w:asciiTheme="majorHAnsi" w:hAnsiTheme="majorHAnsi"/>
        </w:rPr>
        <w:t>Scale</w:t>
      </w:r>
      <w:r w:rsidR="008C5C17" w:rsidRPr="0069649A">
        <w:rPr>
          <w:rFonts w:asciiTheme="majorHAnsi" w:hAnsiTheme="majorHAnsi"/>
        </w:rPr>
        <w:t xml:space="preserve"> (CFS)</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{"citationItems":[{"id":"ITEM-1","itemData":{"DOI":"10.1503/cmaj.050051","ISSN":"08203946","PMID":"16129869","abstract":"Background: There is no single generally accepted clinical definition of frailty. Previously developed tools to assess frailty that have been shown to be predictive of death or need for entry into an institutional facility have not gained acceptance among practising clinicians. We aimed to develop a tool that would be both predictive and easy to use. Methods: We developed the 7-point Clinical Frailty Scale and applied it and other established tools that measure frailty to 2305 elderly patients who participated in the second stage of the Canadian Study of Health and Aging (CSHA). We followed this cohort prospectively; after 5 years, we determined the ability of the Clinical Frailty Scale to predict death or need for institutional care, and correlated the results with those obtained from other established tools. Results: The CSHA Clinical Frailty Scale was highly correlated (r = 0.80) with the Frailty Index. Each 1-category increment of our scale significantly increased the medium-term risks of death (21.2% within about 70 mo, 95% confidence interval [CI] 12.5%-30.6%) and entry into an institution (23.9%, 95% CI 8.8%-41.2%) in multivariable models that adjusted for age, sex and education. Analyses of receiver operating characteristic curves showed that our Clinical Frailty Scale performed better than measures of cognition, function or comorbidity in assessing risk for death (area under the curve 0.77 for 18-month and 0.70 for 70-month mortality). Interpretation: Frailty is a valid and clinically important construct that is recognizable by physicians. Clinical judgments about frailty can yield useful predictive information. © 2005 CMA Media Inc. or its licensors.","author":[{"dropping-particle":"","family":"Rockwood","given":"Kenneth","non-dropping-particle":"","parse-names":false,"suffix":""},{"dropping-particle":"","family":"Song","given":"Xiaowei","non-dropping-particle":"","parse-names":false,"suffix":""},{"dropping-particle":"","family":"MacKnight","given":"Chris","non-dropping-particle":"","parse-names":false,"suffix":""},{"dropping-particle":"","family":"Bergman","given":"Howard","non-dropping-particle":"","parse-names":false,"suffix":""},{"dropping-particle":"","family":"Hogan","given":"David B.","non-dropping-particle":"","parse-names":false,"suffix":""},{"dropping-particle":"","family":"McDowell","given":"Ian","non-dropping-particle":"","parse-names":false,"suffix":""},{"dropping-particle":"","family":"Mitnitski","given":"Arnold","non-dropping-particle":"","parse-names":false,"suffix":""}],"container-title":"CMAJ","id":"ITEM-1","issued":{"date-parts":[["2005"]]},"title":"A global clinical measure of fitness and frailty in elderly people","type":"article-journal"},"uris":["http://www.mendeley.com/documents/?uuid=d5328247-985b-457b-ac04-356b3c977ad7"]}],"mendeley":{"formattedCitation":"[15]","plainTextFormattedCitation":"[15]","previouslyFormattedCitation":"(15)"},"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[15]</w:t>
      </w:r>
      <w:r w:rsidR="003D00D6" w:rsidRPr="0069649A">
        <w:rPr>
          <w:rFonts w:asciiTheme="majorHAnsi" w:hAnsiTheme="majorHAnsi"/>
        </w:rPr>
        <w:fldChar w:fldCharType="end"/>
      </w:r>
      <w:r w:rsidR="00372875" w:rsidRPr="0069649A">
        <w:rPr>
          <w:rFonts w:asciiTheme="majorHAnsi" w:hAnsiTheme="majorHAnsi"/>
        </w:rPr>
        <w:t>,</w:t>
      </w:r>
      <w:r w:rsidR="002B33B1" w:rsidRPr="0069649A">
        <w:rPr>
          <w:rFonts w:asciiTheme="majorHAnsi" w:hAnsiTheme="majorHAnsi"/>
          <w:noProof/>
          <w:vertAlign w:val="superscript"/>
        </w:rPr>
        <w:t xml:space="preserve"> </w:t>
      </w:r>
      <w:r w:rsidR="00CF5336" w:rsidRPr="0069649A">
        <w:rPr>
          <w:rFonts w:asciiTheme="majorHAnsi" w:hAnsiTheme="majorHAnsi"/>
        </w:rPr>
        <w:t>a</w:t>
      </w:r>
      <w:r w:rsidR="00D57A08" w:rsidRPr="0069649A">
        <w:rPr>
          <w:rFonts w:asciiTheme="majorHAnsi" w:hAnsiTheme="majorHAnsi"/>
        </w:rPr>
        <w:t xml:space="preserve"> </w:t>
      </w:r>
      <w:r w:rsidR="00225F5B" w:rsidRPr="0069649A">
        <w:rPr>
          <w:rFonts w:asciiTheme="majorHAnsi" w:hAnsiTheme="majorHAnsi"/>
        </w:rPr>
        <w:t xml:space="preserve">common and </w:t>
      </w:r>
      <w:r w:rsidR="00CF5336" w:rsidRPr="0069649A">
        <w:rPr>
          <w:rFonts w:asciiTheme="majorHAnsi" w:hAnsiTheme="majorHAnsi"/>
        </w:rPr>
        <w:t>validated</w:t>
      </w:r>
      <w:r w:rsidR="00975D6A" w:rsidRPr="0069649A">
        <w:rPr>
          <w:rFonts w:asciiTheme="majorHAnsi" w:hAnsiTheme="majorHAnsi"/>
        </w:rPr>
        <w:t xml:space="preserve"> </w:t>
      </w:r>
      <w:r w:rsidR="00B40670" w:rsidRPr="0069649A">
        <w:rPr>
          <w:rFonts w:asciiTheme="majorHAnsi" w:hAnsiTheme="majorHAnsi"/>
        </w:rPr>
        <w:t>clinical assessment</w:t>
      </w:r>
      <w:r w:rsidR="00225F5B" w:rsidRPr="0069649A">
        <w:rPr>
          <w:rFonts w:asciiTheme="majorHAnsi" w:hAnsiTheme="majorHAnsi"/>
        </w:rPr>
        <w:t xml:space="preserve"> tool</w:t>
      </w:r>
      <w:r w:rsidR="00852197" w:rsidRPr="0069649A">
        <w:rPr>
          <w:rFonts w:asciiTheme="majorHAnsi" w:hAnsiTheme="majorHAnsi"/>
        </w:rPr>
        <w:t>.</w:t>
      </w:r>
      <w:r w:rsidR="00111B40" w:rsidRPr="0069649A">
        <w:rPr>
          <w:rFonts w:asciiTheme="majorHAnsi" w:hAnsiTheme="majorHAnsi"/>
        </w:rPr>
        <w:t xml:space="preserve"> </w:t>
      </w:r>
      <w:r w:rsidR="00837CB0" w:rsidRPr="0069649A">
        <w:rPr>
          <w:rFonts w:asciiTheme="majorHAnsi" w:hAnsiTheme="majorHAnsi"/>
        </w:rPr>
        <w:t xml:space="preserve"> The tool has recently been updated but we have used the original </w:t>
      </w:r>
      <w:r w:rsidR="002B33B1" w:rsidRPr="0069649A">
        <w:rPr>
          <w:rFonts w:asciiTheme="majorHAnsi" w:hAnsiTheme="majorHAnsi"/>
        </w:rPr>
        <w:t>criteria,</w:t>
      </w:r>
      <w:r w:rsidR="00837CB0" w:rsidRPr="0069649A">
        <w:rPr>
          <w:rFonts w:asciiTheme="majorHAnsi" w:hAnsiTheme="majorHAnsi"/>
        </w:rPr>
        <w:t xml:space="preserve"> as at the time of data collection</w:t>
      </w:r>
      <w:r w:rsidR="005A5190" w:rsidRPr="0069649A">
        <w:rPr>
          <w:rFonts w:asciiTheme="majorHAnsi" w:hAnsiTheme="majorHAnsi"/>
        </w:rPr>
        <w:t>,</w:t>
      </w:r>
      <w:r w:rsidR="00837CB0" w:rsidRPr="0069649A">
        <w:rPr>
          <w:rFonts w:asciiTheme="majorHAnsi" w:hAnsiTheme="majorHAnsi"/>
        </w:rPr>
        <w:t xml:space="preserve"> that was what was</w:t>
      </w:r>
      <w:r w:rsidR="00412944" w:rsidRPr="0069649A">
        <w:rPr>
          <w:rFonts w:asciiTheme="majorHAnsi" w:hAnsiTheme="majorHAnsi"/>
        </w:rPr>
        <w:t xml:space="preserve"> available</w:t>
      </w:r>
      <w:r w:rsidR="00837CB0" w:rsidRPr="0069649A">
        <w:rPr>
          <w:rFonts w:asciiTheme="majorHAnsi" w:hAnsiTheme="majorHAnsi"/>
        </w:rPr>
        <w:t>.</w:t>
      </w:r>
      <w:r w:rsidR="005A5190" w:rsidRPr="0069649A">
        <w:rPr>
          <w:rFonts w:asciiTheme="majorHAnsi" w:hAnsiTheme="majorHAnsi"/>
        </w:rPr>
        <w:t xml:space="preserve">   </w:t>
      </w:r>
      <w:r w:rsidR="00560925" w:rsidRPr="0069649A">
        <w:rPr>
          <w:rFonts w:asciiTheme="majorHAnsi" w:hAnsiTheme="majorHAnsi"/>
        </w:rPr>
        <w:t xml:space="preserve">The </w:t>
      </w:r>
      <w:r w:rsidR="005A5190" w:rsidRPr="0069649A">
        <w:rPr>
          <w:rFonts w:asciiTheme="majorHAnsi" w:hAnsiTheme="majorHAnsi"/>
        </w:rPr>
        <w:t xml:space="preserve">scale </w:t>
      </w:r>
      <w:r w:rsidR="00560925" w:rsidRPr="0069649A">
        <w:rPr>
          <w:rFonts w:asciiTheme="majorHAnsi" w:hAnsiTheme="majorHAnsi"/>
        </w:rPr>
        <w:t xml:space="preserve">ranges from very fit (CFS = 1) to very severely frail (CFS = 8) and terminally ill (CFS = 9). Frailty </w:t>
      </w:r>
      <w:r w:rsidR="00837CB0" w:rsidRPr="0069649A">
        <w:rPr>
          <w:rFonts w:asciiTheme="majorHAnsi" w:hAnsiTheme="majorHAnsi"/>
        </w:rPr>
        <w:t xml:space="preserve">was </w:t>
      </w:r>
      <w:r w:rsidR="00560925" w:rsidRPr="0069649A">
        <w:rPr>
          <w:rFonts w:asciiTheme="majorHAnsi" w:hAnsiTheme="majorHAnsi"/>
        </w:rPr>
        <w:t xml:space="preserve">defined as CFS </w:t>
      </w:r>
      <w:r w:rsidR="00837CB0" w:rsidRPr="0069649A">
        <w:rPr>
          <w:rFonts w:asciiTheme="majorHAnsi" w:hAnsiTheme="majorHAnsi"/>
        </w:rPr>
        <w:t>more than or equal to 5</w:t>
      </w:r>
      <w:r w:rsidR="005A5190" w:rsidRPr="0069649A">
        <w:rPr>
          <w:rFonts w:asciiTheme="majorHAnsi" w:hAnsiTheme="majorHAnsi"/>
        </w:rPr>
        <w:t>.</w:t>
      </w:r>
      <w:r w:rsidR="00837CB0" w:rsidRPr="0069649A">
        <w:rPr>
          <w:rFonts w:asciiTheme="majorHAnsi" w:hAnsiTheme="majorHAnsi"/>
        </w:rPr>
        <w:t xml:space="preserve"> </w:t>
      </w:r>
    </w:p>
    <w:p w14:paraId="605DA21F" w14:textId="6966DB2C" w:rsidR="00E638D8" w:rsidRPr="0069649A" w:rsidRDefault="00852197" w:rsidP="00FE1537">
      <w:pPr>
        <w:spacing w:line="480" w:lineRule="auto"/>
        <w:jc w:val="both"/>
        <w:rPr>
          <w:rFonts w:ascii="Calibri" w:eastAsia="Times New Roman" w:hAnsi="Calibri" w:cs="Times New Roman"/>
          <w:sz w:val="20"/>
          <w:szCs w:val="20"/>
        </w:rPr>
      </w:pPr>
      <w:r w:rsidRPr="0069649A">
        <w:rPr>
          <w:rFonts w:asciiTheme="majorHAnsi" w:hAnsiTheme="majorHAnsi"/>
        </w:rPr>
        <w:t xml:space="preserve">A </w:t>
      </w:r>
      <w:r w:rsidR="00975D6A" w:rsidRPr="0069649A">
        <w:rPr>
          <w:rFonts w:asciiTheme="majorHAnsi" w:hAnsiTheme="majorHAnsi"/>
        </w:rPr>
        <w:t>third</w:t>
      </w:r>
      <w:r w:rsidR="008D2445" w:rsidRPr="0069649A">
        <w:rPr>
          <w:rFonts w:asciiTheme="majorHAnsi" w:hAnsiTheme="majorHAnsi"/>
        </w:rPr>
        <w:t xml:space="preserve"> geriatrician</w:t>
      </w:r>
      <w:r w:rsidR="00975D6A" w:rsidRPr="0069649A">
        <w:rPr>
          <w:rFonts w:asciiTheme="majorHAnsi" w:hAnsiTheme="majorHAnsi"/>
        </w:rPr>
        <w:t xml:space="preserve"> review</w:t>
      </w:r>
      <w:r w:rsidR="008D2445" w:rsidRPr="0069649A">
        <w:rPr>
          <w:rFonts w:asciiTheme="majorHAnsi" w:hAnsiTheme="majorHAnsi"/>
        </w:rPr>
        <w:t>ed</w:t>
      </w:r>
      <w:r w:rsidR="00975D6A" w:rsidRPr="0069649A">
        <w:rPr>
          <w:rFonts w:asciiTheme="majorHAnsi" w:hAnsiTheme="majorHAnsi"/>
        </w:rPr>
        <w:t xml:space="preserve"> the</w:t>
      </w:r>
      <w:r w:rsidR="008C5C17" w:rsidRPr="0069649A">
        <w:rPr>
          <w:rFonts w:asciiTheme="majorHAnsi" w:hAnsiTheme="majorHAnsi"/>
        </w:rPr>
        <w:t xml:space="preserve"> discrepant</w:t>
      </w:r>
      <w:r w:rsidR="00975D6A" w:rsidRPr="0069649A">
        <w:rPr>
          <w:rFonts w:asciiTheme="majorHAnsi" w:hAnsiTheme="majorHAnsi"/>
        </w:rPr>
        <w:t xml:space="preserve"> </w:t>
      </w:r>
      <w:r w:rsidR="008D2445" w:rsidRPr="0069649A">
        <w:rPr>
          <w:rFonts w:asciiTheme="majorHAnsi" w:hAnsiTheme="majorHAnsi"/>
        </w:rPr>
        <w:t>scores</w:t>
      </w:r>
      <w:r w:rsidR="008C5C17" w:rsidRPr="0069649A">
        <w:rPr>
          <w:rFonts w:asciiTheme="majorHAnsi" w:hAnsiTheme="majorHAnsi"/>
        </w:rPr>
        <w:t>.</w:t>
      </w:r>
      <w:r w:rsidR="005A5190" w:rsidRPr="0069649A">
        <w:rPr>
          <w:rFonts w:asciiTheme="majorHAnsi" w:hAnsiTheme="majorHAnsi"/>
        </w:rPr>
        <w:t xml:space="preserve"> T</w:t>
      </w:r>
      <w:r w:rsidR="00E46E20" w:rsidRPr="0069649A">
        <w:rPr>
          <w:rFonts w:asciiTheme="majorHAnsi" w:hAnsiTheme="majorHAnsi"/>
        </w:rPr>
        <w:t xml:space="preserve">he CFS scores in this study refer to the specialist </w:t>
      </w:r>
      <w:r w:rsidR="000A6638" w:rsidRPr="0069649A">
        <w:rPr>
          <w:rFonts w:asciiTheme="majorHAnsi" w:hAnsiTheme="majorHAnsi"/>
        </w:rPr>
        <w:t>geriatrician</w:t>
      </w:r>
      <w:r w:rsidR="00E46E20" w:rsidRPr="0069649A">
        <w:rPr>
          <w:rFonts w:asciiTheme="majorHAnsi" w:hAnsiTheme="majorHAnsi"/>
        </w:rPr>
        <w:t xml:space="preserve"> assessment.</w:t>
      </w:r>
      <w:r w:rsidR="00434E20" w:rsidRPr="0069649A">
        <w:rPr>
          <w:rFonts w:asciiTheme="majorHAnsi" w:hAnsiTheme="majorHAnsi"/>
        </w:rPr>
        <w:t xml:space="preserve"> </w:t>
      </w:r>
      <w:r w:rsidR="00E638D8" w:rsidRPr="0069649A">
        <w:rPr>
          <w:rFonts w:ascii="Calibri" w:hAnsi="Calibri"/>
        </w:rPr>
        <w:t xml:space="preserve">Hospital acquired </w:t>
      </w:r>
      <w:r w:rsidR="005C7F22" w:rsidRPr="0069649A">
        <w:rPr>
          <w:rFonts w:ascii="Calibri" w:hAnsi="Calibri"/>
        </w:rPr>
        <w:t>COVID-19</w:t>
      </w:r>
      <w:r w:rsidR="003B6413" w:rsidRPr="0069649A">
        <w:rPr>
          <w:rFonts w:ascii="Calibri" w:hAnsi="Calibri"/>
        </w:rPr>
        <w:t xml:space="preserve"> disease</w:t>
      </w:r>
      <w:r w:rsidR="00E638D8" w:rsidRPr="0069649A">
        <w:rPr>
          <w:rFonts w:ascii="Calibri" w:hAnsi="Calibri"/>
        </w:rPr>
        <w:t xml:space="preserve"> was </w:t>
      </w:r>
      <w:r w:rsidR="008C5C17" w:rsidRPr="0069649A">
        <w:rPr>
          <w:rFonts w:ascii="Calibri" w:hAnsi="Calibri"/>
        </w:rPr>
        <w:t xml:space="preserve">defined </w:t>
      </w:r>
      <w:r w:rsidR="008C5C17" w:rsidRPr="0069649A">
        <w:rPr>
          <w:rFonts w:ascii="Calibri" w:eastAsia="Times New Roman" w:hAnsi="Calibri" w:cs="Times New Roman"/>
          <w:shd w:val="clear" w:color="auto" w:fill="FFFFFF"/>
        </w:rPr>
        <w:t xml:space="preserve">as </w:t>
      </w:r>
      <w:r w:rsidR="004177C4" w:rsidRPr="0069649A">
        <w:rPr>
          <w:rFonts w:ascii="Calibri" w:eastAsia="Times New Roman" w:hAnsi="Calibri" w:cs="Times New Roman"/>
          <w:shd w:val="clear" w:color="auto" w:fill="FFFFFF"/>
        </w:rPr>
        <w:t xml:space="preserve">an </w:t>
      </w:r>
      <w:r w:rsidR="00195780" w:rsidRPr="0069649A">
        <w:rPr>
          <w:rFonts w:ascii="Calibri" w:eastAsia="Times New Roman" w:hAnsi="Calibri" w:cs="Times New Roman"/>
          <w:shd w:val="clear" w:color="auto" w:fill="FFFFFF"/>
        </w:rPr>
        <w:t>i</w:t>
      </w:r>
      <w:r w:rsidR="004177C4" w:rsidRPr="0069649A">
        <w:rPr>
          <w:rFonts w:ascii="Calibri" w:eastAsia="Times New Roman" w:hAnsi="Calibri" w:cs="Times New Roman"/>
          <w:shd w:val="clear" w:color="auto" w:fill="FFFFFF"/>
        </w:rPr>
        <w:t xml:space="preserve">nfection that is acquired in hospital by a patient who was admitted for a </w:t>
      </w:r>
      <w:r w:rsidRPr="0069649A">
        <w:rPr>
          <w:rFonts w:ascii="Calibri" w:eastAsia="Times New Roman" w:hAnsi="Calibri" w:cs="Times New Roman"/>
          <w:shd w:val="clear" w:color="auto" w:fill="FFFFFF"/>
        </w:rPr>
        <w:t xml:space="preserve">separate </w:t>
      </w:r>
      <w:r w:rsidR="004177C4" w:rsidRPr="0069649A">
        <w:rPr>
          <w:rFonts w:ascii="Calibri" w:eastAsia="Times New Roman" w:hAnsi="Calibri" w:cs="Times New Roman"/>
          <w:shd w:val="clear" w:color="auto" w:fill="FFFFFF"/>
        </w:rPr>
        <w:t>reason</w:t>
      </w:r>
      <w:r w:rsidR="00A046D5" w:rsidRPr="0069649A">
        <w:rPr>
          <w:rFonts w:ascii="Calibri" w:eastAsia="Times New Roman" w:hAnsi="Calibri" w:cs="Times New Roman"/>
          <w:shd w:val="clear" w:color="auto" w:fill="FFFFFF"/>
        </w:rPr>
        <w:t xml:space="preserve"> and with a prior negative test</w:t>
      </w:r>
      <w:r w:rsidR="004177C4" w:rsidRPr="0069649A">
        <w:rPr>
          <w:rFonts w:ascii="Calibri" w:eastAsia="Times New Roman" w:hAnsi="Calibri" w:cs="Times New Roman"/>
          <w:shd w:val="clear" w:color="auto" w:fill="FFFFFF"/>
        </w:rPr>
        <w:t xml:space="preserve"> (at least 15 days prior to a positive COVID-19 diagnosis</w:t>
      </w:r>
      <w:r w:rsidR="00240B00" w:rsidRPr="0069649A">
        <w:rPr>
          <w:rFonts w:ascii="Calibri" w:eastAsia="Times New Roman" w:hAnsi="Calibri" w:cs="Times New Roman"/>
          <w:shd w:val="clear" w:color="auto" w:fill="FFFFFF"/>
        </w:rPr>
        <w:t>)</w:t>
      </w:r>
      <w:r w:rsidR="00372875" w:rsidRPr="0069649A">
        <w:rPr>
          <w:rFonts w:ascii="Calibri" w:eastAsia="Times New Roman" w:hAnsi="Calibri" w:cs="Times New Roman"/>
          <w:shd w:val="clear" w:color="auto" w:fill="FFFFFF"/>
        </w:rPr>
        <w:t xml:space="preserve"> </w:t>
      </w:r>
      <w:r w:rsidR="003D00D6" w:rsidRPr="0069649A">
        <w:rPr>
          <w:rFonts w:ascii="Calibri" w:eastAsia="Times New Roman" w:hAnsi="Calibri" w:cs="Times New Roman"/>
          <w:shd w:val="clear" w:color="auto" w:fill="FFFFFF"/>
        </w:rPr>
        <w:fldChar w:fldCharType="begin" w:fldLock="1"/>
      </w:r>
      <w:r w:rsidR="00982414" w:rsidRPr="0069649A">
        <w:rPr>
          <w:rFonts w:ascii="Calibri" w:eastAsia="Times New Roman" w:hAnsi="Calibri" w:cs="Times New Roman"/>
          <w:shd w:val="clear" w:color="auto" w:fill="FFFFFF"/>
        </w:rPr>
        <w:instrText>ADDIN CSL_CITATION {"citationItems":[{"id":"ITEM-1","itemData":{"DOI":"10.1016/j.jhin.2020.07.013","ISSN":"15322939","PMID":"32702463","abstract":"Background: Hospital admissions for non-coronavirus disease 2019 (COVID-19) pathology have decreased significantly. It is believed that this may be due to public anxiety about acquiring COVID-19 infection in hospital and the subsequent risk of mortality. Aim: To identify patients who acquire COVID-19 in hospital (nosocomial COVID-19 infection (NC)) and their risk of mortality compared to those with community-acquired COVID-19 (CAC) infection. Methods: The COPE-Nosocomial Study was an observational cohort study. The primary outcome was the time to all-cause mortality (estimated with an adjusted hazard ratio (aHR)), and secondary outcomes were day 7 mortality and the time-to-discharge. A mixed-effects multivariable Cox's proportional hazards model was used, adjusted for demographics and comorbidities. Findings: The study included 1564 patients from 10 hospital sites throughout the UK, and one in Italy, and collected outcomes on patients admitted up to April 28th, 2020. In all, 12.5% of COVID-19 infections were acquired in hospital; 425 (27.2%) patients with COVID died. The median survival time in NC patients was 14 days compared with 10 days in CAC patients. In the primary analysis, NC infection was associated with lower mortality rate (aHR: 0.71; 95% confidence interval (CI): 0.51–0.98). Secondary outcomes found no difference in day 7 mortality (adjusted odds ratio: 0.79; 95% CI: 0.47–1.31), but NC patients required longer time in hospital during convalescence (aHR: 0.49, 95% CI: 0.37–0.66). Conclusion: The minority of COVID-19 cases were the result of NC transmission. No COVID-19 infection comes without risk, but patients with NC had a lower risk of mortality compared to CAC infection; however, caution should be taken when interpreting this finding.","author":[{"dropping-particle":"","family":"Carter","given":"B.","non-dropping-particle":"","parse-names":false,"suffix":""},{"dropping-particle":"","family":"Collins","given":"J. T.","non-dropping-particle":"","parse-names":false,"suffix":""},{"dropping-particle":"","family":"Barlow-Pay","given":"F.","non-dropping-particle":"","parse-names":false,"suffix":""},{"dropping-particle":"","family":"Rickard","given":"F.","non-dropping-particle":"","parse-names":false,"suffix":""},{"dropping-particle":"","family":"Bruce","given":"E.","non-dropping-particle":"","parse-names":false,"suffix":""},{"dropping-particle":"","family":"Verduri","given":"A.","non-dropping-particle":"","parse-names":false,"suffix":""},{"dropping-particle":"","family":"Quinn","given":"T. J.","non-dropping-particle":"","parse-names":false,"suffix":""},{"dropping-particle":"","family":"Mitchell","given":"E.","non-dropping-particle":"","parse-names":false,"suffix":""},{"dropping-particle":"","family":"Price","given":"A.","non-dropping-particle":"","parse-names":false,"suffix":""},{"dropping-particle":"","family":"Vilches-Moraga","given":"A.","non-dropping-particle":"","parse-names":false,"suffix":""},{"dropping-particle":"","family":"Stechman","given":"M. J.","non-dropping-particle":"","parse-names":false,"suffix":""},{"dropping-particle":"","family":"Short","given":"R.","non-dropping-particle":"","parse-names":false,"suffix":""},{"dropping-particle":"","family":"Einarsson","given":"A.","non-dropping-particle":"","parse-names":false,"suffix":""},{"dropping-particle":"","family":"Braude","given":"P.","non-dropping-particle":"","parse-names":false,"suffix":""},{"dropping-particle":"","family":"Moug","given":"S.","non-dropping-particle":"","parse-names":false,"suffix":""},{"dropping-particle":"","family":"Myint","given":"P. K.","non-dropping-particle":"","parse-names":false,"suffix":""},{"dropping-particle":"","family":"Hewitt","given":"J.","non-dropping-particle":"","parse-names":false,"suffix":""},{"dropping-particle":"","family":"Pearce","given":"L.","non-dropping-particle":"","parse-names":false,"suffix":""},{"dropping-particle":"","family":"McCarthy","given":"K.","non-dropping-particle":"","parse-names":false,"suffix":""},{"dropping-particle":"","family":"Davey","given":"C.","non-dropping-particle":"","parse-names":false,"suffix":""},{"dropping-particle":"","family":"Jones","given":"S.","non-dropping-particle":"","parse-names":false,"suffix":""},{"dropping-particle":"","family":"Lunstone","given":"K.","non-dropping-particle":"","parse-names":false,"suffix":""},{"dropping-particle":"","family":"Cavenagh","given":"A.","non-dropping-particle":"","parse-names":false,"suffix":""},{"dropping-particle":"","family":"Silver","given":"C.","non-dropping-particle":"","parse-names":false,"suffix":""},{"dropping-particle":"","family":"Telford","given":"T.","non-dropping-particle":"","parse-names":false,"suffix":""},{"dropping-particle":"","family":"Simmons","given":"R.","non-dropping-particle":"","parse-names":false,"suffix":""},{"dropping-particle":"","family":"Holloway","given":"M.","non-dropping-particle":"","parse-names":false,"suffix":""},{"dropping-particle":"","family":"Hesford","given":"J.","non-dropping-particle":"","parse-names":false,"suffix":""},{"dropping-particle":"","family":"Jichi Mutasem","given":"T.","non-dropping-particle":"El","parse-names":false,"suffix":""},{"dropping-particle":"","family":"Singh","given":"S.","non-dropping-particle":"","parse-names":false,"suffix":""},{"dropping-particle":"","family":"Paxton","given":"D.","non-dropping-particle":"","parse-names":false,"suffix":""},{"dropping-particle":"","family":"Harris","given":"W.","non-dropping-particle":"","parse-names":false,"suffix":""},{"dropping-particle":"","family":"Galbraith","given":"N.","non-dropping-particle":"","parse-names":false,"suffix":""},{"dropping-particle":"","family":"Bhatti","given":"E.","non-dropping-particle":"","parse-names":false,"suffix":""},{"dropping-particle":"","family":"Edwards","given":"J.","non-dropping-particle":"","parse-names":false,"suffix":""},{"dropping-particle":"","family":"Duffy","given":"S.","non-dropping-particle":"","parse-names":false,"suffix":""},{"dropping-particle":"","family":"Kelly","given":"J.","non-dropping-particle":"","parse-names":false,"suffix":""},{"dropping-particle":"","family":"Murphy","given":"C.","non-dropping-particle":"","parse-names":false,"suffix":""},{"dropping-particle":"","family":"Bisset","given":"C.","non-dropping-particle":"","parse-names":false,"suffix":""},{"dropping-particle":"","family":"Alexander","given":"R.","non-dropping-particle":"","parse-names":false,"suffix":""},{"dropping-particle":"","family":"Garcia","given":"M.","non-dropping-particle":"","parse-names":false,"suffix":""},{"dropping-particle":"","family":"Sangani","given":"S.","non-dropping-particle":"","parse-names":false,"suffix":""},{"dropping-particle":"","family":"Kneen","given":"T.","non-dropping-particle":"","parse-names":false,"suffix":""},{"dropping-particle":"","family":"Lee","given":"T.","non-dropping-particle":"","parse-names":false,"suffix":""},{"dropping-particle":"","family":"McGovern","given":"A.","non-dropping-particle":"","parse-names":false,"suffix":""},{"dropping-particle":"","family":"Guaraldi","given":"G.","non-dropping-particle":"","parse-names":false,"suffix":""},{"dropping-particle":"","family":"Clini","given":"E.","non-dropping-particle":"","parse-names":false,"suffix":""}],"container-title":"Journal of Hospital Infection","id":"ITEM-1","issued":{"date-parts":[["2020"]]},"title":"Nosocomial COVID-19 infection: examining the risk of mortality. The COPE-Nosocomial Study (COVID in Older PEople)","type":"article-journal"},"uris":["http://www.mendeley.com/documents/?uuid=4700f6f8-f6a5-4125-8d54-67776ce04c3b"]}],"mendeley":{"formattedCitation":"[16]","plainTextFormattedCitation":"[16]","previouslyFormattedCitation":"(16)"},"properties":{"noteIndex":0},"schema":"https://github.com/citation-style-language/schema/raw/master/csl-citation.json"}</w:instrText>
      </w:r>
      <w:r w:rsidR="003D00D6" w:rsidRPr="0069649A">
        <w:rPr>
          <w:rFonts w:ascii="Calibri" w:eastAsia="Times New Roman" w:hAnsi="Calibri" w:cs="Times New Roman"/>
          <w:shd w:val="clear" w:color="auto" w:fill="FFFFFF"/>
        </w:rPr>
        <w:fldChar w:fldCharType="separate"/>
      </w:r>
      <w:r w:rsidR="00982414" w:rsidRPr="0069649A">
        <w:rPr>
          <w:rFonts w:ascii="Calibri" w:eastAsia="Times New Roman" w:hAnsi="Calibri" w:cs="Times New Roman"/>
          <w:noProof/>
          <w:shd w:val="clear" w:color="auto" w:fill="FFFFFF"/>
        </w:rPr>
        <w:t>[16]</w:t>
      </w:r>
      <w:r w:rsidR="003D00D6" w:rsidRPr="0069649A">
        <w:rPr>
          <w:rFonts w:ascii="Calibri" w:eastAsia="Times New Roman" w:hAnsi="Calibri" w:cs="Times New Roman"/>
          <w:shd w:val="clear" w:color="auto" w:fill="FFFFFF"/>
        </w:rPr>
        <w:fldChar w:fldCharType="end"/>
      </w:r>
      <w:r w:rsidR="00372875" w:rsidRPr="0069649A">
        <w:rPr>
          <w:rFonts w:ascii="Calibri" w:eastAsia="Times New Roman" w:hAnsi="Calibri" w:cs="Times New Roman"/>
          <w:shd w:val="clear" w:color="auto" w:fill="FFFFFF"/>
        </w:rPr>
        <w:t>.</w:t>
      </w:r>
      <w:r w:rsidR="00E936CF" w:rsidRPr="0069649A">
        <w:rPr>
          <w:rFonts w:ascii="Calibri" w:eastAsia="Times New Roman" w:hAnsi="Calibri" w:cs="Times New Roman"/>
          <w:noProof/>
          <w:shd w:val="clear" w:color="auto" w:fill="FFFFFF"/>
        </w:rPr>
        <w:t xml:space="preserve"> </w:t>
      </w:r>
      <w:r w:rsidR="00240B00" w:rsidRPr="0069649A">
        <w:rPr>
          <w:rFonts w:ascii="Calibri" w:eastAsia="Times New Roman" w:hAnsi="Calibri" w:cs="Times New Roman"/>
          <w:shd w:val="clear" w:color="auto" w:fill="FFFFFF"/>
        </w:rPr>
        <w:t>We also considered as hospital-acquired those readmitted wit</w:t>
      </w:r>
      <w:r w:rsidR="001E4875" w:rsidRPr="0069649A">
        <w:rPr>
          <w:rFonts w:ascii="Calibri" w:eastAsia="Times New Roman" w:hAnsi="Calibri" w:cs="Times New Roman"/>
          <w:shd w:val="clear" w:color="auto" w:fill="FFFFFF"/>
        </w:rPr>
        <w:t xml:space="preserve">h </w:t>
      </w:r>
      <w:r w:rsidR="00797DAA" w:rsidRPr="0069649A">
        <w:rPr>
          <w:rFonts w:ascii="Calibri" w:hAnsi="Calibri" w:cs="Arial"/>
          <w:shd w:val="clear" w:color="auto" w:fill="FFFFFF"/>
        </w:rPr>
        <w:t>SARS-CoV-</w:t>
      </w:r>
      <w:r w:rsidR="00DF062D" w:rsidRPr="0069649A">
        <w:rPr>
          <w:rFonts w:ascii="Calibri" w:hAnsi="Calibri" w:cs="Arial"/>
          <w:shd w:val="clear" w:color="auto" w:fill="FFFFFF"/>
        </w:rPr>
        <w:t>2</w:t>
      </w:r>
      <w:r w:rsidR="00DF062D" w:rsidRPr="0069649A">
        <w:rPr>
          <w:rFonts w:asciiTheme="majorHAnsi" w:hAnsiTheme="majorHAnsi"/>
        </w:rPr>
        <w:t xml:space="preserve"> </w:t>
      </w:r>
      <w:r w:rsidR="00DF062D" w:rsidRPr="0069649A">
        <w:rPr>
          <w:rFonts w:ascii="Calibri" w:hAnsi="Calibri"/>
        </w:rPr>
        <w:t>infection</w:t>
      </w:r>
      <w:r w:rsidR="004F7F14" w:rsidRPr="0069649A">
        <w:rPr>
          <w:rFonts w:ascii="Calibri" w:eastAsia="Times New Roman" w:hAnsi="Calibri" w:cs="Times New Roman"/>
          <w:shd w:val="clear" w:color="auto" w:fill="FFFFFF"/>
        </w:rPr>
        <w:t xml:space="preserve"> within 5 days of previ</w:t>
      </w:r>
      <w:r w:rsidR="00240B00" w:rsidRPr="0069649A">
        <w:rPr>
          <w:rFonts w:ascii="Calibri" w:eastAsia="Times New Roman" w:hAnsi="Calibri" w:cs="Times New Roman"/>
          <w:shd w:val="clear" w:color="auto" w:fill="FFFFFF"/>
        </w:rPr>
        <w:t xml:space="preserve">ous </w:t>
      </w:r>
      <w:r w:rsidR="00075DA8" w:rsidRPr="0069649A">
        <w:rPr>
          <w:rFonts w:ascii="Calibri" w:eastAsia="Times New Roman" w:hAnsi="Calibri" w:cs="Times New Roman"/>
          <w:shd w:val="clear" w:color="auto" w:fill="FFFFFF"/>
        </w:rPr>
        <w:t xml:space="preserve">hospital </w:t>
      </w:r>
      <w:r w:rsidR="00240B00" w:rsidRPr="0069649A">
        <w:rPr>
          <w:rFonts w:ascii="Calibri" w:eastAsia="Times New Roman" w:hAnsi="Calibri" w:cs="Times New Roman"/>
          <w:shd w:val="clear" w:color="auto" w:fill="FFFFFF"/>
        </w:rPr>
        <w:t>discharge</w:t>
      </w:r>
      <w:r w:rsidR="004F7F14" w:rsidRPr="0069649A">
        <w:rPr>
          <w:rFonts w:ascii="Calibri" w:eastAsia="Times New Roman" w:hAnsi="Calibri" w:cs="Times New Roman"/>
          <w:shd w:val="clear" w:color="auto" w:fill="FFFFFF"/>
        </w:rPr>
        <w:t>.</w:t>
      </w:r>
    </w:p>
    <w:p w14:paraId="0D52EAA1" w14:textId="4DFC1E4E" w:rsidR="005B4A22" w:rsidRPr="0069649A" w:rsidRDefault="005B4A22" w:rsidP="00FE1537">
      <w:pPr>
        <w:spacing w:line="480" w:lineRule="auto"/>
        <w:jc w:val="both"/>
        <w:rPr>
          <w:rFonts w:asciiTheme="majorHAnsi" w:hAnsiTheme="majorHAnsi"/>
        </w:rPr>
      </w:pPr>
    </w:p>
    <w:p w14:paraId="1525AC0A" w14:textId="586A4455" w:rsidR="007A624C" w:rsidRPr="0069649A" w:rsidRDefault="00866902" w:rsidP="00FE1537">
      <w:pPr>
        <w:spacing w:line="480" w:lineRule="auto"/>
        <w:jc w:val="both"/>
        <w:rPr>
          <w:rFonts w:asciiTheme="majorHAnsi" w:hAnsiTheme="majorHAnsi"/>
          <w:b/>
        </w:rPr>
      </w:pPr>
      <w:r w:rsidRPr="0069649A">
        <w:rPr>
          <w:rFonts w:asciiTheme="majorHAnsi" w:hAnsiTheme="majorHAnsi"/>
          <w:b/>
        </w:rPr>
        <w:t>Statistical analys</w:t>
      </w:r>
      <w:r w:rsidR="00075DA8" w:rsidRPr="0069649A">
        <w:rPr>
          <w:rFonts w:asciiTheme="majorHAnsi" w:hAnsiTheme="majorHAnsi"/>
          <w:b/>
        </w:rPr>
        <w:t>e</w:t>
      </w:r>
      <w:r w:rsidRPr="0069649A">
        <w:rPr>
          <w:rFonts w:asciiTheme="majorHAnsi" w:hAnsiTheme="majorHAnsi"/>
          <w:b/>
        </w:rPr>
        <w:t>s</w:t>
      </w:r>
      <w:r w:rsidR="007A624C" w:rsidRPr="0069649A">
        <w:rPr>
          <w:rFonts w:asciiTheme="majorHAnsi" w:hAnsiTheme="majorHAnsi"/>
          <w:b/>
        </w:rPr>
        <w:t xml:space="preserve"> </w:t>
      </w:r>
      <w:r w:rsidR="002C2008" w:rsidRPr="0069649A">
        <w:rPr>
          <w:rFonts w:asciiTheme="majorHAnsi" w:hAnsiTheme="majorHAnsi"/>
          <w:b/>
        </w:rPr>
        <w:t xml:space="preserve"> </w:t>
      </w:r>
    </w:p>
    <w:p w14:paraId="0DC50AC4" w14:textId="30847E86" w:rsidR="00412351" w:rsidRPr="0069649A" w:rsidRDefault="00412351" w:rsidP="00FE1537">
      <w:pPr>
        <w:spacing w:line="480" w:lineRule="auto"/>
        <w:jc w:val="both"/>
        <w:rPr>
          <w:rFonts w:asciiTheme="majorHAnsi" w:hAnsiTheme="majorHAnsi"/>
        </w:rPr>
      </w:pPr>
      <w:r w:rsidRPr="0069649A">
        <w:rPr>
          <w:rFonts w:asciiTheme="majorHAnsi" w:hAnsiTheme="majorHAnsi"/>
        </w:rPr>
        <w:t xml:space="preserve">Differences between two </w:t>
      </w:r>
      <w:r w:rsidR="00C80B90" w:rsidRPr="0069649A">
        <w:rPr>
          <w:rFonts w:asciiTheme="majorHAnsi" w:hAnsiTheme="majorHAnsi"/>
        </w:rPr>
        <w:t xml:space="preserve">independent </w:t>
      </w:r>
      <w:r w:rsidRPr="0069649A">
        <w:rPr>
          <w:rFonts w:asciiTheme="majorHAnsi" w:hAnsiTheme="majorHAnsi"/>
        </w:rPr>
        <w:t xml:space="preserve">groups were compared by t-tests for parametric distributions and by the Mann-Whitney test for non-parametric distributions. </w:t>
      </w:r>
      <w:r w:rsidR="00C80B90" w:rsidRPr="0069649A">
        <w:rPr>
          <w:rFonts w:asciiTheme="majorHAnsi" w:hAnsiTheme="majorHAnsi"/>
        </w:rPr>
        <w:t xml:space="preserve">Differences between two dependent groups were compared by one-sample t-tests for parametric distributions. </w:t>
      </w:r>
      <w:r w:rsidRPr="0069649A">
        <w:rPr>
          <w:rFonts w:asciiTheme="majorHAnsi" w:hAnsiTheme="majorHAnsi"/>
        </w:rPr>
        <w:t xml:space="preserve">Differences in contingency tables were compared using Chi-squared and Fisher’s exact tests, depending on expected numbers. Logistic regression was used to estimate the odds ratio for mortality. </w:t>
      </w:r>
      <w:r w:rsidR="00B93EF5" w:rsidRPr="0069649A">
        <w:rPr>
          <w:rFonts w:asciiTheme="majorHAnsi" w:hAnsiTheme="majorHAnsi"/>
        </w:rPr>
        <w:t xml:space="preserve">Due to the missing values for several haematological and biochemistry investigations, variables with more than 10% missing were excluded from the multivariate analysis. </w:t>
      </w:r>
      <w:r w:rsidRPr="0069649A">
        <w:rPr>
          <w:rFonts w:asciiTheme="majorHAnsi" w:hAnsiTheme="majorHAnsi"/>
        </w:rPr>
        <w:t>Statistical analyses were conducted using SPSS version 25 (IBM Corp). An alpha level of P&lt;0.05 was defined as statistically significant. Where appropriate, data is expressed as mean ± SD, or median (IQR).</w:t>
      </w:r>
    </w:p>
    <w:p w14:paraId="306D05AA" w14:textId="77777777" w:rsidR="005B4A22" w:rsidRPr="0069649A" w:rsidRDefault="005B4A22" w:rsidP="00FE1537">
      <w:pPr>
        <w:spacing w:line="480" w:lineRule="auto"/>
        <w:jc w:val="both"/>
        <w:rPr>
          <w:rFonts w:asciiTheme="majorHAnsi" w:hAnsiTheme="majorHAnsi"/>
        </w:rPr>
      </w:pPr>
    </w:p>
    <w:p w14:paraId="30666480" w14:textId="77777777" w:rsidR="00D740BA" w:rsidRPr="0069649A" w:rsidRDefault="005B4A22" w:rsidP="00FE1537">
      <w:pPr>
        <w:spacing w:line="480" w:lineRule="auto"/>
        <w:jc w:val="both"/>
        <w:rPr>
          <w:rFonts w:asciiTheme="majorHAnsi" w:hAnsiTheme="majorHAnsi"/>
          <w:b/>
          <w:u w:val="single"/>
        </w:rPr>
      </w:pPr>
      <w:r w:rsidRPr="0069649A">
        <w:rPr>
          <w:rFonts w:asciiTheme="majorHAnsi" w:hAnsiTheme="majorHAnsi"/>
          <w:b/>
        </w:rPr>
        <w:t>Results</w:t>
      </w:r>
      <w:r w:rsidR="00470474" w:rsidRPr="0069649A">
        <w:rPr>
          <w:rFonts w:asciiTheme="majorHAnsi" w:hAnsiTheme="majorHAnsi"/>
          <w:b/>
          <w:u w:val="single"/>
        </w:rPr>
        <w:t xml:space="preserve"> </w:t>
      </w:r>
    </w:p>
    <w:p w14:paraId="00DFDA3E" w14:textId="632A52E5" w:rsidR="00470474" w:rsidRPr="0069649A" w:rsidRDefault="00470474" w:rsidP="00FE1537">
      <w:pPr>
        <w:spacing w:line="480" w:lineRule="auto"/>
        <w:jc w:val="both"/>
        <w:rPr>
          <w:rFonts w:asciiTheme="majorHAnsi" w:hAnsiTheme="majorHAnsi"/>
          <w:b/>
        </w:rPr>
      </w:pPr>
      <w:r w:rsidRPr="0069649A">
        <w:rPr>
          <w:rFonts w:asciiTheme="majorHAnsi" w:hAnsiTheme="majorHAnsi"/>
          <w:b/>
          <w:u w:val="single"/>
        </w:rPr>
        <w:t>Total cohort</w:t>
      </w:r>
    </w:p>
    <w:p w14:paraId="69BB1792" w14:textId="3C46B23B" w:rsidR="00D740BA" w:rsidRPr="0069649A" w:rsidRDefault="00D740BA" w:rsidP="00FE1537">
      <w:pPr>
        <w:spacing w:line="480" w:lineRule="auto"/>
        <w:jc w:val="both"/>
        <w:rPr>
          <w:rFonts w:asciiTheme="majorHAnsi" w:hAnsiTheme="majorHAnsi"/>
          <w:i/>
        </w:rPr>
      </w:pPr>
      <w:r w:rsidRPr="0069649A">
        <w:rPr>
          <w:rFonts w:asciiTheme="majorHAnsi" w:hAnsiTheme="majorHAnsi"/>
          <w:i/>
        </w:rPr>
        <w:t>Demographics and social history</w:t>
      </w:r>
    </w:p>
    <w:p w14:paraId="0C73AA36" w14:textId="3B8ED1F4" w:rsidR="002C3F9B" w:rsidRPr="0069649A" w:rsidRDefault="008F60B8" w:rsidP="00FE1537">
      <w:pPr>
        <w:spacing w:line="480" w:lineRule="auto"/>
        <w:jc w:val="both"/>
        <w:rPr>
          <w:rFonts w:asciiTheme="majorHAnsi" w:hAnsiTheme="majorHAnsi"/>
        </w:rPr>
      </w:pPr>
      <w:r w:rsidRPr="0069649A">
        <w:rPr>
          <w:rFonts w:asciiTheme="majorHAnsi" w:hAnsiTheme="majorHAnsi"/>
        </w:rPr>
        <w:t>124 patients were admitted</w:t>
      </w:r>
      <w:r w:rsidR="00975D6A" w:rsidRPr="0069649A">
        <w:rPr>
          <w:rFonts w:asciiTheme="majorHAnsi" w:hAnsiTheme="majorHAnsi"/>
        </w:rPr>
        <w:t xml:space="preserve"> </w:t>
      </w:r>
      <w:r w:rsidRPr="0069649A">
        <w:rPr>
          <w:rFonts w:asciiTheme="majorHAnsi" w:hAnsiTheme="majorHAnsi"/>
        </w:rPr>
        <w:t>during the period of observation. Their demographic charact</w:t>
      </w:r>
      <w:r w:rsidR="007A624C" w:rsidRPr="0069649A">
        <w:rPr>
          <w:rFonts w:asciiTheme="majorHAnsi" w:hAnsiTheme="majorHAnsi"/>
        </w:rPr>
        <w:t xml:space="preserve">eristics are reported in Table </w:t>
      </w:r>
      <w:r w:rsidR="002C3F9B" w:rsidRPr="0069649A">
        <w:rPr>
          <w:rFonts w:asciiTheme="majorHAnsi" w:hAnsiTheme="majorHAnsi"/>
        </w:rPr>
        <w:t>1</w:t>
      </w:r>
      <w:r w:rsidRPr="0069649A">
        <w:rPr>
          <w:rFonts w:asciiTheme="majorHAnsi" w:hAnsiTheme="majorHAnsi"/>
        </w:rPr>
        <w:t xml:space="preserve">.  </w:t>
      </w:r>
      <w:r w:rsidR="00470474" w:rsidRPr="0069649A">
        <w:rPr>
          <w:rFonts w:asciiTheme="majorHAnsi" w:hAnsiTheme="majorHAnsi"/>
        </w:rPr>
        <w:t xml:space="preserve">Of them </w:t>
      </w:r>
      <w:r w:rsidR="008810A1" w:rsidRPr="0069649A">
        <w:rPr>
          <w:rFonts w:asciiTheme="majorHAnsi" w:hAnsiTheme="majorHAnsi"/>
        </w:rPr>
        <w:t>50.8% were males, their m</w:t>
      </w:r>
      <w:r w:rsidRPr="0069649A">
        <w:rPr>
          <w:rFonts w:asciiTheme="majorHAnsi" w:hAnsiTheme="majorHAnsi"/>
        </w:rPr>
        <w:t>edian age was 83</w:t>
      </w:r>
      <w:r w:rsidRPr="0069649A">
        <w:rPr>
          <w:rFonts w:asciiTheme="majorHAnsi" w:eastAsia="MS Gothic" w:hAnsiTheme="majorHAnsi"/>
        </w:rPr>
        <w:t xml:space="preserve"> </w:t>
      </w:r>
      <w:r w:rsidR="00E638D8" w:rsidRPr="0069649A">
        <w:rPr>
          <w:rFonts w:asciiTheme="majorHAnsi" w:eastAsia="MS Gothic" w:hAnsiTheme="majorHAnsi"/>
        </w:rPr>
        <w:t>(IQR 79.25 – 89</w:t>
      </w:r>
      <w:r w:rsidR="008D2445" w:rsidRPr="0069649A">
        <w:rPr>
          <w:rFonts w:asciiTheme="majorHAnsi" w:eastAsia="MS Gothic" w:hAnsiTheme="majorHAnsi"/>
        </w:rPr>
        <w:t>)</w:t>
      </w:r>
      <w:r w:rsidR="00E638D8" w:rsidRPr="0069649A">
        <w:rPr>
          <w:rFonts w:asciiTheme="majorHAnsi" w:eastAsia="MS Gothic" w:hAnsiTheme="majorHAnsi"/>
        </w:rPr>
        <w:t xml:space="preserve"> </w:t>
      </w:r>
      <w:r w:rsidR="00E36028" w:rsidRPr="0069649A">
        <w:rPr>
          <w:rFonts w:asciiTheme="majorHAnsi" w:eastAsia="MS Gothic" w:hAnsiTheme="majorHAnsi"/>
        </w:rPr>
        <w:t xml:space="preserve">years </w:t>
      </w:r>
      <w:r w:rsidR="00470474" w:rsidRPr="0069649A">
        <w:rPr>
          <w:rFonts w:asciiTheme="majorHAnsi" w:eastAsia="MS Gothic" w:hAnsiTheme="majorHAnsi"/>
        </w:rPr>
        <w:t>and</w:t>
      </w:r>
      <w:r w:rsidR="00E36028" w:rsidRPr="0069649A">
        <w:rPr>
          <w:rFonts w:asciiTheme="majorHAnsi" w:eastAsia="MS Gothic" w:hAnsiTheme="majorHAnsi"/>
        </w:rPr>
        <w:t xml:space="preserve"> </w:t>
      </w:r>
      <w:r w:rsidR="00470474" w:rsidRPr="0069649A">
        <w:rPr>
          <w:rFonts w:asciiTheme="majorHAnsi" w:eastAsia="MS Gothic" w:hAnsiTheme="majorHAnsi"/>
        </w:rPr>
        <w:t>7</w:t>
      </w:r>
      <w:r w:rsidR="00F76077" w:rsidRPr="0069649A">
        <w:rPr>
          <w:rFonts w:asciiTheme="majorHAnsi" w:eastAsia="MS Gothic" w:hAnsiTheme="majorHAnsi"/>
        </w:rPr>
        <w:t>5</w:t>
      </w:r>
      <w:r w:rsidR="00470474" w:rsidRPr="0069649A">
        <w:rPr>
          <w:rFonts w:asciiTheme="majorHAnsi" w:eastAsia="MS Gothic" w:hAnsiTheme="majorHAnsi"/>
        </w:rPr>
        <w:t>%</w:t>
      </w:r>
      <w:r w:rsidR="00E36028" w:rsidRPr="0069649A">
        <w:rPr>
          <w:rFonts w:asciiTheme="majorHAnsi" w:eastAsia="MS Gothic" w:hAnsiTheme="majorHAnsi"/>
        </w:rPr>
        <w:t xml:space="preserve"> of them</w:t>
      </w:r>
      <w:r w:rsidR="00470474" w:rsidRPr="0069649A">
        <w:rPr>
          <w:rFonts w:asciiTheme="majorHAnsi" w:eastAsia="MS Gothic" w:hAnsiTheme="majorHAnsi"/>
        </w:rPr>
        <w:t xml:space="preserve"> were older than 80. </w:t>
      </w:r>
      <w:r w:rsidR="001134F0" w:rsidRPr="0069649A">
        <w:rPr>
          <w:rFonts w:asciiTheme="majorHAnsi" w:hAnsiTheme="majorHAnsi"/>
        </w:rPr>
        <w:t>19.</w:t>
      </w:r>
      <w:r w:rsidR="00FA3948" w:rsidRPr="0069649A">
        <w:rPr>
          <w:rFonts w:asciiTheme="majorHAnsi" w:hAnsiTheme="majorHAnsi"/>
        </w:rPr>
        <w:t>5</w:t>
      </w:r>
      <w:r w:rsidR="00CC36FE" w:rsidRPr="0069649A">
        <w:rPr>
          <w:rFonts w:asciiTheme="majorHAnsi" w:hAnsiTheme="majorHAnsi"/>
        </w:rPr>
        <w:t xml:space="preserve"> </w:t>
      </w:r>
      <w:r w:rsidR="002C3F9B" w:rsidRPr="0069649A">
        <w:rPr>
          <w:rFonts w:asciiTheme="majorHAnsi" w:hAnsiTheme="majorHAnsi"/>
        </w:rPr>
        <w:t xml:space="preserve">% of </w:t>
      </w:r>
      <w:r w:rsidR="00797DAA" w:rsidRPr="0069649A">
        <w:rPr>
          <w:rFonts w:ascii="Calibri" w:hAnsi="Calibri" w:cs="Arial"/>
          <w:shd w:val="clear" w:color="auto" w:fill="FFFFFF"/>
        </w:rPr>
        <w:t>SARS-CoV-2</w:t>
      </w:r>
      <w:r w:rsidR="009F1465" w:rsidRPr="0069649A">
        <w:rPr>
          <w:rFonts w:asciiTheme="majorHAnsi" w:hAnsiTheme="majorHAnsi"/>
        </w:rPr>
        <w:t xml:space="preserve"> infections were adjudged to be hospital-</w:t>
      </w:r>
      <w:r w:rsidR="002C3F9B" w:rsidRPr="0069649A">
        <w:rPr>
          <w:rFonts w:asciiTheme="majorHAnsi" w:hAnsiTheme="majorHAnsi"/>
        </w:rPr>
        <w:t xml:space="preserve">acquired. </w:t>
      </w:r>
    </w:p>
    <w:p w14:paraId="73D71D4D" w14:textId="77777777" w:rsidR="008557F8" w:rsidRPr="0069649A" w:rsidRDefault="008557F8" w:rsidP="00FE1537">
      <w:pPr>
        <w:spacing w:line="480" w:lineRule="auto"/>
        <w:jc w:val="both"/>
        <w:rPr>
          <w:rFonts w:asciiTheme="majorHAnsi" w:eastAsia="MS Gothic" w:hAnsiTheme="majorHAnsi"/>
        </w:rPr>
      </w:pPr>
    </w:p>
    <w:p w14:paraId="7AC425CD" w14:textId="496FA666" w:rsidR="00470474" w:rsidRPr="0069649A" w:rsidRDefault="00C11E7B" w:rsidP="00FE1537">
      <w:pPr>
        <w:spacing w:line="480" w:lineRule="auto"/>
        <w:jc w:val="both"/>
        <w:rPr>
          <w:rFonts w:asciiTheme="majorHAnsi" w:eastAsia="Times New Roman" w:hAnsiTheme="majorHAnsi"/>
        </w:rPr>
      </w:pPr>
      <w:r w:rsidRPr="0069649A">
        <w:rPr>
          <w:rFonts w:asciiTheme="majorHAnsi" w:eastAsia="MS Gothic" w:hAnsiTheme="majorHAnsi"/>
        </w:rPr>
        <w:t xml:space="preserve">With self-reported ethnicity, </w:t>
      </w:r>
      <w:r w:rsidR="008810A1" w:rsidRPr="0069649A">
        <w:rPr>
          <w:rFonts w:asciiTheme="majorHAnsi" w:eastAsia="MS Gothic" w:hAnsiTheme="majorHAnsi"/>
        </w:rPr>
        <w:t>65.5% were White</w:t>
      </w:r>
      <w:r w:rsidR="008810A1" w:rsidRPr="0069649A">
        <w:rPr>
          <w:rFonts w:asciiTheme="majorHAnsi" w:eastAsia="Times New Roman" w:hAnsiTheme="majorHAnsi"/>
        </w:rPr>
        <w:t xml:space="preserve"> British</w:t>
      </w:r>
      <w:r w:rsidR="00470474" w:rsidRPr="0069649A">
        <w:rPr>
          <w:rFonts w:asciiTheme="majorHAnsi" w:eastAsia="MS Gothic" w:hAnsiTheme="majorHAnsi"/>
        </w:rPr>
        <w:t xml:space="preserve">, </w:t>
      </w:r>
      <w:r w:rsidR="00470474" w:rsidRPr="0069649A">
        <w:rPr>
          <w:rFonts w:asciiTheme="majorHAnsi" w:eastAsia="Times New Roman" w:hAnsiTheme="majorHAnsi"/>
        </w:rPr>
        <w:t>17.2% were Asian</w:t>
      </w:r>
      <w:r w:rsidR="008810A1" w:rsidRPr="0069649A">
        <w:rPr>
          <w:rFonts w:asciiTheme="majorHAnsi" w:eastAsia="Times New Roman" w:hAnsiTheme="majorHAnsi"/>
        </w:rPr>
        <w:t xml:space="preserve"> British</w:t>
      </w:r>
      <w:r w:rsidR="00470474" w:rsidRPr="0069649A">
        <w:rPr>
          <w:rFonts w:asciiTheme="majorHAnsi" w:eastAsia="Times New Roman" w:hAnsiTheme="majorHAnsi"/>
        </w:rPr>
        <w:t xml:space="preserve"> and similar </w:t>
      </w:r>
      <w:r w:rsidR="004F7F14" w:rsidRPr="0069649A">
        <w:rPr>
          <w:rFonts w:asciiTheme="majorHAnsi" w:eastAsia="Times New Roman" w:hAnsiTheme="majorHAnsi"/>
        </w:rPr>
        <w:t>percentage was</w:t>
      </w:r>
      <w:r w:rsidRPr="0069649A">
        <w:rPr>
          <w:rFonts w:asciiTheme="majorHAnsi" w:eastAsia="Times New Roman" w:hAnsiTheme="majorHAnsi"/>
        </w:rPr>
        <w:t xml:space="preserve"> </w:t>
      </w:r>
      <w:r w:rsidR="00470474" w:rsidRPr="0069649A">
        <w:rPr>
          <w:rFonts w:asciiTheme="majorHAnsi" w:eastAsia="Times New Roman" w:hAnsiTheme="majorHAnsi"/>
        </w:rPr>
        <w:t>Black British.</w:t>
      </w:r>
      <w:r w:rsidR="008557F8" w:rsidRPr="0069649A">
        <w:rPr>
          <w:rFonts w:asciiTheme="majorHAnsi" w:eastAsia="Times New Roman" w:hAnsiTheme="majorHAnsi"/>
        </w:rPr>
        <w:t xml:space="preserve"> The</w:t>
      </w:r>
      <w:r w:rsidR="00470474" w:rsidRPr="0069649A">
        <w:rPr>
          <w:rFonts w:asciiTheme="majorHAnsi" w:eastAsia="Times New Roman" w:hAnsiTheme="majorHAnsi"/>
        </w:rPr>
        <w:t xml:space="preserve"> majority</w:t>
      </w:r>
      <w:r w:rsidR="00E638D8" w:rsidRPr="0069649A">
        <w:rPr>
          <w:rFonts w:asciiTheme="majorHAnsi" w:eastAsia="Times New Roman" w:hAnsiTheme="majorHAnsi"/>
        </w:rPr>
        <w:t xml:space="preserve"> (</w:t>
      </w:r>
      <w:r w:rsidR="002D7BBF" w:rsidRPr="0069649A">
        <w:rPr>
          <w:rFonts w:asciiTheme="majorHAnsi" w:eastAsia="Times New Roman" w:hAnsiTheme="majorHAnsi"/>
        </w:rPr>
        <w:t>7</w:t>
      </w:r>
      <w:r w:rsidR="001134F0" w:rsidRPr="0069649A">
        <w:rPr>
          <w:rFonts w:asciiTheme="majorHAnsi" w:eastAsia="Times New Roman" w:hAnsiTheme="majorHAnsi"/>
        </w:rPr>
        <w:t>5</w:t>
      </w:r>
      <w:r w:rsidR="00E638D8" w:rsidRPr="0069649A">
        <w:rPr>
          <w:rFonts w:asciiTheme="majorHAnsi" w:eastAsia="Times New Roman" w:hAnsiTheme="majorHAnsi"/>
        </w:rPr>
        <w:t>%)</w:t>
      </w:r>
      <w:r w:rsidR="00470474" w:rsidRPr="0069649A">
        <w:rPr>
          <w:rFonts w:asciiTheme="majorHAnsi" w:eastAsia="Times New Roman" w:hAnsiTheme="majorHAnsi"/>
        </w:rPr>
        <w:t xml:space="preserve"> of patients were from their own home o</w:t>
      </w:r>
      <w:r w:rsidR="007A624C" w:rsidRPr="0069649A">
        <w:rPr>
          <w:rFonts w:asciiTheme="majorHAnsi" w:eastAsia="Times New Roman" w:hAnsiTheme="majorHAnsi"/>
        </w:rPr>
        <w:t xml:space="preserve">r from </w:t>
      </w:r>
      <w:r w:rsidR="002D7BBF" w:rsidRPr="0069649A">
        <w:rPr>
          <w:rFonts w:asciiTheme="majorHAnsi" w:eastAsia="Times New Roman" w:hAnsiTheme="majorHAnsi"/>
        </w:rPr>
        <w:t xml:space="preserve">sheltered </w:t>
      </w:r>
      <w:r w:rsidR="007A624C" w:rsidRPr="0069649A">
        <w:rPr>
          <w:rFonts w:asciiTheme="majorHAnsi" w:eastAsia="Times New Roman" w:hAnsiTheme="majorHAnsi"/>
        </w:rPr>
        <w:t>accommodation</w:t>
      </w:r>
      <w:r w:rsidR="001134F0" w:rsidRPr="0069649A">
        <w:rPr>
          <w:rFonts w:asciiTheme="majorHAnsi" w:eastAsia="Times New Roman" w:hAnsiTheme="majorHAnsi"/>
        </w:rPr>
        <w:t xml:space="preserve"> (8.9%)</w:t>
      </w:r>
      <w:r w:rsidR="007A624C" w:rsidRPr="0069649A">
        <w:rPr>
          <w:rFonts w:asciiTheme="majorHAnsi" w:eastAsia="Times New Roman" w:hAnsiTheme="majorHAnsi"/>
        </w:rPr>
        <w:t xml:space="preserve">. </w:t>
      </w:r>
      <w:r w:rsidR="002D7BBF" w:rsidRPr="0069649A">
        <w:rPr>
          <w:rFonts w:asciiTheme="majorHAnsi" w:eastAsia="Times New Roman" w:hAnsiTheme="majorHAnsi"/>
        </w:rPr>
        <w:t xml:space="preserve">Of these, </w:t>
      </w:r>
      <w:r w:rsidR="00470474" w:rsidRPr="0069649A">
        <w:rPr>
          <w:rFonts w:asciiTheme="majorHAnsi" w:eastAsia="Times New Roman" w:hAnsiTheme="majorHAnsi"/>
        </w:rPr>
        <w:t>4</w:t>
      </w:r>
      <w:r w:rsidR="00CC36FE" w:rsidRPr="0069649A">
        <w:rPr>
          <w:rFonts w:asciiTheme="majorHAnsi" w:eastAsia="Times New Roman" w:hAnsiTheme="majorHAnsi"/>
        </w:rPr>
        <w:t>7</w:t>
      </w:r>
      <w:r w:rsidR="00470474" w:rsidRPr="0069649A">
        <w:rPr>
          <w:rFonts w:asciiTheme="majorHAnsi" w:eastAsia="Times New Roman" w:hAnsiTheme="majorHAnsi"/>
        </w:rPr>
        <w:t>% of patients did not have any</w:t>
      </w:r>
      <w:r w:rsidR="00111B40" w:rsidRPr="0069649A">
        <w:rPr>
          <w:rFonts w:asciiTheme="majorHAnsi" w:eastAsia="Times New Roman" w:hAnsiTheme="majorHAnsi"/>
        </w:rPr>
        <w:t xml:space="preserve"> formal</w:t>
      </w:r>
      <w:r w:rsidR="00470474" w:rsidRPr="0069649A">
        <w:rPr>
          <w:rFonts w:asciiTheme="majorHAnsi" w:eastAsia="Times New Roman" w:hAnsiTheme="majorHAnsi"/>
        </w:rPr>
        <w:t xml:space="preserve"> carer support. </w:t>
      </w:r>
      <w:r w:rsidR="00CC36FE" w:rsidRPr="0069649A">
        <w:rPr>
          <w:rFonts w:asciiTheme="majorHAnsi" w:eastAsia="Times New Roman" w:hAnsiTheme="majorHAnsi"/>
        </w:rPr>
        <w:t>30.4</w:t>
      </w:r>
      <w:r w:rsidR="00470474" w:rsidRPr="0069649A">
        <w:rPr>
          <w:rFonts w:asciiTheme="majorHAnsi" w:eastAsia="Times New Roman" w:hAnsiTheme="majorHAnsi"/>
        </w:rPr>
        <w:t>% had care</w:t>
      </w:r>
      <w:r w:rsidR="00111B40" w:rsidRPr="0069649A">
        <w:rPr>
          <w:rFonts w:asciiTheme="majorHAnsi" w:eastAsia="Times New Roman" w:hAnsiTheme="majorHAnsi"/>
        </w:rPr>
        <w:t xml:space="preserve">rs </w:t>
      </w:r>
      <w:r w:rsidR="008557F8" w:rsidRPr="0069649A">
        <w:rPr>
          <w:rFonts w:asciiTheme="majorHAnsi" w:eastAsia="Times New Roman" w:hAnsiTheme="majorHAnsi"/>
        </w:rPr>
        <w:t>visiting up</w:t>
      </w:r>
      <w:r w:rsidR="00470474" w:rsidRPr="0069649A">
        <w:rPr>
          <w:rFonts w:asciiTheme="majorHAnsi" w:eastAsia="Times New Roman" w:hAnsiTheme="majorHAnsi"/>
        </w:rPr>
        <w:t xml:space="preserve"> to three times a day and </w:t>
      </w:r>
      <w:r w:rsidR="00CC36FE" w:rsidRPr="0069649A">
        <w:rPr>
          <w:rFonts w:asciiTheme="majorHAnsi" w:eastAsia="Times New Roman" w:hAnsiTheme="majorHAnsi"/>
        </w:rPr>
        <w:t>22</w:t>
      </w:r>
      <w:r w:rsidR="00470474" w:rsidRPr="0069649A">
        <w:rPr>
          <w:rFonts w:asciiTheme="majorHAnsi" w:eastAsia="Times New Roman" w:hAnsiTheme="majorHAnsi"/>
        </w:rPr>
        <w:t>.5% up to four times a day.</w:t>
      </w:r>
    </w:p>
    <w:p w14:paraId="682154AF" w14:textId="77777777" w:rsidR="008557F8" w:rsidRPr="0069649A" w:rsidRDefault="008557F8" w:rsidP="00FE1537">
      <w:pPr>
        <w:spacing w:line="480" w:lineRule="auto"/>
        <w:jc w:val="both"/>
        <w:rPr>
          <w:rFonts w:asciiTheme="majorHAnsi" w:eastAsia="Times New Roman" w:hAnsiTheme="majorHAnsi"/>
        </w:rPr>
      </w:pPr>
    </w:p>
    <w:p w14:paraId="6DD8AF14" w14:textId="15D81552" w:rsidR="00C11E7B" w:rsidRPr="0069649A" w:rsidRDefault="00C11E7B" w:rsidP="00FE1537">
      <w:pPr>
        <w:spacing w:line="480" w:lineRule="auto"/>
        <w:jc w:val="both"/>
        <w:rPr>
          <w:rFonts w:asciiTheme="majorHAnsi" w:hAnsiTheme="majorHAnsi"/>
        </w:rPr>
      </w:pPr>
      <w:r w:rsidRPr="0069649A">
        <w:rPr>
          <w:rFonts w:asciiTheme="majorHAnsi" w:hAnsiTheme="majorHAnsi"/>
        </w:rPr>
        <w:t>Of the whole cohort, 37/124 (2</w:t>
      </w:r>
      <w:r w:rsidR="00CC36FE" w:rsidRPr="0069649A">
        <w:rPr>
          <w:rFonts w:asciiTheme="majorHAnsi" w:hAnsiTheme="majorHAnsi"/>
        </w:rPr>
        <w:t>9</w:t>
      </w:r>
      <w:r w:rsidRPr="0069649A">
        <w:rPr>
          <w:rFonts w:asciiTheme="majorHAnsi" w:hAnsiTheme="majorHAnsi"/>
        </w:rPr>
        <w:t xml:space="preserve">.8%) died. </w:t>
      </w:r>
      <w:r w:rsidR="00615EB0" w:rsidRPr="0069649A">
        <w:rPr>
          <w:rFonts w:asciiTheme="majorHAnsi" w:eastAsia="Times New Roman" w:hAnsiTheme="majorHAnsi"/>
        </w:rPr>
        <w:t>Those who died were more likely to be male (P=0.018</w:t>
      </w:r>
      <w:r w:rsidR="00763BB1" w:rsidRPr="0069649A">
        <w:rPr>
          <w:rFonts w:asciiTheme="majorHAnsi" w:eastAsia="Times New Roman" w:hAnsiTheme="majorHAnsi"/>
        </w:rPr>
        <w:t>)</w:t>
      </w:r>
      <w:r w:rsidR="008144A5" w:rsidRPr="0069649A">
        <w:rPr>
          <w:rFonts w:asciiTheme="majorHAnsi" w:eastAsia="Times New Roman" w:hAnsiTheme="majorHAnsi"/>
        </w:rPr>
        <w:t>, older</w:t>
      </w:r>
      <w:r w:rsidR="00615EB0" w:rsidRPr="0069649A">
        <w:rPr>
          <w:rFonts w:asciiTheme="majorHAnsi" w:eastAsia="Times New Roman" w:hAnsiTheme="majorHAnsi"/>
        </w:rPr>
        <w:t xml:space="preserve"> than 80 years (P=0.022)</w:t>
      </w:r>
      <w:r w:rsidR="00763BB1" w:rsidRPr="0069649A">
        <w:rPr>
          <w:rFonts w:asciiTheme="majorHAnsi" w:eastAsia="Times New Roman" w:hAnsiTheme="majorHAnsi"/>
        </w:rPr>
        <w:t xml:space="preserve"> </w:t>
      </w:r>
      <w:r w:rsidR="00615EB0" w:rsidRPr="0069649A">
        <w:rPr>
          <w:rFonts w:asciiTheme="majorHAnsi" w:eastAsia="Times New Roman" w:hAnsiTheme="majorHAnsi"/>
        </w:rPr>
        <w:t xml:space="preserve">and to have </w:t>
      </w:r>
      <w:r w:rsidR="001D65C7" w:rsidRPr="0069649A">
        <w:rPr>
          <w:rFonts w:asciiTheme="majorHAnsi" w:eastAsia="Times New Roman" w:hAnsiTheme="majorHAnsi"/>
        </w:rPr>
        <w:t xml:space="preserve">a </w:t>
      </w:r>
      <w:r w:rsidR="002B33B1" w:rsidRPr="0069649A">
        <w:rPr>
          <w:rFonts w:asciiTheme="majorHAnsi" w:eastAsia="Times New Roman" w:hAnsiTheme="majorHAnsi"/>
        </w:rPr>
        <w:t xml:space="preserve">CFS score </w:t>
      </w:r>
      <w:r w:rsidR="001D65C7" w:rsidRPr="0069649A">
        <w:rPr>
          <w:rFonts w:asciiTheme="majorHAnsi" w:eastAsia="Times New Roman" w:hAnsiTheme="majorHAnsi"/>
        </w:rPr>
        <w:t xml:space="preserve">of </w:t>
      </w:r>
      <w:r w:rsidR="00412944" w:rsidRPr="0069649A">
        <w:rPr>
          <w:rFonts w:asciiTheme="majorHAnsi" w:eastAsia="Times New Roman" w:hAnsiTheme="majorHAnsi"/>
        </w:rPr>
        <w:t xml:space="preserve">more than or equal to </w:t>
      </w:r>
      <w:r w:rsidR="005A5190" w:rsidRPr="0069649A">
        <w:rPr>
          <w:rFonts w:asciiTheme="majorHAnsi" w:eastAsia="Times New Roman" w:hAnsiTheme="majorHAnsi"/>
        </w:rPr>
        <w:t xml:space="preserve">5 </w:t>
      </w:r>
      <w:r w:rsidR="00615EB0" w:rsidRPr="0069649A">
        <w:rPr>
          <w:rFonts w:asciiTheme="majorHAnsi" w:eastAsia="Times New Roman" w:hAnsiTheme="majorHAnsi"/>
        </w:rPr>
        <w:t>(</w:t>
      </w:r>
      <w:r w:rsidR="002D7BBF" w:rsidRPr="0069649A">
        <w:rPr>
          <w:rFonts w:asciiTheme="majorHAnsi" w:eastAsia="Times New Roman" w:hAnsiTheme="majorHAnsi"/>
        </w:rPr>
        <w:t>P=0.010</w:t>
      </w:r>
      <w:r w:rsidR="008144A5" w:rsidRPr="0069649A">
        <w:rPr>
          <w:rFonts w:asciiTheme="majorHAnsi" w:eastAsia="Times New Roman" w:hAnsiTheme="majorHAnsi"/>
        </w:rPr>
        <w:t>)</w:t>
      </w:r>
      <w:r w:rsidR="008144A5" w:rsidRPr="0069649A">
        <w:rPr>
          <w:rFonts w:asciiTheme="majorHAnsi" w:hAnsiTheme="majorHAnsi"/>
        </w:rPr>
        <w:t>.</w:t>
      </w:r>
      <w:r w:rsidRPr="0069649A">
        <w:rPr>
          <w:rFonts w:asciiTheme="majorHAnsi" w:hAnsiTheme="majorHAnsi"/>
        </w:rPr>
        <w:t xml:space="preserve"> Median length of stay for those who survived was 14.1 days (8.9-19.8)</w:t>
      </w:r>
      <w:r w:rsidR="008557F8" w:rsidRPr="0069649A">
        <w:rPr>
          <w:rFonts w:asciiTheme="majorHAnsi" w:hAnsiTheme="majorHAnsi"/>
        </w:rPr>
        <w:t xml:space="preserve"> (Table 1)</w:t>
      </w:r>
      <w:r w:rsidRPr="0069649A">
        <w:rPr>
          <w:rFonts w:asciiTheme="majorHAnsi" w:hAnsiTheme="majorHAnsi"/>
        </w:rPr>
        <w:t>.</w:t>
      </w:r>
    </w:p>
    <w:p w14:paraId="204EDCB6" w14:textId="2CC18F2C" w:rsidR="002932FF" w:rsidRPr="0069649A" w:rsidRDefault="002932FF" w:rsidP="00FE1537">
      <w:pPr>
        <w:spacing w:line="480" w:lineRule="auto"/>
        <w:jc w:val="both"/>
        <w:rPr>
          <w:rFonts w:asciiTheme="majorHAnsi" w:eastAsia="Times New Roman" w:hAnsiTheme="majorHAnsi"/>
        </w:rPr>
      </w:pPr>
    </w:p>
    <w:p w14:paraId="7F306768" w14:textId="7EFC0926" w:rsidR="00D740BA" w:rsidRPr="0069649A" w:rsidRDefault="00D740BA" w:rsidP="00FE1537">
      <w:pPr>
        <w:spacing w:line="480" w:lineRule="auto"/>
        <w:jc w:val="both"/>
        <w:rPr>
          <w:rFonts w:asciiTheme="majorHAnsi" w:eastAsia="Times New Roman" w:hAnsiTheme="majorHAnsi"/>
          <w:i/>
        </w:rPr>
      </w:pPr>
      <w:r w:rsidRPr="0069649A">
        <w:rPr>
          <w:rFonts w:asciiTheme="majorHAnsi" w:eastAsia="Times New Roman" w:hAnsiTheme="majorHAnsi"/>
          <w:i/>
        </w:rPr>
        <w:t>Frailty and comorbidities</w:t>
      </w:r>
    </w:p>
    <w:p w14:paraId="4469C71D" w14:textId="1DB6B4D2" w:rsidR="00D740BA" w:rsidRPr="0069649A" w:rsidRDefault="00F76077" w:rsidP="00FE1537">
      <w:pPr>
        <w:spacing w:line="480" w:lineRule="auto"/>
        <w:jc w:val="both"/>
        <w:rPr>
          <w:rFonts w:asciiTheme="majorHAnsi" w:hAnsiTheme="majorHAnsi"/>
        </w:rPr>
      </w:pPr>
      <w:r w:rsidRPr="0069649A">
        <w:rPr>
          <w:rFonts w:asciiTheme="majorHAnsi" w:eastAsia="Times New Roman" w:hAnsiTheme="majorHAnsi"/>
        </w:rPr>
        <w:t xml:space="preserve">The </w:t>
      </w:r>
      <w:r w:rsidR="00075DA8" w:rsidRPr="0069649A">
        <w:rPr>
          <w:rFonts w:asciiTheme="majorHAnsi" w:eastAsia="Times New Roman" w:hAnsiTheme="majorHAnsi"/>
        </w:rPr>
        <w:t>m</w:t>
      </w:r>
      <w:r w:rsidRPr="0069649A">
        <w:rPr>
          <w:rFonts w:asciiTheme="majorHAnsi" w:eastAsia="Times New Roman" w:hAnsiTheme="majorHAnsi"/>
        </w:rPr>
        <w:t xml:space="preserve">edian </w:t>
      </w:r>
      <w:r w:rsidR="00075DA8" w:rsidRPr="0069649A">
        <w:rPr>
          <w:rFonts w:asciiTheme="majorHAnsi" w:eastAsia="Times New Roman" w:hAnsiTheme="majorHAnsi"/>
        </w:rPr>
        <w:t>CFS</w:t>
      </w:r>
      <w:r w:rsidRPr="0069649A">
        <w:rPr>
          <w:rFonts w:asciiTheme="majorHAnsi" w:eastAsia="Times New Roman" w:hAnsiTheme="majorHAnsi"/>
        </w:rPr>
        <w:t xml:space="preserve"> </w:t>
      </w:r>
      <w:r w:rsidR="002B33B1" w:rsidRPr="0069649A">
        <w:rPr>
          <w:rFonts w:asciiTheme="majorHAnsi" w:eastAsia="Times New Roman" w:hAnsiTheme="majorHAnsi"/>
        </w:rPr>
        <w:t xml:space="preserve">score </w:t>
      </w:r>
      <w:r w:rsidRPr="0069649A">
        <w:rPr>
          <w:rFonts w:asciiTheme="majorHAnsi" w:eastAsia="Times New Roman" w:hAnsiTheme="majorHAnsi"/>
        </w:rPr>
        <w:t>was 6</w:t>
      </w:r>
      <w:r w:rsidR="002D7BBF" w:rsidRPr="0069649A">
        <w:rPr>
          <w:rFonts w:asciiTheme="majorHAnsi" w:eastAsia="Times New Roman" w:hAnsiTheme="majorHAnsi"/>
        </w:rPr>
        <w:t xml:space="preserve"> (IQR 4-6)</w:t>
      </w:r>
      <w:r w:rsidR="00C53004" w:rsidRPr="0069649A">
        <w:rPr>
          <w:rFonts w:asciiTheme="majorHAnsi" w:eastAsia="Times New Roman" w:hAnsiTheme="majorHAnsi"/>
        </w:rPr>
        <w:t xml:space="preserve">, </w:t>
      </w:r>
      <w:r w:rsidR="008557F8" w:rsidRPr="0069649A">
        <w:rPr>
          <w:rFonts w:asciiTheme="majorHAnsi" w:eastAsia="Times New Roman" w:hAnsiTheme="majorHAnsi"/>
        </w:rPr>
        <w:t>with</w:t>
      </w:r>
      <w:r w:rsidR="00E56629" w:rsidRPr="0069649A">
        <w:rPr>
          <w:rFonts w:asciiTheme="majorHAnsi" w:eastAsia="Times New Roman" w:hAnsiTheme="majorHAnsi"/>
        </w:rPr>
        <w:t xml:space="preserve"> the overall </w:t>
      </w:r>
      <w:r w:rsidR="008557F8" w:rsidRPr="0069649A">
        <w:rPr>
          <w:rFonts w:asciiTheme="majorHAnsi" w:eastAsia="Times New Roman" w:hAnsiTheme="majorHAnsi"/>
        </w:rPr>
        <w:t xml:space="preserve">frailty </w:t>
      </w:r>
      <w:r w:rsidR="00E56629" w:rsidRPr="0069649A">
        <w:rPr>
          <w:rFonts w:asciiTheme="majorHAnsi" w:eastAsia="Times New Roman" w:hAnsiTheme="majorHAnsi"/>
        </w:rPr>
        <w:t xml:space="preserve">prevalence of </w:t>
      </w:r>
      <w:r w:rsidR="00CC36FE" w:rsidRPr="0069649A">
        <w:rPr>
          <w:rFonts w:asciiTheme="majorHAnsi" w:eastAsia="Times New Roman" w:hAnsiTheme="majorHAnsi"/>
        </w:rPr>
        <w:t>76.6</w:t>
      </w:r>
      <w:r w:rsidR="00C53004" w:rsidRPr="0069649A">
        <w:rPr>
          <w:rFonts w:asciiTheme="majorHAnsi" w:eastAsia="Times New Roman" w:hAnsiTheme="majorHAnsi"/>
        </w:rPr>
        <w:t>%</w:t>
      </w:r>
      <w:r w:rsidR="00472A69" w:rsidRPr="0069649A">
        <w:rPr>
          <w:rFonts w:asciiTheme="majorHAnsi" w:eastAsia="Times New Roman" w:hAnsiTheme="majorHAnsi"/>
        </w:rPr>
        <w:t>.</w:t>
      </w:r>
      <w:r w:rsidR="008557F8" w:rsidRPr="0069649A">
        <w:rPr>
          <w:rFonts w:asciiTheme="majorHAnsi" w:hAnsiTheme="majorHAnsi"/>
        </w:rPr>
        <w:t xml:space="preserve"> </w:t>
      </w:r>
      <w:r w:rsidR="00CC36FE" w:rsidRPr="0069649A">
        <w:rPr>
          <w:rFonts w:asciiTheme="majorHAnsi" w:hAnsiTheme="majorHAnsi"/>
        </w:rPr>
        <w:t>Comorbidities are</w:t>
      </w:r>
      <w:r w:rsidR="005C7F22" w:rsidRPr="0069649A">
        <w:rPr>
          <w:rFonts w:asciiTheme="majorHAnsi" w:hAnsiTheme="majorHAnsi"/>
        </w:rPr>
        <w:t xml:space="preserve"> showed in Table </w:t>
      </w:r>
      <w:r w:rsidR="00CC36FE" w:rsidRPr="0069649A">
        <w:rPr>
          <w:rFonts w:asciiTheme="majorHAnsi" w:hAnsiTheme="majorHAnsi"/>
        </w:rPr>
        <w:t>1.</w:t>
      </w:r>
      <w:r w:rsidR="005C7F22" w:rsidRPr="0069649A">
        <w:rPr>
          <w:rFonts w:asciiTheme="majorHAnsi" w:hAnsiTheme="majorHAnsi"/>
        </w:rPr>
        <w:t xml:space="preserve">  As a reflection of the frailty of this cohort, 37.1% had a formal diagnosis of dementia, and recurrent falls</w:t>
      </w:r>
      <w:r w:rsidR="00A41271" w:rsidRPr="0069649A">
        <w:rPr>
          <w:rFonts w:asciiTheme="majorHAnsi" w:hAnsiTheme="majorHAnsi"/>
        </w:rPr>
        <w:t xml:space="preserve"> (defined as 2 or more in the past year)</w:t>
      </w:r>
      <w:r w:rsidR="005C7F22" w:rsidRPr="0069649A">
        <w:rPr>
          <w:rFonts w:asciiTheme="majorHAnsi" w:hAnsiTheme="majorHAnsi"/>
        </w:rPr>
        <w:t xml:space="preserve"> were reported in 31.5%. </w:t>
      </w:r>
      <w:r w:rsidR="00615EB0" w:rsidRPr="0069649A">
        <w:rPr>
          <w:rFonts w:asciiTheme="majorHAnsi" w:eastAsia="Times New Roman" w:hAnsiTheme="majorHAnsi"/>
        </w:rPr>
        <w:t xml:space="preserve">Patients who died had more frequently a history of </w:t>
      </w:r>
      <w:r w:rsidR="00615EB0" w:rsidRPr="0069649A">
        <w:rPr>
          <w:rFonts w:asciiTheme="majorHAnsi" w:hAnsiTheme="majorHAnsi"/>
        </w:rPr>
        <w:t xml:space="preserve">dementia (54.1% vs. 29.9%, P=0.015) </w:t>
      </w:r>
      <w:r w:rsidR="0067647A" w:rsidRPr="0069649A">
        <w:rPr>
          <w:rFonts w:asciiTheme="majorHAnsi" w:hAnsiTheme="majorHAnsi"/>
        </w:rPr>
        <w:t>or</w:t>
      </w:r>
      <w:r w:rsidR="001C74E2" w:rsidRPr="0069649A">
        <w:rPr>
          <w:rFonts w:asciiTheme="majorHAnsi" w:hAnsiTheme="majorHAnsi"/>
        </w:rPr>
        <w:t xml:space="preserve"> </w:t>
      </w:r>
      <w:r w:rsidR="00615EB0" w:rsidRPr="0069649A">
        <w:rPr>
          <w:rFonts w:asciiTheme="majorHAnsi" w:hAnsiTheme="majorHAnsi"/>
        </w:rPr>
        <w:t>chronic kidney disease (35.1% vs. 16.1%, P=0.031).</w:t>
      </w:r>
    </w:p>
    <w:p w14:paraId="3A058ADE" w14:textId="77777777" w:rsidR="00D424DD" w:rsidRPr="0069649A" w:rsidRDefault="00D424DD" w:rsidP="00FE1537">
      <w:pPr>
        <w:spacing w:line="480" w:lineRule="auto"/>
        <w:jc w:val="both"/>
        <w:rPr>
          <w:rFonts w:asciiTheme="majorHAnsi" w:hAnsiTheme="majorHAnsi"/>
        </w:rPr>
      </w:pPr>
    </w:p>
    <w:p w14:paraId="326A74E4" w14:textId="149E8910" w:rsidR="00D740BA" w:rsidRPr="0069649A" w:rsidRDefault="00D740BA" w:rsidP="00FE1537">
      <w:pPr>
        <w:spacing w:line="480" w:lineRule="auto"/>
        <w:jc w:val="both"/>
        <w:rPr>
          <w:rFonts w:asciiTheme="majorHAnsi" w:hAnsiTheme="majorHAnsi"/>
          <w:i/>
        </w:rPr>
      </w:pPr>
      <w:r w:rsidRPr="0069649A">
        <w:rPr>
          <w:rFonts w:asciiTheme="majorHAnsi" w:hAnsiTheme="majorHAnsi"/>
          <w:i/>
        </w:rPr>
        <w:t>Symptoms at presentation or during admission</w:t>
      </w:r>
    </w:p>
    <w:p w14:paraId="31B82705" w14:textId="4B57E3DA" w:rsidR="00D740BA" w:rsidRPr="0069649A" w:rsidRDefault="00D740BA" w:rsidP="00FE1537">
      <w:pPr>
        <w:spacing w:line="480" w:lineRule="auto"/>
        <w:jc w:val="both"/>
        <w:rPr>
          <w:rFonts w:asciiTheme="majorHAnsi" w:hAnsiTheme="majorHAnsi"/>
        </w:rPr>
      </w:pPr>
      <w:r w:rsidRPr="0069649A">
        <w:rPr>
          <w:rFonts w:asciiTheme="majorHAnsi" w:hAnsiTheme="majorHAnsi"/>
        </w:rPr>
        <w:t>More than half of the patients presented or develop</w:t>
      </w:r>
      <w:r w:rsidR="00763BB1" w:rsidRPr="0069649A">
        <w:rPr>
          <w:rFonts w:asciiTheme="majorHAnsi" w:hAnsiTheme="majorHAnsi"/>
        </w:rPr>
        <w:t>ed</w:t>
      </w:r>
      <w:r w:rsidRPr="0069649A">
        <w:rPr>
          <w:rFonts w:asciiTheme="majorHAnsi" w:hAnsiTheme="majorHAnsi"/>
        </w:rPr>
        <w:t xml:space="preserve"> typical symptoms (fever in 55.3%, cough in 48.4% and shortness of breath in 60.5%). Fatigue was present in half cases. Respiratory failure was diagnosed in 53.2% of cases</w:t>
      </w:r>
      <w:r w:rsidR="005D4632" w:rsidRPr="0069649A">
        <w:rPr>
          <w:rFonts w:asciiTheme="majorHAnsi" w:hAnsiTheme="majorHAnsi"/>
        </w:rPr>
        <w:t xml:space="preserve"> (Table 2).</w:t>
      </w:r>
      <w:r w:rsidR="007C7C8F" w:rsidRPr="0069649A">
        <w:rPr>
          <w:rFonts w:asciiTheme="majorHAnsi" w:hAnsiTheme="majorHAnsi"/>
        </w:rPr>
        <w:t xml:space="preserve"> </w:t>
      </w:r>
      <w:r w:rsidR="004275B1" w:rsidRPr="0069649A">
        <w:rPr>
          <w:rFonts w:asciiTheme="majorHAnsi" w:hAnsiTheme="majorHAnsi"/>
        </w:rPr>
        <w:t>On admission, 29.8% was diag</w:t>
      </w:r>
      <w:r w:rsidR="001E4875" w:rsidRPr="0069649A">
        <w:rPr>
          <w:rFonts w:asciiTheme="majorHAnsi" w:hAnsiTheme="majorHAnsi"/>
        </w:rPr>
        <w:t xml:space="preserve">nosed with </w:t>
      </w:r>
      <w:r w:rsidR="00E936CF" w:rsidRPr="0069649A">
        <w:rPr>
          <w:rFonts w:asciiTheme="majorHAnsi" w:hAnsiTheme="majorHAnsi"/>
        </w:rPr>
        <w:t>AKI</w:t>
      </w:r>
      <w:r w:rsidR="001E4875" w:rsidRPr="0069649A">
        <w:rPr>
          <w:rFonts w:asciiTheme="majorHAnsi" w:hAnsiTheme="majorHAnsi"/>
        </w:rPr>
        <w:t xml:space="preserve">, </w:t>
      </w:r>
      <w:r w:rsidR="004275B1" w:rsidRPr="0069649A">
        <w:rPr>
          <w:rFonts w:asciiTheme="majorHAnsi" w:hAnsiTheme="majorHAnsi"/>
        </w:rPr>
        <w:t xml:space="preserve">13.7% </w:t>
      </w:r>
      <w:r w:rsidR="001E4875" w:rsidRPr="0069649A">
        <w:rPr>
          <w:rFonts w:asciiTheme="majorHAnsi" w:hAnsiTheme="majorHAnsi"/>
        </w:rPr>
        <w:t>with</w:t>
      </w:r>
      <w:r w:rsidR="00E936CF" w:rsidRPr="0069649A">
        <w:rPr>
          <w:rFonts w:asciiTheme="majorHAnsi" w:hAnsiTheme="majorHAnsi"/>
        </w:rPr>
        <w:t xml:space="preserve"> hyponatremia</w:t>
      </w:r>
      <w:r w:rsidR="004275B1" w:rsidRPr="0069649A">
        <w:rPr>
          <w:rFonts w:asciiTheme="majorHAnsi" w:hAnsiTheme="majorHAnsi"/>
        </w:rPr>
        <w:t xml:space="preserve"> and 17.7% with </w:t>
      </w:r>
      <w:r w:rsidR="004F7F14" w:rsidRPr="0069649A">
        <w:rPr>
          <w:rFonts w:asciiTheme="majorHAnsi" w:hAnsiTheme="majorHAnsi"/>
        </w:rPr>
        <w:t>hypernatremia</w:t>
      </w:r>
      <w:r w:rsidR="004275B1" w:rsidRPr="0069649A">
        <w:rPr>
          <w:rFonts w:asciiTheme="majorHAnsi" w:hAnsiTheme="majorHAnsi"/>
        </w:rPr>
        <w:t>.</w:t>
      </w:r>
      <w:r w:rsidR="00E46E20" w:rsidRPr="0069649A">
        <w:rPr>
          <w:rFonts w:asciiTheme="majorHAnsi" w:hAnsiTheme="majorHAnsi"/>
        </w:rPr>
        <w:t xml:space="preserve"> </w:t>
      </w:r>
      <w:r w:rsidRPr="0069649A">
        <w:rPr>
          <w:rFonts w:asciiTheme="majorHAnsi" w:hAnsiTheme="majorHAnsi"/>
        </w:rPr>
        <w:t xml:space="preserve">46.8% </w:t>
      </w:r>
      <w:r w:rsidR="004275B1" w:rsidRPr="0069649A">
        <w:rPr>
          <w:rFonts w:asciiTheme="majorHAnsi" w:hAnsiTheme="majorHAnsi"/>
        </w:rPr>
        <w:t xml:space="preserve">were diagnosed </w:t>
      </w:r>
      <w:r w:rsidRPr="0069649A">
        <w:rPr>
          <w:rFonts w:asciiTheme="majorHAnsi" w:hAnsiTheme="majorHAnsi"/>
        </w:rPr>
        <w:t xml:space="preserve">with delirium, 24.2% with falls and dysphagia (not related to a previous condition or new </w:t>
      </w:r>
      <w:r w:rsidR="00CF0E2E" w:rsidRPr="0069649A">
        <w:rPr>
          <w:rFonts w:asciiTheme="majorHAnsi" w:hAnsiTheme="majorHAnsi"/>
        </w:rPr>
        <w:t>stroke</w:t>
      </w:r>
      <w:r w:rsidRPr="0069649A">
        <w:rPr>
          <w:rFonts w:asciiTheme="majorHAnsi" w:hAnsiTheme="majorHAnsi"/>
        </w:rPr>
        <w:t>) was present in 13.7% of patients.</w:t>
      </w:r>
    </w:p>
    <w:p w14:paraId="4FAC41D2" w14:textId="77777777" w:rsidR="007C7C8F" w:rsidRPr="0069649A" w:rsidRDefault="007C7C8F" w:rsidP="00FE1537">
      <w:pPr>
        <w:spacing w:line="480" w:lineRule="auto"/>
        <w:jc w:val="both"/>
        <w:rPr>
          <w:rFonts w:asciiTheme="majorHAnsi" w:hAnsiTheme="majorHAnsi"/>
        </w:rPr>
      </w:pPr>
    </w:p>
    <w:p w14:paraId="4BA68BB4" w14:textId="1F81FF70" w:rsidR="002C2008" w:rsidRPr="0069649A" w:rsidRDefault="002C2008" w:rsidP="00FE1537">
      <w:pPr>
        <w:spacing w:line="480" w:lineRule="auto"/>
        <w:jc w:val="both"/>
        <w:rPr>
          <w:rFonts w:asciiTheme="majorHAnsi" w:eastAsia="Times New Roman" w:hAnsiTheme="majorHAnsi"/>
        </w:rPr>
      </w:pPr>
      <w:r w:rsidRPr="0069649A">
        <w:rPr>
          <w:rFonts w:asciiTheme="majorHAnsi" w:eastAsia="Times New Roman" w:hAnsiTheme="majorHAnsi"/>
        </w:rPr>
        <w:t xml:space="preserve">Patients who died were more likely to </w:t>
      </w:r>
      <w:r w:rsidR="00CF0E2E" w:rsidRPr="0069649A">
        <w:rPr>
          <w:rFonts w:asciiTheme="majorHAnsi" w:eastAsia="Times New Roman" w:hAnsiTheme="majorHAnsi"/>
        </w:rPr>
        <w:t xml:space="preserve">have been </w:t>
      </w:r>
      <w:r w:rsidR="004275B1" w:rsidRPr="0069649A">
        <w:rPr>
          <w:rFonts w:asciiTheme="majorHAnsi" w:eastAsia="Times New Roman" w:hAnsiTheme="majorHAnsi"/>
        </w:rPr>
        <w:t xml:space="preserve">diagnosed </w:t>
      </w:r>
      <w:r w:rsidRPr="0069649A">
        <w:rPr>
          <w:rFonts w:asciiTheme="majorHAnsi" w:eastAsia="Times New Roman" w:hAnsiTheme="majorHAnsi"/>
        </w:rPr>
        <w:t xml:space="preserve">with respiratory failure (73% vs. 44.8%, P=0.006), </w:t>
      </w:r>
      <w:r w:rsidR="00E936CF" w:rsidRPr="0069649A">
        <w:rPr>
          <w:rFonts w:asciiTheme="majorHAnsi" w:eastAsia="Times New Roman" w:hAnsiTheme="majorHAnsi"/>
        </w:rPr>
        <w:t>AKI</w:t>
      </w:r>
      <w:r w:rsidRPr="0069649A">
        <w:rPr>
          <w:rFonts w:asciiTheme="majorHAnsi" w:eastAsia="Times New Roman" w:hAnsiTheme="majorHAnsi"/>
        </w:rPr>
        <w:t xml:space="preserve"> (48.6% vs. 21.8%, P= 0.005) </w:t>
      </w:r>
      <w:r w:rsidR="0067647A" w:rsidRPr="0069649A">
        <w:rPr>
          <w:rFonts w:asciiTheme="majorHAnsi" w:eastAsia="Times New Roman" w:hAnsiTheme="majorHAnsi"/>
        </w:rPr>
        <w:t xml:space="preserve">or </w:t>
      </w:r>
      <w:r w:rsidRPr="0069649A">
        <w:rPr>
          <w:rFonts w:asciiTheme="majorHAnsi" w:eastAsia="Times New Roman" w:hAnsiTheme="majorHAnsi"/>
        </w:rPr>
        <w:t>hypernatremia (32.4% vs. 11.5%, P=</w:t>
      </w:r>
      <w:r w:rsidRPr="0069649A">
        <w:t xml:space="preserve"> </w:t>
      </w:r>
      <w:r w:rsidRPr="0069649A">
        <w:rPr>
          <w:rFonts w:asciiTheme="majorHAnsi" w:eastAsia="Times New Roman" w:hAnsiTheme="majorHAnsi"/>
        </w:rPr>
        <w:t>0.009).</w:t>
      </w:r>
    </w:p>
    <w:p w14:paraId="4A53D6FA" w14:textId="77777777" w:rsidR="007C7C8F" w:rsidRPr="0069649A" w:rsidRDefault="007C7C8F" w:rsidP="00FE1537">
      <w:pPr>
        <w:spacing w:line="480" w:lineRule="auto"/>
        <w:jc w:val="both"/>
        <w:rPr>
          <w:rFonts w:asciiTheme="majorHAnsi" w:eastAsia="Times New Roman" w:hAnsiTheme="majorHAnsi"/>
        </w:rPr>
      </w:pPr>
    </w:p>
    <w:p w14:paraId="3180965B" w14:textId="2D1501DE" w:rsidR="00FC219D" w:rsidRPr="0069649A" w:rsidRDefault="00FC219D" w:rsidP="00FE1537">
      <w:pPr>
        <w:spacing w:line="480" w:lineRule="auto"/>
        <w:jc w:val="both"/>
        <w:rPr>
          <w:rFonts w:asciiTheme="majorHAnsi" w:eastAsia="Times New Roman" w:hAnsiTheme="majorHAnsi"/>
          <w:i/>
        </w:rPr>
      </w:pPr>
      <w:r w:rsidRPr="0069649A">
        <w:rPr>
          <w:rFonts w:asciiTheme="majorHAnsi" w:eastAsia="Times New Roman" w:hAnsiTheme="majorHAnsi"/>
          <w:i/>
        </w:rPr>
        <w:t>Diagnostics</w:t>
      </w:r>
    </w:p>
    <w:p w14:paraId="27FCF2F0" w14:textId="2B180C76" w:rsidR="00E01CB9" w:rsidRPr="0069649A" w:rsidRDefault="003B6413" w:rsidP="003B6413">
      <w:pPr>
        <w:spacing w:line="480" w:lineRule="auto"/>
        <w:jc w:val="both"/>
        <w:rPr>
          <w:rFonts w:asciiTheme="majorHAnsi" w:hAnsiTheme="majorHAnsi"/>
        </w:rPr>
      </w:pPr>
      <w:r w:rsidRPr="0069649A" w:rsidDel="003B6413">
        <w:rPr>
          <w:rFonts w:asciiTheme="majorHAnsi" w:hAnsiTheme="majorHAnsi"/>
        </w:rPr>
        <w:t xml:space="preserve"> </w:t>
      </w:r>
      <w:r w:rsidR="00B50B8E" w:rsidRPr="0069649A">
        <w:rPr>
          <w:rFonts w:asciiTheme="majorHAnsi" w:hAnsiTheme="majorHAnsi"/>
        </w:rPr>
        <w:t>5</w:t>
      </w:r>
      <w:r w:rsidR="00D740BA" w:rsidRPr="0069649A">
        <w:rPr>
          <w:rFonts w:asciiTheme="majorHAnsi" w:hAnsiTheme="majorHAnsi"/>
        </w:rPr>
        <w:t>7.3% of patients</w:t>
      </w:r>
      <w:r w:rsidR="00B50B8E" w:rsidRPr="0069649A">
        <w:rPr>
          <w:rFonts w:asciiTheme="majorHAnsi" w:hAnsiTheme="majorHAnsi"/>
        </w:rPr>
        <w:t xml:space="preserve"> </w:t>
      </w:r>
      <w:r w:rsidR="00D740BA" w:rsidRPr="0069649A">
        <w:rPr>
          <w:rFonts w:asciiTheme="majorHAnsi" w:hAnsiTheme="majorHAnsi"/>
        </w:rPr>
        <w:t>presented with lymphocytopenia. 78.9% with raised D-</w:t>
      </w:r>
      <w:r w:rsidR="00005D02" w:rsidRPr="0069649A">
        <w:rPr>
          <w:rFonts w:asciiTheme="majorHAnsi" w:hAnsiTheme="majorHAnsi"/>
        </w:rPr>
        <w:t>dimer</w:t>
      </w:r>
      <w:r w:rsidR="001E4875" w:rsidRPr="0069649A">
        <w:rPr>
          <w:rFonts w:asciiTheme="majorHAnsi" w:hAnsiTheme="majorHAnsi"/>
        </w:rPr>
        <w:t xml:space="preserve">, </w:t>
      </w:r>
      <w:r w:rsidR="00D740BA" w:rsidRPr="0069649A">
        <w:rPr>
          <w:rFonts w:asciiTheme="majorHAnsi" w:hAnsiTheme="majorHAnsi"/>
        </w:rPr>
        <w:t xml:space="preserve">92.7% with raised </w:t>
      </w:r>
      <w:r w:rsidR="00FC219D" w:rsidRPr="0069649A">
        <w:rPr>
          <w:rFonts w:asciiTheme="majorHAnsi" w:hAnsiTheme="majorHAnsi"/>
        </w:rPr>
        <w:t>C-reactive protein</w:t>
      </w:r>
      <w:r w:rsidR="00D740BA" w:rsidRPr="0069649A">
        <w:rPr>
          <w:rFonts w:asciiTheme="majorHAnsi" w:hAnsiTheme="majorHAnsi"/>
        </w:rPr>
        <w:t xml:space="preserve">. </w:t>
      </w:r>
      <w:r w:rsidR="001E4875" w:rsidRPr="0069649A">
        <w:rPr>
          <w:rFonts w:asciiTheme="majorHAnsi" w:hAnsiTheme="majorHAnsi"/>
        </w:rPr>
        <w:t xml:space="preserve"> </w:t>
      </w:r>
      <w:r w:rsidR="00D740BA" w:rsidRPr="0069649A">
        <w:rPr>
          <w:rFonts w:asciiTheme="majorHAnsi" w:hAnsiTheme="majorHAnsi"/>
        </w:rPr>
        <w:t>30.8% of patients had normal chest radiography. Unilateral and bilateral changes were found in 25.8% and 34.2% of patients, respectively</w:t>
      </w:r>
      <w:r w:rsidR="00FC219D" w:rsidRPr="0069649A">
        <w:rPr>
          <w:rFonts w:asciiTheme="majorHAnsi" w:hAnsiTheme="majorHAnsi"/>
        </w:rPr>
        <w:t>.</w:t>
      </w:r>
      <w:r w:rsidR="00093080" w:rsidRPr="0069649A">
        <w:rPr>
          <w:rFonts w:asciiTheme="majorHAnsi" w:hAnsiTheme="majorHAnsi"/>
        </w:rPr>
        <w:t xml:space="preserve"> </w:t>
      </w:r>
      <w:r w:rsidR="00FC219D" w:rsidRPr="0069649A">
        <w:rPr>
          <w:rFonts w:asciiTheme="majorHAnsi" w:hAnsiTheme="majorHAnsi"/>
        </w:rPr>
        <w:t>P</w:t>
      </w:r>
      <w:r w:rsidR="00E01CB9" w:rsidRPr="0069649A">
        <w:rPr>
          <w:rFonts w:asciiTheme="majorHAnsi" w:hAnsiTheme="majorHAnsi"/>
        </w:rPr>
        <w:t xml:space="preserve">atients who died </w:t>
      </w:r>
      <w:r w:rsidR="009E104D" w:rsidRPr="0069649A">
        <w:rPr>
          <w:rFonts w:asciiTheme="majorHAnsi" w:hAnsiTheme="majorHAnsi"/>
        </w:rPr>
        <w:t>had higher</w:t>
      </w:r>
      <w:r w:rsidR="00E01CB9" w:rsidRPr="0069649A">
        <w:rPr>
          <w:rFonts w:asciiTheme="majorHAnsi" w:hAnsiTheme="majorHAnsi"/>
        </w:rPr>
        <w:t xml:space="preserve"> troponin</w:t>
      </w:r>
      <w:r w:rsidR="00AE1143" w:rsidRPr="0069649A">
        <w:rPr>
          <w:rFonts w:asciiTheme="majorHAnsi" w:hAnsiTheme="majorHAnsi"/>
        </w:rPr>
        <w:t xml:space="preserve">, </w:t>
      </w:r>
      <w:r w:rsidR="001E0342" w:rsidRPr="0069649A">
        <w:rPr>
          <w:rFonts w:asciiTheme="majorHAnsi" w:hAnsiTheme="majorHAnsi"/>
        </w:rPr>
        <w:t xml:space="preserve">alanine transaminase (ALT) </w:t>
      </w:r>
      <w:r w:rsidR="00005D02" w:rsidRPr="0069649A">
        <w:rPr>
          <w:rFonts w:asciiTheme="majorHAnsi" w:hAnsiTheme="majorHAnsi"/>
        </w:rPr>
        <w:t>and alkaline</w:t>
      </w:r>
      <w:r w:rsidR="001E0342" w:rsidRPr="0069649A">
        <w:rPr>
          <w:rFonts w:asciiTheme="majorHAnsi" w:hAnsiTheme="majorHAnsi"/>
        </w:rPr>
        <w:t xml:space="preserve"> phosphatase (ALP) </w:t>
      </w:r>
      <w:r w:rsidR="00AE1143" w:rsidRPr="0069649A">
        <w:rPr>
          <w:rFonts w:asciiTheme="majorHAnsi" w:hAnsiTheme="majorHAnsi"/>
        </w:rPr>
        <w:t>levels</w:t>
      </w:r>
      <w:r w:rsidRPr="0069649A">
        <w:rPr>
          <w:rFonts w:asciiTheme="majorHAnsi" w:hAnsiTheme="majorHAnsi"/>
        </w:rPr>
        <w:t xml:space="preserve"> (Table 2).  </w:t>
      </w:r>
    </w:p>
    <w:p w14:paraId="7406582C" w14:textId="480AEE45" w:rsidR="002932FF" w:rsidRPr="0069649A" w:rsidRDefault="002932FF" w:rsidP="00FE1537">
      <w:pPr>
        <w:spacing w:line="480" w:lineRule="auto"/>
        <w:jc w:val="both"/>
        <w:rPr>
          <w:rFonts w:asciiTheme="majorHAnsi" w:hAnsiTheme="majorHAnsi"/>
        </w:rPr>
      </w:pPr>
    </w:p>
    <w:p w14:paraId="6663AEEC" w14:textId="20820CB4" w:rsidR="007C7C8F" w:rsidRPr="0069649A" w:rsidRDefault="007C7C8F" w:rsidP="00FE1537">
      <w:pPr>
        <w:spacing w:line="480" w:lineRule="auto"/>
        <w:jc w:val="both"/>
        <w:rPr>
          <w:rFonts w:asciiTheme="majorHAnsi" w:hAnsiTheme="majorHAnsi"/>
          <w:i/>
          <w:iCs/>
        </w:rPr>
      </w:pPr>
      <w:r w:rsidRPr="0069649A">
        <w:rPr>
          <w:rFonts w:asciiTheme="majorHAnsi" w:hAnsiTheme="majorHAnsi"/>
          <w:i/>
          <w:iCs/>
        </w:rPr>
        <w:t>Multivariate analysis</w:t>
      </w:r>
    </w:p>
    <w:p w14:paraId="30DDCCEA" w14:textId="68B65F5C" w:rsidR="007C7C8F" w:rsidRPr="0069649A" w:rsidRDefault="007C7C8F" w:rsidP="007C7C8F">
      <w:pPr>
        <w:tabs>
          <w:tab w:val="left" w:pos="5760"/>
        </w:tabs>
        <w:spacing w:line="480" w:lineRule="auto"/>
        <w:jc w:val="both"/>
        <w:rPr>
          <w:rFonts w:asciiTheme="majorHAnsi" w:hAnsiTheme="majorHAnsi"/>
          <w:b/>
          <w:szCs w:val="22"/>
          <w:u w:val="single"/>
        </w:rPr>
      </w:pPr>
      <w:r w:rsidRPr="0069649A">
        <w:rPr>
          <w:rFonts w:asciiTheme="majorHAnsi" w:hAnsiTheme="majorHAnsi"/>
          <w:szCs w:val="22"/>
        </w:rPr>
        <w:t>On multivariate analysis, the variables remaining as independent predictor of mortality were male sex, age</w:t>
      </w:r>
      <w:r w:rsidR="00C330D5" w:rsidRPr="0069649A">
        <w:rPr>
          <w:rFonts w:asciiTheme="majorHAnsi" w:hAnsiTheme="majorHAnsi"/>
          <w:szCs w:val="22"/>
        </w:rPr>
        <w:t xml:space="preserve"> </w:t>
      </w:r>
      <w:r w:rsidRPr="0069649A">
        <w:rPr>
          <w:rFonts w:asciiTheme="majorHAnsi" w:hAnsiTheme="majorHAnsi"/>
          <w:szCs w:val="22"/>
        </w:rPr>
        <w:t xml:space="preserve">&gt;80 years, presentation with respiratory failure and </w:t>
      </w:r>
      <w:r w:rsidR="00DF062D" w:rsidRPr="0069649A">
        <w:rPr>
          <w:rFonts w:asciiTheme="majorHAnsi" w:hAnsiTheme="majorHAnsi"/>
          <w:szCs w:val="22"/>
        </w:rPr>
        <w:t>hypernatremia</w:t>
      </w:r>
      <w:r w:rsidR="00372875" w:rsidRPr="0069649A">
        <w:rPr>
          <w:rFonts w:asciiTheme="majorHAnsi" w:hAnsiTheme="majorHAnsi"/>
          <w:szCs w:val="22"/>
        </w:rPr>
        <w:t xml:space="preserve"> </w:t>
      </w:r>
      <w:r w:rsidRPr="0069649A">
        <w:rPr>
          <w:rFonts w:asciiTheme="majorHAnsi" w:hAnsiTheme="majorHAnsi"/>
          <w:szCs w:val="22"/>
        </w:rPr>
        <w:t>(Figure 1).</w:t>
      </w:r>
      <w:r w:rsidRPr="0069649A">
        <w:rPr>
          <w:rFonts w:asciiTheme="majorHAnsi" w:hAnsiTheme="majorHAnsi"/>
          <w:b/>
          <w:szCs w:val="22"/>
          <w:u w:val="single"/>
        </w:rPr>
        <w:t xml:space="preserve"> </w:t>
      </w:r>
    </w:p>
    <w:p w14:paraId="7AA1EBBE" w14:textId="77777777" w:rsidR="007C7C8F" w:rsidRPr="0069649A" w:rsidRDefault="007C7C8F" w:rsidP="00FE1537">
      <w:pPr>
        <w:spacing w:line="480" w:lineRule="auto"/>
        <w:jc w:val="both"/>
        <w:rPr>
          <w:rFonts w:asciiTheme="majorHAnsi" w:hAnsiTheme="majorHAnsi"/>
        </w:rPr>
      </w:pPr>
    </w:p>
    <w:p w14:paraId="332E7EE9" w14:textId="4BC9A582" w:rsidR="0091782D" w:rsidRPr="0069649A" w:rsidRDefault="00797DAA" w:rsidP="00FE1537">
      <w:pPr>
        <w:spacing w:line="480" w:lineRule="auto"/>
        <w:jc w:val="both"/>
        <w:rPr>
          <w:rFonts w:asciiTheme="majorHAnsi" w:hAnsiTheme="majorHAnsi"/>
          <w:b/>
          <w:bCs/>
          <w:u w:val="single"/>
        </w:rPr>
      </w:pPr>
      <w:r w:rsidRPr="0069649A">
        <w:rPr>
          <w:rFonts w:ascii="Calibri" w:hAnsi="Calibri" w:cs="Arial"/>
          <w:b/>
          <w:u w:val="single"/>
          <w:shd w:val="clear" w:color="auto" w:fill="FFFFFF"/>
        </w:rPr>
        <w:t>SARS-CoV-2</w:t>
      </w:r>
      <w:r w:rsidR="0091782D" w:rsidRPr="0069649A">
        <w:rPr>
          <w:rFonts w:asciiTheme="majorHAnsi" w:hAnsiTheme="majorHAnsi"/>
          <w:b/>
          <w:bCs/>
          <w:u w:val="single"/>
        </w:rPr>
        <w:t xml:space="preserve"> swab </w:t>
      </w:r>
      <w:r w:rsidR="00D2012A" w:rsidRPr="0069649A">
        <w:rPr>
          <w:rFonts w:asciiTheme="majorHAnsi" w:hAnsiTheme="majorHAnsi"/>
          <w:b/>
          <w:bCs/>
          <w:u w:val="single"/>
        </w:rPr>
        <w:t xml:space="preserve">positive </w:t>
      </w:r>
      <w:r w:rsidR="0091782D" w:rsidRPr="0069649A">
        <w:rPr>
          <w:rFonts w:asciiTheme="majorHAnsi" w:hAnsiTheme="majorHAnsi"/>
          <w:b/>
          <w:bCs/>
          <w:u w:val="single"/>
        </w:rPr>
        <w:t xml:space="preserve">patients </w:t>
      </w:r>
      <w:r w:rsidR="00D2012A" w:rsidRPr="0069649A">
        <w:rPr>
          <w:rFonts w:asciiTheme="majorHAnsi" w:hAnsiTheme="majorHAnsi"/>
          <w:b/>
          <w:bCs/>
          <w:u w:val="single"/>
        </w:rPr>
        <w:t>vs.</w:t>
      </w:r>
      <w:r w:rsidR="0091782D" w:rsidRPr="0069649A">
        <w:rPr>
          <w:rFonts w:asciiTheme="majorHAnsi" w:hAnsiTheme="majorHAnsi"/>
          <w:b/>
          <w:bCs/>
          <w:u w:val="single"/>
        </w:rPr>
        <w:t xml:space="preserve"> </w:t>
      </w:r>
      <w:r w:rsidR="009542E2" w:rsidRPr="0069649A">
        <w:rPr>
          <w:rFonts w:asciiTheme="majorHAnsi" w:hAnsiTheme="majorHAnsi"/>
          <w:b/>
          <w:bCs/>
          <w:u w:val="single"/>
        </w:rPr>
        <w:t>swab-</w:t>
      </w:r>
      <w:r w:rsidR="0091782D" w:rsidRPr="0069649A">
        <w:rPr>
          <w:rFonts w:asciiTheme="majorHAnsi" w:hAnsiTheme="majorHAnsi"/>
          <w:b/>
          <w:bCs/>
          <w:u w:val="single"/>
        </w:rPr>
        <w:t xml:space="preserve">negative </w:t>
      </w:r>
      <w:r w:rsidR="00D2012A" w:rsidRPr="0069649A">
        <w:rPr>
          <w:rFonts w:asciiTheme="majorHAnsi" w:hAnsiTheme="majorHAnsi"/>
          <w:b/>
          <w:bCs/>
          <w:u w:val="single"/>
        </w:rPr>
        <w:t>patients with suspect</w:t>
      </w:r>
      <w:r w:rsidR="00005D02" w:rsidRPr="0069649A">
        <w:rPr>
          <w:rFonts w:asciiTheme="majorHAnsi" w:hAnsiTheme="majorHAnsi"/>
          <w:b/>
          <w:bCs/>
          <w:u w:val="single"/>
        </w:rPr>
        <w:t>ed</w:t>
      </w:r>
      <w:r w:rsidR="0091782D" w:rsidRPr="0069649A">
        <w:rPr>
          <w:rFonts w:asciiTheme="majorHAnsi" w:hAnsiTheme="majorHAnsi"/>
          <w:b/>
          <w:bCs/>
          <w:u w:val="single"/>
        </w:rPr>
        <w:t xml:space="preserve"> </w:t>
      </w:r>
      <w:r w:rsidR="00D2012A" w:rsidRPr="0069649A">
        <w:rPr>
          <w:rFonts w:asciiTheme="majorHAnsi" w:hAnsiTheme="majorHAnsi"/>
          <w:b/>
          <w:bCs/>
          <w:u w:val="single"/>
        </w:rPr>
        <w:t>disease</w:t>
      </w:r>
    </w:p>
    <w:p w14:paraId="7466AA70" w14:textId="7C174E1F" w:rsidR="0091782D" w:rsidRPr="0069649A" w:rsidRDefault="00BC49D5" w:rsidP="00FE1537">
      <w:pPr>
        <w:spacing w:line="480" w:lineRule="auto"/>
        <w:jc w:val="both"/>
        <w:rPr>
          <w:rFonts w:asciiTheme="majorHAnsi" w:hAnsiTheme="majorHAnsi"/>
        </w:rPr>
      </w:pPr>
      <w:r w:rsidRPr="0069649A">
        <w:rPr>
          <w:rFonts w:asciiTheme="majorHAnsi" w:hAnsiTheme="majorHAnsi"/>
        </w:rPr>
        <w:t xml:space="preserve">We </w:t>
      </w:r>
      <w:r w:rsidR="00C330D5" w:rsidRPr="0069649A">
        <w:rPr>
          <w:rFonts w:asciiTheme="majorHAnsi" w:hAnsiTheme="majorHAnsi"/>
        </w:rPr>
        <w:t>also</w:t>
      </w:r>
      <w:r w:rsidRPr="0069649A">
        <w:rPr>
          <w:rFonts w:asciiTheme="majorHAnsi" w:hAnsiTheme="majorHAnsi"/>
        </w:rPr>
        <w:t xml:space="preserve"> compared patients </w:t>
      </w:r>
      <w:r w:rsidR="0091782D" w:rsidRPr="0069649A">
        <w:rPr>
          <w:rFonts w:asciiTheme="majorHAnsi" w:hAnsiTheme="majorHAnsi"/>
        </w:rPr>
        <w:t>with a positive swab (PCR-</w:t>
      </w:r>
      <w:r w:rsidR="00797DAA" w:rsidRPr="0069649A">
        <w:rPr>
          <w:rFonts w:ascii="Calibri" w:hAnsi="Calibri" w:cs="Arial"/>
          <w:shd w:val="clear" w:color="auto" w:fill="FFFFFF"/>
        </w:rPr>
        <w:t xml:space="preserve"> SARS-CoV-2</w:t>
      </w:r>
      <w:r w:rsidR="0091782D" w:rsidRPr="0069649A">
        <w:rPr>
          <w:rFonts w:asciiTheme="majorHAnsi" w:hAnsiTheme="majorHAnsi"/>
        </w:rPr>
        <w:t xml:space="preserve">) (n=102) </w:t>
      </w:r>
      <w:r w:rsidRPr="0069649A">
        <w:rPr>
          <w:rFonts w:asciiTheme="majorHAnsi" w:hAnsiTheme="majorHAnsi"/>
        </w:rPr>
        <w:t xml:space="preserve">with those with </w:t>
      </w:r>
      <w:r w:rsidR="0091782D" w:rsidRPr="0069649A">
        <w:rPr>
          <w:rFonts w:asciiTheme="majorHAnsi" w:hAnsiTheme="majorHAnsi"/>
        </w:rPr>
        <w:t>high clinical suspicion</w:t>
      </w:r>
      <w:r w:rsidR="001C74E2" w:rsidRPr="0069649A">
        <w:rPr>
          <w:rFonts w:asciiTheme="majorHAnsi" w:hAnsiTheme="majorHAnsi"/>
        </w:rPr>
        <w:t xml:space="preserve"> </w:t>
      </w:r>
      <w:r w:rsidR="003E1841" w:rsidRPr="0069649A">
        <w:rPr>
          <w:rFonts w:asciiTheme="majorHAnsi" w:hAnsiTheme="majorHAnsi"/>
        </w:rPr>
        <w:t>(</w:t>
      </w:r>
      <w:r w:rsidR="001C74E2" w:rsidRPr="0069649A">
        <w:rPr>
          <w:rFonts w:asciiTheme="majorHAnsi" w:hAnsiTheme="majorHAnsi"/>
        </w:rPr>
        <w:t>based on history,</w:t>
      </w:r>
      <w:r w:rsidR="003E1841" w:rsidRPr="0069649A">
        <w:rPr>
          <w:rFonts w:asciiTheme="majorHAnsi" w:hAnsiTheme="majorHAnsi"/>
        </w:rPr>
        <w:t xml:space="preserve"> </w:t>
      </w:r>
      <w:r w:rsidR="001C74E2" w:rsidRPr="0069649A">
        <w:rPr>
          <w:rFonts w:asciiTheme="majorHAnsi" w:hAnsiTheme="majorHAnsi"/>
        </w:rPr>
        <w:t xml:space="preserve">examination, </w:t>
      </w:r>
      <w:r w:rsidR="0067647A" w:rsidRPr="0069649A">
        <w:rPr>
          <w:rFonts w:asciiTheme="majorHAnsi" w:hAnsiTheme="majorHAnsi"/>
        </w:rPr>
        <w:t>radiographical</w:t>
      </w:r>
      <w:r w:rsidR="001C74E2" w:rsidRPr="0069649A">
        <w:rPr>
          <w:rFonts w:asciiTheme="majorHAnsi" w:hAnsiTheme="majorHAnsi"/>
        </w:rPr>
        <w:t xml:space="preserve"> changes and</w:t>
      </w:r>
      <w:r w:rsidR="003E1841" w:rsidRPr="0069649A">
        <w:rPr>
          <w:rFonts w:asciiTheme="majorHAnsi" w:hAnsiTheme="majorHAnsi"/>
        </w:rPr>
        <w:t>/or laboratory findings)</w:t>
      </w:r>
      <w:r w:rsidR="0091782D" w:rsidRPr="0069649A">
        <w:rPr>
          <w:rFonts w:asciiTheme="majorHAnsi" w:hAnsiTheme="majorHAnsi"/>
        </w:rPr>
        <w:t xml:space="preserve"> of </w:t>
      </w:r>
      <w:r w:rsidR="005C7F22" w:rsidRPr="0069649A">
        <w:rPr>
          <w:rFonts w:asciiTheme="majorHAnsi" w:hAnsiTheme="majorHAnsi"/>
        </w:rPr>
        <w:t>COVID-19</w:t>
      </w:r>
      <w:r w:rsidR="0091782D" w:rsidRPr="0069649A">
        <w:rPr>
          <w:rFonts w:asciiTheme="majorHAnsi" w:hAnsiTheme="majorHAnsi"/>
        </w:rPr>
        <w:t xml:space="preserve"> disease who </w:t>
      </w:r>
      <w:r w:rsidR="001E4875" w:rsidRPr="0069649A">
        <w:rPr>
          <w:rFonts w:asciiTheme="majorHAnsi" w:hAnsiTheme="majorHAnsi"/>
        </w:rPr>
        <w:t>had a</w:t>
      </w:r>
      <w:r w:rsidR="0091782D" w:rsidRPr="0069649A">
        <w:rPr>
          <w:rFonts w:asciiTheme="majorHAnsi" w:hAnsiTheme="majorHAnsi"/>
        </w:rPr>
        <w:t xml:space="preserve"> negative </w:t>
      </w:r>
      <w:r w:rsidR="001E4875" w:rsidRPr="0069649A">
        <w:rPr>
          <w:rFonts w:asciiTheme="majorHAnsi" w:hAnsiTheme="majorHAnsi"/>
        </w:rPr>
        <w:t xml:space="preserve">swab </w:t>
      </w:r>
      <w:r w:rsidR="0091782D" w:rsidRPr="0069649A">
        <w:rPr>
          <w:rFonts w:asciiTheme="majorHAnsi" w:hAnsiTheme="majorHAnsi"/>
        </w:rPr>
        <w:t>(n=22).</w:t>
      </w:r>
      <w:r w:rsidR="0053215C" w:rsidRPr="0069649A">
        <w:rPr>
          <w:rFonts w:asciiTheme="majorHAnsi" w:hAnsiTheme="majorHAnsi"/>
        </w:rPr>
        <w:t xml:space="preserve"> In terms of demographic</w:t>
      </w:r>
      <w:r w:rsidR="002641B2" w:rsidRPr="0069649A">
        <w:rPr>
          <w:rFonts w:asciiTheme="majorHAnsi" w:hAnsiTheme="majorHAnsi"/>
        </w:rPr>
        <w:t>s</w:t>
      </w:r>
      <w:r w:rsidR="0053215C" w:rsidRPr="0069649A">
        <w:rPr>
          <w:rFonts w:asciiTheme="majorHAnsi" w:hAnsiTheme="majorHAnsi"/>
        </w:rPr>
        <w:t xml:space="preserve">, the two groups were comparable with regards to sex, ethnicity, residence prior to admission, care needs and clinical frailty scores. The swab negative group was however older </w:t>
      </w:r>
      <w:r w:rsidR="001E4875" w:rsidRPr="0069649A">
        <w:rPr>
          <w:rFonts w:asciiTheme="majorHAnsi" w:hAnsiTheme="majorHAnsi"/>
        </w:rPr>
        <w:t>(</w:t>
      </w:r>
      <w:r w:rsidR="0053215C" w:rsidRPr="0069649A">
        <w:rPr>
          <w:rFonts w:asciiTheme="majorHAnsi" w:hAnsiTheme="majorHAnsi"/>
        </w:rPr>
        <w:t xml:space="preserve">median 91 years (IQR 84.5 – 93) </w:t>
      </w:r>
      <w:r w:rsidR="0003061B" w:rsidRPr="0069649A">
        <w:rPr>
          <w:rFonts w:asciiTheme="majorHAnsi" w:hAnsiTheme="majorHAnsi"/>
        </w:rPr>
        <w:t>vs.</w:t>
      </w:r>
      <w:r w:rsidR="0053215C" w:rsidRPr="0069649A">
        <w:rPr>
          <w:rFonts w:asciiTheme="majorHAnsi" w:hAnsiTheme="majorHAnsi"/>
        </w:rPr>
        <w:t xml:space="preserve"> 82.5 years (78 – 88), P=0.002). </w:t>
      </w:r>
      <w:r w:rsidR="001E4875" w:rsidRPr="0069649A">
        <w:rPr>
          <w:rFonts w:asciiTheme="majorHAnsi" w:hAnsiTheme="majorHAnsi"/>
        </w:rPr>
        <w:t xml:space="preserve"> </w:t>
      </w:r>
      <w:r w:rsidR="0053215C" w:rsidRPr="0069649A">
        <w:rPr>
          <w:rFonts w:asciiTheme="majorHAnsi" w:hAnsiTheme="majorHAnsi"/>
        </w:rPr>
        <w:t xml:space="preserve">There were no statistical differences between the groups with regards to comorbidities, and the only differences in admission symptoms were that the swab positive group was more likely to </w:t>
      </w:r>
      <w:r w:rsidR="00AA7049" w:rsidRPr="0069649A">
        <w:rPr>
          <w:rFonts w:asciiTheme="majorHAnsi" w:hAnsiTheme="majorHAnsi"/>
        </w:rPr>
        <w:t xml:space="preserve">present </w:t>
      </w:r>
      <w:r w:rsidR="0053215C" w:rsidRPr="0069649A">
        <w:rPr>
          <w:rFonts w:asciiTheme="majorHAnsi" w:hAnsiTheme="majorHAnsi"/>
        </w:rPr>
        <w:t xml:space="preserve">with fatigue (56.9% </w:t>
      </w:r>
      <w:r w:rsidR="0003061B" w:rsidRPr="0069649A">
        <w:rPr>
          <w:rFonts w:asciiTheme="majorHAnsi" w:hAnsiTheme="majorHAnsi"/>
        </w:rPr>
        <w:t>vs.</w:t>
      </w:r>
      <w:r w:rsidR="0053215C" w:rsidRPr="0069649A">
        <w:rPr>
          <w:rFonts w:asciiTheme="majorHAnsi" w:hAnsiTheme="majorHAnsi"/>
        </w:rPr>
        <w:t xml:space="preserve"> 31.8%, P=0.037) and hypernatremia (21.6% </w:t>
      </w:r>
      <w:r w:rsidR="0003061B" w:rsidRPr="0069649A">
        <w:rPr>
          <w:rFonts w:asciiTheme="majorHAnsi" w:hAnsiTheme="majorHAnsi"/>
        </w:rPr>
        <w:t>vs.</w:t>
      </w:r>
      <w:r w:rsidR="0053215C" w:rsidRPr="0069649A">
        <w:rPr>
          <w:rFonts w:asciiTheme="majorHAnsi" w:hAnsiTheme="majorHAnsi"/>
        </w:rPr>
        <w:t xml:space="preserve"> 0%, P=0.013).</w:t>
      </w:r>
      <w:r w:rsidR="00DB741D" w:rsidRPr="0069649A">
        <w:rPr>
          <w:rFonts w:asciiTheme="majorHAnsi" w:hAnsiTheme="majorHAnsi"/>
        </w:rPr>
        <w:t xml:space="preserve"> When comparing the proportions of patients with abnormal haematological, biochemistry and chest radiograph results, there were no differences between the </w:t>
      </w:r>
      <w:r w:rsidR="008144A5" w:rsidRPr="0069649A">
        <w:rPr>
          <w:rFonts w:asciiTheme="majorHAnsi" w:hAnsiTheme="majorHAnsi"/>
        </w:rPr>
        <w:t>groups</w:t>
      </w:r>
      <w:r w:rsidR="00DB741D" w:rsidRPr="0069649A">
        <w:rPr>
          <w:rFonts w:asciiTheme="majorHAnsi" w:hAnsiTheme="majorHAnsi"/>
        </w:rPr>
        <w:t>.</w:t>
      </w:r>
    </w:p>
    <w:p w14:paraId="39EC664B" w14:textId="77777777" w:rsidR="00005D02" w:rsidRPr="0069649A" w:rsidRDefault="00005D02" w:rsidP="00FE1537">
      <w:pPr>
        <w:spacing w:line="480" w:lineRule="auto"/>
        <w:jc w:val="both"/>
        <w:rPr>
          <w:rFonts w:asciiTheme="majorHAnsi" w:hAnsiTheme="majorHAnsi"/>
        </w:rPr>
      </w:pPr>
    </w:p>
    <w:p w14:paraId="0997BE58" w14:textId="51C612A9" w:rsidR="0091782D" w:rsidRPr="0069649A" w:rsidRDefault="00DB741D" w:rsidP="00FE1537">
      <w:pPr>
        <w:spacing w:line="480" w:lineRule="auto"/>
        <w:jc w:val="both"/>
        <w:rPr>
          <w:rFonts w:asciiTheme="majorHAnsi" w:hAnsiTheme="majorHAnsi"/>
        </w:rPr>
      </w:pPr>
      <w:r w:rsidRPr="0069649A">
        <w:rPr>
          <w:rFonts w:asciiTheme="majorHAnsi" w:hAnsiTheme="majorHAnsi"/>
        </w:rPr>
        <w:t xml:space="preserve">While there were no differences in the mortality rate </w:t>
      </w:r>
      <w:r w:rsidR="009F147B" w:rsidRPr="0069649A">
        <w:rPr>
          <w:rFonts w:asciiTheme="majorHAnsi" w:hAnsiTheme="majorHAnsi"/>
        </w:rPr>
        <w:t>(</w:t>
      </w:r>
      <w:r w:rsidRPr="0069649A">
        <w:rPr>
          <w:rFonts w:asciiTheme="majorHAnsi" w:hAnsiTheme="majorHAnsi"/>
        </w:rPr>
        <w:t xml:space="preserve">30.4% in swab positive group </w:t>
      </w:r>
      <w:r w:rsidR="0003061B" w:rsidRPr="0069649A">
        <w:rPr>
          <w:rFonts w:asciiTheme="majorHAnsi" w:hAnsiTheme="majorHAnsi"/>
        </w:rPr>
        <w:t>vs.</w:t>
      </w:r>
      <w:r w:rsidRPr="0069649A">
        <w:rPr>
          <w:rFonts w:asciiTheme="majorHAnsi" w:hAnsiTheme="majorHAnsi"/>
        </w:rPr>
        <w:t xml:space="preserve"> 27.3%</w:t>
      </w:r>
      <w:r w:rsidR="009F147B" w:rsidRPr="0069649A">
        <w:rPr>
          <w:rFonts w:asciiTheme="majorHAnsi" w:hAnsiTheme="majorHAnsi"/>
        </w:rPr>
        <w:t>)</w:t>
      </w:r>
      <w:r w:rsidRPr="0069649A">
        <w:rPr>
          <w:rFonts w:asciiTheme="majorHAnsi" w:hAnsiTheme="majorHAnsi"/>
        </w:rPr>
        <w:t>, the patients who were swab-positive for PCR-</w:t>
      </w:r>
      <w:r w:rsidR="00797DAA" w:rsidRPr="0069649A">
        <w:rPr>
          <w:rFonts w:ascii="Calibri" w:hAnsi="Calibri" w:cs="Arial"/>
          <w:shd w:val="clear" w:color="auto" w:fill="FFFFFF"/>
        </w:rPr>
        <w:t xml:space="preserve"> SARS-CoV-2</w:t>
      </w:r>
      <w:r w:rsidRPr="0069649A">
        <w:rPr>
          <w:rFonts w:asciiTheme="majorHAnsi" w:hAnsiTheme="majorHAnsi"/>
        </w:rPr>
        <w:t xml:space="preserve"> were more likely to suffer functional decline requiring increased support at home (32.2% </w:t>
      </w:r>
      <w:r w:rsidR="0003061B" w:rsidRPr="0069649A">
        <w:rPr>
          <w:rFonts w:asciiTheme="majorHAnsi" w:hAnsiTheme="majorHAnsi"/>
        </w:rPr>
        <w:t>vs.</w:t>
      </w:r>
      <w:r w:rsidRPr="0069649A">
        <w:rPr>
          <w:rFonts w:asciiTheme="majorHAnsi" w:hAnsiTheme="majorHAnsi"/>
        </w:rPr>
        <w:t xml:space="preserve"> 0%, P=0.008)</w:t>
      </w:r>
      <w:r w:rsidR="009F147B" w:rsidRPr="0069649A">
        <w:rPr>
          <w:rFonts w:asciiTheme="majorHAnsi" w:hAnsiTheme="majorHAnsi"/>
        </w:rPr>
        <w:t xml:space="preserve">. These results are available in full in Table </w:t>
      </w:r>
      <w:r w:rsidR="0084369C" w:rsidRPr="0069649A">
        <w:rPr>
          <w:rFonts w:asciiTheme="majorHAnsi" w:hAnsiTheme="majorHAnsi"/>
        </w:rPr>
        <w:t>3.</w:t>
      </w:r>
    </w:p>
    <w:p w14:paraId="2BDA8604" w14:textId="77777777" w:rsidR="00EE5B6E" w:rsidRPr="0069649A" w:rsidRDefault="00EE5B6E" w:rsidP="00FE1537">
      <w:pPr>
        <w:spacing w:line="480" w:lineRule="auto"/>
        <w:jc w:val="both"/>
        <w:rPr>
          <w:rFonts w:asciiTheme="majorHAnsi" w:hAnsiTheme="majorHAnsi"/>
        </w:rPr>
      </w:pPr>
    </w:p>
    <w:p w14:paraId="6BFAF81C" w14:textId="71EF77C8" w:rsidR="00D740BA" w:rsidRPr="0069649A" w:rsidRDefault="00797DAA" w:rsidP="00FE1537">
      <w:pPr>
        <w:spacing w:line="480" w:lineRule="auto"/>
        <w:jc w:val="both"/>
        <w:rPr>
          <w:rFonts w:asciiTheme="majorHAnsi" w:hAnsiTheme="majorHAnsi"/>
          <w:b/>
          <w:u w:val="single"/>
        </w:rPr>
      </w:pPr>
      <w:r w:rsidRPr="0069649A">
        <w:rPr>
          <w:rFonts w:ascii="Calibri" w:hAnsi="Calibri" w:cs="Arial"/>
          <w:b/>
          <w:u w:val="single"/>
          <w:shd w:val="clear" w:color="auto" w:fill="FFFFFF"/>
        </w:rPr>
        <w:t>SARS-CoV-2</w:t>
      </w:r>
      <w:r w:rsidRPr="0069649A">
        <w:rPr>
          <w:rFonts w:asciiTheme="majorHAnsi" w:hAnsiTheme="majorHAnsi"/>
          <w:b/>
          <w:u w:val="single"/>
        </w:rPr>
        <w:t xml:space="preserve"> </w:t>
      </w:r>
      <w:r w:rsidR="00405BAE" w:rsidRPr="0069649A">
        <w:rPr>
          <w:rFonts w:asciiTheme="majorHAnsi" w:hAnsiTheme="majorHAnsi"/>
          <w:b/>
          <w:u w:val="single"/>
        </w:rPr>
        <w:t>PCR positive</w:t>
      </w:r>
      <w:r w:rsidR="00FC219D" w:rsidRPr="0069649A">
        <w:rPr>
          <w:rFonts w:asciiTheme="majorHAnsi" w:hAnsiTheme="majorHAnsi"/>
          <w:b/>
          <w:u w:val="single"/>
        </w:rPr>
        <w:t xml:space="preserve"> sub-</w:t>
      </w:r>
      <w:r w:rsidR="00405BAE" w:rsidRPr="0069649A">
        <w:rPr>
          <w:rFonts w:asciiTheme="majorHAnsi" w:hAnsiTheme="majorHAnsi"/>
          <w:b/>
          <w:u w:val="single"/>
        </w:rPr>
        <w:t>group</w:t>
      </w:r>
      <w:r w:rsidR="00274A43" w:rsidRPr="0069649A">
        <w:rPr>
          <w:rFonts w:asciiTheme="majorHAnsi" w:hAnsiTheme="majorHAnsi"/>
          <w:b/>
          <w:u w:val="single"/>
        </w:rPr>
        <w:t xml:space="preserve"> </w:t>
      </w:r>
      <w:r w:rsidR="00AA7049" w:rsidRPr="0069649A">
        <w:rPr>
          <w:rFonts w:asciiTheme="majorHAnsi" w:hAnsiTheme="majorHAnsi"/>
          <w:b/>
          <w:u w:val="single"/>
        </w:rPr>
        <w:t>analysis</w:t>
      </w:r>
    </w:p>
    <w:p w14:paraId="432FCD86" w14:textId="2360F449" w:rsidR="002932FF" w:rsidRPr="0069649A" w:rsidRDefault="00C666EE" w:rsidP="00FE1537">
      <w:pPr>
        <w:spacing w:line="480" w:lineRule="auto"/>
        <w:jc w:val="both"/>
        <w:rPr>
          <w:rFonts w:asciiTheme="majorHAnsi" w:hAnsiTheme="majorHAnsi"/>
        </w:rPr>
      </w:pPr>
      <w:r w:rsidRPr="0069649A">
        <w:rPr>
          <w:rFonts w:asciiTheme="majorHAnsi" w:hAnsiTheme="majorHAnsi"/>
        </w:rPr>
        <w:t xml:space="preserve"> To</w:t>
      </w:r>
      <w:r w:rsidR="0067647A" w:rsidRPr="0069649A">
        <w:rPr>
          <w:rFonts w:asciiTheme="majorHAnsi" w:hAnsiTheme="majorHAnsi"/>
        </w:rPr>
        <w:t xml:space="preserve"> assess whether the overall study results were influenced by the minority group of PCR-SARS-CoV-2 negative patients, w</w:t>
      </w:r>
      <w:r w:rsidR="00465C3D" w:rsidRPr="0069649A">
        <w:rPr>
          <w:rFonts w:asciiTheme="majorHAnsi" w:hAnsiTheme="majorHAnsi"/>
        </w:rPr>
        <w:t xml:space="preserve">e </w:t>
      </w:r>
      <w:r w:rsidR="007D2D84" w:rsidRPr="0069649A">
        <w:rPr>
          <w:rFonts w:asciiTheme="majorHAnsi" w:hAnsiTheme="majorHAnsi"/>
        </w:rPr>
        <w:t xml:space="preserve">followed this with </w:t>
      </w:r>
      <w:r w:rsidR="0067647A" w:rsidRPr="0069649A">
        <w:rPr>
          <w:rFonts w:asciiTheme="majorHAnsi" w:hAnsiTheme="majorHAnsi"/>
        </w:rPr>
        <w:t xml:space="preserve">a sensitivity </w:t>
      </w:r>
      <w:r w:rsidR="00465C3D" w:rsidRPr="0069649A">
        <w:rPr>
          <w:rFonts w:asciiTheme="majorHAnsi" w:hAnsiTheme="majorHAnsi"/>
        </w:rPr>
        <w:t>analys</w:t>
      </w:r>
      <w:r w:rsidR="007D2D84" w:rsidRPr="0069649A">
        <w:rPr>
          <w:rFonts w:asciiTheme="majorHAnsi" w:hAnsiTheme="majorHAnsi"/>
        </w:rPr>
        <w:t>is of</w:t>
      </w:r>
      <w:r w:rsidR="00465C3D" w:rsidRPr="0069649A">
        <w:rPr>
          <w:rFonts w:asciiTheme="majorHAnsi" w:hAnsiTheme="majorHAnsi"/>
        </w:rPr>
        <w:t xml:space="preserve"> the subgroup</w:t>
      </w:r>
      <w:r w:rsidR="009F147B" w:rsidRPr="0069649A">
        <w:rPr>
          <w:rFonts w:asciiTheme="majorHAnsi" w:hAnsiTheme="majorHAnsi"/>
        </w:rPr>
        <w:t xml:space="preserve"> of patients who were </w:t>
      </w:r>
      <w:r w:rsidR="00005D02" w:rsidRPr="0069649A">
        <w:rPr>
          <w:rFonts w:asciiTheme="majorHAnsi" w:hAnsiTheme="majorHAnsi"/>
        </w:rPr>
        <w:t>confirmed</w:t>
      </w:r>
      <w:r w:rsidR="009F147B" w:rsidRPr="0069649A">
        <w:rPr>
          <w:rFonts w:asciiTheme="majorHAnsi" w:hAnsiTheme="majorHAnsi"/>
        </w:rPr>
        <w:t xml:space="preserve"> to be PCR-</w:t>
      </w:r>
      <w:r w:rsidR="00797DAA" w:rsidRPr="0069649A">
        <w:rPr>
          <w:rFonts w:ascii="Calibri" w:hAnsi="Calibri" w:cs="Arial"/>
          <w:shd w:val="clear" w:color="auto" w:fill="FFFFFF"/>
        </w:rPr>
        <w:t xml:space="preserve"> SARS-CoV-2</w:t>
      </w:r>
      <w:r w:rsidR="00797DAA" w:rsidRPr="0069649A">
        <w:rPr>
          <w:rFonts w:asciiTheme="majorHAnsi" w:hAnsiTheme="majorHAnsi"/>
        </w:rPr>
        <w:t xml:space="preserve"> </w:t>
      </w:r>
      <w:r w:rsidR="009F147B" w:rsidRPr="0069649A">
        <w:rPr>
          <w:rFonts w:asciiTheme="majorHAnsi" w:hAnsiTheme="majorHAnsi"/>
        </w:rPr>
        <w:t>positive (n=102</w:t>
      </w:r>
      <w:r w:rsidR="00AA7049" w:rsidRPr="0069649A">
        <w:rPr>
          <w:rFonts w:asciiTheme="majorHAnsi" w:hAnsiTheme="majorHAnsi"/>
        </w:rPr>
        <w:t xml:space="preserve">, </w:t>
      </w:r>
      <w:r w:rsidR="0084369C" w:rsidRPr="0069649A">
        <w:rPr>
          <w:rFonts w:asciiTheme="majorHAnsi" w:hAnsiTheme="majorHAnsi"/>
        </w:rPr>
        <w:t>Supplemental tables 1 and 2</w:t>
      </w:r>
      <w:r w:rsidR="00615EB0" w:rsidRPr="0069649A">
        <w:rPr>
          <w:rFonts w:asciiTheme="majorHAnsi" w:hAnsiTheme="majorHAnsi"/>
        </w:rPr>
        <w:t>).</w:t>
      </w:r>
      <w:r w:rsidR="00C330D5" w:rsidRPr="0069649A">
        <w:rPr>
          <w:rFonts w:asciiTheme="majorHAnsi" w:hAnsiTheme="majorHAnsi"/>
        </w:rPr>
        <w:t xml:space="preserve"> </w:t>
      </w:r>
      <w:r w:rsidR="009F147B" w:rsidRPr="0069649A">
        <w:rPr>
          <w:rFonts w:asciiTheme="majorHAnsi" w:hAnsiTheme="majorHAnsi"/>
        </w:rPr>
        <w:t>This is</w:t>
      </w:r>
      <w:r w:rsidR="00813330" w:rsidRPr="0069649A">
        <w:rPr>
          <w:rFonts w:asciiTheme="majorHAnsi" w:hAnsiTheme="majorHAnsi"/>
        </w:rPr>
        <w:t xml:space="preserve"> </w:t>
      </w:r>
      <w:r w:rsidR="009F147B" w:rsidRPr="0069649A">
        <w:rPr>
          <w:rFonts w:asciiTheme="majorHAnsi" w:hAnsiTheme="majorHAnsi"/>
        </w:rPr>
        <w:t>similar to the findings as the overall cohort</w:t>
      </w:r>
      <w:r w:rsidR="00813330" w:rsidRPr="0069649A">
        <w:rPr>
          <w:rFonts w:asciiTheme="majorHAnsi" w:hAnsiTheme="majorHAnsi"/>
        </w:rPr>
        <w:t>, where demographics associated with death were</w:t>
      </w:r>
      <w:r w:rsidR="00465C3D" w:rsidRPr="0069649A">
        <w:rPr>
          <w:rFonts w:asciiTheme="majorHAnsi" w:hAnsiTheme="majorHAnsi"/>
        </w:rPr>
        <w:t xml:space="preserve"> </w:t>
      </w:r>
      <w:r w:rsidR="002932FF" w:rsidRPr="0069649A">
        <w:rPr>
          <w:rFonts w:asciiTheme="majorHAnsi" w:hAnsiTheme="majorHAnsi"/>
        </w:rPr>
        <w:t>male</w:t>
      </w:r>
      <w:r w:rsidR="00615EB0" w:rsidRPr="0069649A">
        <w:rPr>
          <w:rFonts w:asciiTheme="majorHAnsi" w:hAnsiTheme="majorHAnsi"/>
        </w:rPr>
        <w:t xml:space="preserve"> (P=0.031)</w:t>
      </w:r>
      <w:r w:rsidR="00813330" w:rsidRPr="0069649A">
        <w:rPr>
          <w:rFonts w:asciiTheme="majorHAnsi" w:hAnsiTheme="majorHAnsi"/>
        </w:rPr>
        <w:t xml:space="preserve"> being</w:t>
      </w:r>
      <w:r w:rsidR="002932FF" w:rsidRPr="0069649A">
        <w:rPr>
          <w:rFonts w:asciiTheme="majorHAnsi" w:hAnsiTheme="majorHAnsi"/>
        </w:rPr>
        <w:t xml:space="preserve"> older</w:t>
      </w:r>
      <w:r w:rsidR="00615EB0" w:rsidRPr="0069649A">
        <w:rPr>
          <w:rFonts w:asciiTheme="majorHAnsi" w:hAnsiTheme="majorHAnsi"/>
        </w:rPr>
        <w:t xml:space="preserve"> than 80</w:t>
      </w:r>
      <w:r w:rsidR="00C330D5" w:rsidRPr="0069649A">
        <w:rPr>
          <w:rFonts w:asciiTheme="majorHAnsi" w:hAnsiTheme="majorHAnsi"/>
        </w:rPr>
        <w:t xml:space="preserve"> years</w:t>
      </w:r>
      <w:r w:rsidR="00615EB0" w:rsidRPr="0069649A">
        <w:rPr>
          <w:rFonts w:asciiTheme="majorHAnsi" w:hAnsiTheme="majorHAnsi"/>
        </w:rPr>
        <w:t xml:space="preserve"> (P=0.022)</w:t>
      </w:r>
      <w:r w:rsidR="0003061B" w:rsidRPr="0069649A">
        <w:rPr>
          <w:rFonts w:asciiTheme="majorHAnsi" w:hAnsiTheme="majorHAnsi"/>
        </w:rPr>
        <w:t>, living</w:t>
      </w:r>
      <w:r w:rsidR="002932FF" w:rsidRPr="0069649A">
        <w:rPr>
          <w:rFonts w:asciiTheme="majorHAnsi" w:hAnsiTheme="majorHAnsi"/>
        </w:rPr>
        <w:t xml:space="preserve"> in a </w:t>
      </w:r>
      <w:r w:rsidR="00813330" w:rsidRPr="0069649A">
        <w:rPr>
          <w:rFonts w:asciiTheme="majorHAnsi" w:hAnsiTheme="majorHAnsi"/>
        </w:rPr>
        <w:t xml:space="preserve">residential or </w:t>
      </w:r>
      <w:r w:rsidR="002932FF" w:rsidRPr="0069649A">
        <w:rPr>
          <w:rFonts w:asciiTheme="majorHAnsi" w:hAnsiTheme="majorHAnsi"/>
        </w:rPr>
        <w:t>nursing home pre-admission</w:t>
      </w:r>
      <w:r w:rsidR="00615EB0" w:rsidRPr="0069649A">
        <w:rPr>
          <w:rFonts w:asciiTheme="majorHAnsi" w:hAnsiTheme="majorHAnsi"/>
        </w:rPr>
        <w:t xml:space="preserve"> (P=0.012)</w:t>
      </w:r>
      <w:r w:rsidR="00C330D5" w:rsidRPr="0069649A">
        <w:rPr>
          <w:rFonts w:asciiTheme="majorHAnsi" w:hAnsiTheme="majorHAnsi"/>
        </w:rPr>
        <w:t>, having</w:t>
      </w:r>
      <w:r w:rsidR="00615EB0" w:rsidRPr="0069649A">
        <w:rPr>
          <w:rFonts w:asciiTheme="majorHAnsi" w:hAnsiTheme="majorHAnsi"/>
        </w:rPr>
        <w:t xml:space="preserve"> higher frailty scores (P=0.00</w:t>
      </w:r>
      <w:r w:rsidR="00813330" w:rsidRPr="0069649A">
        <w:rPr>
          <w:rFonts w:asciiTheme="majorHAnsi" w:hAnsiTheme="majorHAnsi"/>
        </w:rPr>
        <w:t>8</w:t>
      </w:r>
      <w:r w:rsidR="00615EB0" w:rsidRPr="0069649A">
        <w:rPr>
          <w:rFonts w:asciiTheme="majorHAnsi" w:hAnsiTheme="majorHAnsi"/>
        </w:rPr>
        <w:t>)</w:t>
      </w:r>
      <w:r w:rsidR="00C330D5" w:rsidRPr="0069649A">
        <w:rPr>
          <w:rFonts w:asciiTheme="majorHAnsi" w:hAnsiTheme="majorHAnsi"/>
        </w:rPr>
        <w:t xml:space="preserve">, and the presence </w:t>
      </w:r>
      <w:r w:rsidR="00615EB0" w:rsidRPr="0069649A">
        <w:rPr>
          <w:rFonts w:asciiTheme="majorHAnsi" w:hAnsiTheme="majorHAnsi"/>
        </w:rPr>
        <w:t>of dementia (P&lt;0.001).</w:t>
      </w:r>
      <w:r w:rsidR="007D2D84" w:rsidRPr="0069649A">
        <w:rPr>
          <w:rFonts w:asciiTheme="majorHAnsi" w:hAnsiTheme="majorHAnsi"/>
        </w:rPr>
        <w:t xml:space="preserve"> </w:t>
      </w:r>
      <w:r w:rsidR="00615EB0" w:rsidRPr="0069649A">
        <w:rPr>
          <w:rFonts w:asciiTheme="majorHAnsi" w:hAnsiTheme="majorHAnsi"/>
        </w:rPr>
        <w:t>Patient</w:t>
      </w:r>
      <w:r w:rsidR="00AA7049" w:rsidRPr="0069649A">
        <w:rPr>
          <w:rFonts w:asciiTheme="majorHAnsi" w:hAnsiTheme="majorHAnsi"/>
        </w:rPr>
        <w:t xml:space="preserve">s </w:t>
      </w:r>
      <w:r w:rsidR="00615EB0" w:rsidRPr="0069649A">
        <w:rPr>
          <w:rFonts w:asciiTheme="majorHAnsi" w:hAnsiTheme="majorHAnsi"/>
        </w:rPr>
        <w:t xml:space="preserve">who died presented more frequently with </w:t>
      </w:r>
      <w:r w:rsidR="00E936CF" w:rsidRPr="0069649A">
        <w:rPr>
          <w:rFonts w:asciiTheme="majorHAnsi" w:hAnsiTheme="majorHAnsi"/>
        </w:rPr>
        <w:t>AKI</w:t>
      </w:r>
      <w:r w:rsidR="00615EB0" w:rsidRPr="0069649A">
        <w:rPr>
          <w:rFonts w:asciiTheme="majorHAnsi" w:hAnsiTheme="majorHAnsi"/>
        </w:rPr>
        <w:t xml:space="preserve"> (P=0.005), respiratory failure (P=0.016) and hypernatremia (P=0.005).</w:t>
      </w:r>
      <w:r w:rsidR="00005D02" w:rsidRPr="0069649A">
        <w:rPr>
          <w:rFonts w:asciiTheme="majorHAnsi" w:hAnsiTheme="majorHAnsi"/>
        </w:rPr>
        <w:t xml:space="preserve"> With regards to biochemistry and radiological investigations, </w:t>
      </w:r>
      <w:r w:rsidR="00797DAA" w:rsidRPr="0069649A">
        <w:rPr>
          <w:rFonts w:ascii="Calibri" w:hAnsi="Calibri" w:cs="Arial"/>
          <w:shd w:val="clear" w:color="auto" w:fill="FFFFFF"/>
        </w:rPr>
        <w:t>SARS-CoV-2</w:t>
      </w:r>
      <w:r w:rsidR="00005D02" w:rsidRPr="0069649A">
        <w:rPr>
          <w:rFonts w:asciiTheme="majorHAnsi" w:hAnsiTheme="majorHAnsi"/>
        </w:rPr>
        <w:t xml:space="preserve"> swab-p</w:t>
      </w:r>
      <w:r w:rsidR="00615EB0" w:rsidRPr="0069649A">
        <w:rPr>
          <w:rFonts w:asciiTheme="majorHAnsi" w:hAnsiTheme="majorHAnsi"/>
        </w:rPr>
        <w:t>ositiv</w:t>
      </w:r>
      <w:r w:rsidR="002932FF" w:rsidRPr="0069649A">
        <w:rPr>
          <w:rFonts w:asciiTheme="majorHAnsi" w:hAnsiTheme="majorHAnsi"/>
        </w:rPr>
        <w:t xml:space="preserve">e patients who died </w:t>
      </w:r>
      <w:r w:rsidR="00813330" w:rsidRPr="0069649A">
        <w:rPr>
          <w:rFonts w:asciiTheme="majorHAnsi" w:hAnsiTheme="majorHAnsi"/>
        </w:rPr>
        <w:t>were more likely to have elevated</w:t>
      </w:r>
      <w:r w:rsidR="002932FF" w:rsidRPr="0069649A">
        <w:rPr>
          <w:rFonts w:asciiTheme="majorHAnsi" w:hAnsiTheme="majorHAnsi"/>
        </w:rPr>
        <w:t xml:space="preserve"> D-dimer</w:t>
      </w:r>
      <w:r w:rsidR="00813330" w:rsidRPr="0069649A">
        <w:rPr>
          <w:rFonts w:asciiTheme="majorHAnsi" w:hAnsiTheme="majorHAnsi"/>
        </w:rPr>
        <w:t xml:space="preserve"> </w:t>
      </w:r>
      <w:r w:rsidR="00615EB0" w:rsidRPr="0069649A">
        <w:rPr>
          <w:rFonts w:asciiTheme="majorHAnsi" w:hAnsiTheme="majorHAnsi"/>
        </w:rPr>
        <w:t>(P=</w:t>
      </w:r>
      <w:r w:rsidR="00813330" w:rsidRPr="0069649A">
        <w:rPr>
          <w:rFonts w:asciiTheme="majorHAnsi" w:hAnsiTheme="majorHAnsi"/>
        </w:rPr>
        <w:t>0.027)</w:t>
      </w:r>
      <w:r w:rsidR="002932FF" w:rsidRPr="0069649A">
        <w:rPr>
          <w:rFonts w:asciiTheme="majorHAnsi" w:hAnsiTheme="majorHAnsi"/>
        </w:rPr>
        <w:t xml:space="preserve">, </w:t>
      </w:r>
      <w:r w:rsidR="00813330" w:rsidRPr="0069649A">
        <w:rPr>
          <w:rFonts w:asciiTheme="majorHAnsi" w:hAnsiTheme="majorHAnsi"/>
        </w:rPr>
        <w:t>elevated</w:t>
      </w:r>
      <w:r w:rsidR="002932FF" w:rsidRPr="0069649A">
        <w:rPr>
          <w:rFonts w:asciiTheme="majorHAnsi" w:hAnsiTheme="majorHAnsi"/>
        </w:rPr>
        <w:t xml:space="preserve"> </w:t>
      </w:r>
      <w:r w:rsidR="00813330" w:rsidRPr="0069649A">
        <w:rPr>
          <w:rFonts w:asciiTheme="majorHAnsi" w:hAnsiTheme="majorHAnsi"/>
        </w:rPr>
        <w:t xml:space="preserve">alanine transaminase </w:t>
      </w:r>
      <w:r w:rsidR="00615EB0" w:rsidRPr="0069649A">
        <w:rPr>
          <w:rFonts w:asciiTheme="majorHAnsi" w:hAnsiTheme="majorHAnsi"/>
        </w:rPr>
        <w:t>(P=</w:t>
      </w:r>
      <w:r w:rsidR="00813330" w:rsidRPr="0069649A">
        <w:rPr>
          <w:rFonts w:asciiTheme="majorHAnsi" w:hAnsiTheme="majorHAnsi"/>
        </w:rPr>
        <w:t>0.049</w:t>
      </w:r>
      <w:r w:rsidR="00615EB0" w:rsidRPr="0069649A">
        <w:rPr>
          <w:rFonts w:asciiTheme="majorHAnsi" w:hAnsiTheme="majorHAnsi"/>
        </w:rPr>
        <w:t xml:space="preserve">) </w:t>
      </w:r>
      <w:r w:rsidR="002932FF" w:rsidRPr="0069649A">
        <w:rPr>
          <w:rFonts w:asciiTheme="majorHAnsi" w:hAnsiTheme="majorHAnsi"/>
        </w:rPr>
        <w:t xml:space="preserve">and </w:t>
      </w:r>
      <w:r w:rsidR="00813330" w:rsidRPr="0069649A">
        <w:rPr>
          <w:rFonts w:asciiTheme="majorHAnsi" w:hAnsiTheme="majorHAnsi"/>
        </w:rPr>
        <w:t xml:space="preserve">alkaline phosphatase </w:t>
      </w:r>
      <w:r w:rsidR="00615EB0" w:rsidRPr="0069649A">
        <w:rPr>
          <w:rFonts w:asciiTheme="majorHAnsi" w:hAnsiTheme="majorHAnsi"/>
        </w:rPr>
        <w:t>(P=</w:t>
      </w:r>
      <w:r w:rsidR="00813330" w:rsidRPr="0069649A">
        <w:rPr>
          <w:rFonts w:asciiTheme="majorHAnsi" w:hAnsiTheme="majorHAnsi"/>
        </w:rPr>
        <w:t>0.002</w:t>
      </w:r>
      <w:r w:rsidR="00615EB0" w:rsidRPr="0069649A">
        <w:rPr>
          <w:rFonts w:asciiTheme="majorHAnsi" w:hAnsiTheme="majorHAnsi"/>
        </w:rPr>
        <w:t xml:space="preserve">) </w:t>
      </w:r>
      <w:r w:rsidR="002932FF" w:rsidRPr="0069649A">
        <w:rPr>
          <w:rFonts w:asciiTheme="majorHAnsi" w:hAnsiTheme="majorHAnsi"/>
        </w:rPr>
        <w:t>and to have an abn</w:t>
      </w:r>
      <w:r w:rsidR="00615EB0" w:rsidRPr="0069649A">
        <w:rPr>
          <w:rFonts w:asciiTheme="majorHAnsi" w:hAnsiTheme="majorHAnsi"/>
        </w:rPr>
        <w:t xml:space="preserve">ormal </w:t>
      </w:r>
      <w:r w:rsidR="00D82A0E" w:rsidRPr="0069649A">
        <w:rPr>
          <w:rFonts w:asciiTheme="majorHAnsi" w:hAnsiTheme="majorHAnsi"/>
        </w:rPr>
        <w:t xml:space="preserve">chest </w:t>
      </w:r>
      <w:r w:rsidR="007D2D84" w:rsidRPr="0069649A">
        <w:rPr>
          <w:rFonts w:asciiTheme="majorHAnsi" w:hAnsiTheme="majorHAnsi"/>
        </w:rPr>
        <w:t>radiographs (</w:t>
      </w:r>
      <w:r w:rsidR="00615EB0" w:rsidRPr="0069649A">
        <w:rPr>
          <w:rFonts w:asciiTheme="majorHAnsi" w:hAnsiTheme="majorHAnsi"/>
        </w:rPr>
        <w:t>P=</w:t>
      </w:r>
      <w:r w:rsidR="00D82A0E" w:rsidRPr="0069649A">
        <w:rPr>
          <w:rFonts w:asciiTheme="majorHAnsi" w:hAnsiTheme="majorHAnsi"/>
        </w:rPr>
        <w:t>0.021</w:t>
      </w:r>
      <w:r w:rsidR="00615EB0" w:rsidRPr="0069649A">
        <w:rPr>
          <w:rFonts w:asciiTheme="majorHAnsi" w:hAnsiTheme="majorHAnsi"/>
        </w:rPr>
        <w:t>)</w:t>
      </w:r>
      <w:r w:rsidR="007D2D84" w:rsidRPr="0069649A">
        <w:rPr>
          <w:rFonts w:asciiTheme="majorHAnsi" w:hAnsiTheme="majorHAnsi"/>
        </w:rPr>
        <w:t>.</w:t>
      </w:r>
      <w:r w:rsidR="00274A43" w:rsidRPr="0069649A">
        <w:rPr>
          <w:rFonts w:asciiTheme="majorHAnsi" w:hAnsiTheme="majorHAnsi"/>
        </w:rPr>
        <w:t xml:space="preserve"> </w:t>
      </w:r>
    </w:p>
    <w:p w14:paraId="644F858A" w14:textId="77777777" w:rsidR="007D2CFF" w:rsidRPr="0069649A" w:rsidRDefault="007D2CFF" w:rsidP="00FE1537">
      <w:pPr>
        <w:spacing w:line="480" w:lineRule="auto"/>
        <w:jc w:val="both"/>
        <w:rPr>
          <w:rFonts w:asciiTheme="majorHAnsi" w:hAnsiTheme="majorHAnsi"/>
          <w:b/>
          <w:sz w:val="28"/>
          <w:u w:val="single"/>
        </w:rPr>
      </w:pPr>
    </w:p>
    <w:p w14:paraId="748518CE" w14:textId="0B0324CB" w:rsidR="005B4A22" w:rsidRPr="0069649A" w:rsidRDefault="005B4A22" w:rsidP="00FE1537">
      <w:pPr>
        <w:spacing w:line="480" w:lineRule="auto"/>
        <w:jc w:val="both"/>
        <w:rPr>
          <w:rFonts w:asciiTheme="majorHAnsi" w:hAnsiTheme="majorHAnsi"/>
          <w:b/>
        </w:rPr>
      </w:pPr>
      <w:r w:rsidRPr="0069649A">
        <w:rPr>
          <w:rFonts w:asciiTheme="majorHAnsi" w:hAnsiTheme="majorHAnsi"/>
          <w:b/>
        </w:rPr>
        <w:t>Discussion</w:t>
      </w:r>
    </w:p>
    <w:p w14:paraId="75142E24" w14:textId="2E46735A" w:rsidR="00D2012A" w:rsidRPr="0069649A" w:rsidRDefault="00E2197A" w:rsidP="00FE1537">
      <w:pPr>
        <w:spacing w:line="480" w:lineRule="auto"/>
        <w:jc w:val="both"/>
        <w:rPr>
          <w:rFonts w:asciiTheme="majorHAnsi" w:hAnsiTheme="majorHAnsi"/>
        </w:rPr>
      </w:pPr>
      <w:r w:rsidRPr="0069649A">
        <w:rPr>
          <w:rFonts w:asciiTheme="majorHAnsi" w:hAnsiTheme="majorHAnsi"/>
        </w:rPr>
        <w:t>This study describes</w:t>
      </w:r>
      <w:r w:rsidR="00D57A08" w:rsidRPr="0069649A">
        <w:rPr>
          <w:rFonts w:asciiTheme="majorHAnsi" w:hAnsiTheme="majorHAnsi"/>
        </w:rPr>
        <w:t xml:space="preserve"> the characteristics of the </w:t>
      </w:r>
      <w:r w:rsidRPr="0069649A">
        <w:rPr>
          <w:rFonts w:asciiTheme="majorHAnsi" w:hAnsiTheme="majorHAnsi"/>
        </w:rPr>
        <w:t xml:space="preserve">patients </w:t>
      </w:r>
      <w:r w:rsidR="00D57A08" w:rsidRPr="0069649A">
        <w:rPr>
          <w:rFonts w:asciiTheme="majorHAnsi" w:hAnsiTheme="majorHAnsi"/>
        </w:rPr>
        <w:t xml:space="preserve">admitted to </w:t>
      </w:r>
      <w:r w:rsidR="00994BD2" w:rsidRPr="0069649A">
        <w:rPr>
          <w:rFonts w:asciiTheme="majorHAnsi" w:hAnsiTheme="majorHAnsi"/>
        </w:rPr>
        <w:t xml:space="preserve">our </w:t>
      </w:r>
      <w:r w:rsidR="00D57A08" w:rsidRPr="0069649A">
        <w:rPr>
          <w:rFonts w:asciiTheme="majorHAnsi" w:hAnsiTheme="majorHAnsi"/>
        </w:rPr>
        <w:t xml:space="preserve">Older People’s Services wards in an </w:t>
      </w:r>
      <w:r w:rsidR="00DF062D" w:rsidRPr="0069649A">
        <w:rPr>
          <w:rFonts w:asciiTheme="majorHAnsi" w:hAnsiTheme="majorHAnsi"/>
        </w:rPr>
        <w:t>inner city</w:t>
      </w:r>
      <w:r w:rsidR="00D57A08" w:rsidRPr="0069649A">
        <w:rPr>
          <w:rFonts w:asciiTheme="majorHAnsi" w:hAnsiTheme="majorHAnsi"/>
        </w:rPr>
        <w:t xml:space="preserve"> Central London Teaching Hospital during the first wave of the global Coronavirus pandemic of 2020.</w:t>
      </w:r>
      <w:r w:rsidR="00792FEF" w:rsidRPr="0069649A">
        <w:rPr>
          <w:rFonts w:asciiTheme="majorHAnsi" w:hAnsiTheme="majorHAnsi"/>
        </w:rPr>
        <w:t xml:space="preserve"> </w:t>
      </w:r>
      <w:r w:rsidR="00857EDF" w:rsidRPr="0069649A">
        <w:rPr>
          <w:rFonts w:asciiTheme="majorHAnsi" w:hAnsiTheme="majorHAnsi"/>
        </w:rPr>
        <w:t xml:space="preserve">Although more than half did present with classic symptoms, many </w:t>
      </w:r>
      <w:r w:rsidR="0067647A" w:rsidRPr="0069649A">
        <w:rPr>
          <w:rFonts w:asciiTheme="majorHAnsi" w:hAnsiTheme="majorHAnsi"/>
        </w:rPr>
        <w:t>were notable for the absence of respiratory symptoms, but presenting instead with</w:t>
      </w:r>
      <w:r w:rsidR="00857EDF" w:rsidRPr="0069649A">
        <w:rPr>
          <w:rFonts w:asciiTheme="majorHAnsi" w:hAnsiTheme="majorHAnsi"/>
        </w:rPr>
        <w:t xml:space="preserve"> vomiting and diarrhoea, as well as delirium and falls, which have been previously described</w:t>
      </w:r>
      <w:r w:rsidR="00372875" w:rsidRPr="0069649A">
        <w:rPr>
          <w:rFonts w:asciiTheme="majorHAnsi" w:hAnsiTheme="majorHAnsi"/>
          <w:noProof/>
        </w:rPr>
        <w:t xml:space="preserve"> </w:t>
      </w:r>
      <w:r w:rsidR="003D00D6" w:rsidRPr="0069649A">
        <w:rPr>
          <w:rFonts w:asciiTheme="majorHAnsi" w:hAnsiTheme="majorHAnsi"/>
          <w:noProof/>
        </w:rPr>
        <w:fldChar w:fldCharType="begin" w:fldLock="1"/>
      </w:r>
      <w:r w:rsidR="00982414" w:rsidRPr="0069649A">
        <w:rPr>
          <w:rFonts w:asciiTheme="majorHAnsi" w:hAnsiTheme="majorHAnsi"/>
          <w:noProof/>
        </w:rPr>
        <w:instrText>ADDIN CSL_CITATION {"citationItems":[{"id":"ITEM-1","itemData":{"DOI":"10.1007/s11845-020-02372-7","ISSN":"18634362","PMID":"32959219","abstract":"Background: It is increasingly recognised that older patients may not present with typical symptoms of COVID-19. Aims: This study aims to evaluate the incidence, characteristics and clinical outcome of older adults with atypical presentations of COVID-19. Methods: A retrospective analysis of adults ≥ 65 years with confirmed COVID-19 admitted to our institution between 1 March and 24 April 2020 was performed. Patients were categorised into typical or atypical groups based on primary presenting complaint in the community. Results: One hundred twenty-two patients (mean age 81 ± 8 years; 62 male) were included. Seventy-three (60%) were categorised into the typical group and 49 (40%) into the atypical group. In the atypical group, common presenting complaints were fall in 18 (36%), reduced mobility or generalised weakness in 18 (36%) and delirium in 11 (22%). Further assessment by paramedics and on admission found 32 (65%) to have typical features of COVID-19, fever being the most common, and 22 (44%) were hypoxic. This subset had worse outcomes than those in the typical group with a mortality rate of 50% versus 38%, respectively, although this was not statistically significant (P = 0.27). No significant difference in mortality or length of hospital stay between the groups was demonstrated. Conclusion: Older patients with atypical presentation of COVID-19 in the community are equally susceptible to poor outcomes. Early detection may improve outcomes and limit community transmission. Primary care practitioners should be vigilant and consider prompt onward referral.","author":[{"dropping-particle":"","family":"Gan","given":"Jasmine Ming","non-dropping-particle":"","parse-names":false,"suffix":""},{"dropping-particle":"","family":"Kho","given":"Jason","non-dropping-particle":"","parse-names":false,"suffix":""},{"dropping-particle":"","family":"Akhunbay-Fudge","given":"Michelle","non-dropping-particle":"","parse-names":false,"suffix":""},{"dropping-particle":"","family":"Choo","given":"Hwei Ming","non-dropping-particle":"","parse-names":false,"suffix":""},{"dropping-particle":"","family":"Wright","given":"Melanie","non-dropping-particle":"","parse-names":false,"suffix":""},{"dropping-particle":"","family":"Batt","given":"Farzana","non-dropping-particle":"","parse-names":false,"suffix":""},{"dropping-particle":"","family":"Mandal","given":"Amit K.J.","non-dropping-particle":"","parse-names":false,"suffix":""},{"dropping-particle":"","family":"Chauhan","given":"Rahul","non-dropping-particle":"","parse-names":false,"suffix":""},{"dropping-particle":"","family":"Missouris","given":"Constantinos G.","non-dropping-particle":"","parse-names":false,"suffix":""}],"container-title":"Irish Journal of Medical Science","id":"ITEM-1","issued":{"date-parts":[["2020"]]},"title":"Atypical presentation of COVID-19 in hospitalised older adults","type":"article-journal"},"uris":["http://www.mendeley.com/documents/?uuid=9e8e7f92-9f1e-4767-bb7e-d6f8e651f78d"]}],"mendeley":{"formattedCitation":"[17]","plainTextFormattedCitation":"[17]","previouslyFormattedCitation":"(17)"},"properties":{"noteIndex":0},"schema":"https://github.com/citation-style-language/schema/raw/master/csl-citation.json"}</w:instrText>
      </w:r>
      <w:r w:rsidR="003D00D6" w:rsidRPr="0069649A">
        <w:rPr>
          <w:rFonts w:asciiTheme="majorHAnsi" w:hAnsiTheme="majorHAnsi"/>
          <w:noProof/>
        </w:rPr>
        <w:fldChar w:fldCharType="separate"/>
      </w:r>
      <w:r w:rsidR="00982414" w:rsidRPr="0069649A">
        <w:rPr>
          <w:rFonts w:asciiTheme="majorHAnsi" w:hAnsiTheme="majorHAnsi"/>
          <w:noProof/>
        </w:rPr>
        <w:t>[17]</w:t>
      </w:r>
      <w:r w:rsidR="003D00D6" w:rsidRPr="0069649A">
        <w:rPr>
          <w:rFonts w:asciiTheme="majorHAnsi" w:hAnsiTheme="majorHAnsi"/>
          <w:noProof/>
        </w:rPr>
        <w:fldChar w:fldCharType="end"/>
      </w:r>
      <w:r w:rsidR="00372875" w:rsidRPr="0069649A">
        <w:rPr>
          <w:rFonts w:asciiTheme="majorHAnsi" w:hAnsiTheme="majorHAnsi"/>
        </w:rPr>
        <w:t xml:space="preserve">.  </w:t>
      </w:r>
      <w:r w:rsidR="00AA7049" w:rsidRPr="0069649A">
        <w:rPr>
          <w:rFonts w:asciiTheme="majorHAnsi" w:hAnsiTheme="majorHAnsi"/>
        </w:rPr>
        <w:t>Of</w:t>
      </w:r>
      <w:r w:rsidRPr="0069649A">
        <w:rPr>
          <w:rFonts w:asciiTheme="majorHAnsi" w:hAnsiTheme="majorHAnsi"/>
        </w:rPr>
        <w:t xml:space="preserve"> interest, a </w:t>
      </w:r>
      <w:r w:rsidR="00857EDF" w:rsidRPr="0069649A">
        <w:rPr>
          <w:rFonts w:asciiTheme="majorHAnsi" w:hAnsiTheme="majorHAnsi"/>
        </w:rPr>
        <w:t>third of the patients had a normal chest radiograph</w:t>
      </w:r>
      <w:r w:rsidR="00792FEF" w:rsidRPr="0069649A">
        <w:rPr>
          <w:rFonts w:asciiTheme="majorHAnsi" w:hAnsiTheme="majorHAnsi"/>
        </w:rPr>
        <w:t>, and almost half did not meet the definition of respiratory failure</w:t>
      </w:r>
      <w:r w:rsidR="00857EDF" w:rsidRPr="0069649A">
        <w:rPr>
          <w:rFonts w:asciiTheme="majorHAnsi" w:hAnsiTheme="majorHAnsi"/>
        </w:rPr>
        <w:t xml:space="preserve">. </w:t>
      </w:r>
      <w:r w:rsidR="00D2012A" w:rsidRPr="0069649A">
        <w:rPr>
          <w:rFonts w:asciiTheme="majorHAnsi" w:hAnsiTheme="majorHAnsi"/>
        </w:rPr>
        <w:t xml:space="preserve"> </w:t>
      </w:r>
      <w:r w:rsidR="00EC3EAC" w:rsidRPr="0069649A">
        <w:rPr>
          <w:rFonts w:asciiTheme="majorHAnsi" w:hAnsiTheme="majorHAnsi"/>
        </w:rPr>
        <w:t xml:space="preserve">This constellation of symptoms and signs emphasises the need to recognise the common </w:t>
      </w:r>
      <w:r w:rsidR="00DF062D" w:rsidRPr="0069649A">
        <w:rPr>
          <w:rFonts w:asciiTheme="majorHAnsi" w:hAnsiTheme="majorHAnsi"/>
        </w:rPr>
        <w:t>non-respiratory</w:t>
      </w:r>
      <w:r w:rsidR="00EC3EAC" w:rsidRPr="0069649A">
        <w:rPr>
          <w:rFonts w:asciiTheme="majorHAnsi" w:hAnsiTheme="majorHAnsi"/>
        </w:rPr>
        <w:t xml:space="preserve"> presentations of </w:t>
      </w:r>
      <w:r w:rsidR="00E936CF" w:rsidRPr="0069649A">
        <w:rPr>
          <w:rFonts w:ascii="Calibri" w:hAnsi="Calibri" w:cs="Arial"/>
          <w:shd w:val="clear" w:color="auto" w:fill="FFFFFF"/>
        </w:rPr>
        <w:t>SARS-CoV-2</w:t>
      </w:r>
      <w:r w:rsidR="00E936CF" w:rsidRPr="0069649A">
        <w:rPr>
          <w:rFonts w:ascii="Calibri" w:hAnsi="Calibri" w:cs="Arial"/>
          <w:b/>
          <w:shd w:val="clear" w:color="auto" w:fill="FFFFFF"/>
        </w:rPr>
        <w:t xml:space="preserve"> </w:t>
      </w:r>
      <w:r w:rsidR="00EC3EAC" w:rsidRPr="0069649A">
        <w:rPr>
          <w:rFonts w:asciiTheme="majorHAnsi" w:hAnsiTheme="majorHAnsi"/>
        </w:rPr>
        <w:t>in the older patient and that ‘atypical’ presentations may in fact be more ‘typical’ for this cohort.</w:t>
      </w:r>
    </w:p>
    <w:p w14:paraId="22AA991B" w14:textId="29F3035F" w:rsidR="00F73317" w:rsidRPr="0069649A" w:rsidRDefault="0012094B" w:rsidP="00FE1537">
      <w:pPr>
        <w:spacing w:line="480" w:lineRule="auto"/>
        <w:jc w:val="both"/>
        <w:rPr>
          <w:rFonts w:ascii="Calibri" w:hAnsi="Calibri"/>
        </w:rPr>
      </w:pPr>
      <w:r w:rsidRPr="0069649A">
        <w:rPr>
          <w:rFonts w:asciiTheme="majorHAnsi" w:hAnsiTheme="majorHAnsi"/>
        </w:rPr>
        <w:t>Our cohort had a higher prevalence of frailty (CFS 5-9) at 71.8%, compare</w:t>
      </w:r>
      <w:r w:rsidR="00412944" w:rsidRPr="0069649A">
        <w:rPr>
          <w:rFonts w:asciiTheme="majorHAnsi" w:hAnsiTheme="majorHAnsi"/>
        </w:rPr>
        <w:t>d</w:t>
      </w:r>
      <w:r w:rsidRPr="0069649A">
        <w:rPr>
          <w:rFonts w:asciiTheme="majorHAnsi" w:hAnsiTheme="majorHAnsi"/>
        </w:rPr>
        <w:t xml:space="preserve"> to that </w:t>
      </w:r>
      <w:r w:rsidR="00F76077" w:rsidRPr="0069649A">
        <w:rPr>
          <w:rFonts w:asciiTheme="majorHAnsi" w:hAnsiTheme="majorHAnsi"/>
        </w:rPr>
        <w:t>reported in the recent COPE study</w:t>
      </w:r>
      <w:r w:rsidR="004E4342" w:rsidRPr="0069649A">
        <w:rPr>
          <w:rFonts w:asciiTheme="majorHAnsi" w:hAnsiTheme="majorHAnsi"/>
        </w:rPr>
        <w:t xml:space="preserve"> </w:t>
      </w:r>
      <w:r w:rsidR="003D00D6" w:rsidRPr="0069649A">
        <w:rPr>
          <w:rFonts w:asciiTheme="majorHAnsi" w:hAnsiTheme="majorHAnsi"/>
        </w:rPr>
        <w:t>(</w:t>
      </w:r>
      <w:r w:rsidR="00F76077" w:rsidRPr="0069649A">
        <w:rPr>
          <w:rFonts w:asciiTheme="majorHAnsi" w:hAnsiTheme="majorHAnsi"/>
        </w:rPr>
        <w:t>49.4%</w:t>
      </w:r>
      <w:r w:rsidR="003D00D6" w:rsidRPr="0069649A">
        <w:rPr>
          <w:rFonts w:asciiTheme="majorHAnsi" w:hAnsiTheme="majorHAnsi"/>
        </w:rPr>
        <w:t>)</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{"citationItems":[{"id":"ITEM-1","itemData":{"DOI":"10.1016/S2468-2667(20)30146-8","ISSN":"24682667","PMID":"32619408","abstract":"Background: The COVID-19 pandemic has placed unprecedented strain on health-care systems. Frailty is being used in clinical decision making for patients with COVID-19, yet the prevalence and effect of frailty in people with COVID-19 is not known. In the COVID-19 in Older PEople (COPE) study we aimed to establish the prevalence of frailty in patients with COVID-19 who were admitted to hospital and investigate its association with mortality and duration of hospital stay. Methods: This was an observational cohort study conducted at ten hospitals in the UK and one in Italy. All adults (≥18 years) admitted to participating hospitals with COVID-19 were included. Patients with incomplete hospital records were excluded. The study analysed routinely generated hospital data for patients with COVID-19. Frailty was assessed by specialist COVID-19 teams using the clinical frailty scale (CFS) and patients were grouped according to their score (1–2=fit; 3–4=vulnerable, but not frail; 5–6=initial signs of frailty but with some degree of independence; and 7–9=severe or very severe frailty). The primary outcome was in-hospital mortality (time from hospital admission to mortality and day-7 mortality). Findings: Between Feb 27, and April 28, 2020, we enrolled 1564 patients with COVID-19. The median age was 74 years (IQR 61–83); 903 (57·7%) were men and 661 (42·3%) were women; 425 (27·2%) had died at data cutoff (April 28, 2020). 772 (49·4%) were classed as frail (CFS 5–8) and 27 (1·7%) were classed as terminally ill (CFS 9). Compared with CFS 1–2, the adjusted hazard ratios for time from hospital admission to death were 1·55 (95% CI 1·00–2·41) for CFS 3–4, 1·83 (1·15–2·91) for CFS 5–6, and 2·39 (1·50–3·81) for CFS 7–9, and adjusted odds ratios for day-7 mortality were 1·22 (95% CI 0·63–2·38) for CFS 3–4, 1·62 (0·81–3·26) for CFS 5–6, and 3·12 (1·56–6·24) for CFS 7–9. Interpretation: In a large population of patients admitted to hospital with COVID-19, disease outcomes were better predicted by frailty than either age or comorbidity. Our results support the use of CFS to inform decision making about medical care in adult patients admitted to hospital with COVID-19. Funding: None.","author":[{"dropping-particle":"","family":"Hewitt","given":"Jonathan","non-dropping-particle":"","parse-names":false,"suffix":""},{"dropping-particle":"","family":"Carter","given":"Ben","non-dropping-particle":"","parse-names":false,"suffix":""},{"dropping-particle":"","family":"Vilches-Moraga","given":"Arturo","non-dropping-particle":"","parse-names":false,"suffix":""},{"dropping-particle":"","family":"Quinn","given":"Terence J.","non-dropping-particle":"","parse-names":false,"suffix":""},{"dropping-particle":"","family":"Braude","given":"Philip","non-dropping-particle":"","parse-names":false,"suffix":""},{"dropping-particle":"","family":"Verduri","given":"Alessia","non-dropping-particle":"","parse-names":false,"suffix":""},{"dropping-particle":"","family":"Pearce","given":"Lyndsay","non-dropping-particle":"","parse-names":false,"suffix":""},{"dropping-particle":"","family":"Stechman","given":"Michael","non-dropping-particle":"","parse-names":false,"suffix":""},{"dropping-particle":"","family":"Short","given":"Roxanna","non-dropping-particle":"","parse-names":false,"suffix":""},{"dropping-particle":"","family":"Price","given":"Angeline","non-dropping-particle":"","parse-names":false,"suffix":""},{"dropping-particle":"","family":"Collins","given":"Jemima T.","non-dropping-particle":"","parse-names":false,"suffix":""},{"dropping-particle":"","family":"Bruce","given":"Eilidh","non-dropping-particle":"","parse-names":false,"suffix":""},{"dropping-particle":"","family":"Einarsson","given":"Alice","non-dropping-particle":"","parse-names":false,"suffix":""},{"dropping-particle":"","family":"Rickard","given":"Frances","non-dropping-particle":"","parse-names":false,"suffix":""},{"dropping-particle":"","family":"Mitchell","given":"Emma","non-dropping-particle":"","parse-names":false,"suffix":""},{"dropping-particle":"","family":"Holloway","given":"Mark","non-dropping-particle":"","parse-names":false,"suffix":""},{"dropping-particle":"","family":"Hesford","given":"James","non-dropping-particle":"","parse-names":false,"suffix":""},{"dropping-particle":"","family":"Barlow-Pay","given":"Fenella","non-dropping-particle":"","parse-names":false,"suffix":""},{"dropping-particle":"","family":"Clini","given":"Enrico","non-dropping-particle":"","parse-names":false,"suffix":""},{"dropping-particle":"","family":"Myint","given":"Phyo K.","non-dropping-particle":"","parse-names":false,"suffix":""},{"dropping-particle":"","family":"Moug","given":"Susan J.","non-dropping-particle":"","parse-names":false,"suffix":""},{"dropping-particle":"","family":"McCarthy","given":"Kathryn","non-dropping-particle":"","parse-names":false,"suffix":""},{"dropping-particle":"","family":"Davey","given":"Charlotte","non-dropping-particle":"","parse-names":false,"suffix":""},{"dropping-particle":"","family":"Jones","given":"Sheila","non-dropping-particle":"","parse-names":false,"suffix":""},{"dropping-particle":"","family":"Lunstone","given":"Kiah","non-dropping-particle":"","parse-names":false,"suffix":""},{"dropping-particle":"","family":"Cavenagh","given":"Alice","non-dropping-particle":"","parse-names":false,"suffix":""},{"dropping-particle":"","family":"Silver","given":"Charlotte","non-dropping-particle":"","parse-names":false,"suffix":""},{"dropping-particle":"","family":"Telford","given":"Thomas","non-dropping-particle":"","parse-names":false,"suffix":""},{"dropping-particle":"","family":"Simmons","given":"Rebecca","non-dropping-particle":"","parse-names":false,"suffix":""},{"dropping-particle":"","family":"Mutasem","given":"Tarik El Jichi","non-dropping-particle":"","parse-names":false,"suffix":""},{"dropping-particle":"","family":"Singh","given":"Sandeep","non-dropping-particle":"","parse-names":false,"suffix":""},{"dropping-particle":"","family":"Paxton","given":"Dolcie","non-dropping-particle":"","parse-names":false,"suffix":""},{"dropping-particle":"","family":"Harris","given":"Will","non-dropping-particle":"","parse-names":false,"suffix":""},{"dropping-particle":"","family":"Galbraith","given":"Norman","non-dropping-particle":"","parse-names":false,"suffix":""},{"dropping-particle":"","family":"Bhatti","given":"Emma","non-dropping-particle":"","parse-names":false,"suffix":""},{"dropping-particle":"","family":"Edwards","given":"Jenny","non-dropping-particle":"","parse-names":false,"suffix":""},{"dropping-particle":"","family":"Duffy","given":"Siobhan","non-dropping-particle":"","parse-names":false,"suffix":""},{"dropping-particle":"","family":"Bisset","given":"Carly","non-dropping-particle":"","parse-names":false,"suffix":""},{"dropping-particle":"","family":"Alexander","given":"Ross","non-dropping-particle":"","parse-names":false,"suffix":""},{"dropping-particle":"","family":"Garcia","given":"Madeline","non-dropping-particle":"","parse-names":false,"suffix":""},{"dropping-particle":"","family":"Sangani","given":"Shefali","non-dropping-particle":"","parse-names":false,"suffix":""},{"dropping-particle":"","family":"Kneen","given":"Thomas","non-dropping-particle":"","parse-names":false,"suffix":""},{"dropping-particle":"","family":"Lee","given":"Thomas","non-dropping-particle":"","parse-names":false,"suffix":""},{"dropping-particle":"","family":"McGovern","given":"Aine","non-dropping-particle":"","parse-names":false,"suffix":""},{"dropping-particle":"","family":"Guaraldi","given":"Giovanni","non-dropping-particle":"","parse-names":false,"suffix":""}],"container-title":"The Lancet Public Health","id":"ITEM-1","issued":{"date-parts":[["2020"]]},"title":"The effect of frailty on survival in patients with COVID-19 (COPE): a multicentre, European, observational cohort study","type":"article-journal"},"uris":["http://www.mendeley.com/documents/?uuid=e9f11365-ecb4-4b18-9a79-3b824306d419"]}],"mendeley":{"formattedCitation":"[18]","plainTextFormattedCitation":"[18]","previouslyFormattedCitation":"(18)"},"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[18]</w:t>
      </w:r>
      <w:r w:rsidR="003D00D6" w:rsidRPr="0069649A">
        <w:rPr>
          <w:rFonts w:asciiTheme="majorHAnsi" w:hAnsiTheme="majorHAnsi"/>
        </w:rPr>
        <w:fldChar w:fldCharType="end"/>
      </w:r>
      <w:r w:rsidR="00372875" w:rsidRPr="0069649A">
        <w:rPr>
          <w:rFonts w:asciiTheme="majorHAnsi" w:hAnsiTheme="majorHAnsi"/>
        </w:rPr>
        <w:t xml:space="preserve">. </w:t>
      </w:r>
      <w:r w:rsidR="003D00D6" w:rsidRPr="0069649A">
        <w:rPr>
          <w:rFonts w:asciiTheme="majorHAnsi" w:hAnsiTheme="majorHAnsi"/>
        </w:rPr>
        <w:t xml:space="preserve"> </w:t>
      </w:r>
      <w:r w:rsidR="00857EDF" w:rsidRPr="0069649A">
        <w:rPr>
          <w:rFonts w:asciiTheme="majorHAnsi" w:hAnsiTheme="majorHAnsi"/>
        </w:rPr>
        <w:t xml:space="preserve">The overall mortality in </w:t>
      </w:r>
      <w:r w:rsidR="00F50DE3" w:rsidRPr="0069649A">
        <w:rPr>
          <w:rFonts w:asciiTheme="majorHAnsi" w:hAnsiTheme="majorHAnsi"/>
        </w:rPr>
        <w:t>our</w:t>
      </w:r>
      <w:r w:rsidR="00857EDF" w:rsidRPr="0069649A">
        <w:rPr>
          <w:rFonts w:asciiTheme="majorHAnsi" w:hAnsiTheme="majorHAnsi"/>
        </w:rPr>
        <w:t xml:space="preserve"> cohort was close to 30% and comparable to other studies </w:t>
      </w:r>
      <w:r w:rsidR="00792FEF" w:rsidRPr="0069649A">
        <w:rPr>
          <w:rFonts w:asciiTheme="majorHAnsi" w:hAnsiTheme="majorHAnsi"/>
        </w:rPr>
        <w:t>despite</w:t>
      </w:r>
      <w:r w:rsidR="00857EDF" w:rsidRPr="0069649A">
        <w:rPr>
          <w:rFonts w:asciiTheme="majorHAnsi" w:hAnsiTheme="majorHAnsi"/>
        </w:rPr>
        <w:t xml:space="preserve"> the burden of frailty present, multiple comorbidities </w:t>
      </w:r>
      <w:r w:rsidR="00F50DE3" w:rsidRPr="0069649A">
        <w:rPr>
          <w:rFonts w:asciiTheme="majorHAnsi" w:hAnsiTheme="majorHAnsi"/>
        </w:rPr>
        <w:t xml:space="preserve">and </w:t>
      </w:r>
      <w:r w:rsidR="00857EDF" w:rsidRPr="0069649A">
        <w:rPr>
          <w:rFonts w:asciiTheme="majorHAnsi" w:hAnsiTheme="majorHAnsi"/>
        </w:rPr>
        <w:t xml:space="preserve">a significant prevalence of ‘geriatric syndromes’. One of the reasons of mitigated mortality may be attributed to the fact that they were admitted in a dedicated unit with specialist geriatricians and nursing staff with skills in managing frailty, dementia and delirium. </w:t>
      </w:r>
      <w:r w:rsidR="00F8648F" w:rsidRPr="0069649A">
        <w:t xml:space="preserve"> </w:t>
      </w:r>
      <w:r w:rsidR="00F8648F" w:rsidRPr="0069649A">
        <w:rPr>
          <w:rFonts w:ascii="Calibri" w:hAnsi="Calibri"/>
        </w:rPr>
        <w:t xml:space="preserve">We </w:t>
      </w:r>
      <w:r w:rsidRPr="0069649A">
        <w:rPr>
          <w:rFonts w:ascii="Calibri" w:hAnsi="Calibri"/>
        </w:rPr>
        <w:t>should also</w:t>
      </w:r>
      <w:r w:rsidR="00F8648F" w:rsidRPr="0069649A">
        <w:rPr>
          <w:rFonts w:ascii="Calibri" w:hAnsi="Calibri"/>
        </w:rPr>
        <w:t xml:space="preserve"> consider that those admitted to a hospital setting </w:t>
      </w:r>
      <w:r w:rsidR="004E4342" w:rsidRPr="0069649A">
        <w:rPr>
          <w:rFonts w:ascii="Calibri" w:hAnsi="Calibri"/>
        </w:rPr>
        <w:t>represent</w:t>
      </w:r>
      <w:r w:rsidR="00F8648F" w:rsidRPr="0069649A">
        <w:rPr>
          <w:rFonts w:ascii="Calibri" w:hAnsi="Calibri"/>
        </w:rPr>
        <w:t xml:space="preserve"> a selected subset of the older population, and these figures do not account for mortality in the community.</w:t>
      </w:r>
      <w:r w:rsidRPr="0069649A">
        <w:rPr>
          <w:rFonts w:ascii="Calibri" w:hAnsi="Calibri"/>
        </w:rPr>
        <w:t xml:space="preserve"> </w:t>
      </w:r>
    </w:p>
    <w:p w14:paraId="475F6D7D" w14:textId="77777777" w:rsidR="00857EDF" w:rsidRPr="0069649A" w:rsidRDefault="00857EDF" w:rsidP="00FE1537">
      <w:pPr>
        <w:spacing w:line="480" w:lineRule="auto"/>
        <w:jc w:val="both"/>
        <w:rPr>
          <w:rFonts w:asciiTheme="majorHAnsi" w:hAnsiTheme="majorHAnsi"/>
        </w:rPr>
      </w:pPr>
    </w:p>
    <w:p w14:paraId="202CCB9D" w14:textId="51E3B112" w:rsidR="005201A6" w:rsidRPr="0069649A" w:rsidRDefault="00857EDF" w:rsidP="00FE1537">
      <w:pPr>
        <w:spacing w:line="480" w:lineRule="auto"/>
        <w:jc w:val="both"/>
        <w:rPr>
          <w:rFonts w:asciiTheme="majorHAnsi" w:hAnsiTheme="majorHAnsi"/>
        </w:rPr>
      </w:pPr>
      <w:r w:rsidRPr="0069649A">
        <w:rPr>
          <w:rFonts w:asciiTheme="majorHAnsi" w:hAnsiTheme="majorHAnsi"/>
        </w:rPr>
        <w:t>As expected, patients who survived had</w:t>
      </w:r>
      <w:r w:rsidR="0040095A" w:rsidRPr="0069649A">
        <w:rPr>
          <w:rFonts w:asciiTheme="majorHAnsi" w:hAnsiTheme="majorHAnsi"/>
        </w:rPr>
        <w:t xml:space="preserve"> a</w:t>
      </w:r>
      <w:r w:rsidRPr="0069649A">
        <w:rPr>
          <w:rFonts w:asciiTheme="majorHAnsi" w:hAnsiTheme="majorHAnsi"/>
        </w:rPr>
        <w:t xml:space="preserve"> greater degree of dependency, with nearly one</w:t>
      </w:r>
      <w:r w:rsidR="0040095A" w:rsidRPr="0069649A">
        <w:rPr>
          <w:rFonts w:asciiTheme="majorHAnsi" w:hAnsiTheme="majorHAnsi"/>
        </w:rPr>
        <w:t>-</w:t>
      </w:r>
      <w:r w:rsidRPr="0069649A">
        <w:rPr>
          <w:rFonts w:asciiTheme="majorHAnsi" w:hAnsiTheme="majorHAnsi"/>
        </w:rPr>
        <w:t xml:space="preserve">fifth of patients needing more support at home and 10% needing a new nursing home placement on discharge. </w:t>
      </w:r>
      <w:r w:rsidR="00E2197A" w:rsidRPr="0069649A">
        <w:rPr>
          <w:rFonts w:asciiTheme="majorHAnsi" w:hAnsiTheme="majorHAnsi"/>
        </w:rPr>
        <w:t xml:space="preserve"> This may correlate with </w:t>
      </w:r>
      <w:r w:rsidRPr="0069649A">
        <w:rPr>
          <w:rFonts w:asciiTheme="majorHAnsi" w:hAnsiTheme="majorHAnsi"/>
        </w:rPr>
        <w:t xml:space="preserve">the </w:t>
      </w:r>
      <w:r w:rsidR="00C11E7B" w:rsidRPr="0069649A">
        <w:rPr>
          <w:rFonts w:asciiTheme="majorHAnsi" w:hAnsiTheme="majorHAnsi"/>
        </w:rPr>
        <w:t>medium</w:t>
      </w:r>
      <w:r w:rsidRPr="0069649A">
        <w:rPr>
          <w:rFonts w:asciiTheme="majorHAnsi" w:hAnsiTheme="majorHAnsi"/>
        </w:rPr>
        <w:t xml:space="preserve"> and long-term</w:t>
      </w:r>
      <w:r w:rsidR="00E2197A" w:rsidRPr="0069649A">
        <w:rPr>
          <w:rFonts w:asciiTheme="majorHAnsi" w:hAnsiTheme="majorHAnsi"/>
        </w:rPr>
        <w:t xml:space="preserve"> impact of the</w:t>
      </w:r>
      <w:r w:rsidRPr="0069649A">
        <w:rPr>
          <w:rFonts w:asciiTheme="majorHAnsi" w:hAnsiTheme="majorHAnsi"/>
        </w:rPr>
        <w:t xml:space="preserve"> pandemic on the support care system and the economic resources </w:t>
      </w:r>
      <w:r w:rsidR="00E2197A" w:rsidRPr="0069649A">
        <w:rPr>
          <w:rFonts w:asciiTheme="majorHAnsi" w:hAnsiTheme="majorHAnsi"/>
        </w:rPr>
        <w:t xml:space="preserve">required to sustain care of </w:t>
      </w:r>
      <w:r w:rsidR="00111B40" w:rsidRPr="0069649A">
        <w:rPr>
          <w:rFonts w:asciiTheme="majorHAnsi" w:hAnsiTheme="majorHAnsi"/>
        </w:rPr>
        <w:t>those</w:t>
      </w:r>
      <w:r w:rsidR="00E2197A" w:rsidRPr="0069649A">
        <w:rPr>
          <w:rFonts w:asciiTheme="majorHAnsi" w:hAnsiTheme="majorHAnsi"/>
        </w:rPr>
        <w:t xml:space="preserve"> </w:t>
      </w:r>
      <w:r w:rsidR="0069649A" w:rsidRPr="0069649A">
        <w:rPr>
          <w:rFonts w:asciiTheme="majorHAnsi" w:hAnsiTheme="majorHAnsi"/>
        </w:rPr>
        <w:t>older</w:t>
      </w:r>
      <w:r w:rsidR="00E2197A" w:rsidRPr="0069649A">
        <w:rPr>
          <w:rFonts w:asciiTheme="majorHAnsi" w:hAnsiTheme="majorHAnsi"/>
        </w:rPr>
        <w:t>, frail patients</w:t>
      </w:r>
      <w:r w:rsidR="00111B40" w:rsidRPr="0069649A">
        <w:rPr>
          <w:rFonts w:asciiTheme="majorHAnsi" w:hAnsiTheme="majorHAnsi"/>
        </w:rPr>
        <w:t xml:space="preserve"> who survive</w:t>
      </w:r>
      <w:r w:rsidRPr="0069649A">
        <w:rPr>
          <w:rFonts w:asciiTheme="majorHAnsi" w:hAnsiTheme="majorHAnsi"/>
        </w:rPr>
        <w:t>.</w:t>
      </w:r>
    </w:p>
    <w:p w14:paraId="2447C0A2" w14:textId="77777777" w:rsidR="00857EDF" w:rsidRPr="0069649A" w:rsidRDefault="00857EDF" w:rsidP="00FE1537">
      <w:pPr>
        <w:spacing w:line="480" w:lineRule="auto"/>
        <w:jc w:val="both"/>
        <w:rPr>
          <w:rFonts w:asciiTheme="majorHAnsi" w:hAnsiTheme="majorHAnsi"/>
        </w:rPr>
      </w:pPr>
    </w:p>
    <w:p w14:paraId="63EA2C8B" w14:textId="53F93D81" w:rsidR="00857EDF" w:rsidRPr="0069649A" w:rsidRDefault="00857EDF" w:rsidP="00FE1537">
      <w:pPr>
        <w:spacing w:line="480" w:lineRule="auto"/>
        <w:jc w:val="both"/>
        <w:rPr>
          <w:rFonts w:asciiTheme="majorHAnsi" w:hAnsiTheme="majorHAnsi"/>
        </w:rPr>
      </w:pPr>
      <w:r w:rsidRPr="0069649A">
        <w:rPr>
          <w:rFonts w:asciiTheme="majorHAnsi" w:hAnsiTheme="majorHAnsi"/>
        </w:rPr>
        <w:t>Our study showed a high prevalence of patients from</w:t>
      </w:r>
      <w:r w:rsidR="00372875" w:rsidRPr="0069649A">
        <w:t xml:space="preserve"> </w:t>
      </w:r>
      <w:r w:rsidR="00372875" w:rsidRPr="0069649A">
        <w:rPr>
          <w:rFonts w:asciiTheme="majorHAnsi" w:hAnsiTheme="majorHAnsi"/>
        </w:rPr>
        <w:t>Black, Asian and minority ethnic (</w:t>
      </w:r>
      <w:r w:rsidRPr="0069649A">
        <w:rPr>
          <w:rFonts w:asciiTheme="majorHAnsi" w:hAnsiTheme="majorHAnsi"/>
        </w:rPr>
        <w:t>BAME</w:t>
      </w:r>
      <w:r w:rsidR="00372875" w:rsidRPr="0069649A">
        <w:rPr>
          <w:rFonts w:asciiTheme="majorHAnsi" w:hAnsiTheme="majorHAnsi"/>
        </w:rPr>
        <w:t xml:space="preserve">) </w:t>
      </w:r>
      <w:r w:rsidRPr="0069649A">
        <w:rPr>
          <w:rFonts w:asciiTheme="majorHAnsi" w:hAnsiTheme="majorHAnsi"/>
        </w:rPr>
        <w:t>backgrounds, reflecting the local general population. However, unlike the previously published studies on BAME patient</w:t>
      </w:r>
      <w:r w:rsidR="00372875" w:rsidRPr="0069649A">
        <w:rPr>
          <w:rFonts w:asciiTheme="majorHAnsi" w:hAnsiTheme="majorHAnsi"/>
        </w:rPr>
        <w:t xml:space="preserve">s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{"citationItems":[{"id":"ITEM-1","itemData":{"DOI":"10.1136/bmjopen-2020-042140","abstract":"Objective To describe outcomes within different ethnic groups of a cohort of hospitalised patients with confirmed COVID-19 infection. To quantify and describe the impact of a number of prognostic factors, including frailty and inflammatory markers.Setting Five acute National Health Service Hospitals in east London.Design Prospectively defined observational study using registry data.Participants 1737 patients aged 16 years or over admitted to hospital with confirmed COVID-19 infection between 1 January and 13 May 2020.Main outcome measures The primary outcome was 30-day mortality from time of first hospital admission with COVID-19 diagnosis during or prior to admission. Secondary outcomes were 90-day mortality, intensive care unit (ICU) admission, ICU and hospital length of stay and type and duration of organ support. Multivariable survival analyses were adjusted for potential confounders.Results 1737 were included in our analysis of whom 511 had died by day 30 (29%). 538 (31%) were from Asian, 340 (20%) black and 707 (40%) white backgrounds. Compared with white patients, those from minority ethnic backgrounds were younger, with differing comorbidity profiles and less frailty. Asian and black patients were more likely to be admitted to ICU and to receive invasive ventilation (OR 1.54, (95% CI 1.06 to 2.23); p=0.023 and OR 1.80 (95% CI 1.20 to 2.71); p=0.005, respectively). After adjustment for age and sex, patients from Asian (HR 1.49 (95% CI 1.19 to 1.86); p&amp;amp;lt;0.001) and black (HR 1.30 (95% CI 1.02 to 1.65); p=0.036) backgrounds were more likely to die. These findings persisted across a range of risk factor-adjusted analyses accounting for major comorbidities, obesity, smoking, frailty and ABO blood group.Conclusions Patients from Asian and black backgrounds had higher mortality from COVID-19 infection despite controlling for all previously identified confounders and frailty. Higher rates of invasive ventilation indicate greater acute disease severity. Our analyses suggest that patients of Asian and black backgrounds suffered disproportionate rates of premature death from COVID-19.","author":[{"dropping-particle":"","family":"Apea","given":"Vanessa J","non-dropping-particle":"","parse-names":false,"suffix":""},{"dropping-particle":"","family":"Wan","given":"Yize I","non-dropping-particle":"","parse-names":false,"suffix":""},{"dropping-particle":"","family":"Dhairyawan","given":"Rageshri","non-dropping-particle":"","parse-names":false,"suffix":""},{"dropping-particle":"","family":"Puthucheary","given":"Zudin A","non-dropping-particle":"","parse-names":false,"suffix":""},{"dropping-particle":"","family":"Pearse","given":"Rupert M","non-dropping-particle":"","parse-names":false,"suffix":""},{"dropping-particle":"","family":"Orkin","given":"Chloe M","non-dropping-particle":"","parse-names":false,"suffix":""},{"dropping-particle":"","family":"Prowle","given":"John R","non-dropping-particle":"","parse-names":false,"suffix":""}],"container-title":"BMJ Open","id":"ITEM-1","issue":"1","issued":{"date-parts":[["2021","1","1"]]},"page":"e042140","title":"Ethnicity and outcomes in patients hospitalised with COVID-19 infection in East London: an observational cohort study","type":"article-journal","volume":"11"},"uris":["http://www.mendeley.com/documents/?uuid=34247381-d260-4655-b840-1ee0a85057db"]},{"id":"ITEM-2","itemData":{"DOI":"10.1038/s41586-020-2521-4","ISSN":"14764687","PMID":"32640463","abstract":"Coronavirus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-2","issued":{"date-parts":[["2020"]]},"title":"Factors associated with COVID-19-related death using OpenSAFELY","type":"article-journal"},"uris":["http://www.mendeley.com/documents/?uuid=08735998-0980-4722-a535-429efd947d89"]}],"mendeley":{"formattedCitation":"[13, 19]","plainTextFormattedCitation":"[13, 19]","previouslyFormattedCitation":"(13,19)"},"properties":{"noteIndex":0},"schema":"https://github.com/citation-style-language/schema/raw/master/csl-citation.json"}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[13, 19]</w:t>
      </w:r>
      <w:r w:rsidR="003D00D6" w:rsidRPr="0069649A">
        <w:rPr>
          <w:rFonts w:asciiTheme="majorHAnsi" w:hAnsiTheme="majorHAnsi"/>
        </w:rPr>
        <w:fldChar w:fldCharType="end"/>
      </w:r>
      <w:r w:rsidRPr="0069649A">
        <w:rPr>
          <w:rFonts w:asciiTheme="majorHAnsi" w:hAnsiTheme="majorHAnsi"/>
        </w:rPr>
        <w:t xml:space="preserve"> </w:t>
      </w:r>
      <w:sdt>
        <w:sdtPr>
          <w:rPr>
            <w:rFonts w:asciiTheme="majorHAnsi" w:hAnsiTheme="majorHAnsi"/>
          </w:rPr>
          <w:tag w:val="MENDELEY_CITATION_172e80ba-6bcd-4132-84cd-9a080d1ba5ac"/>
          <w:id w:val="-1614507317"/>
          <w:placeholder>
            <w:docPart w:val="05A7EB931D20CA4186E6ADD89A23D5A3"/>
          </w:placeholder>
        </w:sdtPr>
        <w:sdtEndPr/>
        <w:sdtContent>
          <w:r w:rsidR="00372875" w:rsidRPr="0069649A">
            <w:rPr>
              <w:rFonts w:asciiTheme="majorHAnsi" w:hAnsiTheme="majorHAnsi"/>
            </w:rPr>
            <w:t>,</w:t>
          </w:r>
          <w:r w:rsidR="00C006ED" w:rsidRPr="0069649A">
            <w:rPr>
              <w:rFonts w:asciiTheme="majorHAnsi" w:hAnsiTheme="majorHAnsi"/>
            </w:rPr>
            <w:t xml:space="preserve"> </w:t>
          </w:r>
        </w:sdtContent>
      </w:sdt>
      <w:r w:rsidRPr="0069649A">
        <w:rPr>
          <w:rFonts w:asciiTheme="majorHAnsi" w:hAnsiTheme="majorHAnsi"/>
        </w:rPr>
        <w:t xml:space="preserve">we were not able to demonstrate any significant differences </w:t>
      </w:r>
      <w:r w:rsidR="00AF17EA" w:rsidRPr="0069649A">
        <w:rPr>
          <w:rFonts w:asciiTheme="majorHAnsi" w:hAnsiTheme="majorHAnsi"/>
        </w:rPr>
        <w:t xml:space="preserve">in outcomes </w:t>
      </w:r>
      <w:r w:rsidRPr="0069649A">
        <w:rPr>
          <w:rFonts w:asciiTheme="majorHAnsi" w:hAnsiTheme="majorHAnsi"/>
        </w:rPr>
        <w:t xml:space="preserve">according to ethnicity in our cohort. </w:t>
      </w:r>
      <w:r w:rsidR="003D00D6" w:rsidRPr="0069649A">
        <w:rPr>
          <w:rFonts w:asciiTheme="majorHAnsi" w:hAnsiTheme="majorHAnsi"/>
        </w:rPr>
        <w:t xml:space="preserve"> </w:t>
      </w:r>
    </w:p>
    <w:p w14:paraId="3BA0B243" w14:textId="77777777" w:rsidR="00857EDF" w:rsidRPr="0069649A" w:rsidRDefault="00857EDF" w:rsidP="00FE1537">
      <w:pPr>
        <w:spacing w:line="480" w:lineRule="auto"/>
        <w:jc w:val="both"/>
        <w:rPr>
          <w:rFonts w:asciiTheme="majorHAnsi" w:hAnsiTheme="majorHAnsi"/>
        </w:rPr>
      </w:pPr>
    </w:p>
    <w:p w14:paraId="6FF9A6E5" w14:textId="7EC8A2C3" w:rsidR="00AC1629" w:rsidRPr="0069649A" w:rsidRDefault="00173317" w:rsidP="00FE1537">
      <w:pPr>
        <w:spacing w:line="480" w:lineRule="auto"/>
        <w:jc w:val="both"/>
        <w:rPr>
          <w:rFonts w:asciiTheme="majorHAnsi" w:hAnsiTheme="majorHAnsi"/>
        </w:rPr>
      </w:pPr>
      <w:r w:rsidRPr="0069649A">
        <w:rPr>
          <w:rFonts w:asciiTheme="majorHAnsi" w:hAnsiTheme="majorHAnsi"/>
        </w:rPr>
        <w:t>We have demonstrated that dementia</w:t>
      </w:r>
      <w:r w:rsidR="00A83CE2" w:rsidRPr="0069649A">
        <w:rPr>
          <w:rFonts w:asciiTheme="majorHAnsi" w:hAnsiTheme="majorHAnsi"/>
        </w:rPr>
        <w:t xml:space="preserve"> and CKD are</w:t>
      </w:r>
      <w:r w:rsidRPr="0069649A">
        <w:rPr>
          <w:rFonts w:asciiTheme="majorHAnsi" w:hAnsiTheme="majorHAnsi"/>
        </w:rPr>
        <w:t xml:space="preserve"> </w:t>
      </w:r>
      <w:r w:rsidR="00A83CE2" w:rsidRPr="0069649A">
        <w:rPr>
          <w:rFonts w:asciiTheme="majorHAnsi" w:hAnsiTheme="majorHAnsi"/>
        </w:rPr>
        <w:t>both</w:t>
      </w:r>
      <w:r w:rsidRPr="0069649A">
        <w:rPr>
          <w:rFonts w:asciiTheme="majorHAnsi" w:hAnsiTheme="majorHAnsi"/>
        </w:rPr>
        <w:t xml:space="preserve"> risk factor</w:t>
      </w:r>
      <w:r w:rsidR="00A83CE2" w:rsidRPr="0069649A">
        <w:rPr>
          <w:rFonts w:asciiTheme="majorHAnsi" w:hAnsiTheme="majorHAnsi"/>
        </w:rPr>
        <w:t>s</w:t>
      </w:r>
      <w:r w:rsidRPr="0069649A">
        <w:rPr>
          <w:rFonts w:asciiTheme="majorHAnsi" w:hAnsiTheme="majorHAnsi"/>
        </w:rPr>
        <w:t xml:space="preserve"> for </w:t>
      </w:r>
      <w:r w:rsidR="00AA7049" w:rsidRPr="0069649A">
        <w:rPr>
          <w:rFonts w:asciiTheme="majorHAnsi" w:hAnsiTheme="majorHAnsi"/>
        </w:rPr>
        <w:t>mortality,</w:t>
      </w:r>
      <w:r w:rsidRPr="0069649A">
        <w:rPr>
          <w:rFonts w:asciiTheme="majorHAnsi" w:hAnsiTheme="majorHAnsi"/>
        </w:rPr>
        <w:t xml:space="preserve"> similar to other studies</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{"citationItems":[{"id":"ITEM-1","itemData":{"DOI":"10.1038/s41586-020-2521-4","ISSN":"14764687","PMID":"32640463","abstract":"Coronavirus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d":{"date-parts":[["2020"]]},"title":"Factors associated with COVID-19-related death using OpenSAFELY","type":"article-journal"},"uris":["http://www.mendeley.com/documents/?uuid=08735998-0980-4722-a535-429efd947d89"]},{"id":"ITEM-2","itemData":{"DOI":"10.1007/s00406-020-01205-z","ISSN":"14338491","PMID":"33104903","author":[{"dropping-particle":"","family":"Hariyanto","given":"Timotius Ivan","non-dropping-particle":"","parse-names":false,"suffix":""},{"dropping-particle":"","family":"Putri","given":"Cynthia","non-dropping-particle":"","parse-names":false,"suffix":""},{"dropping-particle":"V.","family":"Situmeang","given":"Rocksy Fransisca","non-dropping-particle":"","parse-names":false,"suffix":""},{"dropping-particle":"","family":"Kurniawan","given":"Andree","non-dropping-particle":"","parse-names":false,"suffix":""}],"container-title":"European Archives of Psychiatry and Clinical Neuroscience","id":"ITEM-2","issued":{"date-parts":[["2020"]]},"title":"Dementia is a predictor for mortality outcome from coronavirus disease 2019 (COVID-19) infection","type":"article"},"uris":["http://www.mendeley.com/documents/?uuid=cf4b3475-7f98-40f9-a78e-f6150aada1d4"]},{"id":"ITEM-3","itemData":{"DOI":"10.1093/gerona/glaa131","ISSN":"1758535X","PMID":"32451547","author":[{"dropping-particle":"","family":"Kuo","given":"Chia Ling","non-dropping-particle":"","parse-names":false,"suffix":""},{"dropping-particle":"","family":"Pilling","given":"Luke C.","non-dropping-particle":"","parse-names":false,"suffix":""},{"dropping-particle":"","family":"Atkins","given":"Janice L.","non-dropping-particle":"","parse-names":false,"suffix":""},{"dropping-particle":"","family":"Masoli","given":"Jane A.H.","non-dropping-particle":"","parse-names":false,"suffix":""},{"dropping-particle":"","family":"Delgado","given":"João","non-dropping-particle":"","parse-names":false,"suffix":""},{"dropping-particle":"","family":"Kuchel","given":"George A.","non-dropping-particle":"","parse-names":false,"suffix":""},{"dropping-particle":"","family":"Melzer","given":"David","non-dropping-particle":"","parse-names":false,"suffix":""}],"container-title":"The journals of gerontology. Series A, Biological sciences and medical sciences","id":"ITEM-3","issued":{"date-parts":[["2020"]]},"title":"APOE e4 Genotype Predicts Severe COVID-19 in the UK Biobank Community Cohort","type":"article-journal"},"uris":["http://www.mendeley.com/documents/?uuid=15d9c2dc-ec2c-4e9a-b1e9-f2ae0560ca44"]}],"mendeley":{"formattedCitation":"[8, 19, 20]","plainTextFormattedCitation":"[8, 19, 20]","previouslyFormattedCitation":"(8,19,20)"},"properties":{"noteIndex":0},"schema":"https://github.com/citation-style-language/schema/raw/master/csl-citation.json"}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[8, 19, 20]</w:t>
      </w:r>
      <w:r w:rsidR="003D00D6" w:rsidRPr="0069649A">
        <w:rPr>
          <w:rFonts w:asciiTheme="majorHAnsi" w:hAnsiTheme="majorHAnsi"/>
        </w:rPr>
        <w:fldChar w:fldCharType="end"/>
      </w:r>
      <w:r w:rsidR="00372875" w:rsidRPr="0069649A">
        <w:rPr>
          <w:rFonts w:asciiTheme="majorHAnsi" w:hAnsiTheme="majorHAnsi"/>
        </w:rPr>
        <w:t xml:space="preserve">.  </w:t>
      </w:r>
      <w:r w:rsidR="00E936CF" w:rsidRPr="0069649A">
        <w:rPr>
          <w:rFonts w:asciiTheme="majorHAnsi" w:hAnsiTheme="majorHAnsi"/>
        </w:rPr>
        <w:t>AKI</w:t>
      </w:r>
      <w:r w:rsidR="007D5156" w:rsidRPr="0069649A">
        <w:rPr>
          <w:rFonts w:asciiTheme="majorHAnsi" w:hAnsiTheme="majorHAnsi"/>
        </w:rPr>
        <w:t xml:space="preserve"> has been found to be common </w:t>
      </w:r>
      <w:r w:rsidR="00A83CE2" w:rsidRPr="0069649A">
        <w:rPr>
          <w:rFonts w:asciiTheme="majorHAnsi" w:hAnsiTheme="majorHAnsi"/>
        </w:rPr>
        <w:t xml:space="preserve">in </w:t>
      </w:r>
      <w:r w:rsidR="00797DAA" w:rsidRPr="0069649A">
        <w:rPr>
          <w:rFonts w:ascii="Calibri" w:hAnsi="Calibri" w:cs="Arial"/>
          <w:shd w:val="clear" w:color="auto" w:fill="FFFFFF"/>
        </w:rPr>
        <w:t>SARS-CoV-2</w:t>
      </w:r>
      <w:r w:rsidR="00797DAA" w:rsidRPr="0069649A">
        <w:rPr>
          <w:rFonts w:asciiTheme="majorHAnsi" w:hAnsiTheme="majorHAnsi"/>
        </w:rPr>
        <w:t xml:space="preserve"> </w:t>
      </w:r>
      <w:r w:rsidR="007D5156" w:rsidRPr="0069649A">
        <w:rPr>
          <w:rFonts w:asciiTheme="majorHAnsi" w:hAnsiTheme="majorHAnsi"/>
        </w:rPr>
        <w:t xml:space="preserve">infection, </w:t>
      </w:r>
      <w:r w:rsidR="00A83CE2" w:rsidRPr="0069649A">
        <w:rPr>
          <w:rFonts w:asciiTheme="majorHAnsi" w:hAnsiTheme="majorHAnsi"/>
        </w:rPr>
        <w:t xml:space="preserve">mainly in </w:t>
      </w:r>
      <w:r w:rsidR="003B6413" w:rsidRPr="0069649A">
        <w:rPr>
          <w:rFonts w:asciiTheme="majorHAnsi" w:hAnsiTheme="majorHAnsi"/>
        </w:rPr>
        <w:t>older people</w:t>
      </w:r>
      <w:r w:rsidR="00372875" w:rsidRPr="0069649A">
        <w:rPr>
          <w:rFonts w:asciiTheme="majorHAnsi" w:hAnsiTheme="majorHAnsi"/>
        </w:rPr>
        <w:t xml:space="preserve"> </w:t>
      </w:r>
      <w:r w:rsidR="003D00D6" w:rsidRPr="0069649A">
        <w:rPr>
          <w:rFonts w:asciiTheme="majorHAnsi" w:hAnsiTheme="majorHAnsi"/>
          <w:vertAlign w:val="superscript"/>
        </w:rPr>
        <w:fldChar w:fldCharType="begin" w:fldLock="1"/>
      </w:r>
      <w:r w:rsidR="00982414" w:rsidRPr="0069649A">
        <w:rPr>
          <w:rFonts w:asciiTheme="majorHAnsi" w:hAnsiTheme="majorHAnsi"/>
          <w:vertAlign w:val="superscript"/>
        </w:rPr>
        <w:instrText>ADDIN CSL_CITATION {"citationItems":[{"id":"ITEM-1","itemData":{"DOI":"10.1136/bmjopen-2020-042573","abstract":"Objective To analyse the incidence, risk factors and impact of acute kidney injury (AKI) on the prognosis of patients with COVID-19.Design Meta-analysis.Data sources PubMed, Embase, CNKI and MedRxiv of Systematic Reviews from 1 January 2020 to 15 May 2020.Study selection Studies examining the following demographics and outcomes were included: patients’ age; sex; incidence of and risk factors for AKI and their impact on prognosis; COVID-19 disease type and incidence of continuous renal replacement therapy (CRRT) administration during COVID-19 infection.Results A total of 79 research articles, including 49 692 patients with COVID-19, met the systemic evaluation criteria. The mortality rate and incidence of AKI in patients with COVID-19 in China were significantly lower than those in patients with COVID-19 outside China. A significantly higher proportion of patients with COVID-19 from North America were aged ≥65 years and also developed AKI. European patients with COVID-19 had significantly higher mortality and a higher CRRT rate than patients from other regions. Further analysis of the risk factors for COVID-19 combined with AKI showed that age ≥60 years and severe COVID-19 were independent risk factors for AKI, with an OR of 3.53, 95% CI (2.92–4.25) and an OR of 6.07, 95% CI (2.53–14.58), respectively. The CRRT rate in patients with severe COVID-19 was significantly higher than in patients with non-severe COVID-19, with an OR of 6.60, 95% CI (2.83–15.39). The risk of death in patients with COVID-19 and AKI was significantly increased, with an OR of 11.05, 95% CI (9.13–13.36).Conclusion AKI was a common and serious complication of COVID-19. Older age and having severe COVID-19 were independent risk factors for AKI. The risk of in-hospital death was significantly increased in patients with COVID-19 complicated by AKI.","author":[{"dropping-particle":"","family":"Lin","given":"Lirong","non-dropping-particle":"","parse-names":false,"suffix":""},{"dropping-particle":"","family":"Wang","given":"Xiang","non-dropping-particle":"","parse-names":false,"suffix":""},{"dropping-particle":"","family":"Ren","given":"Jiangwen","non-dropping-particle":"","parse-names":false,"suffix":""},{"dropping-particle":"","family":"Sun","given":"Yan","non-dropping-particle":"","parse-names":false,"suffix":""},{"dropping-particle":"","family":"Yu","given":"Rongjie","non-dropping-particle":"","parse-names":false,"suffix":""},{"dropping-particle":"","family":"Li","given":"Kailong","non-dropping-particle":"","parse-names":false,"suffix":""},{"dropping-particle":"","family":"Zheng","given":"Luquan","non-dropping-particle":"","parse-names":false,"suffix":""},{"dropping-particle":"","family":"Yang","given":"Jurong","non-dropping-particle":"","parse-names":false,"suffix":""}],"container-title":"BMJ Open","id":"ITEM-1","issue":"11","issued":{"date-parts":[["2020","11","1"]]},"page":"e042573","title":"Risk factors and prognosis for COVID-19-induced acute kidney injury: a meta-analysis","type":"article-journal","volume":"10"},"uris":["http://www.mendeley.com/documents/?uuid=09c65472-59de-4762-88f8-c452dce7c2d7"]}],"mendeley":{"formattedCitation":"[21]","plainTextFormattedCitation":"[21]","previouslyFormattedCitation":"(21)"},"properties":{"noteIndex":0},"schema":"https://github.com/citation-style-language/schema/raw/master/csl-citation.json"}</w:instrText>
      </w:r>
      <w:r w:rsidR="003D00D6" w:rsidRPr="0069649A">
        <w:rPr>
          <w:rFonts w:asciiTheme="majorHAnsi" w:hAnsiTheme="majorHAnsi"/>
          <w:vertAlign w:val="superscript"/>
        </w:rPr>
        <w:fldChar w:fldCharType="separate"/>
      </w:r>
      <w:r w:rsidR="00982414" w:rsidRPr="0069649A">
        <w:rPr>
          <w:rFonts w:asciiTheme="majorHAnsi" w:hAnsiTheme="majorHAnsi"/>
          <w:noProof/>
        </w:rPr>
        <w:t>[21]</w:t>
      </w:r>
      <w:r w:rsidR="003D00D6" w:rsidRPr="0069649A">
        <w:rPr>
          <w:rFonts w:asciiTheme="majorHAnsi" w:hAnsiTheme="majorHAnsi"/>
          <w:vertAlign w:val="superscript"/>
        </w:rPr>
        <w:fldChar w:fldCharType="end"/>
      </w:r>
      <w:r w:rsidR="00372875" w:rsidRPr="0069649A">
        <w:rPr>
          <w:rFonts w:asciiTheme="majorHAnsi" w:hAnsiTheme="majorHAnsi"/>
          <w:vertAlign w:val="superscript"/>
        </w:rPr>
        <w:t xml:space="preserve">. </w:t>
      </w:r>
      <w:r w:rsidR="00DF062D" w:rsidRPr="0069649A">
        <w:rPr>
          <w:rFonts w:asciiTheme="majorHAnsi" w:hAnsiTheme="majorHAnsi"/>
          <w:noProof/>
        </w:rPr>
        <w:t xml:space="preserve"> Patients</w:t>
      </w:r>
      <w:r w:rsidR="0085257E" w:rsidRPr="0069649A">
        <w:rPr>
          <w:rFonts w:asciiTheme="majorHAnsi" w:hAnsiTheme="majorHAnsi"/>
        </w:rPr>
        <w:t xml:space="preserve"> with </w:t>
      </w:r>
      <w:r w:rsidR="005C7F22" w:rsidRPr="0069649A">
        <w:rPr>
          <w:rFonts w:asciiTheme="majorHAnsi" w:hAnsiTheme="majorHAnsi"/>
        </w:rPr>
        <w:t>COVID-19</w:t>
      </w:r>
      <w:r w:rsidR="0085257E" w:rsidRPr="0069649A">
        <w:rPr>
          <w:rFonts w:asciiTheme="majorHAnsi" w:hAnsiTheme="majorHAnsi"/>
        </w:rPr>
        <w:t xml:space="preserve"> who present or develop AKI have higher mortality and morbidity, prolonged hospital stay and higher probability to be a</w:t>
      </w:r>
      <w:r w:rsidR="00E2197A" w:rsidRPr="0069649A">
        <w:rPr>
          <w:rFonts w:asciiTheme="majorHAnsi" w:hAnsiTheme="majorHAnsi"/>
        </w:rPr>
        <w:t>d</w:t>
      </w:r>
      <w:r w:rsidR="0085257E" w:rsidRPr="0069649A">
        <w:rPr>
          <w:rFonts w:asciiTheme="majorHAnsi" w:hAnsiTheme="majorHAnsi"/>
        </w:rPr>
        <w:t>mitted in intensive care</w:t>
      </w:r>
      <w:r w:rsidR="00372875" w:rsidRPr="0069649A">
        <w:rPr>
          <w:rFonts w:asciiTheme="majorHAnsi" w:hAnsiTheme="majorHAnsi"/>
        </w:rPr>
        <w:t xml:space="preserve"> </w:t>
      </w:r>
      <w:r w:rsidR="003D00D6" w:rsidRPr="0069649A">
        <w:rPr>
          <w:rFonts w:asciiTheme="majorHAnsi" w:hAnsiTheme="majorHAnsi"/>
          <w:noProof/>
          <w:vertAlign w:val="superscript"/>
        </w:rPr>
        <w:fldChar w:fldCharType="begin" w:fldLock="1"/>
      </w:r>
      <w:r w:rsidR="00982414" w:rsidRPr="0069649A">
        <w:rPr>
          <w:rFonts w:asciiTheme="majorHAnsi" w:hAnsiTheme="majorHAnsi"/>
          <w:noProof/>
          <w:vertAlign w:val="superscript"/>
        </w:rPr>
        <w:instrText>ADDIN CSL_CITATION {"citationItems":[{"id":"ITEM-1","itemData":{"DOI":"10.1371/journal.pone.0241544","ISSN":"19326203","PMID":"33141867","abstract":"Introduction COVID-19 has spread globally to now be considered a pandemic by the World Health Organisation. Initially patients appeared to have a respiratory limited disease but there are now increasing reports of multiple organ involvement including renal disease in association with COVID-19. We studied the development and outcomes of acute kidney injury (AKI) in patients with COVID-19, in a large multicultural city hospital trust in the UK, to better understand the role renal disease has in the disease process. Methods This was a retrospective review using electronic records and laboratory data of adult patients admitted to the four Manchester University Foundation Trust Hospitals between March 10 and April 30 2020 with a diagnosis of COVID-19. Records were reviewed for baseline characteristics, medications, comorbidities, social deprivation index, observations, biochemistry and outcomes including mortality, admission to critical care, mechanical ventilation and the need for renal replacement therapy. Results There were 1032 patients included in the study of whom 210 (20.3%) had AKI in association with the diagnosis of COVID-19. The overall mortality with AKI was considerably higher at 52.4% compared to 26.3% without AKI (p-value &lt;0.001). More patients with AKI required escalation to critical care (34.8% vs 11.2%, p-value &lt;0.001). Following admission to critical care those with AKI were more likely to die (54.8% vs 25.0%, p-value &lt;0.001) and more likely to require mechanical ventilation (86.3% vs 66.3%, p-value 0.006). Discussion We have shown that the development of AKI is associated with dramatically worse outcomes for patients, in both mortality and the requirement for critical care. Patients with COVID-19 presenting with, or at risk of AKI should be closely monitored and appropriately managed to prevent any decline in renal function, given the significant risk of deterioration and death.","author":[{"dropping-particle":"","family":"Hamilton","given":"Patrick","non-dropping-particle":"","parse-names":false,"suffix":""},{"dropping-particle":"","family":"Hanumapura","given":"Prasanna","non-dropping-particle":"","parse-names":false,"suffix":""},{"dropping-particle":"","family":"Castelino","given":"Laveena","non-dropping-particle":"","parse-names":false,"suffix":""},{"dropping-particle":"","family":"Henney","given":"Robert","non-dropping-particle":"","parse-names":false,"suffix":""},{"dropping-particle":"","family":"Parker","given":"Kathrine","non-dropping-particle":"","parse-names":false,"suffix":""},{"dropping-particle":"","family":"Kumar","given":"Mukesh","non-dropping-particle":"","parse-names":false,"suffix":""},{"dropping-particle":"","family":"Murphy","given":"Michelle","non-dropping-particle":"","parse-names":false,"suffix":""},{"dropping-particle":"","family":"Al-Sayed","given":"Tamer","non-dropping-particle":"","parse-names":false,"suffix":""},{"dropping-particle":"","family":"Pinnington","given":"Sarah","non-dropping-particle":"","parse-names":false,"suffix":""},{"dropping-particle":"","family":"Felton","given":"Tim","non-dropping-particle":"","parse-names":false,"suffix":""},{"dropping-particle":"","family":"Challiner","given":"Rachael","non-dropping-particle":"","parse-names":false,"suffix":""},{"dropping-particle":"","family":"Ebah","given":"Leonard","non-dropping-particle":"","parse-names":false,"suffix":""}],"container-title":"PLoS ONE","id":"ITEM-1","issued":{"date-parts":[["2020"]]},"title":"Characteristics and outcomes of hospitalised patients with acute kidney injury and COVID-19","type":"article-journal"},"uris":["http://www.mendeley.com/documents/?uuid=7dd681f2-944c-42a2-8ec4-a92a8d287088"]}],"mendeley":{"formattedCitation":"[22]","plainTextFormattedCitation":"[22]","previouslyFormattedCitation":"(22)"},"properties":{"noteIndex":0},"schema":"https://github.com/citation-style-language/schema/raw/master/csl-citation.json"}</w:instrText>
      </w:r>
      <w:r w:rsidR="003D00D6" w:rsidRPr="0069649A">
        <w:rPr>
          <w:rFonts w:asciiTheme="majorHAnsi" w:hAnsiTheme="majorHAnsi"/>
          <w:noProof/>
          <w:vertAlign w:val="superscript"/>
        </w:rPr>
        <w:fldChar w:fldCharType="separate"/>
      </w:r>
      <w:r w:rsidR="00982414" w:rsidRPr="0069649A">
        <w:rPr>
          <w:rFonts w:asciiTheme="majorHAnsi" w:hAnsiTheme="majorHAnsi"/>
          <w:noProof/>
        </w:rPr>
        <w:t>[22]</w:t>
      </w:r>
      <w:r w:rsidR="003D00D6" w:rsidRPr="0069649A">
        <w:rPr>
          <w:rFonts w:asciiTheme="majorHAnsi" w:hAnsiTheme="majorHAnsi"/>
          <w:noProof/>
          <w:vertAlign w:val="superscript"/>
        </w:rPr>
        <w:fldChar w:fldCharType="end"/>
      </w:r>
      <w:r w:rsidR="00372875" w:rsidRPr="0069649A">
        <w:rPr>
          <w:rFonts w:asciiTheme="majorHAnsi" w:hAnsiTheme="majorHAnsi"/>
          <w:noProof/>
        </w:rPr>
        <w:t>.</w:t>
      </w:r>
      <w:r w:rsidR="0040095A" w:rsidRPr="0069649A">
        <w:rPr>
          <w:rFonts w:asciiTheme="majorHAnsi" w:hAnsiTheme="majorHAnsi"/>
        </w:rPr>
        <w:t xml:space="preserve"> </w:t>
      </w:r>
      <w:r w:rsidR="0035010C" w:rsidRPr="0069649A">
        <w:rPr>
          <w:rFonts w:asciiTheme="majorHAnsi" w:hAnsiTheme="majorHAnsi"/>
        </w:rPr>
        <w:t>Direct</w:t>
      </w:r>
      <w:r w:rsidR="002209E8" w:rsidRPr="0069649A">
        <w:rPr>
          <w:rFonts w:asciiTheme="majorHAnsi" w:hAnsiTheme="majorHAnsi"/>
        </w:rPr>
        <w:t xml:space="preserve"> nephrotoxic </w:t>
      </w:r>
      <w:r w:rsidR="007D5156" w:rsidRPr="0069649A">
        <w:rPr>
          <w:rFonts w:asciiTheme="majorHAnsi" w:hAnsiTheme="majorHAnsi"/>
        </w:rPr>
        <w:t xml:space="preserve">effects of SARS-COV-2 infection </w:t>
      </w:r>
      <w:r w:rsidR="0085257E" w:rsidRPr="0069649A">
        <w:rPr>
          <w:rFonts w:asciiTheme="majorHAnsi" w:hAnsiTheme="majorHAnsi"/>
        </w:rPr>
        <w:t>have been described</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{"citationItems":[{"id":"ITEM-1","itemData":{"DOI":"10.34172/npj.2020.22","ISSN":"23454202","abstract":"Coronavirus disease 2019 (COVID-19) is now a pandemic and its death toll is rocketing up. Patients with acute kidney injury (AKI) and chronic kidney disease (CKD) are at high risk of developing COVID-19 complications and COVID-19 infection can also lead to renal dysfunction. Considering the importance of kidney function in COVID-19 patients, the present review is aimed to dig into the available evidence about kidney and COVID-19. We summarize the mechanisms underlying the renal injury in COVID-19 patients, and treatment strategies in dialysis and kidney transplant patients. We conclude, it is imperative to highlight the early monitoring of patients with AKI and carefully control kidney function during severe acute respiratory syndrome coronavirus 2 (SARS-CoV-2) infection.","author":[{"dropping-particle":"","family":"Yalameha","given":"Banafsheh","non-dropping-particle":"","parse-names":false,"suffix":""},{"dropping-particle":"","family":"Roshan","given":"Bijan","non-dropping-particle":"","parse-names":false,"suffix":""},{"dropping-particle":"","family":"Bhaskar","given":"Lakkakula V.K.S.","non-dropping-particle":"","parse-names":false,"suffix":""},{"dropping-particle":"","family":"Mohmoodnia","given":"Leila","non-dropping-particle":"","parse-names":false,"suffix":""}],"container-title":"Journal of Nephropharmacology","id":"ITEM-1","issued":{"date-parts":[["2020"]]},"title":"Perspectives on the relationship of renal disease and coronavirus disease 2019","type":"article-journal"},"uris":["http://www.mendeley.com/documents/?uuid=799e6ec5-31f8-4602-bb80-24fd1e86c411"]}],"mendeley":{"formattedCitation":"[23]","plainTextFormattedCitation":"[23]","previouslyFormattedCitation":"(23)"},"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[23]</w:t>
      </w:r>
      <w:r w:rsidR="003D00D6" w:rsidRPr="0069649A">
        <w:rPr>
          <w:rFonts w:asciiTheme="majorHAnsi" w:hAnsiTheme="majorHAnsi"/>
        </w:rPr>
        <w:fldChar w:fldCharType="end"/>
      </w:r>
      <w:r w:rsidR="00372875" w:rsidRPr="0069649A">
        <w:rPr>
          <w:rFonts w:asciiTheme="majorHAnsi" w:hAnsiTheme="majorHAnsi"/>
        </w:rPr>
        <w:t xml:space="preserve">, </w:t>
      </w:r>
      <w:r w:rsidR="0035010C" w:rsidRPr="0069649A">
        <w:rPr>
          <w:rFonts w:asciiTheme="majorHAnsi" w:hAnsiTheme="majorHAnsi"/>
        </w:rPr>
        <w:t xml:space="preserve"> </w:t>
      </w:r>
      <w:r w:rsidR="00225F5B" w:rsidRPr="0069649A">
        <w:rPr>
          <w:rFonts w:asciiTheme="majorHAnsi" w:hAnsiTheme="majorHAnsi"/>
        </w:rPr>
        <w:t>and mediated by</w:t>
      </w:r>
      <w:r w:rsidR="002209E8" w:rsidRPr="0069649A">
        <w:rPr>
          <w:rFonts w:asciiTheme="majorHAnsi" w:hAnsiTheme="majorHAnsi"/>
        </w:rPr>
        <w:t xml:space="preserve"> endothelial injury, thrombotic events and glomerulopathy</w:t>
      </w:r>
      <w:r w:rsidR="00DC1AB0"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{"citationItems":[{"id":"ITEM-1","itemData":{"DOI":"10.1016/j.kint.2020.04.003","ISSN":"15231755","PMID":"32327202","abstract":"Although the respiratory and immune systems are the major targets of Coronavirus Disease 2019 (COVID-19), acute kidney injury and proteinuria have also been observed. Currently, detailed pathologic examination of kidney damage in critically ill patients with COVID-19 has been lacking. To help define this we analyzed kidney abnormalities in 26 autopsies of patients with COVID-19 by light microscopy, ultrastructural observation and immunostaining. Patients were on average 69 years (19 male and 7 female) with respiratory failure associated with multiple organ dysfunction syndrome as the cause of death. Nine of the 26 showed clinical signs of kidney injury that included increased serum creatinine and/or new-onset proteinuria. By light microscopy, diffuse proximal tubule injury with the loss of brush border, non-isometric vacuolar degeneration, and even frank necrosis was observed. Occasional hemosiderin granules and pigmented casts were identified. There were prominent erythrocyte aggregates obstructing the lumen of capillaries without platelet or fibrinoid material. Evidence of vasculitis, interstitial inflammation or hemorrhage was absent. Electron microscopic examination showed clusters of coronavirus-like particles with distinctive spikes in the tubular epithelium and podocytes. Furthermore, the receptor of SARS-CoV-2, ACE2 was found to be upregulated in patients with COVID-19, and immunostaining with SARS-CoV nucleoprotein antibody was positive in tubules. In addition to the direct virulence of SARS-CoV-2, factors contributing to acute kidney injury included systemic hypoxia, abnormal coagulation, and possible drug or hyperventilation-relevant rhabdomyolysis. Thus, our studies provide direct evidence of the invasion of SARSCoV-2 into kidney tissue. These findings will greatly add to the current understanding of SARS-CoV-2 infection.","author":[{"dropping-particle":"","family":"Su","given":"Hua","non-dropping-particle":"","parse-names":false,"suffix":""},{"dropping-particle":"","family":"Yang","given":"Ming","non-dropping-particle":"","parse-names":false,"suffix":""},{"dropping-particle":"","family":"Wan","given":"Cheng","non-dropping-particle":"","parse-names":false,"suffix":""},{"dropping-particle":"","family":"Yi","given":"Li Xia","non-dropping-particle":"","parse-names":false,"suffix":""},{"dropping-particle":"","family":"Tang","given":"Fang","non-dropping-particle":"","parse-names":false,"suffix":""},{"dropping-particle":"","family":"Zhu","given":"Hong Yan","non-dropping-particle":"","parse-names":false,"suffix":""},{"dropping-particle":"","family":"Yi","given":"Fan","non-dropping-particle":"","parse-names":false,"suffix":""},{"dropping-particle":"","family":"Yang","given":"Hai Chun","non-dropping-particle":"","parse-names":false,"suffix":""},{"dropping-particle":"","family":"Fogo","given":"Agnes B.","non-dropping-particle":"","parse-names":false,"suffix":""},{"dropping-particle":"","family":"Nie","given":"Xiu","non-dropping-particle":"","parse-names":false,"suffix":""},{"dropping-particle":"","family":"Zhang","given":"Chun","non-dropping-particle":"","parse-names":false,"suffix":""}],"container-title":"Kidney International","id":"ITEM-1","issued":{"date-parts":[["2020"]]},"title":"Renal histopathological analysis of 26 postmortem findings of patients with COVID-19 in China","type":"article-journal"},"uris":["http://www.mendeley.com/documents/?uuid=ed56a844-e113-473b-afb1-be75ea29d3db"]},{"id":"ITEM-2","itemData":{"abstract":"BACKGROUND The coronavirus disease 2019 (COVID-19) is a newly emerged infection from the novel severe acute respiratory syndrome coronavirus 2 (SARS-CoV-2). Apart from the respiratory system, it is unclear whether SARS-CoV-2 can also directly infect other tissues such as the kidney or induce acute renal failure. METHODS We conducted a retrospective analysis of estimated glomerular filtration rate (eGFR), plasma creatinine, and urea concentrations along with other clinical parameters from 85 patients with laboratory-confirmed COVID-19 admitted to a hospital in Wuhan from January 17, 2020 to March 3, 2020. Kidney tissues from six other patients with postmortem examinations were analyzed by Hematoxylin and Eosin (H&amp;E) and in situ expression of viral nucleocaspid protein (NP) antigen was detected by immunohistochemistry. RESULTS Among these 85 COVID-19 cases, 27.06% (23/85) patients exhibited acute renal failure (ARF), and elder patients (≥ 60 years old) are easier to develop ARF (65.22% vs 24.19%, p&lt; 0.001). Comorbidities of disorders like hypertension and heart failure were more common in patients who developed ARF (69.57% vs 11.29%, p&lt; 0.001). Dynamic observation of eGFR revealed that perished cases have a rapid decrease of eGFR but quickly boosting plasma creatinine and urea. On the other hand, enhancement of eGFR and persistence low level of plasma creatinine and urea was observed in recovery patients following diuretic treatment. H&amp;E staining demonstrated kidney tissues from 6 cases of postmortems have severe acute tubular necrosis but no evidence of glomerular pathology or tubulointerstitial lymphocyte infiltration. Immunohistochemistry showed that SARS-CoV-2 NP antigen was accumulated in kidney tubules. CONCLUSIONS The development of ARF during the course of disease is an important negative prognostic indicator for survival with COVID-19. SARS-CoV-2 virus directly infects human kidney tubules by thus induces acute tubular damage, ARF and probably also lead to urine transmission. ### Competing Interest Statement The authors have declared no competing interest. ### Funding Statement The funding agencies did not participate in study design, data collection, data analysis, or manuscript writing. ### Author Declarations All relevant ethical guidelines have been followed; any necessary IRB and/or ethics committee approvals have been obtained and details of the IRB/oversight body are included in the manuscript. Yes All necessary patient/participant consent…","author":[{"dropping-particle":"","family":"Diao","given":"Bo","non-dropping-particle":"","parse-names":false,"suffix":""},{"dropping-particle":"","family":"Wang","given":"Chenhui","non-dropping-particle":"","parse-names":false,"suffix":""},{"dropping-particle":"","family":"Wang","given":"Rongshuai","non-dropping-particle":"","parse-names":false,"suffix":""},{"dropping-particle":"","family":"Feng","given":"Zeqing","non-dropping-particle":"","parse-names":false,"suffix":""},{"dropping-particle":"","family":"Tan","given":"Yingjun","non-dropping-particle":"","parse-names":false,"suffix":""},{"dropping-particle":"","family":"Wang","given":"Huiming","non-dropping-particle":"","parse-names":false,"suffix":""},{"dropping-particle":"","family":"Wang","given":"Changsong","non-dropping-particle":"","parse-names":false,"suffix":""},{"dropping-particle":"","family":"Liu","given":"Liang","non-dropping-particle":"","parse-names":false,"suffix":""},{"dropping-particle":"","family":"Liu","given":"Ying","non-dropping-particle":"","parse-names":false,"suffix":""},{"dropping-particle":"","family":"Liu","given":"Yueping","non-dropping-particle":"","parse-names":false,"suffix":""},{"dropping-particle":"","family":"Wang","given":"Gang","non-dropping-particle":"","parse-names":false,"suffix":""},{"dropping-particle":"","family":"Yuan","given":"Zilin","non-dropping-particle":"","parse-names":false,"suffix":""},{"dropping-particle":"","family":"Ren","given":"Liang","non-dropping-particle":"","parse-names":false,"suffix":""},{"dropping-particle":"","family":"Wu","given":"Yuzhang","non-dropping-particle":"","parse-names":false,"suffix":""},{"dropping-particle":"","family":"Chen","given":"Yongwen","non-dropping-particle":"","parse-names":false,"suffix":""}],"container-title":"Journal of the American Society of Nephrology","id":"ITEM-2","issued":{"date-parts":[["2020"]]},"title":"Acute Kidney Injury in COVID-19: Emerging Evidence of a Distinct Pathophysiology","type":"article-journal"},"uris":["http://www.mendeley.com/documents/?uuid=5ecfe91c-b282-46b1-819a-ae82ec171f78"]},{"id":"ITEM-3","itemData":{"DOI":"10.1038/s41581-020-0284-7","ISSN":"1759507X","PMID":"32273593","author":[{"dropping-particle":"","family":"Ronco","given":"Claudio","non-dropping-particle":"","parse-names":false,"suffix":""},{"dropping-particle":"","family":"Reis","given":"Thiago","non-dropping-particle":"","parse-names":false,"suffix":""}],"container-title":"Nature Reviews Nephrology","id":"ITEM-3","issued":{"date-parts":[["2020"]]},"title":"Kidney involvement in COVID-19 and rationale for extracorporeal therapies","type":"article"},"uris":["http://www.mendeley.com/documents/?uuid=3122c651-a76e-49b7-b894-443eec10f50a"]}],"mendeley":{"formattedCitation":"[24–26]","plainTextFormattedCitation":"[24–26]","previouslyFormattedCitation":"(24–26)"},"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[24–26]</w:t>
      </w:r>
      <w:r w:rsidR="003D00D6" w:rsidRPr="0069649A">
        <w:rPr>
          <w:rFonts w:asciiTheme="majorHAnsi" w:hAnsiTheme="majorHAnsi"/>
        </w:rPr>
        <w:fldChar w:fldCharType="end"/>
      </w:r>
      <w:r w:rsidR="00982414" w:rsidRPr="0069649A">
        <w:rPr>
          <w:rFonts w:asciiTheme="majorHAnsi" w:hAnsiTheme="majorHAnsi"/>
        </w:rPr>
        <w:t>.</w:t>
      </w:r>
      <w:r w:rsidR="00C006ED" w:rsidRPr="0069649A">
        <w:rPr>
          <w:rFonts w:asciiTheme="majorHAnsi" w:hAnsiTheme="majorHAnsi"/>
        </w:rPr>
        <w:t xml:space="preserve"> </w:t>
      </w:r>
      <w:r w:rsidR="002209E8" w:rsidRPr="0069649A">
        <w:rPr>
          <w:rFonts w:asciiTheme="majorHAnsi" w:hAnsiTheme="majorHAnsi"/>
        </w:rPr>
        <w:t>O</w:t>
      </w:r>
      <w:r w:rsidR="007D5156" w:rsidRPr="0069649A">
        <w:rPr>
          <w:rFonts w:asciiTheme="majorHAnsi" w:hAnsiTheme="majorHAnsi"/>
        </w:rPr>
        <w:t>lder patient</w:t>
      </w:r>
      <w:r w:rsidR="0085257E" w:rsidRPr="0069649A">
        <w:rPr>
          <w:rFonts w:asciiTheme="majorHAnsi" w:hAnsiTheme="majorHAnsi"/>
        </w:rPr>
        <w:t xml:space="preserve">s may be more </w:t>
      </w:r>
      <w:r w:rsidR="007D5156" w:rsidRPr="0069649A">
        <w:rPr>
          <w:rFonts w:asciiTheme="majorHAnsi" w:hAnsiTheme="majorHAnsi"/>
        </w:rPr>
        <w:t>vulnerab</w:t>
      </w:r>
      <w:r w:rsidR="0085257E" w:rsidRPr="0069649A">
        <w:rPr>
          <w:rFonts w:asciiTheme="majorHAnsi" w:hAnsiTheme="majorHAnsi"/>
        </w:rPr>
        <w:t xml:space="preserve">le </w:t>
      </w:r>
      <w:r w:rsidR="007D5156" w:rsidRPr="0069649A">
        <w:rPr>
          <w:rFonts w:asciiTheme="majorHAnsi" w:hAnsiTheme="majorHAnsi"/>
        </w:rPr>
        <w:t xml:space="preserve">to AKI due </w:t>
      </w:r>
      <w:r w:rsidR="007D5156" w:rsidRPr="0069649A">
        <w:rPr>
          <w:rFonts w:ascii="Calibri" w:hAnsi="Calibri"/>
        </w:rPr>
        <w:t>ageing kidney</w:t>
      </w:r>
      <w:r w:rsidR="0085257E" w:rsidRPr="0069649A">
        <w:rPr>
          <w:rFonts w:ascii="Calibri" w:hAnsi="Calibri"/>
        </w:rPr>
        <w:t>s</w:t>
      </w:r>
      <w:r w:rsidR="002209E8" w:rsidRPr="0069649A">
        <w:rPr>
          <w:rFonts w:ascii="Calibri" w:hAnsi="Calibri"/>
        </w:rPr>
        <w:t xml:space="preserve"> and</w:t>
      </w:r>
      <w:r w:rsidR="0085257E" w:rsidRPr="0069649A">
        <w:rPr>
          <w:rFonts w:ascii="Calibri" w:hAnsi="Calibri"/>
        </w:rPr>
        <w:t xml:space="preserve"> p</w:t>
      </w:r>
      <w:r w:rsidR="007D5156" w:rsidRPr="0069649A">
        <w:rPr>
          <w:rFonts w:ascii="Calibri" w:hAnsi="Calibri"/>
        </w:rPr>
        <w:t>re-existing comorbidities</w:t>
      </w:r>
      <w:r w:rsidR="00372875" w:rsidRPr="0069649A">
        <w:rPr>
          <w:rFonts w:ascii="Calibri" w:hAnsi="Calibri"/>
        </w:rPr>
        <w:t xml:space="preserve"> </w:t>
      </w:r>
      <w:r w:rsidR="003D00D6" w:rsidRPr="0069649A">
        <w:rPr>
          <w:rFonts w:ascii="Calibri" w:hAnsi="Calibri"/>
        </w:rPr>
        <w:fldChar w:fldCharType="begin" w:fldLock="1"/>
      </w:r>
      <w:r w:rsidR="00982414" w:rsidRPr="0069649A">
        <w:rPr>
          <w:rFonts w:ascii="Calibri" w:hAnsi="Calibri"/>
        </w:rPr>
        <w:instrText>ADDIN CSL_CITATION {"citationItems":[{"id":"ITEM-1","itemData":{"DOI":"10.1016/j.cger.2009.04.001","ISSN":"07490690","PMID":"19765485","abstract":"The aging kidney undergoes several important anatomic and physiologic changes that increase the risk of acute kidney injury (formerly acute renal failure) in the elderly. This article reviews these changes and discusses the diagnoses frequently encountered in the elderly patient with acute kidney injury. The incidence, staging, evaluation, management, and prognosis of acute kidney injury are also examined with special focus given to older adults.","author":[{"dropping-particle":"","family":"Abdel-Kader","given":"Khaled","non-dropping-particle":"","parse-names":false,"suffix":""},{"dropping-particle":"","family":"Palevsky","given":"Paul M.","non-dropping-particle":"","parse-names":false,"suffix":""}],"container-title":"Clinics in Geriatric Medicine","id":"ITEM-1","issued":{"date-parts":[["2009"]]},"title":"Acute Kidney Injury in the Elderly","type":"article"},"uris":["http://www.mendeley.com/documents/?uuid=caed64d1-d3e5-4eb3-81df-a989112c26b6"]}],"mendeley":{"formattedCitation":"[27]","plainTextFormattedCitation":"[27]","previouslyFormattedCitation":"(27)"},"properties":{"noteIndex":0},"schema":"https://github.com/citation-style-language/schema/raw/master/csl-citation.json"}</w:instrText>
      </w:r>
      <w:r w:rsidR="003D00D6" w:rsidRPr="0069649A">
        <w:rPr>
          <w:rFonts w:ascii="Calibri" w:hAnsi="Calibri"/>
        </w:rPr>
        <w:fldChar w:fldCharType="separate"/>
      </w:r>
      <w:r w:rsidR="00982414" w:rsidRPr="0069649A">
        <w:rPr>
          <w:rFonts w:ascii="Calibri" w:hAnsi="Calibri"/>
          <w:noProof/>
        </w:rPr>
        <w:t>[27]</w:t>
      </w:r>
      <w:r w:rsidR="003D00D6" w:rsidRPr="0069649A">
        <w:rPr>
          <w:rFonts w:ascii="Calibri" w:hAnsi="Calibri"/>
        </w:rPr>
        <w:fldChar w:fldCharType="end"/>
      </w:r>
      <w:r w:rsidR="00372875" w:rsidRPr="0069649A">
        <w:rPr>
          <w:rFonts w:ascii="Calibri" w:hAnsi="Calibri"/>
        </w:rPr>
        <w:t>,</w:t>
      </w:r>
      <w:r w:rsidR="007D5156" w:rsidRPr="0069649A">
        <w:rPr>
          <w:rFonts w:ascii="Calibri" w:hAnsi="Calibri"/>
          <w:b/>
        </w:rPr>
        <w:t xml:space="preserve"> </w:t>
      </w:r>
      <w:sdt>
        <w:sdtPr>
          <w:rPr>
            <w:rFonts w:ascii="Calibri" w:hAnsi="Calibri"/>
            <w:b/>
          </w:rPr>
          <w:tag w:val="MENDELEY_CITATION_636ac9a0-47a0-42c8-a58d-3f76f1be53b9"/>
          <w:id w:val="-24794378"/>
          <w:placeholder>
            <w:docPart w:val="125AC46729692F4CA2E97935C89BCC00"/>
          </w:placeholder>
        </w:sdtPr>
        <w:sdtEndPr/>
        <w:sdtContent>
          <w:r w:rsidR="00C006ED" w:rsidRPr="0069649A">
            <w:rPr>
              <w:rFonts w:ascii="Calibri" w:hAnsi="Calibri"/>
              <w:b/>
            </w:rPr>
            <w:t xml:space="preserve"> </w:t>
          </w:r>
        </w:sdtContent>
      </w:sdt>
      <w:r w:rsidR="002209E8" w:rsidRPr="0069649A">
        <w:rPr>
          <w:rFonts w:ascii="Calibri" w:hAnsi="Calibri"/>
        </w:rPr>
        <w:t>sepsis</w:t>
      </w:r>
      <w:r w:rsidR="002209E8" w:rsidRPr="0069649A">
        <w:rPr>
          <w:rFonts w:ascii="Calibri" w:hAnsi="Calibri"/>
          <w:b/>
        </w:rPr>
        <w:t xml:space="preserve">, </w:t>
      </w:r>
      <w:r w:rsidR="00E2197A" w:rsidRPr="0069649A">
        <w:rPr>
          <w:rFonts w:ascii="Calibri" w:hAnsi="Calibri"/>
        </w:rPr>
        <w:t>hypovolemia</w:t>
      </w:r>
      <w:r w:rsidR="007D5156" w:rsidRPr="0069649A">
        <w:rPr>
          <w:rFonts w:ascii="Calibri" w:hAnsi="Calibri"/>
        </w:rPr>
        <w:t xml:space="preserve"> and dehydration</w:t>
      </w:r>
      <w:r w:rsidR="00857EDF" w:rsidRPr="0069649A">
        <w:rPr>
          <w:rFonts w:ascii="Calibri" w:hAnsi="Calibri"/>
        </w:rPr>
        <w:t>.</w:t>
      </w:r>
    </w:p>
    <w:p w14:paraId="05C98B46" w14:textId="77777777" w:rsidR="0040095A" w:rsidRPr="0069649A" w:rsidRDefault="0040095A" w:rsidP="00FE1537">
      <w:pPr>
        <w:spacing w:line="480" w:lineRule="auto"/>
        <w:jc w:val="both"/>
        <w:rPr>
          <w:rFonts w:asciiTheme="majorHAnsi" w:hAnsiTheme="majorHAnsi"/>
          <w:b/>
        </w:rPr>
      </w:pPr>
    </w:p>
    <w:p w14:paraId="63B3F43C" w14:textId="7810EADB" w:rsidR="00857EDF" w:rsidRPr="0069649A" w:rsidRDefault="00E2197A" w:rsidP="00C006ED">
      <w:pPr>
        <w:spacing w:line="480" w:lineRule="auto"/>
        <w:jc w:val="both"/>
        <w:rPr>
          <w:rFonts w:asciiTheme="majorHAnsi" w:hAnsiTheme="majorHAnsi"/>
        </w:rPr>
      </w:pPr>
      <w:r w:rsidRPr="0069649A">
        <w:rPr>
          <w:rFonts w:asciiTheme="majorHAnsi" w:hAnsiTheme="majorHAnsi"/>
        </w:rPr>
        <w:t>H</w:t>
      </w:r>
      <w:r w:rsidR="005201A6" w:rsidRPr="0069649A">
        <w:rPr>
          <w:rFonts w:asciiTheme="majorHAnsi" w:hAnsiTheme="majorHAnsi"/>
        </w:rPr>
        <w:t>ypernatremia</w:t>
      </w:r>
      <w:r w:rsidR="009F2E90" w:rsidRPr="0069649A">
        <w:rPr>
          <w:rFonts w:asciiTheme="majorHAnsi" w:hAnsiTheme="majorHAnsi"/>
        </w:rPr>
        <w:t xml:space="preserve"> </w:t>
      </w:r>
      <w:r w:rsidRPr="0069649A">
        <w:rPr>
          <w:rFonts w:asciiTheme="majorHAnsi" w:hAnsiTheme="majorHAnsi"/>
        </w:rPr>
        <w:t>is also a</w:t>
      </w:r>
      <w:r w:rsidR="009F2E90" w:rsidRPr="0069649A">
        <w:rPr>
          <w:rFonts w:asciiTheme="majorHAnsi" w:hAnsiTheme="majorHAnsi"/>
        </w:rPr>
        <w:t>ssociated with</w:t>
      </w:r>
      <w:r w:rsidR="005201A6" w:rsidRPr="0069649A">
        <w:rPr>
          <w:rFonts w:asciiTheme="majorHAnsi" w:hAnsiTheme="majorHAnsi"/>
        </w:rPr>
        <w:t xml:space="preserve"> </w:t>
      </w:r>
      <w:r w:rsidR="00902145" w:rsidRPr="0069649A">
        <w:rPr>
          <w:rFonts w:asciiTheme="majorHAnsi" w:hAnsiTheme="majorHAnsi"/>
        </w:rPr>
        <w:t xml:space="preserve">a </w:t>
      </w:r>
      <w:r w:rsidR="005201A6" w:rsidRPr="0069649A">
        <w:rPr>
          <w:rFonts w:asciiTheme="majorHAnsi" w:hAnsiTheme="majorHAnsi"/>
        </w:rPr>
        <w:t>higher</w:t>
      </w:r>
      <w:r w:rsidR="009F2E90" w:rsidRPr="0069649A">
        <w:rPr>
          <w:rFonts w:asciiTheme="majorHAnsi" w:hAnsiTheme="majorHAnsi"/>
        </w:rPr>
        <w:t xml:space="preserve"> mortality. This has been described previously in younger patients</w:t>
      </w:r>
      <w:r w:rsidR="007D5156" w:rsidRPr="0069649A">
        <w:rPr>
          <w:rFonts w:asciiTheme="majorHAnsi" w:hAnsiTheme="majorHAnsi"/>
        </w:rPr>
        <w:t xml:space="preserve"> in intensive care</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{"citationItems":[{"id":"ITEM-1","itemData":{"PMID":"13833555","abstract":"The infection caused by SARS-CoV-2 virus, in some cases, can lead to severe courses of disease, which include the failure of multiple organs such as the lungs or the kidneys. When treating severely ill patients suffering from a covid-19 infection on our intensive care unit, we detected elevated sodium levels in the blood, which appeared to correlate with the severity of the illness. Sodium is one of many electrolytes in the blood, which is crucial for the balance of fluids as well as the function of different cell types in the body. Different diseases, such as kidney disease or impaired central regulation of fluid balance as well as general treatment on the intensive care unit for different critical illnesses can lead to elevated sodium levels. The overall incidence of elevated sodium levels on the ICU ranges between 5 and 10 %. In patients with covid-19 being treated on the ICU, we see a much higher incidence. This study will compare sodium levels and other important diagnostic markers in patients with covid-19 that have been treated in the ICU, as well as patients with covid-19 treated on a general ward, and patients with acute lung failure due to other causes. The study has the goal to classify this impairment and will try to elucidate possible factors of a covid-19 infection which could lead to the elevation of sodium. The measuring of sodium levels is easy, cheap and could therefore serve as an additional parameter suitable to monitor the course of disease when treating patients with covid-19. Inclusion criteria: group 1: patients with positive PCR for SARS-CoV-19 and treatment on ICU, respiratory symptoms with acute onset; bilateral diffuse infiltrates in imaging; interstitial edema, not explained by cardiac causes; paO2/FiO2 &lt; 300 mmHggroup 2: patients with positive PCR for SARS-CoV-19 and treatment on general ward, no ventilation Intervention: Intervention 1: patients with covid-19 treated on the icu. no new exams are being conducted. This study only looks retrospectively at the data collected while treating the patients. These include lab results of sodium, chloride, potassium, creatinin concentrations. Urine diagnostics: sodium, potassium, creatinin, urea, glucose. Intervention 2: patients with covid-19 treated on the normal ward. no new exams are being conducted. This study only looks retrospectively at the data collected while treating the patients. These include lab results of sodium, chloride, potassium, creatinin concentrations. Urine dia…","author":[{"dropping-particle":"","family":"Ortenauklinikum","given":"B L","non-dropping-particle":"","parse-names":false,"suffix":""}],"container-title":"ICTRP","id":"ITEM-1","issued":{"date-parts":[["2020"]]},"title":"Hypernatremia in critically ill patients with Covid-19","type":"article-journal"},"uris":["http://www.mendeley.com/documents/?uuid=8bbcc252-3683-43b2-a07e-125adc453a7b"]}],"mendeley":{"formattedCitation":"[28]","plainTextFormattedCitation":"[28]","previouslyFormattedCitation":"(28)"},"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[28]</w:t>
      </w:r>
      <w:r w:rsidR="003D00D6" w:rsidRPr="0069649A">
        <w:rPr>
          <w:rFonts w:asciiTheme="majorHAnsi" w:hAnsiTheme="majorHAnsi"/>
        </w:rPr>
        <w:fldChar w:fldCharType="end"/>
      </w:r>
      <w:r w:rsidR="00372875" w:rsidRPr="0069649A">
        <w:rPr>
          <w:rFonts w:asciiTheme="majorHAnsi" w:hAnsiTheme="majorHAnsi"/>
        </w:rPr>
        <w:t xml:space="preserve">. </w:t>
      </w:r>
      <w:r w:rsidR="007D5156" w:rsidRPr="0069649A">
        <w:rPr>
          <w:rFonts w:asciiTheme="majorHAnsi" w:hAnsiTheme="majorHAnsi"/>
        </w:rPr>
        <w:t xml:space="preserve"> </w:t>
      </w:r>
      <w:r w:rsidR="00902145" w:rsidRPr="0069649A">
        <w:rPr>
          <w:rFonts w:asciiTheme="majorHAnsi" w:hAnsiTheme="majorHAnsi"/>
        </w:rPr>
        <w:t xml:space="preserve">Factors that have been thought to contribute to it include insensible losses from persistent pyrexia </w:t>
      </w:r>
      <w:r w:rsidR="00DF062D" w:rsidRPr="0069649A">
        <w:rPr>
          <w:rFonts w:asciiTheme="majorHAnsi" w:hAnsiTheme="majorHAnsi"/>
        </w:rPr>
        <w:t>and increased</w:t>
      </w:r>
      <w:r w:rsidR="00902145" w:rsidRPr="0069649A">
        <w:rPr>
          <w:rFonts w:asciiTheme="majorHAnsi" w:hAnsiTheme="majorHAnsi"/>
        </w:rPr>
        <w:t xml:space="preserve"> respiration </w:t>
      </w:r>
      <w:r w:rsidR="00DF062D" w:rsidRPr="0069649A">
        <w:rPr>
          <w:rFonts w:asciiTheme="majorHAnsi" w:hAnsiTheme="majorHAnsi"/>
        </w:rPr>
        <w:t>rate as</w:t>
      </w:r>
      <w:r w:rsidR="00902145" w:rsidRPr="0069649A">
        <w:rPr>
          <w:rFonts w:asciiTheme="majorHAnsi" w:hAnsiTheme="majorHAnsi"/>
        </w:rPr>
        <w:t xml:space="preserve"> well as  management strategies during that period when more conservative fluid regimes were adopted</w:t>
      </w:r>
      <w:sdt>
        <w:sdtPr>
          <w:rPr>
            <w:rFonts w:asciiTheme="majorHAnsi" w:hAnsiTheme="majorHAnsi"/>
          </w:rPr>
          <w:tag w:val="MENDELEY_CITATION_{&quot;properties&quot;:{&quot;noteIndex&quot;:0},&quot;manualOverride&quot;:{&quot;isManuallyOverriden&quot;:false,&quot;citeprocText&quot;:&quot;&quot;,&quot;manualOverrideText&quot;:&quot;&quot;},&quot;citationID&quot;:&quot;MENDELEY_CITATION_ec13cded-bd3f-49b5-a15e-5c7b1eab60fb&quot;,&quot;citationItems&quot;:[{&quot;id&quot;:&quot;0c6bf9b2-59e7-3f68-ad7c-ccd25757a8cc&quot;,&quot;itemData&quot;:{&quot;type&quot;:&quot;article&quot;,&quot;id&quot;:&quot;0c6bf9b2-59e7-3f68-ad7c-ccd25757a8cc&quot;,&quot;title&quot;:&quot;ENDOCRINOLOGY in the TIME of COVID-19: Management of diabetes insipidus and hyponatraemia&quot;,&quot;author&quot;:[{&quot;family&quot;:&quot;Christ-Crain&quot;,&quot;given&quot;:&quot;Mirjam&quot;,&quot;parse-names&quot;:false,&quot;dropping-particle&quot;:&quot;&quot;,&quot;non-dropping-particle&quot;:&quot;&quot;},{&quot;family&quot;:&quot;Hoorn&quot;,&quot;given&quot;:&quot;Ewout J.&quot;,&quot;parse-names&quot;:false,&quot;dropping-particle&quot;:&quot;&quot;,&quot;non-dropping-particle&quot;:&quot;&quot;},{&quot;family&quot;:&quot;Sherlock&quot;,&quot;given&quot;:&quot;Mark&quot;,&quot;parse-names&quot;:false,&quot;dropping-particle&quot;:&quot;&quot;,&quot;non-dropping-particle&quot;:&quot;&quot;},{&quot;family&quot;:&quot;Thompson&quot;,&quot;given&quot;:&quot;Chris J.&quot;,&quot;parse-names&quot;:false,&quot;dropping-particle&quot;:&quot;&quot;,&quot;non-dropping-particle&quot;:&quot;&quot;},{&quot;family&quot;:&quot;Wass&quot;,&quot;given&quot;:&quot;John A.H.&quot;,&quot;parse-names&quot;:false,&quot;dropping-particle&quot;:&quot;&quot;,&quot;non-dropping-particle&quot;:&quot;&quot;}],&quot;container-title&quot;:&quot;European Journal of Endocrinology&quot;,&quot;DOI&quot;:&quot;10.1530/EJE-20-0338&quot;,&quot;ISSN&quot;:&quot;1479683X&quot;,&quot;PMID&quot;:&quot;32380474&quot;,&quot;issued&quot;:{&quot;date-parts&quot;:[[2020,6,1]]},&quot;page&quot;:&quot;G9-G15&quot;,&quot;abstract&quot;:&quot;COVID-19 has changed the nature of medical consultations, emphasizing virtual patient counseling, with relevance for patients with diabetes insipidus (DI) or hyponatraemia. The main complication of desmopressin treatment in DI is dilutional hyponatraemia. Since plasma sodium monitoring is not always possible in times of COVID-19, we recommend to delay the desmopressin dose once a week until aquaresis occurs allowing excess retained water to be excreted. Patients should measure their body weight daily. Patients with DI admitted to the hospital with COVID-19 have a high risk for mortality due to volume depletion. Specialists must supervise fluid replacement and dosing of desmopressin. Patients after pituitary surgery should drink to thirst and measure their body weight daily to early recognize the development of the postoperative syndrome of inappropriate antidiuresis (SIAD). They should know hyponatraemia symptoms. The prevalence of hyponatraemia in patients with pneumonia due to COVID-19 is not yet known, but seems to be low. In contrast, hypernatraemia may develop in COVID-19 patients in ICU, from different multifactorial reasons, for example, due to insensible water losses from pyrexia, increased respiration rate and use of diuretics. Hypernatraemic dehydration may contribute to the high risk of acute kidney injury in COVID-19. IV fluid replacement should be administered with caution in severe cases of COVID-19 because of the risk of pulmonary oedema.&quot;,&quot;publisher&quot;:&quot;BioScientifica Ltd.&quot;,&quot;issue&quot;:&quot;1&quot;,&quot;volume&quot;:&quot;183&quot;},&quot;isTemporary&quot;:false}],&quot;isEdited&quot;:false}"/>
          <w:id w:val="826326333"/>
          <w:placeholder>
            <w:docPart w:val="DefaultPlaceholder_-1854013440"/>
          </w:placeholder>
        </w:sdtPr>
        <w:sdtEndPr/>
        <w:sdtContent>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{"citationItems":[{"id":"ITEM-1","itemData":{"DOI":"10.1530/EJE-20-0338","ISSN":"1479683X","PMID":"32380474","abstract":"COVID-19 has changed the nature of medical consultations, emphasizing virtual patient counseling, with relevance for patients with diabetes insipidus (DI) or hyponatraemia. The main complication of desmopressin treatment in DI is dilutional hyponatraemia. Since plasma sodium monitoring is not always possible in times of COVID-19, we recommend to delay the desmopressin dose once a week until aquaresis occurs allowing excess retained water to be excreted. Patients should measure their body weight daily. Patients with DI admitted to the hospital with COVID-19 have a high risk for mortality due to volume depletion. Specialists must supervise fluid replacement and dosing of desmopressin. Patients after pituitary surgery should drink to thirst and measure their body weight daily to early recognize the development of the postoperative syndrome of inappropriate antidiuresis (SIAD). They should know hyponatraemia symptoms. The prevalence of hyponatraemia in patients with pneumonia due to COVID-19 is not yet known, but seems to be low. In contrast, hypernatraemia may develop in COVID-19 patients in ICU, from different multifactorial reasons, for example, due to insensible water losses from pyrexia, increased respiration rate and use of diuretics. Hypernatraemic dehydration may contribute to the high risk of acute kidney injury in COVID-19. IV fluid replacement should be administered with caution in severe cases of COVID-19 because of the risk of pulmonary oedema.","author":[{"dropping-particle":"","family":"Christ-Crain","given":"Mirjam","non-dropping-particle":"","parse-names":false,"suffix":""},{"dropping-particle":"","family":"Hoorn","given":"Ewout J.","non-dropping-particle":"","parse-names":false,"suffix":""},{"dropping-particle":"","family":"Sherlock","given":"Mark","non-dropping-particle":"","parse-names":false,"suffix":""},{"dropping-particle":"","family":"Thompson","given":"Chris J.","non-dropping-particle":"","parse-names":false,"suffix":""},{"dropping-particle":"","family":"Wass","given":"John A.H.","non-dropping-particle":"","parse-names":false,"suffix":""}],"container-title":"European Journal of Endocrinology","id":"ITEM-1","issued":{"date-parts":[["2020"]]},"title":"ENDOCRINOLOGY in the TIME of COVID-19: Management of diabetes insipidus and hyponatraemia","type":"article"},"uris":["http://www.mendeley.com/documents/?uuid=f6d4506a-a5f9-47d7-80ed-cab0e8e884bd"]}],"mendeley":{"formattedCitation":"[29]","plainTextFormattedCitation":"[29]","previouslyFormattedCitation":"(29)"},"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[29]</w:t>
          </w:r>
          <w:r w:rsidR="003D00D6" w:rsidRPr="0069649A">
            <w:rPr>
              <w:rFonts w:asciiTheme="majorHAnsi" w:hAnsiTheme="majorHAnsi"/>
            </w:rPr>
            <w:fldChar w:fldCharType="end"/>
          </w:r>
          <w:r w:rsidR="00372875" w:rsidRPr="0069649A">
            <w:rPr>
              <w:rFonts w:asciiTheme="majorHAnsi" w:hAnsiTheme="majorHAnsi"/>
            </w:rPr>
            <w:t>.</w:t>
          </w:r>
          <w:r w:rsidR="00C9673D" w:rsidRPr="0069649A">
            <w:rPr>
              <w:rFonts w:asciiTheme="majorHAnsi" w:hAnsiTheme="majorHAnsi"/>
              <w:vertAlign w:val="superscript"/>
            </w:rPr>
            <w:t xml:space="preserve"> </w:t>
          </w:r>
        </w:sdtContent>
      </w:sdt>
      <w:r w:rsidR="00902145" w:rsidRPr="0069649A">
        <w:rPr>
          <w:rFonts w:asciiTheme="majorHAnsi" w:hAnsiTheme="majorHAnsi"/>
        </w:rPr>
        <w:t xml:space="preserve">  In frailer older pa</w:t>
      </w:r>
      <w:r w:rsidR="00C9673D" w:rsidRPr="0069649A">
        <w:rPr>
          <w:rFonts w:asciiTheme="majorHAnsi" w:hAnsiTheme="majorHAnsi"/>
        </w:rPr>
        <w:t>tie</w:t>
      </w:r>
      <w:r w:rsidR="00902145" w:rsidRPr="0069649A">
        <w:rPr>
          <w:rFonts w:asciiTheme="majorHAnsi" w:hAnsiTheme="majorHAnsi"/>
        </w:rPr>
        <w:t>nts with dementia and delirium p</w:t>
      </w:r>
      <w:r w:rsidR="009F2E90" w:rsidRPr="0069649A">
        <w:rPr>
          <w:rFonts w:asciiTheme="majorHAnsi" w:hAnsiTheme="majorHAnsi"/>
        </w:rPr>
        <w:t xml:space="preserve">reventing and managing </w:t>
      </w:r>
      <w:r w:rsidR="005201A6" w:rsidRPr="0069649A">
        <w:rPr>
          <w:rFonts w:asciiTheme="majorHAnsi" w:hAnsiTheme="majorHAnsi"/>
        </w:rPr>
        <w:t>hypernatremia</w:t>
      </w:r>
      <w:r w:rsidR="009F2E90" w:rsidRPr="0069649A">
        <w:rPr>
          <w:rFonts w:asciiTheme="majorHAnsi" w:hAnsiTheme="majorHAnsi"/>
        </w:rPr>
        <w:t xml:space="preserve"> can be particularly challenging</w:t>
      </w:r>
      <w:r w:rsidR="004A7A6F" w:rsidRPr="0069649A">
        <w:rPr>
          <w:rFonts w:asciiTheme="majorHAnsi" w:hAnsiTheme="majorHAnsi"/>
        </w:rPr>
        <w:t xml:space="preserve"> even in usual circumstances. Maintaining adequate oral nutrition and hydration requires skilled nursing and a patient centred approach </w:t>
      </w:r>
      <w:r w:rsidR="009034CE" w:rsidRPr="0069649A">
        <w:rPr>
          <w:rFonts w:asciiTheme="majorHAnsi" w:hAnsiTheme="majorHAnsi"/>
        </w:rPr>
        <w:t>requiring</w:t>
      </w:r>
      <w:r w:rsidR="004A7A6F" w:rsidRPr="0069649A">
        <w:rPr>
          <w:rFonts w:asciiTheme="majorHAnsi" w:hAnsiTheme="majorHAnsi"/>
        </w:rPr>
        <w:t xml:space="preserve"> time and patience. </w:t>
      </w:r>
      <w:r w:rsidR="00F50DE3" w:rsidRPr="0069649A">
        <w:rPr>
          <w:rFonts w:asciiTheme="majorHAnsi" w:hAnsiTheme="majorHAnsi"/>
        </w:rPr>
        <w:t xml:space="preserve">We found </w:t>
      </w:r>
      <w:r w:rsidR="00C006ED" w:rsidRPr="0069649A">
        <w:rPr>
          <w:rFonts w:asciiTheme="majorHAnsi" w:hAnsiTheme="majorHAnsi"/>
        </w:rPr>
        <w:t xml:space="preserve">that </w:t>
      </w:r>
      <w:r w:rsidR="00F50DE3" w:rsidRPr="0069649A">
        <w:rPr>
          <w:rFonts w:asciiTheme="majorHAnsi" w:hAnsiTheme="majorHAnsi"/>
        </w:rPr>
        <w:t>13.7 % of</w:t>
      </w:r>
      <w:r w:rsidR="00C666EE" w:rsidRPr="0069649A">
        <w:rPr>
          <w:rFonts w:asciiTheme="majorHAnsi" w:hAnsiTheme="majorHAnsi"/>
        </w:rPr>
        <w:t xml:space="preserve"> our</w:t>
      </w:r>
      <w:r w:rsidR="00F50DE3" w:rsidRPr="0069649A">
        <w:rPr>
          <w:rFonts w:asciiTheme="majorHAnsi" w:hAnsiTheme="majorHAnsi"/>
        </w:rPr>
        <w:t xml:space="preserve"> patients developed dysphagia </w:t>
      </w:r>
      <w:r w:rsidR="00C006ED" w:rsidRPr="0069649A">
        <w:rPr>
          <w:rFonts w:asciiTheme="majorHAnsi" w:hAnsiTheme="majorHAnsi"/>
        </w:rPr>
        <w:t>(</w:t>
      </w:r>
      <w:r w:rsidR="00F50DE3" w:rsidRPr="0069649A">
        <w:rPr>
          <w:rFonts w:asciiTheme="majorHAnsi" w:hAnsiTheme="majorHAnsi"/>
        </w:rPr>
        <w:t>not thought to be due to a new strok</w:t>
      </w:r>
      <w:r w:rsidR="00C006ED" w:rsidRPr="0069649A">
        <w:rPr>
          <w:rFonts w:asciiTheme="majorHAnsi" w:hAnsiTheme="majorHAnsi"/>
        </w:rPr>
        <w:t>e)</w:t>
      </w:r>
      <w:r w:rsidR="0045686A" w:rsidRPr="0069649A">
        <w:rPr>
          <w:rFonts w:asciiTheme="majorHAnsi" w:hAnsiTheme="majorHAnsi"/>
        </w:rPr>
        <w:t>. Dysphagi</w:t>
      </w:r>
      <w:r w:rsidR="00515F28" w:rsidRPr="0069649A">
        <w:rPr>
          <w:rFonts w:asciiTheme="majorHAnsi" w:hAnsiTheme="majorHAnsi"/>
        </w:rPr>
        <w:t>a can occur in patients with</w:t>
      </w:r>
      <w:r w:rsidR="00C006ED" w:rsidRPr="0069649A">
        <w:rPr>
          <w:rFonts w:asciiTheme="majorHAnsi" w:hAnsiTheme="majorHAnsi"/>
        </w:rPr>
        <w:t xml:space="preserve"> </w:t>
      </w:r>
      <w:r w:rsidR="00515F28" w:rsidRPr="0069649A">
        <w:rPr>
          <w:rFonts w:asciiTheme="majorHAnsi" w:hAnsiTheme="majorHAnsi"/>
        </w:rPr>
        <w:t>compromised respiratory function</w:t>
      </w:r>
      <w:r w:rsidR="002A227F" w:rsidRPr="0069649A">
        <w:rPr>
          <w:rFonts w:asciiTheme="majorHAnsi" w:hAnsiTheme="majorHAnsi"/>
        </w:rPr>
        <w:t xml:space="preserve">, </w:t>
      </w:r>
      <w:r w:rsidR="00515F28" w:rsidRPr="0069649A">
        <w:rPr>
          <w:rFonts w:asciiTheme="majorHAnsi" w:hAnsiTheme="majorHAnsi"/>
        </w:rPr>
        <w:t>due to incoordination between swallowing and respiration</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{"citationItems":[{"id":"ITEM-1","itemData":{"DOI":"10.1177/2473974x20934770","ISSN":"2473-974X","abstract":"The most common symptom of COVID-19 in critically ill patients is ARDS (acute respiratory distress syndrome), with many patients requiring invasive or noninvasive respiratory support in the intensive care unit. Oropharyngeal dysphagia may be a consequence of the respiratory-swallowing incoordination common in ARDS or may occur following the respiratory support interventions. In this commentary, we highlight the risk and complications of oropharyngeal dysphagia in patients with COVID-19 and urge medical and rehabilitation professionals to consider dysphagia a prognostic complication, provide appropriate referrals, and initiate early interventions as appropriate.","author":[{"dropping-particle":"","family":"Mohan","given":"Ranjini","non-dropping-particle":"","parse-names":false,"suffix":""},{"dropping-particle":"","family":"Mohapatra","given":"Bijoyaa","non-dropping-particle":"","parse-names":false,"suffix":""}],"container-title":"OTO Open","id":"ITEM-1","issued":{"date-parts":[["2020"]]},"title":"Shedding Light on Dysphagia Associated With COVID-19: The What and Why","type":"article-journal"},"uris":["http://www.mendeley.com/documents/?uuid=7ab85446-2fa2-441f-ae7d-3763410e0a57"]}],"mendeley":{"formattedCitation":"[30]","plainTextFormattedCitation":"[30]","previouslyFormattedCitation":"(30)"},"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[30]</w:t>
      </w:r>
      <w:r w:rsidR="003D00D6" w:rsidRPr="0069649A">
        <w:rPr>
          <w:rFonts w:asciiTheme="majorHAnsi" w:hAnsiTheme="majorHAnsi"/>
        </w:rPr>
        <w:fldChar w:fldCharType="end"/>
      </w:r>
      <w:r w:rsidR="00372875" w:rsidRPr="0069649A">
        <w:rPr>
          <w:rFonts w:asciiTheme="majorHAnsi" w:hAnsiTheme="majorHAnsi"/>
        </w:rPr>
        <w:t>.  General deconditioning and fatigue may further exacerbate dysphagia</w:t>
      </w:r>
      <w:r w:rsidR="00C006ED" w:rsidRPr="0069649A">
        <w:rPr>
          <w:rFonts w:asciiTheme="majorHAnsi" w:hAnsiTheme="majorHAnsi"/>
        </w:rPr>
        <w:t xml:space="preserve"> </w:t>
      </w:r>
      <w:r w:rsidR="00372875" w:rsidRPr="0069649A">
        <w:rPr>
          <w:rFonts w:asciiTheme="majorHAnsi" w:hAnsiTheme="majorHAnsi"/>
        </w:rPr>
        <w:t xml:space="preserve">together with </w:t>
      </w:r>
      <w:r w:rsidR="0045686A" w:rsidRPr="0069649A">
        <w:rPr>
          <w:rFonts w:asciiTheme="majorHAnsi" w:hAnsiTheme="majorHAnsi"/>
        </w:rPr>
        <w:t>pre-</w:t>
      </w:r>
      <w:r w:rsidR="00111B40" w:rsidRPr="0069649A">
        <w:rPr>
          <w:rFonts w:asciiTheme="majorHAnsi" w:hAnsiTheme="majorHAnsi"/>
        </w:rPr>
        <w:t>existing age</w:t>
      </w:r>
      <w:r w:rsidR="00512AFA" w:rsidRPr="0069649A">
        <w:rPr>
          <w:rFonts w:asciiTheme="majorHAnsi" w:hAnsiTheme="majorHAnsi"/>
        </w:rPr>
        <w:t>-</w:t>
      </w:r>
      <w:r w:rsidR="00111B40" w:rsidRPr="0069649A">
        <w:rPr>
          <w:rFonts w:asciiTheme="majorHAnsi" w:hAnsiTheme="majorHAnsi"/>
        </w:rPr>
        <w:t xml:space="preserve">related </w:t>
      </w:r>
      <w:r w:rsidR="00515F28" w:rsidRPr="0069649A">
        <w:rPr>
          <w:rFonts w:asciiTheme="majorHAnsi" w:hAnsiTheme="majorHAnsi"/>
        </w:rPr>
        <w:t xml:space="preserve">decline </w:t>
      </w:r>
      <w:r w:rsidR="00111B40" w:rsidRPr="0069649A">
        <w:rPr>
          <w:rFonts w:asciiTheme="majorHAnsi" w:hAnsiTheme="majorHAnsi"/>
        </w:rPr>
        <w:t>in swallowing</w:t>
      </w:r>
      <w:r w:rsidR="00F50DE3" w:rsidRPr="0069649A">
        <w:rPr>
          <w:rFonts w:asciiTheme="majorHAnsi" w:hAnsiTheme="majorHAnsi"/>
        </w:rPr>
        <w:t xml:space="preserve">. </w:t>
      </w:r>
      <w:r w:rsidR="00372875" w:rsidRPr="0069649A">
        <w:rPr>
          <w:rFonts w:asciiTheme="majorHAnsi" w:hAnsiTheme="majorHAnsi"/>
        </w:rPr>
        <w:t xml:space="preserve"> </w:t>
      </w:r>
      <w:r w:rsidR="002A227F" w:rsidRPr="0069649A">
        <w:rPr>
          <w:rFonts w:asciiTheme="majorHAnsi" w:hAnsiTheme="majorHAnsi"/>
        </w:rPr>
        <w:t>D</w:t>
      </w:r>
      <w:r w:rsidR="00515F28" w:rsidRPr="0069649A">
        <w:rPr>
          <w:rFonts w:asciiTheme="majorHAnsi" w:hAnsiTheme="majorHAnsi"/>
        </w:rPr>
        <w:t xml:space="preserve">ysphagia </w:t>
      </w:r>
      <w:r w:rsidR="001504DE" w:rsidRPr="0069649A">
        <w:rPr>
          <w:rFonts w:asciiTheme="majorHAnsi" w:hAnsiTheme="majorHAnsi"/>
        </w:rPr>
        <w:t>is likely to</w:t>
      </w:r>
      <w:r w:rsidR="00515F28" w:rsidRPr="0069649A">
        <w:rPr>
          <w:rFonts w:asciiTheme="majorHAnsi" w:hAnsiTheme="majorHAnsi"/>
        </w:rPr>
        <w:t xml:space="preserve"> further amplify</w:t>
      </w:r>
      <w:r w:rsidR="009034CE" w:rsidRPr="0069649A">
        <w:rPr>
          <w:rFonts w:asciiTheme="majorHAnsi" w:hAnsiTheme="majorHAnsi"/>
        </w:rPr>
        <w:t xml:space="preserve"> fluid and nutrition</w:t>
      </w:r>
      <w:r w:rsidR="00C666EE" w:rsidRPr="0069649A">
        <w:rPr>
          <w:rFonts w:asciiTheme="majorHAnsi" w:hAnsiTheme="majorHAnsi"/>
        </w:rPr>
        <w:t>a</w:t>
      </w:r>
      <w:r w:rsidR="009034CE" w:rsidRPr="0069649A">
        <w:rPr>
          <w:rFonts w:asciiTheme="majorHAnsi" w:hAnsiTheme="majorHAnsi"/>
        </w:rPr>
        <w:t>l deficiencies.</w:t>
      </w:r>
      <w:r w:rsidR="00C666EE" w:rsidRPr="0069649A" w:rsidDel="00C666EE">
        <w:rPr>
          <w:rFonts w:asciiTheme="majorHAnsi" w:hAnsiTheme="majorHAnsi"/>
        </w:rPr>
        <w:t xml:space="preserve"> </w:t>
      </w:r>
    </w:p>
    <w:p w14:paraId="6E2466B9" w14:textId="244B7360" w:rsidR="00FF63C4" w:rsidRPr="0069649A" w:rsidRDefault="004A7A6F" w:rsidP="00C006ED">
      <w:pPr>
        <w:spacing w:line="480" w:lineRule="auto"/>
        <w:jc w:val="both"/>
        <w:rPr>
          <w:rFonts w:asciiTheme="majorHAnsi" w:hAnsiTheme="majorHAnsi"/>
        </w:rPr>
      </w:pPr>
      <w:r w:rsidRPr="0069649A">
        <w:rPr>
          <w:rFonts w:asciiTheme="majorHAnsi" w:hAnsiTheme="majorHAnsi"/>
        </w:rPr>
        <w:t>T</w:t>
      </w:r>
      <w:r w:rsidR="00FF63C4" w:rsidRPr="0069649A">
        <w:rPr>
          <w:rFonts w:asciiTheme="majorHAnsi" w:hAnsiTheme="majorHAnsi"/>
        </w:rPr>
        <w:t xml:space="preserve">he pandemic and restrictions on visiting have been </w:t>
      </w:r>
      <w:r w:rsidR="00266DBD" w:rsidRPr="0069649A">
        <w:rPr>
          <w:rFonts w:asciiTheme="majorHAnsi" w:hAnsiTheme="majorHAnsi"/>
        </w:rPr>
        <w:t>disproportionately</w:t>
      </w:r>
      <w:r w:rsidR="00FF63C4" w:rsidRPr="0069649A">
        <w:rPr>
          <w:rFonts w:asciiTheme="majorHAnsi" w:hAnsiTheme="majorHAnsi"/>
        </w:rPr>
        <w:t xml:space="preserve"> detrimental to cognitively impaired patients, </w:t>
      </w:r>
      <w:r w:rsidR="00266DBD" w:rsidRPr="0069649A">
        <w:rPr>
          <w:rFonts w:asciiTheme="majorHAnsi" w:hAnsiTheme="majorHAnsi"/>
        </w:rPr>
        <w:t xml:space="preserve">who are </w:t>
      </w:r>
      <w:r w:rsidR="00FF63C4" w:rsidRPr="0069649A">
        <w:rPr>
          <w:rFonts w:asciiTheme="majorHAnsi" w:hAnsiTheme="majorHAnsi"/>
        </w:rPr>
        <w:t>often more receptive to offers of oral nutrition</w:t>
      </w:r>
      <w:r w:rsidRPr="0069649A">
        <w:rPr>
          <w:rFonts w:asciiTheme="majorHAnsi" w:hAnsiTheme="majorHAnsi"/>
        </w:rPr>
        <w:t xml:space="preserve"> and fluid</w:t>
      </w:r>
      <w:r w:rsidR="00FF63C4" w:rsidRPr="0069649A">
        <w:rPr>
          <w:rFonts w:asciiTheme="majorHAnsi" w:hAnsiTheme="majorHAnsi"/>
        </w:rPr>
        <w:t xml:space="preserve"> from family members or familiar caregivers. Personal Protective Equipment poses an additional challenge in nursing this cohort of patients, as </w:t>
      </w:r>
      <w:r w:rsidR="00266DBD" w:rsidRPr="0069649A">
        <w:rPr>
          <w:rFonts w:asciiTheme="majorHAnsi" w:hAnsiTheme="majorHAnsi"/>
        </w:rPr>
        <w:t>the unfamiliarity can seem</w:t>
      </w:r>
      <w:r w:rsidR="00FF63C4" w:rsidRPr="0069649A">
        <w:rPr>
          <w:rFonts w:asciiTheme="majorHAnsi" w:hAnsiTheme="majorHAnsi"/>
        </w:rPr>
        <w:t xml:space="preserve"> alarming and frightening. Language barriers and lack of access to translation services during the pandemic represent further obstacles to communication in the context of different ethnic backgrounds.  All of these factors </w:t>
      </w:r>
      <w:r w:rsidR="00DF062D" w:rsidRPr="0069649A">
        <w:rPr>
          <w:rFonts w:asciiTheme="majorHAnsi" w:hAnsiTheme="majorHAnsi"/>
        </w:rPr>
        <w:t>are likely</w:t>
      </w:r>
      <w:r w:rsidR="002A227F" w:rsidRPr="0069649A">
        <w:rPr>
          <w:rFonts w:asciiTheme="majorHAnsi" w:hAnsiTheme="majorHAnsi"/>
        </w:rPr>
        <w:t xml:space="preserve"> to</w:t>
      </w:r>
      <w:r w:rsidR="00FF63C4" w:rsidRPr="0069649A">
        <w:rPr>
          <w:rFonts w:asciiTheme="majorHAnsi" w:hAnsiTheme="majorHAnsi"/>
        </w:rPr>
        <w:t xml:space="preserve"> </w:t>
      </w:r>
      <w:r w:rsidR="00266DBD" w:rsidRPr="0069649A">
        <w:rPr>
          <w:rFonts w:asciiTheme="majorHAnsi" w:hAnsiTheme="majorHAnsi"/>
        </w:rPr>
        <w:t>compound the difficulties of</w:t>
      </w:r>
      <w:r w:rsidR="00FF63C4" w:rsidRPr="0069649A">
        <w:rPr>
          <w:rFonts w:asciiTheme="majorHAnsi" w:hAnsiTheme="majorHAnsi"/>
        </w:rPr>
        <w:t xml:space="preserve"> maintaining oral hydration and nutrition</w:t>
      </w:r>
      <w:r w:rsidRPr="0069649A">
        <w:rPr>
          <w:rFonts w:asciiTheme="majorHAnsi" w:hAnsiTheme="majorHAnsi"/>
        </w:rPr>
        <w:t>,</w:t>
      </w:r>
      <w:r w:rsidR="009034CE" w:rsidRPr="0069649A">
        <w:rPr>
          <w:rFonts w:asciiTheme="majorHAnsi" w:hAnsiTheme="majorHAnsi"/>
        </w:rPr>
        <w:t xml:space="preserve"> as well as worsening or perpetuating delirium and</w:t>
      </w:r>
      <w:r w:rsidR="001D2C44" w:rsidRPr="0069649A">
        <w:rPr>
          <w:rFonts w:asciiTheme="majorHAnsi" w:hAnsiTheme="majorHAnsi"/>
        </w:rPr>
        <w:t xml:space="preserve"> associated</w:t>
      </w:r>
      <w:r w:rsidR="009034CE" w:rsidRPr="0069649A">
        <w:rPr>
          <w:rFonts w:asciiTheme="majorHAnsi" w:hAnsiTheme="majorHAnsi"/>
        </w:rPr>
        <w:t xml:space="preserve"> challenging behaviour.</w:t>
      </w:r>
    </w:p>
    <w:p w14:paraId="2D46B08E" w14:textId="77777777" w:rsidR="00093080" w:rsidRPr="0069649A" w:rsidRDefault="00093080" w:rsidP="00FE1537">
      <w:pPr>
        <w:spacing w:line="480" w:lineRule="auto"/>
        <w:jc w:val="both"/>
        <w:rPr>
          <w:rFonts w:asciiTheme="majorHAnsi" w:hAnsiTheme="majorHAnsi"/>
        </w:rPr>
      </w:pPr>
    </w:p>
    <w:p w14:paraId="2B8C6960" w14:textId="3FB598EF" w:rsidR="0040095A" w:rsidRPr="0069649A" w:rsidRDefault="00857EDF" w:rsidP="00FE1537">
      <w:pPr>
        <w:spacing w:line="480" w:lineRule="auto"/>
        <w:jc w:val="both"/>
        <w:rPr>
          <w:rFonts w:asciiTheme="majorHAnsi" w:hAnsiTheme="majorHAnsi"/>
          <w:b/>
        </w:rPr>
      </w:pPr>
      <w:r w:rsidRPr="0069649A">
        <w:rPr>
          <w:rFonts w:asciiTheme="majorHAnsi" w:hAnsiTheme="majorHAnsi"/>
        </w:rPr>
        <w:t>Our data demonstrated that the majority of patients were admitted from their own homes or sheltered accommodation, but nearly half of them were reported as not having any formal</w:t>
      </w:r>
      <w:r w:rsidR="00AF17EA" w:rsidRPr="0069649A">
        <w:rPr>
          <w:rFonts w:asciiTheme="majorHAnsi" w:hAnsiTheme="majorHAnsi"/>
        </w:rPr>
        <w:t xml:space="preserve"> carers</w:t>
      </w:r>
      <w:r w:rsidR="00C006ED" w:rsidRPr="0069649A">
        <w:rPr>
          <w:rFonts w:asciiTheme="majorHAnsi" w:hAnsiTheme="majorHAnsi"/>
        </w:rPr>
        <w:t xml:space="preserve">.  </w:t>
      </w:r>
      <w:r w:rsidRPr="0069649A">
        <w:rPr>
          <w:rFonts w:asciiTheme="majorHAnsi" w:hAnsiTheme="majorHAnsi"/>
        </w:rPr>
        <w:t xml:space="preserve">However, </w:t>
      </w:r>
      <w:r w:rsidR="0040095A" w:rsidRPr="0069649A">
        <w:rPr>
          <w:rFonts w:asciiTheme="majorHAnsi" w:hAnsiTheme="majorHAnsi"/>
        </w:rPr>
        <w:t>anecdotally</w:t>
      </w:r>
      <w:r w:rsidRPr="0069649A">
        <w:rPr>
          <w:rFonts w:asciiTheme="majorHAnsi" w:hAnsiTheme="majorHAnsi"/>
        </w:rPr>
        <w:t xml:space="preserve"> we are aware that much care </w:t>
      </w:r>
      <w:r w:rsidR="0040095A" w:rsidRPr="0069649A">
        <w:rPr>
          <w:rFonts w:asciiTheme="majorHAnsi" w:hAnsiTheme="majorHAnsi"/>
        </w:rPr>
        <w:t xml:space="preserve">for older persons in our hospital catchment area </w:t>
      </w:r>
      <w:r w:rsidRPr="0069649A">
        <w:rPr>
          <w:rFonts w:asciiTheme="majorHAnsi" w:hAnsiTheme="majorHAnsi"/>
        </w:rPr>
        <w:t>is provided by family members and may result in the underrepresentation of the true level of care needs.</w:t>
      </w:r>
      <w:r w:rsidR="0040095A" w:rsidRPr="0069649A">
        <w:rPr>
          <w:rFonts w:asciiTheme="majorHAnsi" w:hAnsiTheme="majorHAnsi"/>
          <w:b/>
        </w:rPr>
        <w:t xml:space="preserve"> </w:t>
      </w:r>
    </w:p>
    <w:p w14:paraId="44A1818D" w14:textId="77777777" w:rsidR="0040095A" w:rsidRPr="0069649A" w:rsidRDefault="0040095A" w:rsidP="00FE1537">
      <w:pPr>
        <w:spacing w:line="480" w:lineRule="auto"/>
        <w:jc w:val="both"/>
        <w:rPr>
          <w:rFonts w:asciiTheme="majorHAnsi" w:hAnsiTheme="majorHAnsi"/>
        </w:rPr>
      </w:pPr>
    </w:p>
    <w:p w14:paraId="611C44CF" w14:textId="3C0EC321" w:rsidR="00857EDF" w:rsidRPr="0069649A" w:rsidRDefault="00512AFA" w:rsidP="00FE1537">
      <w:pPr>
        <w:spacing w:line="480" w:lineRule="auto"/>
        <w:jc w:val="both"/>
        <w:rPr>
          <w:rFonts w:asciiTheme="majorHAnsi" w:hAnsiTheme="majorHAnsi"/>
        </w:rPr>
      </w:pPr>
      <w:r w:rsidRPr="0069649A">
        <w:rPr>
          <w:rFonts w:asciiTheme="majorHAnsi" w:hAnsiTheme="majorHAnsi"/>
        </w:rPr>
        <w:t xml:space="preserve">Five </w:t>
      </w:r>
      <w:r w:rsidR="00857EDF" w:rsidRPr="0069649A">
        <w:rPr>
          <w:rFonts w:asciiTheme="majorHAnsi" w:hAnsiTheme="majorHAnsi"/>
        </w:rPr>
        <w:t>of our patients came from psychiatric facilities.  8.1% of all our patients had a diagnosis of schizophrenia and 4.8% had a confirmed learning disability. This is a particularly vulnerable subgroup of patients as they present due</w:t>
      </w:r>
      <w:r w:rsidR="00111B40" w:rsidRPr="0069649A">
        <w:rPr>
          <w:rFonts w:asciiTheme="majorHAnsi" w:hAnsiTheme="majorHAnsi"/>
        </w:rPr>
        <w:t xml:space="preserve"> to</w:t>
      </w:r>
      <w:r w:rsidR="00857EDF" w:rsidRPr="0069649A">
        <w:rPr>
          <w:rFonts w:asciiTheme="majorHAnsi" w:hAnsiTheme="majorHAnsi"/>
        </w:rPr>
        <w:t xml:space="preserve"> difficulties in communicating their symptoms, maintaining physical distancing and hand hygien</w:t>
      </w:r>
      <w:r w:rsidR="003D00D6" w:rsidRPr="0069649A">
        <w:rPr>
          <w:rFonts w:asciiTheme="majorHAnsi" w:hAnsiTheme="majorHAnsi"/>
        </w:rPr>
        <w:t>e</w:t>
      </w:r>
      <w:r w:rsidR="00372875" w:rsidRPr="0069649A">
        <w:rPr>
          <w:rFonts w:asciiTheme="majorHAnsi" w:hAnsiTheme="majorHAnsi"/>
        </w:rPr>
        <w:t xml:space="preserve"> </w:t>
      </w:r>
      <w:r w:rsidR="003D00D6" w:rsidRPr="0069649A">
        <w:rPr>
          <w:rFonts w:asciiTheme="majorHAnsi" w:hAnsiTheme="majorHAnsi"/>
        </w:rPr>
        <w:fldChar w:fldCharType="begin" w:fldLock="1"/>
      </w:r>
      <w:r w:rsidR="00982414" w:rsidRPr="0069649A">
        <w:rPr>
          <w:rFonts w:asciiTheme="majorHAnsi" w:hAnsiTheme="majorHAnsi"/>
        </w:rPr>
        <w:instrText>ADDIN CSL_CITATION {"citationItems":[{"id":"ITEM-1","itemData":{"DOI":"10.1016/S2215-0366(20)30198-X","ISSN":"22150374","PMID":"32407671","author":[{"dropping-particle":"","family":"Benson","given":"Nicole M.","non-dropping-particle":"","parse-names":false,"suffix":""},{"dropping-particle":"","family":"Öngür","given":"Dost","non-dropping-particle":"","parse-names":false,"suffix":""},{"dropping-particle":"","family":"Hsu","given":"John","non-dropping-particle":"","parse-names":false,"suffix":""}],"container-title":"The Lancet Psychiatry","id":"ITEM-1","issued":{"date-parts":[["2020"]]},"title":"COVID-19 testing and patients in mental health facilities","type":"article"},"uris":["http://www.mendeley.com/documents/?uuid=8dfcddaf-17f1-40bd-9b02-5e9be494973b"]},{"id":"ITEM-2","itemData":{"DOI":"10.1007/s12264-020-00476-9","ISSN":"19958218","PMID":"32096116","author":[{"dropping-particle":"","family":"Zhu","given":"Yuncheng","non-dropping-particle":"","parse-names":false,"suffix":""},{"dropping-particle":"","family":"Chen","given":"Liangliang","non-dropping-particle":"","parse-names":false,"suffix":""},{"dropping-particle":"","family":"Ji","given":"Haifeng","non-dropping-particle":"","parse-names":false,"suffix":""},{"dropping-particle":"","family":"Xi","given":"Maomao","non-dropping-particle":"","parse-names":false,"suffix":""},{"dropping-particle":"","family":"Fang","given":"Yiru","non-dropping-particle":"","parse-names":false,"suffix":""},{"dropping-particle":"","family":"Li","given":"Yi","non-dropping-particle":"","parse-names":false,"suffix":""}],"container-title":"Neuroscience Bulletin","id":"ITEM-2","issued":{"date-parts":[["2020"]]},"title":"The Risk and Prevention of Novel Coronavirus Pneumonia Infections Among Inpatients in Psychiatric Hospitals","type":"article"},"uris":["http://www.mendeley.com/documents/?uuid=1aa4f9bb-0f08-4351-8cdd-6b4a74f0a143"]}],"mendeley":{"formattedCitation":"[31, 32]","plainTextFormattedCitation":"[31, 32]","previouslyFormattedCitation":"(31,32)"},"properties":{"noteIndex":0},"schema":"https://github.com/citation-style-language/schema/raw/master/csl-citation.json"}</w:instrText>
      </w:r>
      <w:r w:rsidR="003D00D6" w:rsidRPr="0069649A">
        <w:rPr>
          <w:rFonts w:asciiTheme="majorHAnsi" w:hAnsiTheme="majorHAnsi"/>
        </w:rPr>
        <w:fldChar w:fldCharType="separate"/>
      </w:r>
      <w:r w:rsidR="00982414" w:rsidRPr="0069649A">
        <w:rPr>
          <w:rFonts w:asciiTheme="majorHAnsi" w:hAnsiTheme="majorHAnsi"/>
          <w:noProof/>
        </w:rPr>
        <w:t>[31, 32]</w:t>
      </w:r>
      <w:r w:rsidR="003D00D6" w:rsidRPr="0069649A">
        <w:rPr>
          <w:rFonts w:asciiTheme="majorHAnsi" w:hAnsiTheme="majorHAnsi"/>
        </w:rPr>
        <w:fldChar w:fldCharType="end"/>
      </w:r>
      <w:r w:rsidR="00372875" w:rsidRPr="0069649A">
        <w:rPr>
          <w:rFonts w:asciiTheme="majorHAnsi" w:hAnsiTheme="majorHAnsi"/>
        </w:rPr>
        <w:t>.</w:t>
      </w:r>
      <w:r w:rsidR="007C3936" w:rsidRPr="0069649A">
        <w:rPr>
          <w:rFonts w:asciiTheme="majorHAnsi" w:hAnsiTheme="majorHAnsi"/>
        </w:rPr>
        <w:t xml:space="preserve"> </w:t>
      </w:r>
      <w:r w:rsidR="00857EDF" w:rsidRPr="0069649A">
        <w:rPr>
          <w:rFonts w:asciiTheme="majorHAnsi" w:hAnsiTheme="majorHAnsi"/>
        </w:rPr>
        <w:t xml:space="preserve">This is also </w:t>
      </w:r>
      <w:r w:rsidR="00111B40" w:rsidRPr="0069649A">
        <w:rPr>
          <w:rFonts w:asciiTheme="majorHAnsi" w:hAnsiTheme="majorHAnsi"/>
        </w:rPr>
        <w:t>the case</w:t>
      </w:r>
      <w:r w:rsidR="00857EDF" w:rsidRPr="0069649A">
        <w:rPr>
          <w:rFonts w:asciiTheme="majorHAnsi" w:hAnsiTheme="majorHAnsi"/>
        </w:rPr>
        <w:t xml:space="preserve"> in patients with dementia, particularly those that acquired </w:t>
      </w:r>
      <w:r w:rsidR="00797DAA" w:rsidRPr="0069649A">
        <w:rPr>
          <w:rFonts w:ascii="Calibri" w:hAnsi="Calibri" w:cs="Arial"/>
          <w:shd w:val="clear" w:color="auto" w:fill="FFFFFF"/>
        </w:rPr>
        <w:t>SARS-CoV-2</w:t>
      </w:r>
      <w:r w:rsidR="00797DAA" w:rsidRPr="0069649A">
        <w:rPr>
          <w:rFonts w:asciiTheme="majorHAnsi" w:hAnsiTheme="majorHAnsi"/>
        </w:rPr>
        <w:t xml:space="preserve"> </w:t>
      </w:r>
      <w:r w:rsidR="00857EDF" w:rsidRPr="0069649A">
        <w:rPr>
          <w:rFonts w:asciiTheme="majorHAnsi" w:hAnsiTheme="majorHAnsi"/>
        </w:rPr>
        <w:t>infection nosocomially</w:t>
      </w:r>
      <w:r w:rsidR="004F7F14" w:rsidRPr="0069649A">
        <w:rPr>
          <w:rFonts w:asciiTheme="majorHAnsi" w:hAnsiTheme="majorHAnsi"/>
        </w:rPr>
        <w:t>.</w:t>
      </w:r>
    </w:p>
    <w:p w14:paraId="32777600" w14:textId="25789429" w:rsidR="00857EDF" w:rsidRPr="0069649A" w:rsidRDefault="00857EDF" w:rsidP="00FE1537">
      <w:pPr>
        <w:spacing w:line="480" w:lineRule="auto"/>
        <w:jc w:val="both"/>
        <w:rPr>
          <w:rFonts w:asciiTheme="majorHAnsi" w:hAnsiTheme="majorHAnsi"/>
          <w:b/>
        </w:rPr>
      </w:pPr>
    </w:p>
    <w:p w14:paraId="27441826" w14:textId="7C642FA3" w:rsidR="00792FEF" w:rsidRPr="0069649A" w:rsidRDefault="00792FEF" w:rsidP="00792FEF">
      <w:pPr>
        <w:spacing w:line="480" w:lineRule="auto"/>
        <w:jc w:val="both"/>
        <w:rPr>
          <w:rFonts w:asciiTheme="majorHAnsi" w:hAnsiTheme="majorHAnsi"/>
        </w:rPr>
      </w:pPr>
      <w:r w:rsidRPr="0069649A">
        <w:rPr>
          <w:rFonts w:asciiTheme="majorHAnsi" w:hAnsiTheme="majorHAnsi"/>
        </w:rPr>
        <w:t xml:space="preserve">The comparison of PCR-positive </w:t>
      </w:r>
      <w:r w:rsidR="0040095A" w:rsidRPr="0069649A">
        <w:rPr>
          <w:rFonts w:asciiTheme="majorHAnsi" w:hAnsiTheme="majorHAnsi"/>
        </w:rPr>
        <w:t xml:space="preserve">against those </w:t>
      </w:r>
      <w:r w:rsidR="000A3DA5" w:rsidRPr="0069649A">
        <w:rPr>
          <w:rFonts w:asciiTheme="majorHAnsi" w:hAnsiTheme="majorHAnsi"/>
        </w:rPr>
        <w:t>who were</w:t>
      </w:r>
      <w:r w:rsidR="0040095A" w:rsidRPr="0069649A">
        <w:rPr>
          <w:rFonts w:asciiTheme="majorHAnsi" w:hAnsiTheme="majorHAnsi"/>
        </w:rPr>
        <w:t xml:space="preserve"> PCR-negative </w:t>
      </w:r>
      <w:r w:rsidR="000A3DA5" w:rsidRPr="0069649A">
        <w:rPr>
          <w:rFonts w:asciiTheme="majorHAnsi" w:hAnsiTheme="majorHAnsi"/>
        </w:rPr>
        <w:t xml:space="preserve">but had a high clinical suspicion for COVID-19 </w:t>
      </w:r>
      <w:r w:rsidR="00C006ED" w:rsidRPr="0069649A">
        <w:rPr>
          <w:rFonts w:asciiTheme="majorHAnsi" w:hAnsiTheme="majorHAnsi"/>
        </w:rPr>
        <w:t>disease</w:t>
      </w:r>
      <w:r w:rsidRPr="0069649A">
        <w:rPr>
          <w:rFonts w:asciiTheme="majorHAnsi" w:hAnsiTheme="majorHAnsi"/>
        </w:rPr>
        <w:t xml:space="preserve"> </w:t>
      </w:r>
      <w:r w:rsidR="00C006ED" w:rsidRPr="0069649A">
        <w:rPr>
          <w:rFonts w:asciiTheme="majorHAnsi" w:hAnsiTheme="majorHAnsi"/>
        </w:rPr>
        <w:t>found that</w:t>
      </w:r>
      <w:r w:rsidR="0040095A" w:rsidRPr="0069649A">
        <w:rPr>
          <w:rFonts w:asciiTheme="majorHAnsi" w:hAnsiTheme="majorHAnsi"/>
        </w:rPr>
        <w:t xml:space="preserve"> the former group </w:t>
      </w:r>
      <w:r w:rsidRPr="0069649A">
        <w:rPr>
          <w:rFonts w:asciiTheme="majorHAnsi" w:hAnsiTheme="majorHAnsi"/>
        </w:rPr>
        <w:t>were significantly younger</w:t>
      </w:r>
      <w:r w:rsidR="0040095A" w:rsidRPr="0069649A">
        <w:rPr>
          <w:rFonts w:asciiTheme="majorHAnsi" w:hAnsiTheme="majorHAnsi"/>
        </w:rPr>
        <w:t>. The only other</w:t>
      </w:r>
      <w:r w:rsidRPr="0069649A">
        <w:rPr>
          <w:rFonts w:asciiTheme="majorHAnsi" w:hAnsiTheme="majorHAnsi"/>
        </w:rPr>
        <w:t xml:space="preserve"> relevant difference was </w:t>
      </w:r>
      <w:r w:rsidR="0040095A" w:rsidRPr="0069649A">
        <w:rPr>
          <w:rFonts w:asciiTheme="majorHAnsi" w:hAnsiTheme="majorHAnsi"/>
        </w:rPr>
        <w:t>a higher prevalence of reported</w:t>
      </w:r>
      <w:r w:rsidRPr="0069649A">
        <w:rPr>
          <w:rFonts w:asciiTheme="majorHAnsi" w:hAnsiTheme="majorHAnsi"/>
        </w:rPr>
        <w:t xml:space="preserve"> fatigue and hypernatremia in the PCR-positive group. </w:t>
      </w:r>
      <w:r w:rsidR="00A73C0F" w:rsidRPr="0069649A">
        <w:rPr>
          <w:rFonts w:asciiTheme="majorHAnsi" w:hAnsiTheme="majorHAnsi"/>
        </w:rPr>
        <w:t xml:space="preserve">Of note, the mortality rates for these two subgroups were similar. </w:t>
      </w:r>
      <w:r w:rsidRPr="0069649A">
        <w:rPr>
          <w:rFonts w:asciiTheme="majorHAnsi" w:hAnsiTheme="majorHAnsi"/>
        </w:rPr>
        <w:t>These results should be interpreted with caution due to the small sample size of the swab-negative / high clinical suspicion group.  Moreover, there are pr</w:t>
      </w:r>
      <w:r w:rsidR="00986C90" w:rsidRPr="0069649A">
        <w:rPr>
          <w:rFonts w:asciiTheme="majorHAnsi" w:hAnsiTheme="majorHAnsi"/>
        </w:rPr>
        <w:t>actical</w:t>
      </w:r>
      <w:r w:rsidRPr="0069649A">
        <w:rPr>
          <w:rFonts w:asciiTheme="majorHAnsi" w:hAnsiTheme="majorHAnsi"/>
        </w:rPr>
        <w:t xml:space="preserve"> </w:t>
      </w:r>
      <w:r w:rsidR="009034CE" w:rsidRPr="0069649A">
        <w:rPr>
          <w:rFonts w:asciiTheme="majorHAnsi" w:hAnsiTheme="majorHAnsi"/>
        </w:rPr>
        <w:t>issues</w:t>
      </w:r>
      <w:r w:rsidRPr="0069649A">
        <w:rPr>
          <w:rFonts w:asciiTheme="majorHAnsi" w:hAnsiTheme="majorHAnsi"/>
        </w:rPr>
        <w:t xml:space="preserve"> associated with acquiring swabs in older, frailer and confused patients</w:t>
      </w:r>
      <w:r w:rsidR="00986C90" w:rsidRPr="0069649A">
        <w:rPr>
          <w:rFonts w:asciiTheme="majorHAnsi" w:hAnsiTheme="majorHAnsi"/>
        </w:rPr>
        <w:t xml:space="preserve"> </w:t>
      </w:r>
      <w:r w:rsidR="003E1841" w:rsidRPr="0069649A">
        <w:rPr>
          <w:rFonts w:asciiTheme="majorHAnsi" w:hAnsiTheme="majorHAnsi"/>
        </w:rPr>
        <w:t>who may</w:t>
      </w:r>
      <w:r w:rsidR="004A7A6F" w:rsidRPr="0069649A">
        <w:rPr>
          <w:rFonts w:asciiTheme="majorHAnsi" w:hAnsiTheme="majorHAnsi"/>
        </w:rPr>
        <w:t xml:space="preserve"> be agitated and</w:t>
      </w:r>
      <w:r w:rsidR="00986C90" w:rsidRPr="0069649A">
        <w:rPr>
          <w:rFonts w:asciiTheme="majorHAnsi" w:hAnsiTheme="majorHAnsi"/>
        </w:rPr>
        <w:t xml:space="preserve"> or have challenging behaviour</w:t>
      </w:r>
      <w:r w:rsidR="00C006ED" w:rsidRPr="0069649A">
        <w:rPr>
          <w:rFonts w:asciiTheme="majorHAnsi" w:hAnsiTheme="majorHAnsi"/>
        </w:rPr>
        <w:t>, thus</w:t>
      </w:r>
      <w:r w:rsidR="00986C90" w:rsidRPr="0069649A">
        <w:rPr>
          <w:rFonts w:asciiTheme="majorHAnsi" w:hAnsiTheme="majorHAnsi"/>
        </w:rPr>
        <w:t xml:space="preserve"> </w:t>
      </w:r>
      <w:r w:rsidR="00C006ED" w:rsidRPr="0069649A">
        <w:rPr>
          <w:rFonts w:asciiTheme="majorHAnsi" w:hAnsiTheme="majorHAnsi"/>
        </w:rPr>
        <w:t>limiting</w:t>
      </w:r>
      <w:r w:rsidR="00266DBD" w:rsidRPr="0069649A">
        <w:rPr>
          <w:rFonts w:asciiTheme="majorHAnsi" w:hAnsiTheme="majorHAnsi"/>
        </w:rPr>
        <w:t xml:space="preserve"> appropriate sampling</w:t>
      </w:r>
      <w:r w:rsidR="009034CE" w:rsidRPr="0069649A">
        <w:rPr>
          <w:rFonts w:asciiTheme="majorHAnsi" w:hAnsiTheme="majorHAnsi"/>
        </w:rPr>
        <w:t xml:space="preserve">. </w:t>
      </w:r>
      <w:r w:rsidR="00C006ED" w:rsidRPr="0069649A">
        <w:rPr>
          <w:rFonts w:asciiTheme="majorHAnsi" w:hAnsiTheme="majorHAnsi"/>
        </w:rPr>
        <w:t xml:space="preserve"> </w:t>
      </w:r>
      <w:r w:rsidR="009034CE" w:rsidRPr="0069649A">
        <w:rPr>
          <w:rFonts w:asciiTheme="majorHAnsi" w:hAnsiTheme="majorHAnsi"/>
        </w:rPr>
        <w:t xml:space="preserve">The </w:t>
      </w:r>
      <w:r w:rsidR="00266DBD" w:rsidRPr="0069649A">
        <w:rPr>
          <w:rFonts w:asciiTheme="majorHAnsi" w:hAnsiTheme="majorHAnsi"/>
        </w:rPr>
        <w:t>unfamiliarity of</w:t>
      </w:r>
      <w:r w:rsidR="009034CE" w:rsidRPr="0069649A">
        <w:rPr>
          <w:rFonts w:asciiTheme="majorHAnsi" w:hAnsiTheme="majorHAnsi"/>
        </w:rPr>
        <w:t xml:space="preserve"> PPE and lack of familiar caregivers also play a role here too</w:t>
      </w:r>
      <w:r w:rsidR="00266DBD" w:rsidRPr="0069649A">
        <w:rPr>
          <w:rFonts w:asciiTheme="majorHAnsi" w:hAnsiTheme="majorHAnsi"/>
        </w:rPr>
        <w:t xml:space="preserve"> as barriers to cooperation for an intrusive test</w:t>
      </w:r>
      <w:r w:rsidR="009034CE" w:rsidRPr="0069649A">
        <w:rPr>
          <w:rFonts w:asciiTheme="majorHAnsi" w:hAnsiTheme="majorHAnsi"/>
        </w:rPr>
        <w:t>.</w:t>
      </w:r>
      <w:r w:rsidR="004A7A6F" w:rsidRPr="0069649A">
        <w:rPr>
          <w:rFonts w:asciiTheme="majorHAnsi" w:hAnsiTheme="majorHAnsi"/>
        </w:rPr>
        <w:t xml:space="preserve"> </w:t>
      </w:r>
      <w:r w:rsidR="00266DBD" w:rsidRPr="0069649A">
        <w:rPr>
          <w:rFonts w:asciiTheme="majorHAnsi" w:hAnsiTheme="majorHAnsi"/>
        </w:rPr>
        <w:t>These factors highlight the possibility of false negatives in the older persons cohort.</w:t>
      </w:r>
      <w:r w:rsidR="004A7A6F" w:rsidRPr="0069649A">
        <w:rPr>
          <w:rFonts w:asciiTheme="majorHAnsi" w:hAnsiTheme="majorHAnsi"/>
        </w:rPr>
        <w:t xml:space="preserve"> </w:t>
      </w:r>
    </w:p>
    <w:p w14:paraId="1DD8B45A" w14:textId="77777777" w:rsidR="00792FEF" w:rsidRPr="0069649A" w:rsidRDefault="00792FEF" w:rsidP="00FE1537">
      <w:pPr>
        <w:spacing w:line="480" w:lineRule="auto"/>
        <w:jc w:val="both"/>
        <w:rPr>
          <w:rFonts w:asciiTheme="majorHAnsi" w:hAnsiTheme="majorHAnsi"/>
          <w:b/>
        </w:rPr>
      </w:pPr>
    </w:p>
    <w:p w14:paraId="2EDC9A34" w14:textId="27F19BFF" w:rsidR="008E06BB" w:rsidRPr="0069649A" w:rsidRDefault="008E06BB" w:rsidP="00FE1537">
      <w:pPr>
        <w:spacing w:line="480" w:lineRule="auto"/>
        <w:jc w:val="both"/>
        <w:rPr>
          <w:rFonts w:asciiTheme="majorHAnsi" w:hAnsiTheme="majorHAnsi"/>
        </w:rPr>
      </w:pPr>
      <w:r w:rsidRPr="0069649A">
        <w:rPr>
          <w:rFonts w:asciiTheme="majorHAnsi" w:hAnsiTheme="majorHAnsi"/>
        </w:rPr>
        <w:t xml:space="preserve">The main limitations of our study were the retrospective nature and the small </w:t>
      </w:r>
      <w:r w:rsidR="00E2197A" w:rsidRPr="0069649A">
        <w:rPr>
          <w:rFonts w:asciiTheme="majorHAnsi" w:hAnsiTheme="majorHAnsi"/>
        </w:rPr>
        <w:t>size</w:t>
      </w:r>
      <w:r w:rsidRPr="0069649A">
        <w:rPr>
          <w:rFonts w:asciiTheme="majorHAnsi" w:hAnsiTheme="majorHAnsi"/>
        </w:rPr>
        <w:t>. It is also a single centre study of a specific population of patients.</w:t>
      </w:r>
      <w:r w:rsidR="00707D52" w:rsidRPr="0069649A">
        <w:rPr>
          <w:rFonts w:asciiTheme="majorHAnsi" w:hAnsiTheme="majorHAnsi"/>
        </w:rPr>
        <w:t xml:space="preserve"> This study was </w:t>
      </w:r>
      <w:r w:rsidR="00C11E7B" w:rsidRPr="0069649A">
        <w:rPr>
          <w:rFonts w:asciiTheme="majorHAnsi" w:hAnsiTheme="majorHAnsi"/>
        </w:rPr>
        <w:t>conducted</w:t>
      </w:r>
      <w:r w:rsidR="00707D52" w:rsidRPr="0069649A">
        <w:rPr>
          <w:rFonts w:asciiTheme="majorHAnsi" w:hAnsiTheme="majorHAnsi"/>
        </w:rPr>
        <w:t xml:space="preserve"> during a time when </w:t>
      </w:r>
      <w:r w:rsidR="00266DBD" w:rsidRPr="0069649A">
        <w:rPr>
          <w:rFonts w:asciiTheme="majorHAnsi" w:hAnsiTheme="majorHAnsi"/>
        </w:rPr>
        <w:t>our understanding of the disease was</w:t>
      </w:r>
      <w:r w:rsidR="00707D52" w:rsidRPr="0069649A">
        <w:rPr>
          <w:rFonts w:asciiTheme="majorHAnsi" w:hAnsiTheme="majorHAnsi"/>
        </w:rPr>
        <w:t xml:space="preserve"> </w:t>
      </w:r>
      <w:r w:rsidR="00266DBD" w:rsidRPr="0069649A">
        <w:rPr>
          <w:rFonts w:asciiTheme="majorHAnsi" w:hAnsiTheme="majorHAnsi"/>
        </w:rPr>
        <w:t>rapidly evolving</w:t>
      </w:r>
      <w:r w:rsidR="00707D52" w:rsidRPr="0069649A">
        <w:rPr>
          <w:rFonts w:asciiTheme="majorHAnsi" w:hAnsiTheme="majorHAnsi"/>
        </w:rPr>
        <w:t xml:space="preserve"> including changing management strategies. Outcomes will be inevitably be affected by this.</w:t>
      </w:r>
    </w:p>
    <w:p w14:paraId="10C94A9C" w14:textId="77777777" w:rsidR="00D2012A" w:rsidRPr="0069649A" w:rsidRDefault="00D2012A" w:rsidP="00FE1537">
      <w:pPr>
        <w:spacing w:line="480" w:lineRule="auto"/>
        <w:jc w:val="both"/>
        <w:rPr>
          <w:rFonts w:asciiTheme="majorHAnsi" w:hAnsiTheme="majorHAnsi"/>
        </w:rPr>
      </w:pPr>
    </w:p>
    <w:p w14:paraId="311597B7" w14:textId="6B63D40C" w:rsidR="005B4A22" w:rsidRPr="0069649A" w:rsidRDefault="005B4A22" w:rsidP="00FE1537">
      <w:pPr>
        <w:spacing w:line="480" w:lineRule="auto"/>
        <w:jc w:val="both"/>
        <w:rPr>
          <w:rFonts w:asciiTheme="majorHAnsi" w:hAnsiTheme="majorHAnsi"/>
          <w:b/>
        </w:rPr>
      </w:pPr>
      <w:r w:rsidRPr="0069649A">
        <w:rPr>
          <w:rFonts w:asciiTheme="majorHAnsi" w:hAnsiTheme="majorHAnsi"/>
          <w:b/>
        </w:rPr>
        <w:t>Conclusions</w:t>
      </w:r>
    </w:p>
    <w:p w14:paraId="6FCAD1D5" w14:textId="37B28108" w:rsidR="005C7F22" w:rsidRPr="0069649A" w:rsidRDefault="007014FC" w:rsidP="00FE1537">
      <w:pPr>
        <w:spacing w:line="480" w:lineRule="auto"/>
        <w:jc w:val="both"/>
        <w:rPr>
          <w:rFonts w:asciiTheme="majorHAnsi" w:hAnsiTheme="majorHAnsi"/>
        </w:rPr>
      </w:pPr>
      <w:r w:rsidRPr="0069649A">
        <w:rPr>
          <w:rFonts w:asciiTheme="majorHAnsi" w:hAnsiTheme="majorHAnsi"/>
        </w:rPr>
        <w:t>In our study we have been able to describe our experience of COVID-19</w:t>
      </w:r>
      <w:r w:rsidR="00797DAA" w:rsidRPr="0069649A">
        <w:rPr>
          <w:rFonts w:asciiTheme="majorHAnsi" w:hAnsiTheme="majorHAnsi"/>
        </w:rPr>
        <w:t xml:space="preserve"> disease in </w:t>
      </w:r>
      <w:r w:rsidR="00986C90" w:rsidRPr="0069649A">
        <w:rPr>
          <w:rFonts w:asciiTheme="majorHAnsi" w:hAnsiTheme="majorHAnsi"/>
        </w:rPr>
        <w:t>older patient</w:t>
      </w:r>
      <w:r w:rsidR="009034CE" w:rsidRPr="0069649A">
        <w:rPr>
          <w:rFonts w:asciiTheme="majorHAnsi" w:hAnsiTheme="majorHAnsi"/>
        </w:rPr>
        <w:t>s</w:t>
      </w:r>
      <w:r w:rsidRPr="0069649A">
        <w:rPr>
          <w:rFonts w:asciiTheme="majorHAnsi" w:hAnsiTheme="majorHAnsi"/>
        </w:rPr>
        <w:t xml:space="preserve"> </w:t>
      </w:r>
      <w:r w:rsidR="00986C90" w:rsidRPr="0069649A">
        <w:rPr>
          <w:rFonts w:asciiTheme="majorHAnsi" w:hAnsiTheme="majorHAnsi"/>
        </w:rPr>
        <w:t>during</w:t>
      </w:r>
      <w:r w:rsidRPr="0069649A">
        <w:rPr>
          <w:rFonts w:asciiTheme="majorHAnsi" w:hAnsiTheme="majorHAnsi"/>
        </w:rPr>
        <w:t xml:space="preserve"> the first UK peak of the global pandemic. Our population has characteristics similar to previously described</w:t>
      </w:r>
      <w:r w:rsidR="000855E4" w:rsidRPr="0069649A">
        <w:rPr>
          <w:rFonts w:asciiTheme="majorHAnsi" w:hAnsiTheme="majorHAnsi"/>
        </w:rPr>
        <w:t xml:space="preserve"> cohorts</w:t>
      </w:r>
      <w:r w:rsidR="00111B40" w:rsidRPr="0069649A">
        <w:rPr>
          <w:rFonts w:asciiTheme="majorHAnsi" w:hAnsiTheme="majorHAnsi"/>
        </w:rPr>
        <w:t xml:space="preserve"> of older people</w:t>
      </w:r>
      <w:r w:rsidRPr="0069649A">
        <w:rPr>
          <w:rFonts w:asciiTheme="majorHAnsi" w:hAnsiTheme="majorHAnsi"/>
        </w:rPr>
        <w:t xml:space="preserve"> as well as </w:t>
      </w:r>
      <w:r w:rsidR="00111B40" w:rsidRPr="0069649A">
        <w:rPr>
          <w:rFonts w:asciiTheme="majorHAnsi" w:hAnsiTheme="majorHAnsi"/>
        </w:rPr>
        <w:t>some unique attributes</w:t>
      </w:r>
      <w:r w:rsidRPr="0069649A">
        <w:rPr>
          <w:rFonts w:asciiTheme="majorHAnsi" w:hAnsiTheme="majorHAnsi"/>
        </w:rPr>
        <w:t>. There is a high degree of frailty and comorbidities</w:t>
      </w:r>
      <w:r w:rsidR="000855E4" w:rsidRPr="0069649A">
        <w:rPr>
          <w:rFonts w:asciiTheme="majorHAnsi" w:hAnsiTheme="majorHAnsi"/>
        </w:rPr>
        <w:t>, r</w:t>
      </w:r>
      <w:r w:rsidR="00F73317" w:rsidRPr="0069649A">
        <w:rPr>
          <w:rFonts w:asciiTheme="majorHAnsi" w:hAnsiTheme="majorHAnsi"/>
        </w:rPr>
        <w:t>esulting in</w:t>
      </w:r>
      <w:r w:rsidR="00111B40" w:rsidRPr="0069649A">
        <w:rPr>
          <w:rFonts w:asciiTheme="majorHAnsi" w:hAnsiTheme="majorHAnsi"/>
        </w:rPr>
        <w:t xml:space="preserve"> increased</w:t>
      </w:r>
      <w:r w:rsidRPr="0069649A">
        <w:rPr>
          <w:rFonts w:asciiTheme="majorHAnsi" w:hAnsiTheme="majorHAnsi"/>
        </w:rPr>
        <w:t xml:space="preserve"> mortality </w:t>
      </w:r>
      <w:r w:rsidR="00A73C0F" w:rsidRPr="0069649A">
        <w:rPr>
          <w:rFonts w:asciiTheme="majorHAnsi" w:hAnsiTheme="majorHAnsi"/>
        </w:rPr>
        <w:t xml:space="preserve">and </w:t>
      </w:r>
      <w:r w:rsidR="00F73317" w:rsidRPr="0069649A">
        <w:rPr>
          <w:rFonts w:asciiTheme="majorHAnsi" w:hAnsiTheme="majorHAnsi"/>
        </w:rPr>
        <w:t xml:space="preserve">increased </w:t>
      </w:r>
      <w:r w:rsidR="00A73C0F" w:rsidRPr="0069649A">
        <w:rPr>
          <w:rFonts w:asciiTheme="majorHAnsi" w:hAnsiTheme="majorHAnsi"/>
        </w:rPr>
        <w:t>dependency</w:t>
      </w:r>
      <w:r w:rsidR="00F73317" w:rsidRPr="0069649A">
        <w:rPr>
          <w:rFonts w:asciiTheme="majorHAnsi" w:hAnsiTheme="majorHAnsi"/>
        </w:rPr>
        <w:t xml:space="preserve"> leading to higher</w:t>
      </w:r>
      <w:r w:rsidR="003D00D6" w:rsidRPr="0069649A">
        <w:rPr>
          <w:rFonts w:asciiTheme="majorHAnsi" w:hAnsiTheme="majorHAnsi"/>
        </w:rPr>
        <w:t xml:space="preserve"> </w:t>
      </w:r>
      <w:r w:rsidR="00F73317" w:rsidRPr="0069649A">
        <w:rPr>
          <w:rFonts w:asciiTheme="majorHAnsi" w:hAnsiTheme="majorHAnsi"/>
        </w:rPr>
        <w:t xml:space="preserve">care requirements in survivors. </w:t>
      </w:r>
      <w:r w:rsidRPr="0069649A">
        <w:rPr>
          <w:rFonts w:asciiTheme="majorHAnsi" w:hAnsiTheme="majorHAnsi"/>
        </w:rPr>
        <w:t xml:space="preserve"> </w:t>
      </w:r>
      <w:r w:rsidR="00D82A0E" w:rsidRPr="0069649A">
        <w:rPr>
          <w:rFonts w:asciiTheme="majorHAnsi" w:hAnsiTheme="majorHAnsi"/>
        </w:rPr>
        <w:t>Dementia, CKD</w:t>
      </w:r>
      <w:r w:rsidRPr="0069649A">
        <w:rPr>
          <w:rFonts w:asciiTheme="majorHAnsi" w:hAnsiTheme="majorHAnsi"/>
        </w:rPr>
        <w:t xml:space="preserve"> and</w:t>
      </w:r>
      <w:r w:rsidR="00D82A0E" w:rsidRPr="0069649A">
        <w:rPr>
          <w:rFonts w:asciiTheme="majorHAnsi" w:hAnsiTheme="majorHAnsi"/>
        </w:rPr>
        <w:t>,</w:t>
      </w:r>
      <w:r w:rsidRPr="0069649A">
        <w:rPr>
          <w:rFonts w:asciiTheme="majorHAnsi" w:hAnsiTheme="majorHAnsi"/>
        </w:rPr>
        <w:t xml:space="preserve"> </w:t>
      </w:r>
      <w:r w:rsidR="00D82A0E" w:rsidRPr="0069649A">
        <w:rPr>
          <w:rFonts w:asciiTheme="majorHAnsi" w:hAnsiTheme="majorHAnsi"/>
        </w:rPr>
        <w:t>f</w:t>
      </w:r>
      <w:r w:rsidRPr="0069649A">
        <w:rPr>
          <w:rFonts w:asciiTheme="majorHAnsi" w:hAnsiTheme="majorHAnsi"/>
        </w:rPr>
        <w:t xml:space="preserve">railty were associated with mortality as </w:t>
      </w:r>
      <w:r w:rsidR="00111B40" w:rsidRPr="0069649A">
        <w:rPr>
          <w:rFonts w:asciiTheme="majorHAnsi" w:hAnsiTheme="majorHAnsi"/>
        </w:rPr>
        <w:t>are</w:t>
      </w:r>
      <w:r w:rsidRPr="0069649A">
        <w:rPr>
          <w:rFonts w:asciiTheme="majorHAnsi" w:hAnsiTheme="majorHAnsi"/>
        </w:rPr>
        <w:t xml:space="preserve"> </w:t>
      </w:r>
      <w:r w:rsidR="00E936CF" w:rsidRPr="0069649A">
        <w:rPr>
          <w:rFonts w:asciiTheme="majorHAnsi" w:hAnsiTheme="majorHAnsi"/>
        </w:rPr>
        <w:t>AKI</w:t>
      </w:r>
      <w:r w:rsidRPr="0069649A">
        <w:rPr>
          <w:rFonts w:asciiTheme="majorHAnsi" w:hAnsiTheme="majorHAnsi"/>
        </w:rPr>
        <w:t xml:space="preserve">, </w:t>
      </w:r>
      <w:r w:rsidR="000855E4" w:rsidRPr="0069649A">
        <w:rPr>
          <w:rFonts w:asciiTheme="majorHAnsi" w:hAnsiTheme="majorHAnsi"/>
        </w:rPr>
        <w:t>hypernatremia</w:t>
      </w:r>
      <w:r w:rsidRPr="0069649A">
        <w:rPr>
          <w:rFonts w:asciiTheme="majorHAnsi" w:hAnsiTheme="majorHAnsi"/>
        </w:rPr>
        <w:t xml:space="preserve"> and respiratory failure.</w:t>
      </w:r>
      <w:r w:rsidR="00AF17EA" w:rsidRPr="0069649A">
        <w:rPr>
          <w:rFonts w:asciiTheme="majorHAnsi" w:hAnsiTheme="majorHAnsi"/>
        </w:rPr>
        <w:t xml:space="preserve"> </w:t>
      </w:r>
      <w:r w:rsidR="00986C90" w:rsidRPr="0069649A">
        <w:rPr>
          <w:rFonts w:asciiTheme="majorHAnsi" w:hAnsiTheme="majorHAnsi"/>
        </w:rPr>
        <w:t xml:space="preserve"> We have </w:t>
      </w:r>
      <w:r w:rsidR="009034CE" w:rsidRPr="0069649A">
        <w:rPr>
          <w:rFonts w:asciiTheme="majorHAnsi" w:hAnsiTheme="majorHAnsi"/>
        </w:rPr>
        <w:t xml:space="preserve">also </w:t>
      </w:r>
      <w:r w:rsidR="00986C90" w:rsidRPr="0069649A">
        <w:rPr>
          <w:rFonts w:asciiTheme="majorHAnsi" w:hAnsiTheme="majorHAnsi"/>
        </w:rPr>
        <w:t xml:space="preserve">highlighted some of the practical challenges of </w:t>
      </w:r>
      <w:r w:rsidR="00F73317" w:rsidRPr="0069649A">
        <w:rPr>
          <w:rFonts w:asciiTheme="majorHAnsi" w:hAnsiTheme="majorHAnsi"/>
        </w:rPr>
        <w:t xml:space="preserve">diagnosing COVID 19 and </w:t>
      </w:r>
      <w:r w:rsidR="00986C90" w:rsidRPr="0069649A">
        <w:rPr>
          <w:rFonts w:asciiTheme="majorHAnsi" w:hAnsiTheme="majorHAnsi"/>
        </w:rPr>
        <w:t>caring for this complex group of patients during this time.</w:t>
      </w:r>
    </w:p>
    <w:p w14:paraId="65037223" w14:textId="503E95E2" w:rsidR="00363404" w:rsidRPr="0069649A" w:rsidRDefault="00363404" w:rsidP="009542E2">
      <w:pPr>
        <w:jc w:val="both"/>
        <w:rPr>
          <w:rFonts w:asciiTheme="majorHAnsi" w:hAnsiTheme="majorHAnsi"/>
        </w:rPr>
      </w:pPr>
      <w:r w:rsidRPr="0069649A">
        <w:rPr>
          <w:rFonts w:asciiTheme="majorHAnsi" w:hAnsiTheme="majorHAnsi"/>
        </w:rPr>
        <w:br w:type="page"/>
      </w:r>
    </w:p>
    <w:p w14:paraId="4639CF89" w14:textId="32DB9A61" w:rsidR="00C006ED" w:rsidRPr="0069649A" w:rsidRDefault="00C006ED" w:rsidP="009542E2">
      <w:pPr>
        <w:jc w:val="both"/>
        <w:rPr>
          <w:rFonts w:asciiTheme="majorHAnsi" w:hAnsiTheme="majorHAnsi"/>
          <w:b/>
        </w:rPr>
      </w:pPr>
      <w:r w:rsidRPr="0069649A">
        <w:rPr>
          <w:rFonts w:asciiTheme="majorHAnsi" w:hAnsiTheme="majorHAnsi"/>
          <w:b/>
        </w:rPr>
        <w:t>Bibliography</w:t>
      </w:r>
    </w:p>
    <w:p w14:paraId="07E9A8A2" w14:textId="77777777" w:rsidR="00C006ED" w:rsidRPr="0069649A" w:rsidRDefault="00C006ED" w:rsidP="00DF062D">
      <w:pPr>
        <w:spacing w:line="480" w:lineRule="auto"/>
        <w:jc w:val="both"/>
        <w:rPr>
          <w:rFonts w:asciiTheme="majorHAnsi" w:hAnsiTheme="majorHAnsi"/>
          <w:b/>
        </w:rPr>
      </w:pPr>
    </w:p>
    <w:p w14:paraId="272646AF" w14:textId="6079840D" w:rsidR="00982414" w:rsidRPr="0069649A" w:rsidRDefault="003D00D6" w:rsidP="00982414">
      <w:pPr>
        <w:widowControl w:val="0"/>
        <w:autoSpaceDE w:val="0"/>
        <w:autoSpaceDN w:val="0"/>
        <w:adjustRightInd w:val="0"/>
        <w:spacing w:line="480" w:lineRule="auto"/>
        <w:ind w:left="640" w:hanging="640"/>
        <w:rPr>
          <w:rFonts w:ascii="Calibri" w:hAnsi="Calibri"/>
          <w:noProof/>
          <w:lang w:val="en-US"/>
        </w:rPr>
      </w:pPr>
      <w:r w:rsidRPr="0069649A">
        <w:rPr>
          <w:rFonts w:asciiTheme="majorHAnsi" w:hAnsiTheme="majorHAnsi"/>
          <w:b/>
        </w:rPr>
        <w:fldChar w:fldCharType="begin" w:fldLock="1"/>
      </w:r>
      <w:r w:rsidRPr="0069649A">
        <w:rPr>
          <w:rFonts w:asciiTheme="majorHAnsi" w:hAnsiTheme="majorHAnsi"/>
          <w:b/>
        </w:rPr>
        <w:instrText xml:space="preserve">ADDIN Mendeley Bibliography CSL_BIBLIOGRAPHY </w:instrText>
      </w:r>
      <w:r w:rsidRPr="0069649A">
        <w:rPr>
          <w:rFonts w:asciiTheme="majorHAnsi" w:hAnsiTheme="majorHAnsi"/>
          <w:b/>
        </w:rPr>
        <w:fldChar w:fldCharType="separate"/>
      </w:r>
      <w:r w:rsidR="00982414" w:rsidRPr="0069649A">
        <w:rPr>
          <w:rFonts w:ascii="Calibri" w:hAnsi="Calibri"/>
          <w:noProof/>
          <w:lang w:val="en-US"/>
        </w:rPr>
        <w:t xml:space="preserve">[1] </w:t>
      </w:r>
      <w:r w:rsidR="00982414" w:rsidRPr="0069649A">
        <w:rPr>
          <w:rFonts w:ascii="Calibri" w:hAnsi="Calibri"/>
          <w:noProof/>
          <w:lang w:val="en-US"/>
        </w:rPr>
        <w:tab/>
        <w:t xml:space="preserve">Kennedy M, Helfand BKI, Gou RY, et al. Delirium in Older Patients With COVID-19 Presenting to the Emergency Department. </w:t>
      </w:r>
      <w:r w:rsidR="00982414" w:rsidRPr="0069649A">
        <w:rPr>
          <w:rFonts w:ascii="Calibri" w:hAnsi="Calibri"/>
          <w:i/>
          <w:iCs/>
          <w:noProof/>
          <w:lang w:val="en-US"/>
        </w:rPr>
        <w:t>JAMA Netw open</w:t>
      </w:r>
      <w:r w:rsidR="00982414" w:rsidRPr="0069649A">
        <w:rPr>
          <w:rFonts w:ascii="Calibri" w:hAnsi="Calibri"/>
          <w:noProof/>
          <w:lang w:val="en-US"/>
        </w:rPr>
        <w:t>. Epub ahead of print 2020. DOI: 10.1001/jamanetworkopen.2020.29540.</w:t>
      </w:r>
    </w:p>
    <w:p w14:paraId="02727128"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 </w:t>
      </w:r>
      <w:r w:rsidRPr="0069649A">
        <w:rPr>
          <w:rFonts w:ascii="Calibri" w:hAnsi="Calibri"/>
          <w:noProof/>
          <w:lang w:val="en-US"/>
        </w:rPr>
        <w:tab/>
        <w:t xml:space="preserve">O’Hanlon S, Inouye SK. Delirium: A missing piece in the COVID-19 pandemic puzzle. </w:t>
      </w:r>
      <w:r w:rsidRPr="0069649A">
        <w:rPr>
          <w:rFonts w:ascii="Calibri" w:hAnsi="Calibri"/>
          <w:i/>
          <w:iCs/>
          <w:noProof/>
          <w:lang w:val="en-US"/>
        </w:rPr>
        <w:t>Age and Ageing</w:t>
      </w:r>
      <w:r w:rsidRPr="0069649A">
        <w:rPr>
          <w:rFonts w:ascii="Calibri" w:hAnsi="Calibri"/>
          <w:noProof/>
          <w:lang w:val="en-US"/>
        </w:rPr>
        <w:t>. Epub ahead of print 2020. DOI: 10.1093/ageing/afaa094.</w:t>
      </w:r>
    </w:p>
    <w:p w14:paraId="7B6BCD3D"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[3] </w:t>
      </w:r>
      <w:r w:rsidRPr="0069649A">
        <w:rPr>
          <w:rFonts w:ascii="Calibri" w:hAnsi="Calibri"/>
          <w:noProof/>
          <w:lang w:val="en-US"/>
        </w:rPr>
        <w:tab/>
        <w:t xml:space="preserve">Zazzara MB, Penfold RS, Roberts AL, et al. Probable delirium is a presenting symptom of COVID-19 in frail, older adults: a cohort study of 322 hospitalised and 535 community-based older adults. </w:t>
      </w:r>
      <w:r w:rsidRPr="0069649A">
        <w:rPr>
          <w:rFonts w:ascii="Calibri" w:hAnsi="Calibri"/>
          <w:i/>
          <w:iCs/>
          <w:noProof/>
          <w:lang w:val="en-US"/>
        </w:rPr>
        <w:t>Age Ageing</w:t>
      </w:r>
      <w:r w:rsidRPr="0069649A">
        <w:rPr>
          <w:rFonts w:ascii="Calibri" w:hAnsi="Calibri"/>
          <w:noProof/>
          <w:lang w:val="en-US"/>
        </w:rPr>
        <w:t>. Epub ahead of print 2021. DOI: 10.1093/ageing/afaa223.</w:t>
      </w:r>
    </w:p>
    <w:p w14:paraId="71ADA8D3"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[4] </w:t>
      </w:r>
      <w:r w:rsidRPr="0069649A">
        <w:rPr>
          <w:rFonts w:ascii="Calibri" w:hAnsi="Calibri"/>
          <w:noProof/>
          <w:lang w:val="en-US"/>
        </w:rPr>
        <w:tab/>
        <w:t xml:space="preserve">Wu Z, McGoogan JM. Characteristics of and Important Lessons From the Coronavirus Disease 2019 (COVID-19) Outbreak in China. </w:t>
      </w:r>
      <w:r w:rsidRPr="0069649A">
        <w:rPr>
          <w:rFonts w:ascii="Calibri" w:hAnsi="Calibri"/>
          <w:i/>
          <w:iCs/>
          <w:noProof/>
          <w:lang w:val="en-US"/>
        </w:rPr>
        <w:t>JAMA</w:t>
      </w:r>
      <w:r w:rsidRPr="0069649A">
        <w:rPr>
          <w:rFonts w:ascii="Calibri" w:hAnsi="Calibri"/>
          <w:noProof/>
          <w:lang w:val="en-US"/>
        </w:rPr>
        <w:t>. Epub ahead of print 2020. DOI: 10.1001/jama.2020.2648.</w:t>
      </w:r>
    </w:p>
    <w:p w14:paraId="2E32ADC0"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[5] </w:t>
      </w:r>
      <w:r w:rsidRPr="0069649A">
        <w:rPr>
          <w:rFonts w:ascii="Calibri" w:hAnsi="Calibri"/>
          <w:noProof/>
          <w:lang w:val="en-US"/>
        </w:rPr>
        <w:tab/>
        <w:t xml:space="preserve">Garnier-Crussard A, Forestier E, Gilbert T, et al. Novel Coronavirus (COVID-19) Epidemic: What Are the Risks for Older Patients? </w:t>
      </w:r>
      <w:r w:rsidRPr="0069649A">
        <w:rPr>
          <w:rFonts w:ascii="Calibri" w:hAnsi="Calibri"/>
          <w:i/>
          <w:iCs/>
          <w:noProof/>
          <w:lang w:val="en-US"/>
        </w:rPr>
        <w:t>Journal of the American Geriatrics Society</w:t>
      </w:r>
      <w:r w:rsidRPr="0069649A">
        <w:rPr>
          <w:rFonts w:ascii="Calibri" w:hAnsi="Calibri"/>
          <w:noProof/>
          <w:lang w:val="en-US"/>
        </w:rPr>
        <w:t>. Epub ahead of print 2020. DOI: 10.1111/jgs.16407.</w:t>
      </w:r>
    </w:p>
    <w:p w14:paraId="69406568"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[6] </w:t>
      </w:r>
      <w:r w:rsidRPr="0069649A">
        <w:rPr>
          <w:rFonts w:ascii="Calibri" w:hAnsi="Calibri"/>
          <w:noProof/>
          <w:lang w:val="en-US"/>
        </w:rPr>
        <w:tab/>
        <w:t xml:space="preserve">Du RH, Liang LR, Yang CQ, et al. Predictors of mortality for patients with COVID-19 pneumonia caused by SARSCoV- 2: A prospective cohort study. </w:t>
      </w:r>
      <w:r w:rsidRPr="0069649A">
        <w:rPr>
          <w:rFonts w:ascii="Calibri" w:hAnsi="Calibri"/>
          <w:i/>
          <w:iCs/>
          <w:noProof/>
          <w:lang w:val="en-US"/>
        </w:rPr>
        <w:t>Eur Respir J</w:t>
      </w:r>
      <w:r w:rsidRPr="0069649A">
        <w:rPr>
          <w:rFonts w:ascii="Calibri" w:hAnsi="Calibri"/>
          <w:noProof/>
          <w:lang w:val="en-US"/>
        </w:rPr>
        <w:t>. Epub ahead of print 2020. DOI: 10.1183/13993003.00524-2020.</w:t>
      </w:r>
    </w:p>
    <w:p w14:paraId="667F2BA2"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[7] </w:t>
      </w:r>
      <w:r w:rsidRPr="0069649A">
        <w:rPr>
          <w:rFonts w:ascii="Calibri" w:hAnsi="Calibri"/>
          <w:noProof/>
          <w:lang w:val="en-US"/>
        </w:rPr>
        <w:tab/>
        <w:t xml:space="preserve">Zhou F, Yu T, Du R, et al. Clinical course and risk factors for mortality of adult inpatients with COVID-19 in Wuhan, China: a retrospective cohort study. </w:t>
      </w:r>
      <w:r w:rsidRPr="0069649A">
        <w:rPr>
          <w:rFonts w:ascii="Calibri" w:hAnsi="Calibri"/>
          <w:i/>
          <w:iCs/>
          <w:noProof/>
          <w:lang w:val="en-US"/>
        </w:rPr>
        <w:t>Lancet</w:t>
      </w:r>
      <w:r w:rsidRPr="0069649A">
        <w:rPr>
          <w:rFonts w:ascii="Calibri" w:hAnsi="Calibri"/>
          <w:noProof/>
          <w:lang w:val="en-US"/>
        </w:rPr>
        <w:t>. Epub ahead of print 2020. DOI: 10.1016/S0140-6736(20)30566-3.</w:t>
      </w:r>
    </w:p>
    <w:p w14:paraId="37B9D26C"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[8] </w:t>
      </w:r>
      <w:r w:rsidRPr="0069649A">
        <w:rPr>
          <w:rFonts w:ascii="Calibri" w:hAnsi="Calibri"/>
          <w:noProof/>
          <w:lang w:val="en-US"/>
        </w:rPr>
        <w:tab/>
        <w:t xml:space="preserve">Kuo CL, Pilling LC, Atkins JL, et al. APOE e4 Genotype Predicts Severe COVID-19 in the UK Biobank Community Cohort. </w:t>
      </w:r>
      <w:r w:rsidRPr="0069649A">
        <w:rPr>
          <w:rFonts w:ascii="Calibri" w:hAnsi="Calibri"/>
          <w:i/>
          <w:iCs/>
          <w:noProof/>
          <w:lang w:val="en-US"/>
        </w:rPr>
        <w:t>J Gerontol A Biol Sci Med Sci</w:t>
      </w:r>
      <w:r w:rsidRPr="0069649A">
        <w:rPr>
          <w:rFonts w:ascii="Calibri" w:hAnsi="Calibri"/>
          <w:noProof/>
          <w:lang w:val="en-US"/>
        </w:rPr>
        <w:t>. Epub ahead of print 2020. DOI: 10.1093/gerona/glaa131.</w:t>
      </w:r>
    </w:p>
    <w:p w14:paraId="6ECA5AA3"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[9] </w:t>
      </w:r>
      <w:r w:rsidRPr="0069649A">
        <w:rPr>
          <w:rFonts w:ascii="Calibri" w:hAnsi="Calibri"/>
          <w:noProof/>
          <w:lang w:val="en-US"/>
        </w:rPr>
        <w:tab/>
        <w:t xml:space="preserve">Sze S, Pan D, Nevill CR, et al. Ethnicity and clinical outcomes in COVID-19: A systematic review and meta-analysis. </w:t>
      </w:r>
      <w:r w:rsidRPr="0069649A">
        <w:rPr>
          <w:rFonts w:ascii="Calibri" w:hAnsi="Calibri"/>
          <w:i/>
          <w:iCs/>
          <w:noProof/>
          <w:lang w:val="en-US"/>
        </w:rPr>
        <w:t>EClinicalMedicine</w:t>
      </w:r>
      <w:r w:rsidRPr="0069649A">
        <w:rPr>
          <w:rFonts w:ascii="Calibri" w:hAnsi="Calibri"/>
          <w:noProof/>
          <w:lang w:val="en-US"/>
        </w:rPr>
        <w:t>. Epub ahead of print 2020. DOI: 10.1016/j.eclinm.2020.100630.</w:t>
      </w:r>
    </w:p>
    <w:p w14:paraId="64042483"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[10] </w:t>
      </w:r>
      <w:r w:rsidRPr="0069649A">
        <w:rPr>
          <w:rFonts w:ascii="Calibri" w:hAnsi="Calibri"/>
          <w:noProof/>
          <w:lang w:val="en-US"/>
        </w:rPr>
        <w:tab/>
        <w:t xml:space="preserve">Mackey K, Ayers CK, Kondo KK, et al. Racial and Ethnic Disparities in COVID-19–Related Infections, Hospitalizations, and Deaths. </w:t>
      </w:r>
      <w:r w:rsidRPr="0069649A">
        <w:rPr>
          <w:rFonts w:ascii="Calibri" w:hAnsi="Calibri"/>
          <w:i/>
          <w:iCs/>
          <w:noProof/>
          <w:lang w:val="en-US"/>
        </w:rPr>
        <w:t>Ann Intern Med</w:t>
      </w:r>
      <w:r w:rsidRPr="0069649A">
        <w:rPr>
          <w:rFonts w:ascii="Calibri" w:hAnsi="Calibri"/>
          <w:noProof/>
          <w:lang w:val="en-US"/>
        </w:rPr>
        <w:t>. Epub ahead of print 2020. DOI: 10.7326/m20-6306.</w:t>
      </w:r>
    </w:p>
    <w:p w14:paraId="0DF994D4"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[11] </w:t>
      </w:r>
      <w:r w:rsidRPr="0069649A">
        <w:rPr>
          <w:rFonts w:ascii="Calibri" w:hAnsi="Calibri"/>
          <w:noProof/>
          <w:lang w:val="en-US"/>
        </w:rPr>
        <w:tab/>
        <w:t xml:space="preserve">towerhamlets.gov.uk. Borough Profile 2018: Population. </w:t>
      </w:r>
      <w:r w:rsidRPr="0069649A">
        <w:rPr>
          <w:rFonts w:ascii="Calibri" w:hAnsi="Calibri"/>
          <w:i/>
          <w:iCs/>
          <w:noProof/>
          <w:lang w:val="en-US"/>
        </w:rPr>
        <w:t>https://www.towerhamlets.gov.uk/lgnl/community_and_living/borough_statistics/population.aspx</w:t>
      </w:r>
      <w:r w:rsidRPr="0069649A">
        <w:rPr>
          <w:rFonts w:ascii="Calibri" w:hAnsi="Calibri"/>
          <w:noProof/>
          <w:lang w:val="en-US"/>
        </w:rPr>
        <w:t>, https://www.towerhamlets.gov.uk/Documents/Borough_statistics/Research-briefings/Population_2_BP2018.pdf (2018).</w:t>
      </w:r>
    </w:p>
    <w:p w14:paraId="3ACF3752"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[12] </w:t>
      </w:r>
      <w:r w:rsidRPr="0069649A">
        <w:rPr>
          <w:rFonts w:ascii="Calibri" w:hAnsi="Calibri"/>
          <w:noProof/>
          <w:lang w:val="en-US"/>
        </w:rPr>
        <w:tab/>
        <w:t>the Ministry of Housing C and LG. The English Indices of Deprivation 2019 (IoD2019), https://assets.publishing.service.gov.uk/government/uploads/system/uploads/attachment_data/file/835115/IoD2019_Statistical_Release.pdf (2019).</w:t>
      </w:r>
    </w:p>
    <w:p w14:paraId="3A8A285F"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[13] </w:t>
      </w:r>
      <w:r w:rsidRPr="0069649A">
        <w:rPr>
          <w:rFonts w:ascii="Calibri" w:hAnsi="Calibri"/>
          <w:noProof/>
          <w:lang w:val="en-US"/>
        </w:rPr>
        <w:tab/>
        <w:t xml:space="preserve">Apea VJ, Wan YI, Dhairyawan R, et al. Ethnicity and outcomes in patients hospitalised with COVID-19 infection in East London: an observational cohort study. </w:t>
      </w:r>
      <w:r w:rsidRPr="0069649A">
        <w:rPr>
          <w:rFonts w:ascii="Calibri" w:hAnsi="Calibri"/>
          <w:i/>
          <w:iCs/>
          <w:noProof/>
          <w:lang w:val="en-US"/>
        </w:rPr>
        <w:t>BMJ Open</w:t>
      </w:r>
      <w:r w:rsidRPr="0069649A">
        <w:rPr>
          <w:rFonts w:ascii="Calibri" w:hAnsi="Calibri"/>
          <w:noProof/>
          <w:lang w:val="en-US"/>
        </w:rPr>
        <w:t xml:space="preserve"> 2021; 11: e042140.</w:t>
      </w:r>
    </w:p>
    <w:p w14:paraId="613B8759"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[14] </w:t>
      </w:r>
      <w:r w:rsidRPr="0069649A">
        <w:rPr>
          <w:rFonts w:ascii="Calibri" w:hAnsi="Calibri"/>
          <w:noProof/>
          <w:lang w:val="en-US"/>
        </w:rPr>
        <w:tab/>
        <w:t xml:space="preserve">Kellum JA, Lameire N, Aspelin P, et al. Kidney disease: Improving global outcomes (KDIGO) acute kidney injury work group. KDIGO clinical practice guideline for acute kidney injury. </w:t>
      </w:r>
      <w:r w:rsidRPr="0069649A">
        <w:rPr>
          <w:rFonts w:ascii="Calibri" w:hAnsi="Calibri"/>
          <w:i/>
          <w:iCs/>
          <w:noProof/>
          <w:lang w:val="en-US"/>
        </w:rPr>
        <w:t>Kidney International Supplements</w:t>
      </w:r>
      <w:r w:rsidRPr="0069649A">
        <w:rPr>
          <w:rFonts w:ascii="Calibri" w:hAnsi="Calibri"/>
          <w:noProof/>
          <w:lang w:val="en-US"/>
        </w:rPr>
        <w:t>. Epub ahead of print 2012. DOI: 10.1038/kisup.2012.1.</w:t>
      </w:r>
    </w:p>
    <w:p w14:paraId="43C43C12"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[15] </w:t>
      </w:r>
      <w:r w:rsidRPr="0069649A">
        <w:rPr>
          <w:rFonts w:ascii="Calibri" w:hAnsi="Calibri"/>
          <w:noProof/>
          <w:lang w:val="en-US"/>
        </w:rPr>
        <w:tab/>
        <w:t xml:space="preserve">Rockwood K, Song X, MacKnight C, et al. A global clinical measure of fitness and frailty in elderly people. </w:t>
      </w:r>
      <w:r w:rsidRPr="0069649A">
        <w:rPr>
          <w:rFonts w:ascii="Calibri" w:hAnsi="Calibri"/>
          <w:i/>
          <w:iCs/>
          <w:noProof/>
          <w:lang w:val="en-US"/>
        </w:rPr>
        <w:t>CMAJ</w:t>
      </w:r>
      <w:r w:rsidRPr="0069649A">
        <w:rPr>
          <w:rFonts w:ascii="Calibri" w:hAnsi="Calibri"/>
          <w:noProof/>
          <w:lang w:val="en-US"/>
        </w:rPr>
        <w:t>. Epub ahead of print 2005. DOI: 10.1503/cmaj.050051.</w:t>
      </w:r>
    </w:p>
    <w:p w14:paraId="5A41571A"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[16] </w:t>
      </w:r>
      <w:r w:rsidRPr="0069649A">
        <w:rPr>
          <w:rFonts w:ascii="Calibri" w:hAnsi="Calibri"/>
          <w:noProof/>
          <w:lang w:val="en-US"/>
        </w:rPr>
        <w:tab/>
        <w:t xml:space="preserve">Carter B, Collins JT, Barlow-Pay F, et al. Nosocomial COVID-19 infection: examining the risk of mortality. The COPE-Nosocomial Study (COVID in Older PEople). </w:t>
      </w:r>
      <w:r w:rsidRPr="0069649A">
        <w:rPr>
          <w:rFonts w:ascii="Calibri" w:hAnsi="Calibri"/>
          <w:i/>
          <w:iCs/>
          <w:noProof/>
          <w:lang w:val="en-US"/>
        </w:rPr>
        <w:t>J Hosp Infect</w:t>
      </w:r>
      <w:r w:rsidRPr="0069649A">
        <w:rPr>
          <w:rFonts w:ascii="Calibri" w:hAnsi="Calibri"/>
          <w:noProof/>
          <w:lang w:val="en-US"/>
        </w:rPr>
        <w:t>. Epub ahead of print 2020. DOI: 10.1016/j.jhin.2020.07.013.</w:t>
      </w:r>
    </w:p>
    <w:p w14:paraId="17B7751D"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[17] </w:t>
      </w:r>
      <w:r w:rsidRPr="0069649A">
        <w:rPr>
          <w:rFonts w:ascii="Calibri" w:hAnsi="Calibri"/>
          <w:noProof/>
          <w:lang w:val="en-US"/>
        </w:rPr>
        <w:tab/>
        <w:t xml:space="preserve">Gan JM, Kho J, Akhunbay-Fudge M, et al. Atypical presentation of COVID-19 in hospitalised older adults. </w:t>
      </w:r>
      <w:r w:rsidRPr="0069649A">
        <w:rPr>
          <w:rFonts w:ascii="Calibri" w:hAnsi="Calibri"/>
          <w:i/>
          <w:iCs/>
          <w:noProof/>
          <w:lang w:val="en-US"/>
        </w:rPr>
        <w:t>Ir J Med Sci</w:t>
      </w:r>
      <w:r w:rsidRPr="0069649A">
        <w:rPr>
          <w:rFonts w:ascii="Calibri" w:hAnsi="Calibri"/>
          <w:noProof/>
          <w:lang w:val="en-US"/>
        </w:rPr>
        <w:t>. Epub ahead of print 2020. DOI: 10.1007/s11845-020-02372-7.</w:t>
      </w:r>
    </w:p>
    <w:p w14:paraId="741485E4"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[18] </w:t>
      </w:r>
      <w:r w:rsidRPr="0069649A">
        <w:rPr>
          <w:rFonts w:ascii="Calibri" w:hAnsi="Calibri"/>
          <w:noProof/>
          <w:lang w:val="en-US"/>
        </w:rPr>
        <w:tab/>
        <w:t xml:space="preserve">Hewitt J, Carter B, Vilches-Moraga A, et al. The effect of frailty on survival in patients with COVID-19 (COPE): a multicentre, European, observational cohort study. </w:t>
      </w:r>
      <w:r w:rsidRPr="0069649A">
        <w:rPr>
          <w:rFonts w:ascii="Calibri" w:hAnsi="Calibri"/>
          <w:i/>
          <w:iCs/>
          <w:noProof/>
          <w:lang w:val="en-US"/>
        </w:rPr>
        <w:t>Lancet Public Heal</w:t>
      </w:r>
      <w:r w:rsidRPr="0069649A">
        <w:rPr>
          <w:rFonts w:ascii="Calibri" w:hAnsi="Calibri"/>
          <w:noProof/>
          <w:lang w:val="en-US"/>
        </w:rPr>
        <w:t>. Epub ahead of print 2020. DOI: 10.1016/S2468-2667(20)30146-8.</w:t>
      </w:r>
    </w:p>
    <w:p w14:paraId="52616A0C"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[19] </w:t>
      </w:r>
      <w:r w:rsidRPr="0069649A">
        <w:rPr>
          <w:rFonts w:ascii="Calibri" w:hAnsi="Calibri"/>
          <w:noProof/>
          <w:lang w:val="en-US"/>
        </w:rPr>
        <w:tab/>
        <w:t xml:space="preserve">Williamson EJ, Walker AJ, Bhaskaran K, et al. Factors associated with COVID-19-related death using OpenSAFELY. </w:t>
      </w:r>
      <w:r w:rsidRPr="0069649A">
        <w:rPr>
          <w:rFonts w:ascii="Calibri" w:hAnsi="Calibri"/>
          <w:i/>
          <w:iCs/>
          <w:noProof/>
          <w:lang w:val="en-US"/>
        </w:rPr>
        <w:t>Nature</w:t>
      </w:r>
      <w:r w:rsidRPr="0069649A">
        <w:rPr>
          <w:rFonts w:ascii="Calibri" w:hAnsi="Calibri"/>
          <w:noProof/>
          <w:lang w:val="en-US"/>
        </w:rPr>
        <w:t>. Epub ahead of print 2020. DOI: 10.1038/s41586-020-2521-4.</w:t>
      </w:r>
    </w:p>
    <w:p w14:paraId="7E2E2FB0"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[20] </w:t>
      </w:r>
      <w:r w:rsidRPr="0069649A">
        <w:rPr>
          <w:rFonts w:ascii="Calibri" w:hAnsi="Calibri"/>
          <w:noProof/>
          <w:lang w:val="en-US"/>
        </w:rPr>
        <w:tab/>
        <w:t xml:space="preserve">Hariyanto TI, Putri C, Situmeang RF V., et al. Dementia is a predictor for mortality outcome from coronavirus disease 2019 (COVID-19) infection. </w:t>
      </w:r>
      <w:r w:rsidRPr="0069649A">
        <w:rPr>
          <w:rFonts w:ascii="Calibri" w:hAnsi="Calibri"/>
          <w:i/>
          <w:iCs/>
          <w:noProof/>
          <w:lang w:val="en-US"/>
        </w:rPr>
        <w:t>European Archives of Psychiatry and Clinical Neuroscience</w:t>
      </w:r>
      <w:r w:rsidRPr="0069649A">
        <w:rPr>
          <w:rFonts w:ascii="Calibri" w:hAnsi="Calibri"/>
          <w:noProof/>
          <w:lang w:val="en-US"/>
        </w:rPr>
        <w:t>. Epub ahead of print 2020. DOI: 10.1007/s00406-020-01205-z.</w:t>
      </w:r>
    </w:p>
    <w:p w14:paraId="4CE87144"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[21] </w:t>
      </w:r>
      <w:r w:rsidRPr="0069649A">
        <w:rPr>
          <w:rFonts w:ascii="Calibri" w:hAnsi="Calibri"/>
          <w:noProof/>
          <w:lang w:val="en-US"/>
        </w:rPr>
        <w:tab/>
        <w:t xml:space="preserve">Lin L, Wang X, Ren J, et al. Risk factors and prognosis for COVID-19-induced acute kidney injury: a meta-analysis. </w:t>
      </w:r>
      <w:r w:rsidRPr="0069649A">
        <w:rPr>
          <w:rFonts w:ascii="Calibri" w:hAnsi="Calibri"/>
          <w:i/>
          <w:iCs/>
          <w:noProof/>
          <w:lang w:val="en-US"/>
        </w:rPr>
        <w:t>BMJ Open</w:t>
      </w:r>
      <w:r w:rsidRPr="0069649A">
        <w:rPr>
          <w:rFonts w:ascii="Calibri" w:hAnsi="Calibri"/>
          <w:noProof/>
          <w:lang w:val="en-US"/>
        </w:rPr>
        <w:t xml:space="preserve"> 2020; 10: e042573.</w:t>
      </w:r>
    </w:p>
    <w:p w14:paraId="0C4E2123"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[22] </w:t>
      </w:r>
      <w:r w:rsidRPr="0069649A">
        <w:rPr>
          <w:rFonts w:ascii="Calibri" w:hAnsi="Calibri"/>
          <w:noProof/>
          <w:lang w:val="en-US"/>
        </w:rPr>
        <w:tab/>
        <w:t xml:space="preserve">Hamilton P, Hanumapura P, Castelino L, et al. Characteristics and outcomes of hospitalised patients with acute kidney injury and COVID-19. </w:t>
      </w:r>
      <w:r w:rsidRPr="0069649A">
        <w:rPr>
          <w:rFonts w:ascii="Calibri" w:hAnsi="Calibri"/>
          <w:i/>
          <w:iCs/>
          <w:noProof/>
          <w:lang w:val="en-US"/>
        </w:rPr>
        <w:t>PLoS One</w:t>
      </w:r>
      <w:r w:rsidRPr="0069649A">
        <w:rPr>
          <w:rFonts w:ascii="Calibri" w:hAnsi="Calibri"/>
          <w:noProof/>
          <w:lang w:val="en-US"/>
        </w:rPr>
        <w:t>. Epub ahead of print 2020. DOI: 10.1371/journal.pone.0241544.</w:t>
      </w:r>
    </w:p>
    <w:p w14:paraId="2C59F09E"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[23] </w:t>
      </w:r>
      <w:r w:rsidRPr="0069649A">
        <w:rPr>
          <w:rFonts w:ascii="Calibri" w:hAnsi="Calibri"/>
          <w:noProof/>
          <w:lang w:val="en-US"/>
        </w:rPr>
        <w:tab/>
        <w:t xml:space="preserve">Yalameha B, Roshan B, Bhaskar LVKS, et al. Perspectives on the relationship of renal disease and coronavirus disease 2019. </w:t>
      </w:r>
      <w:r w:rsidRPr="0069649A">
        <w:rPr>
          <w:rFonts w:ascii="Calibri" w:hAnsi="Calibri"/>
          <w:i/>
          <w:iCs/>
          <w:noProof/>
          <w:lang w:val="en-US"/>
        </w:rPr>
        <w:t>J Nephropharmacology</w:t>
      </w:r>
      <w:r w:rsidRPr="0069649A">
        <w:rPr>
          <w:rFonts w:ascii="Calibri" w:hAnsi="Calibri"/>
          <w:noProof/>
          <w:lang w:val="en-US"/>
        </w:rPr>
        <w:t>. Epub ahead of print 2020. DOI: 10.34172/npj.2020.22.</w:t>
      </w:r>
    </w:p>
    <w:p w14:paraId="11709A05"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[24] </w:t>
      </w:r>
      <w:r w:rsidRPr="0069649A">
        <w:rPr>
          <w:rFonts w:ascii="Calibri" w:hAnsi="Calibri"/>
          <w:noProof/>
          <w:lang w:val="en-US"/>
        </w:rPr>
        <w:tab/>
        <w:t xml:space="preserve">Su H, Yang M, Wan C, et al. Renal histopathological analysis of 26 postmortem findings of patients with COVID-19 in China. </w:t>
      </w:r>
      <w:r w:rsidRPr="0069649A">
        <w:rPr>
          <w:rFonts w:ascii="Calibri" w:hAnsi="Calibri"/>
          <w:i/>
          <w:iCs/>
          <w:noProof/>
          <w:lang w:val="en-US"/>
        </w:rPr>
        <w:t>Kidney Int</w:t>
      </w:r>
      <w:r w:rsidRPr="0069649A">
        <w:rPr>
          <w:rFonts w:ascii="Calibri" w:hAnsi="Calibri"/>
          <w:noProof/>
          <w:lang w:val="en-US"/>
        </w:rPr>
        <w:t>. Epub ahead of print 2020. DOI: 10.1016/j.kint.2020.04.003.</w:t>
      </w:r>
    </w:p>
    <w:p w14:paraId="27D16345"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[25] </w:t>
      </w:r>
      <w:r w:rsidRPr="0069649A">
        <w:rPr>
          <w:rFonts w:ascii="Calibri" w:hAnsi="Calibri"/>
          <w:noProof/>
          <w:lang w:val="en-US"/>
        </w:rPr>
        <w:tab/>
        <w:t xml:space="preserve">Diao B, Wang C, Wang R, et al. Acute Kidney Injury in COVID-19: Emerging Evidence of a Distinct Pathophysiology. </w:t>
      </w:r>
      <w:r w:rsidRPr="0069649A">
        <w:rPr>
          <w:rFonts w:ascii="Calibri" w:hAnsi="Calibri"/>
          <w:i/>
          <w:iCs/>
          <w:noProof/>
          <w:lang w:val="en-US"/>
        </w:rPr>
        <w:t>J Am Soc Nephrol</w:t>
      </w:r>
      <w:r w:rsidRPr="0069649A">
        <w:rPr>
          <w:rFonts w:ascii="Calibri" w:hAnsi="Calibri"/>
          <w:noProof/>
          <w:lang w:val="en-US"/>
        </w:rPr>
        <w:t>.</w:t>
      </w:r>
    </w:p>
    <w:p w14:paraId="26DA2369"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[26] </w:t>
      </w:r>
      <w:r w:rsidRPr="0069649A">
        <w:rPr>
          <w:rFonts w:ascii="Calibri" w:hAnsi="Calibri"/>
          <w:noProof/>
          <w:lang w:val="en-US"/>
        </w:rPr>
        <w:tab/>
        <w:t xml:space="preserve">Ronco C, Reis T. Kidney involvement in COVID-19 and rationale for extracorporeal therapies. </w:t>
      </w:r>
      <w:r w:rsidRPr="0069649A">
        <w:rPr>
          <w:rFonts w:ascii="Calibri" w:hAnsi="Calibri"/>
          <w:i/>
          <w:iCs/>
          <w:noProof/>
          <w:lang w:val="en-US"/>
        </w:rPr>
        <w:t>Nature Reviews Nephrology</w:t>
      </w:r>
      <w:r w:rsidRPr="0069649A">
        <w:rPr>
          <w:rFonts w:ascii="Calibri" w:hAnsi="Calibri"/>
          <w:noProof/>
          <w:lang w:val="en-US"/>
        </w:rPr>
        <w:t>. Epub ahead of print 2020. DOI: 10.1038/s41581-020-0284-7.</w:t>
      </w:r>
    </w:p>
    <w:p w14:paraId="198D48B7"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[27] </w:t>
      </w:r>
      <w:r w:rsidRPr="0069649A">
        <w:rPr>
          <w:rFonts w:ascii="Calibri" w:hAnsi="Calibri"/>
          <w:noProof/>
          <w:lang w:val="en-US"/>
        </w:rPr>
        <w:tab/>
        <w:t xml:space="preserve">Abdel-Kader K, Palevsky PM. Acute Kidney Injury in the Elderly. </w:t>
      </w:r>
      <w:r w:rsidRPr="0069649A">
        <w:rPr>
          <w:rFonts w:ascii="Calibri" w:hAnsi="Calibri"/>
          <w:i/>
          <w:iCs/>
          <w:noProof/>
          <w:lang w:val="en-US"/>
        </w:rPr>
        <w:t>Clinics in Geriatric Medicine</w:t>
      </w:r>
      <w:r w:rsidRPr="0069649A">
        <w:rPr>
          <w:rFonts w:ascii="Calibri" w:hAnsi="Calibri"/>
          <w:noProof/>
          <w:lang w:val="en-US"/>
        </w:rPr>
        <w:t>. Epub ahead of print 2009. DOI: 10.1016/j.cger.2009.04.001.</w:t>
      </w:r>
    </w:p>
    <w:p w14:paraId="5C2B5897"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[28] </w:t>
      </w:r>
      <w:r w:rsidRPr="0069649A">
        <w:rPr>
          <w:rFonts w:ascii="Calibri" w:hAnsi="Calibri"/>
          <w:noProof/>
          <w:lang w:val="en-US"/>
        </w:rPr>
        <w:tab/>
        <w:t xml:space="preserve">Ortenauklinikum BL. Hypernatremia in critically ill patients with Covid-19. </w:t>
      </w:r>
      <w:r w:rsidRPr="0069649A">
        <w:rPr>
          <w:rFonts w:ascii="Calibri" w:hAnsi="Calibri"/>
          <w:i/>
          <w:iCs/>
          <w:noProof/>
          <w:lang w:val="en-US"/>
        </w:rPr>
        <w:t>ICTRP</w:t>
      </w:r>
      <w:r w:rsidRPr="0069649A">
        <w:rPr>
          <w:rFonts w:ascii="Calibri" w:hAnsi="Calibri"/>
          <w:noProof/>
          <w:lang w:val="en-US"/>
        </w:rPr>
        <w:t>.</w:t>
      </w:r>
    </w:p>
    <w:p w14:paraId="05F276F8"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[29] </w:t>
      </w:r>
      <w:r w:rsidRPr="0069649A">
        <w:rPr>
          <w:rFonts w:ascii="Calibri" w:hAnsi="Calibri"/>
          <w:noProof/>
          <w:lang w:val="en-US"/>
        </w:rPr>
        <w:tab/>
        <w:t xml:space="preserve">Christ-Crain M, Hoorn EJ, Sherlock M, et al. ENDOCRINOLOGY in the TIME of COVID-19: Management of diabetes insipidus and hyponatraemia. </w:t>
      </w:r>
      <w:r w:rsidRPr="0069649A">
        <w:rPr>
          <w:rFonts w:ascii="Calibri" w:hAnsi="Calibri"/>
          <w:i/>
          <w:iCs/>
          <w:noProof/>
          <w:lang w:val="en-US"/>
        </w:rPr>
        <w:t>European Journal of Endocrinology</w:t>
      </w:r>
      <w:r w:rsidRPr="0069649A">
        <w:rPr>
          <w:rFonts w:ascii="Calibri" w:hAnsi="Calibri"/>
          <w:noProof/>
          <w:lang w:val="en-US"/>
        </w:rPr>
        <w:t>. Epub ahead of print 2020. DOI: 10.1530/EJE-20-0338.</w:t>
      </w:r>
    </w:p>
    <w:p w14:paraId="41CAC0F7"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[30] </w:t>
      </w:r>
      <w:r w:rsidRPr="0069649A">
        <w:rPr>
          <w:rFonts w:ascii="Calibri" w:hAnsi="Calibri"/>
          <w:noProof/>
          <w:lang w:val="en-US"/>
        </w:rPr>
        <w:tab/>
        <w:t xml:space="preserve">Mohan R, Mohapatra B. Shedding Light on Dysphagia Associated With COVID-19: The What and Why. </w:t>
      </w:r>
      <w:r w:rsidRPr="0069649A">
        <w:rPr>
          <w:rFonts w:ascii="Calibri" w:hAnsi="Calibri"/>
          <w:i/>
          <w:iCs/>
          <w:noProof/>
          <w:lang w:val="en-US"/>
        </w:rPr>
        <w:t>OTO Open</w:t>
      </w:r>
      <w:r w:rsidRPr="0069649A">
        <w:rPr>
          <w:rFonts w:ascii="Calibri" w:hAnsi="Calibri"/>
          <w:noProof/>
          <w:lang w:val="en-US"/>
        </w:rPr>
        <w:t>. Epub ahead of print 2020. DOI: 10.1177/2473974x20934770.</w:t>
      </w:r>
    </w:p>
    <w:p w14:paraId="1A599867"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lang w:val="en-US"/>
        </w:rPr>
      </w:pPr>
      <w:r w:rsidRPr="0069649A">
        <w:rPr>
          <w:rFonts w:ascii="Calibri" w:hAnsi="Calibri"/>
          <w:noProof/>
          <w:lang w:val="en-US"/>
        </w:rPr>
        <w:t xml:space="preserve">[31] </w:t>
      </w:r>
      <w:r w:rsidRPr="0069649A">
        <w:rPr>
          <w:rFonts w:ascii="Calibri" w:hAnsi="Calibri"/>
          <w:noProof/>
          <w:lang w:val="en-US"/>
        </w:rPr>
        <w:tab/>
        <w:t xml:space="preserve">Benson NM, Öngür D, Hsu J. COVID-19 testing and patients in mental health facilities. </w:t>
      </w:r>
      <w:r w:rsidRPr="0069649A">
        <w:rPr>
          <w:rFonts w:ascii="Calibri" w:hAnsi="Calibri"/>
          <w:i/>
          <w:iCs/>
          <w:noProof/>
          <w:lang w:val="en-US"/>
        </w:rPr>
        <w:t>The Lancet Psychiatry</w:t>
      </w:r>
      <w:r w:rsidRPr="0069649A">
        <w:rPr>
          <w:rFonts w:ascii="Calibri" w:hAnsi="Calibri"/>
          <w:noProof/>
          <w:lang w:val="en-US"/>
        </w:rPr>
        <w:t>. Epub ahead of print 2020. DOI: 10.1016/S2215-0366(20)30198-X.</w:t>
      </w:r>
    </w:p>
    <w:p w14:paraId="7A3864A2" w14:textId="77777777" w:rsidR="00982414" w:rsidRPr="0069649A" w:rsidRDefault="00982414" w:rsidP="00982414">
      <w:pPr>
        <w:widowControl w:val="0"/>
        <w:autoSpaceDE w:val="0"/>
        <w:autoSpaceDN w:val="0"/>
        <w:adjustRightInd w:val="0"/>
        <w:spacing w:line="480" w:lineRule="auto"/>
        <w:ind w:left="640" w:hanging="640"/>
        <w:rPr>
          <w:rFonts w:ascii="Calibri" w:hAnsi="Calibri"/>
          <w:noProof/>
        </w:rPr>
      </w:pPr>
      <w:r w:rsidRPr="0069649A">
        <w:rPr>
          <w:rFonts w:ascii="Calibri" w:hAnsi="Calibri"/>
          <w:noProof/>
          <w:lang w:val="en-US"/>
        </w:rPr>
        <w:t xml:space="preserve">[32] </w:t>
      </w:r>
      <w:r w:rsidRPr="0069649A">
        <w:rPr>
          <w:rFonts w:ascii="Calibri" w:hAnsi="Calibri"/>
          <w:noProof/>
          <w:lang w:val="en-US"/>
        </w:rPr>
        <w:tab/>
        <w:t xml:space="preserve">Zhu Y, Chen L, Ji H, et al. The Risk and Prevention of Novel Coronavirus Pneumonia Infections Among Inpatients in Psychiatric Hospitals. </w:t>
      </w:r>
      <w:r w:rsidRPr="0069649A">
        <w:rPr>
          <w:rFonts w:ascii="Calibri" w:hAnsi="Calibri"/>
          <w:i/>
          <w:iCs/>
          <w:noProof/>
          <w:lang w:val="en-US"/>
        </w:rPr>
        <w:t>Neuroscience Bulletin</w:t>
      </w:r>
      <w:r w:rsidRPr="0069649A">
        <w:rPr>
          <w:rFonts w:ascii="Calibri" w:hAnsi="Calibri"/>
          <w:noProof/>
          <w:lang w:val="en-US"/>
        </w:rPr>
        <w:t>. Epub ahead of print 2020. DOI: 10.1007/s12264-020-00476-9.</w:t>
      </w:r>
    </w:p>
    <w:p w14:paraId="133A3EBF" w14:textId="2FDC7EA9" w:rsidR="00F115AF" w:rsidRDefault="003D00D6" w:rsidP="00982414">
      <w:pPr>
        <w:widowControl w:val="0"/>
        <w:autoSpaceDE w:val="0"/>
        <w:autoSpaceDN w:val="0"/>
        <w:adjustRightInd w:val="0"/>
        <w:spacing w:line="480" w:lineRule="auto"/>
        <w:ind w:left="640" w:hanging="640"/>
        <w:rPr>
          <w:rFonts w:asciiTheme="majorHAnsi" w:hAnsiTheme="majorHAnsi"/>
          <w:b/>
        </w:rPr>
      </w:pPr>
      <w:r w:rsidRPr="0069649A">
        <w:rPr>
          <w:rFonts w:asciiTheme="majorHAnsi" w:hAnsiTheme="majorHAnsi"/>
          <w:b/>
        </w:rPr>
        <w:fldChar w:fldCharType="end"/>
      </w:r>
    </w:p>
    <w:p w14:paraId="38F3EF43" w14:textId="77777777" w:rsidR="00F115AF" w:rsidRDefault="00F115AF">
      <w:pPr>
        <w:rPr>
          <w:rFonts w:asciiTheme="majorHAnsi" w:hAnsiTheme="majorHAnsi"/>
          <w:b/>
        </w:rPr>
      </w:pPr>
      <w:r>
        <w:rPr>
          <w:rFonts w:asciiTheme="majorHAnsi" w:hAnsiTheme="majorHAnsi"/>
          <w:b/>
        </w:rPr>
        <w:br w:type="page"/>
      </w:r>
    </w:p>
    <w:p w14:paraId="4FC0BB41" w14:textId="249F4107" w:rsidR="005B4A22" w:rsidRPr="00F115AF" w:rsidRDefault="00F115AF" w:rsidP="00982414">
      <w:pPr>
        <w:widowControl w:val="0"/>
        <w:autoSpaceDE w:val="0"/>
        <w:autoSpaceDN w:val="0"/>
        <w:adjustRightInd w:val="0"/>
        <w:spacing w:line="480" w:lineRule="auto"/>
        <w:ind w:left="640" w:hanging="640"/>
        <w:rPr>
          <w:rFonts w:asciiTheme="majorHAnsi" w:hAnsiTheme="majorHAnsi"/>
          <w:b/>
        </w:rPr>
      </w:pPr>
      <w:r w:rsidRPr="00F115AF">
        <w:rPr>
          <w:rFonts w:asciiTheme="majorHAnsi" w:hAnsiTheme="majorHAnsi"/>
          <w:b/>
        </w:rPr>
        <w:t>Table 1</w:t>
      </w:r>
    </w:p>
    <w:tbl>
      <w:tblPr>
        <w:tblStyle w:val="TableGrid"/>
        <w:tblW w:w="8784" w:type="dxa"/>
        <w:tblLayout w:type="fixed"/>
        <w:tblLook w:val="04A0" w:firstRow="1" w:lastRow="0" w:firstColumn="1" w:lastColumn="0" w:noHBand="0" w:noVBand="1"/>
      </w:tblPr>
      <w:tblGrid>
        <w:gridCol w:w="2263"/>
        <w:gridCol w:w="1843"/>
        <w:gridCol w:w="1843"/>
        <w:gridCol w:w="1843"/>
        <w:gridCol w:w="992"/>
      </w:tblGrid>
      <w:tr w:rsidR="00F115AF" w:rsidRPr="00F115AF" w14:paraId="777AAB77" w14:textId="77777777" w:rsidTr="00765ED7">
        <w:trPr>
          <w:trHeight w:val="465"/>
        </w:trPr>
        <w:tc>
          <w:tcPr>
            <w:tcW w:w="2263" w:type="dxa"/>
          </w:tcPr>
          <w:p w14:paraId="6098E183" w14:textId="77777777" w:rsidR="00F115AF" w:rsidRPr="00F115AF" w:rsidRDefault="00F115AF" w:rsidP="00F115AF">
            <w:pPr>
              <w:spacing w:line="480" w:lineRule="auto"/>
              <w:rPr>
                <w:rFonts w:asciiTheme="majorHAnsi" w:eastAsia="Times New Roman" w:hAnsiTheme="majorHAnsi" w:cs="Times New Roman"/>
                <w:color w:val="000000"/>
                <w:sz w:val="22"/>
                <w:szCs w:val="22"/>
              </w:rPr>
            </w:pPr>
          </w:p>
        </w:tc>
        <w:tc>
          <w:tcPr>
            <w:tcW w:w="1843" w:type="dxa"/>
          </w:tcPr>
          <w:p w14:paraId="64104876" w14:textId="77777777" w:rsidR="00F115AF" w:rsidRPr="00F115AF" w:rsidRDefault="00F115AF" w:rsidP="00F115AF">
            <w:pPr>
              <w:spacing w:line="480" w:lineRule="auto"/>
              <w:rPr>
                <w:rFonts w:asciiTheme="majorHAnsi" w:hAnsiTheme="majorHAnsi"/>
              </w:rPr>
            </w:pPr>
            <w:r w:rsidRPr="00F115AF">
              <w:rPr>
                <w:rFonts w:asciiTheme="majorHAnsi" w:eastAsia="Times New Roman" w:hAnsiTheme="majorHAnsi" w:cs="Times New Roman"/>
                <w:color w:val="000000"/>
                <w:sz w:val="22"/>
                <w:szCs w:val="22"/>
              </w:rPr>
              <w:t>All (n=124)</w:t>
            </w:r>
          </w:p>
        </w:tc>
        <w:tc>
          <w:tcPr>
            <w:tcW w:w="1843" w:type="dxa"/>
          </w:tcPr>
          <w:p w14:paraId="5FB8C9F5" w14:textId="77777777" w:rsidR="00F115AF" w:rsidRPr="00F115AF" w:rsidRDefault="00F115AF" w:rsidP="00F115AF">
            <w:pPr>
              <w:spacing w:line="480" w:lineRule="auto"/>
              <w:rPr>
                <w:rFonts w:asciiTheme="majorHAnsi" w:eastAsia="Times New Roman" w:hAnsiTheme="majorHAnsi" w:cs="Times New Roman"/>
                <w:color w:val="000000"/>
                <w:sz w:val="22"/>
                <w:szCs w:val="22"/>
              </w:rPr>
            </w:pPr>
            <w:r w:rsidRPr="00F115AF">
              <w:rPr>
                <w:rFonts w:asciiTheme="majorHAnsi" w:eastAsia="Times New Roman" w:hAnsiTheme="majorHAnsi" w:cs="Times New Roman"/>
                <w:color w:val="000000"/>
                <w:sz w:val="22"/>
                <w:szCs w:val="22"/>
              </w:rPr>
              <w:t>Survived (n=87)</w:t>
            </w:r>
          </w:p>
        </w:tc>
        <w:tc>
          <w:tcPr>
            <w:tcW w:w="1843" w:type="dxa"/>
          </w:tcPr>
          <w:p w14:paraId="4F2895D8" w14:textId="77777777" w:rsidR="00F115AF" w:rsidRPr="00F115AF" w:rsidRDefault="00F115AF" w:rsidP="00F115AF">
            <w:pPr>
              <w:spacing w:line="480" w:lineRule="auto"/>
              <w:rPr>
                <w:rFonts w:asciiTheme="majorHAnsi" w:eastAsia="Times New Roman" w:hAnsiTheme="majorHAnsi" w:cs="Times New Roman"/>
                <w:color w:val="000000"/>
                <w:sz w:val="22"/>
                <w:szCs w:val="22"/>
              </w:rPr>
            </w:pPr>
            <w:r w:rsidRPr="00F115AF">
              <w:rPr>
                <w:rFonts w:asciiTheme="majorHAnsi" w:eastAsia="Times New Roman" w:hAnsiTheme="majorHAnsi" w:cs="Times New Roman"/>
                <w:color w:val="000000"/>
                <w:sz w:val="22"/>
                <w:szCs w:val="22"/>
              </w:rPr>
              <w:t>Died (n=37)</w:t>
            </w:r>
          </w:p>
        </w:tc>
        <w:tc>
          <w:tcPr>
            <w:tcW w:w="992" w:type="dxa"/>
          </w:tcPr>
          <w:p w14:paraId="63095124" w14:textId="77777777" w:rsidR="00F115AF" w:rsidRPr="00F115AF" w:rsidRDefault="00F115AF" w:rsidP="00F115AF">
            <w:pPr>
              <w:spacing w:line="480" w:lineRule="auto"/>
              <w:rPr>
                <w:rFonts w:asciiTheme="majorHAnsi" w:eastAsia="Times New Roman" w:hAnsiTheme="majorHAnsi" w:cs="Times New Roman"/>
                <w:color w:val="000000"/>
                <w:sz w:val="22"/>
                <w:szCs w:val="22"/>
              </w:rPr>
            </w:pPr>
            <w:r w:rsidRPr="00F115AF">
              <w:rPr>
                <w:rFonts w:asciiTheme="majorHAnsi" w:eastAsia="Times New Roman" w:hAnsiTheme="majorHAnsi" w:cs="Times New Roman"/>
                <w:color w:val="000000"/>
                <w:sz w:val="22"/>
                <w:szCs w:val="22"/>
              </w:rPr>
              <w:t>P</w:t>
            </w:r>
          </w:p>
        </w:tc>
      </w:tr>
      <w:tr w:rsidR="00F115AF" w:rsidRPr="00F115AF" w14:paraId="35174145" w14:textId="77777777" w:rsidTr="00765ED7">
        <w:trPr>
          <w:trHeight w:val="165"/>
        </w:trPr>
        <w:tc>
          <w:tcPr>
            <w:tcW w:w="2263" w:type="dxa"/>
          </w:tcPr>
          <w:p w14:paraId="3810E8D2"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Demographics</w:t>
            </w:r>
          </w:p>
        </w:tc>
        <w:tc>
          <w:tcPr>
            <w:tcW w:w="1843" w:type="dxa"/>
          </w:tcPr>
          <w:p w14:paraId="7BC08C0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24C94DF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59C12A57"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6282201F" w14:textId="77777777" w:rsidR="00F115AF" w:rsidRPr="00F115AF" w:rsidRDefault="00F115AF" w:rsidP="00F115AF">
            <w:pPr>
              <w:spacing w:line="480" w:lineRule="auto"/>
              <w:rPr>
                <w:rFonts w:ascii="Calibri" w:eastAsia="Times New Roman" w:hAnsi="Calibri"/>
                <w:b/>
                <w:color w:val="000000"/>
                <w:sz w:val="22"/>
                <w:szCs w:val="22"/>
              </w:rPr>
            </w:pPr>
          </w:p>
        </w:tc>
      </w:tr>
      <w:tr w:rsidR="00F115AF" w:rsidRPr="00F115AF" w14:paraId="41D27838" w14:textId="77777777" w:rsidTr="00765ED7">
        <w:trPr>
          <w:trHeight w:val="165"/>
        </w:trPr>
        <w:tc>
          <w:tcPr>
            <w:tcW w:w="2263" w:type="dxa"/>
          </w:tcPr>
          <w:p w14:paraId="582FBF2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Males, n (%)</w:t>
            </w:r>
          </w:p>
        </w:tc>
        <w:tc>
          <w:tcPr>
            <w:tcW w:w="1843" w:type="dxa"/>
          </w:tcPr>
          <w:p w14:paraId="3AC4C86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63/124 (50.8%)</w:t>
            </w:r>
          </w:p>
        </w:tc>
        <w:tc>
          <w:tcPr>
            <w:tcW w:w="1843" w:type="dxa"/>
          </w:tcPr>
          <w:p w14:paraId="2A4A039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38/87 (43%)</w:t>
            </w:r>
          </w:p>
        </w:tc>
        <w:tc>
          <w:tcPr>
            <w:tcW w:w="1843" w:type="dxa"/>
          </w:tcPr>
          <w:p w14:paraId="7477C92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25/37 (67%)</w:t>
            </w:r>
          </w:p>
        </w:tc>
        <w:tc>
          <w:tcPr>
            <w:tcW w:w="992" w:type="dxa"/>
          </w:tcPr>
          <w:p w14:paraId="326E056A" w14:textId="77777777" w:rsidR="00F115AF" w:rsidRPr="00F115AF" w:rsidRDefault="00F115AF" w:rsidP="00F115AF">
            <w:pPr>
              <w:spacing w:line="480" w:lineRule="auto"/>
              <w:rPr>
                <w:rFonts w:ascii="Calibri" w:eastAsia="Times New Roman" w:hAnsi="Calibri"/>
                <w:b/>
                <w:color w:val="000000"/>
                <w:sz w:val="22"/>
                <w:szCs w:val="22"/>
              </w:rPr>
            </w:pPr>
            <w:r w:rsidRPr="00F115AF">
              <w:rPr>
                <w:rFonts w:ascii="Calibri" w:eastAsia="Times New Roman" w:hAnsi="Calibri"/>
                <w:b/>
                <w:color w:val="000000"/>
                <w:sz w:val="22"/>
                <w:szCs w:val="22"/>
              </w:rPr>
              <w:t>0.018</w:t>
            </w:r>
          </w:p>
        </w:tc>
      </w:tr>
      <w:tr w:rsidR="00F115AF" w:rsidRPr="00F115AF" w14:paraId="729C7A61" w14:textId="77777777" w:rsidTr="00765ED7">
        <w:trPr>
          <w:trHeight w:val="165"/>
        </w:trPr>
        <w:tc>
          <w:tcPr>
            <w:tcW w:w="2263" w:type="dxa"/>
          </w:tcPr>
          <w:p w14:paraId="425AC57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Age (Median-IQR)</w:t>
            </w:r>
          </w:p>
        </w:tc>
        <w:tc>
          <w:tcPr>
            <w:tcW w:w="1843" w:type="dxa"/>
          </w:tcPr>
          <w:p w14:paraId="2F56979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83 (79.25 – 89)</w:t>
            </w:r>
          </w:p>
        </w:tc>
        <w:tc>
          <w:tcPr>
            <w:tcW w:w="1843" w:type="dxa"/>
          </w:tcPr>
          <w:p w14:paraId="28022D2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83 (78-89)</w:t>
            </w:r>
          </w:p>
        </w:tc>
        <w:tc>
          <w:tcPr>
            <w:tcW w:w="1843" w:type="dxa"/>
          </w:tcPr>
          <w:p w14:paraId="768B454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84 (81-88)</w:t>
            </w:r>
          </w:p>
        </w:tc>
        <w:tc>
          <w:tcPr>
            <w:tcW w:w="992" w:type="dxa"/>
          </w:tcPr>
          <w:p w14:paraId="57EE78C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6C170F98" w14:textId="77777777" w:rsidTr="00765ED7">
        <w:trPr>
          <w:trHeight w:val="165"/>
        </w:trPr>
        <w:tc>
          <w:tcPr>
            <w:tcW w:w="2263" w:type="dxa"/>
          </w:tcPr>
          <w:p w14:paraId="780FC06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Age (≥80 years)</w:t>
            </w:r>
          </w:p>
        </w:tc>
        <w:tc>
          <w:tcPr>
            <w:tcW w:w="1843" w:type="dxa"/>
          </w:tcPr>
          <w:p w14:paraId="0F549E6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93 /124 </w:t>
            </w:r>
            <w:bookmarkStart w:id="0" w:name="_GoBack"/>
            <w:bookmarkEnd w:id="0"/>
            <w:r w:rsidRPr="00F115AF">
              <w:rPr>
                <w:rFonts w:ascii="Calibri" w:eastAsia="Times New Roman" w:hAnsi="Calibri"/>
                <w:color w:val="000000"/>
                <w:sz w:val="22"/>
                <w:szCs w:val="22"/>
              </w:rPr>
              <w:t>(75%)</w:t>
            </w:r>
          </w:p>
        </w:tc>
        <w:tc>
          <w:tcPr>
            <w:tcW w:w="1843" w:type="dxa"/>
          </w:tcPr>
          <w:p w14:paraId="3C4DF32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60/87 (69%)</w:t>
            </w:r>
          </w:p>
        </w:tc>
        <w:tc>
          <w:tcPr>
            <w:tcW w:w="1843" w:type="dxa"/>
          </w:tcPr>
          <w:p w14:paraId="1575937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33/37 (89.2%)</w:t>
            </w:r>
          </w:p>
        </w:tc>
        <w:tc>
          <w:tcPr>
            <w:tcW w:w="992" w:type="dxa"/>
          </w:tcPr>
          <w:p w14:paraId="5AA7A2A2" w14:textId="77777777" w:rsidR="00F115AF" w:rsidRPr="00F115AF" w:rsidRDefault="00F115AF" w:rsidP="00F115AF">
            <w:pPr>
              <w:spacing w:line="480" w:lineRule="auto"/>
              <w:rPr>
                <w:rFonts w:ascii="Calibri" w:eastAsia="Times New Roman" w:hAnsi="Calibri"/>
                <w:b/>
                <w:color w:val="000000"/>
                <w:sz w:val="22"/>
                <w:szCs w:val="22"/>
              </w:rPr>
            </w:pPr>
            <w:r w:rsidRPr="00F115AF">
              <w:rPr>
                <w:rFonts w:ascii="Calibri" w:eastAsia="Times New Roman" w:hAnsi="Calibri"/>
                <w:b/>
                <w:color w:val="000000"/>
                <w:sz w:val="22"/>
                <w:szCs w:val="22"/>
              </w:rPr>
              <w:t>0.022</w:t>
            </w:r>
          </w:p>
        </w:tc>
      </w:tr>
      <w:tr w:rsidR="00F115AF" w:rsidRPr="00F115AF" w14:paraId="59F495FE" w14:textId="77777777" w:rsidTr="00765ED7">
        <w:trPr>
          <w:trHeight w:val="165"/>
        </w:trPr>
        <w:tc>
          <w:tcPr>
            <w:tcW w:w="2263" w:type="dxa"/>
          </w:tcPr>
          <w:p w14:paraId="4BBE25E4"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58C0766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6A8BB17F"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0C25520C"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0EC941F9"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15CE590A" w14:textId="77777777" w:rsidTr="00765ED7">
        <w:trPr>
          <w:trHeight w:val="165"/>
        </w:trPr>
        <w:tc>
          <w:tcPr>
            <w:tcW w:w="2263" w:type="dxa"/>
          </w:tcPr>
          <w:p w14:paraId="172B1561"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Ethnicity, n (%)</w:t>
            </w:r>
          </w:p>
        </w:tc>
        <w:tc>
          <w:tcPr>
            <w:tcW w:w="1843" w:type="dxa"/>
          </w:tcPr>
          <w:p w14:paraId="6ADFF77D"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2D265AA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337106F2"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12244DEE"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54918A02" w14:textId="77777777" w:rsidTr="00765ED7">
        <w:trPr>
          <w:trHeight w:val="165"/>
        </w:trPr>
        <w:tc>
          <w:tcPr>
            <w:tcW w:w="2263" w:type="dxa"/>
          </w:tcPr>
          <w:p w14:paraId="283A833D"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White / White British</w:t>
            </w:r>
          </w:p>
        </w:tc>
        <w:tc>
          <w:tcPr>
            <w:tcW w:w="1843" w:type="dxa"/>
          </w:tcPr>
          <w:p w14:paraId="67C9943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80/124 (64.6%)</w:t>
            </w:r>
          </w:p>
        </w:tc>
        <w:tc>
          <w:tcPr>
            <w:tcW w:w="1843" w:type="dxa"/>
          </w:tcPr>
          <w:p w14:paraId="3B4933F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58/87 (66.7%)</w:t>
            </w:r>
          </w:p>
        </w:tc>
        <w:tc>
          <w:tcPr>
            <w:tcW w:w="1843" w:type="dxa"/>
          </w:tcPr>
          <w:p w14:paraId="025B66F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23/36 (63.9%)</w:t>
            </w:r>
          </w:p>
        </w:tc>
        <w:tc>
          <w:tcPr>
            <w:tcW w:w="992" w:type="dxa"/>
            <w:vMerge w:val="restart"/>
          </w:tcPr>
          <w:p w14:paraId="078A029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3DD810ED" w14:textId="77777777" w:rsidTr="00765ED7">
        <w:trPr>
          <w:trHeight w:val="165"/>
        </w:trPr>
        <w:tc>
          <w:tcPr>
            <w:tcW w:w="2263" w:type="dxa"/>
          </w:tcPr>
          <w:p w14:paraId="6E685FEE"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Asian / Asian British</w:t>
            </w:r>
          </w:p>
        </w:tc>
        <w:tc>
          <w:tcPr>
            <w:tcW w:w="1843" w:type="dxa"/>
          </w:tcPr>
          <w:p w14:paraId="35352FF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21/124 (16.9%)</w:t>
            </w:r>
          </w:p>
        </w:tc>
        <w:tc>
          <w:tcPr>
            <w:tcW w:w="1843" w:type="dxa"/>
          </w:tcPr>
          <w:p w14:paraId="547EC06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12/87 (13.8%)</w:t>
            </w:r>
          </w:p>
        </w:tc>
        <w:tc>
          <w:tcPr>
            <w:tcW w:w="1843" w:type="dxa"/>
          </w:tcPr>
          <w:p w14:paraId="1DA8BBF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9/36 (25.0%)</w:t>
            </w:r>
          </w:p>
        </w:tc>
        <w:tc>
          <w:tcPr>
            <w:tcW w:w="992" w:type="dxa"/>
            <w:vMerge/>
          </w:tcPr>
          <w:p w14:paraId="6D3FA634"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0BF32AC2" w14:textId="77777777" w:rsidTr="00765ED7">
        <w:trPr>
          <w:trHeight w:val="165"/>
        </w:trPr>
        <w:tc>
          <w:tcPr>
            <w:tcW w:w="2263" w:type="dxa"/>
          </w:tcPr>
          <w:p w14:paraId="250E2D7D"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Black / Black British</w:t>
            </w:r>
          </w:p>
        </w:tc>
        <w:tc>
          <w:tcPr>
            <w:tcW w:w="1843" w:type="dxa"/>
          </w:tcPr>
          <w:p w14:paraId="2BF3E2A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21/124 (16.9%)</w:t>
            </w:r>
          </w:p>
        </w:tc>
        <w:tc>
          <w:tcPr>
            <w:tcW w:w="1843" w:type="dxa"/>
          </w:tcPr>
          <w:p w14:paraId="464A52F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17/87 (19.5%)</w:t>
            </w:r>
          </w:p>
        </w:tc>
        <w:tc>
          <w:tcPr>
            <w:tcW w:w="1843" w:type="dxa"/>
          </w:tcPr>
          <w:p w14:paraId="2C5DC01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4/36 (11.1%)</w:t>
            </w:r>
          </w:p>
        </w:tc>
        <w:tc>
          <w:tcPr>
            <w:tcW w:w="992" w:type="dxa"/>
            <w:vMerge/>
          </w:tcPr>
          <w:p w14:paraId="239E536C"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68BFDF22" w14:textId="77777777" w:rsidTr="00765ED7">
        <w:trPr>
          <w:trHeight w:val="165"/>
        </w:trPr>
        <w:tc>
          <w:tcPr>
            <w:tcW w:w="2263" w:type="dxa"/>
          </w:tcPr>
          <w:p w14:paraId="0ABC03C3"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Data not available</w:t>
            </w:r>
          </w:p>
        </w:tc>
        <w:tc>
          <w:tcPr>
            <w:tcW w:w="1843" w:type="dxa"/>
          </w:tcPr>
          <w:p w14:paraId="69E8F48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1/124 (0.8%)</w:t>
            </w:r>
          </w:p>
        </w:tc>
        <w:tc>
          <w:tcPr>
            <w:tcW w:w="1843" w:type="dxa"/>
          </w:tcPr>
          <w:p w14:paraId="28FAC59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0</w:t>
            </w:r>
          </w:p>
        </w:tc>
        <w:tc>
          <w:tcPr>
            <w:tcW w:w="1843" w:type="dxa"/>
          </w:tcPr>
          <w:p w14:paraId="377A780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w:t>
            </w:r>
          </w:p>
        </w:tc>
        <w:tc>
          <w:tcPr>
            <w:tcW w:w="992" w:type="dxa"/>
          </w:tcPr>
          <w:p w14:paraId="705ADC3C"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2FF00BDA" w14:textId="77777777" w:rsidTr="00765ED7">
        <w:trPr>
          <w:trHeight w:val="629"/>
        </w:trPr>
        <w:tc>
          <w:tcPr>
            <w:tcW w:w="2263" w:type="dxa"/>
          </w:tcPr>
          <w:p w14:paraId="23E0066D"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1843" w:type="dxa"/>
          </w:tcPr>
          <w:p w14:paraId="64634CBA"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1843" w:type="dxa"/>
          </w:tcPr>
          <w:p w14:paraId="50836033"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1843" w:type="dxa"/>
          </w:tcPr>
          <w:p w14:paraId="5B0E5C31"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992" w:type="dxa"/>
          </w:tcPr>
          <w:p w14:paraId="50F3B192"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3FDB6568" w14:textId="77777777" w:rsidTr="00765ED7">
        <w:trPr>
          <w:trHeight w:val="165"/>
        </w:trPr>
        <w:tc>
          <w:tcPr>
            <w:tcW w:w="2263" w:type="dxa"/>
          </w:tcPr>
          <w:p w14:paraId="27036D8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Hospital acquired </w:t>
            </w:r>
          </w:p>
        </w:tc>
        <w:tc>
          <w:tcPr>
            <w:tcW w:w="1843" w:type="dxa"/>
          </w:tcPr>
          <w:p w14:paraId="498EC5B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24/124  (19.4%)</w:t>
            </w:r>
          </w:p>
        </w:tc>
        <w:tc>
          <w:tcPr>
            <w:tcW w:w="1843" w:type="dxa"/>
          </w:tcPr>
          <w:p w14:paraId="0544C5B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16/87 (18.4%)</w:t>
            </w:r>
          </w:p>
        </w:tc>
        <w:tc>
          <w:tcPr>
            <w:tcW w:w="1843" w:type="dxa"/>
          </w:tcPr>
          <w:p w14:paraId="3A62DAF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8/37 (21.6%)</w:t>
            </w:r>
          </w:p>
        </w:tc>
        <w:tc>
          <w:tcPr>
            <w:tcW w:w="992" w:type="dxa"/>
            <w:vMerge w:val="restart"/>
          </w:tcPr>
          <w:p w14:paraId="7D76565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3E24B88C" w14:textId="77777777" w:rsidTr="00765ED7">
        <w:trPr>
          <w:trHeight w:val="165"/>
        </w:trPr>
        <w:tc>
          <w:tcPr>
            <w:tcW w:w="2263" w:type="dxa"/>
          </w:tcPr>
          <w:p w14:paraId="5ECE0EC9" w14:textId="77777777" w:rsidR="00F115AF" w:rsidRPr="00F115AF" w:rsidRDefault="00F115AF" w:rsidP="00F115AF">
            <w:pPr>
              <w:spacing w:line="480" w:lineRule="auto"/>
              <w:rPr>
                <w:rFonts w:ascii="Calibri" w:eastAsia="Times New Roman" w:hAnsi="Calibri"/>
                <w:bCs/>
                <w:color w:val="000000"/>
                <w:sz w:val="22"/>
                <w:szCs w:val="22"/>
              </w:rPr>
            </w:pPr>
            <w:r w:rsidRPr="00F115AF">
              <w:rPr>
                <w:rFonts w:ascii="Calibri" w:eastAsia="Times New Roman" w:hAnsi="Calibri"/>
                <w:bCs/>
                <w:color w:val="000000"/>
                <w:sz w:val="22"/>
                <w:szCs w:val="22"/>
              </w:rPr>
              <w:t>Non-hospital acquired</w:t>
            </w:r>
          </w:p>
        </w:tc>
        <w:tc>
          <w:tcPr>
            <w:tcW w:w="1843" w:type="dxa"/>
          </w:tcPr>
          <w:p w14:paraId="221A243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100/124 (80.6%)</w:t>
            </w:r>
          </w:p>
        </w:tc>
        <w:tc>
          <w:tcPr>
            <w:tcW w:w="1843" w:type="dxa"/>
          </w:tcPr>
          <w:p w14:paraId="5FEC1AB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71/87 (81.6%)</w:t>
            </w:r>
          </w:p>
        </w:tc>
        <w:tc>
          <w:tcPr>
            <w:tcW w:w="1843" w:type="dxa"/>
          </w:tcPr>
          <w:p w14:paraId="7FCA867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29/37 (78.4%)</w:t>
            </w:r>
          </w:p>
        </w:tc>
        <w:tc>
          <w:tcPr>
            <w:tcW w:w="992" w:type="dxa"/>
            <w:vMerge/>
          </w:tcPr>
          <w:p w14:paraId="1794AFB0"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4B4FEDD9" w14:textId="77777777" w:rsidTr="00765ED7">
        <w:trPr>
          <w:trHeight w:val="165"/>
        </w:trPr>
        <w:tc>
          <w:tcPr>
            <w:tcW w:w="2263" w:type="dxa"/>
          </w:tcPr>
          <w:p w14:paraId="21C8A2E3"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1843" w:type="dxa"/>
          </w:tcPr>
          <w:p w14:paraId="291D91A5"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1843" w:type="dxa"/>
          </w:tcPr>
          <w:p w14:paraId="6E691CBD"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1843" w:type="dxa"/>
          </w:tcPr>
          <w:p w14:paraId="51806888" w14:textId="77777777" w:rsidR="00F115AF" w:rsidRPr="00F115AF" w:rsidRDefault="00F115AF" w:rsidP="00F115AF">
            <w:pPr>
              <w:spacing w:line="480" w:lineRule="auto"/>
              <w:rPr>
                <w:rFonts w:ascii="Calibri" w:eastAsia="Times New Roman" w:hAnsi="Calibri"/>
                <w:color w:val="000000"/>
                <w:sz w:val="22"/>
                <w:szCs w:val="22"/>
                <w:highlight w:val="yellow"/>
              </w:rPr>
            </w:pPr>
          </w:p>
        </w:tc>
        <w:tc>
          <w:tcPr>
            <w:tcW w:w="992" w:type="dxa"/>
          </w:tcPr>
          <w:p w14:paraId="46371C92"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67A63295" w14:textId="77777777" w:rsidTr="00765ED7">
        <w:trPr>
          <w:trHeight w:val="165"/>
        </w:trPr>
        <w:tc>
          <w:tcPr>
            <w:tcW w:w="2263" w:type="dxa"/>
          </w:tcPr>
          <w:p w14:paraId="54646B62"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Living situation, n (%)</w:t>
            </w:r>
          </w:p>
        </w:tc>
        <w:tc>
          <w:tcPr>
            <w:tcW w:w="1843" w:type="dxa"/>
          </w:tcPr>
          <w:p w14:paraId="2B78685E"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4548A8D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0F8290B6"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1EF63D9B"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1F0E0B2E" w14:textId="77777777" w:rsidTr="00765ED7">
        <w:trPr>
          <w:trHeight w:val="389"/>
        </w:trPr>
        <w:tc>
          <w:tcPr>
            <w:tcW w:w="2263" w:type="dxa"/>
          </w:tcPr>
          <w:p w14:paraId="6DEF5EB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Own home </w:t>
            </w:r>
          </w:p>
        </w:tc>
        <w:tc>
          <w:tcPr>
            <w:tcW w:w="1843" w:type="dxa"/>
          </w:tcPr>
          <w:p w14:paraId="13114B2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93/124 (75%)</w:t>
            </w:r>
          </w:p>
        </w:tc>
        <w:tc>
          <w:tcPr>
            <w:tcW w:w="1843" w:type="dxa"/>
          </w:tcPr>
          <w:p w14:paraId="197BF0C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68/87 (78.2%)</w:t>
            </w:r>
          </w:p>
        </w:tc>
        <w:tc>
          <w:tcPr>
            <w:tcW w:w="1843" w:type="dxa"/>
          </w:tcPr>
          <w:p w14:paraId="42CFE5B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25/37 (67.6%)</w:t>
            </w:r>
          </w:p>
        </w:tc>
        <w:tc>
          <w:tcPr>
            <w:tcW w:w="992" w:type="dxa"/>
            <w:vMerge w:val="restart"/>
          </w:tcPr>
          <w:p w14:paraId="3CAB9F6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0.012</w:t>
            </w:r>
          </w:p>
        </w:tc>
      </w:tr>
      <w:tr w:rsidR="00F115AF" w:rsidRPr="00F115AF" w14:paraId="516F88BF" w14:textId="77777777" w:rsidTr="00765ED7">
        <w:trPr>
          <w:trHeight w:val="165"/>
        </w:trPr>
        <w:tc>
          <w:tcPr>
            <w:tcW w:w="2263" w:type="dxa"/>
          </w:tcPr>
          <w:p w14:paraId="78CFAD5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Sheltered accommodation</w:t>
            </w:r>
          </w:p>
        </w:tc>
        <w:tc>
          <w:tcPr>
            <w:tcW w:w="1843" w:type="dxa"/>
          </w:tcPr>
          <w:p w14:paraId="523AB7D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11/124 (8.9%)</w:t>
            </w:r>
          </w:p>
        </w:tc>
        <w:tc>
          <w:tcPr>
            <w:tcW w:w="1843" w:type="dxa"/>
          </w:tcPr>
          <w:p w14:paraId="31AB213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10/87 (11.5%)</w:t>
            </w:r>
          </w:p>
        </w:tc>
        <w:tc>
          <w:tcPr>
            <w:tcW w:w="1843" w:type="dxa"/>
          </w:tcPr>
          <w:p w14:paraId="0D256B8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1/37 (2.7%)</w:t>
            </w:r>
          </w:p>
        </w:tc>
        <w:tc>
          <w:tcPr>
            <w:tcW w:w="992" w:type="dxa"/>
            <w:vMerge/>
          </w:tcPr>
          <w:p w14:paraId="6F9C121B"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03D14347" w14:textId="77777777" w:rsidTr="00765ED7">
        <w:trPr>
          <w:trHeight w:val="165"/>
        </w:trPr>
        <w:tc>
          <w:tcPr>
            <w:tcW w:w="2263" w:type="dxa"/>
          </w:tcPr>
          <w:p w14:paraId="3EDDF9A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Residential home</w:t>
            </w:r>
          </w:p>
        </w:tc>
        <w:tc>
          <w:tcPr>
            <w:tcW w:w="1843" w:type="dxa"/>
          </w:tcPr>
          <w:p w14:paraId="64BF559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7/124 (5.6%)</w:t>
            </w:r>
          </w:p>
        </w:tc>
        <w:tc>
          <w:tcPr>
            <w:tcW w:w="1843" w:type="dxa"/>
          </w:tcPr>
          <w:p w14:paraId="1B430DC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4/87 (4.6%)</w:t>
            </w:r>
          </w:p>
        </w:tc>
        <w:tc>
          <w:tcPr>
            <w:tcW w:w="1843" w:type="dxa"/>
          </w:tcPr>
          <w:p w14:paraId="767413D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3/37 (8.1%)</w:t>
            </w:r>
          </w:p>
        </w:tc>
        <w:tc>
          <w:tcPr>
            <w:tcW w:w="992" w:type="dxa"/>
            <w:vMerge/>
          </w:tcPr>
          <w:p w14:paraId="5E29C757"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22BFDC52" w14:textId="77777777" w:rsidTr="00765ED7">
        <w:trPr>
          <w:trHeight w:val="165"/>
        </w:trPr>
        <w:tc>
          <w:tcPr>
            <w:tcW w:w="2263" w:type="dxa"/>
          </w:tcPr>
          <w:p w14:paraId="0E0EB92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Nursing home</w:t>
            </w:r>
          </w:p>
        </w:tc>
        <w:tc>
          <w:tcPr>
            <w:tcW w:w="1843" w:type="dxa"/>
          </w:tcPr>
          <w:p w14:paraId="65E12BF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8/124 (6.5%)</w:t>
            </w:r>
          </w:p>
        </w:tc>
        <w:tc>
          <w:tcPr>
            <w:tcW w:w="1843" w:type="dxa"/>
          </w:tcPr>
          <w:p w14:paraId="0A614C3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2/87 (2.3%)</w:t>
            </w:r>
          </w:p>
        </w:tc>
        <w:tc>
          <w:tcPr>
            <w:tcW w:w="1843" w:type="dxa"/>
          </w:tcPr>
          <w:p w14:paraId="51B4F85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6/37 (16.2%)</w:t>
            </w:r>
          </w:p>
        </w:tc>
        <w:tc>
          <w:tcPr>
            <w:tcW w:w="992" w:type="dxa"/>
            <w:vMerge/>
          </w:tcPr>
          <w:p w14:paraId="26A85489"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771E2153" w14:textId="77777777" w:rsidTr="00765ED7">
        <w:trPr>
          <w:trHeight w:val="165"/>
        </w:trPr>
        <w:tc>
          <w:tcPr>
            <w:tcW w:w="2263" w:type="dxa"/>
          </w:tcPr>
          <w:p w14:paraId="3573F36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Psychiatric hospital</w:t>
            </w:r>
          </w:p>
        </w:tc>
        <w:tc>
          <w:tcPr>
            <w:tcW w:w="1843" w:type="dxa"/>
          </w:tcPr>
          <w:p w14:paraId="3C4CB5E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4/124 (3.2%)</w:t>
            </w:r>
          </w:p>
        </w:tc>
        <w:tc>
          <w:tcPr>
            <w:tcW w:w="1843" w:type="dxa"/>
          </w:tcPr>
          <w:p w14:paraId="65EBBE8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2/87 (2.3%)</w:t>
            </w:r>
          </w:p>
        </w:tc>
        <w:tc>
          <w:tcPr>
            <w:tcW w:w="1843" w:type="dxa"/>
          </w:tcPr>
          <w:p w14:paraId="1FF8354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2/37 (5.4%)</w:t>
            </w:r>
          </w:p>
        </w:tc>
        <w:tc>
          <w:tcPr>
            <w:tcW w:w="992" w:type="dxa"/>
          </w:tcPr>
          <w:p w14:paraId="1021AE08"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5716F802" w14:textId="77777777" w:rsidTr="00765ED7">
        <w:trPr>
          <w:trHeight w:val="165"/>
        </w:trPr>
        <w:tc>
          <w:tcPr>
            <w:tcW w:w="2263" w:type="dxa"/>
          </w:tcPr>
          <w:p w14:paraId="59F164B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Data not available</w:t>
            </w:r>
            <w:r w:rsidRPr="00F115AF" w:rsidDel="0069074D">
              <w:rPr>
                <w:rFonts w:ascii="Calibri" w:eastAsia="Times New Roman" w:hAnsi="Calibri"/>
                <w:color w:val="000000"/>
                <w:sz w:val="22"/>
                <w:szCs w:val="22"/>
              </w:rPr>
              <w:t xml:space="preserve"> </w:t>
            </w:r>
          </w:p>
        </w:tc>
        <w:tc>
          <w:tcPr>
            <w:tcW w:w="1843" w:type="dxa"/>
          </w:tcPr>
          <w:p w14:paraId="1CB27C9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1/124 (0.8%)</w:t>
            </w:r>
          </w:p>
        </w:tc>
        <w:tc>
          <w:tcPr>
            <w:tcW w:w="1843" w:type="dxa"/>
          </w:tcPr>
          <w:p w14:paraId="066306E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1/87 (1.1%)</w:t>
            </w:r>
          </w:p>
        </w:tc>
        <w:tc>
          <w:tcPr>
            <w:tcW w:w="1843" w:type="dxa"/>
          </w:tcPr>
          <w:p w14:paraId="200C6F1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0/37</w:t>
            </w:r>
          </w:p>
        </w:tc>
        <w:tc>
          <w:tcPr>
            <w:tcW w:w="992" w:type="dxa"/>
          </w:tcPr>
          <w:p w14:paraId="180D738F"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67656B04" w14:textId="77777777" w:rsidTr="00765ED7">
        <w:trPr>
          <w:trHeight w:val="165"/>
        </w:trPr>
        <w:tc>
          <w:tcPr>
            <w:tcW w:w="2263" w:type="dxa"/>
          </w:tcPr>
          <w:p w14:paraId="2735545F"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43F28CB7"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4B0D17E7"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505AE770"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4A6D8A74"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2096C0A3" w14:textId="77777777" w:rsidTr="00765ED7">
        <w:trPr>
          <w:trHeight w:val="165"/>
        </w:trPr>
        <w:tc>
          <w:tcPr>
            <w:tcW w:w="2263" w:type="dxa"/>
          </w:tcPr>
          <w:p w14:paraId="38C7615A"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Support, n (%)</w:t>
            </w:r>
          </w:p>
        </w:tc>
        <w:tc>
          <w:tcPr>
            <w:tcW w:w="1843" w:type="dxa"/>
          </w:tcPr>
          <w:p w14:paraId="53EE9EEC"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0453ACC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191867D3"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5853C418"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0E5DB1F7" w14:textId="77777777" w:rsidTr="00765ED7">
        <w:trPr>
          <w:trHeight w:val="165"/>
        </w:trPr>
        <w:tc>
          <w:tcPr>
            <w:tcW w:w="2263" w:type="dxa"/>
          </w:tcPr>
          <w:p w14:paraId="5268E09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None</w:t>
            </w:r>
          </w:p>
        </w:tc>
        <w:tc>
          <w:tcPr>
            <w:tcW w:w="1843" w:type="dxa"/>
          </w:tcPr>
          <w:p w14:paraId="1C7DD81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48/102 (47%)</w:t>
            </w:r>
          </w:p>
        </w:tc>
        <w:tc>
          <w:tcPr>
            <w:tcW w:w="1843" w:type="dxa"/>
          </w:tcPr>
          <w:p w14:paraId="22D83AF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37/78 (47.4%)</w:t>
            </w:r>
          </w:p>
        </w:tc>
        <w:tc>
          <w:tcPr>
            <w:tcW w:w="1843" w:type="dxa"/>
          </w:tcPr>
          <w:p w14:paraId="5C5A96D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11/24(45.8%)</w:t>
            </w:r>
          </w:p>
        </w:tc>
        <w:tc>
          <w:tcPr>
            <w:tcW w:w="992" w:type="dxa"/>
            <w:vMerge w:val="restart"/>
          </w:tcPr>
          <w:p w14:paraId="1A5A1ED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779CE9F" w14:textId="77777777" w:rsidTr="00765ED7">
        <w:trPr>
          <w:trHeight w:val="165"/>
        </w:trPr>
        <w:tc>
          <w:tcPr>
            <w:tcW w:w="2263" w:type="dxa"/>
          </w:tcPr>
          <w:p w14:paraId="3B81096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Up to TDS</w:t>
            </w:r>
          </w:p>
        </w:tc>
        <w:tc>
          <w:tcPr>
            <w:tcW w:w="1843" w:type="dxa"/>
          </w:tcPr>
          <w:p w14:paraId="60518E0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31/102 (30.4%)</w:t>
            </w:r>
          </w:p>
        </w:tc>
        <w:tc>
          <w:tcPr>
            <w:tcW w:w="1843" w:type="dxa"/>
          </w:tcPr>
          <w:p w14:paraId="33C185F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23/78 (29.5%)</w:t>
            </w:r>
          </w:p>
        </w:tc>
        <w:tc>
          <w:tcPr>
            <w:tcW w:w="1843" w:type="dxa"/>
          </w:tcPr>
          <w:p w14:paraId="223C56A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8/24 (33.3%)</w:t>
            </w:r>
          </w:p>
        </w:tc>
        <w:tc>
          <w:tcPr>
            <w:tcW w:w="992" w:type="dxa"/>
            <w:vMerge/>
          </w:tcPr>
          <w:p w14:paraId="7FD41D6D"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77257BCE" w14:textId="77777777" w:rsidTr="00765ED7">
        <w:trPr>
          <w:trHeight w:val="165"/>
        </w:trPr>
        <w:tc>
          <w:tcPr>
            <w:tcW w:w="2263" w:type="dxa"/>
          </w:tcPr>
          <w:p w14:paraId="66F84C2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QDS</w:t>
            </w:r>
          </w:p>
        </w:tc>
        <w:tc>
          <w:tcPr>
            <w:tcW w:w="1843" w:type="dxa"/>
          </w:tcPr>
          <w:p w14:paraId="5E8E5C5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23/102 (22.5%)</w:t>
            </w:r>
          </w:p>
        </w:tc>
        <w:tc>
          <w:tcPr>
            <w:tcW w:w="1843" w:type="dxa"/>
          </w:tcPr>
          <w:p w14:paraId="16787BB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17/78 (21.8%)</w:t>
            </w:r>
          </w:p>
        </w:tc>
        <w:tc>
          <w:tcPr>
            <w:tcW w:w="1843" w:type="dxa"/>
          </w:tcPr>
          <w:p w14:paraId="272E479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 /24 (25%)</w:t>
            </w:r>
          </w:p>
        </w:tc>
        <w:tc>
          <w:tcPr>
            <w:tcW w:w="992" w:type="dxa"/>
            <w:vMerge/>
          </w:tcPr>
          <w:p w14:paraId="357C285E"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2FC0294B" w14:textId="77777777" w:rsidTr="00765ED7">
        <w:trPr>
          <w:trHeight w:val="165"/>
        </w:trPr>
        <w:tc>
          <w:tcPr>
            <w:tcW w:w="2263" w:type="dxa"/>
          </w:tcPr>
          <w:p w14:paraId="740B8FFC"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7A9FA404"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596415D4"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6FA640E7"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5814C46B"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6A44006A" w14:textId="77777777" w:rsidTr="00765ED7">
        <w:trPr>
          <w:trHeight w:val="165"/>
        </w:trPr>
        <w:tc>
          <w:tcPr>
            <w:tcW w:w="2263" w:type="dxa"/>
          </w:tcPr>
          <w:p w14:paraId="79FCF5B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CSF (mean)</w:t>
            </w:r>
          </w:p>
        </w:tc>
        <w:tc>
          <w:tcPr>
            <w:tcW w:w="1843" w:type="dxa"/>
          </w:tcPr>
          <w:p w14:paraId="786B54A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 (4-6)</w:t>
            </w:r>
          </w:p>
        </w:tc>
        <w:tc>
          <w:tcPr>
            <w:tcW w:w="1843" w:type="dxa"/>
          </w:tcPr>
          <w:p w14:paraId="489B8F8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 (4-6)</w:t>
            </w:r>
          </w:p>
        </w:tc>
        <w:tc>
          <w:tcPr>
            <w:tcW w:w="1843" w:type="dxa"/>
          </w:tcPr>
          <w:p w14:paraId="12DD96B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 (5-7)</w:t>
            </w:r>
          </w:p>
        </w:tc>
        <w:tc>
          <w:tcPr>
            <w:tcW w:w="992" w:type="dxa"/>
          </w:tcPr>
          <w:p w14:paraId="59ECBE0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b/>
                <w:color w:val="000000"/>
                <w:sz w:val="22"/>
                <w:szCs w:val="22"/>
              </w:rPr>
              <w:t>0.02</w:t>
            </w:r>
          </w:p>
        </w:tc>
      </w:tr>
      <w:tr w:rsidR="00F115AF" w:rsidRPr="00F115AF" w14:paraId="09F2F6D7" w14:textId="77777777" w:rsidTr="00765ED7">
        <w:trPr>
          <w:trHeight w:val="165"/>
        </w:trPr>
        <w:tc>
          <w:tcPr>
            <w:tcW w:w="2263" w:type="dxa"/>
          </w:tcPr>
          <w:p w14:paraId="4DD0E0D6"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1 to 4</w:t>
            </w:r>
          </w:p>
        </w:tc>
        <w:tc>
          <w:tcPr>
            <w:tcW w:w="1843" w:type="dxa"/>
          </w:tcPr>
          <w:p w14:paraId="614E550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35/124 (28.2%)</w:t>
            </w:r>
          </w:p>
        </w:tc>
        <w:tc>
          <w:tcPr>
            <w:tcW w:w="1843" w:type="dxa"/>
          </w:tcPr>
          <w:p w14:paraId="1520948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31/87 (35.6%)</w:t>
            </w:r>
          </w:p>
        </w:tc>
        <w:tc>
          <w:tcPr>
            <w:tcW w:w="1843" w:type="dxa"/>
          </w:tcPr>
          <w:p w14:paraId="1DEE041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4/37 (10.8%)</w:t>
            </w:r>
          </w:p>
        </w:tc>
        <w:tc>
          <w:tcPr>
            <w:tcW w:w="992" w:type="dxa"/>
            <w:vMerge w:val="restart"/>
          </w:tcPr>
          <w:p w14:paraId="4F1F970F" w14:textId="77777777" w:rsidR="00F115AF" w:rsidRPr="00F115AF" w:rsidRDefault="00F115AF" w:rsidP="00F115AF">
            <w:pPr>
              <w:spacing w:line="480" w:lineRule="auto"/>
              <w:rPr>
                <w:rFonts w:ascii="Calibri" w:eastAsia="Times New Roman" w:hAnsi="Calibri"/>
                <w:b/>
                <w:color w:val="000000"/>
                <w:sz w:val="22"/>
                <w:szCs w:val="22"/>
              </w:rPr>
            </w:pPr>
            <w:r w:rsidRPr="00F115AF">
              <w:rPr>
                <w:rFonts w:ascii="Calibri" w:eastAsia="Times New Roman" w:hAnsi="Calibri"/>
                <w:b/>
                <w:color w:val="000000"/>
                <w:sz w:val="22"/>
                <w:szCs w:val="22"/>
              </w:rPr>
              <w:t>0.01</w:t>
            </w:r>
          </w:p>
        </w:tc>
      </w:tr>
      <w:tr w:rsidR="00F115AF" w:rsidRPr="00F115AF" w14:paraId="463C88B9" w14:textId="77777777" w:rsidTr="00765ED7">
        <w:trPr>
          <w:trHeight w:val="165"/>
        </w:trPr>
        <w:tc>
          <w:tcPr>
            <w:tcW w:w="2263" w:type="dxa"/>
          </w:tcPr>
          <w:p w14:paraId="48F44828"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5 to 9</w:t>
            </w:r>
          </w:p>
        </w:tc>
        <w:tc>
          <w:tcPr>
            <w:tcW w:w="1843" w:type="dxa"/>
          </w:tcPr>
          <w:p w14:paraId="5E810D4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89/124 (71.8%)</w:t>
            </w:r>
          </w:p>
        </w:tc>
        <w:tc>
          <w:tcPr>
            <w:tcW w:w="1843" w:type="dxa"/>
          </w:tcPr>
          <w:p w14:paraId="17E677F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56/87 (64.6%)</w:t>
            </w:r>
          </w:p>
        </w:tc>
        <w:tc>
          <w:tcPr>
            <w:tcW w:w="1843" w:type="dxa"/>
          </w:tcPr>
          <w:p w14:paraId="7F941FA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33/37 (89.2%)</w:t>
            </w:r>
          </w:p>
        </w:tc>
        <w:tc>
          <w:tcPr>
            <w:tcW w:w="992" w:type="dxa"/>
            <w:vMerge/>
          </w:tcPr>
          <w:p w14:paraId="708F5854"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5334AEC3" w14:textId="77777777" w:rsidTr="00765ED7">
        <w:trPr>
          <w:trHeight w:val="165"/>
        </w:trPr>
        <w:tc>
          <w:tcPr>
            <w:tcW w:w="2263" w:type="dxa"/>
          </w:tcPr>
          <w:p w14:paraId="1B5604F0"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4E083BF6"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2CF11EDD"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3939DD9A"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7BF72433"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2D702DF7" w14:textId="77777777" w:rsidTr="00765ED7">
        <w:trPr>
          <w:trHeight w:val="165"/>
        </w:trPr>
        <w:tc>
          <w:tcPr>
            <w:tcW w:w="2263" w:type="dxa"/>
          </w:tcPr>
          <w:p w14:paraId="272160CF"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Comorbidities, n (%)</w:t>
            </w:r>
          </w:p>
        </w:tc>
        <w:tc>
          <w:tcPr>
            <w:tcW w:w="1843" w:type="dxa"/>
          </w:tcPr>
          <w:p w14:paraId="468BA33D"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76024448"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Pr>
          <w:p w14:paraId="5002784A" w14:textId="77777777" w:rsidR="00F115AF" w:rsidRPr="00F115AF" w:rsidRDefault="00F115AF" w:rsidP="00F115AF">
            <w:pPr>
              <w:spacing w:line="480" w:lineRule="auto"/>
              <w:rPr>
                <w:rFonts w:ascii="Calibri" w:eastAsia="Times New Roman" w:hAnsi="Calibri"/>
                <w:color w:val="000000"/>
                <w:sz w:val="22"/>
                <w:szCs w:val="22"/>
              </w:rPr>
            </w:pPr>
          </w:p>
        </w:tc>
        <w:tc>
          <w:tcPr>
            <w:tcW w:w="992" w:type="dxa"/>
          </w:tcPr>
          <w:p w14:paraId="09CD8B93" w14:textId="77777777" w:rsidR="00F115AF" w:rsidRPr="00F115AF" w:rsidRDefault="00F115AF" w:rsidP="00F115AF">
            <w:pPr>
              <w:spacing w:line="480" w:lineRule="auto"/>
              <w:rPr>
                <w:rFonts w:ascii="Calibri" w:eastAsia="Times New Roman" w:hAnsi="Calibri"/>
                <w:color w:val="000000"/>
                <w:sz w:val="22"/>
                <w:szCs w:val="22"/>
              </w:rPr>
            </w:pPr>
          </w:p>
        </w:tc>
      </w:tr>
      <w:tr w:rsidR="00F115AF" w:rsidRPr="00F115AF" w14:paraId="2517908D" w14:textId="77777777" w:rsidTr="00765ED7">
        <w:trPr>
          <w:trHeight w:val="165"/>
        </w:trPr>
        <w:tc>
          <w:tcPr>
            <w:tcW w:w="2263" w:type="dxa"/>
          </w:tcPr>
          <w:p w14:paraId="43A032F9"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Dementia</w:t>
            </w:r>
          </w:p>
        </w:tc>
        <w:tc>
          <w:tcPr>
            <w:tcW w:w="1843" w:type="dxa"/>
          </w:tcPr>
          <w:p w14:paraId="73D056E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46/124 (37.1%)</w:t>
            </w:r>
          </w:p>
        </w:tc>
        <w:tc>
          <w:tcPr>
            <w:tcW w:w="1843" w:type="dxa"/>
          </w:tcPr>
          <w:p w14:paraId="1AA354C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26/87 (29.9%)</w:t>
            </w:r>
          </w:p>
        </w:tc>
        <w:tc>
          <w:tcPr>
            <w:tcW w:w="1843" w:type="dxa"/>
          </w:tcPr>
          <w:p w14:paraId="06F752C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20/37 (54.1%)</w:t>
            </w:r>
          </w:p>
        </w:tc>
        <w:tc>
          <w:tcPr>
            <w:tcW w:w="992" w:type="dxa"/>
          </w:tcPr>
          <w:p w14:paraId="5930180D" w14:textId="77777777" w:rsidR="00F115AF" w:rsidRPr="00F115AF" w:rsidRDefault="00F115AF" w:rsidP="00F115AF">
            <w:pPr>
              <w:spacing w:line="480" w:lineRule="auto"/>
              <w:rPr>
                <w:rFonts w:ascii="Calibri" w:eastAsia="Times New Roman" w:hAnsi="Calibri"/>
                <w:b/>
                <w:color w:val="000000"/>
                <w:sz w:val="22"/>
                <w:szCs w:val="22"/>
              </w:rPr>
            </w:pPr>
            <w:r w:rsidRPr="00F115AF">
              <w:rPr>
                <w:rFonts w:ascii="Calibri" w:eastAsia="Times New Roman" w:hAnsi="Calibri"/>
                <w:b/>
                <w:color w:val="000000"/>
                <w:sz w:val="22"/>
                <w:szCs w:val="22"/>
              </w:rPr>
              <w:t>0.015</w:t>
            </w:r>
          </w:p>
        </w:tc>
      </w:tr>
      <w:tr w:rsidR="00F115AF" w:rsidRPr="00F115AF" w14:paraId="729C1E7C" w14:textId="77777777" w:rsidTr="00765ED7">
        <w:trPr>
          <w:trHeight w:val="165"/>
        </w:trPr>
        <w:tc>
          <w:tcPr>
            <w:tcW w:w="2263" w:type="dxa"/>
          </w:tcPr>
          <w:p w14:paraId="1411454C"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Diabetes</w:t>
            </w:r>
          </w:p>
        </w:tc>
        <w:tc>
          <w:tcPr>
            <w:tcW w:w="1843" w:type="dxa"/>
          </w:tcPr>
          <w:p w14:paraId="759C207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46/124 (37.1%)</w:t>
            </w:r>
          </w:p>
        </w:tc>
        <w:tc>
          <w:tcPr>
            <w:tcW w:w="1843" w:type="dxa"/>
          </w:tcPr>
          <w:p w14:paraId="019572D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32/87 (36.8%)</w:t>
            </w:r>
          </w:p>
        </w:tc>
        <w:tc>
          <w:tcPr>
            <w:tcW w:w="1843" w:type="dxa"/>
          </w:tcPr>
          <w:p w14:paraId="5D64134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14/37 (37.8%)</w:t>
            </w:r>
          </w:p>
        </w:tc>
        <w:tc>
          <w:tcPr>
            <w:tcW w:w="992" w:type="dxa"/>
          </w:tcPr>
          <w:p w14:paraId="63453F5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525ED63C" w14:textId="77777777" w:rsidTr="00765ED7">
        <w:trPr>
          <w:trHeight w:val="165"/>
        </w:trPr>
        <w:tc>
          <w:tcPr>
            <w:tcW w:w="2263" w:type="dxa"/>
          </w:tcPr>
          <w:p w14:paraId="6A4A5D20"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Hypertension</w:t>
            </w:r>
          </w:p>
        </w:tc>
        <w:tc>
          <w:tcPr>
            <w:tcW w:w="1843" w:type="dxa"/>
          </w:tcPr>
          <w:p w14:paraId="41E38BF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85/124 (68.5%)</w:t>
            </w:r>
          </w:p>
        </w:tc>
        <w:tc>
          <w:tcPr>
            <w:tcW w:w="1843" w:type="dxa"/>
          </w:tcPr>
          <w:p w14:paraId="517E29F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56/87 (64.4%)</w:t>
            </w:r>
          </w:p>
        </w:tc>
        <w:tc>
          <w:tcPr>
            <w:tcW w:w="1843" w:type="dxa"/>
          </w:tcPr>
          <w:p w14:paraId="701C1C3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29/37 (78.7%)</w:t>
            </w:r>
          </w:p>
        </w:tc>
        <w:tc>
          <w:tcPr>
            <w:tcW w:w="992" w:type="dxa"/>
          </w:tcPr>
          <w:p w14:paraId="0173CBD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37964299" w14:textId="77777777" w:rsidTr="00765ED7">
        <w:trPr>
          <w:trHeight w:val="288"/>
        </w:trPr>
        <w:tc>
          <w:tcPr>
            <w:tcW w:w="2263" w:type="dxa"/>
          </w:tcPr>
          <w:p w14:paraId="1B4D9650"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Chronic Kidney Disease</w:t>
            </w:r>
          </w:p>
        </w:tc>
        <w:tc>
          <w:tcPr>
            <w:tcW w:w="1843" w:type="dxa"/>
          </w:tcPr>
          <w:p w14:paraId="0A8C4A3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27/124 (21.8%)</w:t>
            </w:r>
          </w:p>
        </w:tc>
        <w:tc>
          <w:tcPr>
            <w:tcW w:w="1843" w:type="dxa"/>
          </w:tcPr>
          <w:p w14:paraId="4306E61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14/87 (16.1%)</w:t>
            </w:r>
          </w:p>
        </w:tc>
        <w:tc>
          <w:tcPr>
            <w:tcW w:w="1843" w:type="dxa"/>
          </w:tcPr>
          <w:p w14:paraId="7AB59AE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13/37 (35.1%)</w:t>
            </w:r>
          </w:p>
        </w:tc>
        <w:tc>
          <w:tcPr>
            <w:tcW w:w="992" w:type="dxa"/>
          </w:tcPr>
          <w:p w14:paraId="24038F1E" w14:textId="77777777" w:rsidR="00F115AF" w:rsidRPr="00F115AF" w:rsidRDefault="00F115AF" w:rsidP="00F115AF">
            <w:pPr>
              <w:spacing w:line="480" w:lineRule="auto"/>
              <w:rPr>
                <w:rFonts w:ascii="Calibri" w:eastAsia="Times New Roman" w:hAnsi="Calibri"/>
                <w:b/>
                <w:color w:val="000000"/>
                <w:sz w:val="22"/>
                <w:szCs w:val="22"/>
              </w:rPr>
            </w:pPr>
            <w:r w:rsidRPr="00F115AF">
              <w:rPr>
                <w:rFonts w:ascii="Calibri" w:eastAsia="Times New Roman" w:hAnsi="Calibri"/>
                <w:b/>
                <w:color w:val="000000"/>
                <w:sz w:val="22"/>
                <w:szCs w:val="22"/>
              </w:rPr>
              <w:t>0.031</w:t>
            </w:r>
          </w:p>
        </w:tc>
      </w:tr>
      <w:tr w:rsidR="00F115AF" w:rsidRPr="00F115AF" w14:paraId="04576ADD" w14:textId="77777777" w:rsidTr="00765ED7">
        <w:trPr>
          <w:trHeight w:val="308"/>
        </w:trPr>
        <w:tc>
          <w:tcPr>
            <w:tcW w:w="2263" w:type="dxa"/>
          </w:tcPr>
          <w:p w14:paraId="1A85B31D"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COPD/Asthma</w:t>
            </w:r>
          </w:p>
        </w:tc>
        <w:tc>
          <w:tcPr>
            <w:tcW w:w="1843" w:type="dxa"/>
          </w:tcPr>
          <w:p w14:paraId="1635169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33/124 (26.6%)</w:t>
            </w:r>
          </w:p>
        </w:tc>
        <w:tc>
          <w:tcPr>
            <w:tcW w:w="1843" w:type="dxa"/>
          </w:tcPr>
          <w:p w14:paraId="0DB1258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24/87 (27.6%)</w:t>
            </w:r>
          </w:p>
        </w:tc>
        <w:tc>
          <w:tcPr>
            <w:tcW w:w="1843" w:type="dxa"/>
          </w:tcPr>
          <w:p w14:paraId="5FFA8BF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9/37 (24.3%)</w:t>
            </w:r>
          </w:p>
        </w:tc>
        <w:tc>
          <w:tcPr>
            <w:tcW w:w="992" w:type="dxa"/>
          </w:tcPr>
          <w:p w14:paraId="29D8FC6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21DCA05D" w14:textId="77777777" w:rsidTr="00765ED7">
        <w:trPr>
          <w:trHeight w:val="308"/>
        </w:trPr>
        <w:tc>
          <w:tcPr>
            <w:tcW w:w="2263" w:type="dxa"/>
          </w:tcPr>
          <w:p w14:paraId="28AB4E4B"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Active cancer</w:t>
            </w:r>
          </w:p>
        </w:tc>
        <w:tc>
          <w:tcPr>
            <w:tcW w:w="1843" w:type="dxa"/>
          </w:tcPr>
          <w:p w14:paraId="4EE75AF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16/124 (12.9%)</w:t>
            </w:r>
          </w:p>
        </w:tc>
        <w:tc>
          <w:tcPr>
            <w:tcW w:w="1843" w:type="dxa"/>
          </w:tcPr>
          <w:p w14:paraId="1C9915F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11/87 (12.6%)</w:t>
            </w:r>
          </w:p>
        </w:tc>
        <w:tc>
          <w:tcPr>
            <w:tcW w:w="1843" w:type="dxa"/>
          </w:tcPr>
          <w:p w14:paraId="37EC579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5/37 (13.5%)</w:t>
            </w:r>
          </w:p>
        </w:tc>
        <w:tc>
          <w:tcPr>
            <w:tcW w:w="992" w:type="dxa"/>
          </w:tcPr>
          <w:p w14:paraId="00E9BBF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7351F77" w14:textId="77777777" w:rsidTr="00765ED7">
        <w:trPr>
          <w:trHeight w:val="308"/>
        </w:trPr>
        <w:tc>
          <w:tcPr>
            <w:tcW w:w="2263" w:type="dxa"/>
          </w:tcPr>
          <w:p w14:paraId="2800DB04"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Recurrent falls</w:t>
            </w:r>
          </w:p>
        </w:tc>
        <w:tc>
          <w:tcPr>
            <w:tcW w:w="1843" w:type="dxa"/>
          </w:tcPr>
          <w:p w14:paraId="43DEF58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39/124 (31.5%)</w:t>
            </w:r>
          </w:p>
        </w:tc>
        <w:tc>
          <w:tcPr>
            <w:tcW w:w="1843" w:type="dxa"/>
          </w:tcPr>
          <w:p w14:paraId="5B7DAEF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24/87 (27.6%)</w:t>
            </w:r>
          </w:p>
        </w:tc>
        <w:tc>
          <w:tcPr>
            <w:tcW w:w="1843" w:type="dxa"/>
          </w:tcPr>
          <w:p w14:paraId="7FAE327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15/37 (40.5%)</w:t>
            </w:r>
          </w:p>
        </w:tc>
        <w:tc>
          <w:tcPr>
            <w:tcW w:w="992" w:type="dxa"/>
          </w:tcPr>
          <w:p w14:paraId="58D1E46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4C4C17F3" w14:textId="77777777" w:rsidTr="00765ED7">
        <w:trPr>
          <w:trHeight w:val="308"/>
        </w:trPr>
        <w:tc>
          <w:tcPr>
            <w:tcW w:w="2263" w:type="dxa"/>
          </w:tcPr>
          <w:p w14:paraId="1C04C0FE"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Stroke</w:t>
            </w:r>
          </w:p>
        </w:tc>
        <w:tc>
          <w:tcPr>
            <w:tcW w:w="1843" w:type="dxa"/>
          </w:tcPr>
          <w:p w14:paraId="7D6CA2E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25/124 (20.2%)</w:t>
            </w:r>
          </w:p>
        </w:tc>
        <w:tc>
          <w:tcPr>
            <w:tcW w:w="1843" w:type="dxa"/>
          </w:tcPr>
          <w:p w14:paraId="4BB2F89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16/87 (18.4%)</w:t>
            </w:r>
          </w:p>
        </w:tc>
        <w:tc>
          <w:tcPr>
            <w:tcW w:w="1843" w:type="dxa"/>
          </w:tcPr>
          <w:p w14:paraId="2BF8D12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9/37 (24.3%)</w:t>
            </w:r>
          </w:p>
        </w:tc>
        <w:tc>
          <w:tcPr>
            <w:tcW w:w="992" w:type="dxa"/>
          </w:tcPr>
          <w:p w14:paraId="037C22B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7CA53724" w14:textId="77777777" w:rsidTr="00765ED7">
        <w:trPr>
          <w:trHeight w:val="308"/>
        </w:trPr>
        <w:tc>
          <w:tcPr>
            <w:tcW w:w="2263" w:type="dxa"/>
          </w:tcPr>
          <w:p w14:paraId="1E3FA6D6"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Ischemic Heart Disease</w:t>
            </w:r>
          </w:p>
        </w:tc>
        <w:tc>
          <w:tcPr>
            <w:tcW w:w="1843" w:type="dxa"/>
          </w:tcPr>
          <w:p w14:paraId="0AF0264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26/124 (21.0%)</w:t>
            </w:r>
          </w:p>
        </w:tc>
        <w:tc>
          <w:tcPr>
            <w:tcW w:w="1843" w:type="dxa"/>
          </w:tcPr>
          <w:p w14:paraId="39F83C2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17/87 (19.5%)</w:t>
            </w:r>
          </w:p>
        </w:tc>
        <w:tc>
          <w:tcPr>
            <w:tcW w:w="1843" w:type="dxa"/>
          </w:tcPr>
          <w:p w14:paraId="03290C1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9/37 (24.3%)</w:t>
            </w:r>
          </w:p>
        </w:tc>
        <w:tc>
          <w:tcPr>
            <w:tcW w:w="992" w:type="dxa"/>
          </w:tcPr>
          <w:p w14:paraId="58C0EF3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6ACEB802" w14:textId="77777777" w:rsidTr="00765ED7">
        <w:trPr>
          <w:trHeight w:val="308"/>
        </w:trPr>
        <w:tc>
          <w:tcPr>
            <w:tcW w:w="2263" w:type="dxa"/>
          </w:tcPr>
          <w:p w14:paraId="69415916"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Heart Failure</w:t>
            </w:r>
          </w:p>
        </w:tc>
        <w:tc>
          <w:tcPr>
            <w:tcW w:w="1843" w:type="dxa"/>
          </w:tcPr>
          <w:p w14:paraId="0B03885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19/124 (15.3%)</w:t>
            </w:r>
          </w:p>
        </w:tc>
        <w:tc>
          <w:tcPr>
            <w:tcW w:w="1843" w:type="dxa"/>
          </w:tcPr>
          <w:p w14:paraId="219177C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10/87 (11.5%)</w:t>
            </w:r>
          </w:p>
        </w:tc>
        <w:tc>
          <w:tcPr>
            <w:tcW w:w="1843" w:type="dxa"/>
          </w:tcPr>
          <w:p w14:paraId="64ACB36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9/37 (24.3%)</w:t>
            </w:r>
          </w:p>
        </w:tc>
        <w:tc>
          <w:tcPr>
            <w:tcW w:w="992" w:type="dxa"/>
          </w:tcPr>
          <w:p w14:paraId="506C6E4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703B704D" w14:textId="77777777" w:rsidTr="00765ED7">
        <w:trPr>
          <w:trHeight w:val="308"/>
        </w:trPr>
        <w:tc>
          <w:tcPr>
            <w:tcW w:w="2263" w:type="dxa"/>
          </w:tcPr>
          <w:p w14:paraId="1776235C"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Dyslipidaemia</w:t>
            </w:r>
          </w:p>
        </w:tc>
        <w:tc>
          <w:tcPr>
            <w:tcW w:w="1843" w:type="dxa"/>
          </w:tcPr>
          <w:p w14:paraId="2A3732D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50/124 (40.3%)</w:t>
            </w:r>
          </w:p>
        </w:tc>
        <w:tc>
          <w:tcPr>
            <w:tcW w:w="1843" w:type="dxa"/>
          </w:tcPr>
          <w:p w14:paraId="22A6920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33/87 (37.9%)</w:t>
            </w:r>
          </w:p>
        </w:tc>
        <w:tc>
          <w:tcPr>
            <w:tcW w:w="1843" w:type="dxa"/>
          </w:tcPr>
          <w:p w14:paraId="6B3D4FF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17/37 (45.9%)</w:t>
            </w:r>
          </w:p>
        </w:tc>
        <w:tc>
          <w:tcPr>
            <w:tcW w:w="992" w:type="dxa"/>
          </w:tcPr>
          <w:p w14:paraId="2A328C4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294C0817" w14:textId="77777777" w:rsidTr="00765ED7">
        <w:trPr>
          <w:trHeight w:val="288"/>
        </w:trPr>
        <w:tc>
          <w:tcPr>
            <w:tcW w:w="2263" w:type="dxa"/>
          </w:tcPr>
          <w:p w14:paraId="3350403F"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Atrial Fibrillation</w:t>
            </w:r>
          </w:p>
        </w:tc>
        <w:tc>
          <w:tcPr>
            <w:tcW w:w="1843" w:type="dxa"/>
          </w:tcPr>
          <w:p w14:paraId="28BD778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29/124 (23.4%)</w:t>
            </w:r>
          </w:p>
        </w:tc>
        <w:tc>
          <w:tcPr>
            <w:tcW w:w="1843" w:type="dxa"/>
          </w:tcPr>
          <w:p w14:paraId="079FF45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18/87 (20.7%)</w:t>
            </w:r>
          </w:p>
        </w:tc>
        <w:tc>
          <w:tcPr>
            <w:tcW w:w="1843" w:type="dxa"/>
          </w:tcPr>
          <w:p w14:paraId="1E6DE6E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11/37 (29.7%)</w:t>
            </w:r>
          </w:p>
        </w:tc>
        <w:tc>
          <w:tcPr>
            <w:tcW w:w="992" w:type="dxa"/>
          </w:tcPr>
          <w:p w14:paraId="79400D5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668D0075" w14:textId="77777777" w:rsidTr="00765ED7">
        <w:trPr>
          <w:trHeight w:val="308"/>
        </w:trPr>
        <w:tc>
          <w:tcPr>
            <w:tcW w:w="2263" w:type="dxa"/>
          </w:tcPr>
          <w:p w14:paraId="64DF1339"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Obesity</w:t>
            </w:r>
          </w:p>
        </w:tc>
        <w:tc>
          <w:tcPr>
            <w:tcW w:w="1843" w:type="dxa"/>
          </w:tcPr>
          <w:p w14:paraId="5CF16CB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22/101 (21.8%)</w:t>
            </w:r>
          </w:p>
        </w:tc>
        <w:tc>
          <w:tcPr>
            <w:tcW w:w="1843" w:type="dxa"/>
          </w:tcPr>
          <w:p w14:paraId="34E5723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14/87 (16.1%)</w:t>
            </w:r>
          </w:p>
        </w:tc>
        <w:tc>
          <w:tcPr>
            <w:tcW w:w="1843" w:type="dxa"/>
          </w:tcPr>
          <w:p w14:paraId="615C775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8/37 (25.0%)</w:t>
            </w:r>
          </w:p>
        </w:tc>
        <w:tc>
          <w:tcPr>
            <w:tcW w:w="992" w:type="dxa"/>
          </w:tcPr>
          <w:p w14:paraId="335BDF2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4B4C30FB" w14:textId="77777777" w:rsidTr="00765ED7">
        <w:trPr>
          <w:trHeight w:val="345"/>
        </w:trPr>
        <w:tc>
          <w:tcPr>
            <w:tcW w:w="2263" w:type="dxa"/>
          </w:tcPr>
          <w:p w14:paraId="4A577D2B" w14:textId="77777777" w:rsidR="00F115AF" w:rsidRPr="00F115AF" w:rsidRDefault="00F115AF" w:rsidP="00F115AF">
            <w:pPr>
              <w:spacing w:line="480" w:lineRule="auto"/>
              <w:rPr>
                <w:rFonts w:asciiTheme="majorHAnsi" w:eastAsia="Times New Roman" w:hAnsiTheme="majorHAnsi" w:cs="Times New Roman"/>
                <w:b/>
                <w:bCs/>
                <w:color w:val="000000"/>
                <w:sz w:val="22"/>
                <w:szCs w:val="22"/>
              </w:rPr>
            </w:pPr>
            <w:r w:rsidRPr="00F115AF">
              <w:rPr>
                <w:rFonts w:ascii="Calibri" w:eastAsia="Times New Roman" w:hAnsi="Calibri"/>
                <w:color w:val="000000"/>
                <w:sz w:val="22"/>
                <w:szCs w:val="22"/>
              </w:rPr>
              <w:t>Depression</w:t>
            </w:r>
          </w:p>
        </w:tc>
        <w:tc>
          <w:tcPr>
            <w:tcW w:w="1843" w:type="dxa"/>
          </w:tcPr>
          <w:p w14:paraId="1969AD58" w14:textId="77777777" w:rsidR="00F115AF" w:rsidRPr="00F115AF" w:rsidRDefault="00F115AF" w:rsidP="00F115AF">
            <w:pPr>
              <w:spacing w:line="480" w:lineRule="auto"/>
              <w:rPr>
                <w:rFonts w:asciiTheme="majorHAnsi" w:hAnsiTheme="majorHAnsi"/>
              </w:rPr>
            </w:pPr>
            <w:r w:rsidRPr="00F115AF">
              <w:rPr>
                <w:rFonts w:ascii="Calibri" w:eastAsia="Times New Roman" w:hAnsi="Calibri"/>
                <w:color w:val="000000"/>
                <w:sz w:val="22"/>
                <w:szCs w:val="22"/>
              </w:rPr>
              <w:t>20/124</w:t>
            </w:r>
            <w:r w:rsidRPr="00F115AF">
              <w:rPr>
                <w:rFonts w:asciiTheme="majorHAnsi" w:hAnsiTheme="majorHAnsi"/>
              </w:rPr>
              <w:t xml:space="preserve"> (</w:t>
            </w:r>
            <w:r w:rsidRPr="00F115AF">
              <w:rPr>
                <w:rFonts w:ascii="Calibri" w:eastAsia="Times New Roman" w:hAnsi="Calibri"/>
                <w:color w:val="000000"/>
                <w:sz w:val="22"/>
                <w:szCs w:val="22"/>
              </w:rPr>
              <w:t>16.1%)</w:t>
            </w:r>
          </w:p>
        </w:tc>
        <w:tc>
          <w:tcPr>
            <w:tcW w:w="1843" w:type="dxa"/>
          </w:tcPr>
          <w:p w14:paraId="062BD0D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15/87 (17.2%)</w:t>
            </w:r>
          </w:p>
        </w:tc>
        <w:tc>
          <w:tcPr>
            <w:tcW w:w="1843" w:type="dxa"/>
          </w:tcPr>
          <w:p w14:paraId="59F70FE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5/37 (13.5%)</w:t>
            </w:r>
          </w:p>
        </w:tc>
        <w:tc>
          <w:tcPr>
            <w:tcW w:w="992" w:type="dxa"/>
          </w:tcPr>
          <w:p w14:paraId="762A2EA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134C49A8" w14:textId="77777777" w:rsidTr="00765ED7">
        <w:trPr>
          <w:trHeight w:val="327"/>
        </w:trPr>
        <w:tc>
          <w:tcPr>
            <w:tcW w:w="2263" w:type="dxa"/>
          </w:tcPr>
          <w:p w14:paraId="44FFDA23" w14:textId="77777777" w:rsidR="00F115AF" w:rsidRPr="00F115AF" w:rsidRDefault="00F115AF" w:rsidP="00F115AF">
            <w:pPr>
              <w:spacing w:line="480" w:lineRule="auto"/>
              <w:rPr>
                <w:rFonts w:asciiTheme="majorHAnsi" w:eastAsia="Times New Roman" w:hAnsiTheme="majorHAnsi" w:cs="Times New Roman"/>
                <w:b/>
                <w:bCs/>
                <w:color w:val="000000"/>
                <w:sz w:val="22"/>
                <w:szCs w:val="22"/>
              </w:rPr>
            </w:pPr>
            <w:r w:rsidRPr="00F115AF">
              <w:rPr>
                <w:rFonts w:ascii="Calibri" w:eastAsia="Times New Roman" w:hAnsi="Calibri"/>
                <w:color w:val="000000"/>
                <w:sz w:val="22"/>
                <w:szCs w:val="22"/>
              </w:rPr>
              <w:t>Dysthyroidism</w:t>
            </w:r>
          </w:p>
        </w:tc>
        <w:tc>
          <w:tcPr>
            <w:tcW w:w="1843" w:type="dxa"/>
          </w:tcPr>
          <w:p w14:paraId="26603919" w14:textId="77777777" w:rsidR="00F115AF" w:rsidRPr="00F115AF" w:rsidRDefault="00F115AF" w:rsidP="00F115AF">
            <w:pPr>
              <w:spacing w:line="480" w:lineRule="auto"/>
              <w:rPr>
                <w:rFonts w:asciiTheme="majorHAnsi" w:hAnsiTheme="majorHAnsi"/>
              </w:rPr>
            </w:pPr>
            <w:r w:rsidRPr="00F115AF">
              <w:rPr>
                <w:rFonts w:ascii="Calibri" w:eastAsia="Times New Roman" w:hAnsi="Calibri"/>
                <w:color w:val="000000"/>
                <w:sz w:val="22"/>
                <w:szCs w:val="22"/>
              </w:rPr>
              <w:t>16/124</w:t>
            </w:r>
            <w:r w:rsidRPr="00F115AF">
              <w:rPr>
                <w:rFonts w:asciiTheme="majorHAnsi" w:hAnsiTheme="majorHAnsi"/>
              </w:rPr>
              <w:t xml:space="preserve"> (</w:t>
            </w:r>
            <w:r w:rsidRPr="00F115AF">
              <w:rPr>
                <w:rFonts w:ascii="Calibri" w:eastAsia="Times New Roman" w:hAnsi="Calibri"/>
                <w:color w:val="000000"/>
                <w:sz w:val="22"/>
                <w:szCs w:val="22"/>
              </w:rPr>
              <w:t>12.9%)</w:t>
            </w:r>
          </w:p>
        </w:tc>
        <w:tc>
          <w:tcPr>
            <w:tcW w:w="1843" w:type="dxa"/>
          </w:tcPr>
          <w:p w14:paraId="547B396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11/87 (12.6%)</w:t>
            </w:r>
          </w:p>
        </w:tc>
        <w:tc>
          <w:tcPr>
            <w:tcW w:w="1843" w:type="dxa"/>
          </w:tcPr>
          <w:p w14:paraId="16558BD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5/37 (13.5%)</w:t>
            </w:r>
          </w:p>
        </w:tc>
        <w:tc>
          <w:tcPr>
            <w:tcW w:w="992" w:type="dxa"/>
          </w:tcPr>
          <w:p w14:paraId="6AE2A12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197AA6A7" w14:textId="77777777" w:rsidTr="00765ED7">
        <w:trPr>
          <w:trHeight w:val="308"/>
        </w:trPr>
        <w:tc>
          <w:tcPr>
            <w:tcW w:w="2263" w:type="dxa"/>
          </w:tcPr>
          <w:p w14:paraId="70B25D43"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Previous VTE/PE</w:t>
            </w:r>
          </w:p>
        </w:tc>
        <w:tc>
          <w:tcPr>
            <w:tcW w:w="1843" w:type="dxa"/>
          </w:tcPr>
          <w:p w14:paraId="05B0CC2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8/124 (6.5%)</w:t>
            </w:r>
          </w:p>
        </w:tc>
        <w:tc>
          <w:tcPr>
            <w:tcW w:w="1843" w:type="dxa"/>
          </w:tcPr>
          <w:p w14:paraId="6A93B9F8"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5/87 (5.7%)</w:t>
            </w:r>
          </w:p>
        </w:tc>
        <w:tc>
          <w:tcPr>
            <w:tcW w:w="1843" w:type="dxa"/>
          </w:tcPr>
          <w:p w14:paraId="405250D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3/37 (8.1%)</w:t>
            </w:r>
          </w:p>
        </w:tc>
        <w:tc>
          <w:tcPr>
            <w:tcW w:w="992" w:type="dxa"/>
          </w:tcPr>
          <w:p w14:paraId="30F3F13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47E9FE21" w14:textId="77777777" w:rsidTr="00765ED7">
        <w:trPr>
          <w:trHeight w:val="308"/>
        </w:trPr>
        <w:tc>
          <w:tcPr>
            <w:tcW w:w="2263" w:type="dxa"/>
          </w:tcPr>
          <w:p w14:paraId="115800F4"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Learning Disabilities</w:t>
            </w:r>
          </w:p>
        </w:tc>
        <w:tc>
          <w:tcPr>
            <w:tcW w:w="1843" w:type="dxa"/>
          </w:tcPr>
          <w:p w14:paraId="7829518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6/124 (4.8%)</w:t>
            </w:r>
          </w:p>
        </w:tc>
        <w:tc>
          <w:tcPr>
            <w:tcW w:w="1843" w:type="dxa"/>
          </w:tcPr>
          <w:p w14:paraId="64298D6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3/87 (3.4%)</w:t>
            </w:r>
          </w:p>
        </w:tc>
        <w:tc>
          <w:tcPr>
            <w:tcW w:w="1843" w:type="dxa"/>
          </w:tcPr>
          <w:p w14:paraId="292338E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3/37 (8.1%)</w:t>
            </w:r>
          </w:p>
        </w:tc>
        <w:tc>
          <w:tcPr>
            <w:tcW w:w="992" w:type="dxa"/>
          </w:tcPr>
          <w:p w14:paraId="474BF45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3999273E" w14:textId="77777777" w:rsidTr="00765ED7">
        <w:trPr>
          <w:trHeight w:val="308"/>
        </w:trPr>
        <w:tc>
          <w:tcPr>
            <w:tcW w:w="2263" w:type="dxa"/>
          </w:tcPr>
          <w:p w14:paraId="76C7253B"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Schizophrenia</w:t>
            </w:r>
          </w:p>
        </w:tc>
        <w:tc>
          <w:tcPr>
            <w:tcW w:w="1843" w:type="dxa"/>
          </w:tcPr>
          <w:p w14:paraId="50EC423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10/124 (8.1%)</w:t>
            </w:r>
          </w:p>
        </w:tc>
        <w:tc>
          <w:tcPr>
            <w:tcW w:w="1843" w:type="dxa"/>
          </w:tcPr>
          <w:p w14:paraId="12B4321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8/87 (9.2%)</w:t>
            </w:r>
          </w:p>
        </w:tc>
        <w:tc>
          <w:tcPr>
            <w:tcW w:w="1843" w:type="dxa"/>
          </w:tcPr>
          <w:p w14:paraId="25F2392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2/37 (5.4%)</w:t>
            </w:r>
          </w:p>
        </w:tc>
        <w:tc>
          <w:tcPr>
            <w:tcW w:w="992" w:type="dxa"/>
          </w:tcPr>
          <w:p w14:paraId="5886773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74E3B4A3" w14:textId="77777777" w:rsidTr="00765ED7">
        <w:trPr>
          <w:trHeight w:val="308"/>
        </w:trPr>
        <w:tc>
          <w:tcPr>
            <w:tcW w:w="2263" w:type="dxa"/>
          </w:tcPr>
          <w:p w14:paraId="43834552"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Parkinson's disease</w:t>
            </w:r>
          </w:p>
        </w:tc>
        <w:tc>
          <w:tcPr>
            <w:tcW w:w="1843" w:type="dxa"/>
          </w:tcPr>
          <w:p w14:paraId="1E0745C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 /124 (4.0%)</w:t>
            </w:r>
          </w:p>
        </w:tc>
        <w:tc>
          <w:tcPr>
            <w:tcW w:w="1843" w:type="dxa"/>
          </w:tcPr>
          <w:p w14:paraId="180D188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3/87(3.4%)</w:t>
            </w:r>
          </w:p>
        </w:tc>
        <w:tc>
          <w:tcPr>
            <w:tcW w:w="1843" w:type="dxa"/>
          </w:tcPr>
          <w:p w14:paraId="4973753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2/37 (5.4%)</w:t>
            </w:r>
          </w:p>
        </w:tc>
        <w:tc>
          <w:tcPr>
            <w:tcW w:w="992" w:type="dxa"/>
          </w:tcPr>
          <w:p w14:paraId="6D65C92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72B429A5" w14:textId="77777777" w:rsidTr="00765ED7">
        <w:trPr>
          <w:trHeight w:val="327"/>
        </w:trPr>
        <w:tc>
          <w:tcPr>
            <w:tcW w:w="2263" w:type="dxa"/>
          </w:tcPr>
          <w:p w14:paraId="5E95C3A1"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color w:val="000000"/>
                <w:sz w:val="22"/>
                <w:szCs w:val="22"/>
              </w:rPr>
              <w:t>Liver disease</w:t>
            </w:r>
          </w:p>
        </w:tc>
        <w:tc>
          <w:tcPr>
            <w:tcW w:w="1843" w:type="dxa"/>
          </w:tcPr>
          <w:p w14:paraId="327EDF6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5/124(4.0%)</w:t>
            </w:r>
          </w:p>
        </w:tc>
        <w:tc>
          <w:tcPr>
            <w:tcW w:w="1843" w:type="dxa"/>
          </w:tcPr>
          <w:p w14:paraId="484DBCE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4/87(4.6%)</w:t>
            </w:r>
          </w:p>
        </w:tc>
        <w:tc>
          <w:tcPr>
            <w:tcW w:w="1843" w:type="dxa"/>
          </w:tcPr>
          <w:p w14:paraId="6953AF4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1/37 (2.7%)</w:t>
            </w:r>
          </w:p>
        </w:tc>
        <w:tc>
          <w:tcPr>
            <w:tcW w:w="992" w:type="dxa"/>
          </w:tcPr>
          <w:p w14:paraId="4A77D85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N.S.</w:t>
            </w:r>
          </w:p>
        </w:tc>
      </w:tr>
    </w:tbl>
    <w:p w14:paraId="04AE922F" w14:textId="77777777" w:rsidR="00F115AF" w:rsidRPr="00F115AF" w:rsidRDefault="00F115AF" w:rsidP="00F115AF"/>
    <w:p w14:paraId="0C8E7B98" w14:textId="382AD67D" w:rsidR="00F115AF" w:rsidRDefault="00F115AF">
      <w:pPr>
        <w:rPr>
          <w:rFonts w:asciiTheme="majorHAnsi" w:hAnsiTheme="majorHAnsi"/>
          <w:b/>
        </w:rPr>
      </w:pPr>
      <w:r>
        <w:rPr>
          <w:rFonts w:asciiTheme="majorHAnsi" w:hAnsiTheme="majorHAnsi"/>
          <w:b/>
        </w:rPr>
        <w:br w:type="page"/>
      </w:r>
    </w:p>
    <w:p w14:paraId="5E7342D7" w14:textId="295A9412" w:rsidR="00F115AF" w:rsidRPr="00F115AF" w:rsidRDefault="00F115AF" w:rsidP="00982414">
      <w:pPr>
        <w:widowControl w:val="0"/>
        <w:autoSpaceDE w:val="0"/>
        <w:autoSpaceDN w:val="0"/>
        <w:adjustRightInd w:val="0"/>
        <w:spacing w:line="480" w:lineRule="auto"/>
        <w:ind w:left="640" w:hanging="640"/>
        <w:rPr>
          <w:rFonts w:asciiTheme="majorHAnsi" w:hAnsiTheme="majorHAnsi"/>
          <w:b/>
        </w:rPr>
      </w:pPr>
      <w:r w:rsidRPr="00F115AF">
        <w:rPr>
          <w:rFonts w:asciiTheme="majorHAnsi" w:hAnsiTheme="majorHAnsi"/>
          <w:b/>
        </w:rPr>
        <w:t>Table 2</w:t>
      </w:r>
    </w:p>
    <w:tbl>
      <w:tblPr>
        <w:tblStyle w:val="TableGrid1"/>
        <w:tblW w:w="0" w:type="auto"/>
        <w:tblLook w:val="04A0" w:firstRow="1" w:lastRow="0" w:firstColumn="1" w:lastColumn="0" w:noHBand="0" w:noVBand="1"/>
      </w:tblPr>
      <w:tblGrid>
        <w:gridCol w:w="489"/>
        <w:gridCol w:w="1635"/>
        <w:gridCol w:w="1794"/>
        <w:gridCol w:w="1795"/>
        <w:gridCol w:w="1795"/>
        <w:gridCol w:w="782"/>
      </w:tblGrid>
      <w:tr w:rsidR="00F115AF" w:rsidRPr="00F115AF" w14:paraId="475F8F34" w14:textId="77777777" w:rsidTr="00765ED7">
        <w:trPr>
          <w:trHeight w:val="422"/>
        </w:trPr>
        <w:tc>
          <w:tcPr>
            <w:tcW w:w="2124" w:type="dxa"/>
            <w:gridSpan w:val="2"/>
          </w:tcPr>
          <w:p w14:paraId="1E7FBE3E" w14:textId="77777777" w:rsidR="00F115AF" w:rsidRPr="00F115AF" w:rsidRDefault="00F115AF" w:rsidP="00F115AF">
            <w:pPr>
              <w:spacing w:line="480" w:lineRule="auto"/>
              <w:rPr>
                <w:rFonts w:asciiTheme="majorHAnsi" w:eastAsia="Times New Roman" w:hAnsiTheme="majorHAnsi" w:cs="Times New Roman"/>
                <w:color w:val="000000"/>
                <w:sz w:val="22"/>
                <w:szCs w:val="22"/>
              </w:rPr>
            </w:pPr>
          </w:p>
        </w:tc>
        <w:tc>
          <w:tcPr>
            <w:tcW w:w="1794" w:type="dxa"/>
          </w:tcPr>
          <w:p w14:paraId="25B20EDE" w14:textId="77777777" w:rsidR="00F115AF" w:rsidRPr="00F115AF" w:rsidRDefault="00F115AF" w:rsidP="00F115AF">
            <w:pPr>
              <w:spacing w:line="480" w:lineRule="auto"/>
              <w:rPr>
                <w:rFonts w:asciiTheme="majorHAnsi" w:hAnsiTheme="majorHAnsi"/>
                <w:b/>
                <w:sz w:val="22"/>
                <w:szCs w:val="22"/>
              </w:rPr>
            </w:pPr>
            <w:r w:rsidRPr="00F115AF">
              <w:rPr>
                <w:rFonts w:asciiTheme="majorHAnsi" w:hAnsiTheme="majorHAnsi"/>
                <w:b/>
                <w:sz w:val="22"/>
                <w:szCs w:val="22"/>
              </w:rPr>
              <w:t>All (total n=124)</w:t>
            </w:r>
          </w:p>
        </w:tc>
        <w:tc>
          <w:tcPr>
            <w:tcW w:w="1795" w:type="dxa"/>
          </w:tcPr>
          <w:p w14:paraId="3AF112EC" w14:textId="77777777" w:rsidR="00F115AF" w:rsidRPr="00F115AF" w:rsidRDefault="00F115AF" w:rsidP="00F115AF">
            <w:pPr>
              <w:spacing w:line="480" w:lineRule="auto"/>
              <w:ind w:left="720" w:hanging="720"/>
              <w:rPr>
                <w:rFonts w:asciiTheme="majorHAnsi" w:eastAsia="Times New Roman" w:hAnsiTheme="majorHAnsi" w:cs="Times New Roman"/>
                <w:b/>
                <w:color w:val="000000"/>
                <w:sz w:val="22"/>
                <w:szCs w:val="22"/>
              </w:rPr>
            </w:pPr>
            <w:r w:rsidRPr="00F115AF">
              <w:rPr>
                <w:rFonts w:asciiTheme="majorHAnsi" w:eastAsia="Times New Roman" w:hAnsiTheme="majorHAnsi" w:cs="Times New Roman"/>
                <w:b/>
                <w:color w:val="000000"/>
                <w:sz w:val="22"/>
                <w:szCs w:val="22"/>
              </w:rPr>
              <w:t>Survived (n=87)</w:t>
            </w:r>
          </w:p>
        </w:tc>
        <w:tc>
          <w:tcPr>
            <w:tcW w:w="1795" w:type="dxa"/>
          </w:tcPr>
          <w:p w14:paraId="4D6FAB05" w14:textId="77777777" w:rsidR="00F115AF" w:rsidRPr="00F115AF" w:rsidRDefault="00F115AF" w:rsidP="00F115AF">
            <w:pPr>
              <w:spacing w:line="480" w:lineRule="auto"/>
              <w:ind w:left="720" w:hanging="720"/>
              <w:rPr>
                <w:rFonts w:asciiTheme="majorHAnsi" w:eastAsia="Times New Roman" w:hAnsiTheme="majorHAnsi" w:cs="Times New Roman"/>
                <w:b/>
                <w:color w:val="000000"/>
                <w:sz w:val="22"/>
                <w:szCs w:val="22"/>
              </w:rPr>
            </w:pPr>
            <w:r w:rsidRPr="00F115AF">
              <w:rPr>
                <w:rFonts w:asciiTheme="majorHAnsi" w:eastAsia="Times New Roman" w:hAnsiTheme="majorHAnsi" w:cs="Times New Roman"/>
                <w:b/>
                <w:color w:val="000000"/>
                <w:sz w:val="22"/>
                <w:szCs w:val="22"/>
              </w:rPr>
              <w:t>Died (n=37)</w:t>
            </w:r>
          </w:p>
        </w:tc>
        <w:tc>
          <w:tcPr>
            <w:tcW w:w="782" w:type="dxa"/>
          </w:tcPr>
          <w:p w14:paraId="5000BD00" w14:textId="77777777" w:rsidR="00F115AF" w:rsidRPr="00F115AF" w:rsidRDefault="00F115AF" w:rsidP="00F115AF">
            <w:pPr>
              <w:spacing w:line="480" w:lineRule="auto"/>
              <w:ind w:left="720" w:hanging="720"/>
              <w:rPr>
                <w:rFonts w:asciiTheme="majorHAnsi" w:eastAsia="Times New Roman" w:hAnsiTheme="majorHAnsi" w:cs="Times New Roman"/>
                <w:b/>
                <w:color w:val="000000"/>
                <w:sz w:val="22"/>
                <w:szCs w:val="22"/>
              </w:rPr>
            </w:pPr>
            <w:r w:rsidRPr="00F115AF">
              <w:rPr>
                <w:rFonts w:asciiTheme="majorHAnsi" w:eastAsia="Times New Roman" w:hAnsiTheme="majorHAnsi" w:cs="Times New Roman"/>
                <w:b/>
                <w:color w:val="000000"/>
                <w:sz w:val="22"/>
                <w:szCs w:val="22"/>
              </w:rPr>
              <w:t>P</w:t>
            </w:r>
          </w:p>
        </w:tc>
      </w:tr>
      <w:tr w:rsidR="00F115AF" w:rsidRPr="00F115AF" w14:paraId="608858BA" w14:textId="77777777" w:rsidTr="00765ED7">
        <w:trPr>
          <w:trHeight w:val="422"/>
        </w:trPr>
        <w:tc>
          <w:tcPr>
            <w:tcW w:w="2124" w:type="dxa"/>
            <w:gridSpan w:val="2"/>
          </w:tcPr>
          <w:p w14:paraId="38058E70" w14:textId="77777777" w:rsidR="00F115AF" w:rsidRPr="00F115AF" w:rsidRDefault="00F115AF" w:rsidP="00F115AF">
            <w:pPr>
              <w:spacing w:line="480" w:lineRule="auto"/>
              <w:rPr>
                <w:rFonts w:asciiTheme="majorHAnsi" w:eastAsia="Times New Roman" w:hAnsiTheme="majorHAnsi" w:cs="Times New Roman"/>
                <w:b/>
                <w:bCs/>
                <w:color w:val="000000"/>
                <w:sz w:val="22"/>
                <w:szCs w:val="22"/>
              </w:rPr>
            </w:pPr>
            <w:r w:rsidRPr="00F115AF">
              <w:rPr>
                <w:rFonts w:asciiTheme="majorHAnsi" w:eastAsia="Times New Roman" w:hAnsiTheme="majorHAnsi" w:cs="Times New Roman"/>
                <w:b/>
                <w:bCs/>
                <w:color w:val="000000"/>
                <w:sz w:val="22"/>
                <w:szCs w:val="22"/>
              </w:rPr>
              <w:t>Clinical presentation</w:t>
            </w:r>
          </w:p>
        </w:tc>
        <w:tc>
          <w:tcPr>
            <w:tcW w:w="1794" w:type="dxa"/>
          </w:tcPr>
          <w:p w14:paraId="483642A4" w14:textId="77777777" w:rsidR="00F115AF" w:rsidRPr="00F115AF" w:rsidRDefault="00F115AF" w:rsidP="00F115AF">
            <w:pPr>
              <w:spacing w:line="480" w:lineRule="auto"/>
              <w:rPr>
                <w:rFonts w:asciiTheme="majorHAnsi" w:hAnsiTheme="majorHAnsi"/>
                <w:b/>
                <w:sz w:val="22"/>
                <w:szCs w:val="22"/>
              </w:rPr>
            </w:pPr>
          </w:p>
        </w:tc>
        <w:tc>
          <w:tcPr>
            <w:tcW w:w="1795" w:type="dxa"/>
          </w:tcPr>
          <w:p w14:paraId="64A77341" w14:textId="77777777" w:rsidR="00F115AF" w:rsidRPr="00F115AF" w:rsidRDefault="00F115AF" w:rsidP="00F115AF">
            <w:pPr>
              <w:spacing w:line="480" w:lineRule="auto"/>
              <w:ind w:left="720" w:hanging="720"/>
              <w:rPr>
                <w:rFonts w:asciiTheme="majorHAnsi" w:hAnsiTheme="majorHAnsi"/>
                <w:b/>
                <w:sz w:val="22"/>
                <w:szCs w:val="22"/>
              </w:rPr>
            </w:pPr>
          </w:p>
        </w:tc>
        <w:tc>
          <w:tcPr>
            <w:tcW w:w="1795" w:type="dxa"/>
          </w:tcPr>
          <w:p w14:paraId="06FD711D" w14:textId="77777777" w:rsidR="00F115AF" w:rsidRPr="00F115AF" w:rsidRDefault="00F115AF" w:rsidP="00F115AF">
            <w:pPr>
              <w:spacing w:line="480" w:lineRule="auto"/>
              <w:ind w:left="720" w:hanging="720"/>
              <w:rPr>
                <w:rFonts w:asciiTheme="majorHAnsi" w:hAnsiTheme="majorHAnsi"/>
                <w:b/>
                <w:sz w:val="22"/>
                <w:szCs w:val="22"/>
              </w:rPr>
            </w:pPr>
          </w:p>
        </w:tc>
        <w:tc>
          <w:tcPr>
            <w:tcW w:w="782" w:type="dxa"/>
          </w:tcPr>
          <w:p w14:paraId="43E9199C" w14:textId="77777777" w:rsidR="00F115AF" w:rsidRPr="00F115AF" w:rsidRDefault="00F115AF" w:rsidP="00F115AF">
            <w:pPr>
              <w:spacing w:line="480" w:lineRule="auto"/>
              <w:ind w:left="720" w:hanging="720"/>
              <w:rPr>
                <w:rFonts w:asciiTheme="majorHAnsi" w:hAnsiTheme="majorHAnsi"/>
                <w:b/>
                <w:sz w:val="22"/>
                <w:szCs w:val="22"/>
              </w:rPr>
            </w:pPr>
          </w:p>
        </w:tc>
      </w:tr>
      <w:tr w:rsidR="00F115AF" w:rsidRPr="00F115AF" w14:paraId="2FC48F1D" w14:textId="77777777" w:rsidTr="00765ED7">
        <w:trPr>
          <w:trHeight w:val="266"/>
        </w:trPr>
        <w:tc>
          <w:tcPr>
            <w:tcW w:w="2124" w:type="dxa"/>
            <w:gridSpan w:val="2"/>
          </w:tcPr>
          <w:p w14:paraId="69C0B65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Fever</w:t>
            </w:r>
          </w:p>
        </w:tc>
        <w:tc>
          <w:tcPr>
            <w:tcW w:w="1794" w:type="dxa"/>
          </w:tcPr>
          <w:p w14:paraId="21209248"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66/124 (53.2%)</w:t>
            </w:r>
          </w:p>
        </w:tc>
        <w:tc>
          <w:tcPr>
            <w:tcW w:w="1795" w:type="dxa"/>
          </w:tcPr>
          <w:p w14:paraId="7998AA19"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43/87 (49.4%)</w:t>
            </w:r>
          </w:p>
        </w:tc>
        <w:tc>
          <w:tcPr>
            <w:tcW w:w="1795" w:type="dxa"/>
          </w:tcPr>
          <w:p w14:paraId="70C26808"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23/37 (62.2%)</w:t>
            </w:r>
          </w:p>
        </w:tc>
        <w:tc>
          <w:tcPr>
            <w:tcW w:w="782" w:type="dxa"/>
          </w:tcPr>
          <w:p w14:paraId="6D1DEAC6"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70052C86" w14:textId="77777777" w:rsidTr="00765ED7">
        <w:trPr>
          <w:trHeight w:val="266"/>
        </w:trPr>
        <w:tc>
          <w:tcPr>
            <w:tcW w:w="2124" w:type="dxa"/>
            <w:gridSpan w:val="2"/>
          </w:tcPr>
          <w:p w14:paraId="22B315A4"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Cough</w:t>
            </w:r>
          </w:p>
        </w:tc>
        <w:tc>
          <w:tcPr>
            <w:tcW w:w="1794" w:type="dxa"/>
          </w:tcPr>
          <w:p w14:paraId="4B5200B4"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60/124 (48.4%)</w:t>
            </w:r>
          </w:p>
        </w:tc>
        <w:tc>
          <w:tcPr>
            <w:tcW w:w="1795" w:type="dxa"/>
          </w:tcPr>
          <w:p w14:paraId="23F1E836"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42/87 (48.3%)</w:t>
            </w:r>
          </w:p>
        </w:tc>
        <w:tc>
          <w:tcPr>
            <w:tcW w:w="1795" w:type="dxa"/>
          </w:tcPr>
          <w:p w14:paraId="12662BE6"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18/37 (48.6%)</w:t>
            </w:r>
          </w:p>
        </w:tc>
        <w:tc>
          <w:tcPr>
            <w:tcW w:w="782" w:type="dxa"/>
          </w:tcPr>
          <w:p w14:paraId="74AEC695"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326EFCF8" w14:textId="77777777" w:rsidTr="00765ED7">
        <w:trPr>
          <w:trHeight w:val="283"/>
        </w:trPr>
        <w:tc>
          <w:tcPr>
            <w:tcW w:w="2124" w:type="dxa"/>
            <w:gridSpan w:val="2"/>
          </w:tcPr>
          <w:p w14:paraId="118A0E3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Shortness of breath</w:t>
            </w:r>
          </w:p>
        </w:tc>
        <w:tc>
          <w:tcPr>
            <w:tcW w:w="1794" w:type="dxa"/>
          </w:tcPr>
          <w:p w14:paraId="784F048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75/124 (60.5%)</w:t>
            </w:r>
          </w:p>
        </w:tc>
        <w:tc>
          <w:tcPr>
            <w:tcW w:w="1795" w:type="dxa"/>
          </w:tcPr>
          <w:p w14:paraId="0A6CA421"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48/87 (55.2%)</w:t>
            </w:r>
          </w:p>
        </w:tc>
        <w:tc>
          <w:tcPr>
            <w:tcW w:w="1795" w:type="dxa"/>
          </w:tcPr>
          <w:p w14:paraId="04E1429C"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27/37 (73.0%)</w:t>
            </w:r>
          </w:p>
        </w:tc>
        <w:tc>
          <w:tcPr>
            <w:tcW w:w="782" w:type="dxa"/>
          </w:tcPr>
          <w:p w14:paraId="50C50C20"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07D0D39A" w14:textId="77777777" w:rsidTr="00765ED7">
        <w:trPr>
          <w:trHeight w:val="266"/>
        </w:trPr>
        <w:tc>
          <w:tcPr>
            <w:tcW w:w="2124" w:type="dxa"/>
            <w:gridSpan w:val="2"/>
          </w:tcPr>
          <w:p w14:paraId="66EB8BA9"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Delirium</w:t>
            </w:r>
          </w:p>
        </w:tc>
        <w:tc>
          <w:tcPr>
            <w:tcW w:w="1794" w:type="dxa"/>
          </w:tcPr>
          <w:p w14:paraId="7559BCDD"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58/124 (46.8%)</w:t>
            </w:r>
          </w:p>
        </w:tc>
        <w:tc>
          <w:tcPr>
            <w:tcW w:w="1795" w:type="dxa"/>
          </w:tcPr>
          <w:p w14:paraId="0EAF6EC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44/87 (50.6%)</w:t>
            </w:r>
          </w:p>
        </w:tc>
        <w:tc>
          <w:tcPr>
            <w:tcW w:w="1795" w:type="dxa"/>
          </w:tcPr>
          <w:p w14:paraId="7B38E7B5"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14/37 (37.8%)</w:t>
            </w:r>
          </w:p>
        </w:tc>
        <w:tc>
          <w:tcPr>
            <w:tcW w:w="782" w:type="dxa"/>
          </w:tcPr>
          <w:p w14:paraId="511E05C9"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465B6303" w14:textId="77777777" w:rsidTr="00765ED7">
        <w:trPr>
          <w:trHeight w:val="283"/>
        </w:trPr>
        <w:tc>
          <w:tcPr>
            <w:tcW w:w="2124" w:type="dxa"/>
            <w:gridSpan w:val="2"/>
          </w:tcPr>
          <w:p w14:paraId="71527DC7"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Vomiting</w:t>
            </w:r>
          </w:p>
        </w:tc>
        <w:tc>
          <w:tcPr>
            <w:tcW w:w="1794" w:type="dxa"/>
          </w:tcPr>
          <w:p w14:paraId="04B03C66"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12/124 (9.7%)</w:t>
            </w:r>
          </w:p>
        </w:tc>
        <w:tc>
          <w:tcPr>
            <w:tcW w:w="1795" w:type="dxa"/>
          </w:tcPr>
          <w:p w14:paraId="7809C754"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6/87 (6.9%)</w:t>
            </w:r>
          </w:p>
        </w:tc>
        <w:tc>
          <w:tcPr>
            <w:tcW w:w="1795" w:type="dxa"/>
          </w:tcPr>
          <w:p w14:paraId="2A30DD26"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6/37 (16.2%)</w:t>
            </w:r>
          </w:p>
        </w:tc>
        <w:tc>
          <w:tcPr>
            <w:tcW w:w="782" w:type="dxa"/>
          </w:tcPr>
          <w:p w14:paraId="2FA0C968"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1657A15E" w14:textId="77777777" w:rsidTr="00765ED7">
        <w:trPr>
          <w:trHeight w:val="283"/>
        </w:trPr>
        <w:tc>
          <w:tcPr>
            <w:tcW w:w="2124" w:type="dxa"/>
            <w:gridSpan w:val="2"/>
          </w:tcPr>
          <w:p w14:paraId="3AF247D3"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Fall</w:t>
            </w:r>
          </w:p>
        </w:tc>
        <w:tc>
          <w:tcPr>
            <w:tcW w:w="1794" w:type="dxa"/>
          </w:tcPr>
          <w:p w14:paraId="7BBA4C68"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30/124 (24.2%)</w:t>
            </w:r>
          </w:p>
        </w:tc>
        <w:tc>
          <w:tcPr>
            <w:tcW w:w="1795" w:type="dxa"/>
          </w:tcPr>
          <w:p w14:paraId="35121B0E"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22/87 (25.3%)</w:t>
            </w:r>
          </w:p>
        </w:tc>
        <w:tc>
          <w:tcPr>
            <w:tcW w:w="1795" w:type="dxa"/>
          </w:tcPr>
          <w:p w14:paraId="12A4C9DF"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8/37 (21.6%)</w:t>
            </w:r>
          </w:p>
        </w:tc>
        <w:tc>
          <w:tcPr>
            <w:tcW w:w="782" w:type="dxa"/>
          </w:tcPr>
          <w:p w14:paraId="56E1250F"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6024D90B" w14:textId="77777777" w:rsidTr="00765ED7">
        <w:trPr>
          <w:trHeight w:val="266"/>
        </w:trPr>
        <w:tc>
          <w:tcPr>
            <w:tcW w:w="2124" w:type="dxa"/>
            <w:gridSpan w:val="2"/>
          </w:tcPr>
          <w:p w14:paraId="3AD662B9"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Fatigue</w:t>
            </w:r>
          </w:p>
        </w:tc>
        <w:tc>
          <w:tcPr>
            <w:tcW w:w="1794" w:type="dxa"/>
          </w:tcPr>
          <w:p w14:paraId="4D96294D"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62/124 (50%)</w:t>
            </w:r>
          </w:p>
        </w:tc>
        <w:tc>
          <w:tcPr>
            <w:tcW w:w="1795" w:type="dxa"/>
          </w:tcPr>
          <w:p w14:paraId="14BB3D80"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44/87 (50.6%)</w:t>
            </w:r>
          </w:p>
        </w:tc>
        <w:tc>
          <w:tcPr>
            <w:tcW w:w="1795" w:type="dxa"/>
          </w:tcPr>
          <w:p w14:paraId="6E3318C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21/37 (56.8%)</w:t>
            </w:r>
          </w:p>
        </w:tc>
        <w:tc>
          <w:tcPr>
            <w:tcW w:w="782" w:type="dxa"/>
          </w:tcPr>
          <w:p w14:paraId="3949D2B2"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0650B49B" w14:textId="77777777" w:rsidTr="00765ED7">
        <w:trPr>
          <w:trHeight w:val="283"/>
        </w:trPr>
        <w:tc>
          <w:tcPr>
            <w:tcW w:w="2124" w:type="dxa"/>
            <w:gridSpan w:val="2"/>
          </w:tcPr>
          <w:p w14:paraId="00A767CC"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Diarrhoea</w:t>
            </w:r>
          </w:p>
        </w:tc>
        <w:tc>
          <w:tcPr>
            <w:tcW w:w="1794" w:type="dxa"/>
          </w:tcPr>
          <w:p w14:paraId="3145A6B2"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15/124 (12.1%)</w:t>
            </w:r>
          </w:p>
        </w:tc>
        <w:tc>
          <w:tcPr>
            <w:tcW w:w="1795" w:type="dxa"/>
          </w:tcPr>
          <w:p w14:paraId="5818CD3C"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12/87 (13.8%)</w:t>
            </w:r>
          </w:p>
        </w:tc>
        <w:tc>
          <w:tcPr>
            <w:tcW w:w="1795" w:type="dxa"/>
          </w:tcPr>
          <w:p w14:paraId="4A866295"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3/37 (8.1%)</w:t>
            </w:r>
          </w:p>
        </w:tc>
        <w:tc>
          <w:tcPr>
            <w:tcW w:w="782" w:type="dxa"/>
          </w:tcPr>
          <w:p w14:paraId="2080BFF4"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16ABB5DA" w14:textId="77777777" w:rsidTr="00765ED7">
        <w:trPr>
          <w:trHeight w:val="266"/>
        </w:trPr>
        <w:tc>
          <w:tcPr>
            <w:tcW w:w="2124" w:type="dxa"/>
            <w:gridSpan w:val="2"/>
          </w:tcPr>
          <w:p w14:paraId="612D644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Acute Kidney Injury</w:t>
            </w:r>
          </w:p>
        </w:tc>
        <w:tc>
          <w:tcPr>
            <w:tcW w:w="1794" w:type="dxa"/>
          </w:tcPr>
          <w:p w14:paraId="256D5DC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37/124 (29.8%)</w:t>
            </w:r>
          </w:p>
        </w:tc>
        <w:tc>
          <w:tcPr>
            <w:tcW w:w="1795" w:type="dxa"/>
          </w:tcPr>
          <w:p w14:paraId="6FB253AE"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19/87 (21.8%)</w:t>
            </w:r>
          </w:p>
        </w:tc>
        <w:tc>
          <w:tcPr>
            <w:tcW w:w="1795" w:type="dxa"/>
          </w:tcPr>
          <w:p w14:paraId="27413E9C"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18/37 (48.6%)</w:t>
            </w:r>
          </w:p>
        </w:tc>
        <w:tc>
          <w:tcPr>
            <w:tcW w:w="782" w:type="dxa"/>
          </w:tcPr>
          <w:p w14:paraId="0D0BBF04" w14:textId="77777777" w:rsidR="00F115AF" w:rsidRPr="00F115AF" w:rsidRDefault="00F115AF" w:rsidP="00F115AF">
            <w:pPr>
              <w:spacing w:line="480" w:lineRule="auto"/>
              <w:ind w:left="720" w:hanging="720"/>
              <w:rPr>
                <w:rFonts w:asciiTheme="majorHAnsi" w:eastAsia="Times New Roman" w:hAnsiTheme="majorHAnsi"/>
                <w:b/>
                <w:color w:val="000000"/>
                <w:sz w:val="22"/>
                <w:szCs w:val="22"/>
              </w:rPr>
            </w:pPr>
            <w:r w:rsidRPr="00F115AF">
              <w:rPr>
                <w:rFonts w:asciiTheme="majorHAnsi" w:eastAsia="Times New Roman" w:hAnsiTheme="majorHAnsi"/>
                <w:b/>
                <w:color w:val="000000"/>
                <w:sz w:val="22"/>
                <w:szCs w:val="22"/>
              </w:rPr>
              <w:t>0.005</w:t>
            </w:r>
          </w:p>
        </w:tc>
      </w:tr>
      <w:tr w:rsidR="00F115AF" w:rsidRPr="00F115AF" w14:paraId="6B95E2B0" w14:textId="77777777" w:rsidTr="00765ED7">
        <w:trPr>
          <w:trHeight w:val="283"/>
        </w:trPr>
        <w:tc>
          <w:tcPr>
            <w:tcW w:w="2124" w:type="dxa"/>
            <w:gridSpan w:val="2"/>
          </w:tcPr>
          <w:p w14:paraId="546C24E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Respiratory Failure</w:t>
            </w:r>
          </w:p>
        </w:tc>
        <w:tc>
          <w:tcPr>
            <w:tcW w:w="1794" w:type="dxa"/>
          </w:tcPr>
          <w:p w14:paraId="53D1121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66/124 (53.2%)</w:t>
            </w:r>
          </w:p>
        </w:tc>
        <w:tc>
          <w:tcPr>
            <w:tcW w:w="1795" w:type="dxa"/>
          </w:tcPr>
          <w:p w14:paraId="16B05B45"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39/87 (44.8%)</w:t>
            </w:r>
          </w:p>
        </w:tc>
        <w:tc>
          <w:tcPr>
            <w:tcW w:w="1795" w:type="dxa"/>
          </w:tcPr>
          <w:p w14:paraId="06AA2828"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27/37 (73.0%)</w:t>
            </w:r>
          </w:p>
        </w:tc>
        <w:tc>
          <w:tcPr>
            <w:tcW w:w="782" w:type="dxa"/>
          </w:tcPr>
          <w:p w14:paraId="48D341F3" w14:textId="77777777" w:rsidR="00F115AF" w:rsidRPr="00F115AF" w:rsidRDefault="00F115AF" w:rsidP="00F115AF">
            <w:pPr>
              <w:spacing w:line="480" w:lineRule="auto"/>
              <w:ind w:left="720" w:hanging="720"/>
              <w:rPr>
                <w:rFonts w:asciiTheme="majorHAnsi" w:eastAsia="Times New Roman" w:hAnsiTheme="majorHAnsi"/>
                <w:b/>
                <w:color w:val="000000"/>
                <w:sz w:val="22"/>
                <w:szCs w:val="22"/>
              </w:rPr>
            </w:pPr>
            <w:r w:rsidRPr="00F115AF">
              <w:rPr>
                <w:rFonts w:asciiTheme="majorHAnsi" w:eastAsia="Times New Roman" w:hAnsiTheme="majorHAnsi"/>
                <w:b/>
                <w:color w:val="000000"/>
                <w:sz w:val="22"/>
                <w:szCs w:val="22"/>
              </w:rPr>
              <w:t>0.006</w:t>
            </w:r>
          </w:p>
        </w:tc>
      </w:tr>
      <w:tr w:rsidR="00F115AF" w:rsidRPr="00F115AF" w14:paraId="73954EFD" w14:textId="77777777" w:rsidTr="00765ED7">
        <w:trPr>
          <w:trHeight w:val="266"/>
        </w:trPr>
        <w:tc>
          <w:tcPr>
            <w:tcW w:w="2124" w:type="dxa"/>
            <w:gridSpan w:val="2"/>
          </w:tcPr>
          <w:p w14:paraId="70266AD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Dysphagia</w:t>
            </w:r>
          </w:p>
        </w:tc>
        <w:tc>
          <w:tcPr>
            <w:tcW w:w="1794" w:type="dxa"/>
          </w:tcPr>
          <w:p w14:paraId="0CDE2336"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17/124 (13.7%)</w:t>
            </w:r>
          </w:p>
        </w:tc>
        <w:tc>
          <w:tcPr>
            <w:tcW w:w="1795" w:type="dxa"/>
          </w:tcPr>
          <w:p w14:paraId="40F98564"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10/87 (11.5%)</w:t>
            </w:r>
          </w:p>
        </w:tc>
        <w:tc>
          <w:tcPr>
            <w:tcW w:w="1795" w:type="dxa"/>
          </w:tcPr>
          <w:p w14:paraId="3F7F1EB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7/37 (18.9%)</w:t>
            </w:r>
          </w:p>
        </w:tc>
        <w:tc>
          <w:tcPr>
            <w:tcW w:w="782" w:type="dxa"/>
          </w:tcPr>
          <w:p w14:paraId="0AC99CE9"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3EA116AF" w14:textId="77777777" w:rsidTr="00765ED7">
        <w:trPr>
          <w:trHeight w:val="283"/>
        </w:trPr>
        <w:tc>
          <w:tcPr>
            <w:tcW w:w="2124" w:type="dxa"/>
            <w:gridSpan w:val="2"/>
          </w:tcPr>
          <w:p w14:paraId="42043087" w14:textId="77777777" w:rsidR="00F115AF" w:rsidRPr="00F115AF" w:rsidRDefault="00F115AF" w:rsidP="00F115AF">
            <w:pPr>
              <w:spacing w:line="480" w:lineRule="auto"/>
              <w:rPr>
                <w:rFonts w:asciiTheme="majorHAnsi" w:eastAsia="Times New Roman" w:hAnsiTheme="majorHAnsi"/>
                <w:color w:val="000000"/>
                <w:sz w:val="22"/>
                <w:szCs w:val="22"/>
              </w:rPr>
            </w:pPr>
          </w:p>
        </w:tc>
        <w:tc>
          <w:tcPr>
            <w:tcW w:w="1794" w:type="dxa"/>
          </w:tcPr>
          <w:p w14:paraId="35C6852F" w14:textId="77777777" w:rsidR="00F115AF" w:rsidRPr="00F115AF" w:rsidRDefault="00F115AF" w:rsidP="00F115AF">
            <w:pPr>
              <w:spacing w:line="480" w:lineRule="auto"/>
              <w:rPr>
                <w:rFonts w:asciiTheme="majorHAnsi" w:eastAsia="Times New Roman" w:hAnsiTheme="majorHAnsi"/>
                <w:color w:val="000000"/>
                <w:sz w:val="22"/>
                <w:szCs w:val="22"/>
              </w:rPr>
            </w:pPr>
          </w:p>
        </w:tc>
        <w:tc>
          <w:tcPr>
            <w:tcW w:w="1795" w:type="dxa"/>
          </w:tcPr>
          <w:p w14:paraId="1BF02342"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p>
        </w:tc>
        <w:tc>
          <w:tcPr>
            <w:tcW w:w="1795" w:type="dxa"/>
          </w:tcPr>
          <w:p w14:paraId="668563E1"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p>
        </w:tc>
        <w:tc>
          <w:tcPr>
            <w:tcW w:w="782" w:type="dxa"/>
          </w:tcPr>
          <w:p w14:paraId="2655A4D4"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p>
        </w:tc>
      </w:tr>
      <w:tr w:rsidR="00F115AF" w:rsidRPr="00F115AF" w14:paraId="6C2FB58E" w14:textId="77777777" w:rsidTr="00765ED7">
        <w:trPr>
          <w:trHeight w:val="283"/>
        </w:trPr>
        <w:tc>
          <w:tcPr>
            <w:tcW w:w="2124" w:type="dxa"/>
            <w:gridSpan w:val="2"/>
          </w:tcPr>
          <w:p w14:paraId="44EFFDDB" w14:textId="77777777" w:rsidR="00F115AF" w:rsidRPr="00F115AF" w:rsidRDefault="00F115AF" w:rsidP="00F115AF">
            <w:pPr>
              <w:spacing w:line="480" w:lineRule="auto"/>
              <w:rPr>
                <w:rFonts w:asciiTheme="majorHAnsi" w:eastAsia="Times New Roman" w:hAnsiTheme="majorHAnsi"/>
                <w:b/>
                <w:bCs/>
                <w:color w:val="000000"/>
                <w:sz w:val="22"/>
                <w:szCs w:val="22"/>
              </w:rPr>
            </w:pPr>
            <w:r w:rsidRPr="00F115AF">
              <w:rPr>
                <w:rFonts w:asciiTheme="majorHAnsi" w:eastAsia="Times New Roman" w:hAnsiTheme="majorHAnsi"/>
                <w:b/>
                <w:bCs/>
                <w:color w:val="000000"/>
                <w:sz w:val="22"/>
                <w:szCs w:val="22"/>
              </w:rPr>
              <w:t>Haematology and biochemistry</w:t>
            </w:r>
          </w:p>
        </w:tc>
        <w:tc>
          <w:tcPr>
            <w:tcW w:w="1794" w:type="dxa"/>
          </w:tcPr>
          <w:p w14:paraId="45EAA2EF" w14:textId="77777777" w:rsidR="00F115AF" w:rsidRPr="00F115AF" w:rsidRDefault="00F115AF" w:rsidP="00F115AF">
            <w:pPr>
              <w:spacing w:line="480" w:lineRule="auto"/>
              <w:rPr>
                <w:rFonts w:asciiTheme="majorHAnsi" w:eastAsia="Times New Roman" w:hAnsiTheme="majorHAnsi"/>
                <w:color w:val="000000"/>
                <w:sz w:val="22"/>
                <w:szCs w:val="22"/>
              </w:rPr>
            </w:pPr>
          </w:p>
        </w:tc>
        <w:tc>
          <w:tcPr>
            <w:tcW w:w="1795" w:type="dxa"/>
          </w:tcPr>
          <w:p w14:paraId="557985A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p>
        </w:tc>
        <w:tc>
          <w:tcPr>
            <w:tcW w:w="1795" w:type="dxa"/>
          </w:tcPr>
          <w:p w14:paraId="32089DC0"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p>
        </w:tc>
        <w:tc>
          <w:tcPr>
            <w:tcW w:w="782" w:type="dxa"/>
          </w:tcPr>
          <w:p w14:paraId="0F9898EF"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p>
        </w:tc>
      </w:tr>
      <w:tr w:rsidR="00F115AF" w:rsidRPr="00F115AF" w14:paraId="737CBE10" w14:textId="77777777" w:rsidTr="00765ED7">
        <w:trPr>
          <w:trHeight w:val="283"/>
        </w:trPr>
        <w:tc>
          <w:tcPr>
            <w:tcW w:w="2124" w:type="dxa"/>
            <w:gridSpan w:val="2"/>
          </w:tcPr>
          <w:p w14:paraId="7D54F348"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Hyponatremia </w:t>
            </w:r>
          </w:p>
        </w:tc>
        <w:tc>
          <w:tcPr>
            <w:tcW w:w="1794" w:type="dxa"/>
          </w:tcPr>
          <w:p w14:paraId="3F06042C"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17/124 (13.7%)</w:t>
            </w:r>
          </w:p>
        </w:tc>
        <w:tc>
          <w:tcPr>
            <w:tcW w:w="1795" w:type="dxa"/>
          </w:tcPr>
          <w:p w14:paraId="64DADEEE"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10/87 (11.5%)</w:t>
            </w:r>
          </w:p>
        </w:tc>
        <w:tc>
          <w:tcPr>
            <w:tcW w:w="1795" w:type="dxa"/>
          </w:tcPr>
          <w:p w14:paraId="3BA72D39"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7/37 (18.9%)</w:t>
            </w:r>
          </w:p>
        </w:tc>
        <w:tc>
          <w:tcPr>
            <w:tcW w:w="782" w:type="dxa"/>
          </w:tcPr>
          <w:p w14:paraId="177EB89B"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426A3056" w14:textId="77777777" w:rsidTr="00765ED7">
        <w:trPr>
          <w:trHeight w:val="266"/>
        </w:trPr>
        <w:tc>
          <w:tcPr>
            <w:tcW w:w="2124" w:type="dxa"/>
            <w:gridSpan w:val="2"/>
          </w:tcPr>
          <w:p w14:paraId="13946F04"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Hypernatremia </w:t>
            </w:r>
          </w:p>
        </w:tc>
        <w:tc>
          <w:tcPr>
            <w:tcW w:w="1794" w:type="dxa"/>
          </w:tcPr>
          <w:p w14:paraId="4073A207"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22/124 (17.7%)</w:t>
            </w:r>
          </w:p>
        </w:tc>
        <w:tc>
          <w:tcPr>
            <w:tcW w:w="1795" w:type="dxa"/>
          </w:tcPr>
          <w:p w14:paraId="2F1BBB8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10/87 (11.5%)</w:t>
            </w:r>
          </w:p>
        </w:tc>
        <w:tc>
          <w:tcPr>
            <w:tcW w:w="1795" w:type="dxa"/>
          </w:tcPr>
          <w:p w14:paraId="55F569AE"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12/37 (32.4%)</w:t>
            </w:r>
          </w:p>
        </w:tc>
        <w:tc>
          <w:tcPr>
            <w:tcW w:w="782" w:type="dxa"/>
          </w:tcPr>
          <w:p w14:paraId="42E410ED" w14:textId="77777777" w:rsidR="00F115AF" w:rsidRPr="00F115AF" w:rsidRDefault="00F115AF" w:rsidP="00F115AF">
            <w:pPr>
              <w:spacing w:line="480" w:lineRule="auto"/>
              <w:ind w:left="720" w:hanging="720"/>
              <w:rPr>
                <w:rFonts w:asciiTheme="majorHAnsi" w:eastAsia="Times New Roman" w:hAnsiTheme="majorHAnsi"/>
                <w:b/>
                <w:color w:val="000000"/>
                <w:sz w:val="22"/>
                <w:szCs w:val="22"/>
              </w:rPr>
            </w:pPr>
            <w:r w:rsidRPr="00F115AF">
              <w:rPr>
                <w:rFonts w:asciiTheme="majorHAnsi" w:eastAsia="Times New Roman" w:hAnsiTheme="majorHAnsi"/>
                <w:b/>
                <w:color w:val="000000"/>
                <w:sz w:val="22"/>
                <w:szCs w:val="22"/>
              </w:rPr>
              <w:t>0.009</w:t>
            </w:r>
          </w:p>
        </w:tc>
      </w:tr>
      <w:tr w:rsidR="00F115AF" w:rsidRPr="00F115AF" w14:paraId="7118D9D3" w14:textId="77777777" w:rsidTr="00765ED7">
        <w:trPr>
          <w:trHeight w:val="283"/>
        </w:trPr>
        <w:tc>
          <w:tcPr>
            <w:tcW w:w="2124" w:type="dxa"/>
            <w:gridSpan w:val="2"/>
          </w:tcPr>
          <w:p w14:paraId="7ECD1DB8"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Low Lymphocytes </w:t>
            </w:r>
          </w:p>
        </w:tc>
        <w:tc>
          <w:tcPr>
            <w:tcW w:w="1794" w:type="dxa"/>
          </w:tcPr>
          <w:p w14:paraId="1DFA0AD1"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71/124 (57.3%)</w:t>
            </w:r>
          </w:p>
        </w:tc>
        <w:tc>
          <w:tcPr>
            <w:tcW w:w="1795" w:type="dxa"/>
          </w:tcPr>
          <w:p w14:paraId="1C7DA7DB"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48/87 (55.2%)</w:t>
            </w:r>
          </w:p>
        </w:tc>
        <w:tc>
          <w:tcPr>
            <w:tcW w:w="1795" w:type="dxa"/>
          </w:tcPr>
          <w:p w14:paraId="1B9D2B51"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23/37 (62.2 %)</w:t>
            </w:r>
          </w:p>
        </w:tc>
        <w:tc>
          <w:tcPr>
            <w:tcW w:w="782" w:type="dxa"/>
          </w:tcPr>
          <w:p w14:paraId="77938316"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3E55BC10" w14:textId="77777777" w:rsidTr="00765ED7">
        <w:trPr>
          <w:trHeight w:val="266"/>
        </w:trPr>
        <w:tc>
          <w:tcPr>
            <w:tcW w:w="2124" w:type="dxa"/>
            <w:gridSpan w:val="2"/>
          </w:tcPr>
          <w:p w14:paraId="6169770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D-dimer </w:t>
            </w:r>
          </w:p>
        </w:tc>
        <w:tc>
          <w:tcPr>
            <w:tcW w:w="1794" w:type="dxa"/>
          </w:tcPr>
          <w:p w14:paraId="260724E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71/90 (78.9%)</w:t>
            </w:r>
          </w:p>
        </w:tc>
        <w:tc>
          <w:tcPr>
            <w:tcW w:w="1795" w:type="dxa"/>
          </w:tcPr>
          <w:p w14:paraId="7B1E7219"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48/63 (76.2%)</w:t>
            </w:r>
          </w:p>
        </w:tc>
        <w:tc>
          <w:tcPr>
            <w:tcW w:w="1795" w:type="dxa"/>
          </w:tcPr>
          <w:p w14:paraId="5A0C2948"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23/27 (85.2%)</w:t>
            </w:r>
          </w:p>
        </w:tc>
        <w:tc>
          <w:tcPr>
            <w:tcW w:w="782" w:type="dxa"/>
          </w:tcPr>
          <w:p w14:paraId="1F98A745"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4EF70042" w14:textId="77777777" w:rsidTr="00765ED7">
        <w:trPr>
          <w:trHeight w:val="283"/>
        </w:trPr>
        <w:tc>
          <w:tcPr>
            <w:tcW w:w="2124" w:type="dxa"/>
            <w:gridSpan w:val="2"/>
          </w:tcPr>
          <w:p w14:paraId="7A1C7BE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CRP </w:t>
            </w:r>
          </w:p>
        </w:tc>
        <w:tc>
          <w:tcPr>
            <w:tcW w:w="1794" w:type="dxa"/>
          </w:tcPr>
          <w:p w14:paraId="31CAB28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115/124 (92.7%)</w:t>
            </w:r>
          </w:p>
        </w:tc>
        <w:tc>
          <w:tcPr>
            <w:tcW w:w="1795" w:type="dxa"/>
          </w:tcPr>
          <w:p w14:paraId="482EA0F5"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78/87(89.7%)</w:t>
            </w:r>
          </w:p>
        </w:tc>
        <w:tc>
          <w:tcPr>
            <w:tcW w:w="1795" w:type="dxa"/>
          </w:tcPr>
          <w:p w14:paraId="3FE1A348"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37/37 (100%)</w:t>
            </w:r>
          </w:p>
        </w:tc>
        <w:tc>
          <w:tcPr>
            <w:tcW w:w="782" w:type="dxa"/>
          </w:tcPr>
          <w:p w14:paraId="4E41D78C"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719AC2DC" w14:textId="77777777" w:rsidTr="00765ED7">
        <w:trPr>
          <w:trHeight w:val="340"/>
        </w:trPr>
        <w:tc>
          <w:tcPr>
            <w:tcW w:w="2124" w:type="dxa"/>
            <w:gridSpan w:val="2"/>
          </w:tcPr>
          <w:p w14:paraId="74D1BB1E"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creatine kinase </w:t>
            </w:r>
          </w:p>
        </w:tc>
        <w:tc>
          <w:tcPr>
            <w:tcW w:w="1794" w:type="dxa"/>
          </w:tcPr>
          <w:p w14:paraId="2D045141"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32/78 (41%)</w:t>
            </w:r>
          </w:p>
        </w:tc>
        <w:tc>
          <w:tcPr>
            <w:tcW w:w="1795" w:type="dxa"/>
          </w:tcPr>
          <w:p w14:paraId="19ADFEE9"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19 (37.3%)</w:t>
            </w:r>
          </w:p>
        </w:tc>
        <w:tc>
          <w:tcPr>
            <w:tcW w:w="1795" w:type="dxa"/>
          </w:tcPr>
          <w:p w14:paraId="4318F162"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13/27 (48.1%)</w:t>
            </w:r>
          </w:p>
        </w:tc>
        <w:tc>
          <w:tcPr>
            <w:tcW w:w="782" w:type="dxa"/>
          </w:tcPr>
          <w:p w14:paraId="2EF1140B"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0FCF1D82" w14:textId="77777777" w:rsidTr="00765ED7">
        <w:trPr>
          <w:trHeight w:val="283"/>
        </w:trPr>
        <w:tc>
          <w:tcPr>
            <w:tcW w:w="2124" w:type="dxa"/>
            <w:gridSpan w:val="2"/>
          </w:tcPr>
          <w:p w14:paraId="59325C18"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Troponin T </w:t>
            </w:r>
          </w:p>
        </w:tc>
        <w:tc>
          <w:tcPr>
            <w:tcW w:w="1794" w:type="dxa"/>
          </w:tcPr>
          <w:p w14:paraId="7C03ED64"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61/94 (64.9%)</w:t>
            </w:r>
          </w:p>
        </w:tc>
        <w:tc>
          <w:tcPr>
            <w:tcW w:w="1795" w:type="dxa"/>
          </w:tcPr>
          <w:p w14:paraId="3DB70C04"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37 (57.8%)</w:t>
            </w:r>
          </w:p>
        </w:tc>
        <w:tc>
          <w:tcPr>
            <w:tcW w:w="1795" w:type="dxa"/>
          </w:tcPr>
          <w:p w14:paraId="3254C481"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24/30 (80.0%)</w:t>
            </w:r>
          </w:p>
        </w:tc>
        <w:tc>
          <w:tcPr>
            <w:tcW w:w="782" w:type="dxa"/>
          </w:tcPr>
          <w:p w14:paraId="7903548A" w14:textId="77777777" w:rsidR="00F115AF" w:rsidRPr="00F115AF" w:rsidRDefault="00F115AF" w:rsidP="00F115AF">
            <w:pPr>
              <w:spacing w:line="480" w:lineRule="auto"/>
              <w:ind w:left="720" w:hanging="720"/>
              <w:rPr>
                <w:rFonts w:asciiTheme="majorHAnsi" w:eastAsia="Times New Roman" w:hAnsiTheme="majorHAnsi"/>
                <w:b/>
                <w:color w:val="000000"/>
                <w:sz w:val="22"/>
                <w:szCs w:val="22"/>
              </w:rPr>
            </w:pPr>
            <w:r w:rsidRPr="00F115AF">
              <w:rPr>
                <w:rFonts w:asciiTheme="majorHAnsi" w:eastAsia="Times New Roman" w:hAnsiTheme="majorHAnsi"/>
                <w:b/>
                <w:color w:val="000000"/>
                <w:sz w:val="22"/>
                <w:szCs w:val="22"/>
              </w:rPr>
              <w:t>0.04</w:t>
            </w:r>
          </w:p>
        </w:tc>
      </w:tr>
      <w:tr w:rsidR="00F115AF" w:rsidRPr="00F115AF" w14:paraId="5E806A9C" w14:textId="77777777" w:rsidTr="00765ED7">
        <w:trPr>
          <w:trHeight w:val="266"/>
        </w:trPr>
        <w:tc>
          <w:tcPr>
            <w:tcW w:w="2124" w:type="dxa"/>
            <w:gridSpan w:val="2"/>
          </w:tcPr>
          <w:p w14:paraId="17ABC2F2"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ALT </w:t>
            </w:r>
          </w:p>
        </w:tc>
        <w:tc>
          <w:tcPr>
            <w:tcW w:w="1794" w:type="dxa"/>
          </w:tcPr>
          <w:p w14:paraId="336272AA"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26/117 (21.1%)</w:t>
            </w:r>
          </w:p>
        </w:tc>
        <w:tc>
          <w:tcPr>
            <w:tcW w:w="1795" w:type="dxa"/>
          </w:tcPr>
          <w:p w14:paraId="62D5B8CD"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13/82 (15.9%)</w:t>
            </w:r>
          </w:p>
        </w:tc>
        <w:tc>
          <w:tcPr>
            <w:tcW w:w="1795" w:type="dxa"/>
          </w:tcPr>
          <w:p w14:paraId="3C1F7088"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13/35 (37.1%)</w:t>
            </w:r>
          </w:p>
        </w:tc>
        <w:tc>
          <w:tcPr>
            <w:tcW w:w="782" w:type="dxa"/>
          </w:tcPr>
          <w:p w14:paraId="1D2CE601" w14:textId="77777777" w:rsidR="00F115AF" w:rsidRPr="00F115AF" w:rsidRDefault="00F115AF" w:rsidP="00F115AF">
            <w:pPr>
              <w:spacing w:line="480" w:lineRule="auto"/>
              <w:ind w:left="720" w:hanging="720"/>
              <w:rPr>
                <w:rFonts w:asciiTheme="majorHAnsi" w:eastAsia="Times New Roman" w:hAnsiTheme="majorHAnsi"/>
                <w:b/>
                <w:color w:val="000000"/>
                <w:sz w:val="22"/>
                <w:szCs w:val="22"/>
              </w:rPr>
            </w:pPr>
            <w:r w:rsidRPr="00F115AF">
              <w:rPr>
                <w:rFonts w:asciiTheme="majorHAnsi" w:eastAsia="Times New Roman" w:hAnsiTheme="majorHAnsi"/>
                <w:b/>
                <w:color w:val="000000"/>
                <w:sz w:val="22"/>
                <w:szCs w:val="22"/>
              </w:rPr>
              <w:t>0.016</w:t>
            </w:r>
          </w:p>
        </w:tc>
      </w:tr>
      <w:tr w:rsidR="00F115AF" w:rsidRPr="00F115AF" w14:paraId="39B50BD9" w14:textId="77777777" w:rsidTr="00765ED7">
        <w:trPr>
          <w:trHeight w:val="283"/>
        </w:trPr>
        <w:tc>
          <w:tcPr>
            <w:tcW w:w="2124" w:type="dxa"/>
            <w:gridSpan w:val="2"/>
          </w:tcPr>
          <w:p w14:paraId="7F86CFFD"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ALP </w:t>
            </w:r>
          </w:p>
        </w:tc>
        <w:tc>
          <w:tcPr>
            <w:tcW w:w="1794" w:type="dxa"/>
          </w:tcPr>
          <w:p w14:paraId="71E61DA2"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26/123 (22.2%)</w:t>
            </w:r>
          </w:p>
        </w:tc>
        <w:tc>
          <w:tcPr>
            <w:tcW w:w="1795" w:type="dxa"/>
          </w:tcPr>
          <w:p w14:paraId="240BD24E"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12/86 (14%)</w:t>
            </w:r>
          </w:p>
        </w:tc>
        <w:tc>
          <w:tcPr>
            <w:tcW w:w="1795" w:type="dxa"/>
          </w:tcPr>
          <w:p w14:paraId="748FB6F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14/37 (37.8%)</w:t>
            </w:r>
          </w:p>
        </w:tc>
        <w:tc>
          <w:tcPr>
            <w:tcW w:w="782" w:type="dxa"/>
          </w:tcPr>
          <w:p w14:paraId="486A8675" w14:textId="77777777" w:rsidR="00F115AF" w:rsidRPr="00F115AF" w:rsidRDefault="00F115AF" w:rsidP="00F115AF">
            <w:pPr>
              <w:spacing w:line="480" w:lineRule="auto"/>
              <w:ind w:left="720" w:hanging="720"/>
              <w:rPr>
                <w:rFonts w:asciiTheme="majorHAnsi" w:eastAsia="Times New Roman" w:hAnsiTheme="majorHAnsi"/>
                <w:b/>
                <w:color w:val="000000"/>
                <w:sz w:val="22"/>
                <w:szCs w:val="22"/>
              </w:rPr>
            </w:pPr>
            <w:r w:rsidRPr="00F115AF">
              <w:rPr>
                <w:rFonts w:asciiTheme="majorHAnsi" w:eastAsia="Times New Roman" w:hAnsiTheme="majorHAnsi"/>
                <w:b/>
                <w:color w:val="000000"/>
                <w:sz w:val="22"/>
                <w:szCs w:val="22"/>
              </w:rPr>
              <w:t>0.007</w:t>
            </w:r>
          </w:p>
        </w:tc>
      </w:tr>
      <w:tr w:rsidR="00F115AF" w:rsidRPr="00F115AF" w14:paraId="33F067C7" w14:textId="77777777" w:rsidTr="00765ED7">
        <w:trPr>
          <w:trHeight w:val="266"/>
        </w:trPr>
        <w:tc>
          <w:tcPr>
            <w:tcW w:w="2124" w:type="dxa"/>
            <w:gridSpan w:val="2"/>
          </w:tcPr>
          <w:p w14:paraId="71945966"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LDH </w:t>
            </w:r>
          </w:p>
        </w:tc>
        <w:tc>
          <w:tcPr>
            <w:tcW w:w="1794" w:type="dxa"/>
          </w:tcPr>
          <w:p w14:paraId="63368887"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56/72 (77.8%)</w:t>
            </w:r>
          </w:p>
        </w:tc>
        <w:tc>
          <w:tcPr>
            <w:tcW w:w="1795" w:type="dxa"/>
          </w:tcPr>
          <w:p w14:paraId="3E20813A"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38/51 (74.5%)</w:t>
            </w:r>
          </w:p>
        </w:tc>
        <w:tc>
          <w:tcPr>
            <w:tcW w:w="1795" w:type="dxa"/>
          </w:tcPr>
          <w:p w14:paraId="000A7447"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18/21 (85.7%)</w:t>
            </w:r>
          </w:p>
        </w:tc>
        <w:tc>
          <w:tcPr>
            <w:tcW w:w="782" w:type="dxa"/>
          </w:tcPr>
          <w:p w14:paraId="2C1B71FB"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3FD763A6" w14:textId="77777777" w:rsidTr="00765ED7">
        <w:trPr>
          <w:trHeight w:val="283"/>
        </w:trPr>
        <w:tc>
          <w:tcPr>
            <w:tcW w:w="2124" w:type="dxa"/>
            <w:gridSpan w:val="2"/>
          </w:tcPr>
          <w:p w14:paraId="28CA0A3F"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 xml:space="preserve">Elevated Ferritin </w:t>
            </w:r>
          </w:p>
        </w:tc>
        <w:tc>
          <w:tcPr>
            <w:tcW w:w="1794" w:type="dxa"/>
          </w:tcPr>
          <w:p w14:paraId="69F7DB44"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61/99 (61.6%)</w:t>
            </w:r>
          </w:p>
        </w:tc>
        <w:tc>
          <w:tcPr>
            <w:tcW w:w="1795" w:type="dxa"/>
          </w:tcPr>
          <w:p w14:paraId="64A3AB60"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43/67 (64.2%)</w:t>
            </w:r>
          </w:p>
        </w:tc>
        <w:tc>
          <w:tcPr>
            <w:tcW w:w="1795" w:type="dxa"/>
          </w:tcPr>
          <w:p w14:paraId="75F25C63"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18/32(56.3%)</w:t>
            </w:r>
          </w:p>
        </w:tc>
        <w:tc>
          <w:tcPr>
            <w:tcW w:w="782" w:type="dxa"/>
          </w:tcPr>
          <w:p w14:paraId="6DCF2BFC"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N.S.</w:t>
            </w:r>
          </w:p>
        </w:tc>
      </w:tr>
      <w:tr w:rsidR="00F115AF" w:rsidRPr="00F115AF" w14:paraId="4336F1D5" w14:textId="77777777" w:rsidTr="00765ED7">
        <w:trPr>
          <w:trHeight w:val="266"/>
        </w:trPr>
        <w:tc>
          <w:tcPr>
            <w:tcW w:w="2124" w:type="dxa"/>
            <w:gridSpan w:val="2"/>
          </w:tcPr>
          <w:p w14:paraId="4516AFF2" w14:textId="77777777" w:rsidR="00F115AF" w:rsidRPr="00F115AF" w:rsidRDefault="00F115AF" w:rsidP="00F115AF">
            <w:pPr>
              <w:spacing w:line="480" w:lineRule="auto"/>
              <w:rPr>
                <w:rFonts w:asciiTheme="majorHAnsi" w:eastAsia="Times New Roman" w:hAnsiTheme="majorHAnsi"/>
                <w:color w:val="000000"/>
                <w:sz w:val="22"/>
                <w:szCs w:val="22"/>
              </w:rPr>
            </w:pPr>
          </w:p>
        </w:tc>
        <w:tc>
          <w:tcPr>
            <w:tcW w:w="1794" w:type="dxa"/>
          </w:tcPr>
          <w:p w14:paraId="1268AC30" w14:textId="77777777" w:rsidR="00F115AF" w:rsidRPr="00F115AF" w:rsidRDefault="00F115AF" w:rsidP="00F115AF">
            <w:pPr>
              <w:spacing w:line="480" w:lineRule="auto"/>
              <w:rPr>
                <w:rFonts w:asciiTheme="majorHAnsi" w:eastAsia="Times New Roman" w:hAnsiTheme="majorHAnsi"/>
                <w:color w:val="010205"/>
                <w:sz w:val="22"/>
                <w:szCs w:val="22"/>
              </w:rPr>
            </w:pPr>
          </w:p>
        </w:tc>
        <w:tc>
          <w:tcPr>
            <w:tcW w:w="1795" w:type="dxa"/>
          </w:tcPr>
          <w:p w14:paraId="54A255AC" w14:textId="77777777" w:rsidR="00F115AF" w:rsidRPr="00F115AF" w:rsidRDefault="00F115AF" w:rsidP="00F115AF">
            <w:pPr>
              <w:spacing w:line="480" w:lineRule="auto"/>
              <w:ind w:left="720" w:hanging="720"/>
              <w:rPr>
                <w:rFonts w:asciiTheme="majorHAnsi" w:eastAsia="Times New Roman" w:hAnsiTheme="majorHAnsi"/>
                <w:color w:val="010205"/>
                <w:sz w:val="22"/>
                <w:szCs w:val="22"/>
              </w:rPr>
            </w:pPr>
          </w:p>
        </w:tc>
        <w:tc>
          <w:tcPr>
            <w:tcW w:w="1795" w:type="dxa"/>
          </w:tcPr>
          <w:p w14:paraId="72BD9613" w14:textId="77777777" w:rsidR="00F115AF" w:rsidRPr="00F115AF" w:rsidRDefault="00F115AF" w:rsidP="00F115AF">
            <w:pPr>
              <w:spacing w:line="480" w:lineRule="auto"/>
              <w:ind w:left="720" w:hanging="720"/>
              <w:rPr>
                <w:rFonts w:asciiTheme="majorHAnsi" w:eastAsia="Times New Roman" w:hAnsiTheme="majorHAnsi"/>
                <w:color w:val="010205"/>
                <w:sz w:val="22"/>
                <w:szCs w:val="22"/>
              </w:rPr>
            </w:pPr>
          </w:p>
        </w:tc>
        <w:tc>
          <w:tcPr>
            <w:tcW w:w="782" w:type="dxa"/>
          </w:tcPr>
          <w:p w14:paraId="6E335B00" w14:textId="77777777" w:rsidR="00F115AF" w:rsidRPr="00F115AF" w:rsidRDefault="00F115AF" w:rsidP="00F115AF">
            <w:pPr>
              <w:spacing w:line="480" w:lineRule="auto"/>
              <w:ind w:left="720" w:hanging="720"/>
              <w:rPr>
                <w:rFonts w:asciiTheme="majorHAnsi" w:eastAsia="Times New Roman" w:hAnsiTheme="majorHAnsi"/>
                <w:color w:val="010205"/>
                <w:sz w:val="22"/>
                <w:szCs w:val="22"/>
              </w:rPr>
            </w:pPr>
          </w:p>
        </w:tc>
      </w:tr>
      <w:tr w:rsidR="00F115AF" w:rsidRPr="00F115AF" w14:paraId="1F31CAAF" w14:textId="77777777" w:rsidTr="00765ED7">
        <w:trPr>
          <w:trHeight w:val="266"/>
        </w:trPr>
        <w:tc>
          <w:tcPr>
            <w:tcW w:w="2124" w:type="dxa"/>
            <w:gridSpan w:val="2"/>
          </w:tcPr>
          <w:p w14:paraId="2DE84256" w14:textId="77777777" w:rsidR="00F115AF" w:rsidRPr="00F115AF" w:rsidRDefault="00F115AF" w:rsidP="00F115AF">
            <w:pPr>
              <w:spacing w:line="480" w:lineRule="auto"/>
              <w:rPr>
                <w:rFonts w:asciiTheme="majorHAnsi" w:eastAsia="Times New Roman" w:hAnsiTheme="majorHAnsi"/>
                <w:b/>
                <w:bCs/>
                <w:color w:val="000000"/>
                <w:sz w:val="22"/>
                <w:szCs w:val="22"/>
              </w:rPr>
            </w:pPr>
            <w:r w:rsidRPr="00F115AF">
              <w:rPr>
                <w:rFonts w:asciiTheme="majorHAnsi" w:eastAsia="Times New Roman" w:hAnsiTheme="majorHAnsi"/>
                <w:b/>
                <w:bCs/>
                <w:color w:val="000000"/>
                <w:sz w:val="22"/>
                <w:szCs w:val="22"/>
              </w:rPr>
              <w:t>CXR findings</w:t>
            </w:r>
          </w:p>
        </w:tc>
        <w:tc>
          <w:tcPr>
            <w:tcW w:w="1794" w:type="dxa"/>
          </w:tcPr>
          <w:p w14:paraId="42459B6F" w14:textId="77777777" w:rsidR="00F115AF" w:rsidRPr="00F115AF" w:rsidRDefault="00F115AF" w:rsidP="00F115AF">
            <w:pPr>
              <w:spacing w:line="480" w:lineRule="auto"/>
              <w:rPr>
                <w:rFonts w:asciiTheme="majorHAnsi" w:eastAsia="Times New Roman" w:hAnsiTheme="majorHAnsi"/>
                <w:color w:val="010205"/>
                <w:sz w:val="22"/>
                <w:szCs w:val="22"/>
              </w:rPr>
            </w:pPr>
          </w:p>
        </w:tc>
        <w:tc>
          <w:tcPr>
            <w:tcW w:w="1795" w:type="dxa"/>
          </w:tcPr>
          <w:p w14:paraId="0368C207" w14:textId="77777777" w:rsidR="00F115AF" w:rsidRPr="00F115AF" w:rsidRDefault="00F115AF" w:rsidP="00F115AF">
            <w:pPr>
              <w:spacing w:line="480" w:lineRule="auto"/>
              <w:ind w:left="720" w:hanging="720"/>
              <w:rPr>
                <w:rFonts w:asciiTheme="majorHAnsi" w:eastAsia="Times New Roman" w:hAnsiTheme="majorHAnsi"/>
                <w:color w:val="010205"/>
                <w:sz w:val="22"/>
                <w:szCs w:val="22"/>
              </w:rPr>
            </w:pPr>
          </w:p>
        </w:tc>
        <w:tc>
          <w:tcPr>
            <w:tcW w:w="1795" w:type="dxa"/>
          </w:tcPr>
          <w:p w14:paraId="64E82BB5" w14:textId="77777777" w:rsidR="00F115AF" w:rsidRPr="00F115AF" w:rsidRDefault="00F115AF" w:rsidP="00F115AF">
            <w:pPr>
              <w:spacing w:line="480" w:lineRule="auto"/>
              <w:ind w:left="720" w:hanging="720"/>
              <w:rPr>
                <w:rFonts w:asciiTheme="majorHAnsi" w:eastAsia="Times New Roman" w:hAnsiTheme="majorHAnsi"/>
                <w:color w:val="010205"/>
                <w:sz w:val="22"/>
                <w:szCs w:val="22"/>
              </w:rPr>
            </w:pPr>
          </w:p>
        </w:tc>
        <w:tc>
          <w:tcPr>
            <w:tcW w:w="782" w:type="dxa"/>
          </w:tcPr>
          <w:p w14:paraId="39E19C31" w14:textId="77777777" w:rsidR="00F115AF" w:rsidRPr="00F115AF" w:rsidRDefault="00F115AF" w:rsidP="00F115AF">
            <w:pPr>
              <w:spacing w:line="480" w:lineRule="auto"/>
              <w:ind w:left="720" w:hanging="720"/>
              <w:rPr>
                <w:rFonts w:asciiTheme="majorHAnsi" w:eastAsia="Times New Roman" w:hAnsiTheme="majorHAnsi"/>
                <w:color w:val="010205"/>
                <w:sz w:val="22"/>
                <w:szCs w:val="22"/>
              </w:rPr>
            </w:pPr>
          </w:p>
        </w:tc>
      </w:tr>
      <w:tr w:rsidR="00F115AF" w:rsidRPr="00F115AF" w14:paraId="37615CA0" w14:textId="77777777" w:rsidTr="00765ED7">
        <w:trPr>
          <w:trHeight w:val="283"/>
        </w:trPr>
        <w:tc>
          <w:tcPr>
            <w:tcW w:w="489" w:type="dxa"/>
            <w:vMerge w:val="restart"/>
          </w:tcPr>
          <w:p w14:paraId="54396EF8" w14:textId="77777777" w:rsidR="00F115AF" w:rsidRPr="00F115AF" w:rsidRDefault="00F115AF" w:rsidP="00F115AF">
            <w:pPr>
              <w:spacing w:line="480" w:lineRule="auto"/>
              <w:rPr>
                <w:rFonts w:asciiTheme="majorHAnsi" w:eastAsia="Times New Roman" w:hAnsiTheme="majorHAnsi"/>
                <w:b/>
                <w:bCs/>
                <w:color w:val="000000"/>
                <w:sz w:val="22"/>
                <w:szCs w:val="22"/>
              </w:rPr>
            </w:pPr>
          </w:p>
        </w:tc>
        <w:tc>
          <w:tcPr>
            <w:tcW w:w="1635" w:type="dxa"/>
          </w:tcPr>
          <w:p w14:paraId="3A63004D"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Normal</w:t>
            </w:r>
          </w:p>
        </w:tc>
        <w:tc>
          <w:tcPr>
            <w:tcW w:w="1794" w:type="dxa"/>
          </w:tcPr>
          <w:p w14:paraId="030F6C82"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37/120 (30.8%)</w:t>
            </w:r>
          </w:p>
        </w:tc>
        <w:tc>
          <w:tcPr>
            <w:tcW w:w="1795" w:type="dxa"/>
          </w:tcPr>
          <w:p w14:paraId="01C2653D"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31/86 (36.0%)</w:t>
            </w:r>
          </w:p>
        </w:tc>
        <w:tc>
          <w:tcPr>
            <w:tcW w:w="1795" w:type="dxa"/>
          </w:tcPr>
          <w:p w14:paraId="19B27682"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6/34 (17.6%)</w:t>
            </w:r>
          </w:p>
        </w:tc>
        <w:tc>
          <w:tcPr>
            <w:tcW w:w="782" w:type="dxa"/>
            <w:vMerge w:val="restart"/>
          </w:tcPr>
          <w:p w14:paraId="6E791D2E"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10205"/>
                <w:sz w:val="22"/>
                <w:szCs w:val="22"/>
              </w:rPr>
              <w:t>N.S.</w:t>
            </w:r>
          </w:p>
        </w:tc>
      </w:tr>
      <w:tr w:rsidR="00F115AF" w:rsidRPr="00F115AF" w14:paraId="7C1429E9" w14:textId="77777777" w:rsidTr="00765ED7">
        <w:trPr>
          <w:trHeight w:val="549"/>
        </w:trPr>
        <w:tc>
          <w:tcPr>
            <w:tcW w:w="489" w:type="dxa"/>
            <w:vMerge/>
          </w:tcPr>
          <w:p w14:paraId="2D2B3194" w14:textId="77777777" w:rsidR="00F115AF" w:rsidRPr="00F115AF" w:rsidRDefault="00F115AF" w:rsidP="00F115AF">
            <w:pPr>
              <w:spacing w:line="480" w:lineRule="auto"/>
              <w:rPr>
                <w:rFonts w:asciiTheme="majorHAnsi" w:eastAsia="Times New Roman" w:hAnsiTheme="majorHAnsi"/>
                <w:b/>
                <w:bCs/>
                <w:color w:val="000000"/>
                <w:sz w:val="22"/>
                <w:szCs w:val="22"/>
              </w:rPr>
            </w:pPr>
          </w:p>
        </w:tc>
        <w:tc>
          <w:tcPr>
            <w:tcW w:w="1635" w:type="dxa"/>
          </w:tcPr>
          <w:p w14:paraId="6D19D13B"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Unilateral changes</w:t>
            </w:r>
          </w:p>
        </w:tc>
        <w:tc>
          <w:tcPr>
            <w:tcW w:w="1794" w:type="dxa"/>
          </w:tcPr>
          <w:p w14:paraId="127CB5CE"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31/120 (25.8%)</w:t>
            </w:r>
          </w:p>
        </w:tc>
        <w:tc>
          <w:tcPr>
            <w:tcW w:w="1795" w:type="dxa"/>
          </w:tcPr>
          <w:p w14:paraId="55574C91"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24/86 (27.9%)</w:t>
            </w:r>
          </w:p>
        </w:tc>
        <w:tc>
          <w:tcPr>
            <w:tcW w:w="1795" w:type="dxa"/>
          </w:tcPr>
          <w:p w14:paraId="11214160"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7/34 (20.6%)</w:t>
            </w:r>
          </w:p>
        </w:tc>
        <w:tc>
          <w:tcPr>
            <w:tcW w:w="782" w:type="dxa"/>
            <w:vMerge/>
          </w:tcPr>
          <w:p w14:paraId="43D5CC87" w14:textId="77777777" w:rsidR="00F115AF" w:rsidRPr="00F115AF" w:rsidRDefault="00F115AF" w:rsidP="00F115AF">
            <w:pPr>
              <w:spacing w:line="480" w:lineRule="auto"/>
              <w:rPr>
                <w:rFonts w:asciiTheme="majorHAnsi" w:eastAsia="Times New Roman" w:hAnsiTheme="majorHAnsi"/>
                <w:color w:val="000000"/>
                <w:sz w:val="22"/>
                <w:szCs w:val="22"/>
              </w:rPr>
            </w:pPr>
          </w:p>
        </w:tc>
      </w:tr>
      <w:tr w:rsidR="00F115AF" w:rsidRPr="00F115AF" w14:paraId="7DE37783" w14:textId="77777777" w:rsidTr="00765ED7">
        <w:trPr>
          <w:trHeight w:val="427"/>
        </w:trPr>
        <w:tc>
          <w:tcPr>
            <w:tcW w:w="489" w:type="dxa"/>
            <w:vMerge/>
          </w:tcPr>
          <w:p w14:paraId="2C98CBCD" w14:textId="77777777" w:rsidR="00F115AF" w:rsidRPr="00F115AF" w:rsidRDefault="00F115AF" w:rsidP="00F115AF">
            <w:pPr>
              <w:spacing w:line="480" w:lineRule="auto"/>
              <w:rPr>
                <w:rFonts w:asciiTheme="majorHAnsi" w:eastAsia="Times New Roman" w:hAnsiTheme="majorHAnsi"/>
                <w:b/>
                <w:bCs/>
                <w:color w:val="000000"/>
                <w:sz w:val="22"/>
                <w:szCs w:val="22"/>
              </w:rPr>
            </w:pPr>
          </w:p>
        </w:tc>
        <w:tc>
          <w:tcPr>
            <w:tcW w:w="1635" w:type="dxa"/>
          </w:tcPr>
          <w:p w14:paraId="7CCF508F"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Bilateral changes</w:t>
            </w:r>
          </w:p>
        </w:tc>
        <w:tc>
          <w:tcPr>
            <w:tcW w:w="1794" w:type="dxa"/>
          </w:tcPr>
          <w:p w14:paraId="38527D07"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41/120 (34.2%)</w:t>
            </w:r>
          </w:p>
        </w:tc>
        <w:tc>
          <w:tcPr>
            <w:tcW w:w="1795" w:type="dxa"/>
          </w:tcPr>
          <w:p w14:paraId="4F9351C7" w14:textId="77777777" w:rsidR="00F115AF" w:rsidRPr="00F115AF" w:rsidRDefault="00F115AF" w:rsidP="00F115AF">
            <w:pPr>
              <w:spacing w:line="480" w:lineRule="auto"/>
              <w:rPr>
                <w:rFonts w:asciiTheme="majorHAnsi" w:hAnsiTheme="majorHAnsi"/>
                <w:sz w:val="22"/>
                <w:szCs w:val="22"/>
              </w:rPr>
            </w:pPr>
            <w:r w:rsidRPr="00F115AF">
              <w:rPr>
                <w:rFonts w:asciiTheme="majorHAnsi" w:eastAsia="Times New Roman" w:hAnsiTheme="majorHAnsi"/>
                <w:color w:val="000000"/>
                <w:sz w:val="22"/>
                <w:szCs w:val="22"/>
              </w:rPr>
              <w:t xml:space="preserve">25/86 </w:t>
            </w:r>
            <w:r w:rsidRPr="00F115AF">
              <w:rPr>
                <w:rFonts w:asciiTheme="majorHAnsi" w:hAnsiTheme="majorHAnsi"/>
                <w:sz w:val="22"/>
                <w:szCs w:val="22"/>
              </w:rPr>
              <w:t>(29.1%)</w:t>
            </w:r>
          </w:p>
          <w:p w14:paraId="61B53022" w14:textId="77777777" w:rsidR="00F115AF" w:rsidRPr="00F115AF" w:rsidRDefault="00F115AF" w:rsidP="00F115AF">
            <w:pPr>
              <w:spacing w:line="480" w:lineRule="auto"/>
              <w:rPr>
                <w:rFonts w:asciiTheme="majorHAnsi" w:eastAsia="Times New Roman" w:hAnsiTheme="majorHAnsi"/>
                <w:color w:val="000000"/>
                <w:sz w:val="22"/>
                <w:szCs w:val="22"/>
              </w:rPr>
            </w:pPr>
          </w:p>
        </w:tc>
        <w:tc>
          <w:tcPr>
            <w:tcW w:w="1795" w:type="dxa"/>
          </w:tcPr>
          <w:p w14:paraId="7F047751"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16/34 (47.1%)</w:t>
            </w:r>
          </w:p>
        </w:tc>
        <w:tc>
          <w:tcPr>
            <w:tcW w:w="782" w:type="dxa"/>
            <w:vMerge/>
          </w:tcPr>
          <w:p w14:paraId="69625F00" w14:textId="77777777" w:rsidR="00F115AF" w:rsidRPr="00F115AF" w:rsidRDefault="00F115AF" w:rsidP="00F115AF">
            <w:pPr>
              <w:spacing w:line="480" w:lineRule="auto"/>
              <w:rPr>
                <w:rFonts w:asciiTheme="majorHAnsi" w:eastAsia="Times New Roman" w:hAnsiTheme="majorHAnsi"/>
                <w:color w:val="000000"/>
                <w:sz w:val="22"/>
                <w:szCs w:val="22"/>
              </w:rPr>
            </w:pPr>
          </w:p>
        </w:tc>
      </w:tr>
      <w:tr w:rsidR="00F115AF" w:rsidRPr="00F115AF" w14:paraId="13899CAC" w14:textId="77777777" w:rsidTr="00765ED7">
        <w:trPr>
          <w:trHeight w:val="435"/>
        </w:trPr>
        <w:tc>
          <w:tcPr>
            <w:tcW w:w="489" w:type="dxa"/>
            <w:vMerge/>
          </w:tcPr>
          <w:p w14:paraId="1A6CC7BD" w14:textId="77777777" w:rsidR="00F115AF" w:rsidRPr="00F115AF" w:rsidRDefault="00F115AF" w:rsidP="00F115AF">
            <w:pPr>
              <w:spacing w:line="480" w:lineRule="auto"/>
              <w:rPr>
                <w:rFonts w:asciiTheme="majorHAnsi" w:eastAsia="Times New Roman" w:hAnsiTheme="majorHAnsi"/>
                <w:b/>
                <w:bCs/>
                <w:color w:val="000000"/>
                <w:sz w:val="22"/>
                <w:szCs w:val="22"/>
              </w:rPr>
            </w:pPr>
          </w:p>
        </w:tc>
        <w:tc>
          <w:tcPr>
            <w:tcW w:w="1635" w:type="dxa"/>
          </w:tcPr>
          <w:p w14:paraId="5A376DC2"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Other</w:t>
            </w:r>
          </w:p>
        </w:tc>
        <w:tc>
          <w:tcPr>
            <w:tcW w:w="1794" w:type="dxa"/>
          </w:tcPr>
          <w:p w14:paraId="1B7A8BFD" w14:textId="77777777" w:rsidR="00F115AF" w:rsidRPr="00F115AF" w:rsidRDefault="00F115AF" w:rsidP="00F115AF">
            <w:pPr>
              <w:spacing w:line="480" w:lineRule="auto"/>
              <w:ind w:left="720" w:hanging="720"/>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11/120 (9.2%)</w:t>
            </w:r>
          </w:p>
        </w:tc>
        <w:tc>
          <w:tcPr>
            <w:tcW w:w="1795" w:type="dxa"/>
          </w:tcPr>
          <w:p w14:paraId="47591A96"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6/86 (7%)</w:t>
            </w:r>
          </w:p>
        </w:tc>
        <w:tc>
          <w:tcPr>
            <w:tcW w:w="1795" w:type="dxa"/>
          </w:tcPr>
          <w:p w14:paraId="405DD6BE" w14:textId="77777777" w:rsidR="00F115AF" w:rsidRPr="00F115AF" w:rsidRDefault="00F115AF" w:rsidP="00F115AF">
            <w:pPr>
              <w:spacing w:line="480" w:lineRule="auto"/>
              <w:rPr>
                <w:rFonts w:asciiTheme="majorHAnsi" w:eastAsia="Times New Roman" w:hAnsiTheme="majorHAnsi"/>
                <w:color w:val="000000"/>
                <w:sz w:val="22"/>
                <w:szCs w:val="22"/>
              </w:rPr>
            </w:pPr>
            <w:r w:rsidRPr="00F115AF">
              <w:rPr>
                <w:rFonts w:asciiTheme="majorHAnsi" w:eastAsia="Times New Roman" w:hAnsiTheme="majorHAnsi"/>
                <w:color w:val="000000"/>
                <w:sz w:val="22"/>
                <w:szCs w:val="22"/>
              </w:rPr>
              <w:t>5/34  (</w:t>
            </w:r>
            <w:r w:rsidRPr="00F115AF">
              <w:rPr>
                <w:rFonts w:asciiTheme="majorHAnsi" w:eastAsia="Times New Roman" w:hAnsiTheme="majorHAnsi" w:cs="Times New Roman"/>
                <w:color w:val="000000"/>
                <w:sz w:val="22"/>
                <w:szCs w:val="22"/>
              </w:rPr>
              <w:t>14.7%)</w:t>
            </w:r>
          </w:p>
        </w:tc>
        <w:tc>
          <w:tcPr>
            <w:tcW w:w="782" w:type="dxa"/>
          </w:tcPr>
          <w:p w14:paraId="6B04003A" w14:textId="77777777" w:rsidR="00F115AF" w:rsidRPr="00F115AF" w:rsidRDefault="00F115AF" w:rsidP="00F115AF">
            <w:pPr>
              <w:spacing w:line="480" w:lineRule="auto"/>
              <w:rPr>
                <w:rFonts w:asciiTheme="majorHAnsi" w:eastAsia="Times New Roman" w:hAnsiTheme="majorHAnsi"/>
                <w:color w:val="000000"/>
                <w:sz w:val="22"/>
                <w:szCs w:val="22"/>
              </w:rPr>
            </w:pPr>
          </w:p>
        </w:tc>
      </w:tr>
    </w:tbl>
    <w:p w14:paraId="0F062410" w14:textId="24143A35" w:rsidR="00F115AF" w:rsidRDefault="00F115AF" w:rsidP="00982414">
      <w:pPr>
        <w:widowControl w:val="0"/>
        <w:autoSpaceDE w:val="0"/>
        <w:autoSpaceDN w:val="0"/>
        <w:adjustRightInd w:val="0"/>
        <w:spacing w:line="480" w:lineRule="auto"/>
        <w:ind w:left="640" w:hanging="640"/>
        <w:rPr>
          <w:rFonts w:asciiTheme="majorHAnsi" w:hAnsiTheme="majorHAnsi"/>
          <w:b/>
        </w:rPr>
      </w:pPr>
    </w:p>
    <w:p w14:paraId="3709D860" w14:textId="77777777" w:rsidR="00F115AF" w:rsidRDefault="00F115AF">
      <w:pPr>
        <w:rPr>
          <w:rFonts w:asciiTheme="majorHAnsi" w:hAnsiTheme="majorHAnsi"/>
          <w:b/>
        </w:rPr>
      </w:pPr>
      <w:r>
        <w:rPr>
          <w:rFonts w:asciiTheme="majorHAnsi" w:hAnsiTheme="majorHAnsi"/>
          <w:b/>
        </w:rPr>
        <w:br w:type="page"/>
      </w:r>
    </w:p>
    <w:p w14:paraId="0067AAE8" w14:textId="15A253F8" w:rsidR="00F115AF" w:rsidRPr="00F115AF" w:rsidRDefault="00F115AF" w:rsidP="00982414">
      <w:pPr>
        <w:widowControl w:val="0"/>
        <w:autoSpaceDE w:val="0"/>
        <w:autoSpaceDN w:val="0"/>
        <w:adjustRightInd w:val="0"/>
        <w:spacing w:line="480" w:lineRule="auto"/>
        <w:ind w:left="640" w:hanging="640"/>
        <w:rPr>
          <w:rFonts w:asciiTheme="majorHAnsi" w:hAnsiTheme="majorHAnsi"/>
          <w:b/>
        </w:rPr>
      </w:pPr>
      <w:r w:rsidRPr="00F115AF">
        <w:rPr>
          <w:rFonts w:asciiTheme="majorHAnsi" w:hAnsiTheme="majorHAnsi"/>
          <w:b/>
        </w:rPr>
        <w:t>Supplementary Table 1</w:t>
      </w:r>
    </w:p>
    <w:tbl>
      <w:tblPr>
        <w:tblStyle w:val="TableGrid"/>
        <w:tblW w:w="8610" w:type="dxa"/>
        <w:tblLayout w:type="fixed"/>
        <w:tblLook w:val="04A0" w:firstRow="1" w:lastRow="0" w:firstColumn="1" w:lastColumn="0" w:noHBand="0" w:noVBand="1"/>
      </w:tblPr>
      <w:tblGrid>
        <w:gridCol w:w="1951"/>
        <w:gridCol w:w="1927"/>
        <w:gridCol w:w="1927"/>
        <w:gridCol w:w="1927"/>
        <w:gridCol w:w="878"/>
      </w:tblGrid>
      <w:tr w:rsidR="00F115AF" w14:paraId="7B6A6F03" w14:textId="77777777" w:rsidTr="00F115AF">
        <w:trPr>
          <w:trHeight w:val="425"/>
        </w:trPr>
        <w:tc>
          <w:tcPr>
            <w:tcW w:w="1951" w:type="dxa"/>
            <w:tcBorders>
              <w:top w:val="single" w:sz="4" w:space="0" w:color="auto"/>
              <w:left w:val="single" w:sz="4" w:space="0" w:color="auto"/>
              <w:bottom w:val="single" w:sz="4" w:space="0" w:color="auto"/>
              <w:right w:val="single" w:sz="4" w:space="0" w:color="auto"/>
            </w:tcBorders>
          </w:tcPr>
          <w:p w14:paraId="34ECFC5F" w14:textId="77777777" w:rsidR="00F115AF" w:rsidRDefault="00F115AF">
            <w:pPr>
              <w:spacing w:line="480" w:lineRule="auto"/>
              <w:rPr>
                <w:rFonts w:asciiTheme="majorHAnsi" w:eastAsia="Times New Roman" w:hAnsiTheme="majorHAnsi" w:cs="Times New Roman"/>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hideMark/>
          </w:tcPr>
          <w:p w14:paraId="029A94CB" w14:textId="77777777" w:rsidR="00F115AF" w:rsidRDefault="00F115AF">
            <w:pPr>
              <w:spacing w:line="480" w:lineRule="auto"/>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All positive swabs</w:t>
            </w:r>
          </w:p>
          <w:p w14:paraId="7F4ADFC6" w14:textId="77777777" w:rsidR="00F115AF" w:rsidRDefault="00F115AF">
            <w:pPr>
              <w:spacing w:line="480" w:lineRule="auto"/>
              <w:rPr>
                <w:rFonts w:asciiTheme="majorHAnsi" w:hAnsiTheme="majorHAnsi"/>
              </w:rPr>
            </w:pPr>
            <w:r>
              <w:rPr>
                <w:rFonts w:asciiTheme="majorHAnsi" w:eastAsia="Times New Roman" w:hAnsiTheme="majorHAnsi" w:cs="Times New Roman"/>
                <w:color w:val="000000"/>
                <w:sz w:val="22"/>
                <w:szCs w:val="22"/>
              </w:rPr>
              <w:t>(n=102)</w:t>
            </w:r>
          </w:p>
        </w:tc>
        <w:tc>
          <w:tcPr>
            <w:tcW w:w="1928" w:type="dxa"/>
            <w:tcBorders>
              <w:top w:val="single" w:sz="4" w:space="0" w:color="auto"/>
              <w:left w:val="single" w:sz="4" w:space="0" w:color="auto"/>
              <w:bottom w:val="single" w:sz="4" w:space="0" w:color="auto"/>
              <w:right w:val="single" w:sz="4" w:space="0" w:color="auto"/>
            </w:tcBorders>
            <w:hideMark/>
          </w:tcPr>
          <w:p w14:paraId="76779954" w14:textId="77777777" w:rsidR="00F115AF" w:rsidRDefault="00F115AF">
            <w:pPr>
              <w:spacing w:line="480" w:lineRule="auto"/>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Survived</w:t>
            </w:r>
          </w:p>
          <w:p w14:paraId="65421995" w14:textId="77777777" w:rsidR="00F115AF" w:rsidRDefault="00F115AF">
            <w:pPr>
              <w:spacing w:line="480" w:lineRule="auto"/>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(n=71)</w:t>
            </w:r>
          </w:p>
        </w:tc>
        <w:tc>
          <w:tcPr>
            <w:tcW w:w="1928" w:type="dxa"/>
            <w:tcBorders>
              <w:top w:val="single" w:sz="4" w:space="0" w:color="auto"/>
              <w:left w:val="single" w:sz="4" w:space="0" w:color="auto"/>
              <w:bottom w:val="single" w:sz="4" w:space="0" w:color="auto"/>
              <w:right w:val="single" w:sz="4" w:space="0" w:color="auto"/>
            </w:tcBorders>
            <w:hideMark/>
          </w:tcPr>
          <w:p w14:paraId="33DC62E3" w14:textId="77777777" w:rsidR="00F115AF" w:rsidRDefault="00F115AF">
            <w:pPr>
              <w:spacing w:line="480" w:lineRule="auto"/>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Died (n=31)</w:t>
            </w:r>
          </w:p>
        </w:tc>
        <w:tc>
          <w:tcPr>
            <w:tcW w:w="878" w:type="dxa"/>
            <w:tcBorders>
              <w:top w:val="single" w:sz="4" w:space="0" w:color="auto"/>
              <w:left w:val="single" w:sz="4" w:space="0" w:color="auto"/>
              <w:bottom w:val="single" w:sz="4" w:space="0" w:color="auto"/>
              <w:right w:val="single" w:sz="4" w:space="0" w:color="auto"/>
            </w:tcBorders>
            <w:hideMark/>
          </w:tcPr>
          <w:p w14:paraId="28CA7EAD" w14:textId="77777777" w:rsidR="00F115AF" w:rsidRDefault="00F115AF">
            <w:pPr>
              <w:spacing w:line="480" w:lineRule="auto"/>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P</w:t>
            </w:r>
          </w:p>
        </w:tc>
      </w:tr>
      <w:tr w:rsidR="00F115AF" w14:paraId="3EE08845"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3D31C0D3" w14:textId="77777777" w:rsidR="00F115AF" w:rsidRDefault="00F115AF">
            <w:pPr>
              <w:spacing w:line="480" w:lineRule="auto"/>
              <w:rPr>
                <w:rFonts w:ascii="Calibri" w:eastAsia="Times New Roman" w:hAnsi="Calibri"/>
                <w:b/>
                <w:bCs/>
                <w:color w:val="000000"/>
                <w:sz w:val="22"/>
                <w:szCs w:val="22"/>
              </w:rPr>
            </w:pPr>
            <w:r>
              <w:rPr>
                <w:rFonts w:asciiTheme="majorHAnsi" w:eastAsia="Times New Roman" w:hAnsiTheme="majorHAnsi" w:cs="Times New Roman"/>
                <w:b/>
                <w:bCs/>
                <w:color w:val="000000"/>
                <w:sz w:val="22"/>
                <w:szCs w:val="22"/>
              </w:rPr>
              <w:t>Demographics</w:t>
            </w:r>
          </w:p>
        </w:tc>
        <w:tc>
          <w:tcPr>
            <w:tcW w:w="1928" w:type="dxa"/>
            <w:tcBorders>
              <w:top w:val="single" w:sz="4" w:space="0" w:color="auto"/>
              <w:left w:val="single" w:sz="4" w:space="0" w:color="auto"/>
              <w:bottom w:val="single" w:sz="4" w:space="0" w:color="auto"/>
              <w:right w:val="single" w:sz="4" w:space="0" w:color="auto"/>
            </w:tcBorders>
          </w:tcPr>
          <w:p w14:paraId="38BF265C"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82F6ABF"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E1ED443"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2FC1F4FE" w14:textId="77777777" w:rsidR="00F115AF" w:rsidRDefault="00F115AF">
            <w:pPr>
              <w:spacing w:line="480" w:lineRule="auto"/>
              <w:rPr>
                <w:rFonts w:ascii="Calibri" w:eastAsia="Times New Roman" w:hAnsi="Calibri"/>
                <w:b/>
                <w:color w:val="000000"/>
                <w:sz w:val="22"/>
                <w:szCs w:val="22"/>
              </w:rPr>
            </w:pPr>
          </w:p>
        </w:tc>
      </w:tr>
      <w:tr w:rsidR="00F115AF" w14:paraId="33F9CCE7"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46D88A4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Males, n (%)</w:t>
            </w:r>
          </w:p>
        </w:tc>
        <w:tc>
          <w:tcPr>
            <w:tcW w:w="1928" w:type="dxa"/>
            <w:tcBorders>
              <w:top w:val="single" w:sz="4" w:space="0" w:color="auto"/>
              <w:left w:val="single" w:sz="4" w:space="0" w:color="auto"/>
              <w:bottom w:val="single" w:sz="4" w:space="0" w:color="auto"/>
              <w:right w:val="single" w:sz="4" w:space="0" w:color="auto"/>
            </w:tcBorders>
            <w:hideMark/>
          </w:tcPr>
          <w:p w14:paraId="7C3E472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56/102 (54.9%)</w:t>
            </w:r>
          </w:p>
        </w:tc>
        <w:tc>
          <w:tcPr>
            <w:tcW w:w="1928" w:type="dxa"/>
            <w:tcBorders>
              <w:top w:val="single" w:sz="4" w:space="0" w:color="auto"/>
              <w:left w:val="single" w:sz="4" w:space="0" w:color="auto"/>
              <w:bottom w:val="single" w:sz="4" w:space="0" w:color="auto"/>
              <w:right w:val="single" w:sz="4" w:space="0" w:color="auto"/>
            </w:tcBorders>
            <w:hideMark/>
          </w:tcPr>
          <w:p w14:paraId="7C3D3A5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34/71 (47.9%)</w:t>
            </w:r>
          </w:p>
        </w:tc>
        <w:tc>
          <w:tcPr>
            <w:tcW w:w="1928" w:type="dxa"/>
            <w:tcBorders>
              <w:top w:val="single" w:sz="4" w:space="0" w:color="auto"/>
              <w:left w:val="single" w:sz="4" w:space="0" w:color="auto"/>
              <w:bottom w:val="single" w:sz="4" w:space="0" w:color="auto"/>
              <w:right w:val="single" w:sz="4" w:space="0" w:color="auto"/>
            </w:tcBorders>
            <w:hideMark/>
          </w:tcPr>
          <w:p w14:paraId="53F4609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22/31 (71%)</w:t>
            </w:r>
          </w:p>
        </w:tc>
        <w:tc>
          <w:tcPr>
            <w:tcW w:w="878" w:type="dxa"/>
            <w:tcBorders>
              <w:top w:val="single" w:sz="4" w:space="0" w:color="auto"/>
              <w:left w:val="single" w:sz="4" w:space="0" w:color="auto"/>
              <w:bottom w:val="single" w:sz="4" w:space="0" w:color="auto"/>
              <w:right w:val="single" w:sz="4" w:space="0" w:color="auto"/>
            </w:tcBorders>
            <w:hideMark/>
          </w:tcPr>
          <w:p w14:paraId="612A6F39"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b/>
                <w:color w:val="000000"/>
                <w:sz w:val="22"/>
                <w:szCs w:val="22"/>
              </w:rPr>
              <w:t>0.031</w:t>
            </w:r>
          </w:p>
        </w:tc>
      </w:tr>
      <w:tr w:rsidR="00F115AF" w14:paraId="0476EAB4"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113682A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Age</w:t>
            </w:r>
          </w:p>
        </w:tc>
        <w:tc>
          <w:tcPr>
            <w:tcW w:w="1928" w:type="dxa"/>
            <w:tcBorders>
              <w:top w:val="single" w:sz="4" w:space="0" w:color="auto"/>
              <w:left w:val="single" w:sz="4" w:space="0" w:color="auto"/>
              <w:bottom w:val="single" w:sz="4" w:space="0" w:color="auto"/>
              <w:right w:val="single" w:sz="4" w:space="0" w:color="auto"/>
            </w:tcBorders>
            <w:hideMark/>
          </w:tcPr>
          <w:p w14:paraId="733FE8A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82.5 (78-88)</w:t>
            </w:r>
          </w:p>
        </w:tc>
        <w:tc>
          <w:tcPr>
            <w:tcW w:w="1928" w:type="dxa"/>
            <w:tcBorders>
              <w:top w:val="single" w:sz="4" w:space="0" w:color="auto"/>
              <w:left w:val="single" w:sz="4" w:space="0" w:color="auto"/>
              <w:bottom w:val="single" w:sz="4" w:space="0" w:color="auto"/>
              <w:right w:val="single" w:sz="4" w:space="0" w:color="auto"/>
            </w:tcBorders>
            <w:hideMark/>
          </w:tcPr>
          <w:p w14:paraId="75CC7B1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81 (77-87)</w:t>
            </w:r>
          </w:p>
        </w:tc>
        <w:tc>
          <w:tcPr>
            <w:tcW w:w="1928" w:type="dxa"/>
            <w:tcBorders>
              <w:top w:val="single" w:sz="4" w:space="0" w:color="auto"/>
              <w:left w:val="single" w:sz="4" w:space="0" w:color="auto"/>
              <w:bottom w:val="single" w:sz="4" w:space="0" w:color="auto"/>
              <w:right w:val="single" w:sz="4" w:space="0" w:color="auto"/>
            </w:tcBorders>
            <w:hideMark/>
          </w:tcPr>
          <w:p w14:paraId="409C403C"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color w:val="000000"/>
                <w:sz w:val="22"/>
                <w:szCs w:val="22"/>
              </w:rPr>
              <w:t>83 (80-88)</w:t>
            </w:r>
          </w:p>
        </w:tc>
        <w:tc>
          <w:tcPr>
            <w:tcW w:w="878" w:type="dxa"/>
            <w:tcBorders>
              <w:top w:val="single" w:sz="4" w:space="0" w:color="auto"/>
              <w:left w:val="single" w:sz="4" w:space="0" w:color="auto"/>
              <w:bottom w:val="single" w:sz="4" w:space="0" w:color="auto"/>
              <w:right w:val="single" w:sz="4" w:space="0" w:color="auto"/>
            </w:tcBorders>
            <w:hideMark/>
          </w:tcPr>
          <w:p w14:paraId="45590DE5"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color w:val="000000"/>
                <w:sz w:val="22"/>
                <w:szCs w:val="22"/>
              </w:rPr>
              <w:t>N.S.</w:t>
            </w:r>
          </w:p>
        </w:tc>
      </w:tr>
      <w:tr w:rsidR="00F115AF" w14:paraId="57149AC6"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6116AD1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Age (≥80 years)</w:t>
            </w:r>
          </w:p>
        </w:tc>
        <w:tc>
          <w:tcPr>
            <w:tcW w:w="1928" w:type="dxa"/>
            <w:tcBorders>
              <w:top w:val="single" w:sz="4" w:space="0" w:color="auto"/>
              <w:left w:val="single" w:sz="4" w:space="0" w:color="auto"/>
              <w:bottom w:val="single" w:sz="4" w:space="0" w:color="auto"/>
              <w:right w:val="single" w:sz="4" w:space="0" w:color="auto"/>
            </w:tcBorders>
            <w:hideMark/>
          </w:tcPr>
          <w:p w14:paraId="3DFA4F6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73/102 (71.6%)</w:t>
            </w:r>
          </w:p>
        </w:tc>
        <w:tc>
          <w:tcPr>
            <w:tcW w:w="1928" w:type="dxa"/>
            <w:tcBorders>
              <w:top w:val="single" w:sz="4" w:space="0" w:color="auto"/>
              <w:left w:val="single" w:sz="4" w:space="0" w:color="auto"/>
              <w:bottom w:val="single" w:sz="4" w:space="0" w:color="auto"/>
              <w:right w:val="single" w:sz="4" w:space="0" w:color="auto"/>
            </w:tcBorders>
            <w:hideMark/>
          </w:tcPr>
          <w:p w14:paraId="46C5D1C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46/71 (64.8%)</w:t>
            </w:r>
          </w:p>
        </w:tc>
        <w:tc>
          <w:tcPr>
            <w:tcW w:w="1928" w:type="dxa"/>
            <w:tcBorders>
              <w:top w:val="single" w:sz="4" w:space="0" w:color="auto"/>
              <w:left w:val="single" w:sz="4" w:space="0" w:color="auto"/>
              <w:bottom w:val="single" w:sz="4" w:space="0" w:color="auto"/>
              <w:right w:val="single" w:sz="4" w:space="0" w:color="auto"/>
            </w:tcBorders>
            <w:hideMark/>
          </w:tcPr>
          <w:p w14:paraId="2E0E911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27/31 (87.1%)</w:t>
            </w:r>
          </w:p>
        </w:tc>
        <w:tc>
          <w:tcPr>
            <w:tcW w:w="878" w:type="dxa"/>
            <w:tcBorders>
              <w:top w:val="single" w:sz="4" w:space="0" w:color="auto"/>
              <w:left w:val="single" w:sz="4" w:space="0" w:color="auto"/>
              <w:bottom w:val="single" w:sz="4" w:space="0" w:color="auto"/>
              <w:right w:val="single" w:sz="4" w:space="0" w:color="auto"/>
            </w:tcBorders>
            <w:hideMark/>
          </w:tcPr>
          <w:p w14:paraId="7FE03315"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b/>
                <w:color w:val="000000"/>
                <w:sz w:val="22"/>
                <w:szCs w:val="22"/>
              </w:rPr>
              <w:t>0.022</w:t>
            </w:r>
          </w:p>
        </w:tc>
      </w:tr>
      <w:tr w:rsidR="00F115AF" w14:paraId="216513D3"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tcPr>
          <w:p w14:paraId="4C827838"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44AD176"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55282E6"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9745BAA"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0FED65BF" w14:textId="77777777" w:rsidR="00F115AF" w:rsidRDefault="00F115AF">
            <w:pPr>
              <w:spacing w:line="480" w:lineRule="auto"/>
              <w:rPr>
                <w:rFonts w:ascii="Calibri" w:eastAsia="Times New Roman" w:hAnsi="Calibri"/>
                <w:color w:val="000000"/>
                <w:sz w:val="22"/>
                <w:szCs w:val="22"/>
              </w:rPr>
            </w:pPr>
          </w:p>
        </w:tc>
      </w:tr>
      <w:tr w:rsidR="00F115AF" w14:paraId="07E8D9BB"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3DB64B69" w14:textId="77777777" w:rsidR="00F115AF" w:rsidRDefault="00F115AF">
            <w:pPr>
              <w:spacing w:line="480" w:lineRule="auto"/>
              <w:rPr>
                <w:rFonts w:ascii="Calibri" w:eastAsia="Times New Roman" w:hAnsi="Calibri"/>
                <w:b/>
                <w:bCs/>
                <w:color w:val="000000"/>
                <w:sz w:val="22"/>
                <w:szCs w:val="22"/>
              </w:rPr>
            </w:pPr>
            <w:r>
              <w:rPr>
                <w:rFonts w:ascii="Calibri" w:eastAsia="Times New Roman" w:hAnsi="Calibri"/>
                <w:b/>
                <w:bCs/>
                <w:color w:val="000000"/>
                <w:sz w:val="22"/>
                <w:szCs w:val="22"/>
              </w:rPr>
              <w:t>Ethnicity, n (%)</w:t>
            </w:r>
          </w:p>
        </w:tc>
        <w:tc>
          <w:tcPr>
            <w:tcW w:w="1928" w:type="dxa"/>
            <w:tcBorders>
              <w:top w:val="single" w:sz="4" w:space="0" w:color="auto"/>
              <w:left w:val="single" w:sz="4" w:space="0" w:color="auto"/>
              <w:bottom w:val="single" w:sz="4" w:space="0" w:color="auto"/>
              <w:right w:val="single" w:sz="4" w:space="0" w:color="auto"/>
            </w:tcBorders>
          </w:tcPr>
          <w:p w14:paraId="1577D91C"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1D0B21B"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E4D92B9"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71027FAC" w14:textId="77777777" w:rsidR="00F115AF" w:rsidRDefault="00F115AF">
            <w:pPr>
              <w:spacing w:line="480" w:lineRule="auto"/>
              <w:rPr>
                <w:rFonts w:ascii="Calibri" w:eastAsia="Times New Roman" w:hAnsi="Calibri"/>
                <w:color w:val="000000"/>
                <w:sz w:val="22"/>
                <w:szCs w:val="22"/>
              </w:rPr>
            </w:pPr>
          </w:p>
        </w:tc>
      </w:tr>
      <w:tr w:rsidR="00F115AF" w14:paraId="6F9CF988"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0AF5922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White / White British</w:t>
            </w:r>
          </w:p>
        </w:tc>
        <w:tc>
          <w:tcPr>
            <w:tcW w:w="1928" w:type="dxa"/>
            <w:tcBorders>
              <w:top w:val="single" w:sz="4" w:space="0" w:color="auto"/>
              <w:left w:val="single" w:sz="4" w:space="0" w:color="auto"/>
              <w:bottom w:val="single" w:sz="4" w:space="0" w:color="auto"/>
              <w:right w:val="single" w:sz="4" w:space="0" w:color="auto"/>
            </w:tcBorders>
            <w:hideMark/>
          </w:tcPr>
          <w:p w14:paraId="09F4DD5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63/100 (63%)</w:t>
            </w:r>
          </w:p>
        </w:tc>
        <w:tc>
          <w:tcPr>
            <w:tcW w:w="1928" w:type="dxa"/>
            <w:tcBorders>
              <w:top w:val="single" w:sz="4" w:space="0" w:color="auto"/>
              <w:left w:val="single" w:sz="4" w:space="0" w:color="auto"/>
              <w:bottom w:val="single" w:sz="4" w:space="0" w:color="auto"/>
              <w:right w:val="single" w:sz="4" w:space="0" w:color="auto"/>
            </w:tcBorders>
            <w:hideMark/>
          </w:tcPr>
          <w:p w14:paraId="11DC90D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44/70 (62%)</w:t>
            </w:r>
          </w:p>
        </w:tc>
        <w:tc>
          <w:tcPr>
            <w:tcW w:w="1928" w:type="dxa"/>
            <w:tcBorders>
              <w:top w:val="single" w:sz="4" w:space="0" w:color="auto"/>
              <w:left w:val="single" w:sz="4" w:space="0" w:color="auto"/>
              <w:bottom w:val="single" w:sz="4" w:space="0" w:color="auto"/>
              <w:right w:val="single" w:sz="4" w:space="0" w:color="auto"/>
            </w:tcBorders>
            <w:hideMark/>
          </w:tcPr>
          <w:p w14:paraId="55ADB5C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19/31 (61.3%)</w:t>
            </w:r>
          </w:p>
        </w:tc>
        <w:tc>
          <w:tcPr>
            <w:tcW w:w="878" w:type="dxa"/>
            <w:vMerge w:val="restart"/>
            <w:tcBorders>
              <w:top w:val="single" w:sz="4" w:space="0" w:color="auto"/>
              <w:left w:val="single" w:sz="4" w:space="0" w:color="auto"/>
              <w:bottom w:val="single" w:sz="4" w:space="0" w:color="auto"/>
              <w:right w:val="single" w:sz="4" w:space="0" w:color="auto"/>
            </w:tcBorders>
            <w:hideMark/>
          </w:tcPr>
          <w:p w14:paraId="0423E1E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7DD92CF5"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741DC83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Asian / Asian British</w:t>
            </w:r>
          </w:p>
        </w:tc>
        <w:tc>
          <w:tcPr>
            <w:tcW w:w="1928" w:type="dxa"/>
            <w:tcBorders>
              <w:top w:val="single" w:sz="4" w:space="0" w:color="auto"/>
              <w:left w:val="single" w:sz="4" w:space="0" w:color="auto"/>
              <w:bottom w:val="single" w:sz="4" w:space="0" w:color="auto"/>
              <w:right w:val="single" w:sz="4" w:space="0" w:color="auto"/>
            </w:tcBorders>
            <w:hideMark/>
          </w:tcPr>
          <w:p w14:paraId="3597094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19/100 (19%)</w:t>
            </w:r>
          </w:p>
        </w:tc>
        <w:tc>
          <w:tcPr>
            <w:tcW w:w="1928" w:type="dxa"/>
            <w:tcBorders>
              <w:top w:val="single" w:sz="4" w:space="0" w:color="auto"/>
              <w:left w:val="single" w:sz="4" w:space="0" w:color="auto"/>
              <w:bottom w:val="single" w:sz="4" w:space="0" w:color="auto"/>
              <w:right w:val="single" w:sz="4" w:space="0" w:color="auto"/>
            </w:tcBorders>
            <w:hideMark/>
          </w:tcPr>
          <w:p w14:paraId="7E4AAE4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12/70 (16.9%)</w:t>
            </w:r>
          </w:p>
        </w:tc>
        <w:tc>
          <w:tcPr>
            <w:tcW w:w="1928" w:type="dxa"/>
            <w:tcBorders>
              <w:top w:val="single" w:sz="4" w:space="0" w:color="auto"/>
              <w:left w:val="single" w:sz="4" w:space="0" w:color="auto"/>
              <w:bottom w:val="single" w:sz="4" w:space="0" w:color="auto"/>
              <w:right w:val="single" w:sz="4" w:space="0" w:color="auto"/>
            </w:tcBorders>
            <w:hideMark/>
          </w:tcPr>
          <w:p w14:paraId="120D6F7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7/31 (22.6%)</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287A7B4E" w14:textId="77777777" w:rsidR="00F115AF" w:rsidRDefault="00F115AF">
            <w:pPr>
              <w:rPr>
                <w:rFonts w:ascii="Calibri" w:eastAsia="Times New Roman" w:hAnsi="Calibri"/>
                <w:color w:val="000000"/>
                <w:sz w:val="22"/>
                <w:szCs w:val="22"/>
              </w:rPr>
            </w:pPr>
          </w:p>
        </w:tc>
      </w:tr>
      <w:tr w:rsidR="00F115AF" w14:paraId="2D49ABD6"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0F9EBA1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Black / Black British</w:t>
            </w:r>
          </w:p>
        </w:tc>
        <w:tc>
          <w:tcPr>
            <w:tcW w:w="1928" w:type="dxa"/>
            <w:tcBorders>
              <w:top w:val="single" w:sz="4" w:space="0" w:color="auto"/>
              <w:left w:val="single" w:sz="4" w:space="0" w:color="auto"/>
              <w:bottom w:val="single" w:sz="4" w:space="0" w:color="auto"/>
              <w:right w:val="single" w:sz="4" w:space="0" w:color="auto"/>
            </w:tcBorders>
            <w:hideMark/>
          </w:tcPr>
          <w:p w14:paraId="57563E1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18/100 (18%)</w:t>
            </w:r>
          </w:p>
        </w:tc>
        <w:tc>
          <w:tcPr>
            <w:tcW w:w="1928" w:type="dxa"/>
            <w:tcBorders>
              <w:top w:val="single" w:sz="4" w:space="0" w:color="auto"/>
              <w:left w:val="single" w:sz="4" w:space="0" w:color="auto"/>
              <w:bottom w:val="single" w:sz="4" w:space="0" w:color="auto"/>
              <w:right w:val="single" w:sz="4" w:space="0" w:color="auto"/>
            </w:tcBorders>
            <w:hideMark/>
          </w:tcPr>
          <w:p w14:paraId="2299504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14/70 (19.7%)</w:t>
            </w:r>
          </w:p>
        </w:tc>
        <w:tc>
          <w:tcPr>
            <w:tcW w:w="1928" w:type="dxa"/>
            <w:tcBorders>
              <w:top w:val="single" w:sz="4" w:space="0" w:color="auto"/>
              <w:left w:val="single" w:sz="4" w:space="0" w:color="auto"/>
              <w:bottom w:val="single" w:sz="4" w:space="0" w:color="auto"/>
              <w:right w:val="single" w:sz="4" w:space="0" w:color="auto"/>
            </w:tcBorders>
            <w:hideMark/>
          </w:tcPr>
          <w:p w14:paraId="6EAA602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4/31 (12.9%)</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1938A61F" w14:textId="77777777" w:rsidR="00F115AF" w:rsidRDefault="00F115AF">
            <w:pPr>
              <w:rPr>
                <w:rFonts w:ascii="Calibri" w:eastAsia="Times New Roman" w:hAnsi="Calibri"/>
                <w:color w:val="000000"/>
                <w:sz w:val="22"/>
                <w:szCs w:val="22"/>
              </w:rPr>
            </w:pPr>
          </w:p>
        </w:tc>
      </w:tr>
      <w:tr w:rsidR="00F115AF" w14:paraId="607E3B7B"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7E51E98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Mixed</w:t>
            </w:r>
          </w:p>
        </w:tc>
        <w:tc>
          <w:tcPr>
            <w:tcW w:w="1928" w:type="dxa"/>
            <w:tcBorders>
              <w:top w:val="single" w:sz="4" w:space="0" w:color="auto"/>
              <w:left w:val="single" w:sz="4" w:space="0" w:color="auto"/>
              <w:bottom w:val="single" w:sz="4" w:space="0" w:color="auto"/>
              <w:right w:val="single" w:sz="4" w:space="0" w:color="auto"/>
            </w:tcBorders>
            <w:hideMark/>
          </w:tcPr>
          <w:p w14:paraId="277920D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1/100 (1%)</w:t>
            </w:r>
          </w:p>
        </w:tc>
        <w:tc>
          <w:tcPr>
            <w:tcW w:w="1928" w:type="dxa"/>
            <w:tcBorders>
              <w:top w:val="single" w:sz="4" w:space="0" w:color="auto"/>
              <w:left w:val="single" w:sz="4" w:space="0" w:color="auto"/>
              <w:bottom w:val="single" w:sz="4" w:space="0" w:color="auto"/>
              <w:right w:val="single" w:sz="4" w:space="0" w:color="auto"/>
            </w:tcBorders>
            <w:hideMark/>
          </w:tcPr>
          <w:p w14:paraId="6CED732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0/70 (0%)</w:t>
            </w:r>
          </w:p>
        </w:tc>
        <w:tc>
          <w:tcPr>
            <w:tcW w:w="1928" w:type="dxa"/>
            <w:tcBorders>
              <w:top w:val="single" w:sz="4" w:space="0" w:color="auto"/>
              <w:left w:val="single" w:sz="4" w:space="0" w:color="auto"/>
              <w:bottom w:val="single" w:sz="4" w:space="0" w:color="auto"/>
              <w:right w:val="single" w:sz="4" w:space="0" w:color="auto"/>
            </w:tcBorders>
            <w:hideMark/>
          </w:tcPr>
          <w:p w14:paraId="6C678EF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1/31 (3.2%)</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5BE44D81" w14:textId="77777777" w:rsidR="00F115AF" w:rsidRDefault="00F115AF">
            <w:pPr>
              <w:rPr>
                <w:rFonts w:ascii="Calibri" w:eastAsia="Times New Roman" w:hAnsi="Calibri"/>
                <w:color w:val="000000"/>
                <w:sz w:val="22"/>
                <w:szCs w:val="22"/>
              </w:rPr>
            </w:pPr>
          </w:p>
        </w:tc>
      </w:tr>
      <w:tr w:rsidR="00F115AF" w14:paraId="1651519A"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65BCD3E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Unknown</w:t>
            </w:r>
          </w:p>
        </w:tc>
        <w:tc>
          <w:tcPr>
            <w:tcW w:w="1928" w:type="dxa"/>
            <w:tcBorders>
              <w:top w:val="single" w:sz="4" w:space="0" w:color="auto"/>
              <w:left w:val="single" w:sz="4" w:space="0" w:color="auto"/>
              <w:bottom w:val="single" w:sz="4" w:space="0" w:color="auto"/>
              <w:right w:val="single" w:sz="4" w:space="0" w:color="auto"/>
            </w:tcBorders>
            <w:hideMark/>
          </w:tcPr>
          <w:p w14:paraId="181AD05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1/100 (1%)</w:t>
            </w:r>
          </w:p>
        </w:tc>
        <w:tc>
          <w:tcPr>
            <w:tcW w:w="1928" w:type="dxa"/>
            <w:tcBorders>
              <w:top w:val="single" w:sz="4" w:space="0" w:color="auto"/>
              <w:left w:val="single" w:sz="4" w:space="0" w:color="auto"/>
              <w:bottom w:val="single" w:sz="4" w:space="0" w:color="auto"/>
              <w:right w:val="single" w:sz="4" w:space="0" w:color="auto"/>
            </w:tcBorders>
            <w:hideMark/>
          </w:tcPr>
          <w:p w14:paraId="57B757A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1/70 (1.4%)</w:t>
            </w:r>
          </w:p>
        </w:tc>
        <w:tc>
          <w:tcPr>
            <w:tcW w:w="1928" w:type="dxa"/>
            <w:tcBorders>
              <w:top w:val="single" w:sz="4" w:space="0" w:color="auto"/>
              <w:left w:val="single" w:sz="4" w:space="0" w:color="auto"/>
              <w:bottom w:val="single" w:sz="4" w:space="0" w:color="auto"/>
              <w:right w:val="single" w:sz="4" w:space="0" w:color="auto"/>
            </w:tcBorders>
            <w:hideMark/>
          </w:tcPr>
          <w:p w14:paraId="2FAA3E1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0/31 (0%)</w:t>
            </w:r>
          </w:p>
        </w:tc>
        <w:tc>
          <w:tcPr>
            <w:tcW w:w="878" w:type="dxa"/>
            <w:tcBorders>
              <w:top w:val="single" w:sz="4" w:space="0" w:color="auto"/>
              <w:left w:val="single" w:sz="4" w:space="0" w:color="auto"/>
              <w:bottom w:val="single" w:sz="4" w:space="0" w:color="auto"/>
              <w:right w:val="single" w:sz="4" w:space="0" w:color="auto"/>
            </w:tcBorders>
          </w:tcPr>
          <w:p w14:paraId="311BE5F2" w14:textId="77777777" w:rsidR="00F115AF" w:rsidRDefault="00F115AF">
            <w:pPr>
              <w:spacing w:line="480" w:lineRule="auto"/>
              <w:rPr>
                <w:rFonts w:ascii="Calibri" w:eastAsia="Times New Roman" w:hAnsi="Calibri"/>
                <w:color w:val="000000"/>
                <w:sz w:val="22"/>
                <w:szCs w:val="22"/>
              </w:rPr>
            </w:pPr>
          </w:p>
        </w:tc>
      </w:tr>
      <w:tr w:rsidR="00F115AF" w14:paraId="651A0EF6"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tcPr>
          <w:p w14:paraId="48B44EDF"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8429741" w14:textId="77777777" w:rsidR="00F115AF" w:rsidRDefault="00F115AF">
            <w:pPr>
              <w:spacing w:line="480" w:lineRule="auto"/>
              <w:rPr>
                <w:rFonts w:ascii="Calibri" w:eastAsia="Times New Roman" w:hAnsi="Calibri" w:cs="Times New Roman"/>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DB17513" w14:textId="77777777" w:rsidR="00F115AF" w:rsidRDefault="00F115AF">
            <w:pPr>
              <w:spacing w:line="480" w:lineRule="auto"/>
              <w:rPr>
                <w:rFonts w:ascii="Calibri" w:eastAsia="Times New Roman" w:hAnsi="Calibri" w:cs="Times New Roman"/>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BE53949" w14:textId="77777777" w:rsidR="00F115AF" w:rsidRDefault="00F115AF">
            <w:pPr>
              <w:spacing w:line="480" w:lineRule="auto"/>
              <w:rPr>
                <w:rFonts w:ascii="Calibri" w:eastAsia="Times New Roman" w:hAnsi="Calibri"/>
                <w:b/>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03D38821" w14:textId="77777777" w:rsidR="00F115AF" w:rsidRDefault="00F115AF">
            <w:pPr>
              <w:spacing w:line="480" w:lineRule="auto"/>
              <w:rPr>
                <w:rFonts w:ascii="Calibri" w:eastAsia="Times New Roman" w:hAnsi="Calibri"/>
                <w:b/>
                <w:color w:val="000000"/>
                <w:sz w:val="22"/>
                <w:szCs w:val="22"/>
              </w:rPr>
            </w:pPr>
          </w:p>
        </w:tc>
      </w:tr>
      <w:tr w:rsidR="00F115AF" w14:paraId="26C10BF5"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33BCDD51" w14:textId="77777777" w:rsidR="00F115AF" w:rsidRDefault="00F115AF">
            <w:pPr>
              <w:spacing w:line="480" w:lineRule="auto"/>
              <w:rPr>
                <w:rFonts w:ascii="Calibri" w:eastAsia="Times New Roman" w:hAnsi="Calibri"/>
                <w:b/>
                <w:bCs/>
                <w:color w:val="000000"/>
                <w:sz w:val="22"/>
                <w:szCs w:val="22"/>
              </w:rPr>
            </w:pPr>
            <w:r>
              <w:rPr>
                <w:rFonts w:ascii="Calibri" w:eastAsia="Times New Roman" w:hAnsi="Calibri"/>
                <w:b/>
                <w:bCs/>
                <w:color w:val="000000"/>
                <w:sz w:val="22"/>
                <w:szCs w:val="22"/>
              </w:rPr>
              <w:t>Living situation, n (%)</w:t>
            </w:r>
          </w:p>
        </w:tc>
        <w:tc>
          <w:tcPr>
            <w:tcW w:w="1928" w:type="dxa"/>
            <w:tcBorders>
              <w:top w:val="single" w:sz="4" w:space="0" w:color="auto"/>
              <w:left w:val="single" w:sz="4" w:space="0" w:color="auto"/>
              <w:bottom w:val="single" w:sz="4" w:space="0" w:color="auto"/>
              <w:right w:val="single" w:sz="4" w:space="0" w:color="auto"/>
            </w:tcBorders>
          </w:tcPr>
          <w:p w14:paraId="6F83401E" w14:textId="77777777" w:rsidR="00F115AF" w:rsidRDefault="00F115AF">
            <w:pPr>
              <w:spacing w:line="480" w:lineRule="auto"/>
              <w:rPr>
                <w:rFonts w:ascii="Calibri" w:eastAsia="Times New Roman" w:hAnsi="Calibri" w:cs="Times New Roman"/>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93FBAFB" w14:textId="77777777" w:rsidR="00F115AF" w:rsidRDefault="00F115AF">
            <w:pPr>
              <w:spacing w:line="480" w:lineRule="auto"/>
              <w:rPr>
                <w:rFonts w:ascii="Calibri" w:eastAsia="Times New Roman" w:hAnsi="Calibri" w:cs="Times New Roman"/>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CF5013B" w14:textId="77777777" w:rsidR="00F115AF" w:rsidRDefault="00F115AF">
            <w:pPr>
              <w:spacing w:line="480" w:lineRule="auto"/>
              <w:rPr>
                <w:rFonts w:ascii="Calibri" w:eastAsia="Times New Roman" w:hAnsi="Calibri"/>
                <w:b/>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1E3D0A4E" w14:textId="77777777" w:rsidR="00F115AF" w:rsidRDefault="00F115AF">
            <w:pPr>
              <w:spacing w:line="480" w:lineRule="auto"/>
              <w:rPr>
                <w:rFonts w:ascii="Calibri" w:eastAsia="Times New Roman" w:hAnsi="Calibri"/>
                <w:b/>
                <w:color w:val="000000"/>
                <w:sz w:val="22"/>
                <w:szCs w:val="22"/>
              </w:rPr>
            </w:pPr>
          </w:p>
        </w:tc>
      </w:tr>
      <w:tr w:rsidR="00F115AF" w14:paraId="7B1E0617" w14:textId="77777777" w:rsidTr="00F115AF">
        <w:trPr>
          <w:trHeight w:val="199"/>
        </w:trPr>
        <w:tc>
          <w:tcPr>
            <w:tcW w:w="1951" w:type="dxa"/>
            <w:tcBorders>
              <w:top w:val="single" w:sz="4" w:space="0" w:color="auto"/>
              <w:left w:val="single" w:sz="4" w:space="0" w:color="auto"/>
              <w:bottom w:val="single" w:sz="4" w:space="0" w:color="auto"/>
              <w:right w:val="single" w:sz="4" w:space="0" w:color="auto"/>
            </w:tcBorders>
            <w:hideMark/>
          </w:tcPr>
          <w:p w14:paraId="56F483A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Own home / Sheltered accommodation</w:t>
            </w:r>
          </w:p>
        </w:tc>
        <w:tc>
          <w:tcPr>
            <w:tcW w:w="1928" w:type="dxa"/>
            <w:tcBorders>
              <w:top w:val="single" w:sz="4" w:space="0" w:color="auto"/>
              <w:left w:val="single" w:sz="4" w:space="0" w:color="auto"/>
              <w:bottom w:val="single" w:sz="4" w:space="0" w:color="auto"/>
              <w:right w:val="single" w:sz="4" w:space="0" w:color="auto"/>
            </w:tcBorders>
            <w:hideMark/>
          </w:tcPr>
          <w:p w14:paraId="7D6A9838" w14:textId="77777777" w:rsidR="00F115AF" w:rsidRDefault="00F115AF">
            <w:pPr>
              <w:spacing w:line="48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84/102 (82.4%)</w:t>
            </w:r>
          </w:p>
        </w:tc>
        <w:tc>
          <w:tcPr>
            <w:tcW w:w="1928" w:type="dxa"/>
            <w:tcBorders>
              <w:top w:val="single" w:sz="4" w:space="0" w:color="auto"/>
              <w:left w:val="single" w:sz="4" w:space="0" w:color="auto"/>
              <w:bottom w:val="single" w:sz="4" w:space="0" w:color="auto"/>
              <w:right w:val="single" w:sz="4" w:space="0" w:color="auto"/>
            </w:tcBorders>
            <w:hideMark/>
          </w:tcPr>
          <w:p w14:paraId="7D5E894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63/71 (88.8%)</w:t>
            </w:r>
          </w:p>
        </w:tc>
        <w:tc>
          <w:tcPr>
            <w:tcW w:w="1928" w:type="dxa"/>
            <w:tcBorders>
              <w:top w:val="single" w:sz="4" w:space="0" w:color="auto"/>
              <w:left w:val="single" w:sz="4" w:space="0" w:color="auto"/>
              <w:bottom w:val="single" w:sz="4" w:space="0" w:color="auto"/>
              <w:right w:val="single" w:sz="4" w:space="0" w:color="auto"/>
            </w:tcBorders>
            <w:hideMark/>
          </w:tcPr>
          <w:p w14:paraId="2EC5B9C5" w14:textId="77777777" w:rsidR="00F115AF" w:rsidRDefault="00F115AF">
            <w:pPr>
              <w:spacing w:line="48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21/31 (67.7%)</w:t>
            </w:r>
          </w:p>
        </w:tc>
        <w:tc>
          <w:tcPr>
            <w:tcW w:w="878" w:type="dxa"/>
            <w:vMerge w:val="restart"/>
            <w:tcBorders>
              <w:top w:val="single" w:sz="4" w:space="0" w:color="auto"/>
              <w:left w:val="single" w:sz="4" w:space="0" w:color="auto"/>
              <w:bottom w:val="single" w:sz="4" w:space="0" w:color="auto"/>
              <w:right w:val="single" w:sz="4" w:space="0" w:color="auto"/>
            </w:tcBorders>
            <w:hideMark/>
          </w:tcPr>
          <w:p w14:paraId="727484F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b/>
                <w:color w:val="000000"/>
                <w:sz w:val="22"/>
                <w:szCs w:val="22"/>
              </w:rPr>
              <w:t>0.012</w:t>
            </w:r>
          </w:p>
        </w:tc>
      </w:tr>
      <w:tr w:rsidR="00F115AF" w14:paraId="33502326"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49DCA50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Residential home</w:t>
            </w:r>
          </w:p>
        </w:tc>
        <w:tc>
          <w:tcPr>
            <w:tcW w:w="1928" w:type="dxa"/>
            <w:tcBorders>
              <w:top w:val="single" w:sz="4" w:space="0" w:color="auto"/>
              <w:left w:val="single" w:sz="4" w:space="0" w:color="auto"/>
              <w:bottom w:val="single" w:sz="4" w:space="0" w:color="auto"/>
              <w:right w:val="single" w:sz="4" w:space="0" w:color="auto"/>
            </w:tcBorders>
            <w:hideMark/>
          </w:tcPr>
          <w:p w14:paraId="30B4D7F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6/102 (5.9%)</w:t>
            </w:r>
          </w:p>
        </w:tc>
        <w:tc>
          <w:tcPr>
            <w:tcW w:w="1928" w:type="dxa"/>
            <w:tcBorders>
              <w:top w:val="single" w:sz="4" w:space="0" w:color="auto"/>
              <w:left w:val="single" w:sz="4" w:space="0" w:color="auto"/>
              <w:bottom w:val="single" w:sz="4" w:space="0" w:color="auto"/>
              <w:right w:val="single" w:sz="4" w:space="0" w:color="auto"/>
            </w:tcBorders>
            <w:hideMark/>
          </w:tcPr>
          <w:p w14:paraId="24CCE17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4/71 (5.6%)</w:t>
            </w:r>
          </w:p>
        </w:tc>
        <w:tc>
          <w:tcPr>
            <w:tcW w:w="1928" w:type="dxa"/>
            <w:tcBorders>
              <w:top w:val="single" w:sz="4" w:space="0" w:color="auto"/>
              <w:left w:val="single" w:sz="4" w:space="0" w:color="auto"/>
              <w:bottom w:val="single" w:sz="4" w:space="0" w:color="auto"/>
              <w:right w:val="single" w:sz="4" w:space="0" w:color="auto"/>
            </w:tcBorders>
            <w:hideMark/>
          </w:tcPr>
          <w:p w14:paraId="62F24C7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w:t>
            </w:r>
            <w:r>
              <w:rPr>
                <w:rFonts w:ascii="Calibri" w:eastAsia="Times New Roman" w:hAnsi="Calibri" w:cs="Times New Roman"/>
                <w:color w:val="000000"/>
                <w:sz w:val="22"/>
                <w:szCs w:val="22"/>
              </w:rPr>
              <w:t>/31 (6.5%)</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046BB6CA" w14:textId="77777777" w:rsidR="00F115AF" w:rsidRDefault="00F115AF">
            <w:pPr>
              <w:rPr>
                <w:rFonts w:ascii="Calibri" w:eastAsia="Times New Roman" w:hAnsi="Calibri"/>
                <w:color w:val="000000"/>
                <w:sz w:val="22"/>
                <w:szCs w:val="22"/>
              </w:rPr>
            </w:pPr>
          </w:p>
        </w:tc>
      </w:tr>
      <w:tr w:rsidR="00F115AF" w14:paraId="4ACF1D10"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2461326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Nursing home</w:t>
            </w:r>
          </w:p>
        </w:tc>
        <w:tc>
          <w:tcPr>
            <w:tcW w:w="1928" w:type="dxa"/>
            <w:tcBorders>
              <w:top w:val="single" w:sz="4" w:space="0" w:color="auto"/>
              <w:left w:val="single" w:sz="4" w:space="0" w:color="auto"/>
              <w:bottom w:val="single" w:sz="4" w:space="0" w:color="auto"/>
              <w:right w:val="single" w:sz="4" w:space="0" w:color="auto"/>
            </w:tcBorders>
            <w:hideMark/>
          </w:tcPr>
          <w:p w14:paraId="3FD6C1A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8/102 (7.8%)</w:t>
            </w:r>
          </w:p>
        </w:tc>
        <w:tc>
          <w:tcPr>
            <w:tcW w:w="1928" w:type="dxa"/>
            <w:tcBorders>
              <w:top w:val="single" w:sz="4" w:space="0" w:color="auto"/>
              <w:left w:val="single" w:sz="4" w:space="0" w:color="auto"/>
              <w:bottom w:val="single" w:sz="4" w:space="0" w:color="auto"/>
              <w:right w:val="single" w:sz="4" w:space="0" w:color="auto"/>
            </w:tcBorders>
            <w:hideMark/>
          </w:tcPr>
          <w:p w14:paraId="2CD0EF2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2/71 (2.8%)</w:t>
            </w:r>
          </w:p>
        </w:tc>
        <w:tc>
          <w:tcPr>
            <w:tcW w:w="1928" w:type="dxa"/>
            <w:tcBorders>
              <w:top w:val="single" w:sz="4" w:space="0" w:color="auto"/>
              <w:left w:val="single" w:sz="4" w:space="0" w:color="auto"/>
              <w:bottom w:val="single" w:sz="4" w:space="0" w:color="auto"/>
              <w:right w:val="single" w:sz="4" w:space="0" w:color="auto"/>
            </w:tcBorders>
            <w:hideMark/>
          </w:tcPr>
          <w:p w14:paraId="667374D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w:t>
            </w:r>
            <w:r>
              <w:rPr>
                <w:rFonts w:ascii="Calibri" w:eastAsia="Times New Roman" w:hAnsi="Calibri" w:cs="Times New Roman"/>
                <w:color w:val="000000"/>
                <w:sz w:val="22"/>
                <w:szCs w:val="22"/>
              </w:rPr>
              <w:t>/31 (19.3%)</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76558B54" w14:textId="77777777" w:rsidR="00F115AF" w:rsidRDefault="00F115AF">
            <w:pPr>
              <w:rPr>
                <w:rFonts w:ascii="Calibri" w:eastAsia="Times New Roman" w:hAnsi="Calibri"/>
                <w:color w:val="000000"/>
                <w:sz w:val="22"/>
                <w:szCs w:val="22"/>
              </w:rPr>
            </w:pPr>
          </w:p>
        </w:tc>
      </w:tr>
      <w:tr w:rsidR="00F115AF" w14:paraId="78E7E325"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069AB8EC"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Psychiatric hospital</w:t>
            </w:r>
          </w:p>
        </w:tc>
        <w:tc>
          <w:tcPr>
            <w:tcW w:w="1928" w:type="dxa"/>
            <w:tcBorders>
              <w:top w:val="single" w:sz="4" w:space="0" w:color="auto"/>
              <w:left w:val="single" w:sz="4" w:space="0" w:color="auto"/>
              <w:bottom w:val="single" w:sz="4" w:space="0" w:color="auto"/>
              <w:right w:val="single" w:sz="4" w:space="0" w:color="auto"/>
            </w:tcBorders>
            <w:hideMark/>
          </w:tcPr>
          <w:p w14:paraId="78B4DB7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4/102 (3.9%)</w:t>
            </w:r>
          </w:p>
        </w:tc>
        <w:tc>
          <w:tcPr>
            <w:tcW w:w="1928" w:type="dxa"/>
            <w:tcBorders>
              <w:top w:val="single" w:sz="4" w:space="0" w:color="auto"/>
              <w:left w:val="single" w:sz="4" w:space="0" w:color="auto"/>
              <w:bottom w:val="single" w:sz="4" w:space="0" w:color="auto"/>
              <w:right w:val="single" w:sz="4" w:space="0" w:color="auto"/>
            </w:tcBorders>
            <w:hideMark/>
          </w:tcPr>
          <w:p w14:paraId="4D5585F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2/71 (2.8%)</w:t>
            </w:r>
          </w:p>
        </w:tc>
        <w:tc>
          <w:tcPr>
            <w:tcW w:w="1928" w:type="dxa"/>
            <w:tcBorders>
              <w:top w:val="single" w:sz="4" w:space="0" w:color="auto"/>
              <w:left w:val="single" w:sz="4" w:space="0" w:color="auto"/>
              <w:bottom w:val="single" w:sz="4" w:space="0" w:color="auto"/>
              <w:right w:val="single" w:sz="4" w:space="0" w:color="auto"/>
            </w:tcBorders>
            <w:hideMark/>
          </w:tcPr>
          <w:p w14:paraId="6500D45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w:t>
            </w:r>
            <w:r>
              <w:rPr>
                <w:rFonts w:ascii="Calibri" w:eastAsia="Times New Roman" w:hAnsi="Calibri" w:cs="Times New Roman"/>
                <w:color w:val="000000"/>
                <w:sz w:val="22"/>
                <w:szCs w:val="22"/>
              </w:rPr>
              <w:t>/31 (6.5%)</w:t>
            </w:r>
          </w:p>
        </w:tc>
        <w:tc>
          <w:tcPr>
            <w:tcW w:w="878" w:type="dxa"/>
            <w:tcBorders>
              <w:top w:val="single" w:sz="4" w:space="0" w:color="auto"/>
              <w:left w:val="single" w:sz="4" w:space="0" w:color="auto"/>
              <w:bottom w:val="single" w:sz="4" w:space="0" w:color="auto"/>
              <w:right w:val="single" w:sz="4" w:space="0" w:color="auto"/>
            </w:tcBorders>
          </w:tcPr>
          <w:p w14:paraId="6BDF846B" w14:textId="77777777" w:rsidR="00F115AF" w:rsidRDefault="00F115AF">
            <w:pPr>
              <w:spacing w:line="480" w:lineRule="auto"/>
              <w:rPr>
                <w:rFonts w:ascii="Calibri" w:eastAsia="Times New Roman" w:hAnsi="Calibri"/>
                <w:color w:val="000000"/>
                <w:sz w:val="22"/>
                <w:szCs w:val="22"/>
              </w:rPr>
            </w:pPr>
          </w:p>
        </w:tc>
      </w:tr>
      <w:tr w:rsidR="00F115AF" w14:paraId="0F40E424"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tcPr>
          <w:p w14:paraId="73020065"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ED60992"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439E8A6"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C9F1481"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1DE2576E" w14:textId="77777777" w:rsidR="00F115AF" w:rsidRDefault="00F115AF">
            <w:pPr>
              <w:spacing w:line="480" w:lineRule="auto"/>
              <w:rPr>
                <w:rFonts w:ascii="Calibri" w:eastAsia="Times New Roman" w:hAnsi="Calibri" w:cs="Times New Roman"/>
                <w:color w:val="000000"/>
                <w:sz w:val="22"/>
                <w:szCs w:val="22"/>
              </w:rPr>
            </w:pPr>
          </w:p>
        </w:tc>
      </w:tr>
      <w:tr w:rsidR="00F115AF" w14:paraId="229F422A"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477CF000" w14:textId="77777777" w:rsidR="00F115AF" w:rsidRDefault="00F115AF">
            <w:pPr>
              <w:spacing w:line="480" w:lineRule="auto"/>
              <w:rPr>
                <w:rFonts w:ascii="Calibri" w:eastAsia="Times New Roman" w:hAnsi="Calibri"/>
                <w:b/>
                <w:bCs/>
                <w:color w:val="000000"/>
                <w:sz w:val="22"/>
                <w:szCs w:val="22"/>
              </w:rPr>
            </w:pPr>
            <w:r>
              <w:rPr>
                <w:rFonts w:ascii="Calibri" w:eastAsia="Times New Roman" w:hAnsi="Calibri"/>
                <w:b/>
                <w:bCs/>
                <w:color w:val="000000"/>
                <w:sz w:val="22"/>
                <w:szCs w:val="22"/>
              </w:rPr>
              <w:t>Support, n (%)</w:t>
            </w:r>
          </w:p>
        </w:tc>
        <w:tc>
          <w:tcPr>
            <w:tcW w:w="1928" w:type="dxa"/>
            <w:tcBorders>
              <w:top w:val="single" w:sz="4" w:space="0" w:color="auto"/>
              <w:left w:val="single" w:sz="4" w:space="0" w:color="auto"/>
              <w:bottom w:val="single" w:sz="4" w:space="0" w:color="auto"/>
              <w:right w:val="single" w:sz="4" w:space="0" w:color="auto"/>
            </w:tcBorders>
          </w:tcPr>
          <w:p w14:paraId="1F100F50"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6282556"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D2D33B4"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1A25439B" w14:textId="77777777" w:rsidR="00F115AF" w:rsidRDefault="00F115AF">
            <w:pPr>
              <w:spacing w:line="480" w:lineRule="auto"/>
              <w:rPr>
                <w:rFonts w:ascii="Calibri" w:eastAsia="Times New Roman" w:hAnsi="Calibri" w:cs="Times New Roman"/>
                <w:color w:val="000000"/>
                <w:sz w:val="22"/>
                <w:szCs w:val="22"/>
              </w:rPr>
            </w:pPr>
          </w:p>
        </w:tc>
      </w:tr>
      <w:tr w:rsidR="00F115AF" w14:paraId="09DACA79"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52BA093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None</w:t>
            </w:r>
          </w:p>
        </w:tc>
        <w:tc>
          <w:tcPr>
            <w:tcW w:w="1928" w:type="dxa"/>
            <w:tcBorders>
              <w:top w:val="single" w:sz="4" w:space="0" w:color="auto"/>
              <w:left w:val="single" w:sz="4" w:space="0" w:color="auto"/>
              <w:bottom w:val="single" w:sz="4" w:space="0" w:color="auto"/>
              <w:right w:val="single" w:sz="4" w:space="0" w:color="auto"/>
            </w:tcBorders>
            <w:hideMark/>
          </w:tcPr>
          <w:p w14:paraId="4600798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41/82 (50%)</w:t>
            </w:r>
          </w:p>
        </w:tc>
        <w:tc>
          <w:tcPr>
            <w:tcW w:w="1928" w:type="dxa"/>
            <w:tcBorders>
              <w:top w:val="single" w:sz="4" w:space="0" w:color="auto"/>
              <w:left w:val="single" w:sz="4" w:space="0" w:color="auto"/>
              <w:bottom w:val="single" w:sz="4" w:space="0" w:color="auto"/>
              <w:right w:val="single" w:sz="4" w:space="0" w:color="auto"/>
            </w:tcBorders>
            <w:hideMark/>
          </w:tcPr>
          <w:p w14:paraId="1B42A46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33/69 (53.2%)</w:t>
            </w:r>
          </w:p>
        </w:tc>
        <w:tc>
          <w:tcPr>
            <w:tcW w:w="1928" w:type="dxa"/>
            <w:tcBorders>
              <w:top w:val="single" w:sz="4" w:space="0" w:color="auto"/>
              <w:left w:val="single" w:sz="4" w:space="0" w:color="auto"/>
              <w:bottom w:val="single" w:sz="4" w:space="0" w:color="auto"/>
              <w:right w:val="single" w:sz="4" w:space="0" w:color="auto"/>
            </w:tcBorders>
            <w:hideMark/>
          </w:tcPr>
          <w:p w14:paraId="66AAE3E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8/20 (40.0%)</w:t>
            </w:r>
          </w:p>
        </w:tc>
        <w:tc>
          <w:tcPr>
            <w:tcW w:w="878" w:type="dxa"/>
            <w:vMerge w:val="restart"/>
            <w:tcBorders>
              <w:top w:val="single" w:sz="4" w:space="0" w:color="auto"/>
              <w:left w:val="single" w:sz="4" w:space="0" w:color="auto"/>
              <w:bottom w:val="single" w:sz="4" w:space="0" w:color="auto"/>
              <w:right w:val="single" w:sz="4" w:space="0" w:color="auto"/>
            </w:tcBorders>
            <w:hideMark/>
          </w:tcPr>
          <w:p w14:paraId="44F5195C"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s="Times New Roman"/>
                <w:color w:val="000000"/>
                <w:sz w:val="22"/>
                <w:szCs w:val="22"/>
              </w:rPr>
              <w:t>N.S.</w:t>
            </w:r>
          </w:p>
        </w:tc>
      </w:tr>
      <w:tr w:rsidR="00F115AF" w14:paraId="4ED8F89B"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2996349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Up to TDS</w:t>
            </w:r>
          </w:p>
        </w:tc>
        <w:tc>
          <w:tcPr>
            <w:tcW w:w="1928" w:type="dxa"/>
            <w:tcBorders>
              <w:top w:val="single" w:sz="4" w:space="0" w:color="auto"/>
              <w:left w:val="single" w:sz="4" w:space="0" w:color="auto"/>
              <w:bottom w:val="single" w:sz="4" w:space="0" w:color="auto"/>
              <w:right w:val="single" w:sz="4" w:space="0" w:color="auto"/>
            </w:tcBorders>
            <w:hideMark/>
          </w:tcPr>
          <w:p w14:paraId="026C33E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25/82 (30.5%)</w:t>
            </w:r>
          </w:p>
        </w:tc>
        <w:tc>
          <w:tcPr>
            <w:tcW w:w="1928" w:type="dxa"/>
            <w:tcBorders>
              <w:top w:val="single" w:sz="4" w:space="0" w:color="auto"/>
              <w:left w:val="single" w:sz="4" w:space="0" w:color="auto"/>
              <w:bottom w:val="single" w:sz="4" w:space="0" w:color="auto"/>
              <w:right w:val="single" w:sz="4" w:space="0" w:color="auto"/>
            </w:tcBorders>
            <w:hideMark/>
          </w:tcPr>
          <w:p w14:paraId="0C104E2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18/69 (29.0%)</w:t>
            </w:r>
          </w:p>
        </w:tc>
        <w:tc>
          <w:tcPr>
            <w:tcW w:w="1928" w:type="dxa"/>
            <w:tcBorders>
              <w:top w:val="single" w:sz="4" w:space="0" w:color="auto"/>
              <w:left w:val="single" w:sz="4" w:space="0" w:color="auto"/>
              <w:bottom w:val="single" w:sz="4" w:space="0" w:color="auto"/>
              <w:right w:val="single" w:sz="4" w:space="0" w:color="auto"/>
            </w:tcBorders>
            <w:hideMark/>
          </w:tcPr>
          <w:p w14:paraId="6894211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7/20 (35.0%)</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15C5584B" w14:textId="77777777" w:rsidR="00F115AF" w:rsidRDefault="00F115AF">
            <w:pPr>
              <w:rPr>
                <w:rFonts w:ascii="Calibri" w:eastAsia="Times New Roman" w:hAnsi="Calibri"/>
                <w:color w:val="000000"/>
                <w:sz w:val="22"/>
                <w:szCs w:val="22"/>
              </w:rPr>
            </w:pPr>
          </w:p>
        </w:tc>
      </w:tr>
      <w:tr w:rsidR="00F115AF" w14:paraId="4EF6ED26"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74C6377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QDS</w:t>
            </w:r>
          </w:p>
        </w:tc>
        <w:tc>
          <w:tcPr>
            <w:tcW w:w="1928" w:type="dxa"/>
            <w:tcBorders>
              <w:top w:val="single" w:sz="4" w:space="0" w:color="auto"/>
              <w:left w:val="single" w:sz="4" w:space="0" w:color="auto"/>
              <w:bottom w:val="single" w:sz="4" w:space="0" w:color="auto"/>
              <w:right w:val="single" w:sz="4" w:space="0" w:color="auto"/>
            </w:tcBorders>
            <w:hideMark/>
          </w:tcPr>
          <w:p w14:paraId="734A8BF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16/82 (19.5%)</w:t>
            </w:r>
          </w:p>
        </w:tc>
        <w:tc>
          <w:tcPr>
            <w:tcW w:w="1928" w:type="dxa"/>
            <w:tcBorders>
              <w:top w:val="single" w:sz="4" w:space="0" w:color="auto"/>
              <w:left w:val="single" w:sz="4" w:space="0" w:color="auto"/>
              <w:bottom w:val="single" w:sz="4" w:space="0" w:color="auto"/>
              <w:right w:val="single" w:sz="4" w:space="0" w:color="auto"/>
            </w:tcBorders>
            <w:hideMark/>
          </w:tcPr>
          <w:p w14:paraId="0DE7BA4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11/69 (17.7%)</w:t>
            </w:r>
          </w:p>
        </w:tc>
        <w:tc>
          <w:tcPr>
            <w:tcW w:w="1928" w:type="dxa"/>
            <w:tcBorders>
              <w:top w:val="single" w:sz="4" w:space="0" w:color="auto"/>
              <w:left w:val="single" w:sz="4" w:space="0" w:color="auto"/>
              <w:bottom w:val="single" w:sz="4" w:space="0" w:color="auto"/>
              <w:right w:val="single" w:sz="4" w:space="0" w:color="auto"/>
            </w:tcBorders>
            <w:hideMark/>
          </w:tcPr>
          <w:p w14:paraId="0DE1F6E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5/20 (</w:t>
            </w:r>
            <w:r>
              <w:rPr>
                <w:rFonts w:ascii="Calibri" w:eastAsia="Times New Roman" w:hAnsi="Calibri" w:cs="Times New Roman"/>
                <w:color w:val="000000"/>
                <w:sz w:val="22"/>
                <w:szCs w:val="22"/>
              </w:rPr>
              <w:t>25.0%)</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30C9F634" w14:textId="77777777" w:rsidR="00F115AF" w:rsidRDefault="00F115AF">
            <w:pPr>
              <w:rPr>
                <w:rFonts w:ascii="Calibri" w:eastAsia="Times New Roman" w:hAnsi="Calibri"/>
                <w:color w:val="000000"/>
                <w:sz w:val="22"/>
                <w:szCs w:val="22"/>
              </w:rPr>
            </w:pPr>
          </w:p>
        </w:tc>
      </w:tr>
      <w:tr w:rsidR="00F115AF" w14:paraId="0F45603B"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tcPr>
          <w:p w14:paraId="71F4B6D9"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417A030"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96926EF"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2075BF7"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2F5FF4F6" w14:textId="77777777" w:rsidR="00F115AF" w:rsidRDefault="00F115AF">
            <w:pPr>
              <w:spacing w:line="480" w:lineRule="auto"/>
              <w:rPr>
                <w:rFonts w:ascii="Calibri" w:eastAsia="Times New Roman" w:hAnsi="Calibri"/>
                <w:color w:val="000000"/>
                <w:sz w:val="22"/>
                <w:szCs w:val="22"/>
              </w:rPr>
            </w:pPr>
          </w:p>
        </w:tc>
      </w:tr>
      <w:tr w:rsidR="00F115AF" w14:paraId="46F1B4A9"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7389694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 xml:space="preserve">CSF (mean) </w:t>
            </w:r>
          </w:p>
        </w:tc>
        <w:tc>
          <w:tcPr>
            <w:tcW w:w="1928" w:type="dxa"/>
            <w:tcBorders>
              <w:top w:val="single" w:sz="4" w:space="0" w:color="auto"/>
              <w:left w:val="single" w:sz="4" w:space="0" w:color="auto"/>
              <w:bottom w:val="single" w:sz="4" w:space="0" w:color="auto"/>
              <w:right w:val="single" w:sz="4" w:space="0" w:color="auto"/>
            </w:tcBorders>
            <w:hideMark/>
          </w:tcPr>
          <w:p w14:paraId="7998012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 (4-6.25)</w:t>
            </w:r>
          </w:p>
        </w:tc>
        <w:tc>
          <w:tcPr>
            <w:tcW w:w="1928" w:type="dxa"/>
            <w:tcBorders>
              <w:top w:val="single" w:sz="4" w:space="0" w:color="auto"/>
              <w:left w:val="single" w:sz="4" w:space="0" w:color="auto"/>
              <w:bottom w:val="single" w:sz="4" w:space="0" w:color="auto"/>
              <w:right w:val="single" w:sz="4" w:space="0" w:color="auto"/>
            </w:tcBorders>
            <w:hideMark/>
          </w:tcPr>
          <w:p w14:paraId="5771693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 (5-6)</w:t>
            </w:r>
          </w:p>
        </w:tc>
        <w:tc>
          <w:tcPr>
            <w:tcW w:w="1928" w:type="dxa"/>
            <w:tcBorders>
              <w:top w:val="single" w:sz="4" w:space="0" w:color="auto"/>
              <w:left w:val="single" w:sz="4" w:space="0" w:color="auto"/>
              <w:bottom w:val="single" w:sz="4" w:space="0" w:color="auto"/>
              <w:right w:val="single" w:sz="4" w:space="0" w:color="auto"/>
            </w:tcBorders>
            <w:hideMark/>
          </w:tcPr>
          <w:p w14:paraId="34DE75C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 (5-7)</w:t>
            </w:r>
          </w:p>
        </w:tc>
        <w:tc>
          <w:tcPr>
            <w:tcW w:w="878" w:type="dxa"/>
            <w:tcBorders>
              <w:top w:val="single" w:sz="4" w:space="0" w:color="auto"/>
              <w:left w:val="single" w:sz="4" w:space="0" w:color="auto"/>
              <w:bottom w:val="single" w:sz="4" w:space="0" w:color="auto"/>
              <w:right w:val="single" w:sz="4" w:space="0" w:color="auto"/>
            </w:tcBorders>
            <w:hideMark/>
          </w:tcPr>
          <w:p w14:paraId="5558B3AC"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b/>
                <w:color w:val="000000"/>
                <w:sz w:val="22"/>
                <w:szCs w:val="22"/>
              </w:rPr>
              <w:t>0.013</w:t>
            </w:r>
          </w:p>
        </w:tc>
      </w:tr>
      <w:tr w:rsidR="00F115AF" w14:paraId="17EC6AD9"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41AC95C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 to 4</w:t>
            </w:r>
          </w:p>
        </w:tc>
        <w:tc>
          <w:tcPr>
            <w:tcW w:w="1928" w:type="dxa"/>
            <w:tcBorders>
              <w:top w:val="single" w:sz="4" w:space="0" w:color="auto"/>
              <w:left w:val="single" w:sz="4" w:space="0" w:color="auto"/>
              <w:bottom w:val="single" w:sz="4" w:space="0" w:color="auto"/>
              <w:right w:val="single" w:sz="4" w:space="0" w:color="auto"/>
            </w:tcBorders>
            <w:hideMark/>
          </w:tcPr>
          <w:p w14:paraId="14FBD49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32/102 (31.4%)</w:t>
            </w:r>
          </w:p>
        </w:tc>
        <w:tc>
          <w:tcPr>
            <w:tcW w:w="1928" w:type="dxa"/>
            <w:tcBorders>
              <w:top w:val="single" w:sz="4" w:space="0" w:color="auto"/>
              <w:left w:val="single" w:sz="4" w:space="0" w:color="auto"/>
              <w:bottom w:val="single" w:sz="4" w:space="0" w:color="auto"/>
              <w:right w:val="single" w:sz="4" w:space="0" w:color="auto"/>
            </w:tcBorders>
            <w:hideMark/>
          </w:tcPr>
          <w:p w14:paraId="1C171C5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28/71 (39.4%)</w:t>
            </w:r>
          </w:p>
        </w:tc>
        <w:tc>
          <w:tcPr>
            <w:tcW w:w="1928" w:type="dxa"/>
            <w:tcBorders>
              <w:top w:val="single" w:sz="4" w:space="0" w:color="auto"/>
              <w:left w:val="single" w:sz="4" w:space="0" w:color="auto"/>
              <w:bottom w:val="single" w:sz="4" w:space="0" w:color="auto"/>
              <w:right w:val="single" w:sz="4" w:space="0" w:color="auto"/>
            </w:tcBorders>
            <w:hideMark/>
          </w:tcPr>
          <w:p w14:paraId="3DA60E2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4/31 (12.9%)</w:t>
            </w:r>
          </w:p>
        </w:tc>
        <w:tc>
          <w:tcPr>
            <w:tcW w:w="878" w:type="dxa"/>
            <w:vMerge w:val="restart"/>
            <w:tcBorders>
              <w:top w:val="single" w:sz="4" w:space="0" w:color="auto"/>
              <w:left w:val="single" w:sz="4" w:space="0" w:color="auto"/>
              <w:bottom w:val="single" w:sz="4" w:space="0" w:color="auto"/>
              <w:right w:val="single" w:sz="4" w:space="0" w:color="auto"/>
            </w:tcBorders>
            <w:hideMark/>
          </w:tcPr>
          <w:p w14:paraId="26795631" w14:textId="77777777" w:rsidR="00F115AF" w:rsidRDefault="00F115AF">
            <w:pPr>
              <w:spacing w:line="480" w:lineRule="auto"/>
              <w:rPr>
                <w:rFonts w:ascii="Calibri" w:eastAsia="Times New Roman" w:hAnsi="Calibri"/>
                <w:b/>
                <w:bCs/>
                <w:color w:val="000000"/>
                <w:sz w:val="22"/>
                <w:szCs w:val="22"/>
              </w:rPr>
            </w:pPr>
            <w:r>
              <w:rPr>
                <w:rFonts w:ascii="Calibri" w:eastAsia="Times New Roman" w:hAnsi="Calibri"/>
                <w:b/>
                <w:bCs/>
                <w:color w:val="000000"/>
                <w:sz w:val="22"/>
                <w:szCs w:val="22"/>
              </w:rPr>
              <w:t>0.008</w:t>
            </w:r>
          </w:p>
        </w:tc>
      </w:tr>
      <w:tr w:rsidR="00F115AF" w14:paraId="07A32561"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63CBC08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5 to 9</w:t>
            </w:r>
          </w:p>
        </w:tc>
        <w:tc>
          <w:tcPr>
            <w:tcW w:w="1928" w:type="dxa"/>
            <w:tcBorders>
              <w:top w:val="single" w:sz="4" w:space="0" w:color="auto"/>
              <w:left w:val="single" w:sz="4" w:space="0" w:color="auto"/>
              <w:bottom w:val="single" w:sz="4" w:space="0" w:color="auto"/>
              <w:right w:val="single" w:sz="4" w:space="0" w:color="auto"/>
            </w:tcBorders>
            <w:hideMark/>
          </w:tcPr>
          <w:p w14:paraId="1AA5CFA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70/102 (68.6%)</w:t>
            </w:r>
          </w:p>
        </w:tc>
        <w:tc>
          <w:tcPr>
            <w:tcW w:w="1928" w:type="dxa"/>
            <w:tcBorders>
              <w:top w:val="single" w:sz="4" w:space="0" w:color="auto"/>
              <w:left w:val="single" w:sz="4" w:space="0" w:color="auto"/>
              <w:bottom w:val="single" w:sz="4" w:space="0" w:color="auto"/>
              <w:right w:val="single" w:sz="4" w:space="0" w:color="auto"/>
            </w:tcBorders>
            <w:hideMark/>
          </w:tcPr>
          <w:p w14:paraId="661B7CD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43/71 (60.6%)</w:t>
            </w:r>
          </w:p>
        </w:tc>
        <w:tc>
          <w:tcPr>
            <w:tcW w:w="1928" w:type="dxa"/>
            <w:tcBorders>
              <w:top w:val="single" w:sz="4" w:space="0" w:color="auto"/>
              <w:left w:val="single" w:sz="4" w:space="0" w:color="auto"/>
              <w:bottom w:val="single" w:sz="4" w:space="0" w:color="auto"/>
              <w:right w:val="single" w:sz="4" w:space="0" w:color="auto"/>
            </w:tcBorders>
            <w:hideMark/>
          </w:tcPr>
          <w:p w14:paraId="479097F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27/31 (87.1%)</w:t>
            </w: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112305D3" w14:textId="77777777" w:rsidR="00F115AF" w:rsidRDefault="00F115AF">
            <w:pPr>
              <w:rPr>
                <w:rFonts w:ascii="Calibri" w:eastAsia="Times New Roman" w:hAnsi="Calibri"/>
                <w:b/>
                <w:bCs/>
                <w:color w:val="000000"/>
                <w:sz w:val="22"/>
                <w:szCs w:val="22"/>
              </w:rPr>
            </w:pPr>
          </w:p>
        </w:tc>
      </w:tr>
      <w:tr w:rsidR="00F115AF" w14:paraId="6FDFCB19"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tcPr>
          <w:p w14:paraId="18DDB6C8"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CB9E782"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2F31954"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31F80B5"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7A998DBF" w14:textId="77777777" w:rsidR="00F115AF" w:rsidRDefault="00F115AF">
            <w:pPr>
              <w:spacing w:line="480" w:lineRule="auto"/>
              <w:rPr>
                <w:rFonts w:ascii="Calibri" w:eastAsia="Times New Roman" w:hAnsi="Calibri"/>
                <w:color w:val="000000"/>
                <w:sz w:val="22"/>
                <w:szCs w:val="22"/>
              </w:rPr>
            </w:pPr>
          </w:p>
        </w:tc>
      </w:tr>
      <w:tr w:rsidR="00F115AF" w14:paraId="091F9790"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777F81E1" w14:textId="77777777" w:rsidR="00F115AF" w:rsidRDefault="00F115AF">
            <w:pPr>
              <w:spacing w:line="480" w:lineRule="auto"/>
              <w:rPr>
                <w:rFonts w:ascii="Calibri" w:eastAsia="Times New Roman" w:hAnsi="Calibri"/>
                <w:b/>
                <w:bCs/>
                <w:color w:val="000000"/>
                <w:sz w:val="22"/>
                <w:szCs w:val="22"/>
              </w:rPr>
            </w:pPr>
            <w:r>
              <w:rPr>
                <w:rFonts w:ascii="Calibri" w:eastAsia="Times New Roman" w:hAnsi="Calibri"/>
                <w:b/>
                <w:bCs/>
                <w:color w:val="000000"/>
                <w:sz w:val="22"/>
                <w:szCs w:val="22"/>
              </w:rPr>
              <w:t>Comorbidities , n (%)</w:t>
            </w:r>
          </w:p>
        </w:tc>
        <w:tc>
          <w:tcPr>
            <w:tcW w:w="1928" w:type="dxa"/>
            <w:tcBorders>
              <w:top w:val="single" w:sz="4" w:space="0" w:color="auto"/>
              <w:left w:val="single" w:sz="4" w:space="0" w:color="auto"/>
              <w:bottom w:val="single" w:sz="4" w:space="0" w:color="auto"/>
              <w:right w:val="single" w:sz="4" w:space="0" w:color="auto"/>
            </w:tcBorders>
          </w:tcPr>
          <w:p w14:paraId="71A6820E"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BD853E4" w14:textId="77777777" w:rsidR="00F115AF" w:rsidRDefault="00F115AF">
            <w:pPr>
              <w:spacing w:line="480" w:lineRule="auto"/>
              <w:rPr>
                <w:rFonts w:ascii="Calibri" w:eastAsia="Times New Roman" w:hAnsi="Calibri"/>
                <w:color w:val="000000"/>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5170E98" w14:textId="77777777" w:rsidR="00F115AF" w:rsidRDefault="00F115AF">
            <w:pPr>
              <w:spacing w:line="480" w:lineRule="auto"/>
              <w:rPr>
                <w:rFonts w:ascii="Calibri" w:eastAsia="Times New Roman" w:hAnsi="Calibri"/>
                <w:color w:val="000000"/>
                <w:sz w:val="22"/>
                <w:szCs w:val="22"/>
              </w:rPr>
            </w:pPr>
          </w:p>
        </w:tc>
        <w:tc>
          <w:tcPr>
            <w:tcW w:w="878" w:type="dxa"/>
            <w:tcBorders>
              <w:top w:val="single" w:sz="4" w:space="0" w:color="auto"/>
              <w:left w:val="single" w:sz="4" w:space="0" w:color="auto"/>
              <w:bottom w:val="single" w:sz="4" w:space="0" w:color="auto"/>
              <w:right w:val="single" w:sz="4" w:space="0" w:color="auto"/>
            </w:tcBorders>
          </w:tcPr>
          <w:p w14:paraId="7097C2F8" w14:textId="77777777" w:rsidR="00F115AF" w:rsidRDefault="00F115AF">
            <w:pPr>
              <w:spacing w:line="480" w:lineRule="auto"/>
              <w:rPr>
                <w:rFonts w:ascii="Calibri" w:eastAsia="Times New Roman" w:hAnsi="Calibri"/>
                <w:color w:val="000000"/>
                <w:sz w:val="22"/>
                <w:szCs w:val="22"/>
              </w:rPr>
            </w:pPr>
          </w:p>
        </w:tc>
      </w:tr>
      <w:tr w:rsidR="00F115AF" w14:paraId="3D827C51" w14:textId="77777777" w:rsidTr="00F115AF">
        <w:trPr>
          <w:trHeight w:val="151"/>
        </w:trPr>
        <w:tc>
          <w:tcPr>
            <w:tcW w:w="1951" w:type="dxa"/>
            <w:tcBorders>
              <w:top w:val="single" w:sz="4" w:space="0" w:color="auto"/>
              <w:left w:val="single" w:sz="4" w:space="0" w:color="auto"/>
              <w:bottom w:val="single" w:sz="4" w:space="0" w:color="auto"/>
              <w:right w:val="single" w:sz="4" w:space="0" w:color="auto"/>
            </w:tcBorders>
            <w:hideMark/>
          </w:tcPr>
          <w:p w14:paraId="1C061F5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Dementia</w:t>
            </w:r>
          </w:p>
        </w:tc>
        <w:tc>
          <w:tcPr>
            <w:tcW w:w="1928" w:type="dxa"/>
            <w:tcBorders>
              <w:top w:val="single" w:sz="4" w:space="0" w:color="auto"/>
              <w:left w:val="single" w:sz="4" w:space="0" w:color="auto"/>
              <w:bottom w:val="single" w:sz="4" w:space="0" w:color="auto"/>
              <w:right w:val="single" w:sz="4" w:space="0" w:color="auto"/>
            </w:tcBorders>
            <w:hideMark/>
          </w:tcPr>
          <w:p w14:paraId="31ED370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38/102 (37.3%)</w:t>
            </w:r>
          </w:p>
        </w:tc>
        <w:tc>
          <w:tcPr>
            <w:tcW w:w="1928" w:type="dxa"/>
            <w:tcBorders>
              <w:top w:val="single" w:sz="4" w:space="0" w:color="auto"/>
              <w:left w:val="single" w:sz="4" w:space="0" w:color="auto"/>
              <w:bottom w:val="single" w:sz="4" w:space="0" w:color="auto"/>
              <w:right w:val="single" w:sz="4" w:space="0" w:color="auto"/>
            </w:tcBorders>
            <w:hideMark/>
          </w:tcPr>
          <w:p w14:paraId="7463F88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17/71/71(23.9%)</w:t>
            </w:r>
          </w:p>
        </w:tc>
        <w:tc>
          <w:tcPr>
            <w:tcW w:w="1928" w:type="dxa"/>
            <w:tcBorders>
              <w:top w:val="single" w:sz="4" w:space="0" w:color="auto"/>
              <w:left w:val="single" w:sz="4" w:space="0" w:color="auto"/>
              <w:bottom w:val="single" w:sz="4" w:space="0" w:color="auto"/>
              <w:right w:val="single" w:sz="4" w:space="0" w:color="auto"/>
            </w:tcBorders>
            <w:hideMark/>
          </w:tcPr>
          <w:p w14:paraId="3A41503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21/31 (67.7%)</w:t>
            </w:r>
          </w:p>
        </w:tc>
        <w:tc>
          <w:tcPr>
            <w:tcW w:w="878" w:type="dxa"/>
            <w:tcBorders>
              <w:top w:val="single" w:sz="4" w:space="0" w:color="auto"/>
              <w:left w:val="single" w:sz="4" w:space="0" w:color="auto"/>
              <w:bottom w:val="single" w:sz="4" w:space="0" w:color="auto"/>
              <w:right w:val="single" w:sz="4" w:space="0" w:color="auto"/>
            </w:tcBorders>
            <w:hideMark/>
          </w:tcPr>
          <w:p w14:paraId="76AF48A3"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b/>
                <w:color w:val="000000"/>
                <w:sz w:val="22"/>
                <w:szCs w:val="22"/>
              </w:rPr>
              <w:t>&lt;0.001</w:t>
            </w:r>
          </w:p>
        </w:tc>
      </w:tr>
      <w:tr w:rsidR="00F115AF" w14:paraId="1B6A1BF4"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51E806D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Diabetes</w:t>
            </w:r>
          </w:p>
        </w:tc>
        <w:tc>
          <w:tcPr>
            <w:tcW w:w="1928" w:type="dxa"/>
            <w:tcBorders>
              <w:top w:val="single" w:sz="4" w:space="0" w:color="auto"/>
              <w:left w:val="single" w:sz="4" w:space="0" w:color="auto"/>
              <w:bottom w:val="single" w:sz="4" w:space="0" w:color="auto"/>
              <w:right w:val="single" w:sz="4" w:space="0" w:color="auto"/>
            </w:tcBorders>
            <w:hideMark/>
          </w:tcPr>
          <w:p w14:paraId="4D5C4B8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38/102 (37.3%)</w:t>
            </w:r>
          </w:p>
        </w:tc>
        <w:tc>
          <w:tcPr>
            <w:tcW w:w="1928" w:type="dxa"/>
            <w:tcBorders>
              <w:top w:val="single" w:sz="4" w:space="0" w:color="auto"/>
              <w:left w:val="single" w:sz="4" w:space="0" w:color="auto"/>
              <w:bottom w:val="single" w:sz="4" w:space="0" w:color="auto"/>
              <w:right w:val="single" w:sz="4" w:space="0" w:color="auto"/>
            </w:tcBorders>
            <w:hideMark/>
          </w:tcPr>
          <w:p w14:paraId="68C9CAC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27/71 (38.0%)</w:t>
            </w:r>
          </w:p>
        </w:tc>
        <w:tc>
          <w:tcPr>
            <w:tcW w:w="1928" w:type="dxa"/>
            <w:tcBorders>
              <w:top w:val="single" w:sz="4" w:space="0" w:color="auto"/>
              <w:left w:val="single" w:sz="4" w:space="0" w:color="auto"/>
              <w:bottom w:val="single" w:sz="4" w:space="0" w:color="auto"/>
              <w:right w:val="single" w:sz="4" w:space="0" w:color="auto"/>
            </w:tcBorders>
            <w:hideMark/>
          </w:tcPr>
          <w:p w14:paraId="2074837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11/31 (35.5%)</w:t>
            </w:r>
          </w:p>
        </w:tc>
        <w:tc>
          <w:tcPr>
            <w:tcW w:w="878" w:type="dxa"/>
            <w:tcBorders>
              <w:top w:val="single" w:sz="4" w:space="0" w:color="auto"/>
              <w:left w:val="single" w:sz="4" w:space="0" w:color="auto"/>
              <w:bottom w:val="single" w:sz="4" w:space="0" w:color="auto"/>
              <w:right w:val="single" w:sz="4" w:space="0" w:color="auto"/>
            </w:tcBorders>
            <w:hideMark/>
          </w:tcPr>
          <w:p w14:paraId="30E34F6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7BB5CC19"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50BF2AF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Hypertension</w:t>
            </w:r>
          </w:p>
        </w:tc>
        <w:tc>
          <w:tcPr>
            <w:tcW w:w="1928" w:type="dxa"/>
            <w:tcBorders>
              <w:top w:val="single" w:sz="4" w:space="0" w:color="auto"/>
              <w:left w:val="single" w:sz="4" w:space="0" w:color="auto"/>
              <w:bottom w:val="single" w:sz="4" w:space="0" w:color="auto"/>
              <w:right w:val="single" w:sz="4" w:space="0" w:color="auto"/>
            </w:tcBorders>
            <w:hideMark/>
          </w:tcPr>
          <w:p w14:paraId="50DF4E7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71/102 (69.6%)</w:t>
            </w:r>
          </w:p>
        </w:tc>
        <w:tc>
          <w:tcPr>
            <w:tcW w:w="1928" w:type="dxa"/>
            <w:tcBorders>
              <w:top w:val="single" w:sz="4" w:space="0" w:color="auto"/>
              <w:left w:val="single" w:sz="4" w:space="0" w:color="auto"/>
              <w:bottom w:val="single" w:sz="4" w:space="0" w:color="auto"/>
              <w:right w:val="single" w:sz="4" w:space="0" w:color="auto"/>
            </w:tcBorders>
            <w:hideMark/>
          </w:tcPr>
          <w:p w14:paraId="21D13EA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46/71 (64.8%)</w:t>
            </w:r>
          </w:p>
        </w:tc>
        <w:tc>
          <w:tcPr>
            <w:tcW w:w="1928" w:type="dxa"/>
            <w:tcBorders>
              <w:top w:val="single" w:sz="4" w:space="0" w:color="auto"/>
              <w:left w:val="single" w:sz="4" w:space="0" w:color="auto"/>
              <w:bottom w:val="single" w:sz="4" w:space="0" w:color="auto"/>
              <w:right w:val="single" w:sz="4" w:space="0" w:color="auto"/>
            </w:tcBorders>
            <w:hideMark/>
          </w:tcPr>
          <w:p w14:paraId="735DABA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25/31 (</w:t>
            </w:r>
            <w:r>
              <w:rPr>
                <w:rFonts w:ascii="Calibri" w:eastAsia="Times New Roman" w:hAnsi="Calibri" w:cs="Times New Roman"/>
                <w:color w:val="000000"/>
                <w:sz w:val="22"/>
                <w:szCs w:val="22"/>
              </w:rPr>
              <w:t>80.6%)</w:t>
            </w:r>
          </w:p>
        </w:tc>
        <w:tc>
          <w:tcPr>
            <w:tcW w:w="878" w:type="dxa"/>
            <w:tcBorders>
              <w:top w:val="single" w:sz="4" w:space="0" w:color="auto"/>
              <w:left w:val="single" w:sz="4" w:space="0" w:color="auto"/>
              <w:bottom w:val="single" w:sz="4" w:space="0" w:color="auto"/>
              <w:right w:val="single" w:sz="4" w:space="0" w:color="auto"/>
            </w:tcBorders>
            <w:hideMark/>
          </w:tcPr>
          <w:p w14:paraId="6B8F838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4C844E02"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0863D73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Chronic Kidney Disease</w:t>
            </w:r>
          </w:p>
        </w:tc>
        <w:tc>
          <w:tcPr>
            <w:tcW w:w="1928" w:type="dxa"/>
            <w:tcBorders>
              <w:top w:val="single" w:sz="4" w:space="0" w:color="auto"/>
              <w:left w:val="single" w:sz="4" w:space="0" w:color="auto"/>
              <w:bottom w:val="single" w:sz="4" w:space="0" w:color="auto"/>
              <w:right w:val="single" w:sz="4" w:space="0" w:color="auto"/>
            </w:tcBorders>
            <w:hideMark/>
          </w:tcPr>
          <w:p w14:paraId="7945183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21/102 (20.6%)</w:t>
            </w:r>
          </w:p>
        </w:tc>
        <w:tc>
          <w:tcPr>
            <w:tcW w:w="1928" w:type="dxa"/>
            <w:tcBorders>
              <w:top w:val="single" w:sz="4" w:space="0" w:color="auto"/>
              <w:left w:val="single" w:sz="4" w:space="0" w:color="auto"/>
              <w:bottom w:val="single" w:sz="4" w:space="0" w:color="auto"/>
              <w:right w:val="single" w:sz="4" w:space="0" w:color="auto"/>
            </w:tcBorders>
            <w:hideMark/>
          </w:tcPr>
          <w:p w14:paraId="6AC027F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13/71 (18.3%)</w:t>
            </w:r>
          </w:p>
        </w:tc>
        <w:tc>
          <w:tcPr>
            <w:tcW w:w="1928" w:type="dxa"/>
            <w:tcBorders>
              <w:top w:val="single" w:sz="4" w:space="0" w:color="auto"/>
              <w:left w:val="single" w:sz="4" w:space="0" w:color="auto"/>
              <w:bottom w:val="single" w:sz="4" w:space="0" w:color="auto"/>
              <w:right w:val="single" w:sz="4" w:space="0" w:color="auto"/>
            </w:tcBorders>
            <w:hideMark/>
          </w:tcPr>
          <w:p w14:paraId="68CA0AF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8/31 (25.8%)</w:t>
            </w:r>
          </w:p>
        </w:tc>
        <w:tc>
          <w:tcPr>
            <w:tcW w:w="878" w:type="dxa"/>
            <w:tcBorders>
              <w:top w:val="single" w:sz="4" w:space="0" w:color="auto"/>
              <w:left w:val="single" w:sz="4" w:space="0" w:color="auto"/>
              <w:bottom w:val="single" w:sz="4" w:space="0" w:color="auto"/>
              <w:right w:val="single" w:sz="4" w:space="0" w:color="auto"/>
            </w:tcBorders>
            <w:hideMark/>
          </w:tcPr>
          <w:p w14:paraId="2A139693" w14:textId="77777777" w:rsidR="00F115AF" w:rsidRDefault="00F115AF">
            <w:pPr>
              <w:spacing w:line="480" w:lineRule="auto"/>
              <w:rPr>
                <w:rFonts w:ascii="Calibri" w:eastAsia="Times New Roman" w:hAnsi="Calibri"/>
                <w:b/>
                <w:color w:val="000000"/>
                <w:sz w:val="22"/>
                <w:szCs w:val="22"/>
              </w:rPr>
            </w:pPr>
            <w:r>
              <w:rPr>
                <w:rFonts w:ascii="Calibri" w:eastAsia="Times New Roman" w:hAnsi="Calibri"/>
                <w:color w:val="000000"/>
                <w:sz w:val="22"/>
                <w:szCs w:val="22"/>
              </w:rPr>
              <w:t>N.S.</w:t>
            </w:r>
          </w:p>
        </w:tc>
      </w:tr>
      <w:tr w:rsidR="00F115AF" w14:paraId="00B411C8"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0AB17CF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COPD/Asthma</w:t>
            </w:r>
          </w:p>
        </w:tc>
        <w:tc>
          <w:tcPr>
            <w:tcW w:w="1928" w:type="dxa"/>
            <w:tcBorders>
              <w:top w:val="single" w:sz="4" w:space="0" w:color="auto"/>
              <w:left w:val="single" w:sz="4" w:space="0" w:color="auto"/>
              <w:bottom w:val="single" w:sz="4" w:space="0" w:color="auto"/>
              <w:right w:val="single" w:sz="4" w:space="0" w:color="auto"/>
            </w:tcBorders>
            <w:hideMark/>
          </w:tcPr>
          <w:p w14:paraId="5612F7B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25/102 (24.5%)</w:t>
            </w:r>
          </w:p>
        </w:tc>
        <w:tc>
          <w:tcPr>
            <w:tcW w:w="1928" w:type="dxa"/>
            <w:tcBorders>
              <w:top w:val="single" w:sz="4" w:space="0" w:color="auto"/>
              <w:left w:val="single" w:sz="4" w:space="0" w:color="auto"/>
              <w:bottom w:val="single" w:sz="4" w:space="0" w:color="auto"/>
              <w:right w:val="single" w:sz="4" w:space="0" w:color="auto"/>
            </w:tcBorders>
            <w:hideMark/>
          </w:tcPr>
          <w:p w14:paraId="30B5792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18/71 (25.4%)</w:t>
            </w:r>
          </w:p>
        </w:tc>
        <w:tc>
          <w:tcPr>
            <w:tcW w:w="1928" w:type="dxa"/>
            <w:tcBorders>
              <w:top w:val="single" w:sz="4" w:space="0" w:color="auto"/>
              <w:left w:val="single" w:sz="4" w:space="0" w:color="auto"/>
              <w:bottom w:val="single" w:sz="4" w:space="0" w:color="auto"/>
              <w:right w:val="single" w:sz="4" w:space="0" w:color="auto"/>
            </w:tcBorders>
            <w:hideMark/>
          </w:tcPr>
          <w:p w14:paraId="3CF6837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7/31 (22.6%)</w:t>
            </w:r>
          </w:p>
        </w:tc>
        <w:tc>
          <w:tcPr>
            <w:tcW w:w="878" w:type="dxa"/>
            <w:tcBorders>
              <w:top w:val="single" w:sz="4" w:space="0" w:color="auto"/>
              <w:left w:val="single" w:sz="4" w:space="0" w:color="auto"/>
              <w:bottom w:val="single" w:sz="4" w:space="0" w:color="auto"/>
              <w:right w:val="single" w:sz="4" w:space="0" w:color="auto"/>
            </w:tcBorders>
            <w:hideMark/>
          </w:tcPr>
          <w:p w14:paraId="581D8CEC"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4422A9F7"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171AC32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Active cancer</w:t>
            </w:r>
          </w:p>
        </w:tc>
        <w:tc>
          <w:tcPr>
            <w:tcW w:w="1928" w:type="dxa"/>
            <w:tcBorders>
              <w:top w:val="single" w:sz="4" w:space="0" w:color="auto"/>
              <w:left w:val="single" w:sz="4" w:space="0" w:color="auto"/>
              <w:bottom w:val="single" w:sz="4" w:space="0" w:color="auto"/>
              <w:right w:val="single" w:sz="4" w:space="0" w:color="auto"/>
            </w:tcBorders>
            <w:hideMark/>
          </w:tcPr>
          <w:p w14:paraId="78BE84E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13/102 (12.7%)</w:t>
            </w:r>
          </w:p>
        </w:tc>
        <w:tc>
          <w:tcPr>
            <w:tcW w:w="1928" w:type="dxa"/>
            <w:tcBorders>
              <w:top w:val="single" w:sz="4" w:space="0" w:color="auto"/>
              <w:left w:val="single" w:sz="4" w:space="0" w:color="auto"/>
              <w:bottom w:val="single" w:sz="4" w:space="0" w:color="auto"/>
              <w:right w:val="single" w:sz="4" w:space="0" w:color="auto"/>
            </w:tcBorders>
            <w:hideMark/>
          </w:tcPr>
          <w:p w14:paraId="3FFDFC1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8/71 (11.3%)</w:t>
            </w:r>
          </w:p>
        </w:tc>
        <w:tc>
          <w:tcPr>
            <w:tcW w:w="1928" w:type="dxa"/>
            <w:tcBorders>
              <w:top w:val="single" w:sz="4" w:space="0" w:color="auto"/>
              <w:left w:val="single" w:sz="4" w:space="0" w:color="auto"/>
              <w:bottom w:val="single" w:sz="4" w:space="0" w:color="auto"/>
              <w:right w:val="single" w:sz="4" w:space="0" w:color="auto"/>
            </w:tcBorders>
            <w:hideMark/>
          </w:tcPr>
          <w:p w14:paraId="0DBD7A0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5/31 (16.1%)</w:t>
            </w:r>
          </w:p>
        </w:tc>
        <w:tc>
          <w:tcPr>
            <w:tcW w:w="878" w:type="dxa"/>
            <w:tcBorders>
              <w:top w:val="single" w:sz="4" w:space="0" w:color="auto"/>
              <w:left w:val="single" w:sz="4" w:space="0" w:color="auto"/>
              <w:bottom w:val="single" w:sz="4" w:space="0" w:color="auto"/>
              <w:right w:val="single" w:sz="4" w:space="0" w:color="auto"/>
            </w:tcBorders>
            <w:hideMark/>
          </w:tcPr>
          <w:p w14:paraId="38FFB07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4EA7C555"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00DF3A8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Recurrent falls</w:t>
            </w:r>
          </w:p>
        </w:tc>
        <w:tc>
          <w:tcPr>
            <w:tcW w:w="1928" w:type="dxa"/>
            <w:tcBorders>
              <w:top w:val="single" w:sz="4" w:space="0" w:color="auto"/>
              <w:left w:val="single" w:sz="4" w:space="0" w:color="auto"/>
              <w:bottom w:val="single" w:sz="4" w:space="0" w:color="auto"/>
              <w:right w:val="single" w:sz="4" w:space="0" w:color="auto"/>
            </w:tcBorders>
            <w:hideMark/>
          </w:tcPr>
          <w:p w14:paraId="0ED61A8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31/102 (30.4%)</w:t>
            </w:r>
          </w:p>
        </w:tc>
        <w:tc>
          <w:tcPr>
            <w:tcW w:w="1928" w:type="dxa"/>
            <w:tcBorders>
              <w:top w:val="single" w:sz="4" w:space="0" w:color="auto"/>
              <w:left w:val="single" w:sz="4" w:space="0" w:color="auto"/>
              <w:bottom w:val="single" w:sz="4" w:space="0" w:color="auto"/>
              <w:right w:val="single" w:sz="4" w:space="0" w:color="auto"/>
            </w:tcBorders>
            <w:hideMark/>
          </w:tcPr>
          <w:p w14:paraId="46C5593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18/71 (25.4%)</w:t>
            </w:r>
          </w:p>
        </w:tc>
        <w:tc>
          <w:tcPr>
            <w:tcW w:w="1928" w:type="dxa"/>
            <w:tcBorders>
              <w:top w:val="single" w:sz="4" w:space="0" w:color="auto"/>
              <w:left w:val="single" w:sz="4" w:space="0" w:color="auto"/>
              <w:bottom w:val="single" w:sz="4" w:space="0" w:color="auto"/>
              <w:right w:val="single" w:sz="4" w:space="0" w:color="auto"/>
            </w:tcBorders>
            <w:hideMark/>
          </w:tcPr>
          <w:p w14:paraId="1BFC1E4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13/31 (41.9%)</w:t>
            </w:r>
          </w:p>
        </w:tc>
        <w:tc>
          <w:tcPr>
            <w:tcW w:w="878" w:type="dxa"/>
            <w:tcBorders>
              <w:top w:val="single" w:sz="4" w:space="0" w:color="auto"/>
              <w:left w:val="single" w:sz="4" w:space="0" w:color="auto"/>
              <w:bottom w:val="single" w:sz="4" w:space="0" w:color="auto"/>
              <w:right w:val="single" w:sz="4" w:space="0" w:color="auto"/>
            </w:tcBorders>
            <w:hideMark/>
          </w:tcPr>
          <w:p w14:paraId="32219D9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63ADEBCD"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154A240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Stroke</w:t>
            </w:r>
          </w:p>
        </w:tc>
        <w:tc>
          <w:tcPr>
            <w:tcW w:w="1928" w:type="dxa"/>
            <w:tcBorders>
              <w:top w:val="single" w:sz="4" w:space="0" w:color="auto"/>
              <w:left w:val="single" w:sz="4" w:space="0" w:color="auto"/>
              <w:bottom w:val="single" w:sz="4" w:space="0" w:color="auto"/>
              <w:right w:val="single" w:sz="4" w:space="0" w:color="auto"/>
            </w:tcBorders>
            <w:hideMark/>
          </w:tcPr>
          <w:p w14:paraId="5855B5D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21/102 (20.6%)</w:t>
            </w:r>
          </w:p>
        </w:tc>
        <w:tc>
          <w:tcPr>
            <w:tcW w:w="1928" w:type="dxa"/>
            <w:tcBorders>
              <w:top w:val="single" w:sz="4" w:space="0" w:color="auto"/>
              <w:left w:val="single" w:sz="4" w:space="0" w:color="auto"/>
              <w:bottom w:val="single" w:sz="4" w:space="0" w:color="auto"/>
              <w:right w:val="single" w:sz="4" w:space="0" w:color="auto"/>
            </w:tcBorders>
            <w:hideMark/>
          </w:tcPr>
          <w:p w14:paraId="6B2E4FB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14/71 (19.7%)</w:t>
            </w:r>
          </w:p>
        </w:tc>
        <w:tc>
          <w:tcPr>
            <w:tcW w:w="1928" w:type="dxa"/>
            <w:tcBorders>
              <w:top w:val="single" w:sz="4" w:space="0" w:color="auto"/>
              <w:left w:val="single" w:sz="4" w:space="0" w:color="auto"/>
              <w:bottom w:val="single" w:sz="4" w:space="0" w:color="auto"/>
              <w:right w:val="single" w:sz="4" w:space="0" w:color="auto"/>
            </w:tcBorders>
            <w:hideMark/>
          </w:tcPr>
          <w:p w14:paraId="6AB4684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 /31 (22.6%)</w:t>
            </w:r>
          </w:p>
        </w:tc>
        <w:tc>
          <w:tcPr>
            <w:tcW w:w="878" w:type="dxa"/>
            <w:tcBorders>
              <w:top w:val="single" w:sz="4" w:space="0" w:color="auto"/>
              <w:left w:val="single" w:sz="4" w:space="0" w:color="auto"/>
              <w:bottom w:val="single" w:sz="4" w:space="0" w:color="auto"/>
              <w:right w:val="single" w:sz="4" w:space="0" w:color="auto"/>
            </w:tcBorders>
            <w:hideMark/>
          </w:tcPr>
          <w:p w14:paraId="26108AE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5286FF36"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223C0B8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Ischemic Heart Disease</w:t>
            </w:r>
          </w:p>
        </w:tc>
        <w:tc>
          <w:tcPr>
            <w:tcW w:w="1928" w:type="dxa"/>
            <w:tcBorders>
              <w:top w:val="single" w:sz="4" w:space="0" w:color="auto"/>
              <w:left w:val="single" w:sz="4" w:space="0" w:color="auto"/>
              <w:bottom w:val="single" w:sz="4" w:space="0" w:color="auto"/>
              <w:right w:val="single" w:sz="4" w:space="0" w:color="auto"/>
            </w:tcBorders>
            <w:hideMark/>
          </w:tcPr>
          <w:p w14:paraId="74936E7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19/102 (18.6%)</w:t>
            </w:r>
          </w:p>
        </w:tc>
        <w:tc>
          <w:tcPr>
            <w:tcW w:w="1928" w:type="dxa"/>
            <w:tcBorders>
              <w:top w:val="single" w:sz="4" w:space="0" w:color="auto"/>
              <w:left w:val="single" w:sz="4" w:space="0" w:color="auto"/>
              <w:bottom w:val="single" w:sz="4" w:space="0" w:color="auto"/>
              <w:right w:val="single" w:sz="4" w:space="0" w:color="auto"/>
            </w:tcBorders>
            <w:hideMark/>
          </w:tcPr>
          <w:p w14:paraId="5701DA6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11/71  (15.5%)</w:t>
            </w:r>
          </w:p>
        </w:tc>
        <w:tc>
          <w:tcPr>
            <w:tcW w:w="1928" w:type="dxa"/>
            <w:tcBorders>
              <w:top w:val="single" w:sz="4" w:space="0" w:color="auto"/>
              <w:left w:val="single" w:sz="4" w:space="0" w:color="auto"/>
              <w:bottom w:val="single" w:sz="4" w:space="0" w:color="auto"/>
              <w:right w:val="single" w:sz="4" w:space="0" w:color="auto"/>
            </w:tcBorders>
            <w:hideMark/>
          </w:tcPr>
          <w:p w14:paraId="7D25193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8/31 (25.8%)</w:t>
            </w:r>
          </w:p>
        </w:tc>
        <w:tc>
          <w:tcPr>
            <w:tcW w:w="878" w:type="dxa"/>
            <w:tcBorders>
              <w:top w:val="single" w:sz="4" w:space="0" w:color="auto"/>
              <w:left w:val="single" w:sz="4" w:space="0" w:color="auto"/>
              <w:bottom w:val="single" w:sz="4" w:space="0" w:color="auto"/>
              <w:right w:val="single" w:sz="4" w:space="0" w:color="auto"/>
            </w:tcBorders>
            <w:hideMark/>
          </w:tcPr>
          <w:p w14:paraId="1344D40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5EE236C1"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1FF99F5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Heart Failure</w:t>
            </w:r>
          </w:p>
        </w:tc>
        <w:tc>
          <w:tcPr>
            <w:tcW w:w="1928" w:type="dxa"/>
            <w:tcBorders>
              <w:top w:val="single" w:sz="4" w:space="0" w:color="auto"/>
              <w:left w:val="single" w:sz="4" w:space="0" w:color="auto"/>
              <w:bottom w:val="single" w:sz="4" w:space="0" w:color="auto"/>
              <w:right w:val="single" w:sz="4" w:space="0" w:color="auto"/>
            </w:tcBorders>
            <w:hideMark/>
          </w:tcPr>
          <w:p w14:paraId="4661EB6C"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15/102 (14.7%)</w:t>
            </w:r>
          </w:p>
        </w:tc>
        <w:tc>
          <w:tcPr>
            <w:tcW w:w="1928" w:type="dxa"/>
            <w:tcBorders>
              <w:top w:val="single" w:sz="4" w:space="0" w:color="auto"/>
              <w:left w:val="single" w:sz="4" w:space="0" w:color="auto"/>
              <w:bottom w:val="single" w:sz="4" w:space="0" w:color="auto"/>
              <w:right w:val="single" w:sz="4" w:space="0" w:color="auto"/>
            </w:tcBorders>
            <w:hideMark/>
          </w:tcPr>
          <w:p w14:paraId="359177E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9 /71 (12.7%)</w:t>
            </w:r>
          </w:p>
        </w:tc>
        <w:tc>
          <w:tcPr>
            <w:tcW w:w="1928" w:type="dxa"/>
            <w:tcBorders>
              <w:top w:val="single" w:sz="4" w:space="0" w:color="auto"/>
              <w:left w:val="single" w:sz="4" w:space="0" w:color="auto"/>
              <w:bottom w:val="single" w:sz="4" w:space="0" w:color="auto"/>
              <w:right w:val="single" w:sz="4" w:space="0" w:color="auto"/>
            </w:tcBorders>
            <w:hideMark/>
          </w:tcPr>
          <w:p w14:paraId="28B0F74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6/31 (19.4%)</w:t>
            </w:r>
          </w:p>
        </w:tc>
        <w:tc>
          <w:tcPr>
            <w:tcW w:w="878" w:type="dxa"/>
            <w:tcBorders>
              <w:top w:val="single" w:sz="4" w:space="0" w:color="auto"/>
              <w:left w:val="single" w:sz="4" w:space="0" w:color="auto"/>
              <w:bottom w:val="single" w:sz="4" w:space="0" w:color="auto"/>
              <w:right w:val="single" w:sz="4" w:space="0" w:color="auto"/>
            </w:tcBorders>
            <w:hideMark/>
          </w:tcPr>
          <w:p w14:paraId="280B91B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7C23F643"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275B6E1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Dyslipidaemia</w:t>
            </w:r>
          </w:p>
        </w:tc>
        <w:tc>
          <w:tcPr>
            <w:tcW w:w="1928" w:type="dxa"/>
            <w:tcBorders>
              <w:top w:val="single" w:sz="4" w:space="0" w:color="auto"/>
              <w:left w:val="single" w:sz="4" w:space="0" w:color="auto"/>
              <w:bottom w:val="single" w:sz="4" w:space="0" w:color="auto"/>
              <w:right w:val="single" w:sz="4" w:space="0" w:color="auto"/>
            </w:tcBorders>
            <w:hideMark/>
          </w:tcPr>
          <w:p w14:paraId="799A67D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44 /102 (43.1%)</w:t>
            </w:r>
          </w:p>
        </w:tc>
        <w:tc>
          <w:tcPr>
            <w:tcW w:w="1928" w:type="dxa"/>
            <w:tcBorders>
              <w:top w:val="single" w:sz="4" w:space="0" w:color="auto"/>
              <w:left w:val="single" w:sz="4" w:space="0" w:color="auto"/>
              <w:bottom w:val="single" w:sz="4" w:space="0" w:color="auto"/>
              <w:right w:val="single" w:sz="4" w:space="0" w:color="auto"/>
            </w:tcBorders>
            <w:hideMark/>
          </w:tcPr>
          <w:p w14:paraId="338F02B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30/71  (42.3%)</w:t>
            </w:r>
          </w:p>
        </w:tc>
        <w:tc>
          <w:tcPr>
            <w:tcW w:w="1928" w:type="dxa"/>
            <w:tcBorders>
              <w:top w:val="single" w:sz="4" w:space="0" w:color="auto"/>
              <w:left w:val="single" w:sz="4" w:space="0" w:color="auto"/>
              <w:bottom w:val="single" w:sz="4" w:space="0" w:color="auto"/>
              <w:right w:val="single" w:sz="4" w:space="0" w:color="auto"/>
            </w:tcBorders>
            <w:hideMark/>
          </w:tcPr>
          <w:p w14:paraId="10671AB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14/31 (45.2%)</w:t>
            </w:r>
          </w:p>
        </w:tc>
        <w:tc>
          <w:tcPr>
            <w:tcW w:w="878" w:type="dxa"/>
            <w:tcBorders>
              <w:top w:val="single" w:sz="4" w:space="0" w:color="auto"/>
              <w:left w:val="single" w:sz="4" w:space="0" w:color="auto"/>
              <w:bottom w:val="single" w:sz="4" w:space="0" w:color="auto"/>
              <w:right w:val="single" w:sz="4" w:space="0" w:color="auto"/>
            </w:tcBorders>
            <w:hideMark/>
          </w:tcPr>
          <w:p w14:paraId="5E79A7B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725EA351"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0AAB5FE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Atrial Fibrillation</w:t>
            </w:r>
          </w:p>
        </w:tc>
        <w:tc>
          <w:tcPr>
            <w:tcW w:w="1928" w:type="dxa"/>
            <w:tcBorders>
              <w:top w:val="single" w:sz="4" w:space="0" w:color="auto"/>
              <w:left w:val="single" w:sz="4" w:space="0" w:color="auto"/>
              <w:bottom w:val="single" w:sz="4" w:space="0" w:color="auto"/>
              <w:right w:val="single" w:sz="4" w:space="0" w:color="auto"/>
            </w:tcBorders>
            <w:hideMark/>
          </w:tcPr>
          <w:p w14:paraId="6B8BDD0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21/102 (20.6%)</w:t>
            </w:r>
          </w:p>
        </w:tc>
        <w:tc>
          <w:tcPr>
            <w:tcW w:w="1928" w:type="dxa"/>
            <w:tcBorders>
              <w:top w:val="single" w:sz="4" w:space="0" w:color="auto"/>
              <w:left w:val="single" w:sz="4" w:space="0" w:color="auto"/>
              <w:bottom w:val="single" w:sz="4" w:space="0" w:color="auto"/>
              <w:right w:val="single" w:sz="4" w:space="0" w:color="auto"/>
            </w:tcBorders>
            <w:hideMark/>
          </w:tcPr>
          <w:p w14:paraId="6FABAF9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12/71  (16.9%)</w:t>
            </w:r>
          </w:p>
        </w:tc>
        <w:tc>
          <w:tcPr>
            <w:tcW w:w="1928" w:type="dxa"/>
            <w:tcBorders>
              <w:top w:val="single" w:sz="4" w:space="0" w:color="auto"/>
              <w:left w:val="single" w:sz="4" w:space="0" w:color="auto"/>
              <w:bottom w:val="single" w:sz="4" w:space="0" w:color="auto"/>
              <w:right w:val="single" w:sz="4" w:space="0" w:color="auto"/>
            </w:tcBorders>
            <w:hideMark/>
          </w:tcPr>
          <w:p w14:paraId="287BD70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9/31 (29.0%)</w:t>
            </w:r>
          </w:p>
        </w:tc>
        <w:tc>
          <w:tcPr>
            <w:tcW w:w="878" w:type="dxa"/>
            <w:tcBorders>
              <w:top w:val="single" w:sz="4" w:space="0" w:color="auto"/>
              <w:left w:val="single" w:sz="4" w:space="0" w:color="auto"/>
              <w:bottom w:val="single" w:sz="4" w:space="0" w:color="auto"/>
              <w:right w:val="single" w:sz="4" w:space="0" w:color="auto"/>
            </w:tcBorders>
            <w:hideMark/>
          </w:tcPr>
          <w:p w14:paraId="31F3D5D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3948CD3F"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33AC45F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Obesity</w:t>
            </w:r>
          </w:p>
        </w:tc>
        <w:tc>
          <w:tcPr>
            <w:tcW w:w="1928" w:type="dxa"/>
            <w:tcBorders>
              <w:top w:val="single" w:sz="4" w:space="0" w:color="auto"/>
              <w:left w:val="single" w:sz="4" w:space="0" w:color="auto"/>
              <w:bottom w:val="single" w:sz="4" w:space="0" w:color="auto"/>
              <w:right w:val="single" w:sz="4" w:space="0" w:color="auto"/>
            </w:tcBorders>
            <w:hideMark/>
          </w:tcPr>
          <w:p w14:paraId="730447E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19 /102 (21.1%)</w:t>
            </w:r>
          </w:p>
        </w:tc>
        <w:tc>
          <w:tcPr>
            <w:tcW w:w="1928" w:type="dxa"/>
            <w:tcBorders>
              <w:top w:val="single" w:sz="4" w:space="0" w:color="auto"/>
              <w:left w:val="single" w:sz="4" w:space="0" w:color="auto"/>
              <w:bottom w:val="single" w:sz="4" w:space="0" w:color="auto"/>
              <w:right w:val="single" w:sz="4" w:space="0" w:color="auto"/>
            </w:tcBorders>
            <w:hideMark/>
          </w:tcPr>
          <w:p w14:paraId="0648485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13/71  (20.6%)</w:t>
            </w:r>
          </w:p>
        </w:tc>
        <w:tc>
          <w:tcPr>
            <w:tcW w:w="1928" w:type="dxa"/>
            <w:tcBorders>
              <w:top w:val="single" w:sz="4" w:space="0" w:color="auto"/>
              <w:left w:val="single" w:sz="4" w:space="0" w:color="auto"/>
              <w:bottom w:val="single" w:sz="4" w:space="0" w:color="auto"/>
              <w:right w:val="single" w:sz="4" w:space="0" w:color="auto"/>
            </w:tcBorders>
            <w:hideMark/>
          </w:tcPr>
          <w:p w14:paraId="1E0BBAA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6/31 (22.2%)</w:t>
            </w:r>
          </w:p>
        </w:tc>
        <w:tc>
          <w:tcPr>
            <w:tcW w:w="878" w:type="dxa"/>
            <w:tcBorders>
              <w:top w:val="single" w:sz="4" w:space="0" w:color="auto"/>
              <w:left w:val="single" w:sz="4" w:space="0" w:color="auto"/>
              <w:bottom w:val="single" w:sz="4" w:space="0" w:color="auto"/>
              <w:right w:val="single" w:sz="4" w:space="0" w:color="auto"/>
            </w:tcBorders>
            <w:hideMark/>
          </w:tcPr>
          <w:p w14:paraId="4305318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2EB87D10"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38F6CA3F" w14:textId="77777777" w:rsidR="00F115AF" w:rsidRDefault="00F115AF">
            <w:pPr>
              <w:spacing w:line="480" w:lineRule="auto"/>
              <w:rPr>
                <w:rFonts w:asciiTheme="majorHAnsi" w:eastAsia="Times New Roman" w:hAnsiTheme="majorHAnsi" w:cs="Times New Roman"/>
                <w:color w:val="000000"/>
                <w:sz w:val="22"/>
                <w:szCs w:val="22"/>
              </w:rPr>
            </w:pPr>
            <w:r>
              <w:rPr>
                <w:rFonts w:ascii="Calibri" w:eastAsia="Times New Roman" w:hAnsi="Calibri"/>
                <w:color w:val="000000"/>
                <w:sz w:val="22"/>
                <w:szCs w:val="22"/>
              </w:rPr>
              <w:t>Depression</w:t>
            </w:r>
          </w:p>
        </w:tc>
        <w:tc>
          <w:tcPr>
            <w:tcW w:w="1928" w:type="dxa"/>
            <w:tcBorders>
              <w:top w:val="single" w:sz="4" w:space="0" w:color="auto"/>
              <w:left w:val="single" w:sz="4" w:space="0" w:color="auto"/>
              <w:bottom w:val="single" w:sz="4" w:space="0" w:color="auto"/>
              <w:right w:val="single" w:sz="4" w:space="0" w:color="auto"/>
            </w:tcBorders>
            <w:hideMark/>
          </w:tcPr>
          <w:p w14:paraId="6EB99CFD" w14:textId="77777777" w:rsidR="00F115AF" w:rsidRDefault="00F115AF">
            <w:pPr>
              <w:spacing w:line="480" w:lineRule="auto"/>
              <w:rPr>
                <w:rFonts w:asciiTheme="majorHAnsi" w:hAnsiTheme="majorHAnsi"/>
              </w:rPr>
            </w:pPr>
            <w:r>
              <w:rPr>
                <w:rFonts w:ascii="Calibri" w:eastAsia="Times New Roman" w:hAnsi="Calibri"/>
                <w:color w:val="000000"/>
                <w:sz w:val="22"/>
                <w:szCs w:val="22"/>
              </w:rPr>
              <w:t>20/102 (19.6%)</w:t>
            </w:r>
          </w:p>
        </w:tc>
        <w:tc>
          <w:tcPr>
            <w:tcW w:w="1928" w:type="dxa"/>
            <w:tcBorders>
              <w:top w:val="single" w:sz="4" w:space="0" w:color="auto"/>
              <w:left w:val="single" w:sz="4" w:space="0" w:color="auto"/>
              <w:bottom w:val="single" w:sz="4" w:space="0" w:color="auto"/>
              <w:right w:val="single" w:sz="4" w:space="0" w:color="auto"/>
            </w:tcBorders>
            <w:hideMark/>
          </w:tcPr>
          <w:p w14:paraId="61C8886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15/71  (21.1%)</w:t>
            </w:r>
          </w:p>
        </w:tc>
        <w:tc>
          <w:tcPr>
            <w:tcW w:w="1928" w:type="dxa"/>
            <w:tcBorders>
              <w:top w:val="single" w:sz="4" w:space="0" w:color="auto"/>
              <w:left w:val="single" w:sz="4" w:space="0" w:color="auto"/>
              <w:bottom w:val="single" w:sz="4" w:space="0" w:color="auto"/>
              <w:right w:val="single" w:sz="4" w:space="0" w:color="auto"/>
            </w:tcBorders>
            <w:hideMark/>
          </w:tcPr>
          <w:p w14:paraId="65259FD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5/31 (16.1%)</w:t>
            </w:r>
          </w:p>
        </w:tc>
        <w:tc>
          <w:tcPr>
            <w:tcW w:w="878" w:type="dxa"/>
            <w:tcBorders>
              <w:top w:val="single" w:sz="4" w:space="0" w:color="auto"/>
              <w:left w:val="single" w:sz="4" w:space="0" w:color="auto"/>
              <w:bottom w:val="single" w:sz="4" w:space="0" w:color="auto"/>
              <w:right w:val="single" w:sz="4" w:space="0" w:color="auto"/>
            </w:tcBorders>
            <w:hideMark/>
          </w:tcPr>
          <w:p w14:paraId="6F7320A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2A76F0BE"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76A292EB" w14:textId="77777777" w:rsidR="00F115AF" w:rsidRDefault="00F115AF">
            <w:pPr>
              <w:spacing w:line="480" w:lineRule="auto"/>
              <w:rPr>
                <w:rFonts w:asciiTheme="majorHAnsi" w:eastAsia="Times New Roman" w:hAnsiTheme="majorHAnsi" w:cs="Times New Roman"/>
                <w:color w:val="000000"/>
                <w:sz w:val="22"/>
                <w:szCs w:val="22"/>
              </w:rPr>
            </w:pPr>
            <w:r>
              <w:rPr>
                <w:rFonts w:ascii="Calibri" w:eastAsia="Times New Roman" w:hAnsi="Calibri"/>
                <w:color w:val="000000"/>
                <w:sz w:val="22"/>
                <w:szCs w:val="22"/>
              </w:rPr>
              <w:t>Dysthyroidism</w:t>
            </w:r>
          </w:p>
        </w:tc>
        <w:tc>
          <w:tcPr>
            <w:tcW w:w="1928" w:type="dxa"/>
            <w:tcBorders>
              <w:top w:val="single" w:sz="4" w:space="0" w:color="auto"/>
              <w:left w:val="single" w:sz="4" w:space="0" w:color="auto"/>
              <w:bottom w:val="single" w:sz="4" w:space="0" w:color="auto"/>
              <w:right w:val="single" w:sz="4" w:space="0" w:color="auto"/>
            </w:tcBorders>
            <w:hideMark/>
          </w:tcPr>
          <w:p w14:paraId="55EB45D8" w14:textId="77777777" w:rsidR="00F115AF" w:rsidRDefault="00F115AF">
            <w:pPr>
              <w:spacing w:line="480" w:lineRule="auto"/>
              <w:rPr>
                <w:rFonts w:asciiTheme="majorHAnsi" w:hAnsiTheme="majorHAnsi"/>
              </w:rPr>
            </w:pPr>
            <w:r>
              <w:rPr>
                <w:rFonts w:ascii="Calibri" w:eastAsia="Times New Roman" w:hAnsi="Calibri"/>
                <w:color w:val="000000"/>
                <w:sz w:val="22"/>
                <w:szCs w:val="22"/>
              </w:rPr>
              <w:t>13/102 (12.7%)</w:t>
            </w:r>
          </w:p>
        </w:tc>
        <w:tc>
          <w:tcPr>
            <w:tcW w:w="1928" w:type="dxa"/>
            <w:tcBorders>
              <w:top w:val="single" w:sz="4" w:space="0" w:color="auto"/>
              <w:left w:val="single" w:sz="4" w:space="0" w:color="auto"/>
              <w:bottom w:val="single" w:sz="4" w:space="0" w:color="auto"/>
              <w:right w:val="single" w:sz="4" w:space="0" w:color="auto"/>
            </w:tcBorders>
            <w:hideMark/>
          </w:tcPr>
          <w:p w14:paraId="3DE34EB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10/71  (14.1%)</w:t>
            </w:r>
          </w:p>
        </w:tc>
        <w:tc>
          <w:tcPr>
            <w:tcW w:w="1928" w:type="dxa"/>
            <w:tcBorders>
              <w:top w:val="single" w:sz="4" w:space="0" w:color="auto"/>
              <w:left w:val="single" w:sz="4" w:space="0" w:color="auto"/>
              <w:bottom w:val="single" w:sz="4" w:space="0" w:color="auto"/>
              <w:right w:val="single" w:sz="4" w:space="0" w:color="auto"/>
            </w:tcBorders>
            <w:hideMark/>
          </w:tcPr>
          <w:p w14:paraId="544F240F"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3/31 (9.7%)</w:t>
            </w:r>
          </w:p>
        </w:tc>
        <w:tc>
          <w:tcPr>
            <w:tcW w:w="878" w:type="dxa"/>
            <w:tcBorders>
              <w:top w:val="single" w:sz="4" w:space="0" w:color="auto"/>
              <w:left w:val="single" w:sz="4" w:space="0" w:color="auto"/>
              <w:bottom w:val="single" w:sz="4" w:space="0" w:color="auto"/>
              <w:right w:val="single" w:sz="4" w:space="0" w:color="auto"/>
            </w:tcBorders>
            <w:hideMark/>
          </w:tcPr>
          <w:p w14:paraId="7B27370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28168A8E"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2FFE83C3"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Previous VTE/PE</w:t>
            </w:r>
          </w:p>
        </w:tc>
        <w:tc>
          <w:tcPr>
            <w:tcW w:w="1928" w:type="dxa"/>
            <w:tcBorders>
              <w:top w:val="single" w:sz="4" w:space="0" w:color="auto"/>
              <w:left w:val="single" w:sz="4" w:space="0" w:color="auto"/>
              <w:bottom w:val="single" w:sz="4" w:space="0" w:color="auto"/>
              <w:right w:val="single" w:sz="4" w:space="0" w:color="auto"/>
            </w:tcBorders>
            <w:hideMark/>
          </w:tcPr>
          <w:p w14:paraId="5211A86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 /102 (6.9%)</w:t>
            </w:r>
          </w:p>
        </w:tc>
        <w:tc>
          <w:tcPr>
            <w:tcW w:w="1928" w:type="dxa"/>
            <w:tcBorders>
              <w:top w:val="single" w:sz="4" w:space="0" w:color="auto"/>
              <w:left w:val="single" w:sz="4" w:space="0" w:color="auto"/>
              <w:bottom w:val="single" w:sz="4" w:space="0" w:color="auto"/>
              <w:right w:val="single" w:sz="4" w:space="0" w:color="auto"/>
            </w:tcBorders>
            <w:hideMark/>
          </w:tcPr>
          <w:p w14:paraId="0A766C16"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4/71  (5.6%)</w:t>
            </w:r>
          </w:p>
        </w:tc>
        <w:tc>
          <w:tcPr>
            <w:tcW w:w="1928" w:type="dxa"/>
            <w:tcBorders>
              <w:top w:val="single" w:sz="4" w:space="0" w:color="auto"/>
              <w:left w:val="single" w:sz="4" w:space="0" w:color="auto"/>
              <w:bottom w:val="single" w:sz="4" w:space="0" w:color="auto"/>
              <w:right w:val="single" w:sz="4" w:space="0" w:color="auto"/>
            </w:tcBorders>
            <w:hideMark/>
          </w:tcPr>
          <w:p w14:paraId="7C1D3459"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3/31 (9.7%)</w:t>
            </w:r>
          </w:p>
        </w:tc>
        <w:tc>
          <w:tcPr>
            <w:tcW w:w="878" w:type="dxa"/>
            <w:tcBorders>
              <w:top w:val="single" w:sz="4" w:space="0" w:color="auto"/>
              <w:left w:val="single" w:sz="4" w:space="0" w:color="auto"/>
              <w:bottom w:val="single" w:sz="4" w:space="0" w:color="auto"/>
              <w:right w:val="single" w:sz="4" w:space="0" w:color="auto"/>
            </w:tcBorders>
            <w:hideMark/>
          </w:tcPr>
          <w:p w14:paraId="076E288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4BEDE441"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03CE418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Learning Disabilities</w:t>
            </w:r>
          </w:p>
        </w:tc>
        <w:tc>
          <w:tcPr>
            <w:tcW w:w="1928" w:type="dxa"/>
            <w:tcBorders>
              <w:top w:val="single" w:sz="4" w:space="0" w:color="auto"/>
              <w:left w:val="single" w:sz="4" w:space="0" w:color="auto"/>
              <w:bottom w:val="single" w:sz="4" w:space="0" w:color="auto"/>
              <w:right w:val="single" w:sz="4" w:space="0" w:color="auto"/>
            </w:tcBorders>
            <w:hideMark/>
          </w:tcPr>
          <w:p w14:paraId="1AB5A181"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6/102 (</w:t>
            </w:r>
            <w:r>
              <w:rPr>
                <w:rFonts w:ascii="Calibri" w:eastAsia="Times New Roman" w:hAnsi="Calibri" w:cs="Times New Roman"/>
                <w:color w:val="000000"/>
                <w:sz w:val="22"/>
                <w:szCs w:val="22"/>
              </w:rPr>
              <w:t>5.9%)</w:t>
            </w:r>
          </w:p>
        </w:tc>
        <w:tc>
          <w:tcPr>
            <w:tcW w:w="1928" w:type="dxa"/>
            <w:tcBorders>
              <w:top w:val="single" w:sz="4" w:space="0" w:color="auto"/>
              <w:left w:val="single" w:sz="4" w:space="0" w:color="auto"/>
              <w:bottom w:val="single" w:sz="4" w:space="0" w:color="auto"/>
              <w:right w:val="single" w:sz="4" w:space="0" w:color="auto"/>
            </w:tcBorders>
            <w:hideMark/>
          </w:tcPr>
          <w:p w14:paraId="45019F30"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3/71  (4.2%)</w:t>
            </w:r>
          </w:p>
        </w:tc>
        <w:tc>
          <w:tcPr>
            <w:tcW w:w="1928" w:type="dxa"/>
            <w:tcBorders>
              <w:top w:val="single" w:sz="4" w:space="0" w:color="auto"/>
              <w:left w:val="single" w:sz="4" w:space="0" w:color="auto"/>
              <w:bottom w:val="single" w:sz="4" w:space="0" w:color="auto"/>
              <w:right w:val="single" w:sz="4" w:space="0" w:color="auto"/>
            </w:tcBorders>
            <w:hideMark/>
          </w:tcPr>
          <w:p w14:paraId="6A44DFA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3/31 (9.7%)</w:t>
            </w:r>
          </w:p>
        </w:tc>
        <w:tc>
          <w:tcPr>
            <w:tcW w:w="878" w:type="dxa"/>
            <w:tcBorders>
              <w:top w:val="single" w:sz="4" w:space="0" w:color="auto"/>
              <w:left w:val="single" w:sz="4" w:space="0" w:color="auto"/>
              <w:bottom w:val="single" w:sz="4" w:space="0" w:color="auto"/>
              <w:right w:val="single" w:sz="4" w:space="0" w:color="auto"/>
            </w:tcBorders>
            <w:hideMark/>
          </w:tcPr>
          <w:p w14:paraId="6F452D7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32715616"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005A6A1C"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Schizophrenia</w:t>
            </w:r>
          </w:p>
        </w:tc>
        <w:tc>
          <w:tcPr>
            <w:tcW w:w="1928" w:type="dxa"/>
            <w:tcBorders>
              <w:top w:val="single" w:sz="4" w:space="0" w:color="auto"/>
              <w:left w:val="single" w:sz="4" w:space="0" w:color="auto"/>
              <w:bottom w:val="single" w:sz="4" w:space="0" w:color="auto"/>
              <w:right w:val="single" w:sz="4" w:space="0" w:color="auto"/>
            </w:tcBorders>
            <w:hideMark/>
          </w:tcPr>
          <w:p w14:paraId="27A55524"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9/102 (</w:t>
            </w:r>
            <w:r>
              <w:rPr>
                <w:rFonts w:ascii="Calibri" w:eastAsia="Times New Roman" w:hAnsi="Calibri" w:cs="Times New Roman"/>
                <w:color w:val="000000"/>
                <w:sz w:val="22"/>
                <w:szCs w:val="22"/>
              </w:rPr>
              <w:t>8.8%)</w:t>
            </w:r>
          </w:p>
        </w:tc>
        <w:tc>
          <w:tcPr>
            <w:tcW w:w="1928" w:type="dxa"/>
            <w:tcBorders>
              <w:top w:val="single" w:sz="4" w:space="0" w:color="auto"/>
              <w:left w:val="single" w:sz="4" w:space="0" w:color="auto"/>
              <w:bottom w:val="single" w:sz="4" w:space="0" w:color="auto"/>
              <w:right w:val="single" w:sz="4" w:space="0" w:color="auto"/>
            </w:tcBorders>
            <w:hideMark/>
          </w:tcPr>
          <w:p w14:paraId="0CC01CE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7 /71  (9.9%)</w:t>
            </w:r>
          </w:p>
        </w:tc>
        <w:tc>
          <w:tcPr>
            <w:tcW w:w="1928" w:type="dxa"/>
            <w:tcBorders>
              <w:top w:val="single" w:sz="4" w:space="0" w:color="auto"/>
              <w:left w:val="single" w:sz="4" w:space="0" w:color="auto"/>
              <w:bottom w:val="single" w:sz="4" w:space="0" w:color="auto"/>
              <w:right w:val="single" w:sz="4" w:space="0" w:color="auto"/>
            </w:tcBorders>
            <w:hideMark/>
          </w:tcPr>
          <w:p w14:paraId="41225F9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2/31 ( 6.5%)</w:t>
            </w:r>
          </w:p>
        </w:tc>
        <w:tc>
          <w:tcPr>
            <w:tcW w:w="878" w:type="dxa"/>
            <w:tcBorders>
              <w:top w:val="single" w:sz="4" w:space="0" w:color="auto"/>
              <w:left w:val="single" w:sz="4" w:space="0" w:color="auto"/>
              <w:bottom w:val="single" w:sz="4" w:space="0" w:color="auto"/>
              <w:right w:val="single" w:sz="4" w:space="0" w:color="auto"/>
            </w:tcBorders>
            <w:hideMark/>
          </w:tcPr>
          <w:p w14:paraId="5EBA76E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488ED897" w14:textId="77777777" w:rsidTr="00F115AF">
        <w:trPr>
          <w:trHeight w:val="268"/>
        </w:trPr>
        <w:tc>
          <w:tcPr>
            <w:tcW w:w="1951" w:type="dxa"/>
            <w:tcBorders>
              <w:top w:val="single" w:sz="4" w:space="0" w:color="auto"/>
              <w:left w:val="single" w:sz="4" w:space="0" w:color="auto"/>
              <w:bottom w:val="single" w:sz="4" w:space="0" w:color="auto"/>
              <w:right w:val="single" w:sz="4" w:space="0" w:color="auto"/>
            </w:tcBorders>
            <w:hideMark/>
          </w:tcPr>
          <w:p w14:paraId="41006AB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Parkinson's disease</w:t>
            </w:r>
          </w:p>
        </w:tc>
        <w:tc>
          <w:tcPr>
            <w:tcW w:w="1928" w:type="dxa"/>
            <w:tcBorders>
              <w:top w:val="single" w:sz="4" w:space="0" w:color="auto"/>
              <w:left w:val="single" w:sz="4" w:space="0" w:color="auto"/>
              <w:bottom w:val="single" w:sz="4" w:space="0" w:color="auto"/>
              <w:right w:val="single" w:sz="4" w:space="0" w:color="auto"/>
            </w:tcBorders>
            <w:hideMark/>
          </w:tcPr>
          <w:p w14:paraId="480B2827"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5/102 (</w:t>
            </w:r>
            <w:r>
              <w:rPr>
                <w:rFonts w:ascii="Calibri" w:eastAsia="Times New Roman" w:hAnsi="Calibri" w:cs="Times New Roman"/>
                <w:color w:val="000000"/>
                <w:sz w:val="22"/>
                <w:szCs w:val="22"/>
              </w:rPr>
              <w:t>4.9%)</w:t>
            </w:r>
          </w:p>
        </w:tc>
        <w:tc>
          <w:tcPr>
            <w:tcW w:w="1928" w:type="dxa"/>
            <w:tcBorders>
              <w:top w:val="single" w:sz="4" w:space="0" w:color="auto"/>
              <w:left w:val="single" w:sz="4" w:space="0" w:color="auto"/>
              <w:bottom w:val="single" w:sz="4" w:space="0" w:color="auto"/>
              <w:right w:val="single" w:sz="4" w:space="0" w:color="auto"/>
            </w:tcBorders>
            <w:hideMark/>
          </w:tcPr>
          <w:p w14:paraId="6F103E0D"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3/71  (4.2%)</w:t>
            </w:r>
          </w:p>
        </w:tc>
        <w:tc>
          <w:tcPr>
            <w:tcW w:w="1928" w:type="dxa"/>
            <w:tcBorders>
              <w:top w:val="single" w:sz="4" w:space="0" w:color="auto"/>
              <w:left w:val="single" w:sz="4" w:space="0" w:color="auto"/>
              <w:bottom w:val="single" w:sz="4" w:space="0" w:color="auto"/>
              <w:right w:val="single" w:sz="4" w:space="0" w:color="auto"/>
            </w:tcBorders>
            <w:hideMark/>
          </w:tcPr>
          <w:p w14:paraId="5D29696A"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2/31 (6.5%)</w:t>
            </w:r>
          </w:p>
        </w:tc>
        <w:tc>
          <w:tcPr>
            <w:tcW w:w="878" w:type="dxa"/>
            <w:tcBorders>
              <w:top w:val="single" w:sz="4" w:space="0" w:color="auto"/>
              <w:left w:val="single" w:sz="4" w:space="0" w:color="auto"/>
              <w:bottom w:val="single" w:sz="4" w:space="0" w:color="auto"/>
              <w:right w:val="single" w:sz="4" w:space="0" w:color="auto"/>
            </w:tcBorders>
            <w:hideMark/>
          </w:tcPr>
          <w:p w14:paraId="18BDE88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r w:rsidR="00F115AF" w14:paraId="0D6EF954" w14:textId="77777777" w:rsidTr="00F115AF">
        <w:trPr>
          <w:trHeight w:val="285"/>
        </w:trPr>
        <w:tc>
          <w:tcPr>
            <w:tcW w:w="1951" w:type="dxa"/>
            <w:tcBorders>
              <w:top w:val="single" w:sz="4" w:space="0" w:color="auto"/>
              <w:left w:val="single" w:sz="4" w:space="0" w:color="auto"/>
              <w:bottom w:val="single" w:sz="4" w:space="0" w:color="auto"/>
              <w:right w:val="single" w:sz="4" w:space="0" w:color="auto"/>
            </w:tcBorders>
            <w:hideMark/>
          </w:tcPr>
          <w:p w14:paraId="2B17E642"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Liver disease</w:t>
            </w:r>
          </w:p>
        </w:tc>
        <w:tc>
          <w:tcPr>
            <w:tcW w:w="1928" w:type="dxa"/>
            <w:tcBorders>
              <w:top w:val="single" w:sz="4" w:space="0" w:color="auto"/>
              <w:left w:val="single" w:sz="4" w:space="0" w:color="auto"/>
              <w:bottom w:val="single" w:sz="4" w:space="0" w:color="auto"/>
              <w:right w:val="single" w:sz="4" w:space="0" w:color="auto"/>
            </w:tcBorders>
            <w:hideMark/>
          </w:tcPr>
          <w:p w14:paraId="4EE93DCE"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 /102 (</w:t>
            </w:r>
            <w:r>
              <w:rPr>
                <w:rFonts w:ascii="Calibri" w:eastAsia="Times New Roman" w:hAnsi="Calibri" w:cs="Times New Roman"/>
                <w:color w:val="000000"/>
                <w:sz w:val="22"/>
                <w:szCs w:val="22"/>
              </w:rPr>
              <w:t>3.9%)</w:t>
            </w:r>
          </w:p>
        </w:tc>
        <w:tc>
          <w:tcPr>
            <w:tcW w:w="1928" w:type="dxa"/>
            <w:tcBorders>
              <w:top w:val="single" w:sz="4" w:space="0" w:color="auto"/>
              <w:left w:val="single" w:sz="4" w:space="0" w:color="auto"/>
              <w:bottom w:val="single" w:sz="4" w:space="0" w:color="auto"/>
              <w:right w:val="single" w:sz="4" w:space="0" w:color="auto"/>
            </w:tcBorders>
            <w:hideMark/>
          </w:tcPr>
          <w:p w14:paraId="64F4DAC8"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4/71  (5.6%)</w:t>
            </w:r>
          </w:p>
        </w:tc>
        <w:tc>
          <w:tcPr>
            <w:tcW w:w="1928" w:type="dxa"/>
            <w:tcBorders>
              <w:top w:val="single" w:sz="4" w:space="0" w:color="auto"/>
              <w:left w:val="single" w:sz="4" w:space="0" w:color="auto"/>
              <w:bottom w:val="single" w:sz="4" w:space="0" w:color="auto"/>
              <w:right w:val="single" w:sz="4" w:space="0" w:color="auto"/>
            </w:tcBorders>
            <w:hideMark/>
          </w:tcPr>
          <w:p w14:paraId="207A076B"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0/31 (0%)</w:t>
            </w:r>
          </w:p>
        </w:tc>
        <w:tc>
          <w:tcPr>
            <w:tcW w:w="878" w:type="dxa"/>
            <w:tcBorders>
              <w:top w:val="single" w:sz="4" w:space="0" w:color="auto"/>
              <w:left w:val="single" w:sz="4" w:space="0" w:color="auto"/>
              <w:bottom w:val="single" w:sz="4" w:space="0" w:color="auto"/>
              <w:right w:val="single" w:sz="4" w:space="0" w:color="auto"/>
            </w:tcBorders>
            <w:hideMark/>
          </w:tcPr>
          <w:p w14:paraId="047B68C5" w14:textId="77777777" w:rsidR="00F115AF" w:rsidRDefault="00F115AF">
            <w:pPr>
              <w:spacing w:line="480" w:lineRule="auto"/>
              <w:rPr>
                <w:rFonts w:ascii="Calibri" w:eastAsia="Times New Roman" w:hAnsi="Calibri"/>
                <w:color w:val="000000"/>
                <w:sz w:val="22"/>
                <w:szCs w:val="22"/>
              </w:rPr>
            </w:pPr>
            <w:r>
              <w:rPr>
                <w:rFonts w:ascii="Calibri" w:eastAsia="Times New Roman" w:hAnsi="Calibri"/>
                <w:color w:val="000000"/>
                <w:sz w:val="22"/>
                <w:szCs w:val="22"/>
              </w:rPr>
              <w:t>N.S.</w:t>
            </w:r>
          </w:p>
        </w:tc>
      </w:tr>
    </w:tbl>
    <w:p w14:paraId="4DFD9DFA" w14:textId="5E8593EE" w:rsidR="00F115AF" w:rsidRDefault="00F115AF" w:rsidP="00982414">
      <w:pPr>
        <w:widowControl w:val="0"/>
        <w:autoSpaceDE w:val="0"/>
        <w:autoSpaceDN w:val="0"/>
        <w:adjustRightInd w:val="0"/>
        <w:spacing w:line="480" w:lineRule="auto"/>
        <w:ind w:left="640" w:hanging="640"/>
        <w:rPr>
          <w:rFonts w:asciiTheme="majorHAnsi" w:hAnsiTheme="majorHAnsi"/>
        </w:rPr>
      </w:pPr>
    </w:p>
    <w:p w14:paraId="4588EEBF" w14:textId="77777777" w:rsidR="00F115AF" w:rsidRDefault="00F115AF">
      <w:pPr>
        <w:rPr>
          <w:rFonts w:asciiTheme="majorHAnsi" w:hAnsiTheme="majorHAnsi"/>
        </w:rPr>
      </w:pPr>
      <w:r>
        <w:rPr>
          <w:rFonts w:asciiTheme="majorHAnsi" w:hAnsiTheme="majorHAnsi"/>
        </w:rPr>
        <w:br w:type="page"/>
      </w:r>
    </w:p>
    <w:p w14:paraId="75A1E2C5" w14:textId="47A05CFC" w:rsidR="00F115AF" w:rsidRDefault="00F115AF" w:rsidP="00982414">
      <w:pPr>
        <w:widowControl w:val="0"/>
        <w:autoSpaceDE w:val="0"/>
        <w:autoSpaceDN w:val="0"/>
        <w:adjustRightInd w:val="0"/>
        <w:spacing w:line="480" w:lineRule="auto"/>
        <w:ind w:left="640" w:hanging="640"/>
        <w:rPr>
          <w:rFonts w:asciiTheme="majorHAnsi" w:hAnsiTheme="majorHAnsi"/>
        </w:rPr>
      </w:pPr>
      <w:r>
        <w:rPr>
          <w:rFonts w:asciiTheme="majorHAnsi" w:hAnsiTheme="majorHAnsi"/>
          <w:b/>
        </w:rPr>
        <w:t>Supplementary Table 2</w:t>
      </w:r>
    </w:p>
    <w:tbl>
      <w:tblPr>
        <w:tblStyle w:val="TableGrid2"/>
        <w:tblW w:w="0" w:type="auto"/>
        <w:tblInd w:w="0" w:type="dxa"/>
        <w:tblLook w:val="04A0" w:firstRow="1" w:lastRow="0" w:firstColumn="1" w:lastColumn="0" w:noHBand="0" w:noVBand="1"/>
      </w:tblPr>
      <w:tblGrid>
        <w:gridCol w:w="903"/>
        <w:gridCol w:w="1332"/>
        <w:gridCol w:w="1842"/>
        <w:gridCol w:w="1843"/>
        <w:gridCol w:w="1843"/>
        <w:gridCol w:w="753"/>
      </w:tblGrid>
      <w:tr w:rsidR="00F115AF" w:rsidRPr="00F115AF" w14:paraId="7BC158F3" w14:textId="77777777" w:rsidTr="00F115AF">
        <w:trPr>
          <w:trHeight w:val="616"/>
        </w:trPr>
        <w:tc>
          <w:tcPr>
            <w:tcW w:w="2235" w:type="dxa"/>
            <w:gridSpan w:val="2"/>
            <w:tcBorders>
              <w:top w:val="single" w:sz="4" w:space="0" w:color="auto"/>
              <w:left w:val="single" w:sz="4" w:space="0" w:color="auto"/>
              <w:bottom w:val="single" w:sz="4" w:space="0" w:color="auto"/>
              <w:right w:val="single" w:sz="4" w:space="0" w:color="auto"/>
            </w:tcBorders>
          </w:tcPr>
          <w:p w14:paraId="798C8648" w14:textId="77777777" w:rsidR="00F115AF" w:rsidRPr="00F115AF" w:rsidRDefault="00F115AF" w:rsidP="00F115AF">
            <w:pPr>
              <w:spacing w:line="480" w:lineRule="auto"/>
              <w:rPr>
                <w:rFonts w:ascii="Calibri" w:eastAsia="Times New Roman" w:hAnsi="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1F087D3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All positive swabs</w:t>
            </w:r>
          </w:p>
          <w:p w14:paraId="23B90AB1" w14:textId="77777777" w:rsidR="00F115AF" w:rsidRPr="00F115AF" w:rsidRDefault="00F115AF" w:rsidP="00F115AF">
            <w:pPr>
              <w:spacing w:line="480" w:lineRule="auto"/>
              <w:rPr>
                <w:rFonts w:ascii="Calibri" w:hAnsi="Calibri"/>
                <w:b/>
                <w:sz w:val="22"/>
                <w:szCs w:val="22"/>
              </w:rPr>
            </w:pPr>
            <w:r w:rsidRPr="00F115AF">
              <w:rPr>
                <w:rFonts w:ascii="Calibri" w:eastAsia="Times New Roman" w:hAnsi="Calibri"/>
                <w:color w:val="000000"/>
                <w:sz w:val="22"/>
                <w:szCs w:val="22"/>
              </w:rPr>
              <w:t>(n=102)</w:t>
            </w:r>
          </w:p>
        </w:tc>
        <w:tc>
          <w:tcPr>
            <w:tcW w:w="1843" w:type="dxa"/>
            <w:tcBorders>
              <w:top w:val="single" w:sz="4" w:space="0" w:color="auto"/>
              <w:left w:val="single" w:sz="4" w:space="0" w:color="auto"/>
              <w:bottom w:val="single" w:sz="4" w:space="0" w:color="auto"/>
              <w:right w:val="single" w:sz="4" w:space="0" w:color="auto"/>
            </w:tcBorders>
            <w:hideMark/>
          </w:tcPr>
          <w:p w14:paraId="0CDBDC0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Survived</w:t>
            </w:r>
          </w:p>
          <w:p w14:paraId="6993D293" w14:textId="77777777" w:rsidR="00F115AF" w:rsidRPr="00F115AF" w:rsidRDefault="00F115AF" w:rsidP="00F115AF">
            <w:pPr>
              <w:spacing w:line="480" w:lineRule="auto"/>
              <w:ind w:hanging="720"/>
              <w:rPr>
                <w:rFonts w:ascii="Calibri" w:hAnsi="Calibri"/>
                <w:b/>
                <w:sz w:val="22"/>
                <w:szCs w:val="22"/>
              </w:rPr>
            </w:pPr>
            <w:r w:rsidRPr="00F115AF">
              <w:rPr>
                <w:rFonts w:ascii="Calibri" w:eastAsia="Times New Roman" w:hAnsi="Calibri"/>
                <w:color w:val="000000"/>
                <w:sz w:val="22"/>
                <w:szCs w:val="22"/>
              </w:rPr>
              <w:t>(n=71)</w:t>
            </w:r>
          </w:p>
        </w:tc>
        <w:tc>
          <w:tcPr>
            <w:tcW w:w="1843" w:type="dxa"/>
            <w:tcBorders>
              <w:top w:val="single" w:sz="4" w:space="0" w:color="auto"/>
              <w:left w:val="single" w:sz="4" w:space="0" w:color="auto"/>
              <w:bottom w:val="single" w:sz="4" w:space="0" w:color="auto"/>
              <w:right w:val="single" w:sz="4" w:space="0" w:color="auto"/>
            </w:tcBorders>
            <w:hideMark/>
          </w:tcPr>
          <w:p w14:paraId="670244CA"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 xml:space="preserve">Died </w:t>
            </w:r>
          </w:p>
          <w:p w14:paraId="5D15EF18"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(n=31)</w:t>
            </w:r>
          </w:p>
        </w:tc>
        <w:tc>
          <w:tcPr>
            <w:tcW w:w="753" w:type="dxa"/>
            <w:tcBorders>
              <w:top w:val="single" w:sz="4" w:space="0" w:color="auto"/>
              <w:left w:val="single" w:sz="4" w:space="0" w:color="auto"/>
              <w:bottom w:val="single" w:sz="4" w:space="0" w:color="auto"/>
              <w:right w:val="single" w:sz="4" w:space="0" w:color="auto"/>
            </w:tcBorders>
            <w:hideMark/>
          </w:tcPr>
          <w:p w14:paraId="2D825345" w14:textId="77777777" w:rsidR="00F115AF" w:rsidRPr="00F115AF" w:rsidRDefault="00F115AF" w:rsidP="00F115AF">
            <w:pPr>
              <w:spacing w:line="480" w:lineRule="auto"/>
              <w:ind w:hanging="720"/>
              <w:rPr>
                <w:rFonts w:ascii="Calibri" w:hAnsi="Calibri"/>
                <w:sz w:val="22"/>
                <w:szCs w:val="22"/>
              </w:rPr>
            </w:pPr>
            <w:r w:rsidRPr="00F115AF">
              <w:rPr>
                <w:rFonts w:ascii="Calibri" w:eastAsia="Times New Roman" w:hAnsi="Calibri"/>
                <w:color w:val="000000"/>
                <w:sz w:val="22"/>
                <w:szCs w:val="22"/>
              </w:rPr>
              <w:t>P</w:t>
            </w:r>
          </w:p>
        </w:tc>
      </w:tr>
      <w:tr w:rsidR="00F115AF" w:rsidRPr="00F115AF" w14:paraId="1FCBA011"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437E6F25"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Clinical presentation</w:t>
            </w:r>
          </w:p>
        </w:tc>
        <w:tc>
          <w:tcPr>
            <w:tcW w:w="1842" w:type="dxa"/>
            <w:tcBorders>
              <w:top w:val="single" w:sz="4" w:space="0" w:color="auto"/>
              <w:left w:val="single" w:sz="4" w:space="0" w:color="auto"/>
              <w:bottom w:val="single" w:sz="4" w:space="0" w:color="auto"/>
              <w:right w:val="single" w:sz="4" w:space="0" w:color="auto"/>
            </w:tcBorders>
          </w:tcPr>
          <w:p w14:paraId="647AA47F"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00595F8" w14:textId="77777777" w:rsidR="00F115AF" w:rsidRPr="00F115AF" w:rsidRDefault="00F115AF" w:rsidP="00F115AF">
            <w:pPr>
              <w:spacing w:line="480" w:lineRule="auto"/>
              <w:ind w:hanging="720"/>
              <w:rPr>
                <w:rFonts w:ascii="Calibri" w:eastAsia="Times New Roman" w:hAnsi="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573246" w14:textId="77777777" w:rsidR="00F115AF" w:rsidRPr="00F115AF" w:rsidRDefault="00F115AF" w:rsidP="00F115AF">
            <w:pPr>
              <w:spacing w:line="480" w:lineRule="auto"/>
              <w:ind w:hanging="720"/>
              <w:rPr>
                <w:rFonts w:ascii="Calibri" w:eastAsia="Times New Roman" w:hAnsi="Calibri"/>
                <w:color w:val="000000"/>
                <w:sz w:val="22"/>
                <w:szCs w:val="22"/>
              </w:rPr>
            </w:pPr>
          </w:p>
        </w:tc>
        <w:tc>
          <w:tcPr>
            <w:tcW w:w="753" w:type="dxa"/>
            <w:tcBorders>
              <w:top w:val="single" w:sz="4" w:space="0" w:color="auto"/>
              <w:left w:val="single" w:sz="4" w:space="0" w:color="auto"/>
              <w:bottom w:val="single" w:sz="4" w:space="0" w:color="auto"/>
              <w:right w:val="single" w:sz="4" w:space="0" w:color="auto"/>
            </w:tcBorders>
          </w:tcPr>
          <w:p w14:paraId="09305F7B" w14:textId="77777777" w:rsidR="00F115AF" w:rsidRPr="00F115AF" w:rsidRDefault="00F115AF" w:rsidP="00F115AF">
            <w:pPr>
              <w:spacing w:line="480" w:lineRule="auto"/>
              <w:ind w:hanging="720"/>
              <w:rPr>
                <w:rFonts w:ascii="Calibri" w:eastAsia="Times New Roman" w:hAnsi="Calibri"/>
                <w:color w:val="000000"/>
                <w:sz w:val="22"/>
                <w:szCs w:val="22"/>
              </w:rPr>
            </w:pPr>
          </w:p>
        </w:tc>
      </w:tr>
      <w:tr w:rsidR="00F115AF" w:rsidRPr="00F115AF" w14:paraId="30A8B4FD"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61C87BD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Fever</w:t>
            </w:r>
          </w:p>
        </w:tc>
        <w:tc>
          <w:tcPr>
            <w:tcW w:w="1842" w:type="dxa"/>
            <w:tcBorders>
              <w:top w:val="single" w:sz="4" w:space="0" w:color="auto"/>
              <w:left w:val="single" w:sz="4" w:space="0" w:color="auto"/>
              <w:bottom w:val="single" w:sz="4" w:space="0" w:color="auto"/>
              <w:right w:val="single" w:sz="4" w:space="0" w:color="auto"/>
            </w:tcBorders>
            <w:hideMark/>
          </w:tcPr>
          <w:p w14:paraId="63449AA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56/102 (54.9%)</w:t>
            </w:r>
          </w:p>
        </w:tc>
        <w:tc>
          <w:tcPr>
            <w:tcW w:w="1843" w:type="dxa"/>
            <w:tcBorders>
              <w:top w:val="single" w:sz="4" w:space="0" w:color="auto"/>
              <w:left w:val="single" w:sz="4" w:space="0" w:color="auto"/>
              <w:bottom w:val="single" w:sz="4" w:space="0" w:color="auto"/>
              <w:right w:val="single" w:sz="4" w:space="0" w:color="auto"/>
            </w:tcBorders>
            <w:hideMark/>
          </w:tcPr>
          <w:p w14:paraId="59EDADDE"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36 (50.7%)</w:t>
            </w:r>
          </w:p>
        </w:tc>
        <w:tc>
          <w:tcPr>
            <w:tcW w:w="1843" w:type="dxa"/>
            <w:tcBorders>
              <w:top w:val="single" w:sz="4" w:space="0" w:color="auto"/>
              <w:left w:val="single" w:sz="4" w:space="0" w:color="auto"/>
              <w:bottom w:val="single" w:sz="4" w:space="0" w:color="auto"/>
              <w:right w:val="single" w:sz="4" w:space="0" w:color="auto"/>
            </w:tcBorders>
            <w:hideMark/>
          </w:tcPr>
          <w:p w14:paraId="0E33F624"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20 (64.5%)</w:t>
            </w:r>
          </w:p>
        </w:tc>
        <w:tc>
          <w:tcPr>
            <w:tcW w:w="753" w:type="dxa"/>
            <w:tcBorders>
              <w:top w:val="single" w:sz="4" w:space="0" w:color="auto"/>
              <w:left w:val="single" w:sz="4" w:space="0" w:color="auto"/>
              <w:bottom w:val="single" w:sz="4" w:space="0" w:color="auto"/>
              <w:right w:val="single" w:sz="4" w:space="0" w:color="auto"/>
            </w:tcBorders>
            <w:hideMark/>
          </w:tcPr>
          <w:p w14:paraId="7A768A68"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74DDFC95"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5334157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Cough</w:t>
            </w:r>
          </w:p>
        </w:tc>
        <w:tc>
          <w:tcPr>
            <w:tcW w:w="1842" w:type="dxa"/>
            <w:tcBorders>
              <w:top w:val="single" w:sz="4" w:space="0" w:color="auto"/>
              <w:left w:val="single" w:sz="4" w:space="0" w:color="auto"/>
              <w:bottom w:val="single" w:sz="4" w:space="0" w:color="auto"/>
              <w:right w:val="single" w:sz="4" w:space="0" w:color="auto"/>
            </w:tcBorders>
            <w:hideMark/>
          </w:tcPr>
          <w:p w14:paraId="102861F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51/102 (50.0%)</w:t>
            </w:r>
          </w:p>
        </w:tc>
        <w:tc>
          <w:tcPr>
            <w:tcW w:w="1843" w:type="dxa"/>
            <w:tcBorders>
              <w:top w:val="single" w:sz="4" w:space="0" w:color="auto"/>
              <w:left w:val="single" w:sz="4" w:space="0" w:color="auto"/>
              <w:bottom w:val="single" w:sz="4" w:space="0" w:color="auto"/>
              <w:right w:val="single" w:sz="4" w:space="0" w:color="auto"/>
            </w:tcBorders>
            <w:hideMark/>
          </w:tcPr>
          <w:p w14:paraId="7843954D"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34 (47.9%)</w:t>
            </w:r>
          </w:p>
        </w:tc>
        <w:tc>
          <w:tcPr>
            <w:tcW w:w="1843" w:type="dxa"/>
            <w:tcBorders>
              <w:top w:val="single" w:sz="4" w:space="0" w:color="auto"/>
              <w:left w:val="single" w:sz="4" w:space="0" w:color="auto"/>
              <w:bottom w:val="single" w:sz="4" w:space="0" w:color="auto"/>
              <w:right w:val="single" w:sz="4" w:space="0" w:color="auto"/>
            </w:tcBorders>
            <w:hideMark/>
          </w:tcPr>
          <w:p w14:paraId="53C390E0"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17 (54.8%)</w:t>
            </w:r>
          </w:p>
        </w:tc>
        <w:tc>
          <w:tcPr>
            <w:tcW w:w="753" w:type="dxa"/>
            <w:tcBorders>
              <w:top w:val="single" w:sz="4" w:space="0" w:color="auto"/>
              <w:left w:val="single" w:sz="4" w:space="0" w:color="auto"/>
              <w:bottom w:val="single" w:sz="4" w:space="0" w:color="auto"/>
              <w:right w:val="single" w:sz="4" w:space="0" w:color="auto"/>
            </w:tcBorders>
            <w:hideMark/>
          </w:tcPr>
          <w:p w14:paraId="1099BC6B"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7DF247E"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032FC45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Shortness of breath</w:t>
            </w:r>
          </w:p>
        </w:tc>
        <w:tc>
          <w:tcPr>
            <w:tcW w:w="1842" w:type="dxa"/>
            <w:tcBorders>
              <w:top w:val="single" w:sz="4" w:space="0" w:color="auto"/>
              <w:left w:val="single" w:sz="4" w:space="0" w:color="auto"/>
              <w:bottom w:val="single" w:sz="4" w:space="0" w:color="auto"/>
              <w:right w:val="single" w:sz="4" w:space="0" w:color="auto"/>
            </w:tcBorders>
            <w:hideMark/>
          </w:tcPr>
          <w:p w14:paraId="5A8ADEF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61/102 (59.8%)</w:t>
            </w:r>
          </w:p>
        </w:tc>
        <w:tc>
          <w:tcPr>
            <w:tcW w:w="1843" w:type="dxa"/>
            <w:tcBorders>
              <w:top w:val="single" w:sz="4" w:space="0" w:color="auto"/>
              <w:left w:val="single" w:sz="4" w:space="0" w:color="auto"/>
              <w:bottom w:val="single" w:sz="4" w:space="0" w:color="auto"/>
              <w:right w:val="single" w:sz="4" w:space="0" w:color="auto"/>
            </w:tcBorders>
            <w:hideMark/>
          </w:tcPr>
          <w:p w14:paraId="1C999D61"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38 (53.5%)</w:t>
            </w:r>
          </w:p>
        </w:tc>
        <w:tc>
          <w:tcPr>
            <w:tcW w:w="1843" w:type="dxa"/>
            <w:tcBorders>
              <w:top w:val="single" w:sz="4" w:space="0" w:color="auto"/>
              <w:left w:val="single" w:sz="4" w:space="0" w:color="auto"/>
              <w:bottom w:val="single" w:sz="4" w:space="0" w:color="auto"/>
              <w:right w:val="single" w:sz="4" w:space="0" w:color="auto"/>
            </w:tcBorders>
            <w:hideMark/>
          </w:tcPr>
          <w:p w14:paraId="4C375A52"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23 (74.2%)</w:t>
            </w:r>
          </w:p>
        </w:tc>
        <w:tc>
          <w:tcPr>
            <w:tcW w:w="753" w:type="dxa"/>
            <w:tcBorders>
              <w:top w:val="single" w:sz="4" w:space="0" w:color="auto"/>
              <w:left w:val="single" w:sz="4" w:space="0" w:color="auto"/>
              <w:bottom w:val="single" w:sz="4" w:space="0" w:color="auto"/>
              <w:right w:val="single" w:sz="4" w:space="0" w:color="auto"/>
            </w:tcBorders>
            <w:hideMark/>
          </w:tcPr>
          <w:p w14:paraId="0290CB97"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3C5E5F5C"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1687B7F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Delirium</w:t>
            </w:r>
          </w:p>
        </w:tc>
        <w:tc>
          <w:tcPr>
            <w:tcW w:w="1842" w:type="dxa"/>
            <w:tcBorders>
              <w:top w:val="single" w:sz="4" w:space="0" w:color="auto"/>
              <w:left w:val="single" w:sz="4" w:space="0" w:color="auto"/>
              <w:bottom w:val="single" w:sz="4" w:space="0" w:color="auto"/>
              <w:right w:val="single" w:sz="4" w:space="0" w:color="auto"/>
            </w:tcBorders>
            <w:hideMark/>
          </w:tcPr>
          <w:p w14:paraId="6FA84B9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52/102 (51.0%)</w:t>
            </w:r>
          </w:p>
        </w:tc>
        <w:tc>
          <w:tcPr>
            <w:tcW w:w="1843" w:type="dxa"/>
            <w:tcBorders>
              <w:top w:val="single" w:sz="4" w:space="0" w:color="auto"/>
              <w:left w:val="single" w:sz="4" w:space="0" w:color="auto"/>
              <w:bottom w:val="single" w:sz="4" w:space="0" w:color="auto"/>
              <w:right w:val="single" w:sz="4" w:space="0" w:color="auto"/>
            </w:tcBorders>
            <w:hideMark/>
          </w:tcPr>
          <w:p w14:paraId="2667DF05"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40 (56.3%)</w:t>
            </w:r>
          </w:p>
        </w:tc>
        <w:tc>
          <w:tcPr>
            <w:tcW w:w="1843" w:type="dxa"/>
            <w:tcBorders>
              <w:top w:val="single" w:sz="4" w:space="0" w:color="auto"/>
              <w:left w:val="single" w:sz="4" w:space="0" w:color="auto"/>
              <w:bottom w:val="single" w:sz="4" w:space="0" w:color="auto"/>
              <w:right w:val="single" w:sz="4" w:space="0" w:color="auto"/>
            </w:tcBorders>
            <w:hideMark/>
          </w:tcPr>
          <w:p w14:paraId="79E37CBC"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12 (38.7%)</w:t>
            </w:r>
          </w:p>
        </w:tc>
        <w:tc>
          <w:tcPr>
            <w:tcW w:w="753" w:type="dxa"/>
            <w:tcBorders>
              <w:top w:val="single" w:sz="4" w:space="0" w:color="auto"/>
              <w:left w:val="single" w:sz="4" w:space="0" w:color="auto"/>
              <w:bottom w:val="single" w:sz="4" w:space="0" w:color="auto"/>
              <w:right w:val="single" w:sz="4" w:space="0" w:color="auto"/>
            </w:tcBorders>
            <w:hideMark/>
          </w:tcPr>
          <w:p w14:paraId="273521CC"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662FA434"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0B7D148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Vomiting</w:t>
            </w:r>
          </w:p>
        </w:tc>
        <w:tc>
          <w:tcPr>
            <w:tcW w:w="1842" w:type="dxa"/>
            <w:tcBorders>
              <w:top w:val="single" w:sz="4" w:space="0" w:color="auto"/>
              <w:left w:val="single" w:sz="4" w:space="0" w:color="auto"/>
              <w:bottom w:val="single" w:sz="4" w:space="0" w:color="auto"/>
              <w:right w:val="single" w:sz="4" w:space="0" w:color="auto"/>
            </w:tcBorders>
            <w:hideMark/>
          </w:tcPr>
          <w:p w14:paraId="588868A9"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11/102 (10.8%)</w:t>
            </w:r>
          </w:p>
        </w:tc>
        <w:tc>
          <w:tcPr>
            <w:tcW w:w="1843" w:type="dxa"/>
            <w:tcBorders>
              <w:top w:val="single" w:sz="4" w:space="0" w:color="auto"/>
              <w:left w:val="single" w:sz="4" w:space="0" w:color="auto"/>
              <w:bottom w:val="single" w:sz="4" w:space="0" w:color="auto"/>
              <w:right w:val="single" w:sz="4" w:space="0" w:color="auto"/>
            </w:tcBorders>
            <w:hideMark/>
          </w:tcPr>
          <w:p w14:paraId="04240665"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5 (7.0%)</w:t>
            </w:r>
          </w:p>
        </w:tc>
        <w:tc>
          <w:tcPr>
            <w:tcW w:w="1843" w:type="dxa"/>
            <w:tcBorders>
              <w:top w:val="single" w:sz="4" w:space="0" w:color="auto"/>
              <w:left w:val="single" w:sz="4" w:space="0" w:color="auto"/>
              <w:bottom w:val="single" w:sz="4" w:space="0" w:color="auto"/>
              <w:right w:val="single" w:sz="4" w:space="0" w:color="auto"/>
            </w:tcBorders>
            <w:hideMark/>
          </w:tcPr>
          <w:p w14:paraId="751612DA"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6 (19.4%)</w:t>
            </w:r>
          </w:p>
        </w:tc>
        <w:tc>
          <w:tcPr>
            <w:tcW w:w="753" w:type="dxa"/>
            <w:tcBorders>
              <w:top w:val="single" w:sz="4" w:space="0" w:color="auto"/>
              <w:left w:val="single" w:sz="4" w:space="0" w:color="auto"/>
              <w:bottom w:val="single" w:sz="4" w:space="0" w:color="auto"/>
              <w:right w:val="single" w:sz="4" w:space="0" w:color="auto"/>
            </w:tcBorders>
            <w:hideMark/>
          </w:tcPr>
          <w:p w14:paraId="6ADE1DF1"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3BE0DEC0"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4CBB504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Fall</w:t>
            </w:r>
          </w:p>
        </w:tc>
        <w:tc>
          <w:tcPr>
            <w:tcW w:w="1842" w:type="dxa"/>
            <w:tcBorders>
              <w:top w:val="single" w:sz="4" w:space="0" w:color="auto"/>
              <w:left w:val="single" w:sz="4" w:space="0" w:color="auto"/>
              <w:bottom w:val="single" w:sz="4" w:space="0" w:color="auto"/>
              <w:right w:val="single" w:sz="4" w:space="0" w:color="auto"/>
            </w:tcBorders>
            <w:hideMark/>
          </w:tcPr>
          <w:p w14:paraId="4902C6F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22/102 (21.6%)</w:t>
            </w:r>
          </w:p>
        </w:tc>
        <w:tc>
          <w:tcPr>
            <w:tcW w:w="1843" w:type="dxa"/>
            <w:tcBorders>
              <w:top w:val="single" w:sz="4" w:space="0" w:color="auto"/>
              <w:left w:val="single" w:sz="4" w:space="0" w:color="auto"/>
              <w:bottom w:val="single" w:sz="4" w:space="0" w:color="auto"/>
              <w:right w:val="single" w:sz="4" w:space="0" w:color="auto"/>
            </w:tcBorders>
            <w:hideMark/>
          </w:tcPr>
          <w:p w14:paraId="0A99085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17 )23.9%)</w:t>
            </w:r>
          </w:p>
        </w:tc>
        <w:tc>
          <w:tcPr>
            <w:tcW w:w="1843" w:type="dxa"/>
            <w:tcBorders>
              <w:top w:val="single" w:sz="4" w:space="0" w:color="auto"/>
              <w:left w:val="single" w:sz="4" w:space="0" w:color="auto"/>
              <w:bottom w:val="single" w:sz="4" w:space="0" w:color="auto"/>
              <w:right w:val="single" w:sz="4" w:space="0" w:color="auto"/>
            </w:tcBorders>
            <w:hideMark/>
          </w:tcPr>
          <w:p w14:paraId="2BE2CEEC"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5  (16.1%)</w:t>
            </w:r>
          </w:p>
        </w:tc>
        <w:tc>
          <w:tcPr>
            <w:tcW w:w="753" w:type="dxa"/>
            <w:tcBorders>
              <w:top w:val="single" w:sz="4" w:space="0" w:color="auto"/>
              <w:left w:val="single" w:sz="4" w:space="0" w:color="auto"/>
              <w:bottom w:val="single" w:sz="4" w:space="0" w:color="auto"/>
              <w:right w:val="single" w:sz="4" w:space="0" w:color="auto"/>
            </w:tcBorders>
            <w:hideMark/>
          </w:tcPr>
          <w:p w14:paraId="3729063B"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23FE7501"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3CCE330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Fatigue</w:t>
            </w:r>
          </w:p>
        </w:tc>
        <w:tc>
          <w:tcPr>
            <w:tcW w:w="1842" w:type="dxa"/>
            <w:tcBorders>
              <w:top w:val="single" w:sz="4" w:space="0" w:color="auto"/>
              <w:left w:val="single" w:sz="4" w:space="0" w:color="auto"/>
              <w:bottom w:val="single" w:sz="4" w:space="0" w:color="auto"/>
              <w:right w:val="single" w:sz="4" w:space="0" w:color="auto"/>
            </w:tcBorders>
            <w:hideMark/>
          </w:tcPr>
          <w:p w14:paraId="4D87A39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58/102 (56.9%)</w:t>
            </w:r>
          </w:p>
        </w:tc>
        <w:tc>
          <w:tcPr>
            <w:tcW w:w="1843" w:type="dxa"/>
            <w:tcBorders>
              <w:top w:val="single" w:sz="4" w:space="0" w:color="auto"/>
              <w:left w:val="single" w:sz="4" w:space="0" w:color="auto"/>
              <w:bottom w:val="single" w:sz="4" w:space="0" w:color="auto"/>
              <w:right w:val="single" w:sz="4" w:space="0" w:color="auto"/>
            </w:tcBorders>
            <w:hideMark/>
          </w:tcPr>
          <w:p w14:paraId="679C168C"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39 (54.9%)</w:t>
            </w:r>
          </w:p>
        </w:tc>
        <w:tc>
          <w:tcPr>
            <w:tcW w:w="1843" w:type="dxa"/>
            <w:tcBorders>
              <w:top w:val="single" w:sz="4" w:space="0" w:color="auto"/>
              <w:left w:val="single" w:sz="4" w:space="0" w:color="auto"/>
              <w:bottom w:val="single" w:sz="4" w:space="0" w:color="auto"/>
              <w:right w:val="single" w:sz="4" w:space="0" w:color="auto"/>
            </w:tcBorders>
            <w:hideMark/>
          </w:tcPr>
          <w:p w14:paraId="6A19DD43"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color w:val="000000"/>
                <w:sz w:val="22"/>
                <w:szCs w:val="22"/>
              </w:rPr>
              <w:t>19 (61.3%)</w:t>
            </w:r>
          </w:p>
        </w:tc>
        <w:tc>
          <w:tcPr>
            <w:tcW w:w="753" w:type="dxa"/>
            <w:tcBorders>
              <w:top w:val="single" w:sz="4" w:space="0" w:color="auto"/>
              <w:left w:val="single" w:sz="4" w:space="0" w:color="auto"/>
              <w:bottom w:val="single" w:sz="4" w:space="0" w:color="auto"/>
              <w:right w:val="single" w:sz="4" w:space="0" w:color="auto"/>
            </w:tcBorders>
            <w:hideMark/>
          </w:tcPr>
          <w:p w14:paraId="7D4A3C76"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color w:val="000000"/>
                <w:sz w:val="22"/>
                <w:szCs w:val="22"/>
              </w:rPr>
              <w:t>N.S.</w:t>
            </w:r>
          </w:p>
        </w:tc>
      </w:tr>
      <w:tr w:rsidR="00F115AF" w:rsidRPr="00F115AF" w14:paraId="4A74E07E"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73DB5DA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Diarrhoea</w:t>
            </w:r>
          </w:p>
        </w:tc>
        <w:tc>
          <w:tcPr>
            <w:tcW w:w="1842" w:type="dxa"/>
            <w:tcBorders>
              <w:top w:val="single" w:sz="4" w:space="0" w:color="auto"/>
              <w:left w:val="single" w:sz="4" w:space="0" w:color="auto"/>
              <w:bottom w:val="single" w:sz="4" w:space="0" w:color="auto"/>
              <w:right w:val="single" w:sz="4" w:space="0" w:color="auto"/>
            </w:tcBorders>
            <w:hideMark/>
          </w:tcPr>
          <w:p w14:paraId="41A5F6D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14 /102 (13.7%)</w:t>
            </w:r>
          </w:p>
        </w:tc>
        <w:tc>
          <w:tcPr>
            <w:tcW w:w="1843" w:type="dxa"/>
            <w:tcBorders>
              <w:top w:val="single" w:sz="4" w:space="0" w:color="auto"/>
              <w:left w:val="single" w:sz="4" w:space="0" w:color="auto"/>
              <w:bottom w:val="single" w:sz="4" w:space="0" w:color="auto"/>
              <w:right w:val="single" w:sz="4" w:space="0" w:color="auto"/>
            </w:tcBorders>
            <w:hideMark/>
          </w:tcPr>
          <w:p w14:paraId="16FC5288"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11 (15.5%)</w:t>
            </w:r>
          </w:p>
        </w:tc>
        <w:tc>
          <w:tcPr>
            <w:tcW w:w="1843" w:type="dxa"/>
            <w:tcBorders>
              <w:top w:val="single" w:sz="4" w:space="0" w:color="auto"/>
              <w:left w:val="single" w:sz="4" w:space="0" w:color="auto"/>
              <w:bottom w:val="single" w:sz="4" w:space="0" w:color="auto"/>
              <w:right w:val="single" w:sz="4" w:space="0" w:color="auto"/>
            </w:tcBorders>
            <w:hideMark/>
          </w:tcPr>
          <w:p w14:paraId="68F6E181"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 9(.7%)</w:t>
            </w:r>
          </w:p>
        </w:tc>
        <w:tc>
          <w:tcPr>
            <w:tcW w:w="753" w:type="dxa"/>
            <w:tcBorders>
              <w:top w:val="single" w:sz="4" w:space="0" w:color="auto"/>
              <w:left w:val="single" w:sz="4" w:space="0" w:color="auto"/>
              <w:bottom w:val="single" w:sz="4" w:space="0" w:color="auto"/>
              <w:right w:val="single" w:sz="4" w:space="0" w:color="auto"/>
            </w:tcBorders>
            <w:hideMark/>
          </w:tcPr>
          <w:p w14:paraId="6235F13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BD989BD"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00D51D1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Acute Kidney Injury</w:t>
            </w:r>
          </w:p>
        </w:tc>
        <w:tc>
          <w:tcPr>
            <w:tcW w:w="1842" w:type="dxa"/>
            <w:tcBorders>
              <w:top w:val="single" w:sz="4" w:space="0" w:color="auto"/>
              <w:left w:val="single" w:sz="4" w:space="0" w:color="auto"/>
              <w:bottom w:val="single" w:sz="4" w:space="0" w:color="auto"/>
              <w:right w:val="single" w:sz="4" w:space="0" w:color="auto"/>
            </w:tcBorders>
            <w:hideMark/>
          </w:tcPr>
          <w:p w14:paraId="0ACAA52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31/102 (30.4%)</w:t>
            </w:r>
          </w:p>
        </w:tc>
        <w:tc>
          <w:tcPr>
            <w:tcW w:w="1843" w:type="dxa"/>
            <w:tcBorders>
              <w:top w:val="single" w:sz="4" w:space="0" w:color="auto"/>
              <w:left w:val="single" w:sz="4" w:space="0" w:color="auto"/>
              <w:bottom w:val="single" w:sz="4" w:space="0" w:color="auto"/>
              <w:right w:val="single" w:sz="4" w:space="0" w:color="auto"/>
            </w:tcBorders>
            <w:hideMark/>
          </w:tcPr>
          <w:p w14:paraId="1B2D69F6"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15 (21.1%)</w:t>
            </w:r>
          </w:p>
        </w:tc>
        <w:tc>
          <w:tcPr>
            <w:tcW w:w="1843" w:type="dxa"/>
            <w:tcBorders>
              <w:top w:val="single" w:sz="4" w:space="0" w:color="auto"/>
              <w:left w:val="single" w:sz="4" w:space="0" w:color="auto"/>
              <w:bottom w:val="single" w:sz="4" w:space="0" w:color="auto"/>
              <w:right w:val="single" w:sz="4" w:space="0" w:color="auto"/>
            </w:tcBorders>
            <w:hideMark/>
          </w:tcPr>
          <w:p w14:paraId="3846BD39"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16 (51.6%)</w:t>
            </w:r>
          </w:p>
        </w:tc>
        <w:tc>
          <w:tcPr>
            <w:tcW w:w="753" w:type="dxa"/>
            <w:tcBorders>
              <w:top w:val="single" w:sz="4" w:space="0" w:color="auto"/>
              <w:left w:val="single" w:sz="4" w:space="0" w:color="auto"/>
              <w:bottom w:val="single" w:sz="4" w:space="0" w:color="auto"/>
              <w:right w:val="single" w:sz="4" w:space="0" w:color="auto"/>
            </w:tcBorders>
            <w:hideMark/>
          </w:tcPr>
          <w:p w14:paraId="0CD61468"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b/>
                <w:color w:val="000000"/>
                <w:sz w:val="22"/>
                <w:szCs w:val="22"/>
              </w:rPr>
              <w:t>0.005</w:t>
            </w:r>
          </w:p>
        </w:tc>
      </w:tr>
      <w:tr w:rsidR="00F115AF" w:rsidRPr="00F115AF" w14:paraId="79522C6E"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3385D4B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Respiratory Failure</w:t>
            </w:r>
          </w:p>
        </w:tc>
        <w:tc>
          <w:tcPr>
            <w:tcW w:w="1842" w:type="dxa"/>
            <w:tcBorders>
              <w:top w:val="single" w:sz="4" w:space="0" w:color="auto"/>
              <w:left w:val="single" w:sz="4" w:space="0" w:color="auto"/>
              <w:bottom w:val="single" w:sz="4" w:space="0" w:color="auto"/>
              <w:right w:val="single" w:sz="4" w:space="0" w:color="auto"/>
            </w:tcBorders>
            <w:hideMark/>
          </w:tcPr>
          <w:p w14:paraId="303EBED6"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54/102 (52.9%)</w:t>
            </w:r>
          </w:p>
        </w:tc>
        <w:tc>
          <w:tcPr>
            <w:tcW w:w="1843" w:type="dxa"/>
            <w:tcBorders>
              <w:top w:val="single" w:sz="4" w:space="0" w:color="auto"/>
              <w:left w:val="single" w:sz="4" w:space="0" w:color="auto"/>
              <w:bottom w:val="single" w:sz="4" w:space="0" w:color="auto"/>
              <w:right w:val="single" w:sz="4" w:space="0" w:color="auto"/>
            </w:tcBorders>
            <w:hideMark/>
          </w:tcPr>
          <w:p w14:paraId="722BD45B"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32 (45.1%)</w:t>
            </w:r>
          </w:p>
        </w:tc>
        <w:tc>
          <w:tcPr>
            <w:tcW w:w="1843" w:type="dxa"/>
            <w:tcBorders>
              <w:top w:val="single" w:sz="4" w:space="0" w:color="auto"/>
              <w:left w:val="single" w:sz="4" w:space="0" w:color="auto"/>
              <w:bottom w:val="single" w:sz="4" w:space="0" w:color="auto"/>
              <w:right w:val="single" w:sz="4" w:space="0" w:color="auto"/>
            </w:tcBorders>
            <w:hideMark/>
          </w:tcPr>
          <w:p w14:paraId="167EA53E"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22 (71.0%)</w:t>
            </w:r>
          </w:p>
        </w:tc>
        <w:tc>
          <w:tcPr>
            <w:tcW w:w="753" w:type="dxa"/>
            <w:tcBorders>
              <w:top w:val="single" w:sz="4" w:space="0" w:color="auto"/>
              <w:left w:val="single" w:sz="4" w:space="0" w:color="auto"/>
              <w:bottom w:val="single" w:sz="4" w:space="0" w:color="auto"/>
              <w:right w:val="single" w:sz="4" w:space="0" w:color="auto"/>
            </w:tcBorders>
            <w:hideMark/>
          </w:tcPr>
          <w:p w14:paraId="1395EA82"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b/>
                <w:color w:val="000000"/>
                <w:sz w:val="22"/>
                <w:szCs w:val="22"/>
              </w:rPr>
              <w:t>0.016</w:t>
            </w:r>
          </w:p>
        </w:tc>
      </w:tr>
      <w:tr w:rsidR="00F115AF" w:rsidRPr="00F115AF" w14:paraId="28F21865"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607F626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Dysphagia</w:t>
            </w:r>
          </w:p>
        </w:tc>
        <w:tc>
          <w:tcPr>
            <w:tcW w:w="1842" w:type="dxa"/>
            <w:tcBorders>
              <w:top w:val="single" w:sz="4" w:space="0" w:color="auto"/>
              <w:left w:val="single" w:sz="4" w:space="0" w:color="auto"/>
              <w:bottom w:val="single" w:sz="4" w:space="0" w:color="auto"/>
              <w:right w:val="single" w:sz="4" w:space="0" w:color="auto"/>
            </w:tcBorders>
            <w:hideMark/>
          </w:tcPr>
          <w:p w14:paraId="11F01A8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15/102 (14.7%)</w:t>
            </w:r>
          </w:p>
        </w:tc>
        <w:tc>
          <w:tcPr>
            <w:tcW w:w="1843" w:type="dxa"/>
            <w:tcBorders>
              <w:top w:val="single" w:sz="4" w:space="0" w:color="auto"/>
              <w:left w:val="single" w:sz="4" w:space="0" w:color="auto"/>
              <w:bottom w:val="single" w:sz="4" w:space="0" w:color="auto"/>
              <w:right w:val="single" w:sz="4" w:space="0" w:color="auto"/>
            </w:tcBorders>
            <w:hideMark/>
          </w:tcPr>
          <w:p w14:paraId="4335D36E"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8 (11.3%)</w:t>
            </w:r>
          </w:p>
        </w:tc>
        <w:tc>
          <w:tcPr>
            <w:tcW w:w="1843" w:type="dxa"/>
            <w:tcBorders>
              <w:top w:val="single" w:sz="4" w:space="0" w:color="auto"/>
              <w:left w:val="single" w:sz="4" w:space="0" w:color="auto"/>
              <w:bottom w:val="single" w:sz="4" w:space="0" w:color="auto"/>
              <w:right w:val="single" w:sz="4" w:space="0" w:color="auto"/>
            </w:tcBorders>
            <w:hideMark/>
          </w:tcPr>
          <w:p w14:paraId="02FCF383"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7 (22.6%)</w:t>
            </w:r>
          </w:p>
        </w:tc>
        <w:tc>
          <w:tcPr>
            <w:tcW w:w="753" w:type="dxa"/>
            <w:tcBorders>
              <w:top w:val="single" w:sz="4" w:space="0" w:color="auto"/>
              <w:left w:val="single" w:sz="4" w:space="0" w:color="auto"/>
              <w:bottom w:val="single" w:sz="4" w:space="0" w:color="auto"/>
              <w:right w:val="single" w:sz="4" w:space="0" w:color="auto"/>
            </w:tcBorders>
            <w:hideMark/>
          </w:tcPr>
          <w:p w14:paraId="3D16A62E"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05AA6B3" w14:textId="77777777" w:rsidTr="00F115AF">
        <w:trPr>
          <w:trHeight w:val="567"/>
        </w:trPr>
        <w:tc>
          <w:tcPr>
            <w:tcW w:w="2235" w:type="dxa"/>
            <w:gridSpan w:val="2"/>
            <w:tcBorders>
              <w:top w:val="single" w:sz="4" w:space="0" w:color="auto"/>
              <w:left w:val="single" w:sz="4" w:space="0" w:color="auto"/>
              <w:bottom w:val="single" w:sz="4" w:space="0" w:color="auto"/>
              <w:right w:val="single" w:sz="4" w:space="0" w:color="auto"/>
            </w:tcBorders>
          </w:tcPr>
          <w:p w14:paraId="6A9E9176" w14:textId="77777777" w:rsidR="00F115AF" w:rsidRPr="00F115AF" w:rsidRDefault="00F115AF" w:rsidP="00F115AF">
            <w:pPr>
              <w:spacing w:line="480" w:lineRule="auto"/>
              <w:rPr>
                <w:rFonts w:ascii="Calibri" w:eastAsia="Times New Roman" w:hAnsi="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03F539A"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771ED2" w14:textId="77777777" w:rsidR="00F115AF" w:rsidRPr="00F115AF" w:rsidRDefault="00F115AF" w:rsidP="00F115AF">
            <w:pPr>
              <w:spacing w:line="480" w:lineRule="auto"/>
              <w:ind w:hanging="720"/>
              <w:rPr>
                <w:rFonts w:ascii="Calibri" w:eastAsia="Times New Roman" w:hAnsi="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CE6635D" w14:textId="77777777" w:rsidR="00F115AF" w:rsidRPr="00F115AF" w:rsidRDefault="00F115AF" w:rsidP="00F115AF">
            <w:pPr>
              <w:spacing w:line="480" w:lineRule="auto"/>
              <w:ind w:hanging="720"/>
              <w:rPr>
                <w:rFonts w:ascii="Calibri" w:eastAsia="Times New Roman" w:hAnsi="Calibri"/>
                <w:color w:val="000000"/>
                <w:sz w:val="22"/>
                <w:szCs w:val="22"/>
              </w:rPr>
            </w:pPr>
          </w:p>
        </w:tc>
        <w:tc>
          <w:tcPr>
            <w:tcW w:w="753" w:type="dxa"/>
            <w:tcBorders>
              <w:top w:val="single" w:sz="4" w:space="0" w:color="auto"/>
              <w:left w:val="single" w:sz="4" w:space="0" w:color="auto"/>
              <w:bottom w:val="single" w:sz="4" w:space="0" w:color="auto"/>
              <w:right w:val="single" w:sz="4" w:space="0" w:color="auto"/>
            </w:tcBorders>
          </w:tcPr>
          <w:p w14:paraId="7D7EB109" w14:textId="77777777" w:rsidR="00F115AF" w:rsidRPr="00F115AF" w:rsidRDefault="00F115AF" w:rsidP="00F115AF">
            <w:pPr>
              <w:spacing w:line="480" w:lineRule="auto"/>
              <w:ind w:hanging="720"/>
              <w:rPr>
                <w:rFonts w:ascii="Calibri" w:eastAsia="Times New Roman" w:hAnsi="Calibri"/>
                <w:color w:val="000000"/>
                <w:sz w:val="22"/>
                <w:szCs w:val="22"/>
              </w:rPr>
            </w:pPr>
          </w:p>
        </w:tc>
      </w:tr>
      <w:tr w:rsidR="00F115AF" w:rsidRPr="00F115AF" w14:paraId="2F470175" w14:textId="77777777" w:rsidTr="00F115AF">
        <w:trPr>
          <w:trHeight w:val="567"/>
        </w:trPr>
        <w:tc>
          <w:tcPr>
            <w:tcW w:w="2235" w:type="dxa"/>
            <w:gridSpan w:val="2"/>
            <w:tcBorders>
              <w:top w:val="single" w:sz="4" w:space="0" w:color="auto"/>
              <w:left w:val="single" w:sz="4" w:space="0" w:color="auto"/>
              <w:bottom w:val="single" w:sz="4" w:space="0" w:color="auto"/>
              <w:right w:val="single" w:sz="4" w:space="0" w:color="auto"/>
            </w:tcBorders>
            <w:hideMark/>
          </w:tcPr>
          <w:p w14:paraId="30B9E13E"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Haematology and biochemistry</w:t>
            </w:r>
          </w:p>
        </w:tc>
        <w:tc>
          <w:tcPr>
            <w:tcW w:w="1842" w:type="dxa"/>
            <w:tcBorders>
              <w:top w:val="single" w:sz="4" w:space="0" w:color="auto"/>
              <w:left w:val="single" w:sz="4" w:space="0" w:color="auto"/>
              <w:bottom w:val="single" w:sz="4" w:space="0" w:color="auto"/>
              <w:right w:val="single" w:sz="4" w:space="0" w:color="auto"/>
            </w:tcBorders>
          </w:tcPr>
          <w:p w14:paraId="6602D48D" w14:textId="77777777" w:rsidR="00F115AF" w:rsidRPr="00F115AF" w:rsidRDefault="00F115AF" w:rsidP="00F115AF">
            <w:pPr>
              <w:spacing w:line="480" w:lineRule="auto"/>
              <w:rPr>
                <w:rFonts w:ascii="Calibri" w:eastAsia="Times New Roman" w:hAnsi="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5A102F6" w14:textId="77777777" w:rsidR="00F115AF" w:rsidRPr="00F115AF" w:rsidRDefault="00F115AF" w:rsidP="00F115AF">
            <w:pPr>
              <w:spacing w:line="480" w:lineRule="auto"/>
              <w:ind w:hanging="720"/>
              <w:rPr>
                <w:rFonts w:ascii="Calibri" w:eastAsia="Times New Roman" w:hAnsi="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CFB53C2" w14:textId="77777777" w:rsidR="00F115AF" w:rsidRPr="00F115AF" w:rsidRDefault="00F115AF" w:rsidP="00F115AF">
            <w:pPr>
              <w:spacing w:line="480" w:lineRule="auto"/>
              <w:ind w:hanging="720"/>
              <w:rPr>
                <w:rFonts w:ascii="Calibri" w:eastAsia="Times New Roman" w:hAnsi="Calibri"/>
                <w:color w:val="000000"/>
                <w:sz w:val="22"/>
                <w:szCs w:val="22"/>
              </w:rPr>
            </w:pPr>
          </w:p>
        </w:tc>
        <w:tc>
          <w:tcPr>
            <w:tcW w:w="753" w:type="dxa"/>
            <w:tcBorders>
              <w:top w:val="single" w:sz="4" w:space="0" w:color="auto"/>
              <w:left w:val="single" w:sz="4" w:space="0" w:color="auto"/>
              <w:bottom w:val="single" w:sz="4" w:space="0" w:color="auto"/>
              <w:right w:val="single" w:sz="4" w:space="0" w:color="auto"/>
            </w:tcBorders>
          </w:tcPr>
          <w:p w14:paraId="30C922C1" w14:textId="77777777" w:rsidR="00F115AF" w:rsidRPr="00F115AF" w:rsidRDefault="00F115AF" w:rsidP="00F115AF">
            <w:pPr>
              <w:spacing w:line="480" w:lineRule="auto"/>
              <w:ind w:hanging="720"/>
              <w:rPr>
                <w:rFonts w:ascii="Calibri" w:eastAsia="Times New Roman" w:hAnsi="Calibri"/>
                <w:color w:val="000000"/>
                <w:sz w:val="22"/>
                <w:szCs w:val="22"/>
              </w:rPr>
            </w:pPr>
          </w:p>
        </w:tc>
      </w:tr>
      <w:tr w:rsidR="00F115AF" w:rsidRPr="00F115AF" w14:paraId="6F81E835"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520FB9F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Hyponatremia</w:t>
            </w:r>
          </w:p>
        </w:tc>
        <w:tc>
          <w:tcPr>
            <w:tcW w:w="1842" w:type="dxa"/>
            <w:tcBorders>
              <w:top w:val="single" w:sz="4" w:space="0" w:color="auto"/>
              <w:left w:val="single" w:sz="4" w:space="0" w:color="auto"/>
              <w:bottom w:val="single" w:sz="4" w:space="0" w:color="auto"/>
              <w:right w:val="single" w:sz="4" w:space="0" w:color="auto"/>
            </w:tcBorders>
            <w:hideMark/>
          </w:tcPr>
          <w:p w14:paraId="405D6DF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15/102 (14.7%)</w:t>
            </w:r>
          </w:p>
        </w:tc>
        <w:tc>
          <w:tcPr>
            <w:tcW w:w="1843" w:type="dxa"/>
            <w:tcBorders>
              <w:top w:val="single" w:sz="4" w:space="0" w:color="auto"/>
              <w:left w:val="single" w:sz="4" w:space="0" w:color="auto"/>
              <w:bottom w:val="single" w:sz="4" w:space="0" w:color="auto"/>
              <w:right w:val="single" w:sz="4" w:space="0" w:color="auto"/>
            </w:tcBorders>
            <w:hideMark/>
          </w:tcPr>
          <w:p w14:paraId="5B4FF8D7"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10 (14.1%)</w:t>
            </w:r>
          </w:p>
        </w:tc>
        <w:tc>
          <w:tcPr>
            <w:tcW w:w="1843" w:type="dxa"/>
            <w:tcBorders>
              <w:top w:val="single" w:sz="4" w:space="0" w:color="auto"/>
              <w:left w:val="single" w:sz="4" w:space="0" w:color="auto"/>
              <w:bottom w:val="single" w:sz="4" w:space="0" w:color="auto"/>
              <w:right w:val="single" w:sz="4" w:space="0" w:color="auto"/>
            </w:tcBorders>
            <w:hideMark/>
          </w:tcPr>
          <w:p w14:paraId="260A29B9"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5 (16.1%)</w:t>
            </w:r>
          </w:p>
        </w:tc>
        <w:tc>
          <w:tcPr>
            <w:tcW w:w="753" w:type="dxa"/>
            <w:tcBorders>
              <w:top w:val="single" w:sz="4" w:space="0" w:color="auto"/>
              <w:left w:val="single" w:sz="4" w:space="0" w:color="auto"/>
              <w:bottom w:val="single" w:sz="4" w:space="0" w:color="auto"/>
              <w:right w:val="single" w:sz="4" w:space="0" w:color="auto"/>
            </w:tcBorders>
            <w:hideMark/>
          </w:tcPr>
          <w:p w14:paraId="6EEF5AF9"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E7F7B99"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65B62CB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Hypernatremia</w:t>
            </w:r>
          </w:p>
        </w:tc>
        <w:tc>
          <w:tcPr>
            <w:tcW w:w="1842" w:type="dxa"/>
            <w:tcBorders>
              <w:top w:val="single" w:sz="4" w:space="0" w:color="auto"/>
              <w:left w:val="single" w:sz="4" w:space="0" w:color="auto"/>
              <w:bottom w:val="single" w:sz="4" w:space="0" w:color="auto"/>
              <w:right w:val="single" w:sz="4" w:space="0" w:color="auto"/>
            </w:tcBorders>
            <w:hideMark/>
          </w:tcPr>
          <w:p w14:paraId="18DE653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22/102 (21.6%)</w:t>
            </w:r>
          </w:p>
        </w:tc>
        <w:tc>
          <w:tcPr>
            <w:tcW w:w="1843" w:type="dxa"/>
            <w:tcBorders>
              <w:top w:val="single" w:sz="4" w:space="0" w:color="auto"/>
              <w:left w:val="single" w:sz="4" w:space="0" w:color="auto"/>
              <w:bottom w:val="single" w:sz="4" w:space="0" w:color="auto"/>
              <w:right w:val="single" w:sz="4" w:space="0" w:color="auto"/>
            </w:tcBorders>
            <w:hideMark/>
          </w:tcPr>
          <w:p w14:paraId="26DE9932"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10 (14.1%)</w:t>
            </w:r>
          </w:p>
        </w:tc>
        <w:tc>
          <w:tcPr>
            <w:tcW w:w="1843" w:type="dxa"/>
            <w:tcBorders>
              <w:top w:val="single" w:sz="4" w:space="0" w:color="auto"/>
              <w:left w:val="single" w:sz="4" w:space="0" w:color="auto"/>
              <w:bottom w:val="single" w:sz="4" w:space="0" w:color="auto"/>
              <w:right w:val="single" w:sz="4" w:space="0" w:color="auto"/>
            </w:tcBorders>
            <w:hideMark/>
          </w:tcPr>
          <w:p w14:paraId="44A7EA4E"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12 (38.7%)</w:t>
            </w:r>
          </w:p>
        </w:tc>
        <w:tc>
          <w:tcPr>
            <w:tcW w:w="753" w:type="dxa"/>
            <w:tcBorders>
              <w:top w:val="single" w:sz="4" w:space="0" w:color="auto"/>
              <w:left w:val="single" w:sz="4" w:space="0" w:color="auto"/>
              <w:bottom w:val="single" w:sz="4" w:space="0" w:color="auto"/>
              <w:right w:val="single" w:sz="4" w:space="0" w:color="auto"/>
            </w:tcBorders>
            <w:hideMark/>
          </w:tcPr>
          <w:p w14:paraId="78D495B0"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b/>
                <w:color w:val="000000"/>
                <w:sz w:val="22"/>
                <w:szCs w:val="22"/>
              </w:rPr>
              <w:t>0.005</w:t>
            </w:r>
          </w:p>
        </w:tc>
      </w:tr>
      <w:tr w:rsidR="00F115AF" w:rsidRPr="00F115AF" w14:paraId="2B4E9C50"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4BB55D6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Low lymphocytes </w:t>
            </w:r>
          </w:p>
        </w:tc>
        <w:tc>
          <w:tcPr>
            <w:tcW w:w="1842" w:type="dxa"/>
            <w:tcBorders>
              <w:top w:val="single" w:sz="4" w:space="0" w:color="auto"/>
              <w:left w:val="single" w:sz="4" w:space="0" w:color="auto"/>
              <w:bottom w:val="single" w:sz="4" w:space="0" w:color="auto"/>
              <w:right w:val="single" w:sz="4" w:space="0" w:color="auto"/>
            </w:tcBorders>
            <w:hideMark/>
          </w:tcPr>
          <w:p w14:paraId="07CCCA1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59 /102 (57.8%)</w:t>
            </w:r>
          </w:p>
        </w:tc>
        <w:tc>
          <w:tcPr>
            <w:tcW w:w="1843" w:type="dxa"/>
            <w:tcBorders>
              <w:top w:val="single" w:sz="4" w:space="0" w:color="auto"/>
              <w:left w:val="single" w:sz="4" w:space="0" w:color="auto"/>
              <w:bottom w:val="single" w:sz="4" w:space="0" w:color="auto"/>
              <w:right w:val="single" w:sz="4" w:space="0" w:color="auto"/>
            </w:tcBorders>
            <w:hideMark/>
          </w:tcPr>
          <w:p w14:paraId="56721C30"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39/71 (54.9%)</w:t>
            </w:r>
          </w:p>
        </w:tc>
        <w:tc>
          <w:tcPr>
            <w:tcW w:w="1843" w:type="dxa"/>
            <w:tcBorders>
              <w:top w:val="single" w:sz="4" w:space="0" w:color="auto"/>
              <w:left w:val="single" w:sz="4" w:space="0" w:color="auto"/>
              <w:bottom w:val="single" w:sz="4" w:space="0" w:color="auto"/>
              <w:right w:val="single" w:sz="4" w:space="0" w:color="auto"/>
            </w:tcBorders>
            <w:hideMark/>
          </w:tcPr>
          <w:p w14:paraId="72B047FC"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20/31 (64.5%)</w:t>
            </w:r>
          </w:p>
        </w:tc>
        <w:tc>
          <w:tcPr>
            <w:tcW w:w="753" w:type="dxa"/>
            <w:tcBorders>
              <w:top w:val="single" w:sz="4" w:space="0" w:color="auto"/>
              <w:left w:val="single" w:sz="4" w:space="0" w:color="auto"/>
              <w:bottom w:val="single" w:sz="4" w:space="0" w:color="auto"/>
              <w:right w:val="single" w:sz="4" w:space="0" w:color="auto"/>
            </w:tcBorders>
            <w:hideMark/>
          </w:tcPr>
          <w:p w14:paraId="6FC6739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49089C7D"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01CF852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Elevated D-dimer </w:t>
            </w:r>
          </w:p>
        </w:tc>
        <w:tc>
          <w:tcPr>
            <w:tcW w:w="1842" w:type="dxa"/>
            <w:tcBorders>
              <w:top w:val="single" w:sz="4" w:space="0" w:color="auto"/>
              <w:left w:val="single" w:sz="4" w:space="0" w:color="auto"/>
              <w:bottom w:val="single" w:sz="4" w:space="0" w:color="auto"/>
              <w:right w:val="single" w:sz="4" w:space="0" w:color="auto"/>
            </w:tcBorders>
            <w:hideMark/>
          </w:tcPr>
          <w:p w14:paraId="1133E5B7"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66 /76 (86.8%)</w:t>
            </w:r>
          </w:p>
        </w:tc>
        <w:tc>
          <w:tcPr>
            <w:tcW w:w="1843" w:type="dxa"/>
            <w:tcBorders>
              <w:top w:val="single" w:sz="4" w:space="0" w:color="auto"/>
              <w:left w:val="single" w:sz="4" w:space="0" w:color="auto"/>
              <w:bottom w:val="single" w:sz="4" w:space="0" w:color="auto"/>
              <w:right w:val="single" w:sz="4" w:space="0" w:color="auto"/>
            </w:tcBorders>
            <w:hideMark/>
          </w:tcPr>
          <w:p w14:paraId="0F0047F8"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43/53 (81.1%)</w:t>
            </w:r>
          </w:p>
        </w:tc>
        <w:tc>
          <w:tcPr>
            <w:tcW w:w="1843" w:type="dxa"/>
            <w:tcBorders>
              <w:top w:val="single" w:sz="4" w:space="0" w:color="auto"/>
              <w:left w:val="single" w:sz="4" w:space="0" w:color="auto"/>
              <w:bottom w:val="single" w:sz="4" w:space="0" w:color="auto"/>
              <w:right w:val="single" w:sz="4" w:space="0" w:color="auto"/>
            </w:tcBorders>
            <w:hideMark/>
          </w:tcPr>
          <w:p w14:paraId="18D5BF33"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23/23 (100%)</w:t>
            </w:r>
          </w:p>
        </w:tc>
        <w:tc>
          <w:tcPr>
            <w:tcW w:w="753" w:type="dxa"/>
            <w:tcBorders>
              <w:top w:val="single" w:sz="4" w:space="0" w:color="auto"/>
              <w:left w:val="single" w:sz="4" w:space="0" w:color="auto"/>
              <w:bottom w:val="single" w:sz="4" w:space="0" w:color="auto"/>
              <w:right w:val="single" w:sz="4" w:space="0" w:color="auto"/>
            </w:tcBorders>
            <w:hideMark/>
          </w:tcPr>
          <w:p w14:paraId="5B14D3A7"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b/>
                <w:color w:val="000000"/>
                <w:sz w:val="22"/>
                <w:szCs w:val="22"/>
              </w:rPr>
              <w:t>0.027</w:t>
            </w:r>
          </w:p>
        </w:tc>
      </w:tr>
      <w:tr w:rsidR="00F115AF" w:rsidRPr="00F115AF" w14:paraId="58FE0F30"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6A6833A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Elevated CRP </w:t>
            </w:r>
          </w:p>
        </w:tc>
        <w:tc>
          <w:tcPr>
            <w:tcW w:w="1842" w:type="dxa"/>
            <w:tcBorders>
              <w:top w:val="single" w:sz="4" w:space="0" w:color="auto"/>
              <w:left w:val="single" w:sz="4" w:space="0" w:color="auto"/>
              <w:bottom w:val="single" w:sz="4" w:space="0" w:color="auto"/>
              <w:right w:val="single" w:sz="4" w:space="0" w:color="auto"/>
            </w:tcBorders>
            <w:hideMark/>
          </w:tcPr>
          <w:p w14:paraId="3A93BD55"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97/102 (95.1%)</w:t>
            </w:r>
          </w:p>
        </w:tc>
        <w:tc>
          <w:tcPr>
            <w:tcW w:w="1843" w:type="dxa"/>
            <w:tcBorders>
              <w:top w:val="single" w:sz="4" w:space="0" w:color="auto"/>
              <w:left w:val="single" w:sz="4" w:space="0" w:color="auto"/>
              <w:bottom w:val="single" w:sz="4" w:space="0" w:color="auto"/>
              <w:right w:val="single" w:sz="4" w:space="0" w:color="auto"/>
            </w:tcBorders>
            <w:hideMark/>
          </w:tcPr>
          <w:p w14:paraId="50D329EA"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66/71 (93.0%)</w:t>
            </w:r>
          </w:p>
        </w:tc>
        <w:tc>
          <w:tcPr>
            <w:tcW w:w="1843" w:type="dxa"/>
            <w:tcBorders>
              <w:top w:val="single" w:sz="4" w:space="0" w:color="auto"/>
              <w:left w:val="single" w:sz="4" w:space="0" w:color="auto"/>
              <w:bottom w:val="single" w:sz="4" w:space="0" w:color="auto"/>
              <w:right w:val="single" w:sz="4" w:space="0" w:color="auto"/>
            </w:tcBorders>
            <w:hideMark/>
          </w:tcPr>
          <w:p w14:paraId="4FFBCD26"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31/31 (100%)</w:t>
            </w:r>
          </w:p>
        </w:tc>
        <w:tc>
          <w:tcPr>
            <w:tcW w:w="753" w:type="dxa"/>
            <w:tcBorders>
              <w:top w:val="single" w:sz="4" w:space="0" w:color="auto"/>
              <w:left w:val="single" w:sz="4" w:space="0" w:color="auto"/>
              <w:bottom w:val="single" w:sz="4" w:space="0" w:color="auto"/>
              <w:right w:val="single" w:sz="4" w:space="0" w:color="auto"/>
            </w:tcBorders>
            <w:hideMark/>
          </w:tcPr>
          <w:p w14:paraId="09FA0E2A"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4F28432D"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25998B8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Elevated creatine kinase </w:t>
            </w:r>
          </w:p>
        </w:tc>
        <w:tc>
          <w:tcPr>
            <w:tcW w:w="1842" w:type="dxa"/>
            <w:tcBorders>
              <w:top w:val="single" w:sz="4" w:space="0" w:color="auto"/>
              <w:left w:val="single" w:sz="4" w:space="0" w:color="auto"/>
              <w:bottom w:val="single" w:sz="4" w:space="0" w:color="auto"/>
              <w:right w:val="single" w:sz="4" w:space="0" w:color="auto"/>
            </w:tcBorders>
            <w:hideMark/>
          </w:tcPr>
          <w:p w14:paraId="0E8B049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27/66 (40.9%)</w:t>
            </w:r>
          </w:p>
        </w:tc>
        <w:tc>
          <w:tcPr>
            <w:tcW w:w="1843" w:type="dxa"/>
            <w:tcBorders>
              <w:top w:val="single" w:sz="4" w:space="0" w:color="auto"/>
              <w:left w:val="single" w:sz="4" w:space="0" w:color="auto"/>
              <w:bottom w:val="single" w:sz="4" w:space="0" w:color="auto"/>
              <w:right w:val="single" w:sz="4" w:space="0" w:color="auto"/>
            </w:tcBorders>
            <w:hideMark/>
          </w:tcPr>
          <w:p w14:paraId="063B5445"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17/43 (39.5%)</w:t>
            </w:r>
          </w:p>
        </w:tc>
        <w:tc>
          <w:tcPr>
            <w:tcW w:w="1843" w:type="dxa"/>
            <w:tcBorders>
              <w:top w:val="single" w:sz="4" w:space="0" w:color="auto"/>
              <w:left w:val="single" w:sz="4" w:space="0" w:color="auto"/>
              <w:bottom w:val="single" w:sz="4" w:space="0" w:color="auto"/>
              <w:right w:val="single" w:sz="4" w:space="0" w:color="auto"/>
            </w:tcBorders>
            <w:hideMark/>
          </w:tcPr>
          <w:p w14:paraId="2D1C9EE1"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10/23 (43.5%)</w:t>
            </w:r>
          </w:p>
        </w:tc>
        <w:tc>
          <w:tcPr>
            <w:tcW w:w="753" w:type="dxa"/>
            <w:tcBorders>
              <w:top w:val="single" w:sz="4" w:space="0" w:color="auto"/>
              <w:left w:val="single" w:sz="4" w:space="0" w:color="auto"/>
              <w:bottom w:val="single" w:sz="4" w:space="0" w:color="auto"/>
              <w:right w:val="single" w:sz="4" w:space="0" w:color="auto"/>
            </w:tcBorders>
            <w:hideMark/>
          </w:tcPr>
          <w:p w14:paraId="3E07DFFA"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07B741A5"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56A5E88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Elevated Troponin T</w:t>
            </w:r>
          </w:p>
        </w:tc>
        <w:tc>
          <w:tcPr>
            <w:tcW w:w="1842" w:type="dxa"/>
            <w:tcBorders>
              <w:top w:val="single" w:sz="4" w:space="0" w:color="auto"/>
              <w:left w:val="single" w:sz="4" w:space="0" w:color="auto"/>
              <w:bottom w:val="single" w:sz="4" w:space="0" w:color="auto"/>
              <w:right w:val="single" w:sz="4" w:space="0" w:color="auto"/>
            </w:tcBorders>
            <w:hideMark/>
          </w:tcPr>
          <w:p w14:paraId="35D6019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48/79 (60.8%)</w:t>
            </w:r>
          </w:p>
        </w:tc>
        <w:tc>
          <w:tcPr>
            <w:tcW w:w="1843" w:type="dxa"/>
            <w:tcBorders>
              <w:top w:val="single" w:sz="4" w:space="0" w:color="auto"/>
              <w:left w:val="single" w:sz="4" w:space="0" w:color="auto"/>
              <w:bottom w:val="single" w:sz="4" w:space="0" w:color="auto"/>
              <w:right w:val="single" w:sz="4" w:space="0" w:color="auto"/>
            </w:tcBorders>
            <w:hideMark/>
          </w:tcPr>
          <w:p w14:paraId="6E08F94A"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30/55 (54.5%)</w:t>
            </w:r>
          </w:p>
        </w:tc>
        <w:tc>
          <w:tcPr>
            <w:tcW w:w="1843" w:type="dxa"/>
            <w:tcBorders>
              <w:top w:val="single" w:sz="4" w:space="0" w:color="auto"/>
              <w:left w:val="single" w:sz="4" w:space="0" w:color="auto"/>
              <w:bottom w:val="single" w:sz="4" w:space="0" w:color="auto"/>
              <w:right w:val="single" w:sz="4" w:space="0" w:color="auto"/>
            </w:tcBorders>
            <w:hideMark/>
          </w:tcPr>
          <w:p w14:paraId="6950857D"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18/24 (75%)</w:t>
            </w:r>
          </w:p>
        </w:tc>
        <w:tc>
          <w:tcPr>
            <w:tcW w:w="753" w:type="dxa"/>
            <w:tcBorders>
              <w:top w:val="single" w:sz="4" w:space="0" w:color="auto"/>
              <w:left w:val="single" w:sz="4" w:space="0" w:color="auto"/>
              <w:bottom w:val="single" w:sz="4" w:space="0" w:color="auto"/>
              <w:right w:val="single" w:sz="4" w:space="0" w:color="auto"/>
            </w:tcBorders>
            <w:hideMark/>
          </w:tcPr>
          <w:p w14:paraId="511E051E"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color w:val="000000"/>
                <w:sz w:val="22"/>
                <w:szCs w:val="22"/>
              </w:rPr>
              <w:t>N.S.</w:t>
            </w:r>
          </w:p>
        </w:tc>
      </w:tr>
      <w:tr w:rsidR="00F115AF" w:rsidRPr="00F115AF" w14:paraId="68AC1CF9" w14:textId="77777777" w:rsidTr="00F115AF">
        <w:trPr>
          <w:trHeight w:val="219"/>
        </w:trPr>
        <w:tc>
          <w:tcPr>
            <w:tcW w:w="2235" w:type="dxa"/>
            <w:gridSpan w:val="2"/>
            <w:tcBorders>
              <w:top w:val="single" w:sz="4" w:space="0" w:color="auto"/>
              <w:left w:val="single" w:sz="4" w:space="0" w:color="auto"/>
              <w:bottom w:val="single" w:sz="4" w:space="0" w:color="auto"/>
              <w:right w:val="single" w:sz="4" w:space="0" w:color="auto"/>
            </w:tcBorders>
            <w:hideMark/>
          </w:tcPr>
          <w:p w14:paraId="1C5E001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Elevated ALT </w:t>
            </w:r>
          </w:p>
        </w:tc>
        <w:tc>
          <w:tcPr>
            <w:tcW w:w="1842" w:type="dxa"/>
            <w:tcBorders>
              <w:top w:val="single" w:sz="4" w:space="0" w:color="auto"/>
              <w:left w:val="single" w:sz="4" w:space="0" w:color="auto"/>
              <w:bottom w:val="single" w:sz="4" w:space="0" w:color="auto"/>
              <w:right w:val="single" w:sz="4" w:space="0" w:color="auto"/>
            </w:tcBorders>
            <w:hideMark/>
          </w:tcPr>
          <w:p w14:paraId="5D35CE6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24/97 (24.7%)</w:t>
            </w:r>
          </w:p>
        </w:tc>
        <w:tc>
          <w:tcPr>
            <w:tcW w:w="1843" w:type="dxa"/>
            <w:tcBorders>
              <w:top w:val="single" w:sz="4" w:space="0" w:color="auto"/>
              <w:left w:val="single" w:sz="4" w:space="0" w:color="auto"/>
              <w:bottom w:val="single" w:sz="4" w:space="0" w:color="auto"/>
              <w:right w:val="single" w:sz="4" w:space="0" w:color="auto"/>
            </w:tcBorders>
            <w:hideMark/>
          </w:tcPr>
          <w:p w14:paraId="743BA4F9"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13/68 (19.1%)</w:t>
            </w:r>
          </w:p>
        </w:tc>
        <w:tc>
          <w:tcPr>
            <w:tcW w:w="1843" w:type="dxa"/>
            <w:tcBorders>
              <w:top w:val="single" w:sz="4" w:space="0" w:color="auto"/>
              <w:left w:val="single" w:sz="4" w:space="0" w:color="auto"/>
              <w:bottom w:val="single" w:sz="4" w:space="0" w:color="auto"/>
              <w:right w:val="single" w:sz="4" w:space="0" w:color="auto"/>
            </w:tcBorders>
            <w:hideMark/>
          </w:tcPr>
          <w:p w14:paraId="2F34CBB6"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11/29 (37.9%)</w:t>
            </w:r>
          </w:p>
        </w:tc>
        <w:tc>
          <w:tcPr>
            <w:tcW w:w="753" w:type="dxa"/>
            <w:tcBorders>
              <w:top w:val="single" w:sz="4" w:space="0" w:color="auto"/>
              <w:left w:val="single" w:sz="4" w:space="0" w:color="auto"/>
              <w:bottom w:val="single" w:sz="4" w:space="0" w:color="auto"/>
              <w:right w:val="single" w:sz="4" w:space="0" w:color="auto"/>
            </w:tcBorders>
            <w:hideMark/>
          </w:tcPr>
          <w:p w14:paraId="1777C422"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color w:val="000000"/>
                <w:sz w:val="22"/>
                <w:szCs w:val="22"/>
              </w:rPr>
              <w:t>0.049</w:t>
            </w:r>
          </w:p>
        </w:tc>
      </w:tr>
      <w:tr w:rsidR="00F115AF" w:rsidRPr="00F115AF" w14:paraId="04274009" w14:textId="77777777" w:rsidTr="00F115AF">
        <w:trPr>
          <w:trHeight w:val="208"/>
        </w:trPr>
        <w:tc>
          <w:tcPr>
            <w:tcW w:w="2235" w:type="dxa"/>
            <w:gridSpan w:val="2"/>
            <w:tcBorders>
              <w:top w:val="single" w:sz="4" w:space="0" w:color="auto"/>
              <w:left w:val="single" w:sz="4" w:space="0" w:color="auto"/>
              <w:bottom w:val="single" w:sz="4" w:space="0" w:color="auto"/>
              <w:right w:val="single" w:sz="4" w:space="0" w:color="auto"/>
            </w:tcBorders>
            <w:hideMark/>
          </w:tcPr>
          <w:p w14:paraId="2DE0676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 xml:space="preserve">Elevated ALP </w:t>
            </w:r>
          </w:p>
        </w:tc>
        <w:tc>
          <w:tcPr>
            <w:tcW w:w="1842" w:type="dxa"/>
            <w:tcBorders>
              <w:top w:val="single" w:sz="4" w:space="0" w:color="auto"/>
              <w:left w:val="single" w:sz="4" w:space="0" w:color="auto"/>
              <w:bottom w:val="single" w:sz="4" w:space="0" w:color="auto"/>
              <w:right w:val="single" w:sz="4" w:space="0" w:color="auto"/>
            </w:tcBorders>
            <w:hideMark/>
          </w:tcPr>
          <w:p w14:paraId="14EAD5CC"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18/101 (17.8%)</w:t>
            </w:r>
          </w:p>
        </w:tc>
        <w:tc>
          <w:tcPr>
            <w:tcW w:w="1843" w:type="dxa"/>
            <w:tcBorders>
              <w:top w:val="single" w:sz="4" w:space="0" w:color="auto"/>
              <w:left w:val="single" w:sz="4" w:space="0" w:color="auto"/>
              <w:bottom w:val="single" w:sz="4" w:space="0" w:color="auto"/>
              <w:right w:val="single" w:sz="4" w:space="0" w:color="auto"/>
            </w:tcBorders>
            <w:hideMark/>
          </w:tcPr>
          <w:p w14:paraId="1018B99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7/70 (10%)</w:t>
            </w:r>
          </w:p>
        </w:tc>
        <w:tc>
          <w:tcPr>
            <w:tcW w:w="1843" w:type="dxa"/>
            <w:tcBorders>
              <w:top w:val="single" w:sz="4" w:space="0" w:color="auto"/>
              <w:left w:val="single" w:sz="4" w:space="0" w:color="auto"/>
              <w:bottom w:val="single" w:sz="4" w:space="0" w:color="auto"/>
              <w:right w:val="single" w:sz="4" w:space="0" w:color="auto"/>
            </w:tcBorders>
            <w:hideMark/>
          </w:tcPr>
          <w:p w14:paraId="1F95B951"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11/31(35.5%)</w:t>
            </w:r>
          </w:p>
        </w:tc>
        <w:tc>
          <w:tcPr>
            <w:tcW w:w="753" w:type="dxa"/>
            <w:tcBorders>
              <w:top w:val="single" w:sz="4" w:space="0" w:color="auto"/>
              <w:left w:val="single" w:sz="4" w:space="0" w:color="auto"/>
              <w:bottom w:val="single" w:sz="4" w:space="0" w:color="auto"/>
              <w:right w:val="single" w:sz="4" w:space="0" w:color="auto"/>
            </w:tcBorders>
            <w:hideMark/>
          </w:tcPr>
          <w:p w14:paraId="4DF326E0" w14:textId="77777777" w:rsidR="00F115AF" w:rsidRPr="00F115AF" w:rsidRDefault="00F115AF" w:rsidP="00F115AF">
            <w:pPr>
              <w:spacing w:line="480" w:lineRule="auto"/>
              <w:ind w:hanging="720"/>
              <w:rPr>
                <w:rFonts w:ascii="Calibri" w:eastAsia="Times New Roman" w:hAnsi="Calibri"/>
                <w:b/>
                <w:color w:val="000000"/>
                <w:sz w:val="22"/>
                <w:szCs w:val="22"/>
              </w:rPr>
            </w:pPr>
            <w:r w:rsidRPr="00F115AF">
              <w:rPr>
                <w:rFonts w:ascii="Calibri" w:eastAsia="Times New Roman" w:hAnsi="Calibri"/>
                <w:color w:val="000000"/>
                <w:sz w:val="22"/>
                <w:szCs w:val="22"/>
              </w:rPr>
              <w:t>0.002</w:t>
            </w:r>
          </w:p>
        </w:tc>
      </w:tr>
      <w:tr w:rsidR="00F115AF" w:rsidRPr="00F115AF" w14:paraId="40179CAC" w14:textId="77777777" w:rsidTr="00F115AF">
        <w:trPr>
          <w:trHeight w:val="423"/>
        </w:trPr>
        <w:tc>
          <w:tcPr>
            <w:tcW w:w="2235" w:type="dxa"/>
            <w:gridSpan w:val="2"/>
            <w:tcBorders>
              <w:top w:val="single" w:sz="4" w:space="0" w:color="auto"/>
              <w:left w:val="single" w:sz="4" w:space="0" w:color="auto"/>
              <w:bottom w:val="single" w:sz="4" w:space="0" w:color="auto"/>
              <w:right w:val="single" w:sz="4" w:space="0" w:color="auto"/>
            </w:tcBorders>
            <w:hideMark/>
          </w:tcPr>
          <w:p w14:paraId="70D058E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Elevated LDH</w:t>
            </w:r>
          </w:p>
        </w:tc>
        <w:tc>
          <w:tcPr>
            <w:tcW w:w="1842" w:type="dxa"/>
            <w:tcBorders>
              <w:top w:val="single" w:sz="4" w:space="0" w:color="auto"/>
              <w:left w:val="single" w:sz="4" w:space="0" w:color="auto"/>
              <w:bottom w:val="single" w:sz="4" w:space="0" w:color="auto"/>
              <w:right w:val="single" w:sz="4" w:space="0" w:color="auto"/>
            </w:tcBorders>
            <w:hideMark/>
          </w:tcPr>
          <w:p w14:paraId="03EEB81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47/62 (75.8%)</w:t>
            </w:r>
          </w:p>
        </w:tc>
        <w:tc>
          <w:tcPr>
            <w:tcW w:w="1843" w:type="dxa"/>
            <w:tcBorders>
              <w:top w:val="single" w:sz="4" w:space="0" w:color="auto"/>
              <w:left w:val="single" w:sz="4" w:space="0" w:color="auto"/>
              <w:bottom w:val="single" w:sz="4" w:space="0" w:color="auto"/>
              <w:right w:val="single" w:sz="4" w:space="0" w:color="auto"/>
            </w:tcBorders>
            <w:hideMark/>
          </w:tcPr>
          <w:p w14:paraId="7819D41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34/46 (73.9%)</w:t>
            </w:r>
          </w:p>
        </w:tc>
        <w:tc>
          <w:tcPr>
            <w:tcW w:w="1843" w:type="dxa"/>
            <w:tcBorders>
              <w:top w:val="single" w:sz="4" w:space="0" w:color="auto"/>
              <w:left w:val="single" w:sz="4" w:space="0" w:color="auto"/>
              <w:bottom w:val="single" w:sz="4" w:space="0" w:color="auto"/>
              <w:right w:val="single" w:sz="4" w:space="0" w:color="auto"/>
            </w:tcBorders>
            <w:hideMark/>
          </w:tcPr>
          <w:p w14:paraId="11EBB42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13/16 (81.3%)</w:t>
            </w:r>
          </w:p>
        </w:tc>
        <w:tc>
          <w:tcPr>
            <w:tcW w:w="753" w:type="dxa"/>
            <w:tcBorders>
              <w:top w:val="single" w:sz="4" w:space="0" w:color="auto"/>
              <w:left w:val="single" w:sz="4" w:space="0" w:color="auto"/>
              <w:bottom w:val="single" w:sz="4" w:space="0" w:color="auto"/>
              <w:right w:val="single" w:sz="4" w:space="0" w:color="auto"/>
            </w:tcBorders>
            <w:hideMark/>
          </w:tcPr>
          <w:p w14:paraId="1A6C1969"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79801D5A" w14:textId="77777777" w:rsidTr="00F115AF">
        <w:trPr>
          <w:trHeight w:val="557"/>
        </w:trPr>
        <w:tc>
          <w:tcPr>
            <w:tcW w:w="2235" w:type="dxa"/>
            <w:gridSpan w:val="2"/>
            <w:tcBorders>
              <w:top w:val="single" w:sz="4" w:space="0" w:color="auto"/>
              <w:left w:val="single" w:sz="4" w:space="0" w:color="auto"/>
              <w:bottom w:val="single" w:sz="4" w:space="0" w:color="auto"/>
              <w:right w:val="single" w:sz="4" w:space="0" w:color="auto"/>
            </w:tcBorders>
            <w:hideMark/>
          </w:tcPr>
          <w:p w14:paraId="64E24FE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Elevated ferritin</w:t>
            </w:r>
          </w:p>
        </w:tc>
        <w:tc>
          <w:tcPr>
            <w:tcW w:w="1842" w:type="dxa"/>
            <w:tcBorders>
              <w:top w:val="single" w:sz="4" w:space="0" w:color="auto"/>
              <w:left w:val="single" w:sz="4" w:space="0" w:color="auto"/>
              <w:bottom w:val="single" w:sz="4" w:space="0" w:color="auto"/>
              <w:right w:val="single" w:sz="4" w:space="0" w:color="auto"/>
            </w:tcBorders>
            <w:hideMark/>
          </w:tcPr>
          <w:p w14:paraId="5920D79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54/83 (65.1%)</w:t>
            </w:r>
          </w:p>
        </w:tc>
        <w:tc>
          <w:tcPr>
            <w:tcW w:w="1843" w:type="dxa"/>
            <w:tcBorders>
              <w:top w:val="single" w:sz="4" w:space="0" w:color="auto"/>
              <w:left w:val="single" w:sz="4" w:space="0" w:color="auto"/>
              <w:bottom w:val="single" w:sz="4" w:space="0" w:color="auto"/>
              <w:right w:val="single" w:sz="4" w:space="0" w:color="auto"/>
            </w:tcBorders>
            <w:hideMark/>
          </w:tcPr>
          <w:p w14:paraId="5BFC9BCB"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37/57 (64.9%)</w:t>
            </w:r>
          </w:p>
        </w:tc>
        <w:tc>
          <w:tcPr>
            <w:tcW w:w="1843" w:type="dxa"/>
            <w:tcBorders>
              <w:top w:val="single" w:sz="4" w:space="0" w:color="auto"/>
              <w:left w:val="single" w:sz="4" w:space="0" w:color="auto"/>
              <w:bottom w:val="single" w:sz="4" w:space="0" w:color="auto"/>
              <w:right w:val="single" w:sz="4" w:space="0" w:color="auto"/>
            </w:tcBorders>
            <w:hideMark/>
          </w:tcPr>
          <w:p w14:paraId="04F19AF5"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17/26 (65.4%)</w:t>
            </w:r>
          </w:p>
        </w:tc>
        <w:tc>
          <w:tcPr>
            <w:tcW w:w="753" w:type="dxa"/>
            <w:tcBorders>
              <w:top w:val="single" w:sz="4" w:space="0" w:color="auto"/>
              <w:left w:val="single" w:sz="4" w:space="0" w:color="auto"/>
              <w:bottom w:val="single" w:sz="4" w:space="0" w:color="auto"/>
              <w:right w:val="single" w:sz="4" w:space="0" w:color="auto"/>
            </w:tcBorders>
            <w:hideMark/>
          </w:tcPr>
          <w:p w14:paraId="43D2652C"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N.S.</w:t>
            </w:r>
          </w:p>
        </w:tc>
      </w:tr>
      <w:tr w:rsidR="00F115AF" w:rsidRPr="00F115AF" w14:paraId="4EF9CAE4" w14:textId="77777777" w:rsidTr="00F115AF">
        <w:trPr>
          <w:trHeight w:val="409"/>
        </w:trPr>
        <w:tc>
          <w:tcPr>
            <w:tcW w:w="2235" w:type="dxa"/>
            <w:gridSpan w:val="2"/>
            <w:tcBorders>
              <w:top w:val="single" w:sz="4" w:space="0" w:color="auto"/>
              <w:left w:val="single" w:sz="4" w:space="0" w:color="auto"/>
              <w:bottom w:val="single" w:sz="4" w:space="0" w:color="auto"/>
              <w:right w:val="single" w:sz="4" w:space="0" w:color="auto"/>
            </w:tcBorders>
          </w:tcPr>
          <w:p w14:paraId="42F2F3C4" w14:textId="77777777" w:rsidR="00F115AF" w:rsidRPr="00F115AF" w:rsidRDefault="00F115AF" w:rsidP="00F115AF">
            <w:pPr>
              <w:spacing w:line="480" w:lineRule="auto"/>
              <w:rPr>
                <w:rFonts w:ascii="Calibri" w:eastAsia="Times New Roman" w:hAnsi="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D7E7998" w14:textId="77777777" w:rsidR="00F115AF" w:rsidRPr="00F115AF" w:rsidRDefault="00F115AF" w:rsidP="00F115AF">
            <w:pPr>
              <w:spacing w:line="480" w:lineRule="auto"/>
              <w:rPr>
                <w:rFonts w:ascii="Calibri" w:eastAsia="Times New Roman" w:hAnsi="Calibri"/>
                <w:color w:val="010205"/>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0BC2C9" w14:textId="77777777" w:rsidR="00F115AF" w:rsidRPr="00F115AF" w:rsidRDefault="00F115AF" w:rsidP="00F115AF">
            <w:pPr>
              <w:spacing w:line="480" w:lineRule="auto"/>
              <w:ind w:hanging="720"/>
              <w:rPr>
                <w:rFonts w:ascii="Calibri" w:eastAsia="Times New Roman" w:hAnsi="Calibri"/>
                <w:color w:val="010205"/>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63CA1E9" w14:textId="77777777" w:rsidR="00F115AF" w:rsidRPr="00F115AF" w:rsidRDefault="00F115AF" w:rsidP="00F115AF">
            <w:pPr>
              <w:spacing w:line="480" w:lineRule="auto"/>
              <w:ind w:hanging="720"/>
              <w:rPr>
                <w:rFonts w:ascii="Calibri" w:eastAsia="Times New Roman" w:hAnsi="Calibri"/>
                <w:color w:val="010205"/>
                <w:sz w:val="22"/>
                <w:szCs w:val="22"/>
              </w:rPr>
            </w:pPr>
          </w:p>
        </w:tc>
        <w:tc>
          <w:tcPr>
            <w:tcW w:w="753" w:type="dxa"/>
            <w:tcBorders>
              <w:top w:val="single" w:sz="4" w:space="0" w:color="auto"/>
              <w:left w:val="single" w:sz="4" w:space="0" w:color="auto"/>
              <w:bottom w:val="single" w:sz="4" w:space="0" w:color="auto"/>
              <w:right w:val="single" w:sz="4" w:space="0" w:color="auto"/>
            </w:tcBorders>
          </w:tcPr>
          <w:p w14:paraId="0F1C6275" w14:textId="77777777" w:rsidR="00F115AF" w:rsidRPr="00F115AF" w:rsidRDefault="00F115AF" w:rsidP="00F115AF">
            <w:pPr>
              <w:spacing w:line="480" w:lineRule="auto"/>
              <w:ind w:hanging="720"/>
              <w:rPr>
                <w:rFonts w:ascii="Calibri" w:eastAsia="Times New Roman" w:hAnsi="Calibri"/>
                <w:b/>
                <w:color w:val="010205"/>
                <w:sz w:val="22"/>
                <w:szCs w:val="22"/>
              </w:rPr>
            </w:pPr>
          </w:p>
        </w:tc>
      </w:tr>
      <w:tr w:rsidR="00F115AF" w:rsidRPr="00F115AF" w14:paraId="677CC6E5" w14:textId="77777777" w:rsidTr="00F115AF">
        <w:trPr>
          <w:trHeight w:val="409"/>
        </w:trPr>
        <w:tc>
          <w:tcPr>
            <w:tcW w:w="2235" w:type="dxa"/>
            <w:gridSpan w:val="2"/>
            <w:tcBorders>
              <w:top w:val="single" w:sz="4" w:space="0" w:color="auto"/>
              <w:left w:val="single" w:sz="4" w:space="0" w:color="auto"/>
              <w:bottom w:val="single" w:sz="4" w:space="0" w:color="auto"/>
              <w:right w:val="single" w:sz="4" w:space="0" w:color="auto"/>
            </w:tcBorders>
            <w:hideMark/>
          </w:tcPr>
          <w:p w14:paraId="5FE962FE" w14:textId="77777777" w:rsidR="00F115AF" w:rsidRPr="00F115AF" w:rsidRDefault="00F115AF" w:rsidP="00F115AF">
            <w:pPr>
              <w:spacing w:line="480" w:lineRule="auto"/>
              <w:rPr>
                <w:rFonts w:ascii="Calibri" w:eastAsia="Times New Roman" w:hAnsi="Calibri"/>
                <w:b/>
                <w:bCs/>
                <w:color w:val="000000"/>
                <w:sz w:val="22"/>
                <w:szCs w:val="22"/>
              </w:rPr>
            </w:pPr>
            <w:r w:rsidRPr="00F115AF">
              <w:rPr>
                <w:rFonts w:ascii="Calibri" w:eastAsia="Times New Roman" w:hAnsi="Calibri"/>
                <w:b/>
                <w:bCs/>
                <w:color w:val="000000"/>
                <w:sz w:val="22"/>
                <w:szCs w:val="22"/>
              </w:rPr>
              <w:t>CXR findings</w:t>
            </w:r>
          </w:p>
        </w:tc>
        <w:tc>
          <w:tcPr>
            <w:tcW w:w="1842" w:type="dxa"/>
            <w:tcBorders>
              <w:top w:val="single" w:sz="4" w:space="0" w:color="auto"/>
              <w:left w:val="single" w:sz="4" w:space="0" w:color="auto"/>
              <w:bottom w:val="single" w:sz="4" w:space="0" w:color="auto"/>
              <w:right w:val="single" w:sz="4" w:space="0" w:color="auto"/>
            </w:tcBorders>
          </w:tcPr>
          <w:p w14:paraId="1787A622" w14:textId="77777777" w:rsidR="00F115AF" w:rsidRPr="00F115AF" w:rsidRDefault="00F115AF" w:rsidP="00F115AF">
            <w:pPr>
              <w:spacing w:line="480" w:lineRule="auto"/>
              <w:rPr>
                <w:rFonts w:ascii="Calibri" w:eastAsia="Times New Roman" w:hAnsi="Calibri"/>
                <w:color w:val="010205"/>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FD237E" w14:textId="77777777" w:rsidR="00F115AF" w:rsidRPr="00F115AF" w:rsidRDefault="00F115AF" w:rsidP="00F115AF">
            <w:pPr>
              <w:spacing w:line="480" w:lineRule="auto"/>
              <w:ind w:hanging="720"/>
              <w:rPr>
                <w:rFonts w:ascii="Calibri" w:eastAsia="Times New Roman" w:hAnsi="Calibri"/>
                <w:color w:val="010205"/>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477B02" w14:textId="77777777" w:rsidR="00F115AF" w:rsidRPr="00F115AF" w:rsidRDefault="00F115AF" w:rsidP="00F115AF">
            <w:pPr>
              <w:spacing w:line="480" w:lineRule="auto"/>
              <w:ind w:hanging="720"/>
              <w:rPr>
                <w:rFonts w:ascii="Calibri" w:eastAsia="Times New Roman" w:hAnsi="Calibri"/>
                <w:color w:val="010205"/>
                <w:sz w:val="22"/>
                <w:szCs w:val="22"/>
              </w:rPr>
            </w:pPr>
          </w:p>
        </w:tc>
        <w:tc>
          <w:tcPr>
            <w:tcW w:w="753" w:type="dxa"/>
            <w:tcBorders>
              <w:top w:val="single" w:sz="4" w:space="0" w:color="auto"/>
              <w:left w:val="single" w:sz="4" w:space="0" w:color="auto"/>
              <w:bottom w:val="single" w:sz="4" w:space="0" w:color="auto"/>
              <w:right w:val="single" w:sz="4" w:space="0" w:color="auto"/>
            </w:tcBorders>
          </w:tcPr>
          <w:p w14:paraId="4446B439" w14:textId="77777777" w:rsidR="00F115AF" w:rsidRPr="00F115AF" w:rsidRDefault="00F115AF" w:rsidP="00F115AF">
            <w:pPr>
              <w:spacing w:line="480" w:lineRule="auto"/>
              <w:ind w:hanging="720"/>
              <w:rPr>
                <w:rFonts w:ascii="Calibri" w:eastAsia="Times New Roman" w:hAnsi="Calibri"/>
                <w:b/>
                <w:color w:val="010205"/>
                <w:sz w:val="22"/>
                <w:szCs w:val="22"/>
              </w:rPr>
            </w:pPr>
          </w:p>
        </w:tc>
      </w:tr>
      <w:tr w:rsidR="00F115AF" w:rsidRPr="00F115AF" w14:paraId="05FD627A" w14:textId="77777777" w:rsidTr="00F115AF">
        <w:trPr>
          <w:trHeight w:val="429"/>
        </w:trPr>
        <w:tc>
          <w:tcPr>
            <w:tcW w:w="903" w:type="dxa"/>
            <w:tcBorders>
              <w:top w:val="single" w:sz="4" w:space="0" w:color="auto"/>
              <w:left w:val="single" w:sz="4" w:space="0" w:color="auto"/>
              <w:bottom w:val="single" w:sz="4" w:space="0" w:color="auto"/>
              <w:right w:val="single" w:sz="4" w:space="0" w:color="auto"/>
            </w:tcBorders>
          </w:tcPr>
          <w:p w14:paraId="38E73761" w14:textId="77777777" w:rsidR="00F115AF" w:rsidRPr="00F115AF" w:rsidRDefault="00F115AF" w:rsidP="00F115AF">
            <w:pPr>
              <w:spacing w:line="480" w:lineRule="auto"/>
              <w:rPr>
                <w:rFonts w:ascii="Calibri" w:eastAsia="Times New Roman" w:hAnsi="Calibri"/>
                <w:b/>
                <w:bCs/>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14:paraId="1944453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Normal</w:t>
            </w:r>
          </w:p>
        </w:tc>
        <w:tc>
          <w:tcPr>
            <w:tcW w:w="1842" w:type="dxa"/>
            <w:tcBorders>
              <w:top w:val="single" w:sz="4" w:space="0" w:color="auto"/>
              <w:left w:val="single" w:sz="4" w:space="0" w:color="auto"/>
              <w:bottom w:val="single" w:sz="4" w:space="0" w:color="auto"/>
              <w:right w:val="single" w:sz="4" w:space="0" w:color="auto"/>
            </w:tcBorders>
            <w:hideMark/>
          </w:tcPr>
          <w:p w14:paraId="6B1FA1DF"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31/99 (31.3%)</w:t>
            </w:r>
          </w:p>
        </w:tc>
        <w:tc>
          <w:tcPr>
            <w:tcW w:w="1843" w:type="dxa"/>
            <w:tcBorders>
              <w:top w:val="single" w:sz="4" w:space="0" w:color="auto"/>
              <w:left w:val="single" w:sz="4" w:space="0" w:color="auto"/>
              <w:bottom w:val="single" w:sz="4" w:space="0" w:color="auto"/>
              <w:right w:val="single" w:sz="4" w:space="0" w:color="auto"/>
            </w:tcBorders>
            <w:hideMark/>
          </w:tcPr>
          <w:p w14:paraId="3791DAE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27/70 (38.6%)</w:t>
            </w:r>
          </w:p>
        </w:tc>
        <w:tc>
          <w:tcPr>
            <w:tcW w:w="1843" w:type="dxa"/>
            <w:tcBorders>
              <w:top w:val="single" w:sz="4" w:space="0" w:color="auto"/>
              <w:left w:val="single" w:sz="4" w:space="0" w:color="auto"/>
              <w:bottom w:val="single" w:sz="4" w:space="0" w:color="auto"/>
              <w:right w:val="single" w:sz="4" w:space="0" w:color="auto"/>
            </w:tcBorders>
            <w:hideMark/>
          </w:tcPr>
          <w:p w14:paraId="7186AEBF"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4/29 (13.8%)</w:t>
            </w:r>
          </w:p>
        </w:tc>
        <w:tc>
          <w:tcPr>
            <w:tcW w:w="753" w:type="dxa"/>
            <w:vMerge w:val="restart"/>
            <w:tcBorders>
              <w:top w:val="single" w:sz="4" w:space="0" w:color="auto"/>
              <w:left w:val="single" w:sz="4" w:space="0" w:color="auto"/>
              <w:bottom w:val="single" w:sz="4" w:space="0" w:color="auto"/>
              <w:right w:val="single" w:sz="4" w:space="0" w:color="auto"/>
            </w:tcBorders>
            <w:hideMark/>
          </w:tcPr>
          <w:p w14:paraId="56EABA6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b/>
                <w:color w:val="010205"/>
                <w:sz w:val="22"/>
                <w:szCs w:val="22"/>
              </w:rPr>
              <w:t>0.021</w:t>
            </w:r>
          </w:p>
        </w:tc>
      </w:tr>
      <w:tr w:rsidR="00F115AF" w:rsidRPr="00F115AF" w14:paraId="3AB7A7C7" w14:textId="77777777" w:rsidTr="00F115AF">
        <w:trPr>
          <w:trHeight w:val="406"/>
        </w:trPr>
        <w:tc>
          <w:tcPr>
            <w:tcW w:w="903" w:type="dxa"/>
            <w:tcBorders>
              <w:top w:val="single" w:sz="4" w:space="0" w:color="auto"/>
              <w:left w:val="single" w:sz="4" w:space="0" w:color="auto"/>
              <w:bottom w:val="single" w:sz="4" w:space="0" w:color="auto"/>
              <w:right w:val="single" w:sz="4" w:space="0" w:color="auto"/>
            </w:tcBorders>
          </w:tcPr>
          <w:p w14:paraId="64B7951F" w14:textId="77777777" w:rsidR="00F115AF" w:rsidRPr="00F115AF" w:rsidRDefault="00F115AF" w:rsidP="00F115AF">
            <w:pPr>
              <w:spacing w:line="480" w:lineRule="auto"/>
              <w:rPr>
                <w:rFonts w:ascii="Calibri" w:eastAsia="Times New Roman" w:hAnsi="Calibri"/>
                <w:b/>
                <w:bCs/>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14:paraId="71E0A5F1"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Unilateral changes</w:t>
            </w:r>
          </w:p>
        </w:tc>
        <w:tc>
          <w:tcPr>
            <w:tcW w:w="1842" w:type="dxa"/>
            <w:tcBorders>
              <w:top w:val="single" w:sz="4" w:space="0" w:color="auto"/>
              <w:left w:val="single" w:sz="4" w:space="0" w:color="auto"/>
              <w:bottom w:val="single" w:sz="4" w:space="0" w:color="auto"/>
              <w:right w:val="single" w:sz="4" w:space="0" w:color="auto"/>
            </w:tcBorders>
            <w:hideMark/>
          </w:tcPr>
          <w:p w14:paraId="524B0D07"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26/99 (26.3%)</w:t>
            </w:r>
          </w:p>
        </w:tc>
        <w:tc>
          <w:tcPr>
            <w:tcW w:w="1843" w:type="dxa"/>
            <w:tcBorders>
              <w:top w:val="single" w:sz="4" w:space="0" w:color="auto"/>
              <w:left w:val="single" w:sz="4" w:space="0" w:color="auto"/>
              <w:bottom w:val="single" w:sz="4" w:space="0" w:color="auto"/>
              <w:right w:val="single" w:sz="4" w:space="0" w:color="auto"/>
            </w:tcBorders>
            <w:hideMark/>
          </w:tcPr>
          <w:p w14:paraId="243FB6C3"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19/70 (27.1%)</w:t>
            </w:r>
          </w:p>
        </w:tc>
        <w:tc>
          <w:tcPr>
            <w:tcW w:w="1843" w:type="dxa"/>
            <w:tcBorders>
              <w:top w:val="single" w:sz="4" w:space="0" w:color="auto"/>
              <w:left w:val="single" w:sz="4" w:space="0" w:color="auto"/>
              <w:bottom w:val="single" w:sz="4" w:space="0" w:color="auto"/>
              <w:right w:val="single" w:sz="4" w:space="0" w:color="auto"/>
            </w:tcBorders>
            <w:hideMark/>
          </w:tcPr>
          <w:p w14:paraId="3B531BED"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7 /29 (24.1%)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318B4" w14:textId="77777777" w:rsidR="00F115AF" w:rsidRPr="00F115AF" w:rsidRDefault="00F115AF" w:rsidP="00F115AF">
            <w:pPr>
              <w:rPr>
                <w:rFonts w:ascii="Calibri" w:eastAsia="Times New Roman" w:hAnsi="Calibri"/>
                <w:color w:val="000000"/>
                <w:sz w:val="22"/>
                <w:szCs w:val="22"/>
              </w:rPr>
            </w:pPr>
          </w:p>
        </w:tc>
      </w:tr>
      <w:tr w:rsidR="00F115AF" w:rsidRPr="00F115AF" w14:paraId="15CA29F3" w14:textId="77777777" w:rsidTr="00F115AF">
        <w:trPr>
          <w:trHeight w:val="520"/>
        </w:trPr>
        <w:tc>
          <w:tcPr>
            <w:tcW w:w="903" w:type="dxa"/>
            <w:tcBorders>
              <w:top w:val="single" w:sz="4" w:space="0" w:color="auto"/>
              <w:left w:val="single" w:sz="4" w:space="0" w:color="auto"/>
              <w:bottom w:val="single" w:sz="4" w:space="0" w:color="auto"/>
              <w:right w:val="single" w:sz="4" w:space="0" w:color="auto"/>
            </w:tcBorders>
          </w:tcPr>
          <w:p w14:paraId="32AC56D5" w14:textId="77777777" w:rsidR="00F115AF" w:rsidRPr="00F115AF" w:rsidRDefault="00F115AF" w:rsidP="00F115AF">
            <w:pPr>
              <w:spacing w:line="480" w:lineRule="auto"/>
              <w:rPr>
                <w:rFonts w:ascii="Calibri" w:eastAsia="Times New Roman" w:hAnsi="Calibri"/>
                <w:b/>
                <w:bCs/>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14:paraId="188C058B"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Bilateral changes</w:t>
            </w:r>
          </w:p>
        </w:tc>
        <w:tc>
          <w:tcPr>
            <w:tcW w:w="1842" w:type="dxa"/>
            <w:tcBorders>
              <w:top w:val="single" w:sz="4" w:space="0" w:color="auto"/>
              <w:left w:val="single" w:sz="4" w:space="0" w:color="auto"/>
              <w:bottom w:val="single" w:sz="4" w:space="0" w:color="auto"/>
              <w:right w:val="single" w:sz="4" w:space="0" w:color="auto"/>
            </w:tcBorders>
            <w:hideMark/>
          </w:tcPr>
          <w:p w14:paraId="4EBD690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34/99 (34.3%)</w:t>
            </w:r>
          </w:p>
        </w:tc>
        <w:tc>
          <w:tcPr>
            <w:tcW w:w="1843" w:type="dxa"/>
            <w:tcBorders>
              <w:top w:val="single" w:sz="4" w:space="0" w:color="auto"/>
              <w:left w:val="single" w:sz="4" w:space="0" w:color="auto"/>
              <w:bottom w:val="single" w:sz="4" w:space="0" w:color="auto"/>
              <w:right w:val="single" w:sz="4" w:space="0" w:color="auto"/>
            </w:tcBorders>
            <w:hideMark/>
          </w:tcPr>
          <w:p w14:paraId="53723E74"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21/70 (30.0%)</w:t>
            </w:r>
          </w:p>
        </w:tc>
        <w:tc>
          <w:tcPr>
            <w:tcW w:w="1843" w:type="dxa"/>
            <w:tcBorders>
              <w:top w:val="single" w:sz="4" w:space="0" w:color="auto"/>
              <w:left w:val="single" w:sz="4" w:space="0" w:color="auto"/>
              <w:bottom w:val="single" w:sz="4" w:space="0" w:color="auto"/>
              <w:right w:val="single" w:sz="4" w:space="0" w:color="auto"/>
            </w:tcBorders>
            <w:hideMark/>
          </w:tcPr>
          <w:p w14:paraId="60D2C1FA"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13/29 (44.8%)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88BDC" w14:textId="77777777" w:rsidR="00F115AF" w:rsidRPr="00F115AF" w:rsidRDefault="00F115AF" w:rsidP="00F115AF">
            <w:pPr>
              <w:rPr>
                <w:rFonts w:ascii="Calibri" w:eastAsia="Times New Roman" w:hAnsi="Calibri"/>
                <w:color w:val="000000"/>
                <w:sz w:val="22"/>
                <w:szCs w:val="22"/>
              </w:rPr>
            </w:pPr>
          </w:p>
        </w:tc>
      </w:tr>
      <w:tr w:rsidR="00F115AF" w:rsidRPr="00F115AF" w14:paraId="4D3D143C" w14:textId="77777777" w:rsidTr="00F115AF">
        <w:trPr>
          <w:trHeight w:val="450"/>
        </w:trPr>
        <w:tc>
          <w:tcPr>
            <w:tcW w:w="903" w:type="dxa"/>
            <w:tcBorders>
              <w:top w:val="single" w:sz="4" w:space="0" w:color="auto"/>
              <w:left w:val="single" w:sz="4" w:space="0" w:color="auto"/>
              <w:bottom w:val="single" w:sz="4" w:space="0" w:color="auto"/>
              <w:right w:val="single" w:sz="4" w:space="0" w:color="auto"/>
            </w:tcBorders>
          </w:tcPr>
          <w:p w14:paraId="07B81D82" w14:textId="77777777" w:rsidR="00F115AF" w:rsidRPr="00F115AF" w:rsidRDefault="00F115AF" w:rsidP="00F115AF">
            <w:pPr>
              <w:spacing w:line="480" w:lineRule="auto"/>
              <w:rPr>
                <w:rFonts w:ascii="Calibri" w:eastAsia="Times New Roman" w:hAnsi="Calibri"/>
                <w:b/>
                <w:bCs/>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14:paraId="3D50A99E"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Other</w:t>
            </w:r>
          </w:p>
        </w:tc>
        <w:tc>
          <w:tcPr>
            <w:tcW w:w="1842" w:type="dxa"/>
            <w:tcBorders>
              <w:top w:val="single" w:sz="4" w:space="0" w:color="auto"/>
              <w:left w:val="single" w:sz="4" w:space="0" w:color="auto"/>
              <w:bottom w:val="single" w:sz="4" w:space="0" w:color="auto"/>
              <w:right w:val="single" w:sz="4" w:space="0" w:color="auto"/>
            </w:tcBorders>
            <w:hideMark/>
          </w:tcPr>
          <w:p w14:paraId="5A87DE60" w14:textId="77777777" w:rsidR="00F115AF" w:rsidRPr="00F115AF" w:rsidRDefault="00F115AF" w:rsidP="00F115AF">
            <w:pPr>
              <w:spacing w:line="480" w:lineRule="auto"/>
              <w:ind w:hanging="720"/>
              <w:rPr>
                <w:rFonts w:ascii="Calibri" w:eastAsia="Times New Roman" w:hAnsi="Calibri"/>
                <w:color w:val="000000"/>
                <w:sz w:val="22"/>
                <w:szCs w:val="22"/>
              </w:rPr>
            </w:pPr>
            <w:r w:rsidRPr="00F115AF">
              <w:rPr>
                <w:rFonts w:ascii="Calibri" w:eastAsia="Times New Roman" w:hAnsi="Calibri"/>
                <w:color w:val="000000"/>
                <w:sz w:val="22"/>
                <w:szCs w:val="22"/>
              </w:rPr>
              <w:t>8/99 (8.1%)</w:t>
            </w:r>
          </w:p>
        </w:tc>
        <w:tc>
          <w:tcPr>
            <w:tcW w:w="1843" w:type="dxa"/>
            <w:tcBorders>
              <w:top w:val="single" w:sz="4" w:space="0" w:color="auto"/>
              <w:left w:val="single" w:sz="4" w:space="0" w:color="auto"/>
              <w:bottom w:val="single" w:sz="4" w:space="0" w:color="auto"/>
              <w:right w:val="single" w:sz="4" w:space="0" w:color="auto"/>
            </w:tcBorders>
            <w:hideMark/>
          </w:tcPr>
          <w:p w14:paraId="296AE9C2"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3/70 (4.3%)</w:t>
            </w:r>
          </w:p>
        </w:tc>
        <w:tc>
          <w:tcPr>
            <w:tcW w:w="1843" w:type="dxa"/>
            <w:tcBorders>
              <w:top w:val="single" w:sz="4" w:space="0" w:color="auto"/>
              <w:left w:val="single" w:sz="4" w:space="0" w:color="auto"/>
              <w:bottom w:val="single" w:sz="4" w:space="0" w:color="auto"/>
              <w:right w:val="single" w:sz="4" w:space="0" w:color="auto"/>
            </w:tcBorders>
            <w:hideMark/>
          </w:tcPr>
          <w:p w14:paraId="05968C00" w14:textId="77777777" w:rsidR="00F115AF" w:rsidRPr="00F115AF" w:rsidRDefault="00F115AF" w:rsidP="00F115AF">
            <w:pPr>
              <w:spacing w:line="480" w:lineRule="auto"/>
              <w:rPr>
                <w:rFonts w:ascii="Calibri" w:eastAsia="Times New Roman" w:hAnsi="Calibri"/>
                <w:color w:val="000000"/>
                <w:sz w:val="22"/>
                <w:szCs w:val="22"/>
              </w:rPr>
            </w:pPr>
            <w:r w:rsidRPr="00F115AF">
              <w:rPr>
                <w:rFonts w:ascii="Calibri" w:eastAsia="Times New Roman" w:hAnsi="Calibri"/>
                <w:color w:val="000000"/>
                <w:sz w:val="22"/>
                <w:szCs w:val="22"/>
              </w:rPr>
              <w:t>5/29 (17.2%)</w:t>
            </w:r>
          </w:p>
        </w:tc>
        <w:tc>
          <w:tcPr>
            <w:tcW w:w="753" w:type="dxa"/>
            <w:tcBorders>
              <w:top w:val="single" w:sz="4" w:space="0" w:color="auto"/>
              <w:left w:val="single" w:sz="4" w:space="0" w:color="auto"/>
              <w:bottom w:val="single" w:sz="4" w:space="0" w:color="auto"/>
              <w:right w:val="single" w:sz="4" w:space="0" w:color="auto"/>
            </w:tcBorders>
          </w:tcPr>
          <w:p w14:paraId="7B858B47" w14:textId="77777777" w:rsidR="00F115AF" w:rsidRPr="00F115AF" w:rsidRDefault="00F115AF" w:rsidP="00F115AF">
            <w:pPr>
              <w:spacing w:line="480" w:lineRule="auto"/>
              <w:rPr>
                <w:rFonts w:ascii="Calibri" w:eastAsia="Times New Roman" w:hAnsi="Calibri"/>
                <w:color w:val="000000"/>
                <w:sz w:val="22"/>
                <w:szCs w:val="22"/>
              </w:rPr>
            </w:pPr>
          </w:p>
        </w:tc>
      </w:tr>
    </w:tbl>
    <w:p w14:paraId="6E1C19DE" w14:textId="77777777" w:rsidR="00F115AF" w:rsidRPr="00F115AF" w:rsidRDefault="00F115AF" w:rsidP="00982414">
      <w:pPr>
        <w:widowControl w:val="0"/>
        <w:autoSpaceDE w:val="0"/>
        <w:autoSpaceDN w:val="0"/>
        <w:adjustRightInd w:val="0"/>
        <w:spacing w:line="480" w:lineRule="auto"/>
        <w:ind w:left="640" w:hanging="640"/>
        <w:rPr>
          <w:rFonts w:asciiTheme="majorHAnsi" w:hAnsiTheme="majorHAnsi"/>
        </w:rPr>
      </w:pPr>
    </w:p>
    <w:sectPr w:rsidR="00F115AF" w:rsidRPr="00F115AF" w:rsidSect="00E4791C">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A6183A" w15:done="0"/>
  <w15:commentEx w15:paraId="2806BEE6" w15:done="0"/>
  <w15:commentEx w15:paraId="2186845B" w15:done="0"/>
  <w15:commentEx w15:paraId="4D2704AF" w15:done="0"/>
  <w15:commentEx w15:paraId="6E8E0D3E" w15:done="0"/>
  <w15:commentEx w15:paraId="50F84756" w15:done="0"/>
  <w15:commentEx w15:paraId="6F0E548F" w15:done="0"/>
  <w15:commentEx w15:paraId="61D8B8BA" w15:done="0"/>
  <w15:commentEx w15:paraId="771DC5EB" w15:done="0"/>
  <w15:commentEx w15:paraId="29E172AE" w15:done="0"/>
  <w15:commentEx w15:paraId="5E38CE20" w15:done="0"/>
  <w15:commentEx w15:paraId="4AA6288A" w15:done="0"/>
  <w15:commentEx w15:paraId="49F1E2DC" w15:done="0"/>
  <w15:commentEx w15:paraId="79F05FB4" w15:done="0"/>
  <w15:commentEx w15:paraId="78A4A6B9" w15:done="0"/>
  <w15:commentEx w15:paraId="5A3FE169" w15:done="0"/>
  <w15:commentEx w15:paraId="408E77DD" w15:done="0"/>
  <w15:commentEx w15:paraId="5B4F7CA8" w15:done="0"/>
  <w15:commentEx w15:paraId="2E4BEDB5" w15:done="0"/>
  <w15:commentEx w15:paraId="2BDA835C" w15:done="0"/>
  <w15:commentEx w15:paraId="23871956" w15:done="0"/>
  <w15:commentEx w15:paraId="0F19567E" w15:done="0"/>
  <w15:commentEx w15:paraId="5D5BBC23" w15:done="0"/>
  <w15:commentEx w15:paraId="66052929" w15:done="0"/>
  <w15:commentEx w15:paraId="2F18C26E" w15:done="0"/>
  <w15:commentEx w15:paraId="6F956B91" w15:done="0"/>
  <w15:commentEx w15:paraId="1E972228" w15:done="0"/>
  <w15:commentEx w15:paraId="627FB57E" w15:done="0"/>
  <w15:commentEx w15:paraId="01495613" w15:done="0"/>
  <w15:commentEx w15:paraId="35423059" w15:done="0"/>
  <w15:commentEx w15:paraId="4C667F87" w15:done="0"/>
  <w15:commentEx w15:paraId="7851C393" w15:done="0"/>
  <w15:commentEx w15:paraId="2229AEB7" w15:done="0"/>
  <w15:commentEx w15:paraId="29B75029" w15:done="0"/>
  <w15:commentEx w15:paraId="6DF49D60" w15:done="0"/>
  <w15:commentEx w15:paraId="5488C775" w15:done="0"/>
  <w15:commentEx w15:paraId="03744766" w15:done="0"/>
  <w15:commentEx w15:paraId="42A8F7F0" w15:done="0"/>
  <w15:commentEx w15:paraId="4BEC3223" w15:done="0"/>
  <w15:commentEx w15:paraId="7EFA1445" w15:done="0"/>
  <w15:commentEx w15:paraId="57C75114" w15:done="0"/>
  <w15:commentEx w15:paraId="48784DCE" w15:done="0"/>
  <w15:commentEx w15:paraId="24E13786" w15:done="0"/>
  <w15:commentEx w15:paraId="6BD8B0D1" w15:done="0"/>
  <w15:commentEx w15:paraId="58F44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CB89" w16cex:dateUtc="2021-02-02T13:00:00Z"/>
  <w16cex:commentExtensible w16cex:durableId="23C3CBF3" w16cex:dateUtc="2021-02-02T13:02:00Z"/>
  <w16cex:commentExtensible w16cex:durableId="23C3CD75" w16cex:dateUtc="2021-02-02T13:09:00Z"/>
  <w16cex:commentExtensible w16cex:durableId="23C3CDB4" w16cex:dateUtc="2021-02-02T13:10:00Z"/>
  <w16cex:commentExtensible w16cex:durableId="23C84502" w16cex:dateUtc="2021-02-05T22:28:00Z"/>
  <w16cex:commentExtensible w16cex:durableId="23C3CEF1" w16cex:dateUtc="2021-02-02T13:15:00Z"/>
  <w16cex:commentExtensible w16cex:durableId="23C3CF5C" w16cex:dateUtc="2021-02-02T13:17:00Z"/>
  <w16cex:commentExtensible w16cex:durableId="23C3D9FC" w16cex:dateUtc="2021-02-02T14:02:00Z"/>
  <w16cex:commentExtensible w16cex:durableId="23C3DA3F" w16cex:dateUtc="2021-02-02T14:03:00Z"/>
  <w16cex:commentExtensible w16cex:durableId="23C3DC67" w16cex:dateUtc="2021-02-02T14:12:00Z"/>
  <w16cex:commentExtensible w16cex:durableId="23C3DD9B" w16cex:dateUtc="2021-02-02T14:18:00Z"/>
  <w16cex:commentExtensible w16cex:durableId="23C3DDF7" w16cex:dateUtc="2021-02-02T14:19:00Z"/>
  <w16cex:commentExtensible w16cex:durableId="23C3DE20" w16cex:dateUtc="2021-02-02T14:20:00Z"/>
  <w16cex:commentExtensible w16cex:durableId="23C3DE3E" w16cex:dateUtc="2021-02-02T14:20:00Z"/>
  <w16cex:commentExtensible w16cex:durableId="23C3DE5C" w16cex:dateUtc="2021-02-02T14:21:00Z"/>
  <w16cex:commentExtensible w16cex:durableId="23C3DEEA" w16cex:dateUtc="2021-02-02T14:23:00Z"/>
  <w16cex:commentExtensible w16cex:durableId="23C3E745" w16cex:dateUtc="2021-02-02T14:59:00Z"/>
  <w16cex:commentExtensible w16cex:durableId="23C3E7B2" w16cex:dateUtc="2021-02-02T15:01:00Z"/>
  <w16cex:commentExtensible w16cex:durableId="23C3E841" w16cex:dateUtc="2021-02-02T15:03:00Z"/>
  <w16cex:commentExtensible w16cex:durableId="23C3E8F8" w16cex:dateUtc="2021-02-02T15:06:00Z"/>
  <w16cex:commentExtensible w16cex:durableId="23C3E923" w16cex:dateUtc="2021-02-02T15:07:00Z"/>
  <w16cex:commentExtensible w16cex:durableId="23C3E96A" w16cex:dateUtc="2021-02-02T15:08:00Z"/>
  <w16cex:commentExtensible w16cex:durableId="23C3EA06" w16cex:dateUtc="2021-02-02T15:11:00Z"/>
  <w16cex:commentExtensible w16cex:durableId="23C3EA45" w16cex:dateUtc="2021-02-02T15:12:00Z"/>
  <w16cex:commentExtensible w16cex:durableId="23C3EA50" w16cex:dateUtc="2021-02-02T15:12:00Z"/>
  <w16cex:commentExtensible w16cex:durableId="23C3EA6E" w16cex:dateUtc="2021-02-02T15:12:00Z"/>
  <w16cex:commentExtensible w16cex:durableId="23C3EAAF" w16cex:dateUtc="2021-02-02T15:13:00Z"/>
  <w16cex:commentExtensible w16cex:durableId="23C3EB01" w16cex:dateUtc="2021-02-02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A6183A" w16cid:durableId="23C3CB89"/>
  <w16cid:commentId w16cid:paraId="2806BEE6" w16cid:durableId="23C3CBF3"/>
  <w16cid:commentId w16cid:paraId="2186845B" w16cid:durableId="23C83918"/>
  <w16cid:commentId w16cid:paraId="4D2704AF" w16cid:durableId="23C6C329"/>
  <w16cid:commentId w16cid:paraId="6E8E0D3E" w16cid:durableId="23C6C32A"/>
  <w16cid:commentId w16cid:paraId="50F84756" w16cid:durableId="23C8391B"/>
  <w16cid:commentId w16cid:paraId="6F0E548F" w16cid:durableId="23C3CD75"/>
  <w16cid:commentId w16cid:paraId="61D8B8BA" w16cid:durableId="23C3CDB4"/>
  <w16cid:commentId w16cid:paraId="771DC5EB" w16cid:durableId="23C6C32D"/>
  <w16cid:commentId w16cid:paraId="29E172AE" w16cid:durableId="23C84502"/>
  <w16cid:commentId w16cid:paraId="5E38CE20" w16cid:durableId="23C3CEF1"/>
  <w16cid:commentId w16cid:paraId="4AA6288A" w16cid:durableId="23C3CF5C"/>
  <w16cid:commentId w16cid:paraId="49F1E2DC" w16cid:durableId="23C83921"/>
  <w16cid:commentId w16cid:paraId="79F05FB4" w16cid:durableId="23C3D9FC"/>
  <w16cid:commentId w16cid:paraId="78A4A6B9" w16cid:durableId="23C3DA3F"/>
  <w16cid:commentId w16cid:paraId="5A3FE169" w16cid:durableId="23C83924"/>
  <w16cid:commentId w16cid:paraId="408E77DD" w16cid:durableId="23C3DC67"/>
  <w16cid:commentId w16cid:paraId="5B4F7CA8" w16cid:durableId="23C3DD9B"/>
  <w16cid:commentId w16cid:paraId="2E4BEDB5" w16cid:durableId="23C83927"/>
  <w16cid:commentId w16cid:paraId="2BDA835C" w16cid:durableId="23C3DDF7"/>
  <w16cid:commentId w16cid:paraId="23871956" w16cid:durableId="23C3DE20"/>
  <w16cid:commentId w16cid:paraId="0F19567E" w16cid:durableId="23C3DE3E"/>
  <w16cid:commentId w16cid:paraId="5D5BBC23" w16cid:durableId="23C3DE5C"/>
  <w16cid:commentId w16cid:paraId="66052929" w16cid:durableId="23C8392C"/>
  <w16cid:commentId w16cid:paraId="2F18C26E" w16cid:durableId="23C8392D"/>
  <w16cid:commentId w16cid:paraId="6F956B91" w16cid:durableId="23C3DEEA"/>
  <w16cid:commentId w16cid:paraId="1E972228" w16cid:durableId="23C8392F"/>
  <w16cid:commentId w16cid:paraId="627FB57E" w16cid:durableId="23C83930"/>
  <w16cid:commentId w16cid:paraId="01495613" w16cid:durableId="23C3E745"/>
  <w16cid:commentId w16cid:paraId="35423059" w16cid:durableId="23C3E7B2"/>
  <w16cid:commentId w16cid:paraId="4C667F87" w16cid:durableId="23C83933"/>
  <w16cid:commentId w16cid:paraId="7851C393" w16cid:durableId="23C3E841"/>
  <w16cid:commentId w16cid:paraId="2229AEB7" w16cid:durableId="23C83935"/>
  <w16cid:commentId w16cid:paraId="29B75029" w16cid:durableId="23C6C33C"/>
  <w16cid:commentId w16cid:paraId="6DF49D60" w16cid:durableId="23C83937"/>
  <w16cid:commentId w16cid:paraId="5488C775" w16cid:durableId="23C83938"/>
  <w16cid:commentId w16cid:paraId="03744766" w16cid:durableId="23C3E8F8"/>
  <w16cid:commentId w16cid:paraId="42A8F7F0" w16cid:durableId="23C3E923"/>
  <w16cid:commentId w16cid:paraId="4BEC3223" w16cid:durableId="23C3E96A"/>
  <w16cid:commentId w16cid:paraId="7EFA1445" w16cid:durableId="23C3EA06"/>
  <w16cid:commentId w16cid:paraId="57C75114" w16cid:durableId="23C3EA45"/>
  <w16cid:commentId w16cid:paraId="48784DCE" w16cid:durableId="23C3EA50"/>
  <w16cid:commentId w16cid:paraId="24E13786" w16cid:durableId="23C3EA6E"/>
  <w16cid:commentId w16cid:paraId="6BD8B0D1" w16cid:durableId="23C3EAAF"/>
  <w16cid:commentId w16cid:paraId="58F44729" w16cid:durableId="23C3E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D858" w14:textId="77777777" w:rsidR="00E573F0" w:rsidRDefault="00E573F0" w:rsidP="00470474">
      <w:r>
        <w:separator/>
      </w:r>
    </w:p>
  </w:endnote>
  <w:endnote w:type="continuationSeparator" w:id="0">
    <w:p w14:paraId="0B7B1C7C" w14:textId="77777777" w:rsidR="00E573F0" w:rsidRDefault="00E573F0" w:rsidP="0047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906F3" w14:textId="77777777" w:rsidR="00372875" w:rsidRDefault="00372875" w:rsidP="0048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6F1D9" w14:textId="77777777" w:rsidR="00372875" w:rsidRDefault="00372875" w:rsidP="00372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4828" w14:textId="77777777" w:rsidR="00372875" w:rsidRDefault="00372875" w:rsidP="0048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3F0">
      <w:rPr>
        <w:rStyle w:val="PageNumber"/>
        <w:noProof/>
      </w:rPr>
      <w:t>1</w:t>
    </w:r>
    <w:r>
      <w:rPr>
        <w:rStyle w:val="PageNumber"/>
      </w:rPr>
      <w:fldChar w:fldCharType="end"/>
    </w:r>
  </w:p>
  <w:p w14:paraId="344E18F9" w14:textId="7677EB5C" w:rsidR="00372875" w:rsidRDefault="00372875" w:rsidP="00982414">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81EF4" w14:textId="77777777" w:rsidR="00E573F0" w:rsidRDefault="00E573F0" w:rsidP="00470474">
      <w:r>
        <w:separator/>
      </w:r>
    </w:p>
  </w:footnote>
  <w:footnote w:type="continuationSeparator" w:id="0">
    <w:p w14:paraId="5B766F48" w14:textId="77777777" w:rsidR="00E573F0" w:rsidRDefault="00E573F0" w:rsidP="0047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2454"/>
    <w:multiLevelType w:val="hybridMultilevel"/>
    <w:tmpl w:val="239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704AB"/>
    <w:multiLevelType w:val="multilevel"/>
    <w:tmpl w:val="83B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82A8B"/>
    <w:multiLevelType w:val="hybridMultilevel"/>
    <w:tmpl w:val="18BAF412"/>
    <w:lvl w:ilvl="0" w:tplc="B5286CEC">
      <w:start w:val="46"/>
      <w:numFmt w:val="bullet"/>
      <w:lvlText w:val="-"/>
      <w:lvlJc w:val="left"/>
      <w:pPr>
        <w:ind w:left="1080" w:hanging="360"/>
      </w:pPr>
      <w:rPr>
        <w:rFonts w:ascii="Cambria" w:eastAsia="Times New Roman"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235C50"/>
    <w:multiLevelType w:val="hybridMultilevel"/>
    <w:tmpl w:val="79DEBE8E"/>
    <w:lvl w:ilvl="0" w:tplc="11400782">
      <w:start w:val="7"/>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hanupriya Sivapathasuntharam">
    <w15:presenceInfo w15:providerId="Windows Live" w15:userId="74867c9109e67d64"/>
  </w15:person>
  <w15:person w15:author="Finbarr Martin">
    <w15:presenceInfo w15:providerId="Windows Live" w15:userId="1dbeb6e622854c01"/>
  </w15:person>
  <w15:person w15:author="Fu Liang Ng">
    <w15:presenceInfo w15:providerId="None" w15:userId="Fu Liang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B4A22"/>
    <w:rsid w:val="00005D02"/>
    <w:rsid w:val="0003061B"/>
    <w:rsid w:val="000420C2"/>
    <w:rsid w:val="00042315"/>
    <w:rsid w:val="00065621"/>
    <w:rsid w:val="000744D6"/>
    <w:rsid w:val="00075DA8"/>
    <w:rsid w:val="000855E4"/>
    <w:rsid w:val="00093080"/>
    <w:rsid w:val="000A3DA5"/>
    <w:rsid w:val="000A6638"/>
    <w:rsid w:val="000B7F28"/>
    <w:rsid w:val="000C0CDB"/>
    <w:rsid w:val="000F35E9"/>
    <w:rsid w:val="00111B40"/>
    <w:rsid w:val="00112DC4"/>
    <w:rsid w:val="001134F0"/>
    <w:rsid w:val="001143CF"/>
    <w:rsid w:val="0012094B"/>
    <w:rsid w:val="00126B7E"/>
    <w:rsid w:val="001402A6"/>
    <w:rsid w:val="001449D7"/>
    <w:rsid w:val="001504DE"/>
    <w:rsid w:val="00162FE4"/>
    <w:rsid w:val="00173317"/>
    <w:rsid w:val="001739EA"/>
    <w:rsid w:val="00180355"/>
    <w:rsid w:val="00181037"/>
    <w:rsid w:val="00183067"/>
    <w:rsid w:val="00195780"/>
    <w:rsid w:val="001B26C7"/>
    <w:rsid w:val="001B2BE7"/>
    <w:rsid w:val="001C6816"/>
    <w:rsid w:val="001C74E2"/>
    <w:rsid w:val="001D2A56"/>
    <w:rsid w:val="001D2C44"/>
    <w:rsid w:val="001D3742"/>
    <w:rsid w:val="001D65C7"/>
    <w:rsid w:val="001E0342"/>
    <w:rsid w:val="001E4875"/>
    <w:rsid w:val="001E4BE8"/>
    <w:rsid w:val="001F3503"/>
    <w:rsid w:val="002002BB"/>
    <w:rsid w:val="002057D2"/>
    <w:rsid w:val="002209E8"/>
    <w:rsid w:val="00221EB6"/>
    <w:rsid w:val="00225F5B"/>
    <w:rsid w:val="00235A33"/>
    <w:rsid w:val="00240B00"/>
    <w:rsid w:val="00253D23"/>
    <w:rsid w:val="002641B2"/>
    <w:rsid w:val="0026467F"/>
    <w:rsid w:val="00266DBD"/>
    <w:rsid w:val="00274A43"/>
    <w:rsid w:val="00280523"/>
    <w:rsid w:val="0029093D"/>
    <w:rsid w:val="002932FF"/>
    <w:rsid w:val="00297534"/>
    <w:rsid w:val="002A227F"/>
    <w:rsid w:val="002B33B1"/>
    <w:rsid w:val="002C2008"/>
    <w:rsid w:val="002C3F9B"/>
    <w:rsid w:val="002C646D"/>
    <w:rsid w:val="002D45DE"/>
    <w:rsid w:val="002D7BBF"/>
    <w:rsid w:val="002F361C"/>
    <w:rsid w:val="003007A7"/>
    <w:rsid w:val="00320895"/>
    <w:rsid w:val="00323776"/>
    <w:rsid w:val="00342AD6"/>
    <w:rsid w:val="00344C55"/>
    <w:rsid w:val="00347E95"/>
    <w:rsid w:val="0035010C"/>
    <w:rsid w:val="00363404"/>
    <w:rsid w:val="003642D4"/>
    <w:rsid w:val="0036595C"/>
    <w:rsid w:val="00365EEC"/>
    <w:rsid w:val="00372875"/>
    <w:rsid w:val="003A31BA"/>
    <w:rsid w:val="003A44B3"/>
    <w:rsid w:val="003A71A3"/>
    <w:rsid w:val="003B5057"/>
    <w:rsid w:val="003B6413"/>
    <w:rsid w:val="003C3658"/>
    <w:rsid w:val="003C7916"/>
    <w:rsid w:val="003D00D6"/>
    <w:rsid w:val="003E1841"/>
    <w:rsid w:val="003F5AF6"/>
    <w:rsid w:val="0040095A"/>
    <w:rsid w:val="00405BAE"/>
    <w:rsid w:val="00407896"/>
    <w:rsid w:val="0041030A"/>
    <w:rsid w:val="00412351"/>
    <w:rsid w:val="00412944"/>
    <w:rsid w:val="00414F7F"/>
    <w:rsid w:val="004177C4"/>
    <w:rsid w:val="00425AA4"/>
    <w:rsid w:val="004275B1"/>
    <w:rsid w:val="00434E20"/>
    <w:rsid w:val="00455AD7"/>
    <w:rsid w:val="0045686A"/>
    <w:rsid w:val="00456905"/>
    <w:rsid w:val="00465C3D"/>
    <w:rsid w:val="00470474"/>
    <w:rsid w:val="00472A69"/>
    <w:rsid w:val="00474CB6"/>
    <w:rsid w:val="0048081F"/>
    <w:rsid w:val="00481659"/>
    <w:rsid w:val="004A111F"/>
    <w:rsid w:val="004A7A6F"/>
    <w:rsid w:val="004B6D42"/>
    <w:rsid w:val="004C0595"/>
    <w:rsid w:val="004C541E"/>
    <w:rsid w:val="004E4342"/>
    <w:rsid w:val="004F7F14"/>
    <w:rsid w:val="005118F0"/>
    <w:rsid w:val="00512AFA"/>
    <w:rsid w:val="00515F28"/>
    <w:rsid w:val="005201A6"/>
    <w:rsid w:val="0053215C"/>
    <w:rsid w:val="005432F0"/>
    <w:rsid w:val="00560925"/>
    <w:rsid w:val="00564E20"/>
    <w:rsid w:val="0056712B"/>
    <w:rsid w:val="005674C0"/>
    <w:rsid w:val="00577C92"/>
    <w:rsid w:val="005A5190"/>
    <w:rsid w:val="005B0016"/>
    <w:rsid w:val="005B4A22"/>
    <w:rsid w:val="005B7171"/>
    <w:rsid w:val="005C7F22"/>
    <w:rsid w:val="005D1F59"/>
    <w:rsid w:val="005D4632"/>
    <w:rsid w:val="005E1D56"/>
    <w:rsid w:val="005E3296"/>
    <w:rsid w:val="005E758F"/>
    <w:rsid w:val="006004FF"/>
    <w:rsid w:val="00604A9D"/>
    <w:rsid w:val="0061597F"/>
    <w:rsid w:val="00615EB0"/>
    <w:rsid w:val="006352E4"/>
    <w:rsid w:val="00654DA8"/>
    <w:rsid w:val="0066265A"/>
    <w:rsid w:val="00670656"/>
    <w:rsid w:val="0067647A"/>
    <w:rsid w:val="0069649A"/>
    <w:rsid w:val="006B1355"/>
    <w:rsid w:val="006B3828"/>
    <w:rsid w:val="006C6571"/>
    <w:rsid w:val="006D2E61"/>
    <w:rsid w:val="006E3271"/>
    <w:rsid w:val="007009DB"/>
    <w:rsid w:val="007014FC"/>
    <w:rsid w:val="00707D52"/>
    <w:rsid w:val="007276E8"/>
    <w:rsid w:val="007503B6"/>
    <w:rsid w:val="00763BB1"/>
    <w:rsid w:val="007701F8"/>
    <w:rsid w:val="0077414F"/>
    <w:rsid w:val="00792FEF"/>
    <w:rsid w:val="00797DAA"/>
    <w:rsid w:val="007A3639"/>
    <w:rsid w:val="007A624C"/>
    <w:rsid w:val="007B62C9"/>
    <w:rsid w:val="007C3936"/>
    <w:rsid w:val="007C7C8F"/>
    <w:rsid w:val="007D2431"/>
    <w:rsid w:val="007D2CFF"/>
    <w:rsid w:val="007D2D84"/>
    <w:rsid w:val="007D5156"/>
    <w:rsid w:val="007E7570"/>
    <w:rsid w:val="008078DA"/>
    <w:rsid w:val="00812159"/>
    <w:rsid w:val="00813330"/>
    <w:rsid w:val="008144A5"/>
    <w:rsid w:val="008168FD"/>
    <w:rsid w:val="00817622"/>
    <w:rsid w:val="00824BA7"/>
    <w:rsid w:val="00837CB0"/>
    <w:rsid w:val="0084369C"/>
    <w:rsid w:val="00852197"/>
    <w:rsid w:val="0085257E"/>
    <w:rsid w:val="008557F8"/>
    <w:rsid w:val="00857EDF"/>
    <w:rsid w:val="00860076"/>
    <w:rsid w:val="00866902"/>
    <w:rsid w:val="00872607"/>
    <w:rsid w:val="008810A1"/>
    <w:rsid w:val="00886E62"/>
    <w:rsid w:val="008B29FC"/>
    <w:rsid w:val="008B34A5"/>
    <w:rsid w:val="008C4ED9"/>
    <w:rsid w:val="008C5C17"/>
    <w:rsid w:val="008D2445"/>
    <w:rsid w:val="008E06BB"/>
    <w:rsid w:val="008E57E8"/>
    <w:rsid w:val="008F4247"/>
    <w:rsid w:val="008F60B8"/>
    <w:rsid w:val="008F6591"/>
    <w:rsid w:val="00902145"/>
    <w:rsid w:val="009034CE"/>
    <w:rsid w:val="00915CAF"/>
    <w:rsid w:val="0091782D"/>
    <w:rsid w:val="009201B4"/>
    <w:rsid w:val="00925D5A"/>
    <w:rsid w:val="009262C2"/>
    <w:rsid w:val="0093585B"/>
    <w:rsid w:val="0093689A"/>
    <w:rsid w:val="009542E2"/>
    <w:rsid w:val="00966EBE"/>
    <w:rsid w:val="00975D6A"/>
    <w:rsid w:val="00982414"/>
    <w:rsid w:val="00986C90"/>
    <w:rsid w:val="00990DA2"/>
    <w:rsid w:val="009938BC"/>
    <w:rsid w:val="0099487E"/>
    <w:rsid w:val="00994BD2"/>
    <w:rsid w:val="009B0034"/>
    <w:rsid w:val="009B2D17"/>
    <w:rsid w:val="009B466D"/>
    <w:rsid w:val="009D4A23"/>
    <w:rsid w:val="009E104D"/>
    <w:rsid w:val="009E71E5"/>
    <w:rsid w:val="009F1465"/>
    <w:rsid w:val="009F147B"/>
    <w:rsid w:val="009F2E90"/>
    <w:rsid w:val="009F43B6"/>
    <w:rsid w:val="00A046D5"/>
    <w:rsid w:val="00A41271"/>
    <w:rsid w:val="00A571CA"/>
    <w:rsid w:val="00A65D32"/>
    <w:rsid w:val="00A706FB"/>
    <w:rsid w:val="00A73C0F"/>
    <w:rsid w:val="00A83CE2"/>
    <w:rsid w:val="00A850BB"/>
    <w:rsid w:val="00A974A5"/>
    <w:rsid w:val="00AA7049"/>
    <w:rsid w:val="00AB0557"/>
    <w:rsid w:val="00AC1629"/>
    <w:rsid w:val="00AC17AA"/>
    <w:rsid w:val="00AE1143"/>
    <w:rsid w:val="00AE3D7F"/>
    <w:rsid w:val="00AF17EA"/>
    <w:rsid w:val="00AF6DBA"/>
    <w:rsid w:val="00B055E6"/>
    <w:rsid w:val="00B34DDE"/>
    <w:rsid w:val="00B40670"/>
    <w:rsid w:val="00B50662"/>
    <w:rsid w:val="00B50B8E"/>
    <w:rsid w:val="00B50F11"/>
    <w:rsid w:val="00B53F5B"/>
    <w:rsid w:val="00B67CF2"/>
    <w:rsid w:val="00B93EF5"/>
    <w:rsid w:val="00BA6D72"/>
    <w:rsid w:val="00BB332E"/>
    <w:rsid w:val="00BB3906"/>
    <w:rsid w:val="00BC49D5"/>
    <w:rsid w:val="00BE0F22"/>
    <w:rsid w:val="00C00503"/>
    <w:rsid w:val="00C006ED"/>
    <w:rsid w:val="00C11E7B"/>
    <w:rsid w:val="00C140C9"/>
    <w:rsid w:val="00C23B34"/>
    <w:rsid w:val="00C30C4D"/>
    <w:rsid w:val="00C330D5"/>
    <w:rsid w:val="00C336F8"/>
    <w:rsid w:val="00C517B9"/>
    <w:rsid w:val="00C53004"/>
    <w:rsid w:val="00C666EE"/>
    <w:rsid w:val="00C80B90"/>
    <w:rsid w:val="00C9673D"/>
    <w:rsid w:val="00CA668F"/>
    <w:rsid w:val="00CC36FE"/>
    <w:rsid w:val="00CC7271"/>
    <w:rsid w:val="00CD1BA6"/>
    <w:rsid w:val="00CE36B1"/>
    <w:rsid w:val="00CF0E2E"/>
    <w:rsid w:val="00CF5336"/>
    <w:rsid w:val="00CF6B03"/>
    <w:rsid w:val="00D106E5"/>
    <w:rsid w:val="00D13496"/>
    <w:rsid w:val="00D17737"/>
    <w:rsid w:val="00D2012A"/>
    <w:rsid w:val="00D32085"/>
    <w:rsid w:val="00D424DD"/>
    <w:rsid w:val="00D42C1D"/>
    <w:rsid w:val="00D46B39"/>
    <w:rsid w:val="00D57A08"/>
    <w:rsid w:val="00D6671A"/>
    <w:rsid w:val="00D740BA"/>
    <w:rsid w:val="00D82A0E"/>
    <w:rsid w:val="00DB5181"/>
    <w:rsid w:val="00DB741D"/>
    <w:rsid w:val="00DC1AB0"/>
    <w:rsid w:val="00DE723E"/>
    <w:rsid w:val="00DF062D"/>
    <w:rsid w:val="00E01CB9"/>
    <w:rsid w:val="00E02781"/>
    <w:rsid w:val="00E10613"/>
    <w:rsid w:val="00E10CCD"/>
    <w:rsid w:val="00E150FA"/>
    <w:rsid w:val="00E2197A"/>
    <w:rsid w:val="00E32A7D"/>
    <w:rsid w:val="00E36028"/>
    <w:rsid w:val="00E362EF"/>
    <w:rsid w:val="00E454C5"/>
    <w:rsid w:val="00E46E20"/>
    <w:rsid w:val="00E4791C"/>
    <w:rsid w:val="00E56629"/>
    <w:rsid w:val="00E573F0"/>
    <w:rsid w:val="00E638D8"/>
    <w:rsid w:val="00E712C5"/>
    <w:rsid w:val="00E936CF"/>
    <w:rsid w:val="00EA5F19"/>
    <w:rsid w:val="00EB42E9"/>
    <w:rsid w:val="00EB5DF1"/>
    <w:rsid w:val="00EB7997"/>
    <w:rsid w:val="00EC3EAC"/>
    <w:rsid w:val="00ED458E"/>
    <w:rsid w:val="00EE5B6E"/>
    <w:rsid w:val="00F115AF"/>
    <w:rsid w:val="00F13CFA"/>
    <w:rsid w:val="00F166CB"/>
    <w:rsid w:val="00F21806"/>
    <w:rsid w:val="00F25A28"/>
    <w:rsid w:val="00F26E3A"/>
    <w:rsid w:val="00F50DE3"/>
    <w:rsid w:val="00F73317"/>
    <w:rsid w:val="00F76077"/>
    <w:rsid w:val="00F8648F"/>
    <w:rsid w:val="00F951D6"/>
    <w:rsid w:val="00FA3948"/>
    <w:rsid w:val="00FA7FD2"/>
    <w:rsid w:val="00FB0339"/>
    <w:rsid w:val="00FB1D24"/>
    <w:rsid w:val="00FB5772"/>
    <w:rsid w:val="00FC219D"/>
    <w:rsid w:val="00FC2517"/>
    <w:rsid w:val="00FC6060"/>
    <w:rsid w:val="00FC75D2"/>
    <w:rsid w:val="00FD59BC"/>
    <w:rsid w:val="00FD64D7"/>
    <w:rsid w:val="00FE1537"/>
    <w:rsid w:val="00FF63C4"/>
    <w:rsid w:val="00FF77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13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5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74"/>
    <w:pPr>
      <w:ind w:left="720"/>
      <w:contextualSpacing/>
    </w:pPr>
  </w:style>
  <w:style w:type="paragraph" w:styleId="Header">
    <w:name w:val="header"/>
    <w:basedOn w:val="Normal"/>
    <w:link w:val="HeaderChar"/>
    <w:uiPriority w:val="99"/>
    <w:unhideWhenUsed/>
    <w:rsid w:val="00470474"/>
    <w:pPr>
      <w:tabs>
        <w:tab w:val="center" w:pos="4320"/>
        <w:tab w:val="right" w:pos="8640"/>
      </w:tabs>
    </w:pPr>
  </w:style>
  <w:style w:type="character" w:customStyle="1" w:styleId="HeaderChar">
    <w:name w:val="Header Char"/>
    <w:basedOn w:val="DefaultParagraphFont"/>
    <w:link w:val="Header"/>
    <w:uiPriority w:val="99"/>
    <w:rsid w:val="00470474"/>
  </w:style>
  <w:style w:type="paragraph" w:styleId="Footer">
    <w:name w:val="footer"/>
    <w:basedOn w:val="Normal"/>
    <w:link w:val="FooterChar"/>
    <w:uiPriority w:val="99"/>
    <w:unhideWhenUsed/>
    <w:rsid w:val="00470474"/>
    <w:pPr>
      <w:tabs>
        <w:tab w:val="center" w:pos="4320"/>
        <w:tab w:val="right" w:pos="8640"/>
      </w:tabs>
    </w:pPr>
  </w:style>
  <w:style w:type="character" w:customStyle="1" w:styleId="FooterChar">
    <w:name w:val="Footer Char"/>
    <w:basedOn w:val="DefaultParagraphFont"/>
    <w:link w:val="Footer"/>
    <w:uiPriority w:val="99"/>
    <w:rsid w:val="00470474"/>
  </w:style>
  <w:style w:type="paragraph" w:styleId="BalloonText">
    <w:name w:val="Balloon Text"/>
    <w:basedOn w:val="Normal"/>
    <w:link w:val="BalloonTextChar"/>
    <w:uiPriority w:val="99"/>
    <w:semiHidden/>
    <w:unhideWhenUsed/>
    <w:rsid w:val="0061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EB0"/>
    <w:rPr>
      <w:rFonts w:ascii="Lucida Grande" w:hAnsi="Lucida Grande" w:cs="Lucida Grande"/>
      <w:sz w:val="18"/>
      <w:szCs w:val="18"/>
    </w:rPr>
  </w:style>
  <w:style w:type="character" w:styleId="PlaceholderText">
    <w:name w:val="Placeholder Text"/>
    <w:basedOn w:val="DefaultParagraphFont"/>
    <w:uiPriority w:val="99"/>
    <w:semiHidden/>
    <w:rsid w:val="00A571CA"/>
    <w:rPr>
      <w:color w:val="808080"/>
    </w:rPr>
  </w:style>
  <w:style w:type="character" w:styleId="CommentReference">
    <w:name w:val="annotation reference"/>
    <w:basedOn w:val="DefaultParagraphFont"/>
    <w:uiPriority w:val="99"/>
    <w:semiHidden/>
    <w:unhideWhenUsed/>
    <w:rsid w:val="00412351"/>
    <w:rPr>
      <w:sz w:val="16"/>
      <w:szCs w:val="16"/>
    </w:rPr>
  </w:style>
  <w:style w:type="paragraph" w:styleId="CommentText">
    <w:name w:val="annotation text"/>
    <w:basedOn w:val="Normal"/>
    <w:link w:val="CommentTextChar"/>
    <w:uiPriority w:val="99"/>
    <w:unhideWhenUsed/>
    <w:rsid w:val="00412351"/>
    <w:rPr>
      <w:sz w:val="20"/>
      <w:szCs w:val="20"/>
    </w:rPr>
  </w:style>
  <w:style w:type="character" w:customStyle="1" w:styleId="CommentTextChar">
    <w:name w:val="Comment Text Char"/>
    <w:basedOn w:val="DefaultParagraphFont"/>
    <w:link w:val="CommentText"/>
    <w:uiPriority w:val="99"/>
    <w:rsid w:val="00412351"/>
    <w:rPr>
      <w:sz w:val="20"/>
      <w:szCs w:val="20"/>
    </w:rPr>
  </w:style>
  <w:style w:type="paragraph" w:styleId="CommentSubject">
    <w:name w:val="annotation subject"/>
    <w:basedOn w:val="CommentText"/>
    <w:next w:val="CommentText"/>
    <w:link w:val="CommentSubjectChar"/>
    <w:uiPriority w:val="99"/>
    <w:semiHidden/>
    <w:unhideWhenUsed/>
    <w:rsid w:val="00412351"/>
    <w:rPr>
      <w:b/>
      <w:bCs/>
    </w:rPr>
  </w:style>
  <w:style w:type="character" w:customStyle="1" w:styleId="CommentSubjectChar">
    <w:name w:val="Comment Subject Char"/>
    <w:basedOn w:val="CommentTextChar"/>
    <w:link w:val="CommentSubject"/>
    <w:uiPriority w:val="99"/>
    <w:semiHidden/>
    <w:rsid w:val="00412351"/>
    <w:rPr>
      <w:b/>
      <w:bCs/>
      <w:sz w:val="20"/>
      <w:szCs w:val="20"/>
    </w:rPr>
  </w:style>
  <w:style w:type="paragraph" w:styleId="Revision">
    <w:name w:val="Revision"/>
    <w:hidden/>
    <w:uiPriority w:val="99"/>
    <w:semiHidden/>
    <w:rsid w:val="001B26C7"/>
  </w:style>
  <w:style w:type="character" w:styleId="Emphasis">
    <w:name w:val="Emphasis"/>
    <w:basedOn w:val="DefaultParagraphFont"/>
    <w:uiPriority w:val="20"/>
    <w:qFormat/>
    <w:rsid w:val="000744D6"/>
    <w:rPr>
      <w:i/>
      <w:iCs/>
    </w:rPr>
  </w:style>
  <w:style w:type="character" w:styleId="Hyperlink">
    <w:name w:val="Hyperlink"/>
    <w:basedOn w:val="DefaultParagraphFont"/>
    <w:uiPriority w:val="99"/>
    <w:semiHidden/>
    <w:unhideWhenUsed/>
    <w:rsid w:val="000744D6"/>
    <w:rPr>
      <w:color w:val="0000FF"/>
      <w:u w:val="single"/>
    </w:rPr>
  </w:style>
  <w:style w:type="character" w:styleId="Strong">
    <w:name w:val="Strong"/>
    <w:basedOn w:val="DefaultParagraphFont"/>
    <w:uiPriority w:val="22"/>
    <w:qFormat/>
    <w:rsid w:val="00902145"/>
    <w:rPr>
      <w:b/>
      <w:bCs/>
    </w:rPr>
  </w:style>
  <w:style w:type="paragraph" w:styleId="FootnoteText">
    <w:name w:val="footnote text"/>
    <w:basedOn w:val="Normal"/>
    <w:link w:val="FootnoteTextChar"/>
    <w:uiPriority w:val="99"/>
    <w:semiHidden/>
    <w:unhideWhenUsed/>
    <w:rsid w:val="009201B4"/>
    <w:rPr>
      <w:sz w:val="20"/>
      <w:szCs w:val="20"/>
    </w:rPr>
  </w:style>
  <w:style w:type="character" w:customStyle="1" w:styleId="FootnoteTextChar">
    <w:name w:val="Footnote Text Char"/>
    <w:basedOn w:val="DefaultParagraphFont"/>
    <w:link w:val="FootnoteText"/>
    <w:uiPriority w:val="99"/>
    <w:semiHidden/>
    <w:rsid w:val="009201B4"/>
    <w:rPr>
      <w:sz w:val="20"/>
      <w:szCs w:val="20"/>
    </w:rPr>
  </w:style>
  <w:style w:type="character" w:styleId="FootnoteReference">
    <w:name w:val="footnote reference"/>
    <w:basedOn w:val="DefaultParagraphFont"/>
    <w:uiPriority w:val="99"/>
    <w:semiHidden/>
    <w:unhideWhenUsed/>
    <w:rsid w:val="009201B4"/>
    <w:rPr>
      <w:vertAlign w:val="superscript"/>
    </w:rPr>
  </w:style>
  <w:style w:type="paragraph" w:styleId="EndnoteText">
    <w:name w:val="endnote text"/>
    <w:basedOn w:val="Normal"/>
    <w:link w:val="EndnoteTextChar"/>
    <w:uiPriority w:val="99"/>
    <w:semiHidden/>
    <w:unhideWhenUsed/>
    <w:rsid w:val="009201B4"/>
    <w:rPr>
      <w:sz w:val="20"/>
      <w:szCs w:val="20"/>
    </w:rPr>
  </w:style>
  <w:style w:type="character" w:customStyle="1" w:styleId="EndnoteTextChar">
    <w:name w:val="Endnote Text Char"/>
    <w:basedOn w:val="DefaultParagraphFont"/>
    <w:link w:val="EndnoteText"/>
    <w:uiPriority w:val="99"/>
    <w:semiHidden/>
    <w:rsid w:val="009201B4"/>
    <w:rPr>
      <w:sz w:val="20"/>
      <w:szCs w:val="20"/>
    </w:rPr>
  </w:style>
  <w:style w:type="character" w:styleId="EndnoteReference">
    <w:name w:val="endnote reference"/>
    <w:basedOn w:val="DefaultParagraphFont"/>
    <w:uiPriority w:val="99"/>
    <w:semiHidden/>
    <w:unhideWhenUsed/>
    <w:rsid w:val="009201B4"/>
    <w:rPr>
      <w:vertAlign w:val="superscript"/>
    </w:rPr>
  </w:style>
  <w:style w:type="character" w:customStyle="1" w:styleId="Heading1Char">
    <w:name w:val="Heading 1 Char"/>
    <w:basedOn w:val="DefaultParagraphFont"/>
    <w:link w:val="Heading1"/>
    <w:uiPriority w:val="9"/>
    <w:rsid w:val="0028052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E3296"/>
    <w:rPr>
      <w:color w:val="800080" w:themeColor="followedHyperlink"/>
      <w:u w:val="single"/>
    </w:rPr>
  </w:style>
  <w:style w:type="character" w:styleId="PageNumber">
    <w:name w:val="page number"/>
    <w:basedOn w:val="DefaultParagraphFont"/>
    <w:uiPriority w:val="99"/>
    <w:semiHidden/>
    <w:unhideWhenUsed/>
    <w:rsid w:val="0048081F"/>
  </w:style>
  <w:style w:type="table" w:styleId="TableGrid">
    <w:name w:val="Table Grid"/>
    <w:basedOn w:val="TableNormal"/>
    <w:uiPriority w:val="59"/>
    <w:rsid w:val="00F1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15AF"/>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5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74"/>
    <w:pPr>
      <w:ind w:left="720"/>
      <w:contextualSpacing/>
    </w:pPr>
  </w:style>
  <w:style w:type="paragraph" w:styleId="Header">
    <w:name w:val="header"/>
    <w:basedOn w:val="Normal"/>
    <w:link w:val="HeaderChar"/>
    <w:uiPriority w:val="99"/>
    <w:unhideWhenUsed/>
    <w:rsid w:val="00470474"/>
    <w:pPr>
      <w:tabs>
        <w:tab w:val="center" w:pos="4320"/>
        <w:tab w:val="right" w:pos="8640"/>
      </w:tabs>
    </w:pPr>
  </w:style>
  <w:style w:type="character" w:customStyle="1" w:styleId="HeaderChar">
    <w:name w:val="Header Char"/>
    <w:basedOn w:val="DefaultParagraphFont"/>
    <w:link w:val="Header"/>
    <w:uiPriority w:val="99"/>
    <w:rsid w:val="00470474"/>
  </w:style>
  <w:style w:type="paragraph" w:styleId="Footer">
    <w:name w:val="footer"/>
    <w:basedOn w:val="Normal"/>
    <w:link w:val="FooterChar"/>
    <w:uiPriority w:val="99"/>
    <w:unhideWhenUsed/>
    <w:rsid w:val="00470474"/>
    <w:pPr>
      <w:tabs>
        <w:tab w:val="center" w:pos="4320"/>
        <w:tab w:val="right" w:pos="8640"/>
      </w:tabs>
    </w:pPr>
  </w:style>
  <w:style w:type="character" w:customStyle="1" w:styleId="FooterChar">
    <w:name w:val="Footer Char"/>
    <w:basedOn w:val="DefaultParagraphFont"/>
    <w:link w:val="Footer"/>
    <w:uiPriority w:val="99"/>
    <w:rsid w:val="00470474"/>
  </w:style>
  <w:style w:type="paragraph" w:styleId="BalloonText">
    <w:name w:val="Balloon Text"/>
    <w:basedOn w:val="Normal"/>
    <w:link w:val="BalloonTextChar"/>
    <w:uiPriority w:val="99"/>
    <w:semiHidden/>
    <w:unhideWhenUsed/>
    <w:rsid w:val="0061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EB0"/>
    <w:rPr>
      <w:rFonts w:ascii="Lucida Grande" w:hAnsi="Lucida Grande" w:cs="Lucida Grande"/>
      <w:sz w:val="18"/>
      <w:szCs w:val="18"/>
    </w:rPr>
  </w:style>
  <w:style w:type="character" w:styleId="PlaceholderText">
    <w:name w:val="Placeholder Text"/>
    <w:basedOn w:val="DefaultParagraphFont"/>
    <w:uiPriority w:val="99"/>
    <w:semiHidden/>
    <w:rsid w:val="00A571CA"/>
    <w:rPr>
      <w:color w:val="808080"/>
    </w:rPr>
  </w:style>
  <w:style w:type="character" w:styleId="CommentReference">
    <w:name w:val="annotation reference"/>
    <w:basedOn w:val="DefaultParagraphFont"/>
    <w:uiPriority w:val="99"/>
    <w:semiHidden/>
    <w:unhideWhenUsed/>
    <w:rsid w:val="00412351"/>
    <w:rPr>
      <w:sz w:val="16"/>
      <w:szCs w:val="16"/>
    </w:rPr>
  </w:style>
  <w:style w:type="paragraph" w:styleId="CommentText">
    <w:name w:val="annotation text"/>
    <w:basedOn w:val="Normal"/>
    <w:link w:val="CommentTextChar"/>
    <w:uiPriority w:val="99"/>
    <w:unhideWhenUsed/>
    <w:rsid w:val="00412351"/>
    <w:rPr>
      <w:sz w:val="20"/>
      <w:szCs w:val="20"/>
    </w:rPr>
  </w:style>
  <w:style w:type="character" w:customStyle="1" w:styleId="CommentTextChar">
    <w:name w:val="Comment Text Char"/>
    <w:basedOn w:val="DefaultParagraphFont"/>
    <w:link w:val="CommentText"/>
    <w:uiPriority w:val="99"/>
    <w:rsid w:val="00412351"/>
    <w:rPr>
      <w:sz w:val="20"/>
      <w:szCs w:val="20"/>
    </w:rPr>
  </w:style>
  <w:style w:type="paragraph" w:styleId="CommentSubject">
    <w:name w:val="annotation subject"/>
    <w:basedOn w:val="CommentText"/>
    <w:next w:val="CommentText"/>
    <w:link w:val="CommentSubjectChar"/>
    <w:uiPriority w:val="99"/>
    <w:semiHidden/>
    <w:unhideWhenUsed/>
    <w:rsid w:val="00412351"/>
    <w:rPr>
      <w:b/>
      <w:bCs/>
    </w:rPr>
  </w:style>
  <w:style w:type="character" w:customStyle="1" w:styleId="CommentSubjectChar">
    <w:name w:val="Comment Subject Char"/>
    <w:basedOn w:val="CommentTextChar"/>
    <w:link w:val="CommentSubject"/>
    <w:uiPriority w:val="99"/>
    <w:semiHidden/>
    <w:rsid w:val="00412351"/>
    <w:rPr>
      <w:b/>
      <w:bCs/>
      <w:sz w:val="20"/>
      <w:szCs w:val="20"/>
    </w:rPr>
  </w:style>
  <w:style w:type="paragraph" w:styleId="Revision">
    <w:name w:val="Revision"/>
    <w:hidden/>
    <w:uiPriority w:val="99"/>
    <w:semiHidden/>
    <w:rsid w:val="001B26C7"/>
  </w:style>
  <w:style w:type="character" w:styleId="Emphasis">
    <w:name w:val="Emphasis"/>
    <w:basedOn w:val="DefaultParagraphFont"/>
    <w:uiPriority w:val="20"/>
    <w:qFormat/>
    <w:rsid w:val="000744D6"/>
    <w:rPr>
      <w:i/>
      <w:iCs/>
    </w:rPr>
  </w:style>
  <w:style w:type="character" w:styleId="Hyperlink">
    <w:name w:val="Hyperlink"/>
    <w:basedOn w:val="DefaultParagraphFont"/>
    <w:uiPriority w:val="99"/>
    <w:semiHidden/>
    <w:unhideWhenUsed/>
    <w:rsid w:val="000744D6"/>
    <w:rPr>
      <w:color w:val="0000FF"/>
      <w:u w:val="single"/>
    </w:rPr>
  </w:style>
  <w:style w:type="character" w:styleId="Strong">
    <w:name w:val="Strong"/>
    <w:basedOn w:val="DefaultParagraphFont"/>
    <w:uiPriority w:val="22"/>
    <w:qFormat/>
    <w:rsid w:val="00902145"/>
    <w:rPr>
      <w:b/>
      <w:bCs/>
    </w:rPr>
  </w:style>
  <w:style w:type="paragraph" w:styleId="FootnoteText">
    <w:name w:val="footnote text"/>
    <w:basedOn w:val="Normal"/>
    <w:link w:val="FootnoteTextChar"/>
    <w:uiPriority w:val="99"/>
    <w:semiHidden/>
    <w:unhideWhenUsed/>
    <w:rsid w:val="009201B4"/>
    <w:rPr>
      <w:sz w:val="20"/>
      <w:szCs w:val="20"/>
    </w:rPr>
  </w:style>
  <w:style w:type="character" w:customStyle="1" w:styleId="FootnoteTextChar">
    <w:name w:val="Footnote Text Char"/>
    <w:basedOn w:val="DefaultParagraphFont"/>
    <w:link w:val="FootnoteText"/>
    <w:uiPriority w:val="99"/>
    <w:semiHidden/>
    <w:rsid w:val="009201B4"/>
    <w:rPr>
      <w:sz w:val="20"/>
      <w:szCs w:val="20"/>
    </w:rPr>
  </w:style>
  <w:style w:type="character" w:styleId="FootnoteReference">
    <w:name w:val="footnote reference"/>
    <w:basedOn w:val="DefaultParagraphFont"/>
    <w:uiPriority w:val="99"/>
    <w:semiHidden/>
    <w:unhideWhenUsed/>
    <w:rsid w:val="009201B4"/>
    <w:rPr>
      <w:vertAlign w:val="superscript"/>
    </w:rPr>
  </w:style>
  <w:style w:type="paragraph" w:styleId="EndnoteText">
    <w:name w:val="endnote text"/>
    <w:basedOn w:val="Normal"/>
    <w:link w:val="EndnoteTextChar"/>
    <w:uiPriority w:val="99"/>
    <w:semiHidden/>
    <w:unhideWhenUsed/>
    <w:rsid w:val="009201B4"/>
    <w:rPr>
      <w:sz w:val="20"/>
      <w:szCs w:val="20"/>
    </w:rPr>
  </w:style>
  <w:style w:type="character" w:customStyle="1" w:styleId="EndnoteTextChar">
    <w:name w:val="Endnote Text Char"/>
    <w:basedOn w:val="DefaultParagraphFont"/>
    <w:link w:val="EndnoteText"/>
    <w:uiPriority w:val="99"/>
    <w:semiHidden/>
    <w:rsid w:val="009201B4"/>
    <w:rPr>
      <w:sz w:val="20"/>
      <w:szCs w:val="20"/>
    </w:rPr>
  </w:style>
  <w:style w:type="character" w:styleId="EndnoteReference">
    <w:name w:val="endnote reference"/>
    <w:basedOn w:val="DefaultParagraphFont"/>
    <w:uiPriority w:val="99"/>
    <w:semiHidden/>
    <w:unhideWhenUsed/>
    <w:rsid w:val="009201B4"/>
    <w:rPr>
      <w:vertAlign w:val="superscript"/>
    </w:rPr>
  </w:style>
  <w:style w:type="character" w:customStyle="1" w:styleId="Heading1Char">
    <w:name w:val="Heading 1 Char"/>
    <w:basedOn w:val="DefaultParagraphFont"/>
    <w:link w:val="Heading1"/>
    <w:uiPriority w:val="9"/>
    <w:rsid w:val="0028052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E3296"/>
    <w:rPr>
      <w:color w:val="800080" w:themeColor="followedHyperlink"/>
      <w:u w:val="single"/>
    </w:rPr>
  </w:style>
  <w:style w:type="character" w:styleId="PageNumber">
    <w:name w:val="page number"/>
    <w:basedOn w:val="DefaultParagraphFont"/>
    <w:uiPriority w:val="99"/>
    <w:semiHidden/>
    <w:unhideWhenUsed/>
    <w:rsid w:val="0048081F"/>
  </w:style>
  <w:style w:type="table" w:styleId="TableGrid">
    <w:name w:val="Table Grid"/>
    <w:basedOn w:val="TableNormal"/>
    <w:uiPriority w:val="59"/>
    <w:rsid w:val="00F1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15AF"/>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29">
      <w:bodyDiv w:val="1"/>
      <w:marLeft w:val="0"/>
      <w:marRight w:val="0"/>
      <w:marTop w:val="0"/>
      <w:marBottom w:val="0"/>
      <w:divBdr>
        <w:top w:val="none" w:sz="0" w:space="0" w:color="auto"/>
        <w:left w:val="none" w:sz="0" w:space="0" w:color="auto"/>
        <w:bottom w:val="none" w:sz="0" w:space="0" w:color="auto"/>
        <w:right w:val="none" w:sz="0" w:space="0" w:color="auto"/>
      </w:divBdr>
    </w:div>
    <w:div w:id="92408579">
      <w:bodyDiv w:val="1"/>
      <w:marLeft w:val="0"/>
      <w:marRight w:val="0"/>
      <w:marTop w:val="0"/>
      <w:marBottom w:val="0"/>
      <w:divBdr>
        <w:top w:val="none" w:sz="0" w:space="0" w:color="auto"/>
        <w:left w:val="none" w:sz="0" w:space="0" w:color="auto"/>
        <w:bottom w:val="none" w:sz="0" w:space="0" w:color="auto"/>
        <w:right w:val="none" w:sz="0" w:space="0" w:color="auto"/>
      </w:divBdr>
    </w:div>
    <w:div w:id="103699550">
      <w:bodyDiv w:val="1"/>
      <w:marLeft w:val="0"/>
      <w:marRight w:val="0"/>
      <w:marTop w:val="0"/>
      <w:marBottom w:val="0"/>
      <w:divBdr>
        <w:top w:val="none" w:sz="0" w:space="0" w:color="auto"/>
        <w:left w:val="none" w:sz="0" w:space="0" w:color="auto"/>
        <w:bottom w:val="none" w:sz="0" w:space="0" w:color="auto"/>
        <w:right w:val="none" w:sz="0" w:space="0" w:color="auto"/>
      </w:divBdr>
    </w:div>
    <w:div w:id="107507288">
      <w:bodyDiv w:val="1"/>
      <w:marLeft w:val="0"/>
      <w:marRight w:val="0"/>
      <w:marTop w:val="0"/>
      <w:marBottom w:val="0"/>
      <w:divBdr>
        <w:top w:val="none" w:sz="0" w:space="0" w:color="auto"/>
        <w:left w:val="none" w:sz="0" w:space="0" w:color="auto"/>
        <w:bottom w:val="none" w:sz="0" w:space="0" w:color="auto"/>
        <w:right w:val="none" w:sz="0" w:space="0" w:color="auto"/>
      </w:divBdr>
    </w:div>
    <w:div w:id="140729484">
      <w:bodyDiv w:val="1"/>
      <w:marLeft w:val="0"/>
      <w:marRight w:val="0"/>
      <w:marTop w:val="0"/>
      <w:marBottom w:val="0"/>
      <w:divBdr>
        <w:top w:val="none" w:sz="0" w:space="0" w:color="auto"/>
        <w:left w:val="none" w:sz="0" w:space="0" w:color="auto"/>
        <w:bottom w:val="none" w:sz="0" w:space="0" w:color="auto"/>
        <w:right w:val="none" w:sz="0" w:space="0" w:color="auto"/>
      </w:divBdr>
    </w:div>
    <w:div w:id="166949280">
      <w:bodyDiv w:val="1"/>
      <w:marLeft w:val="0"/>
      <w:marRight w:val="0"/>
      <w:marTop w:val="0"/>
      <w:marBottom w:val="0"/>
      <w:divBdr>
        <w:top w:val="none" w:sz="0" w:space="0" w:color="auto"/>
        <w:left w:val="none" w:sz="0" w:space="0" w:color="auto"/>
        <w:bottom w:val="none" w:sz="0" w:space="0" w:color="auto"/>
        <w:right w:val="none" w:sz="0" w:space="0" w:color="auto"/>
      </w:divBdr>
      <w:divsChild>
        <w:div w:id="727339864">
          <w:marLeft w:val="0"/>
          <w:marRight w:val="0"/>
          <w:marTop w:val="0"/>
          <w:marBottom w:val="0"/>
          <w:divBdr>
            <w:top w:val="none" w:sz="0" w:space="0" w:color="auto"/>
            <w:left w:val="none" w:sz="0" w:space="0" w:color="auto"/>
            <w:bottom w:val="none" w:sz="0" w:space="0" w:color="auto"/>
            <w:right w:val="none" w:sz="0" w:space="0" w:color="auto"/>
          </w:divBdr>
          <w:divsChild>
            <w:div w:id="461339638">
              <w:marLeft w:val="0"/>
              <w:marRight w:val="0"/>
              <w:marTop w:val="0"/>
              <w:marBottom w:val="0"/>
              <w:divBdr>
                <w:top w:val="none" w:sz="0" w:space="0" w:color="auto"/>
                <w:left w:val="none" w:sz="0" w:space="0" w:color="auto"/>
                <w:bottom w:val="none" w:sz="0" w:space="0" w:color="auto"/>
                <w:right w:val="none" w:sz="0" w:space="0" w:color="auto"/>
              </w:divBdr>
              <w:divsChild>
                <w:div w:id="1748073888">
                  <w:marLeft w:val="0"/>
                  <w:marRight w:val="0"/>
                  <w:marTop w:val="0"/>
                  <w:marBottom w:val="0"/>
                  <w:divBdr>
                    <w:top w:val="none" w:sz="0" w:space="0" w:color="auto"/>
                    <w:left w:val="none" w:sz="0" w:space="0" w:color="auto"/>
                    <w:bottom w:val="none" w:sz="0" w:space="0" w:color="auto"/>
                    <w:right w:val="none" w:sz="0" w:space="0" w:color="auto"/>
                  </w:divBdr>
                  <w:divsChild>
                    <w:div w:id="1636446788">
                      <w:marLeft w:val="0"/>
                      <w:marRight w:val="0"/>
                      <w:marTop w:val="0"/>
                      <w:marBottom w:val="0"/>
                      <w:divBdr>
                        <w:top w:val="none" w:sz="0" w:space="0" w:color="auto"/>
                        <w:left w:val="none" w:sz="0" w:space="0" w:color="auto"/>
                        <w:bottom w:val="none" w:sz="0" w:space="0" w:color="auto"/>
                        <w:right w:val="none" w:sz="0" w:space="0" w:color="auto"/>
                      </w:divBdr>
                      <w:divsChild>
                        <w:div w:id="2093042432">
                          <w:marLeft w:val="0"/>
                          <w:marRight w:val="0"/>
                          <w:marTop w:val="0"/>
                          <w:marBottom w:val="0"/>
                          <w:divBdr>
                            <w:top w:val="none" w:sz="0" w:space="0" w:color="auto"/>
                            <w:left w:val="none" w:sz="0" w:space="0" w:color="auto"/>
                            <w:bottom w:val="none" w:sz="0" w:space="0" w:color="auto"/>
                            <w:right w:val="none" w:sz="0" w:space="0" w:color="auto"/>
                          </w:divBdr>
                          <w:divsChild>
                            <w:div w:id="2047831534">
                              <w:marLeft w:val="0"/>
                              <w:marRight w:val="0"/>
                              <w:marTop w:val="0"/>
                              <w:marBottom w:val="0"/>
                              <w:divBdr>
                                <w:top w:val="none" w:sz="0" w:space="0" w:color="auto"/>
                                <w:left w:val="none" w:sz="0" w:space="0" w:color="auto"/>
                                <w:bottom w:val="none" w:sz="0" w:space="0" w:color="auto"/>
                                <w:right w:val="none" w:sz="0" w:space="0" w:color="auto"/>
                              </w:divBdr>
                              <w:divsChild>
                                <w:div w:id="536813840">
                                  <w:marLeft w:val="0"/>
                                  <w:marRight w:val="0"/>
                                  <w:marTop w:val="0"/>
                                  <w:marBottom w:val="0"/>
                                  <w:divBdr>
                                    <w:top w:val="none" w:sz="0" w:space="0" w:color="auto"/>
                                    <w:left w:val="none" w:sz="0" w:space="0" w:color="auto"/>
                                    <w:bottom w:val="none" w:sz="0" w:space="0" w:color="auto"/>
                                    <w:right w:val="none" w:sz="0" w:space="0" w:color="auto"/>
                                  </w:divBdr>
                                  <w:divsChild>
                                    <w:div w:id="105776459">
                                      <w:marLeft w:val="0"/>
                                      <w:marRight w:val="0"/>
                                      <w:marTop w:val="0"/>
                                      <w:marBottom w:val="0"/>
                                      <w:divBdr>
                                        <w:top w:val="none" w:sz="0" w:space="0" w:color="auto"/>
                                        <w:left w:val="none" w:sz="0" w:space="0" w:color="auto"/>
                                        <w:bottom w:val="none" w:sz="0" w:space="0" w:color="auto"/>
                                        <w:right w:val="none" w:sz="0" w:space="0" w:color="auto"/>
                                      </w:divBdr>
                                      <w:divsChild>
                                        <w:div w:id="2055428496">
                                          <w:marLeft w:val="0"/>
                                          <w:marRight w:val="0"/>
                                          <w:marTop w:val="0"/>
                                          <w:marBottom w:val="0"/>
                                          <w:divBdr>
                                            <w:top w:val="none" w:sz="0" w:space="0" w:color="auto"/>
                                            <w:left w:val="none" w:sz="0" w:space="0" w:color="auto"/>
                                            <w:bottom w:val="none" w:sz="0" w:space="0" w:color="auto"/>
                                            <w:right w:val="none" w:sz="0" w:space="0" w:color="auto"/>
                                          </w:divBdr>
                                          <w:divsChild>
                                            <w:div w:id="1851528927">
                                              <w:marLeft w:val="0"/>
                                              <w:marRight w:val="0"/>
                                              <w:marTop w:val="0"/>
                                              <w:marBottom w:val="0"/>
                                              <w:divBdr>
                                                <w:top w:val="none" w:sz="0" w:space="0" w:color="auto"/>
                                                <w:left w:val="none" w:sz="0" w:space="0" w:color="auto"/>
                                                <w:bottom w:val="none" w:sz="0" w:space="0" w:color="auto"/>
                                                <w:right w:val="none" w:sz="0" w:space="0" w:color="auto"/>
                                              </w:divBdr>
                                              <w:divsChild>
                                                <w:div w:id="1757676803">
                                                  <w:marLeft w:val="0"/>
                                                  <w:marRight w:val="0"/>
                                                  <w:marTop w:val="0"/>
                                                  <w:marBottom w:val="0"/>
                                                  <w:divBdr>
                                                    <w:top w:val="none" w:sz="0" w:space="0" w:color="auto"/>
                                                    <w:left w:val="none" w:sz="0" w:space="0" w:color="auto"/>
                                                    <w:bottom w:val="none" w:sz="0" w:space="0" w:color="auto"/>
                                                    <w:right w:val="none" w:sz="0" w:space="0" w:color="auto"/>
                                                  </w:divBdr>
                                                  <w:divsChild>
                                                    <w:div w:id="86779999">
                                                      <w:marLeft w:val="0"/>
                                                      <w:marRight w:val="0"/>
                                                      <w:marTop w:val="0"/>
                                                      <w:marBottom w:val="0"/>
                                                      <w:divBdr>
                                                        <w:top w:val="none" w:sz="0" w:space="0" w:color="auto"/>
                                                        <w:left w:val="none" w:sz="0" w:space="0" w:color="auto"/>
                                                        <w:bottom w:val="none" w:sz="0" w:space="0" w:color="auto"/>
                                                        <w:right w:val="none" w:sz="0" w:space="0" w:color="auto"/>
                                                      </w:divBdr>
                                                    </w:div>
                                                  </w:divsChild>
                                                </w:div>
                                                <w:div w:id="306664476">
                                                  <w:marLeft w:val="0"/>
                                                  <w:marRight w:val="0"/>
                                                  <w:marTop w:val="0"/>
                                                  <w:marBottom w:val="0"/>
                                                  <w:divBdr>
                                                    <w:top w:val="none" w:sz="0" w:space="0" w:color="auto"/>
                                                    <w:left w:val="none" w:sz="0" w:space="0" w:color="auto"/>
                                                    <w:bottom w:val="none" w:sz="0" w:space="0" w:color="auto"/>
                                                    <w:right w:val="none" w:sz="0" w:space="0" w:color="auto"/>
                                                  </w:divBdr>
                                                  <w:divsChild>
                                                    <w:div w:id="1308438432">
                                                      <w:marLeft w:val="0"/>
                                                      <w:marRight w:val="0"/>
                                                      <w:marTop w:val="0"/>
                                                      <w:marBottom w:val="0"/>
                                                      <w:divBdr>
                                                        <w:top w:val="none" w:sz="0" w:space="0" w:color="auto"/>
                                                        <w:left w:val="none" w:sz="0" w:space="0" w:color="auto"/>
                                                        <w:bottom w:val="none" w:sz="0" w:space="0" w:color="auto"/>
                                                        <w:right w:val="none" w:sz="0" w:space="0" w:color="auto"/>
                                                      </w:divBdr>
                                                      <w:divsChild>
                                                        <w:div w:id="12997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807517">
      <w:bodyDiv w:val="1"/>
      <w:marLeft w:val="0"/>
      <w:marRight w:val="0"/>
      <w:marTop w:val="0"/>
      <w:marBottom w:val="0"/>
      <w:divBdr>
        <w:top w:val="none" w:sz="0" w:space="0" w:color="auto"/>
        <w:left w:val="none" w:sz="0" w:space="0" w:color="auto"/>
        <w:bottom w:val="none" w:sz="0" w:space="0" w:color="auto"/>
        <w:right w:val="none" w:sz="0" w:space="0" w:color="auto"/>
      </w:divBdr>
    </w:div>
    <w:div w:id="249241343">
      <w:bodyDiv w:val="1"/>
      <w:marLeft w:val="0"/>
      <w:marRight w:val="0"/>
      <w:marTop w:val="0"/>
      <w:marBottom w:val="0"/>
      <w:divBdr>
        <w:top w:val="none" w:sz="0" w:space="0" w:color="auto"/>
        <w:left w:val="none" w:sz="0" w:space="0" w:color="auto"/>
        <w:bottom w:val="none" w:sz="0" w:space="0" w:color="auto"/>
        <w:right w:val="none" w:sz="0" w:space="0" w:color="auto"/>
      </w:divBdr>
    </w:div>
    <w:div w:id="262153623">
      <w:bodyDiv w:val="1"/>
      <w:marLeft w:val="0"/>
      <w:marRight w:val="0"/>
      <w:marTop w:val="0"/>
      <w:marBottom w:val="0"/>
      <w:divBdr>
        <w:top w:val="none" w:sz="0" w:space="0" w:color="auto"/>
        <w:left w:val="none" w:sz="0" w:space="0" w:color="auto"/>
        <w:bottom w:val="none" w:sz="0" w:space="0" w:color="auto"/>
        <w:right w:val="none" w:sz="0" w:space="0" w:color="auto"/>
      </w:divBdr>
    </w:div>
    <w:div w:id="263270724">
      <w:bodyDiv w:val="1"/>
      <w:marLeft w:val="0"/>
      <w:marRight w:val="0"/>
      <w:marTop w:val="0"/>
      <w:marBottom w:val="0"/>
      <w:divBdr>
        <w:top w:val="none" w:sz="0" w:space="0" w:color="auto"/>
        <w:left w:val="none" w:sz="0" w:space="0" w:color="auto"/>
        <w:bottom w:val="none" w:sz="0" w:space="0" w:color="auto"/>
        <w:right w:val="none" w:sz="0" w:space="0" w:color="auto"/>
      </w:divBdr>
    </w:div>
    <w:div w:id="293295984">
      <w:bodyDiv w:val="1"/>
      <w:marLeft w:val="0"/>
      <w:marRight w:val="0"/>
      <w:marTop w:val="0"/>
      <w:marBottom w:val="0"/>
      <w:divBdr>
        <w:top w:val="none" w:sz="0" w:space="0" w:color="auto"/>
        <w:left w:val="none" w:sz="0" w:space="0" w:color="auto"/>
        <w:bottom w:val="none" w:sz="0" w:space="0" w:color="auto"/>
        <w:right w:val="none" w:sz="0" w:space="0" w:color="auto"/>
      </w:divBdr>
    </w:div>
    <w:div w:id="305208799">
      <w:bodyDiv w:val="1"/>
      <w:marLeft w:val="0"/>
      <w:marRight w:val="0"/>
      <w:marTop w:val="0"/>
      <w:marBottom w:val="0"/>
      <w:divBdr>
        <w:top w:val="none" w:sz="0" w:space="0" w:color="auto"/>
        <w:left w:val="none" w:sz="0" w:space="0" w:color="auto"/>
        <w:bottom w:val="none" w:sz="0" w:space="0" w:color="auto"/>
        <w:right w:val="none" w:sz="0" w:space="0" w:color="auto"/>
      </w:divBdr>
    </w:div>
    <w:div w:id="307630172">
      <w:bodyDiv w:val="1"/>
      <w:marLeft w:val="0"/>
      <w:marRight w:val="0"/>
      <w:marTop w:val="0"/>
      <w:marBottom w:val="0"/>
      <w:divBdr>
        <w:top w:val="none" w:sz="0" w:space="0" w:color="auto"/>
        <w:left w:val="none" w:sz="0" w:space="0" w:color="auto"/>
        <w:bottom w:val="none" w:sz="0" w:space="0" w:color="auto"/>
        <w:right w:val="none" w:sz="0" w:space="0" w:color="auto"/>
      </w:divBdr>
    </w:div>
    <w:div w:id="339087439">
      <w:bodyDiv w:val="1"/>
      <w:marLeft w:val="0"/>
      <w:marRight w:val="0"/>
      <w:marTop w:val="0"/>
      <w:marBottom w:val="0"/>
      <w:divBdr>
        <w:top w:val="none" w:sz="0" w:space="0" w:color="auto"/>
        <w:left w:val="none" w:sz="0" w:space="0" w:color="auto"/>
        <w:bottom w:val="none" w:sz="0" w:space="0" w:color="auto"/>
        <w:right w:val="none" w:sz="0" w:space="0" w:color="auto"/>
      </w:divBdr>
    </w:div>
    <w:div w:id="437221131">
      <w:bodyDiv w:val="1"/>
      <w:marLeft w:val="0"/>
      <w:marRight w:val="0"/>
      <w:marTop w:val="0"/>
      <w:marBottom w:val="0"/>
      <w:divBdr>
        <w:top w:val="none" w:sz="0" w:space="0" w:color="auto"/>
        <w:left w:val="none" w:sz="0" w:space="0" w:color="auto"/>
        <w:bottom w:val="none" w:sz="0" w:space="0" w:color="auto"/>
        <w:right w:val="none" w:sz="0" w:space="0" w:color="auto"/>
      </w:divBdr>
    </w:div>
    <w:div w:id="474029912">
      <w:bodyDiv w:val="1"/>
      <w:marLeft w:val="0"/>
      <w:marRight w:val="0"/>
      <w:marTop w:val="0"/>
      <w:marBottom w:val="0"/>
      <w:divBdr>
        <w:top w:val="none" w:sz="0" w:space="0" w:color="auto"/>
        <w:left w:val="none" w:sz="0" w:space="0" w:color="auto"/>
        <w:bottom w:val="none" w:sz="0" w:space="0" w:color="auto"/>
        <w:right w:val="none" w:sz="0" w:space="0" w:color="auto"/>
      </w:divBdr>
    </w:div>
    <w:div w:id="526215185">
      <w:bodyDiv w:val="1"/>
      <w:marLeft w:val="0"/>
      <w:marRight w:val="0"/>
      <w:marTop w:val="0"/>
      <w:marBottom w:val="0"/>
      <w:divBdr>
        <w:top w:val="none" w:sz="0" w:space="0" w:color="auto"/>
        <w:left w:val="none" w:sz="0" w:space="0" w:color="auto"/>
        <w:bottom w:val="none" w:sz="0" w:space="0" w:color="auto"/>
        <w:right w:val="none" w:sz="0" w:space="0" w:color="auto"/>
      </w:divBdr>
    </w:div>
    <w:div w:id="544828961">
      <w:bodyDiv w:val="1"/>
      <w:marLeft w:val="0"/>
      <w:marRight w:val="0"/>
      <w:marTop w:val="0"/>
      <w:marBottom w:val="0"/>
      <w:divBdr>
        <w:top w:val="none" w:sz="0" w:space="0" w:color="auto"/>
        <w:left w:val="none" w:sz="0" w:space="0" w:color="auto"/>
        <w:bottom w:val="none" w:sz="0" w:space="0" w:color="auto"/>
        <w:right w:val="none" w:sz="0" w:space="0" w:color="auto"/>
      </w:divBdr>
    </w:div>
    <w:div w:id="586615013">
      <w:bodyDiv w:val="1"/>
      <w:marLeft w:val="0"/>
      <w:marRight w:val="0"/>
      <w:marTop w:val="0"/>
      <w:marBottom w:val="0"/>
      <w:divBdr>
        <w:top w:val="none" w:sz="0" w:space="0" w:color="auto"/>
        <w:left w:val="none" w:sz="0" w:space="0" w:color="auto"/>
        <w:bottom w:val="none" w:sz="0" w:space="0" w:color="auto"/>
        <w:right w:val="none" w:sz="0" w:space="0" w:color="auto"/>
      </w:divBdr>
    </w:div>
    <w:div w:id="595946747">
      <w:bodyDiv w:val="1"/>
      <w:marLeft w:val="0"/>
      <w:marRight w:val="0"/>
      <w:marTop w:val="0"/>
      <w:marBottom w:val="0"/>
      <w:divBdr>
        <w:top w:val="none" w:sz="0" w:space="0" w:color="auto"/>
        <w:left w:val="none" w:sz="0" w:space="0" w:color="auto"/>
        <w:bottom w:val="none" w:sz="0" w:space="0" w:color="auto"/>
        <w:right w:val="none" w:sz="0" w:space="0" w:color="auto"/>
      </w:divBdr>
    </w:div>
    <w:div w:id="611060193">
      <w:bodyDiv w:val="1"/>
      <w:marLeft w:val="0"/>
      <w:marRight w:val="0"/>
      <w:marTop w:val="0"/>
      <w:marBottom w:val="0"/>
      <w:divBdr>
        <w:top w:val="none" w:sz="0" w:space="0" w:color="auto"/>
        <w:left w:val="none" w:sz="0" w:space="0" w:color="auto"/>
        <w:bottom w:val="none" w:sz="0" w:space="0" w:color="auto"/>
        <w:right w:val="none" w:sz="0" w:space="0" w:color="auto"/>
      </w:divBdr>
    </w:div>
    <w:div w:id="616327901">
      <w:bodyDiv w:val="1"/>
      <w:marLeft w:val="0"/>
      <w:marRight w:val="0"/>
      <w:marTop w:val="0"/>
      <w:marBottom w:val="0"/>
      <w:divBdr>
        <w:top w:val="none" w:sz="0" w:space="0" w:color="auto"/>
        <w:left w:val="none" w:sz="0" w:space="0" w:color="auto"/>
        <w:bottom w:val="none" w:sz="0" w:space="0" w:color="auto"/>
        <w:right w:val="none" w:sz="0" w:space="0" w:color="auto"/>
      </w:divBdr>
    </w:div>
    <w:div w:id="642463664">
      <w:bodyDiv w:val="1"/>
      <w:marLeft w:val="0"/>
      <w:marRight w:val="0"/>
      <w:marTop w:val="0"/>
      <w:marBottom w:val="0"/>
      <w:divBdr>
        <w:top w:val="none" w:sz="0" w:space="0" w:color="auto"/>
        <w:left w:val="none" w:sz="0" w:space="0" w:color="auto"/>
        <w:bottom w:val="none" w:sz="0" w:space="0" w:color="auto"/>
        <w:right w:val="none" w:sz="0" w:space="0" w:color="auto"/>
      </w:divBdr>
    </w:div>
    <w:div w:id="666976792">
      <w:bodyDiv w:val="1"/>
      <w:marLeft w:val="0"/>
      <w:marRight w:val="0"/>
      <w:marTop w:val="0"/>
      <w:marBottom w:val="0"/>
      <w:divBdr>
        <w:top w:val="none" w:sz="0" w:space="0" w:color="auto"/>
        <w:left w:val="none" w:sz="0" w:space="0" w:color="auto"/>
        <w:bottom w:val="none" w:sz="0" w:space="0" w:color="auto"/>
        <w:right w:val="none" w:sz="0" w:space="0" w:color="auto"/>
      </w:divBdr>
    </w:div>
    <w:div w:id="667172702">
      <w:bodyDiv w:val="1"/>
      <w:marLeft w:val="0"/>
      <w:marRight w:val="0"/>
      <w:marTop w:val="0"/>
      <w:marBottom w:val="0"/>
      <w:divBdr>
        <w:top w:val="none" w:sz="0" w:space="0" w:color="auto"/>
        <w:left w:val="none" w:sz="0" w:space="0" w:color="auto"/>
        <w:bottom w:val="none" w:sz="0" w:space="0" w:color="auto"/>
        <w:right w:val="none" w:sz="0" w:space="0" w:color="auto"/>
      </w:divBdr>
    </w:div>
    <w:div w:id="676465506">
      <w:bodyDiv w:val="1"/>
      <w:marLeft w:val="0"/>
      <w:marRight w:val="0"/>
      <w:marTop w:val="0"/>
      <w:marBottom w:val="0"/>
      <w:divBdr>
        <w:top w:val="none" w:sz="0" w:space="0" w:color="auto"/>
        <w:left w:val="none" w:sz="0" w:space="0" w:color="auto"/>
        <w:bottom w:val="none" w:sz="0" w:space="0" w:color="auto"/>
        <w:right w:val="none" w:sz="0" w:space="0" w:color="auto"/>
      </w:divBdr>
    </w:div>
    <w:div w:id="690448910">
      <w:bodyDiv w:val="1"/>
      <w:marLeft w:val="0"/>
      <w:marRight w:val="0"/>
      <w:marTop w:val="0"/>
      <w:marBottom w:val="0"/>
      <w:divBdr>
        <w:top w:val="none" w:sz="0" w:space="0" w:color="auto"/>
        <w:left w:val="none" w:sz="0" w:space="0" w:color="auto"/>
        <w:bottom w:val="none" w:sz="0" w:space="0" w:color="auto"/>
        <w:right w:val="none" w:sz="0" w:space="0" w:color="auto"/>
      </w:divBdr>
    </w:div>
    <w:div w:id="707488497">
      <w:bodyDiv w:val="1"/>
      <w:marLeft w:val="0"/>
      <w:marRight w:val="0"/>
      <w:marTop w:val="0"/>
      <w:marBottom w:val="0"/>
      <w:divBdr>
        <w:top w:val="none" w:sz="0" w:space="0" w:color="auto"/>
        <w:left w:val="none" w:sz="0" w:space="0" w:color="auto"/>
        <w:bottom w:val="none" w:sz="0" w:space="0" w:color="auto"/>
        <w:right w:val="none" w:sz="0" w:space="0" w:color="auto"/>
      </w:divBdr>
    </w:div>
    <w:div w:id="730540114">
      <w:bodyDiv w:val="1"/>
      <w:marLeft w:val="0"/>
      <w:marRight w:val="0"/>
      <w:marTop w:val="0"/>
      <w:marBottom w:val="0"/>
      <w:divBdr>
        <w:top w:val="none" w:sz="0" w:space="0" w:color="auto"/>
        <w:left w:val="none" w:sz="0" w:space="0" w:color="auto"/>
        <w:bottom w:val="none" w:sz="0" w:space="0" w:color="auto"/>
        <w:right w:val="none" w:sz="0" w:space="0" w:color="auto"/>
      </w:divBdr>
      <w:divsChild>
        <w:div w:id="1771705513">
          <w:marLeft w:val="0"/>
          <w:marRight w:val="0"/>
          <w:marTop w:val="0"/>
          <w:marBottom w:val="0"/>
          <w:divBdr>
            <w:top w:val="none" w:sz="0" w:space="0" w:color="auto"/>
            <w:left w:val="none" w:sz="0" w:space="0" w:color="auto"/>
            <w:bottom w:val="none" w:sz="0" w:space="0" w:color="auto"/>
            <w:right w:val="none" w:sz="0" w:space="0" w:color="auto"/>
          </w:divBdr>
        </w:div>
      </w:divsChild>
    </w:div>
    <w:div w:id="761605215">
      <w:bodyDiv w:val="1"/>
      <w:marLeft w:val="0"/>
      <w:marRight w:val="0"/>
      <w:marTop w:val="0"/>
      <w:marBottom w:val="0"/>
      <w:divBdr>
        <w:top w:val="none" w:sz="0" w:space="0" w:color="auto"/>
        <w:left w:val="none" w:sz="0" w:space="0" w:color="auto"/>
        <w:bottom w:val="none" w:sz="0" w:space="0" w:color="auto"/>
        <w:right w:val="none" w:sz="0" w:space="0" w:color="auto"/>
      </w:divBdr>
    </w:div>
    <w:div w:id="801773249">
      <w:bodyDiv w:val="1"/>
      <w:marLeft w:val="0"/>
      <w:marRight w:val="0"/>
      <w:marTop w:val="0"/>
      <w:marBottom w:val="0"/>
      <w:divBdr>
        <w:top w:val="none" w:sz="0" w:space="0" w:color="auto"/>
        <w:left w:val="none" w:sz="0" w:space="0" w:color="auto"/>
        <w:bottom w:val="none" w:sz="0" w:space="0" w:color="auto"/>
        <w:right w:val="none" w:sz="0" w:space="0" w:color="auto"/>
      </w:divBdr>
    </w:div>
    <w:div w:id="812406995">
      <w:bodyDiv w:val="1"/>
      <w:marLeft w:val="0"/>
      <w:marRight w:val="0"/>
      <w:marTop w:val="0"/>
      <w:marBottom w:val="0"/>
      <w:divBdr>
        <w:top w:val="none" w:sz="0" w:space="0" w:color="auto"/>
        <w:left w:val="none" w:sz="0" w:space="0" w:color="auto"/>
        <w:bottom w:val="none" w:sz="0" w:space="0" w:color="auto"/>
        <w:right w:val="none" w:sz="0" w:space="0" w:color="auto"/>
      </w:divBdr>
      <w:divsChild>
        <w:div w:id="945238931">
          <w:marLeft w:val="480"/>
          <w:marRight w:val="0"/>
          <w:marTop w:val="0"/>
          <w:marBottom w:val="0"/>
          <w:divBdr>
            <w:top w:val="none" w:sz="0" w:space="0" w:color="auto"/>
            <w:left w:val="none" w:sz="0" w:space="0" w:color="auto"/>
            <w:bottom w:val="none" w:sz="0" w:space="0" w:color="auto"/>
            <w:right w:val="none" w:sz="0" w:space="0" w:color="auto"/>
          </w:divBdr>
        </w:div>
        <w:div w:id="556667768">
          <w:marLeft w:val="480"/>
          <w:marRight w:val="0"/>
          <w:marTop w:val="0"/>
          <w:marBottom w:val="0"/>
          <w:divBdr>
            <w:top w:val="none" w:sz="0" w:space="0" w:color="auto"/>
            <w:left w:val="none" w:sz="0" w:space="0" w:color="auto"/>
            <w:bottom w:val="none" w:sz="0" w:space="0" w:color="auto"/>
            <w:right w:val="none" w:sz="0" w:space="0" w:color="auto"/>
          </w:divBdr>
        </w:div>
        <w:div w:id="1946644584">
          <w:marLeft w:val="480"/>
          <w:marRight w:val="0"/>
          <w:marTop w:val="0"/>
          <w:marBottom w:val="0"/>
          <w:divBdr>
            <w:top w:val="none" w:sz="0" w:space="0" w:color="auto"/>
            <w:left w:val="none" w:sz="0" w:space="0" w:color="auto"/>
            <w:bottom w:val="none" w:sz="0" w:space="0" w:color="auto"/>
            <w:right w:val="none" w:sz="0" w:space="0" w:color="auto"/>
          </w:divBdr>
        </w:div>
        <w:div w:id="2015185736">
          <w:marLeft w:val="480"/>
          <w:marRight w:val="0"/>
          <w:marTop w:val="0"/>
          <w:marBottom w:val="0"/>
          <w:divBdr>
            <w:top w:val="none" w:sz="0" w:space="0" w:color="auto"/>
            <w:left w:val="none" w:sz="0" w:space="0" w:color="auto"/>
            <w:bottom w:val="none" w:sz="0" w:space="0" w:color="auto"/>
            <w:right w:val="none" w:sz="0" w:space="0" w:color="auto"/>
          </w:divBdr>
        </w:div>
        <w:div w:id="488668463">
          <w:marLeft w:val="480"/>
          <w:marRight w:val="0"/>
          <w:marTop w:val="0"/>
          <w:marBottom w:val="0"/>
          <w:divBdr>
            <w:top w:val="none" w:sz="0" w:space="0" w:color="auto"/>
            <w:left w:val="none" w:sz="0" w:space="0" w:color="auto"/>
            <w:bottom w:val="none" w:sz="0" w:space="0" w:color="auto"/>
            <w:right w:val="none" w:sz="0" w:space="0" w:color="auto"/>
          </w:divBdr>
        </w:div>
        <w:div w:id="404761539">
          <w:marLeft w:val="480"/>
          <w:marRight w:val="0"/>
          <w:marTop w:val="0"/>
          <w:marBottom w:val="0"/>
          <w:divBdr>
            <w:top w:val="none" w:sz="0" w:space="0" w:color="auto"/>
            <w:left w:val="none" w:sz="0" w:space="0" w:color="auto"/>
            <w:bottom w:val="none" w:sz="0" w:space="0" w:color="auto"/>
            <w:right w:val="none" w:sz="0" w:space="0" w:color="auto"/>
          </w:divBdr>
        </w:div>
        <w:div w:id="1979725800">
          <w:marLeft w:val="480"/>
          <w:marRight w:val="0"/>
          <w:marTop w:val="0"/>
          <w:marBottom w:val="0"/>
          <w:divBdr>
            <w:top w:val="none" w:sz="0" w:space="0" w:color="auto"/>
            <w:left w:val="none" w:sz="0" w:space="0" w:color="auto"/>
            <w:bottom w:val="none" w:sz="0" w:space="0" w:color="auto"/>
            <w:right w:val="none" w:sz="0" w:space="0" w:color="auto"/>
          </w:divBdr>
        </w:div>
        <w:div w:id="1365981231">
          <w:marLeft w:val="480"/>
          <w:marRight w:val="0"/>
          <w:marTop w:val="0"/>
          <w:marBottom w:val="0"/>
          <w:divBdr>
            <w:top w:val="none" w:sz="0" w:space="0" w:color="auto"/>
            <w:left w:val="none" w:sz="0" w:space="0" w:color="auto"/>
            <w:bottom w:val="none" w:sz="0" w:space="0" w:color="auto"/>
            <w:right w:val="none" w:sz="0" w:space="0" w:color="auto"/>
          </w:divBdr>
        </w:div>
        <w:div w:id="12152035">
          <w:marLeft w:val="480"/>
          <w:marRight w:val="0"/>
          <w:marTop w:val="0"/>
          <w:marBottom w:val="0"/>
          <w:divBdr>
            <w:top w:val="none" w:sz="0" w:space="0" w:color="auto"/>
            <w:left w:val="none" w:sz="0" w:space="0" w:color="auto"/>
            <w:bottom w:val="none" w:sz="0" w:space="0" w:color="auto"/>
            <w:right w:val="none" w:sz="0" w:space="0" w:color="auto"/>
          </w:divBdr>
        </w:div>
        <w:div w:id="1514685196">
          <w:marLeft w:val="480"/>
          <w:marRight w:val="0"/>
          <w:marTop w:val="0"/>
          <w:marBottom w:val="0"/>
          <w:divBdr>
            <w:top w:val="none" w:sz="0" w:space="0" w:color="auto"/>
            <w:left w:val="none" w:sz="0" w:space="0" w:color="auto"/>
            <w:bottom w:val="none" w:sz="0" w:space="0" w:color="auto"/>
            <w:right w:val="none" w:sz="0" w:space="0" w:color="auto"/>
          </w:divBdr>
        </w:div>
        <w:div w:id="1111628138">
          <w:marLeft w:val="480"/>
          <w:marRight w:val="0"/>
          <w:marTop w:val="0"/>
          <w:marBottom w:val="0"/>
          <w:divBdr>
            <w:top w:val="none" w:sz="0" w:space="0" w:color="auto"/>
            <w:left w:val="none" w:sz="0" w:space="0" w:color="auto"/>
            <w:bottom w:val="none" w:sz="0" w:space="0" w:color="auto"/>
            <w:right w:val="none" w:sz="0" w:space="0" w:color="auto"/>
          </w:divBdr>
        </w:div>
        <w:div w:id="263343731">
          <w:marLeft w:val="480"/>
          <w:marRight w:val="0"/>
          <w:marTop w:val="0"/>
          <w:marBottom w:val="0"/>
          <w:divBdr>
            <w:top w:val="none" w:sz="0" w:space="0" w:color="auto"/>
            <w:left w:val="none" w:sz="0" w:space="0" w:color="auto"/>
            <w:bottom w:val="none" w:sz="0" w:space="0" w:color="auto"/>
            <w:right w:val="none" w:sz="0" w:space="0" w:color="auto"/>
          </w:divBdr>
        </w:div>
        <w:div w:id="1076780304">
          <w:marLeft w:val="480"/>
          <w:marRight w:val="0"/>
          <w:marTop w:val="0"/>
          <w:marBottom w:val="0"/>
          <w:divBdr>
            <w:top w:val="none" w:sz="0" w:space="0" w:color="auto"/>
            <w:left w:val="none" w:sz="0" w:space="0" w:color="auto"/>
            <w:bottom w:val="none" w:sz="0" w:space="0" w:color="auto"/>
            <w:right w:val="none" w:sz="0" w:space="0" w:color="auto"/>
          </w:divBdr>
        </w:div>
        <w:div w:id="1296332141">
          <w:marLeft w:val="480"/>
          <w:marRight w:val="0"/>
          <w:marTop w:val="0"/>
          <w:marBottom w:val="0"/>
          <w:divBdr>
            <w:top w:val="none" w:sz="0" w:space="0" w:color="auto"/>
            <w:left w:val="none" w:sz="0" w:space="0" w:color="auto"/>
            <w:bottom w:val="none" w:sz="0" w:space="0" w:color="auto"/>
            <w:right w:val="none" w:sz="0" w:space="0" w:color="auto"/>
          </w:divBdr>
        </w:div>
        <w:div w:id="2039312093">
          <w:marLeft w:val="480"/>
          <w:marRight w:val="0"/>
          <w:marTop w:val="0"/>
          <w:marBottom w:val="0"/>
          <w:divBdr>
            <w:top w:val="none" w:sz="0" w:space="0" w:color="auto"/>
            <w:left w:val="none" w:sz="0" w:space="0" w:color="auto"/>
            <w:bottom w:val="none" w:sz="0" w:space="0" w:color="auto"/>
            <w:right w:val="none" w:sz="0" w:space="0" w:color="auto"/>
          </w:divBdr>
        </w:div>
      </w:divsChild>
    </w:div>
    <w:div w:id="813982286">
      <w:bodyDiv w:val="1"/>
      <w:marLeft w:val="0"/>
      <w:marRight w:val="0"/>
      <w:marTop w:val="0"/>
      <w:marBottom w:val="0"/>
      <w:divBdr>
        <w:top w:val="none" w:sz="0" w:space="0" w:color="auto"/>
        <w:left w:val="none" w:sz="0" w:space="0" w:color="auto"/>
        <w:bottom w:val="none" w:sz="0" w:space="0" w:color="auto"/>
        <w:right w:val="none" w:sz="0" w:space="0" w:color="auto"/>
      </w:divBdr>
    </w:div>
    <w:div w:id="825559493">
      <w:bodyDiv w:val="1"/>
      <w:marLeft w:val="0"/>
      <w:marRight w:val="0"/>
      <w:marTop w:val="0"/>
      <w:marBottom w:val="0"/>
      <w:divBdr>
        <w:top w:val="none" w:sz="0" w:space="0" w:color="auto"/>
        <w:left w:val="none" w:sz="0" w:space="0" w:color="auto"/>
        <w:bottom w:val="none" w:sz="0" w:space="0" w:color="auto"/>
        <w:right w:val="none" w:sz="0" w:space="0" w:color="auto"/>
      </w:divBdr>
    </w:div>
    <w:div w:id="861628705">
      <w:bodyDiv w:val="1"/>
      <w:marLeft w:val="0"/>
      <w:marRight w:val="0"/>
      <w:marTop w:val="0"/>
      <w:marBottom w:val="0"/>
      <w:divBdr>
        <w:top w:val="none" w:sz="0" w:space="0" w:color="auto"/>
        <w:left w:val="none" w:sz="0" w:space="0" w:color="auto"/>
        <w:bottom w:val="none" w:sz="0" w:space="0" w:color="auto"/>
        <w:right w:val="none" w:sz="0" w:space="0" w:color="auto"/>
      </w:divBdr>
    </w:div>
    <w:div w:id="881983529">
      <w:bodyDiv w:val="1"/>
      <w:marLeft w:val="0"/>
      <w:marRight w:val="0"/>
      <w:marTop w:val="0"/>
      <w:marBottom w:val="0"/>
      <w:divBdr>
        <w:top w:val="none" w:sz="0" w:space="0" w:color="auto"/>
        <w:left w:val="none" w:sz="0" w:space="0" w:color="auto"/>
        <w:bottom w:val="none" w:sz="0" w:space="0" w:color="auto"/>
        <w:right w:val="none" w:sz="0" w:space="0" w:color="auto"/>
      </w:divBdr>
    </w:div>
    <w:div w:id="884679372">
      <w:bodyDiv w:val="1"/>
      <w:marLeft w:val="0"/>
      <w:marRight w:val="0"/>
      <w:marTop w:val="0"/>
      <w:marBottom w:val="0"/>
      <w:divBdr>
        <w:top w:val="none" w:sz="0" w:space="0" w:color="auto"/>
        <w:left w:val="none" w:sz="0" w:space="0" w:color="auto"/>
        <w:bottom w:val="none" w:sz="0" w:space="0" w:color="auto"/>
        <w:right w:val="none" w:sz="0" w:space="0" w:color="auto"/>
      </w:divBdr>
    </w:div>
    <w:div w:id="944968604">
      <w:bodyDiv w:val="1"/>
      <w:marLeft w:val="0"/>
      <w:marRight w:val="0"/>
      <w:marTop w:val="0"/>
      <w:marBottom w:val="0"/>
      <w:divBdr>
        <w:top w:val="none" w:sz="0" w:space="0" w:color="auto"/>
        <w:left w:val="none" w:sz="0" w:space="0" w:color="auto"/>
        <w:bottom w:val="none" w:sz="0" w:space="0" w:color="auto"/>
        <w:right w:val="none" w:sz="0" w:space="0" w:color="auto"/>
      </w:divBdr>
    </w:div>
    <w:div w:id="945388397">
      <w:bodyDiv w:val="1"/>
      <w:marLeft w:val="0"/>
      <w:marRight w:val="0"/>
      <w:marTop w:val="0"/>
      <w:marBottom w:val="0"/>
      <w:divBdr>
        <w:top w:val="none" w:sz="0" w:space="0" w:color="auto"/>
        <w:left w:val="none" w:sz="0" w:space="0" w:color="auto"/>
        <w:bottom w:val="none" w:sz="0" w:space="0" w:color="auto"/>
        <w:right w:val="none" w:sz="0" w:space="0" w:color="auto"/>
      </w:divBdr>
    </w:div>
    <w:div w:id="966395697">
      <w:bodyDiv w:val="1"/>
      <w:marLeft w:val="0"/>
      <w:marRight w:val="0"/>
      <w:marTop w:val="0"/>
      <w:marBottom w:val="0"/>
      <w:divBdr>
        <w:top w:val="none" w:sz="0" w:space="0" w:color="auto"/>
        <w:left w:val="none" w:sz="0" w:space="0" w:color="auto"/>
        <w:bottom w:val="none" w:sz="0" w:space="0" w:color="auto"/>
        <w:right w:val="none" w:sz="0" w:space="0" w:color="auto"/>
      </w:divBdr>
      <w:divsChild>
        <w:div w:id="776490721">
          <w:marLeft w:val="0"/>
          <w:marRight w:val="0"/>
          <w:marTop w:val="0"/>
          <w:marBottom w:val="0"/>
          <w:divBdr>
            <w:top w:val="none" w:sz="0" w:space="0" w:color="auto"/>
            <w:left w:val="none" w:sz="0" w:space="0" w:color="auto"/>
            <w:bottom w:val="none" w:sz="0" w:space="0" w:color="auto"/>
            <w:right w:val="none" w:sz="0" w:space="0" w:color="auto"/>
          </w:divBdr>
        </w:div>
        <w:div w:id="122968886">
          <w:marLeft w:val="0"/>
          <w:marRight w:val="0"/>
          <w:marTop w:val="0"/>
          <w:marBottom w:val="0"/>
          <w:divBdr>
            <w:top w:val="none" w:sz="0" w:space="0" w:color="auto"/>
            <w:left w:val="none" w:sz="0" w:space="0" w:color="auto"/>
            <w:bottom w:val="none" w:sz="0" w:space="0" w:color="auto"/>
            <w:right w:val="none" w:sz="0" w:space="0" w:color="auto"/>
          </w:divBdr>
          <w:divsChild>
            <w:div w:id="5197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880">
      <w:bodyDiv w:val="1"/>
      <w:marLeft w:val="0"/>
      <w:marRight w:val="0"/>
      <w:marTop w:val="0"/>
      <w:marBottom w:val="0"/>
      <w:divBdr>
        <w:top w:val="none" w:sz="0" w:space="0" w:color="auto"/>
        <w:left w:val="none" w:sz="0" w:space="0" w:color="auto"/>
        <w:bottom w:val="none" w:sz="0" w:space="0" w:color="auto"/>
        <w:right w:val="none" w:sz="0" w:space="0" w:color="auto"/>
      </w:divBdr>
    </w:div>
    <w:div w:id="983971316">
      <w:bodyDiv w:val="1"/>
      <w:marLeft w:val="0"/>
      <w:marRight w:val="0"/>
      <w:marTop w:val="0"/>
      <w:marBottom w:val="0"/>
      <w:divBdr>
        <w:top w:val="none" w:sz="0" w:space="0" w:color="auto"/>
        <w:left w:val="none" w:sz="0" w:space="0" w:color="auto"/>
        <w:bottom w:val="none" w:sz="0" w:space="0" w:color="auto"/>
        <w:right w:val="none" w:sz="0" w:space="0" w:color="auto"/>
      </w:divBdr>
    </w:div>
    <w:div w:id="988293293">
      <w:bodyDiv w:val="1"/>
      <w:marLeft w:val="0"/>
      <w:marRight w:val="0"/>
      <w:marTop w:val="0"/>
      <w:marBottom w:val="0"/>
      <w:divBdr>
        <w:top w:val="none" w:sz="0" w:space="0" w:color="auto"/>
        <w:left w:val="none" w:sz="0" w:space="0" w:color="auto"/>
        <w:bottom w:val="none" w:sz="0" w:space="0" w:color="auto"/>
        <w:right w:val="none" w:sz="0" w:space="0" w:color="auto"/>
      </w:divBdr>
    </w:div>
    <w:div w:id="1007320388">
      <w:bodyDiv w:val="1"/>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2137679588">
              <w:marLeft w:val="0"/>
              <w:marRight w:val="0"/>
              <w:marTop w:val="0"/>
              <w:marBottom w:val="0"/>
              <w:divBdr>
                <w:top w:val="none" w:sz="0" w:space="0" w:color="auto"/>
                <w:left w:val="none" w:sz="0" w:space="0" w:color="auto"/>
                <w:bottom w:val="none" w:sz="0" w:space="0" w:color="auto"/>
                <w:right w:val="none" w:sz="0" w:space="0" w:color="auto"/>
              </w:divBdr>
              <w:divsChild>
                <w:div w:id="2687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0197">
      <w:bodyDiv w:val="1"/>
      <w:marLeft w:val="0"/>
      <w:marRight w:val="0"/>
      <w:marTop w:val="0"/>
      <w:marBottom w:val="0"/>
      <w:divBdr>
        <w:top w:val="none" w:sz="0" w:space="0" w:color="auto"/>
        <w:left w:val="none" w:sz="0" w:space="0" w:color="auto"/>
        <w:bottom w:val="none" w:sz="0" w:space="0" w:color="auto"/>
        <w:right w:val="none" w:sz="0" w:space="0" w:color="auto"/>
      </w:divBdr>
    </w:div>
    <w:div w:id="1076318766">
      <w:bodyDiv w:val="1"/>
      <w:marLeft w:val="0"/>
      <w:marRight w:val="0"/>
      <w:marTop w:val="0"/>
      <w:marBottom w:val="0"/>
      <w:divBdr>
        <w:top w:val="none" w:sz="0" w:space="0" w:color="auto"/>
        <w:left w:val="none" w:sz="0" w:space="0" w:color="auto"/>
        <w:bottom w:val="none" w:sz="0" w:space="0" w:color="auto"/>
        <w:right w:val="none" w:sz="0" w:space="0" w:color="auto"/>
      </w:divBdr>
    </w:div>
    <w:div w:id="1114791309">
      <w:bodyDiv w:val="1"/>
      <w:marLeft w:val="0"/>
      <w:marRight w:val="0"/>
      <w:marTop w:val="0"/>
      <w:marBottom w:val="0"/>
      <w:divBdr>
        <w:top w:val="none" w:sz="0" w:space="0" w:color="auto"/>
        <w:left w:val="none" w:sz="0" w:space="0" w:color="auto"/>
        <w:bottom w:val="none" w:sz="0" w:space="0" w:color="auto"/>
        <w:right w:val="none" w:sz="0" w:space="0" w:color="auto"/>
      </w:divBdr>
    </w:div>
    <w:div w:id="1133524610">
      <w:bodyDiv w:val="1"/>
      <w:marLeft w:val="0"/>
      <w:marRight w:val="0"/>
      <w:marTop w:val="0"/>
      <w:marBottom w:val="0"/>
      <w:divBdr>
        <w:top w:val="none" w:sz="0" w:space="0" w:color="auto"/>
        <w:left w:val="none" w:sz="0" w:space="0" w:color="auto"/>
        <w:bottom w:val="none" w:sz="0" w:space="0" w:color="auto"/>
        <w:right w:val="none" w:sz="0" w:space="0" w:color="auto"/>
      </w:divBdr>
    </w:div>
    <w:div w:id="1137990208">
      <w:bodyDiv w:val="1"/>
      <w:marLeft w:val="0"/>
      <w:marRight w:val="0"/>
      <w:marTop w:val="0"/>
      <w:marBottom w:val="0"/>
      <w:divBdr>
        <w:top w:val="none" w:sz="0" w:space="0" w:color="auto"/>
        <w:left w:val="none" w:sz="0" w:space="0" w:color="auto"/>
        <w:bottom w:val="none" w:sz="0" w:space="0" w:color="auto"/>
        <w:right w:val="none" w:sz="0" w:space="0" w:color="auto"/>
      </w:divBdr>
    </w:div>
    <w:div w:id="1157114809">
      <w:bodyDiv w:val="1"/>
      <w:marLeft w:val="0"/>
      <w:marRight w:val="0"/>
      <w:marTop w:val="0"/>
      <w:marBottom w:val="0"/>
      <w:divBdr>
        <w:top w:val="none" w:sz="0" w:space="0" w:color="auto"/>
        <w:left w:val="none" w:sz="0" w:space="0" w:color="auto"/>
        <w:bottom w:val="none" w:sz="0" w:space="0" w:color="auto"/>
        <w:right w:val="none" w:sz="0" w:space="0" w:color="auto"/>
      </w:divBdr>
    </w:div>
    <w:div w:id="1159885789">
      <w:bodyDiv w:val="1"/>
      <w:marLeft w:val="0"/>
      <w:marRight w:val="0"/>
      <w:marTop w:val="0"/>
      <w:marBottom w:val="0"/>
      <w:divBdr>
        <w:top w:val="none" w:sz="0" w:space="0" w:color="auto"/>
        <w:left w:val="none" w:sz="0" w:space="0" w:color="auto"/>
        <w:bottom w:val="none" w:sz="0" w:space="0" w:color="auto"/>
        <w:right w:val="none" w:sz="0" w:space="0" w:color="auto"/>
      </w:divBdr>
    </w:div>
    <w:div w:id="1171219151">
      <w:bodyDiv w:val="1"/>
      <w:marLeft w:val="0"/>
      <w:marRight w:val="0"/>
      <w:marTop w:val="0"/>
      <w:marBottom w:val="0"/>
      <w:divBdr>
        <w:top w:val="none" w:sz="0" w:space="0" w:color="auto"/>
        <w:left w:val="none" w:sz="0" w:space="0" w:color="auto"/>
        <w:bottom w:val="none" w:sz="0" w:space="0" w:color="auto"/>
        <w:right w:val="none" w:sz="0" w:space="0" w:color="auto"/>
      </w:divBdr>
    </w:div>
    <w:div w:id="1218935215">
      <w:bodyDiv w:val="1"/>
      <w:marLeft w:val="0"/>
      <w:marRight w:val="0"/>
      <w:marTop w:val="0"/>
      <w:marBottom w:val="0"/>
      <w:divBdr>
        <w:top w:val="none" w:sz="0" w:space="0" w:color="auto"/>
        <w:left w:val="none" w:sz="0" w:space="0" w:color="auto"/>
        <w:bottom w:val="none" w:sz="0" w:space="0" w:color="auto"/>
        <w:right w:val="none" w:sz="0" w:space="0" w:color="auto"/>
      </w:divBdr>
    </w:div>
    <w:div w:id="1220287955">
      <w:bodyDiv w:val="1"/>
      <w:marLeft w:val="0"/>
      <w:marRight w:val="0"/>
      <w:marTop w:val="0"/>
      <w:marBottom w:val="0"/>
      <w:divBdr>
        <w:top w:val="none" w:sz="0" w:space="0" w:color="auto"/>
        <w:left w:val="none" w:sz="0" w:space="0" w:color="auto"/>
        <w:bottom w:val="none" w:sz="0" w:space="0" w:color="auto"/>
        <w:right w:val="none" w:sz="0" w:space="0" w:color="auto"/>
      </w:divBdr>
    </w:div>
    <w:div w:id="1222907590">
      <w:bodyDiv w:val="1"/>
      <w:marLeft w:val="0"/>
      <w:marRight w:val="0"/>
      <w:marTop w:val="0"/>
      <w:marBottom w:val="0"/>
      <w:divBdr>
        <w:top w:val="none" w:sz="0" w:space="0" w:color="auto"/>
        <w:left w:val="none" w:sz="0" w:space="0" w:color="auto"/>
        <w:bottom w:val="none" w:sz="0" w:space="0" w:color="auto"/>
        <w:right w:val="none" w:sz="0" w:space="0" w:color="auto"/>
      </w:divBdr>
    </w:div>
    <w:div w:id="1225524810">
      <w:bodyDiv w:val="1"/>
      <w:marLeft w:val="0"/>
      <w:marRight w:val="0"/>
      <w:marTop w:val="0"/>
      <w:marBottom w:val="0"/>
      <w:divBdr>
        <w:top w:val="none" w:sz="0" w:space="0" w:color="auto"/>
        <w:left w:val="none" w:sz="0" w:space="0" w:color="auto"/>
        <w:bottom w:val="none" w:sz="0" w:space="0" w:color="auto"/>
        <w:right w:val="none" w:sz="0" w:space="0" w:color="auto"/>
      </w:divBdr>
    </w:div>
    <w:div w:id="1257179645">
      <w:bodyDiv w:val="1"/>
      <w:marLeft w:val="0"/>
      <w:marRight w:val="0"/>
      <w:marTop w:val="0"/>
      <w:marBottom w:val="0"/>
      <w:divBdr>
        <w:top w:val="none" w:sz="0" w:space="0" w:color="auto"/>
        <w:left w:val="none" w:sz="0" w:space="0" w:color="auto"/>
        <w:bottom w:val="none" w:sz="0" w:space="0" w:color="auto"/>
        <w:right w:val="none" w:sz="0" w:space="0" w:color="auto"/>
      </w:divBdr>
    </w:div>
    <w:div w:id="1277446226">
      <w:bodyDiv w:val="1"/>
      <w:marLeft w:val="0"/>
      <w:marRight w:val="0"/>
      <w:marTop w:val="0"/>
      <w:marBottom w:val="0"/>
      <w:divBdr>
        <w:top w:val="none" w:sz="0" w:space="0" w:color="auto"/>
        <w:left w:val="none" w:sz="0" w:space="0" w:color="auto"/>
        <w:bottom w:val="none" w:sz="0" w:space="0" w:color="auto"/>
        <w:right w:val="none" w:sz="0" w:space="0" w:color="auto"/>
      </w:divBdr>
    </w:div>
    <w:div w:id="1301811989">
      <w:bodyDiv w:val="1"/>
      <w:marLeft w:val="0"/>
      <w:marRight w:val="0"/>
      <w:marTop w:val="0"/>
      <w:marBottom w:val="0"/>
      <w:divBdr>
        <w:top w:val="none" w:sz="0" w:space="0" w:color="auto"/>
        <w:left w:val="none" w:sz="0" w:space="0" w:color="auto"/>
        <w:bottom w:val="none" w:sz="0" w:space="0" w:color="auto"/>
        <w:right w:val="none" w:sz="0" w:space="0" w:color="auto"/>
      </w:divBdr>
    </w:div>
    <w:div w:id="1321033678">
      <w:bodyDiv w:val="1"/>
      <w:marLeft w:val="0"/>
      <w:marRight w:val="0"/>
      <w:marTop w:val="0"/>
      <w:marBottom w:val="0"/>
      <w:divBdr>
        <w:top w:val="none" w:sz="0" w:space="0" w:color="auto"/>
        <w:left w:val="none" w:sz="0" w:space="0" w:color="auto"/>
        <w:bottom w:val="none" w:sz="0" w:space="0" w:color="auto"/>
        <w:right w:val="none" w:sz="0" w:space="0" w:color="auto"/>
      </w:divBdr>
    </w:div>
    <w:div w:id="1334337229">
      <w:bodyDiv w:val="1"/>
      <w:marLeft w:val="0"/>
      <w:marRight w:val="0"/>
      <w:marTop w:val="0"/>
      <w:marBottom w:val="0"/>
      <w:divBdr>
        <w:top w:val="none" w:sz="0" w:space="0" w:color="auto"/>
        <w:left w:val="none" w:sz="0" w:space="0" w:color="auto"/>
        <w:bottom w:val="none" w:sz="0" w:space="0" w:color="auto"/>
        <w:right w:val="none" w:sz="0" w:space="0" w:color="auto"/>
      </w:divBdr>
    </w:div>
    <w:div w:id="1336499967">
      <w:bodyDiv w:val="1"/>
      <w:marLeft w:val="0"/>
      <w:marRight w:val="0"/>
      <w:marTop w:val="0"/>
      <w:marBottom w:val="0"/>
      <w:divBdr>
        <w:top w:val="none" w:sz="0" w:space="0" w:color="auto"/>
        <w:left w:val="none" w:sz="0" w:space="0" w:color="auto"/>
        <w:bottom w:val="none" w:sz="0" w:space="0" w:color="auto"/>
        <w:right w:val="none" w:sz="0" w:space="0" w:color="auto"/>
      </w:divBdr>
    </w:div>
    <w:div w:id="1387679552">
      <w:bodyDiv w:val="1"/>
      <w:marLeft w:val="0"/>
      <w:marRight w:val="0"/>
      <w:marTop w:val="0"/>
      <w:marBottom w:val="0"/>
      <w:divBdr>
        <w:top w:val="none" w:sz="0" w:space="0" w:color="auto"/>
        <w:left w:val="none" w:sz="0" w:space="0" w:color="auto"/>
        <w:bottom w:val="none" w:sz="0" w:space="0" w:color="auto"/>
        <w:right w:val="none" w:sz="0" w:space="0" w:color="auto"/>
      </w:divBdr>
    </w:div>
    <w:div w:id="1388338557">
      <w:bodyDiv w:val="1"/>
      <w:marLeft w:val="0"/>
      <w:marRight w:val="0"/>
      <w:marTop w:val="0"/>
      <w:marBottom w:val="0"/>
      <w:divBdr>
        <w:top w:val="none" w:sz="0" w:space="0" w:color="auto"/>
        <w:left w:val="none" w:sz="0" w:space="0" w:color="auto"/>
        <w:bottom w:val="none" w:sz="0" w:space="0" w:color="auto"/>
        <w:right w:val="none" w:sz="0" w:space="0" w:color="auto"/>
      </w:divBdr>
    </w:div>
    <w:div w:id="1392845000">
      <w:bodyDiv w:val="1"/>
      <w:marLeft w:val="0"/>
      <w:marRight w:val="0"/>
      <w:marTop w:val="0"/>
      <w:marBottom w:val="0"/>
      <w:divBdr>
        <w:top w:val="none" w:sz="0" w:space="0" w:color="auto"/>
        <w:left w:val="none" w:sz="0" w:space="0" w:color="auto"/>
        <w:bottom w:val="none" w:sz="0" w:space="0" w:color="auto"/>
        <w:right w:val="none" w:sz="0" w:space="0" w:color="auto"/>
      </w:divBdr>
    </w:div>
    <w:div w:id="1413118749">
      <w:bodyDiv w:val="1"/>
      <w:marLeft w:val="0"/>
      <w:marRight w:val="0"/>
      <w:marTop w:val="0"/>
      <w:marBottom w:val="0"/>
      <w:divBdr>
        <w:top w:val="none" w:sz="0" w:space="0" w:color="auto"/>
        <w:left w:val="none" w:sz="0" w:space="0" w:color="auto"/>
        <w:bottom w:val="none" w:sz="0" w:space="0" w:color="auto"/>
        <w:right w:val="none" w:sz="0" w:space="0" w:color="auto"/>
      </w:divBdr>
    </w:div>
    <w:div w:id="1418089698">
      <w:bodyDiv w:val="1"/>
      <w:marLeft w:val="0"/>
      <w:marRight w:val="0"/>
      <w:marTop w:val="0"/>
      <w:marBottom w:val="0"/>
      <w:divBdr>
        <w:top w:val="none" w:sz="0" w:space="0" w:color="auto"/>
        <w:left w:val="none" w:sz="0" w:space="0" w:color="auto"/>
        <w:bottom w:val="none" w:sz="0" w:space="0" w:color="auto"/>
        <w:right w:val="none" w:sz="0" w:space="0" w:color="auto"/>
      </w:divBdr>
    </w:div>
    <w:div w:id="1418281690">
      <w:bodyDiv w:val="1"/>
      <w:marLeft w:val="0"/>
      <w:marRight w:val="0"/>
      <w:marTop w:val="0"/>
      <w:marBottom w:val="0"/>
      <w:divBdr>
        <w:top w:val="none" w:sz="0" w:space="0" w:color="auto"/>
        <w:left w:val="none" w:sz="0" w:space="0" w:color="auto"/>
        <w:bottom w:val="none" w:sz="0" w:space="0" w:color="auto"/>
        <w:right w:val="none" w:sz="0" w:space="0" w:color="auto"/>
      </w:divBdr>
    </w:div>
    <w:div w:id="1443299539">
      <w:bodyDiv w:val="1"/>
      <w:marLeft w:val="0"/>
      <w:marRight w:val="0"/>
      <w:marTop w:val="0"/>
      <w:marBottom w:val="0"/>
      <w:divBdr>
        <w:top w:val="none" w:sz="0" w:space="0" w:color="auto"/>
        <w:left w:val="none" w:sz="0" w:space="0" w:color="auto"/>
        <w:bottom w:val="none" w:sz="0" w:space="0" w:color="auto"/>
        <w:right w:val="none" w:sz="0" w:space="0" w:color="auto"/>
      </w:divBdr>
    </w:div>
    <w:div w:id="1449198352">
      <w:bodyDiv w:val="1"/>
      <w:marLeft w:val="0"/>
      <w:marRight w:val="0"/>
      <w:marTop w:val="0"/>
      <w:marBottom w:val="0"/>
      <w:divBdr>
        <w:top w:val="none" w:sz="0" w:space="0" w:color="auto"/>
        <w:left w:val="none" w:sz="0" w:space="0" w:color="auto"/>
        <w:bottom w:val="none" w:sz="0" w:space="0" w:color="auto"/>
        <w:right w:val="none" w:sz="0" w:space="0" w:color="auto"/>
      </w:divBdr>
    </w:div>
    <w:div w:id="1565524758">
      <w:bodyDiv w:val="1"/>
      <w:marLeft w:val="0"/>
      <w:marRight w:val="0"/>
      <w:marTop w:val="0"/>
      <w:marBottom w:val="0"/>
      <w:divBdr>
        <w:top w:val="none" w:sz="0" w:space="0" w:color="auto"/>
        <w:left w:val="none" w:sz="0" w:space="0" w:color="auto"/>
        <w:bottom w:val="none" w:sz="0" w:space="0" w:color="auto"/>
        <w:right w:val="none" w:sz="0" w:space="0" w:color="auto"/>
      </w:divBdr>
    </w:div>
    <w:div w:id="1611007697">
      <w:bodyDiv w:val="1"/>
      <w:marLeft w:val="0"/>
      <w:marRight w:val="0"/>
      <w:marTop w:val="0"/>
      <w:marBottom w:val="0"/>
      <w:divBdr>
        <w:top w:val="none" w:sz="0" w:space="0" w:color="auto"/>
        <w:left w:val="none" w:sz="0" w:space="0" w:color="auto"/>
        <w:bottom w:val="none" w:sz="0" w:space="0" w:color="auto"/>
        <w:right w:val="none" w:sz="0" w:space="0" w:color="auto"/>
      </w:divBdr>
    </w:div>
    <w:div w:id="1656570536">
      <w:bodyDiv w:val="1"/>
      <w:marLeft w:val="0"/>
      <w:marRight w:val="0"/>
      <w:marTop w:val="0"/>
      <w:marBottom w:val="0"/>
      <w:divBdr>
        <w:top w:val="none" w:sz="0" w:space="0" w:color="auto"/>
        <w:left w:val="none" w:sz="0" w:space="0" w:color="auto"/>
        <w:bottom w:val="none" w:sz="0" w:space="0" w:color="auto"/>
        <w:right w:val="none" w:sz="0" w:space="0" w:color="auto"/>
      </w:divBdr>
    </w:div>
    <w:div w:id="1677340465">
      <w:bodyDiv w:val="1"/>
      <w:marLeft w:val="0"/>
      <w:marRight w:val="0"/>
      <w:marTop w:val="0"/>
      <w:marBottom w:val="0"/>
      <w:divBdr>
        <w:top w:val="none" w:sz="0" w:space="0" w:color="auto"/>
        <w:left w:val="none" w:sz="0" w:space="0" w:color="auto"/>
        <w:bottom w:val="none" w:sz="0" w:space="0" w:color="auto"/>
        <w:right w:val="none" w:sz="0" w:space="0" w:color="auto"/>
      </w:divBdr>
    </w:div>
    <w:div w:id="1763142368">
      <w:bodyDiv w:val="1"/>
      <w:marLeft w:val="0"/>
      <w:marRight w:val="0"/>
      <w:marTop w:val="0"/>
      <w:marBottom w:val="0"/>
      <w:divBdr>
        <w:top w:val="none" w:sz="0" w:space="0" w:color="auto"/>
        <w:left w:val="none" w:sz="0" w:space="0" w:color="auto"/>
        <w:bottom w:val="none" w:sz="0" w:space="0" w:color="auto"/>
        <w:right w:val="none" w:sz="0" w:space="0" w:color="auto"/>
      </w:divBdr>
    </w:div>
    <w:div w:id="1763145525">
      <w:bodyDiv w:val="1"/>
      <w:marLeft w:val="0"/>
      <w:marRight w:val="0"/>
      <w:marTop w:val="0"/>
      <w:marBottom w:val="0"/>
      <w:divBdr>
        <w:top w:val="none" w:sz="0" w:space="0" w:color="auto"/>
        <w:left w:val="none" w:sz="0" w:space="0" w:color="auto"/>
        <w:bottom w:val="none" w:sz="0" w:space="0" w:color="auto"/>
        <w:right w:val="none" w:sz="0" w:space="0" w:color="auto"/>
      </w:divBdr>
    </w:div>
    <w:div w:id="1770350847">
      <w:bodyDiv w:val="1"/>
      <w:marLeft w:val="0"/>
      <w:marRight w:val="0"/>
      <w:marTop w:val="0"/>
      <w:marBottom w:val="0"/>
      <w:divBdr>
        <w:top w:val="none" w:sz="0" w:space="0" w:color="auto"/>
        <w:left w:val="none" w:sz="0" w:space="0" w:color="auto"/>
        <w:bottom w:val="none" w:sz="0" w:space="0" w:color="auto"/>
        <w:right w:val="none" w:sz="0" w:space="0" w:color="auto"/>
      </w:divBdr>
    </w:div>
    <w:div w:id="1792045071">
      <w:bodyDiv w:val="1"/>
      <w:marLeft w:val="0"/>
      <w:marRight w:val="0"/>
      <w:marTop w:val="0"/>
      <w:marBottom w:val="0"/>
      <w:divBdr>
        <w:top w:val="none" w:sz="0" w:space="0" w:color="auto"/>
        <w:left w:val="none" w:sz="0" w:space="0" w:color="auto"/>
        <w:bottom w:val="none" w:sz="0" w:space="0" w:color="auto"/>
        <w:right w:val="none" w:sz="0" w:space="0" w:color="auto"/>
      </w:divBdr>
    </w:div>
    <w:div w:id="1805274652">
      <w:bodyDiv w:val="1"/>
      <w:marLeft w:val="0"/>
      <w:marRight w:val="0"/>
      <w:marTop w:val="0"/>
      <w:marBottom w:val="0"/>
      <w:divBdr>
        <w:top w:val="none" w:sz="0" w:space="0" w:color="auto"/>
        <w:left w:val="none" w:sz="0" w:space="0" w:color="auto"/>
        <w:bottom w:val="none" w:sz="0" w:space="0" w:color="auto"/>
        <w:right w:val="none" w:sz="0" w:space="0" w:color="auto"/>
      </w:divBdr>
      <w:divsChild>
        <w:div w:id="230775470">
          <w:marLeft w:val="0"/>
          <w:marRight w:val="0"/>
          <w:marTop w:val="0"/>
          <w:marBottom w:val="0"/>
          <w:divBdr>
            <w:top w:val="none" w:sz="0" w:space="0" w:color="auto"/>
            <w:left w:val="none" w:sz="0" w:space="0" w:color="auto"/>
            <w:bottom w:val="none" w:sz="0" w:space="0" w:color="auto"/>
            <w:right w:val="none" w:sz="0" w:space="0" w:color="auto"/>
          </w:divBdr>
          <w:divsChild>
            <w:div w:id="1107969496">
              <w:marLeft w:val="0"/>
              <w:marRight w:val="0"/>
              <w:marTop w:val="0"/>
              <w:marBottom w:val="0"/>
              <w:divBdr>
                <w:top w:val="none" w:sz="0" w:space="0" w:color="auto"/>
                <w:left w:val="none" w:sz="0" w:space="0" w:color="auto"/>
                <w:bottom w:val="none" w:sz="0" w:space="0" w:color="auto"/>
                <w:right w:val="none" w:sz="0" w:space="0" w:color="auto"/>
              </w:divBdr>
              <w:divsChild>
                <w:div w:id="16065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4585">
      <w:bodyDiv w:val="1"/>
      <w:marLeft w:val="0"/>
      <w:marRight w:val="0"/>
      <w:marTop w:val="0"/>
      <w:marBottom w:val="0"/>
      <w:divBdr>
        <w:top w:val="none" w:sz="0" w:space="0" w:color="auto"/>
        <w:left w:val="none" w:sz="0" w:space="0" w:color="auto"/>
        <w:bottom w:val="none" w:sz="0" w:space="0" w:color="auto"/>
        <w:right w:val="none" w:sz="0" w:space="0" w:color="auto"/>
      </w:divBdr>
    </w:div>
    <w:div w:id="1822428483">
      <w:bodyDiv w:val="1"/>
      <w:marLeft w:val="0"/>
      <w:marRight w:val="0"/>
      <w:marTop w:val="0"/>
      <w:marBottom w:val="0"/>
      <w:divBdr>
        <w:top w:val="none" w:sz="0" w:space="0" w:color="auto"/>
        <w:left w:val="none" w:sz="0" w:space="0" w:color="auto"/>
        <w:bottom w:val="none" w:sz="0" w:space="0" w:color="auto"/>
        <w:right w:val="none" w:sz="0" w:space="0" w:color="auto"/>
      </w:divBdr>
    </w:div>
    <w:div w:id="1833789260">
      <w:bodyDiv w:val="1"/>
      <w:marLeft w:val="0"/>
      <w:marRight w:val="0"/>
      <w:marTop w:val="0"/>
      <w:marBottom w:val="0"/>
      <w:divBdr>
        <w:top w:val="none" w:sz="0" w:space="0" w:color="auto"/>
        <w:left w:val="none" w:sz="0" w:space="0" w:color="auto"/>
        <w:bottom w:val="none" w:sz="0" w:space="0" w:color="auto"/>
        <w:right w:val="none" w:sz="0" w:space="0" w:color="auto"/>
      </w:divBdr>
    </w:div>
    <w:div w:id="1839031627">
      <w:bodyDiv w:val="1"/>
      <w:marLeft w:val="0"/>
      <w:marRight w:val="0"/>
      <w:marTop w:val="0"/>
      <w:marBottom w:val="0"/>
      <w:divBdr>
        <w:top w:val="none" w:sz="0" w:space="0" w:color="auto"/>
        <w:left w:val="none" w:sz="0" w:space="0" w:color="auto"/>
        <w:bottom w:val="none" w:sz="0" w:space="0" w:color="auto"/>
        <w:right w:val="none" w:sz="0" w:space="0" w:color="auto"/>
      </w:divBdr>
    </w:div>
    <w:div w:id="1857039168">
      <w:bodyDiv w:val="1"/>
      <w:marLeft w:val="0"/>
      <w:marRight w:val="0"/>
      <w:marTop w:val="0"/>
      <w:marBottom w:val="0"/>
      <w:divBdr>
        <w:top w:val="none" w:sz="0" w:space="0" w:color="auto"/>
        <w:left w:val="none" w:sz="0" w:space="0" w:color="auto"/>
        <w:bottom w:val="none" w:sz="0" w:space="0" w:color="auto"/>
        <w:right w:val="none" w:sz="0" w:space="0" w:color="auto"/>
      </w:divBdr>
    </w:div>
    <w:div w:id="1859154333">
      <w:bodyDiv w:val="1"/>
      <w:marLeft w:val="0"/>
      <w:marRight w:val="0"/>
      <w:marTop w:val="0"/>
      <w:marBottom w:val="0"/>
      <w:divBdr>
        <w:top w:val="none" w:sz="0" w:space="0" w:color="auto"/>
        <w:left w:val="none" w:sz="0" w:space="0" w:color="auto"/>
        <w:bottom w:val="none" w:sz="0" w:space="0" w:color="auto"/>
        <w:right w:val="none" w:sz="0" w:space="0" w:color="auto"/>
      </w:divBdr>
    </w:div>
    <w:div w:id="1878153568">
      <w:bodyDiv w:val="1"/>
      <w:marLeft w:val="0"/>
      <w:marRight w:val="0"/>
      <w:marTop w:val="0"/>
      <w:marBottom w:val="0"/>
      <w:divBdr>
        <w:top w:val="none" w:sz="0" w:space="0" w:color="auto"/>
        <w:left w:val="none" w:sz="0" w:space="0" w:color="auto"/>
        <w:bottom w:val="none" w:sz="0" w:space="0" w:color="auto"/>
        <w:right w:val="none" w:sz="0" w:space="0" w:color="auto"/>
      </w:divBdr>
    </w:div>
    <w:div w:id="1881242912">
      <w:bodyDiv w:val="1"/>
      <w:marLeft w:val="0"/>
      <w:marRight w:val="0"/>
      <w:marTop w:val="0"/>
      <w:marBottom w:val="0"/>
      <w:divBdr>
        <w:top w:val="none" w:sz="0" w:space="0" w:color="auto"/>
        <w:left w:val="none" w:sz="0" w:space="0" w:color="auto"/>
        <w:bottom w:val="none" w:sz="0" w:space="0" w:color="auto"/>
        <w:right w:val="none" w:sz="0" w:space="0" w:color="auto"/>
      </w:divBdr>
    </w:div>
    <w:div w:id="1882785846">
      <w:bodyDiv w:val="1"/>
      <w:marLeft w:val="0"/>
      <w:marRight w:val="0"/>
      <w:marTop w:val="0"/>
      <w:marBottom w:val="0"/>
      <w:divBdr>
        <w:top w:val="none" w:sz="0" w:space="0" w:color="auto"/>
        <w:left w:val="none" w:sz="0" w:space="0" w:color="auto"/>
        <w:bottom w:val="none" w:sz="0" w:space="0" w:color="auto"/>
        <w:right w:val="none" w:sz="0" w:space="0" w:color="auto"/>
      </w:divBdr>
    </w:div>
    <w:div w:id="1945072072">
      <w:bodyDiv w:val="1"/>
      <w:marLeft w:val="0"/>
      <w:marRight w:val="0"/>
      <w:marTop w:val="0"/>
      <w:marBottom w:val="0"/>
      <w:divBdr>
        <w:top w:val="none" w:sz="0" w:space="0" w:color="auto"/>
        <w:left w:val="none" w:sz="0" w:space="0" w:color="auto"/>
        <w:bottom w:val="none" w:sz="0" w:space="0" w:color="auto"/>
        <w:right w:val="none" w:sz="0" w:space="0" w:color="auto"/>
      </w:divBdr>
    </w:div>
    <w:div w:id="1971937074">
      <w:bodyDiv w:val="1"/>
      <w:marLeft w:val="0"/>
      <w:marRight w:val="0"/>
      <w:marTop w:val="0"/>
      <w:marBottom w:val="0"/>
      <w:divBdr>
        <w:top w:val="none" w:sz="0" w:space="0" w:color="auto"/>
        <w:left w:val="none" w:sz="0" w:space="0" w:color="auto"/>
        <w:bottom w:val="none" w:sz="0" w:space="0" w:color="auto"/>
        <w:right w:val="none" w:sz="0" w:space="0" w:color="auto"/>
      </w:divBdr>
    </w:div>
    <w:div w:id="1985425440">
      <w:bodyDiv w:val="1"/>
      <w:marLeft w:val="0"/>
      <w:marRight w:val="0"/>
      <w:marTop w:val="0"/>
      <w:marBottom w:val="0"/>
      <w:divBdr>
        <w:top w:val="none" w:sz="0" w:space="0" w:color="auto"/>
        <w:left w:val="none" w:sz="0" w:space="0" w:color="auto"/>
        <w:bottom w:val="none" w:sz="0" w:space="0" w:color="auto"/>
        <w:right w:val="none" w:sz="0" w:space="0" w:color="auto"/>
      </w:divBdr>
    </w:div>
    <w:div w:id="2016415173">
      <w:bodyDiv w:val="1"/>
      <w:marLeft w:val="0"/>
      <w:marRight w:val="0"/>
      <w:marTop w:val="0"/>
      <w:marBottom w:val="0"/>
      <w:divBdr>
        <w:top w:val="none" w:sz="0" w:space="0" w:color="auto"/>
        <w:left w:val="none" w:sz="0" w:space="0" w:color="auto"/>
        <w:bottom w:val="none" w:sz="0" w:space="0" w:color="auto"/>
        <w:right w:val="none" w:sz="0" w:space="0" w:color="auto"/>
      </w:divBdr>
    </w:div>
    <w:div w:id="2096396740">
      <w:bodyDiv w:val="1"/>
      <w:marLeft w:val="0"/>
      <w:marRight w:val="0"/>
      <w:marTop w:val="0"/>
      <w:marBottom w:val="0"/>
      <w:divBdr>
        <w:top w:val="none" w:sz="0" w:space="0" w:color="auto"/>
        <w:left w:val="none" w:sz="0" w:space="0" w:color="auto"/>
        <w:bottom w:val="none" w:sz="0" w:space="0" w:color="auto"/>
        <w:right w:val="none" w:sz="0" w:space="0" w:color="auto"/>
      </w:divBdr>
    </w:div>
    <w:div w:id="2118282391">
      <w:bodyDiv w:val="1"/>
      <w:marLeft w:val="0"/>
      <w:marRight w:val="0"/>
      <w:marTop w:val="0"/>
      <w:marBottom w:val="0"/>
      <w:divBdr>
        <w:top w:val="none" w:sz="0" w:space="0" w:color="auto"/>
        <w:left w:val="none" w:sz="0" w:space="0" w:color="auto"/>
        <w:bottom w:val="none" w:sz="0" w:space="0" w:color="auto"/>
        <w:right w:val="none" w:sz="0" w:space="0" w:color="auto"/>
      </w:divBdr>
    </w:div>
    <w:div w:id="213228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02FC4D8-32C2-B448-89F2-4D6C39210440}"/>
      </w:docPartPr>
      <w:docPartBody>
        <w:p w:rsidR="00CC61FF" w:rsidRDefault="00E62D5A">
          <w:r w:rsidRPr="00EA135E">
            <w:rPr>
              <w:rStyle w:val="PlaceholderText"/>
            </w:rPr>
            <w:t>Click or tap here to enter text.</w:t>
          </w:r>
        </w:p>
      </w:docPartBody>
    </w:docPart>
    <w:docPart>
      <w:docPartPr>
        <w:name w:val="125AC46729692F4CA2E97935C89BCC00"/>
        <w:category>
          <w:name w:val="General"/>
          <w:gallery w:val="placeholder"/>
        </w:category>
        <w:types>
          <w:type w:val="bbPlcHdr"/>
        </w:types>
        <w:behaviors>
          <w:behavior w:val="content"/>
        </w:behaviors>
        <w:guid w:val="{A859EE9C-CE72-C044-9752-FAD17299EE03}"/>
      </w:docPartPr>
      <w:docPartBody>
        <w:p w:rsidR="009918C8" w:rsidRDefault="009918C8" w:rsidP="009918C8">
          <w:pPr>
            <w:pStyle w:val="125AC46729692F4CA2E97935C89BCC00"/>
          </w:pPr>
          <w:r w:rsidRPr="00EA135E">
            <w:rPr>
              <w:rStyle w:val="PlaceholderText"/>
            </w:rPr>
            <w:t>Click or tap here to enter text.</w:t>
          </w:r>
        </w:p>
      </w:docPartBody>
    </w:docPart>
    <w:docPart>
      <w:docPartPr>
        <w:name w:val="05A7EB931D20CA4186E6ADD89A23D5A3"/>
        <w:category>
          <w:name w:val="General"/>
          <w:gallery w:val="placeholder"/>
        </w:category>
        <w:types>
          <w:type w:val="bbPlcHdr"/>
        </w:types>
        <w:behaviors>
          <w:behavior w:val="content"/>
        </w:behaviors>
        <w:guid w:val="{CB02450D-CBCC-C642-9018-5BF074AC3B85}"/>
      </w:docPartPr>
      <w:docPartBody>
        <w:p w:rsidR="0019043D" w:rsidRDefault="0019043D" w:rsidP="0019043D">
          <w:pPr>
            <w:pStyle w:val="05A7EB931D20CA4186E6ADD89A23D5A3"/>
          </w:pPr>
          <w:r w:rsidRPr="00EA13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5A"/>
    <w:rsid w:val="000063E4"/>
    <w:rsid w:val="00074447"/>
    <w:rsid w:val="0008521F"/>
    <w:rsid w:val="000A21C4"/>
    <w:rsid w:val="001429A6"/>
    <w:rsid w:val="00161FE3"/>
    <w:rsid w:val="0019043D"/>
    <w:rsid w:val="001D4601"/>
    <w:rsid w:val="001E7400"/>
    <w:rsid w:val="0023730D"/>
    <w:rsid w:val="002860C6"/>
    <w:rsid w:val="00287E6A"/>
    <w:rsid w:val="0051680D"/>
    <w:rsid w:val="00521316"/>
    <w:rsid w:val="005234D5"/>
    <w:rsid w:val="005A54D8"/>
    <w:rsid w:val="0063055E"/>
    <w:rsid w:val="006318B1"/>
    <w:rsid w:val="00690C0F"/>
    <w:rsid w:val="00711CD8"/>
    <w:rsid w:val="00712FCD"/>
    <w:rsid w:val="0078401C"/>
    <w:rsid w:val="0080283A"/>
    <w:rsid w:val="009918C8"/>
    <w:rsid w:val="00AA157A"/>
    <w:rsid w:val="00AF0DDB"/>
    <w:rsid w:val="00B5721A"/>
    <w:rsid w:val="00C21AE6"/>
    <w:rsid w:val="00C47BD2"/>
    <w:rsid w:val="00CA0D56"/>
    <w:rsid w:val="00CC28A4"/>
    <w:rsid w:val="00CC61FF"/>
    <w:rsid w:val="00CD337E"/>
    <w:rsid w:val="00DA49D7"/>
    <w:rsid w:val="00E47159"/>
    <w:rsid w:val="00E47BC4"/>
    <w:rsid w:val="00E62D5A"/>
    <w:rsid w:val="00E90E5C"/>
    <w:rsid w:val="00F61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43D"/>
    <w:rPr>
      <w:color w:val="808080"/>
    </w:rPr>
  </w:style>
  <w:style w:type="paragraph" w:customStyle="1" w:styleId="125AC46729692F4CA2E97935C89BCC00">
    <w:name w:val="125AC46729692F4CA2E97935C89BCC00"/>
    <w:rsid w:val="009918C8"/>
    <w:rPr>
      <w:lang w:eastAsia="ja-JP"/>
    </w:rPr>
  </w:style>
  <w:style w:type="paragraph" w:customStyle="1" w:styleId="DC352AF817AF7A4A81394E38B71DF404">
    <w:name w:val="DC352AF817AF7A4A81394E38B71DF404"/>
    <w:rsid w:val="0019043D"/>
    <w:rPr>
      <w:lang w:eastAsia="ja-JP"/>
    </w:rPr>
  </w:style>
  <w:style w:type="paragraph" w:customStyle="1" w:styleId="05A7EB931D20CA4186E6ADD89A23D5A3">
    <w:name w:val="05A7EB931D20CA4186E6ADD89A23D5A3"/>
    <w:rsid w:val="0019043D"/>
    <w:rPr>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43D"/>
    <w:rPr>
      <w:color w:val="808080"/>
    </w:rPr>
  </w:style>
  <w:style w:type="paragraph" w:customStyle="1" w:styleId="125AC46729692F4CA2E97935C89BCC00">
    <w:name w:val="125AC46729692F4CA2E97935C89BCC00"/>
    <w:rsid w:val="009918C8"/>
    <w:rPr>
      <w:lang w:eastAsia="ja-JP"/>
    </w:rPr>
  </w:style>
  <w:style w:type="paragraph" w:customStyle="1" w:styleId="DC352AF817AF7A4A81394E38B71DF404">
    <w:name w:val="DC352AF817AF7A4A81394E38B71DF404"/>
    <w:rsid w:val="0019043D"/>
    <w:rPr>
      <w:lang w:eastAsia="ja-JP"/>
    </w:rPr>
  </w:style>
  <w:style w:type="paragraph" w:customStyle="1" w:styleId="05A7EB931D20CA4186E6ADD89A23D5A3">
    <w:name w:val="05A7EB931D20CA4186E6ADD89A23D5A3"/>
    <w:rsid w:val="0019043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AEC9AB-E011-7F4C-B457-3640E3390F6C}">
  <we:reference id="wa104382081" version="1.16.0.0" store="en-001" storeType="OMEX"/>
  <we:alternateReferences>
    <we:reference id="wa104382081" version="1.16.0.0" store="en-001" storeType="OMEX"/>
  </we:alternateReferences>
  <we:properties>
    <we:property name="MENDELEY_CITATIONS" value="[{&quot;properties&quot;:{&quot;noteIndex&quot;:0},&quot;citationID&quot;:&quot;MENDELEY_CITATION_fe3682a0-10b6-4c2a-90a8-7069b9f06a14&quot;,&quot;citationItems&quot;:[{&quot;id&quot;:&quot;2f24b04c-09aa-3bd2-a37d-99c40a26b806&quot;,&quot;itemData&quot;:{&quot;type&quot;:&quot;article-journal&quot;,&quot;id&quot;:&quot;2f24b04c-09aa-3bd2-a37d-99c40a26b806&quot;,&quot;title&quot;:&quot;Delirium in Older Patients With COVID-19 Presenting to the Emergency Department.&quot;,&quot;author&quot;:[{&quot;family&quot;:&quot;Kennedy&quot;,&quot;given&quot;:&quot;Maura&quot;,&quot;parse-names&quot;:false,&quot;dropping-particle&quot;:&quot;&quot;,&quot;non-dropping-particle&quot;:&quot;&quot;},{&quot;family&quot;:&quot;Helfand&quot;,&quot;given&quot;:&quot;Benjamin K I&quot;,&quot;parse-names&quot;:false,&quot;dropping-particle&quot;:&quot;&quot;,&quot;non-dropping-particle&quot;:&quot;&quot;},{&quot;family&quot;:&quot;Gou&quot;,&quot;given&quot;:&quot;Ray Yun&quot;,&quot;parse-names&quot;:false,&quot;dropping-particle&quot;:&quot;&quot;,&quot;non-dropping-particle&quot;:&quot;&quot;},{&quot;family&quot;:&quot;Gartaganis&quot;,&quot;given&quot;:&quot;Sarah L&quot;,&quot;parse-names&quot;:false,&quot;dropping-particle&quot;:&quot;&quot;,&quot;non-dropping-particle&quot;:&quot;&quot;},{&quot;family&quot;:&quot;Webb&quot;,&quot;given&quot;:&quot;Margaret&quot;,&quot;parse-names&quot;:false,&quot;dropping-particle&quot;:&quot;&quot;,&quot;non-dropping-particle&quot;:&quot;&quot;},{&quot;family&quot;:&quot;Moccia&quot;,&quot;given&quot;:&quot;J Michelle&quot;,&quot;parse-names&quot;:false,&quot;dropping-particle&quot;:&quot;&quot;,&quot;non-dropping-particle&quot;:&quot;&quot;},{&quot;family&quot;:&quot;Bruursema&quot;,&quot;given&quot;:&quot;Stacey N&quot;,&quot;parse-names&quot;:false,&quot;dropping-particle&quot;:&quot;&quot;,&quot;non-dropping-particle&quot;:&quot;&quot;},{&quot;family&quot;:&quot;Dokic&quot;,&quot;given&quot;:&quot;Belinda&quot;,&quot;parse-names&quot;:false,&quot;dropping-particle&quot;:&quot;&quot;,&quot;non-dropping-particle&quot;:&quot;&quot;},{&quot;family&quot;:&quot;McCulloch&quot;,&quot;given&quot;:&quot;Brigid&quot;,&quot;parse-names&quot;:false,&quot;dropping-particle&quot;:&quot;&quot;,&quot;non-dropping-particle&quot;:&quot;&quot;},{&quot;family&quot;:&quot;Ring&quot;,&quot;given&quot;:&quot;Hope&quot;,&quot;parse-names&quot;:false,&quot;dropping-particle&quot;:&quot;&quot;,&quot;non-dropping-particle&quot;:&quot;&quot;},{&quot;family&quot;:&quot;Margolin&quot;,&quot;given&quot;:&quot;Justin D&quot;,&quot;parse-names&quot;:false,&quot;dropping-particle&quot;:&quot;&quot;,&quot;non-dropping-particle&quot;:&quot;&quot;},{&quot;family&quot;:&quot;Zhang&quot;,&quot;given&quot;:&quot;Ellen&quot;,&quot;parse-names&quot;:false,&quot;dropping-particle&quot;:&quot;&quot;,&quot;non-dropping-particle&quot;:&quot;&quot;},{&quot;family&quot;:&quot;Anderson&quot;,&quot;given&quot;:&quot;Robert&quot;,&quot;parse-names&quot;:false,&quot;dropping-particle&quot;:&quot;&quot;,&quot;non-dropping-particle&quot;:&quot;&quot;},{&quot;family&quot;:&quot;Babine&quot;,&quot;given&quot;:&quot;Rhonda L&quot;,&quot;parse-names&quot;:false,&quot;dropping-particle&quot;:&quot;&quot;,&quot;non-dropping-particle&quot;:&quot;&quot;},{&quot;family&quot;:&quot;Hshieh&quot;,&quot;given&quot;:&quot;Tammy&quot;,&quot;parse-names&quot;:false,&quot;dropping-particle&quot;:&quot;&quot;,&quot;non-dropping-particle&quot;:&quot;&quot;},{&quot;family&quot;:&quot;Wong&quot;,&quot;given&quot;:&quot;Ambrose H&quot;,&quot;parse-names&quot;:false,&quot;dropping-particle&quot;:&quot;&quot;,&quot;non-dropping-particle&quot;:&quot;&quot;},{&quot;family&quot;:&quot;Taylor&quot;,&quot;given&quot;:&quot;R Andrew&quot;,&quot;parse-names&quot;:false,&quot;dropping-particle&quot;:&quot;&quot;,&quot;non-dropping-particle&quot;:&quot;&quot;},{&quot;family&quot;:&quot;Davenport&quot;,&quot;given&quot;:&quot;Kathleen&quot;,&quot;parse-names&quot;:false,&quot;dropping-particle&quot;:&quot;&quot;,&quot;non-dropping-particle&quot;:&quot;&quot;},{&quot;family&quot;:&quot;Teresi&quot;,&quot;given&quot;:&quot;Brittni&quot;,&quot;parse-names&quot;:false,&quot;dropping-particle&quot;:&quot;&quot;,&quot;non-dropping-particle&quot;:&quot;&quot;},{&quot;family&quot;:&quot;Fong&quot;,&quot;given&quot;:&quot;Tamara G&quot;,&quot;parse-names&quot;:false,&quot;dropping-particle&quot;:&quot;&quot;,&quot;non-dropping-particle&quot;:&quot;&quot;},{&quot;family&quot;:&quot;Inouye&quot;,&quot;given&quot;:&quot;Sharon K&quot;,&quot;parse-names&quot;:false,&quot;dropping-particle&quot;:&quot;&quot;,&quot;non-dropping-particle&quot;:&quot;&quot;}],&quot;container-title&quot;:&quot;JAMA network open&quot;,&quot;DOI&quot;:&quot;10.1001/jamanetworkopen.2020.29540&quot;,&quot;ISSN&quot;:&quot;2574-3805&quot;,&quot;PMID&quot;:&quot;33211114&quot;,&quot;URL&quot;:&quot;http://www.ncbi.nlm.nih.gov/pubmed/33211114&quot;,&quot;issued&quot;:{&quot;date-parts&quot;:[[2020,11,2]]},&quot;page&quot;:&quot;e2029540&quot;,&quot;abstract&quot;:&quot;Importance Delirium is common among older emergency department (ED) patients, is associated with high morbidity and mortality, and frequently goes unrecognized. Anecdotal evidence has described atypical presentations of coronavirus disease 2019 (COVID-19) in older adults; however, the frequency of and outcomes associated with delirium in older ED patients with COVID-19 infection have not been well described. Objective To determine how frequently older adults with COVID-19 present to the ED with delirium and their associated hospital outcomes. Design, Setting, and Participants This multicenter cohort study was conducted at 7 sites in the US. Participants included consecutive older adults with COVID-19 presenting to the ED on or after March 13, 2020. Exposure COVID-19 was diagnosed by positive nasal swab for severe acute respiratory syndrome coronavirus 2 (99% of cases) or classic radiological findings (1% of cases). Main Outcomes and Measures The primary outcome was delirium as identified from the medical record according to a validated record review approach. Results A total of 817 older patients with COVID-19 were included, of whom 386 (47%) were male, 493 (62%) were White, 215 (27%) were Black, and 54 (7%) were Hispanic or Latinx. The mean (SD) age of patients was 77.7 (8.2) years. Of included patients, 226 (28%) had delirium at presentation, and delirium was the sixth most common of all presenting symptoms and signs. Among the patients with delirium, 37 (16%) had delirium as a primary symptom and 84 (37%) had no typical COVID-19 symptoms or signs, such as fever or shortness of breath. Factors associated with delirium were age older than 75 years (adjusted relative risk [aRR], 1.51; 95% CI, 1.17-1.95), living in a nursing home or assisted living (aRR, 1.23; 95% CI, 0.98-1.55), prior use of psychoactive medication (aRR, 1.42; 95% CI, 1.11-1.81), vision impairment (aRR, 1.98; 95% CI, 1.54-2.54), hearing impairment (aRR, 1.10; 95% CI 0.78-1.55), stroke (aRR, 1.47; 95% CI, 1.15-1.88), and Parkinson disease (aRR, 1.88; 95% CI, 1.30-2.58). Delirium was associated with intensive care unit stay (aRR, 1.67; 95% CI, 1.30-2.15) and death (aRR, 1.24; 95% CI, 1.00-1.55). Conclusions and Relevance In this cohort study of 817 older adults with COVID-19 presenting to US emergency departments, delirium was common and often was seen without other typical symptoms or signs. In addition, delirium was associated with poor hospital outcomes and death. These findings suggest the clinical importance of including delirium on checklists of presenting signs and symptoms of COVID-19 that guide screening, testing, and evaluation.&quot;,&quot;issue&quot;:&quot;11&quot;,&quot;volume&quot;:&quot;3&quot;},&quot;isTemporary&quot;:false},{&quot;id&quot;:&quot;49849057-d7af-31d4-8496-f4154c594872&quot;,&quot;itemData&quot;:{&quot;type&quot;:&quot;article&quot;,&quot;id&quot;:&quot;49849057-d7af-31d4-8496-f4154c594872&quot;,&quot;title&quot;:&quot;Delirium: A missing piece in the COVID-19 pandemic puzzle&quot;,&quot;author&quot;:[{&quot;family&quot;:&quot;O'Hanlon&quot;,&quot;given&quot;:&quot;Shane&quot;,&quot;parse-names&quot;:false,&quot;dropping-particle&quot;:&quot;&quot;,&quot;non-dropping-particle&quot;:&quot;&quot;},{&quot;family&quot;:&quot;Inouye&quot;,&quot;given&quot;:&quot;Sharon K.&quot;,&quot;parse-names&quot;:false,&quot;dropping-particle&quot;:&quot;&quot;,&quot;non-dropping-particle&quot;:&quot;&quot;}],&quot;container-title&quot;:&quot;Age and Ageing&quot;,&quot;DOI&quot;:&quot;10.1093/ageing/afaa094&quot;,&quot;ISSN&quot;:&quot;14682834&quot;,&quot;PMID&quot;:&quot;32374367&quot;,&quot;issued&quot;:{&quot;date-parts&quot;:[[2020,7,1]]},&quot;page&quot;:&quot;497-498&quot;,&quot;publisher&quot;:&quot;Oxford University Press&quot;,&quot;issue&quot;:&quot;4&quot;,&quot;volume&quot;:&quot;49&quot;},&quot;isTemporary&quot;:false},{&quot;id&quot;:&quot;ce9f2ec7-d839-3247-9339-864e2b1a2655&quot;,&quot;itemData&quot;:{&quot;type&quot;:&quot;article-journal&quot;,&quot;id&quot;:&quot;ce9f2ec7-d839-3247-9339-864e2b1a2655&quot;,&quot;title&quot;:&quot;Probable delirium is a presenting symptom of COVID-19 in frail, older adults: a cohort study of 322 hospitalised and 535 community-based older adults&quot;,&quot;author&quot;:[{&quot;family&quot;:&quot;Zazzara&quot;,&quot;given&quot;:&quot;Maria Beatrice&quot;,&quot;parse-names&quot;:false,&quot;dropping-particle&quot;:&quot;&quot;,&quot;non-dropping-particle&quot;:&quot;&quot;},{&quot;family&quot;:&quot;Penfold&quot;,&quot;given&quot;:&quot;Rose S&quot;,&quot;parse-names&quot;:false,&quot;dropping-particle&quot;:&quot;&quot;,&quot;non-dropping-particle&quot;:&quot;&quot;},{&quot;family&quot;:&quot;Roberts&quot;,&quot;given&quot;:&quot;Amy L&quot;,&quot;parse-names&quot;:false,&quot;dropping-particle&quot;:&quot;&quot;,&quot;non-dropping-particle&quot;:&quot;&quot;},{&quot;family&quot;:&quot;Lee&quot;,&quot;given&quot;:&quot;Karla A&quot;,&quot;parse-names&quot;:false,&quot;dropping-particle&quot;:&quot;&quot;,&quot;non-dropping-particle&quot;:&quot;&quot;},{&quot;family&quot;:&quot;Dooley&quot;,&quot;given&quot;:&quot;Hannah&quot;,&quot;parse-names&quot;:false,&quot;dropping-particle&quot;:&quot;&quot;,&quot;non-dropping-particle&quot;:&quot;&quot;},{&quot;family&quot;:&quot;Sudre&quot;,&quot;given&quot;:&quot;Carole H&quot;,&quot;parse-names&quot;:false,&quot;dropping-particle&quot;:&quot;&quot;,&quot;non-dropping-particle&quot;:&quot;&quot;},{&quot;family&quot;:&quot;Welch&quot;,&quot;given&quot;:&quot;Carly&quot;,&quot;parse-names&quot;:false,&quot;dropping-particle&quot;:&quot;&quot;,&quot;non-dropping-particle&quot;:&quot;&quot;},{&quot;family&quot;:&quot;Bowyer&quot;,&quot;given&quot;:&quot;Ruth C E&quot;,&quot;parse-names&quot;:false,&quot;dropping-particle&quot;:&quot;&quot;,&quot;non-dropping-particle&quot;:&quot;&quot;},{&quot;family&quot;:&quot;Visconti&quot;,&quot;given&quot;:&quot;Alessia&quot;,&quot;parse-names&quot;:false,&quot;dropping-particle&quot;:&quot;&quot;,&quot;non-dropping-particle&quot;:&quot;&quot;},{&quot;family&quot;:&quot;Mangino&quot;,&quot;given&quot;:&quot;Massimo&quot;,&quot;parse-names&quot;:false,&quot;dropping-particle&quot;:&quot;&quot;,&quot;non-dropping-particle&quot;:&quot;&quot;},{&quot;family&quot;:&quot;Freidin&quot;,&quot;given&quot;:&quot;Maxim B&quot;,&quot;parse-names&quot;:false,&quot;dropping-particle&quot;:&quot;&quot;,&quot;non-dropping-particle&quot;:&quot;&quot;},{&quot;family&quot;:&quot;El-Sayed Moustafa&quot;,&quot;given&quot;:&quot;Julia S&quot;,&quot;parse-names&quot;:false,&quot;dropping-particle&quot;:&quot;&quot;,&quot;non-dropping-particle&quot;:&quot;&quot;},{&quot;family&quot;:&quot;Small&quot;,&quot;given&quot;:&quot;Kerrin S&quot;,&quot;parse-names&quot;:false,&quot;dropping-particle&quot;:&quot;&quot;,&quot;non-dropping-particle&quot;:&quot;&quot;},{&quot;family&quot;:&quot;Murray&quot;,&quot;given&quot;:&quot;Benjamin&quot;,&quot;parse-names&quot;:false,&quot;dropping-particle&quot;:&quot;&quot;,&quot;non-dropping-particle&quot;:&quot;&quot;},{&quot;family&quot;:&quot;Modat&quot;,&quot;given&quot;:&quot;Marc&quot;,&quot;parse-names&quot;:false,&quot;dropping-particle&quot;:&quot;&quot;,&quot;non-dropping-particle&quot;:&quot;&quot;},{&quot;family&quot;:&quot;Graham&quot;,&quot;given&quot;:&quot;Mark S&quot;,&quot;parse-names&quot;:false,&quot;dropping-particle&quot;:&quot;&quot;,&quot;non-dropping-particle&quot;:&quot;&quot;},{&quot;family&quot;:&quot;Wolf&quot;,&quot;given&quot;:&quot;Jonathan&quot;,&quot;parse-names&quot;:false,&quot;dropping-particle&quot;:&quot;&quot;,&quot;non-dropping-particle&quot;:&quot;&quot;},{&quot;family&quot;:&quot;Ourselin&quot;,&quot;given&quot;:&quot;Sebastien&quot;,&quot;parse-names&quot;:false,&quot;dropping-particle&quot;:&quot;&quot;,&quot;non-dropping-particle&quot;:&quot;&quot;},{&quot;family&quot;:&quot;Martin&quot;,&quot;given&quot;:&quot;Finbarr C&quot;,&quot;parse-names&quot;:false,&quot;dropping-particle&quot;:&quot;&quot;,&quot;non-dropping-particle&quot;:&quot;&quot;},{&quot;family&quot;:&quot;Steves&quot;,&quot;given&quot;:&quot;Claire J&quot;,&quot;parse-names&quot;:false,&quot;dropping-particle&quot;:&quot;&quot;,&quot;non-dropping-particle&quot;:&quot;&quot;},{&quot;family&quot;:&quot;Lochlainn&quot;,&quot;given&quot;:&quot;Mary Ni&quot;,&quot;parse-names&quot;:false,&quot;dropping-particle&quot;:&quot;&quot;,&quot;non-dropping-particle&quot;:&quot;&quot;}],&quot;container-title&quot;:&quot;Age and Ageing&quot;,&quot;DOI&quot;:&quot;10.1093/ageing/afaa223&quot;,&quot;ISSN&quot;:&quot;0002-0729&quot;,&quot;issued&quot;:{&quot;date-parts&quot;:[[2021,1,8]]},&quot;page&quot;:&quot;40-48&quot;,&quot;abstract&quot;:&quot;Key points:  Older adults with frailty hospitalised with COVID-19 were more likely to present with probable delirium than non-frail adults of the same age.  Possible delirium was also observed in a community cohort, in whom fatigue and breathlessness were also more common in frail than non-frail older adults.  Clinicians should suspect COVID-19 when assessing frail older adults with less typical symptoms of the disease, particularly delirium. A systematic evaluation of change in mental status needs to be included when assessing this population.  Early detection facilitates infection control measures to mitigate against catastrophic spread and preventable hospitalisations and deaths amongst frail, vulnerable older adults. Abstract: Background: Frailty, increased vulnerability to physiological stressors, is associated with&quot;,&quot;publisher&quot;:&quot;Oxford University Press (OUP)&quot;,&quot;issue&quot;:&quot;1&quot;,&quot;volume&quot;:&quot;50&quot;},&quot;isTemporary&quot;:false}],&quot;isEdited&quot;:false,&quot;citationTag&quot;:&quot;MENDELEY_CITATION_{\&quot;properties\&quot;:{\&quot;noteIndex\&quot;:0},\&quot;citationID\&quot;:\&quot;MENDELEY_CITATION_fe3682a0-10b6-4c2a-90a8-7069b9f06a14\&quot;,\&quot;manualOverride\&quot;:{\&quot;isManuallyOverriden\&quot;:false,\&quot;manualOverrideText\&quot;:\&quot;\&quot;,\&quot;citeprocText\&quot;:\&quot;(Kennedy et al., 2020; O’Hanlon &amp;#38; Inouye, 2020)\&quot;},\&quot;citationItems\&quot;:[{\&quot;id\&quot;:\&quot;2f24b04c-09aa-3bd2-a37d-99c40a26b806\&quot;,\&quot;itemData\&quot;:{\&quot;type\&quot;:\&quot;article-journal\&quot;,\&quot;id\&quot;:\&quot;2f24b04c-09aa-3bd2-a37d-99c40a26b806\&quot;,\&quot;title\&quot;:\&quot;Delirium in Older Patients With COVID-19 Presenting to the Emergency Department.\&quot;,\&quot;author\&quot;:[{\&quot;family\&quot;:\&quot;Kennedy\&quot;,\&quot;given\&quot;:\&quot;Maura\&quot;,\&quot;parse-names\&quot;:false,\&quot;dropping-particle\&quot;:\&quot;\&quot;,\&quot;non-dropping-particle\&quot;:\&quot;\&quot;},{\&quot;family\&quot;:\&quot;Helfand\&quot;,\&quot;given\&quot;:\&quot;Benjamin K I\&quot;,\&quot;parse-names\&quot;:false,\&quot;dropping-particle\&quot;:\&quot;\&quot;,\&quot;non-dropping-particle\&quot;:\&quot;\&quot;},{\&quot;family\&quot;:\&quot;Gou\&quot;,\&quot;given\&quot;:\&quot;Ray Yun\&quot;,\&quot;parse-names\&quot;:false,\&quot;dropping-particle\&quot;:\&quot;\&quot;,\&quot;non-dropping-particle\&quot;:\&quot;\&quot;},{\&quot;family\&quot;:\&quot;Gartaganis\&quot;,\&quot;given\&quot;:\&quot;Sarah L\&quot;,\&quot;parse-names\&quot;:false,\&quot;dropping-particle\&quot;:\&quot;\&quot;,\&quot;non-dropping-particle\&quot;:\&quot;\&quot;},{\&quot;family\&quot;:\&quot;Webb\&quot;,\&quot;given\&quot;:\&quot;Margaret\&quot;,\&quot;parse-names\&quot;:false,\&quot;dropping-particle\&quot;:\&quot;\&quot;,\&quot;non-dropping-particle\&quot;:\&quot;\&quot;},{\&quot;family\&quot;:\&quot;Moccia\&quot;,\&quot;given\&quot;:\&quot;J Michelle\&quot;,\&quot;parse-names\&quot;:false,\&quot;dropping-particle\&quot;:\&quot;\&quot;,\&quot;non-dropping-particle\&quot;:\&quot;\&quot;},{\&quot;family\&quot;:\&quot;Bruursema\&quot;,\&quot;given\&quot;:\&quot;Stacey N\&quot;,\&quot;parse-names\&quot;:false,\&quot;dropping-particle\&quot;:\&quot;\&quot;,\&quot;non-dropping-particle\&quot;:\&quot;\&quot;},{\&quot;family\&quot;:\&quot;Dokic\&quot;,\&quot;given\&quot;:\&quot;Belinda\&quot;,\&quot;parse-names\&quot;:false,\&quot;dropping-particle\&quot;:\&quot;\&quot;,\&quot;non-dropping-particle\&quot;:\&quot;\&quot;},{\&quot;family\&quot;:\&quot;McCulloch\&quot;,\&quot;given\&quot;:\&quot;Brigid\&quot;,\&quot;parse-names\&quot;:false,\&quot;dropping-particle\&quot;:\&quot;\&quot;,\&quot;non-dropping-particle\&quot;:\&quot;\&quot;},{\&quot;family\&quot;:\&quot;Ring\&quot;,\&quot;given\&quot;:\&quot;Hope\&quot;,\&quot;parse-names\&quot;:false,\&quot;dropping-particle\&quot;:\&quot;\&quot;,\&quot;non-dropping-particle\&quot;:\&quot;\&quot;},{\&quot;family\&quot;:\&quot;Margolin\&quot;,\&quot;given\&quot;:\&quot;Justin D\&quot;,\&quot;parse-names\&quot;:false,\&quot;dropping-particle\&quot;:\&quot;\&quot;,\&quot;non-dropping-particle\&quot;:\&quot;\&quot;},{\&quot;family\&quot;:\&quot;Zhang\&quot;,\&quot;given\&quot;:\&quot;Ellen\&quot;,\&quot;parse-names\&quot;:false,\&quot;dropping-particle\&quot;:\&quot;\&quot;,\&quot;non-dropping-particle\&quot;:\&quot;\&quot;},{\&quot;family\&quot;:\&quot;Anderson\&quot;,\&quot;given\&quot;:\&quot;Robert\&quot;,\&quot;parse-names\&quot;:false,\&quot;dropping-particle\&quot;:\&quot;\&quot;,\&quot;non-dropping-particle\&quot;:\&quot;\&quot;},{\&quot;family\&quot;:\&quot;Babine\&quot;,\&quot;given\&quot;:\&quot;Rhonda L\&quot;,\&quot;parse-names\&quot;:false,\&quot;dropping-particle\&quot;:\&quot;\&quot;,\&quot;non-dropping-particle\&quot;:\&quot;\&quot;},{\&quot;family\&quot;:\&quot;Hshieh\&quot;,\&quot;given\&quot;:\&quot;Tammy\&quot;,\&quot;parse-names\&quot;:false,\&quot;dropping-particle\&quot;:\&quot;\&quot;,\&quot;non-dropping-particle\&quot;:\&quot;\&quot;},{\&quot;family\&quot;:\&quot;Wong\&quot;,\&quot;given\&quot;:\&quot;Ambrose H\&quot;,\&quot;parse-names\&quot;:false,\&quot;dropping-particle\&quot;:\&quot;\&quot;,\&quot;non-dropping-particle\&quot;:\&quot;\&quot;},{\&quot;family\&quot;:\&quot;Taylor\&quot;,\&quot;given\&quot;:\&quot;R Andrew\&quot;,\&quot;parse-names\&quot;:false,\&quot;dropping-particle\&quot;:\&quot;\&quot;,\&quot;non-dropping-particle\&quot;:\&quot;\&quot;},{\&quot;family\&quot;:\&quot;Davenport\&quot;,\&quot;given\&quot;:\&quot;Kathleen\&quot;,\&quot;parse-names\&quot;:false,\&quot;dropping-particle\&quot;:\&quot;\&quot;,\&quot;non-dropping-particle\&quot;:\&quot;\&quot;},{\&quot;family\&quot;:\&quot;Teresi\&quot;,\&quot;given\&quot;:\&quot;Brittni\&quot;,\&quot;parse-names\&quot;:false,\&quot;dropping-particle\&quot;:\&quot;\&quot;,\&quot;non-dropping-particle\&quot;:\&quot;\&quot;},{\&quot;family\&quot;:\&quot;Fong\&quot;,\&quot;given\&quot;:\&quot;Tamara G\&quot;,\&quot;parse-names\&quot;:false,\&quot;dropping-particle\&quot;:\&quot;\&quot;,\&quot;non-dropping-particle\&quot;:\&quot;\&quot;},{\&quot;family\&quot;:\&quot;Inouye\&quot;,\&quot;given\&quot;:\&quot;Sharon K\&quot;,\&quot;parse-names\&quot;:false,\&quot;dropping-particle\&quot;:\&quot;\&quot;,\&quot;non-dropping-particle\&quot;:\&quot;\&quot;}],\&quot;container-title\&quot;:\&quot;JAMA network open\&quot;,\&quot;DOI\&quot;:\&quot;10.1001/jamanetworkopen.2020.29540\&quot;,\&quot;ISSN\&quot;:\&quot;2574-3805\&quot;,\&quot;PMID\&quot;:\&quot;33211114\&quot;,\&quot;URL\&quot;:\&quot;http://www.ncbi.nlm.nih.gov/pubmed/33211114\&quot;,\&quot;issued\&quot;:{\&quot;date-parts\&quot;:[[2020,11,2]]},\&quot;page\&quot;:\&quot;e2029540\&quot;,\&quot;abstract\&quot;:\&quot;Importance Delirium is common among older emergency department (ED) patients, is associated with high morbidity and mortality, and frequently goes unrecognized. Anecdotal evidence has described atypical presentations of coronavirus disease 2019 (COVID-19) in older adults; however, the frequency of and outcomes associated with delirium in older ED patients with COVID-19 infection have not been well described. Objective To determine how frequently older adults with COVID-19 present to the ED with delirium and their associated hospital outcomes. Design, Setting, and Participants This multicenter cohort study was conducted at 7 sites in the US. Participants included consecutive older adults with COVID-19 presenting to the ED on or after March 13, 2020. Exposure COVID-19 was diagnosed by positive nasal swab for severe acute respiratory syndrome coronavirus 2 (99% of cases) or classic radiological findings (1% of cases). Main Outcomes and Measures The primary outcome was delirium as identified from the medical record according to a validated record review approach. Results A total of 817 older patients with COVID-19 were included, of whom 386 (47%) were male, 493 (62%) were White, 215 (27%) were Black, and 54 (7%) were Hispanic or Latinx. The mean (SD) age of patients was 77.7 (8.2) years. Of included patients, 226 (28%) had delirium at presentation, and delirium was the sixth most common of all presenting symptoms and signs. Among the patients with delirium, 37 (16%) had delirium as a primary symptom and 84 (37%) had no typical COVID-19 symptoms or signs, such as fever or shortness of breath. Factors associated with delirium were age older than 75 years (adjusted relative risk [aRR], 1.51; 95% CI, 1.17-1.95), living in a nursing home or assisted living (aRR, 1.23; 95% CI, 0.98-1.55), prior use of psychoactive medication (aRR, 1.42; 95% CI, 1.11-1.81), vision impairment (aRR, 1.98; 95% CI, 1.54-2.54), hearing impairment (aRR, 1.10; 95% CI 0.78-1.55), stroke (aRR, 1.47; 95% CI, 1.15-1.88), and Parkinson disease (aRR, 1.88; 95% CI, 1.30-2.58). Delirium was associated with intensive care unit stay (aRR, 1.67; 95% CI, 1.30-2.15) and death (aRR, 1.24; 95% CI, 1.00-1.55). Conclusions and Relevance In this cohort study of 817 older adults with COVID-19 presenting to US emergency departments, delirium was common and often was seen without other typical symptoms or signs. In addition, delirium was associated with poor hospital outcomes and death. These findings suggest the clinical importance of including delirium on checklists of presenting signs and symptoms of COVID-19 that guide screening, testing, and evaluation.\&quot;,\&quot;issue\&quot;:\&quot;11\&quot;,\&quot;volume\&quot;:\&quot;3\&quot;},\&quot;isTemporary\&quot;:false},{\&quot;id\&quot;:\&quot;49849057-d7af-31d4-8496-f4154c594872\&quot;,\&quot;itemData\&quot;:{\&quot;type\&quot;:\&quot;article\&quot;,\&quot;id\&quot;:\&quot;49849057-d7af-31d4-8496-f4154c594872\&quot;,\&quot;title\&quot;:\&quot;Delirium: A missing piece in the COVID-19 pandemic puzzle\&quot;,\&quot;author\&quot;:[{\&quot;family\&quot;:\&quot;O'Hanlon\&quot;,\&quot;given\&quot;:\&quot;Shane\&quot;,\&quot;parse-names\&quot;:false,\&quot;dropping-particle\&quot;:\&quot;\&quot;,\&quot;non-dropping-particle\&quot;:\&quot;\&quot;},{\&quot;family\&quot;:\&quot;Inouye\&quot;,\&quot;given\&quot;:\&quot;Sharon K.\&quot;,\&quot;parse-names\&quot;:false,\&quot;dropping-particle\&quot;:\&quot;\&quot;,\&quot;non-dropping-particle\&quot;:\&quot;\&quot;}],\&quot;container-title\&quot;:\&quot;Age and Ageing\&quot;,\&quot;DOI\&quot;:\&quot;10.1093/ageing/afaa094\&quot;,\&quot;ISSN\&quot;:\&quot;14682834\&quot;,\&quot;PMID\&quot;:\&quot;32374367\&quot;,\&quot;issued\&quot;:{\&quot;date-parts\&quot;:[[2020,7,1]]},\&quot;page\&quot;:\&quot;497-498\&quot;,\&quot;publisher\&quot;:\&quot;Oxford University Press\&quot;,\&quot;issue\&quot;:\&quot;4\&quot;,\&quot;volume\&quot;:\&quot;49\&quot;},\&quot;isTemporary\&quot;:false},{\&quot;id\&quot;:\&quot;ce9f2ec7-d839-3247-9339-864e2b1a2655\&quot;,\&quot;itemData\&quot;:{\&quot;type\&quot;:\&quot;article-journal\&quot;,\&quot;id\&quot;:\&quot;ce9f2ec7-d839-3247-9339-864e2b1a2655\&quot;,\&quot;title\&quot;:\&quot;Probable delirium is a presenting symptom of COVID-19 in frail, older adults: a cohort study of 322 hospitalised and 535 community-based older adults\&quot;,\&quot;author\&quot;:[{\&quot;family\&quot;:\&quot;Zazzara\&quot;,\&quot;given\&quot;:\&quot;Maria Beatrice\&quot;,\&quot;parse-names\&quot;:false,\&quot;dropping-particle\&quot;:\&quot;\&quot;,\&quot;non-dropping-particle\&quot;:\&quot;\&quot;},{\&quot;family\&quot;:\&quot;Penfold\&quot;,\&quot;given\&quot;:\&quot;Rose S\&quot;,\&quot;parse-names\&quot;:false,\&quot;dropping-particle\&quot;:\&quot;\&quot;,\&quot;non-dropping-particle\&quot;:\&quot;\&quot;},{\&quot;family\&quot;:\&quot;Roberts\&quot;,\&quot;given\&quot;:\&quot;Amy L\&quot;,\&quot;parse-names\&quot;:false,\&quot;dropping-particle\&quot;:\&quot;\&quot;,\&quot;non-dropping-particle\&quot;:\&quot;\&quot;},{\&quot;family\&quot;:\&quot;Lee\&quot;,\&quot;given\&quot;:\&quot;Karla A\&quot;,\&quot;parse-names\&quot;:false,\&quot;dropping-particle\&quot;:\&quot;\&quot;,\&quot;non-dropping-particle\&quot;:\&quot;\&quot;},{\&quot;family\&quot;:\&quot;Dooley\&quot;,\&quot;given\&quot;:\&quot;Hannah\&quot;,\&quot;parse-names\&quot;:false,\&quot;dropping-particle\&quot;:\&quot;\&quot;,\&quot;non-dropping-particle\&quot;:\&quot;\&quot;},{\&quot;family\&quot;:\&quot;Sudre\&quot;,\&quot;given\&quot;:\&quot;Carole H\&quot;,\&quot;parse-names\&quot;:false,\&quot;dropping-particle\&quot;:\&quot;\&quot;,\&quot;non-dropping-particle\&quot;:\&quot;\&quot;},{\&quot;family\&quot;:\&quot;Welch\&quot;,\&quot;given\&quot;:\&quot;Carly\&quot;,\&quot;parse-names\&quot;:false,\&quot;dropping-particle\&quot;:\&quot;\&quot;,\&quot;non-dropping-particle\&quot;:\&quot;\&quot;},{\&quot;family\&quot;:\&quot;Bowyer\&quot;,\&quot;given\&quot;:\&quot;Ruth C E\&quot;,\&quot;parse-names\&quot;:false,\&quot;dropping-particle\&quot;:\&quot;\&quot;,\&quot;non-dropping-particle\&quot;:\&quot;\&quot;},{\&quot;family\&quot;:\&quot;Visconti\&quot;,\&quot;given\&quot;:\&quot;Alessia\&quot;,\&quot;parse-names\&quot;:false,\&quot;dropping-particle\&quot;:\&quot;\&quot;,\&quot;non-dropping-particle\&quot;:\&quot;\&quot;},{\&quot;family\&quot;:\&quot;Mangino\&quot;,\&quot;given\&quot;:\&quot;Massimo\&quot;,\&quot;parse-names\&quot;:false,\&quot;dropping-particle\&quot;:\&quot;\&quot;,\&quot;non-dropping-particle\&quot;:\&quot;\&quot;},{\&quot;family\&quot;:\&quot;Freidin\&quot;,\&quot;given\&quot;:\&quot;Maxim B\&quot;,\&quot;parse-names\&quot;:false,\&quot;dropping-particle\&quot;:\&quot;\&quot;,\&quot;non-dropping-particle\&quot;:\&quot;\&quot;},{\&quot;family\&quot;:\&quot;El-Sayed Moustafa\&quot;,\&quot;given\&quot;:\&quot;Julia S\&quot;,\&quot;parse-names\&quot;:false,\&quot;dropping-particle\&quot;:\&quot;\&quot;,\&quot;non-dropping-particle\&quot;:\&quot;\&quot;},{\&quot;family\&quot;:\&quot;Small\&quot;,\&quot;given\&quot;:\&quot;Kerrin S\&quot;,\&quot;parse-names\&quot;:false,\&quot;dropping-particle\&quot;:\&quot;\&quot;,\&quot;non-dropping-particle\&quot;:\&quot;\&quot;},{\&quot;family\&quot;:\&quot;Murray\&quot;,\&quot;given\&quot;:\&quot;Benjamin\&quot;,\&quot;parse-names\&quot;:false,\&quot;dropping-particle\&quot;:\&quot;\&quot;,\&quot;non-dropping-particle\&quot;:\&quot;\&quot;},{\&quot;family\&quot;:\&quot;Modat\&quot;,\&quot;given\&quot;:\&quot;Marc\&quot;,\&quot;parse-names\&quot;:false,\&quot;dropping-particle\&quot;:\&quot;\&quot;,\&quot;non-dropping-particle\&quot;:\&quot;\&quot;},{\&quot;family\&quot;:\&quot;Graham\&quot;,\&quot;given\&quot;:\&quot;Mark S\&quot;,\&quot;parse-names\&quot;:false,\&quot;dropping-particle\&quot;:\&quot;\&quot;,\&quot;non-dropping-particle\&quot;:\&quot;\&quot;},{\&quot;family\&quot;:\&quot;Wolf\&quot;,\&quot;given\&quot;:\&quot;Jonathan\&quot;,\&quot;parse-names\&quot;:false,\&quot;dropping-particle\&quot;:\&quot;\&quot;,\&quot;non-dropping-particle\&quot;:\&quot;\&quot;},{\&quot;family\&quot;:\&quot;Ourselin\&quot;,\&quot;given\&quot;:\&quot;Sebastien\&quot;,\&quot;parse-names\&quot;:false,\&quot;dropping-particle\&quot;:\&quot;\&quot;,\&quot;non-dropping-particle\&quot;:\&quot;\&quot;},{\&quot;family\&quot;:\&quot;Martin\&quot;,\&quot;given\&quot;:\&quot;Finbarr C\&quot;,\&quot;parse-names\&quot;:false,\&quot;dropping-particle\&quot;:\&quot;\&quot;,\&quot;non-dropping-particle\&quot;:\&quot;\&quot;},{\&quot;family\&quot;:\&quot;Steves\&quot;,\&quot;given\&quot;:\&quot;Claire J\&quot;,\&quot;parse-names\&quot;:false,\&quot;dropping-particle\&quot;:\&quot;\&quot;,\&quot;non-dropping-particle\&quot;:\&quot;\&quot;},{\&quot;family\&quot;:\&quot;Lochlainn\&quot;,\&quot;given\&quot;:\&quot;Mary Ni\&quot;,\&quot;parse-names\&quot;:false,\&quot;dropping-particle\&quot;:\&quot;\&quot;,\&quot;non-dropping-particle\&quot;:\&quot;\&quot;}],\&quot;container-title\&quot;:\&quot;Age and Ageing\&quot;,\&quot;DOI\&quot;:\&quot;10.1093/ageing/afaa223\&quot;,\&quot;ISSN\&quot;:\&quot;0002-0729\&quot;,\&quot;issued\&quot;:{\&quot;date-parts\&quot;:[[2021,1,8]]},\&quot;page\&quot;:\&quot;40-48\&quot;,\&quot;abstract\&quot;:\&quot;Key points:  Older adults with frailty hospitalised with COVID-19 were more likely to present with probable delirium than non-frail adults of the same age.  Possible delirium was also observed in a community cohort, in whom fatigue and breathlessness were also more common in frail than non-frail older adults.  Clinicians should suspect COVID-19 when assessing frail older adults with less typical symptoms of the disease, particularly delirium. A systematic evaluation of change in mental status needs to be included when assessing this population.  Early detection facilitates infection control measures to mitigate against catastrophic spread and preventable hospitalisations and deaths amongst frail, vulnerable older adults. Abstract: Background: Frailty, increased vulnerability to physiological stressors, is associated with\&quot;,\&quot;publisher\&quot;:\&quot;Oxford University Press (OUP)\&quot;,\&quot;issue\&quot;:\&quot;1\&quot;,\&quot;volume\&quot;:\&quot;50\&quot;},\&quot;isTemporary\&quot;:false}],\&quot;isEdited\&quot;:false}&quot;,&quot;manualOverride&quot;:{&quot;isManuallyOverriden&quot;:false,&quot;manualOverrideText&quot;:&quot;&quot;,&quot;citeprocText&quot;:&quot;(Kennedy et al., 2020; O’Hanlon &amp;#38; Inouye, 2020; Zazzara et al., 2021)&quot;}},{&quot;properties&quot;:{&quot;noteIndex&quot;:0},&quot;citationID&quot;:&quot;MENDELEY_CITATION_172e80ba-6bcd-4132-84cd-9a080d1ba5ac&quot;,&quot;isEdited&quot;:true,&quot;citationItems&quot;:[{&quot;id&quot;:&quot;62a8eb24-86fd-3741-be7f-0841dc38447d&quot;,&quot;itemData&quot;:{&quot;type&quot;:&quot;article-journal&quot;,&quot;id&quot;:&quot;62a8eb24-86fd-3741-be7f-0841dc38447d&quot;,&quot;title&quot;:&quot;Ethnicity and outcomes in patients hospitalised with COVID-19 infection in East London: an observational cohort study&quot;,&quot;author&quot;:[{&quot;family&quot;:&quot;Apea&quot;,&quot;given&quot;:&quot;Vanessa&quot;,&quot;parse-names&quot;:false,&quot;dropping-particle&quot;:&quot;&quot;,&quot;non-dropping-particle&quot;:&quot;&quot;},{&quot;family&quot;:&quot;Wan&quot;,&quot;given&quot;:&quot;Yize&quot;,&quot;parse-names&quot;:false,&quot;dropping-particle&quot;:&quot;&quot;,&quot;non-dropping-particle&quot;:&quot;&quot;},{&quot;family&quot;:&quot;Dhairyawan&quot;,&quot;given&quot;:&quot;Rageshri&quot;,&quot;parse-names&quot;:false,&quot;dropping-particle&quot;:&quot;&quot;,&quot;non-dropping-particle&quot;:&quot;&quot;},{&quot;family&quot;:&quot;Puthucheary&quot;,&quot;given&quot;:&quot;Zudin&quot;,&quot;parse-names&quot;:false,&quot;dropping-particle&quot;:&quot;&quot;,&quot;non-dropping-particle&quot;:&quot;&quot;},{&quot;family&quot;:&quot;Pearse&quot;,&quot;given&quot;:&quot;Rupert&quot;,&quot;parse-names&quot;:false,&quot;dropping-particle&quot;:&quot;&quot;,&quot;non-dropping-particle&quot;:&quot;&quot;},{&quot;family&quot;:&quot;Orkin&quot;,&quot;given&quot;:&quot;Chloe&quot;,&quot;parse-names&quot;:false,&quot;dropping-particle&quot;:&quot;&quot;,&quot;non-dropping-particle&quot;:&quot;&quot;},{&quot;family&quot;:&quot;Prowle&quot;,&quot;given&quot;:&quot;John&quot;,&quot;parse-names&quot;:false,&quot;dropping-particle&quot;:&quot;&quot;,&quot;non-dropping-particle&quot;:&quot;&quot;}],&quot;DOI&quot;:&quot;10.1101/2020.06.10.20127621&quot;,&quot;issued&quot;:{&quot;date-parts&quot;:[[2020]]},&quot;abstract&quot;:&quot;Background: Preliminary studies suggest that people from Black, Asian and Minority Ethnic (BAME) backgrounds experience higher mortality from COVID-19 but the underlying reasons remain unclear. Methods: Prospective analysis of registry data describing patients admitted to five acute NHS Hospitals in east London, UK for COVID-19. Emergency hospital admissions with confirmed SARS-CoV-2 aged 16 years or over were included. Data, including ethnicity, social deprivation, frailty, patient care and detailed risk factors for mortality, were extracted from hospital electronic records. Multivariable survival analysis was used to assess associations between ethnic group and mortality accounting for the effects of age, sex and various other risk factors. Results are presented as hazard ratios (HR) or odds ratios (OR) with 95% confidence intervals. Findings: 1996 adult patients were admitted between 1st March and 13th May 2020. After excluding 259 patients with missing ethnicity data, 1737 were included in our analysis of whom 511 had died by day 30 (29%). 538 (31%) were from Asian, 340 (20%) Black and 707 (40%) white backgrounds. Compared to white patients, those from BAME backgrounds were younger, with differing co-morbidity profiles and less frailty. Asian and black patients were more likely to be admitted to intensive care and to receive invasive ventilation (OR 1.54, [1.06-2.23]; p=0.023 and 1.80 [1.20-2.71]; p=0.005, respectively). After adjustment for age and sex, patients from Asian (HR 1.49 [1.19-1.86]; p&lt;0.001) and black (HR 1.30 [1.02-1.65]; p=0.036) backgrounds were more likely to die. These findings persisted across a range of risk-factor adjusted analyses. Interpretation: Patients from Asian and Black backgrounds are more likely to die from COVID-19 infection despite controlling for all previously identified confounders. Higher rates of invasive ventilation in intensive care indicate greater acute disease severity. Our analyses suggest that patients of Asian and Black backgrounds suffered disproportionate rates of premature death from COVID-19.\n\n### Competing Interest Statement\n\nThe authors have declared no competing interest.\n\n### Clinical Protocols\n\n&lt;https://qmro.qmul.ac.uk/xmlui/handle/123456789/64155&gt;\n\n### Funding Statement\n\nNo external funding. The corresponding author had full access to all the data and had final responsibility for the decision to submit for publication.\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NHS Health Research Authority Yorkshire and The Humber - Bradford Leeds Research Ethics Committee\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The statistical analysis plan can be accessed online. The authors will be happy to consider additional analyses of the anonymised dataset on request. The need for stringent measures to prevent re-identification of individuals within a discrete geographical location and limited time-period however preclude sharing of patient level dataset in a GDPR compliant form.&quot;},&quot;isTemporary&quot;:false},{&quot;id&quot;:&quot;5decb591-6c99-3719-b466-2ef985b8e6f2&quot;,&quot;itemData&quot;:{&quot;type&quot;:&quot;article-journal&quot;,&quot;id&quot;:&quot;5decb591-6c99-3719-b466-2ef985b8e6f2&quot;,&quot;title&quot;:&quot;Factors associated with COVID-19-related death using OpenSAFELY&quot;,&quot;author&quot;:[{&quot;family&quot;:&quot;Williamson&quot;,&quot;given&quot;:&quot;Elizabeth J.&quot;,&quot;parse-names&quot;:false,&quot;dropping-particle&quot;:&quot;&quot;,&quot;non-dropping-particle&quot;:&quot;&quot;},{&quot;family&quot;:&quot;Walker&quot;,&quot;given&quot;:&quot;Alex J.&quot;,&quot;parse-names&quot;:false,&quot;dropping-particle&quot;:&quot;&quot;,&quot;non-dropping-particle&quot;:&quot;&quot;},{&quot;family&quot;:&quot;Bhaskaran&quot;,&quot;given&quot;:&quot;Krishnan&quot;,&quot;parse-names&quot;:false,&quot;dropping-particle&quot;:&quot;&quot;,&quot;non-dropping-particle&quot;:&quot;&quot;},{&quot;family&quot;:&quot;Bacon&quot;,&quot;given&quot;:&quot;Seb&quot;,&quot;parse-names&quot;:false,&quot;dropping-particle&quot;:&quot;&quot;,&quot;non-dropping-particle&quot;:&quot;&quot;},{&quot;family&quot;:&quot;Bates&quot;,&quot;given&quot;:&quot;Chris&quot;,&quot;parse-names&quot;:false,&quot;dropping-particle&quot;:&quot;&quot;,&quot;non-dropping-particle&quot;:&quot;&quot;},{&quot;family&quot;:&quot;Morton&quot;,&quot;given&quot;:&quot;Caroline E.&quot;,&quot;parse-names&quot;:false,&quot;dropping-particle&quot;:&quot;&quot;,&quot;non-dropping-particle&quot;:&quot;&quot;},{&quot;family&quot;:&quot;Curtis&quot;,&quot;given&quot;:&quot;Helen J.&quot;,&quot;parse-names&quot;:false,&quot;dropping-particle&quot;:&quot;&quot;,&quot;non-dropping-particle&quot;:&quot;&quot;},{&quot;family&quot;:&quot;Mehrkar&quot;,&quot;given&quot;:&quot;Amir&quot;,&quot;parse-names&quot;:false,&quot;dropping-particle&quot;:&quot;&quot;,&quot;non-dropping-particle&quot;:&quot;&quot;},{&quot;family&quot;:&quot;Evans&quot;,&quot;given&quot;:&quot;David&quot;,&quot;parse-names&quot;:false,&quot;dropping-particle&quot;:&quot;&quot;,&quot;non-dropping-particle&quot;:&quot;&quot;},{&quot;family&quot;:&quot;Inglesby&quot;,&quot;given&quot;:&quot;Peter&quot;,&quot;parse-names&quot;:false,&quot;dropping-particle&quot;:&quot;&quot;,&quot;non-dropping-particle&quot;:&quot;&quot;},{&quot;family&quot;:&quot;Cockburn&quot;,&quot;given&quot;:&quot;Jonathan&quot;,&quot;parse-names&quot;:false,&quot;dropping-particle&quot;:&quot;&quot;,&quot;non-dropping-particle&quot;:&quot;&quot;},{&quot;family&quot;:&quot;McDonald&quot;,&quot;given&quot;:&quot;Helen I.&quot;,&quot;parse-names&quot;:false,&quot;dropping-particle&quot;:&quot;&quot;,&quot;non-dropping-particle&quot;:&quot;&quot;},{&quot;family&quot;:&quot;MacKenna&quot;,&quot;given&quot;:&quot;Brian&quot;,&quot;parse-names&quot;:false,&quot;dropping-particle&quot;:&quot;&quot;,&quot;non-dropping-particle&quot;:&quot;&quot;},{&quot;family&quot;:&quot;Tomlinson&quot;,&quot;given&quot;:&quot;Laurie&quot;,&quot;parse-names&quot;:false,&quot;dropping-particle&quot;:&quot;&quot;,&quot;non-dropping-particle&quot;:&quot;&quot;},{&quot;family&quot;:&quot;Douglas&quot;,&quot;given&quot;:&quot;Ian J.&quot;,&quot;parse-names&quot;:false,&quot;dropping-particle&quot;:&quot;&quot;,&quot;non-dropping-particle&quot;:&quot;&quot;},{&quot;family&quot;:&quot;Rentsch&quot;,&quot;given&quot;:&quot;Christopher T.&quot;,&quot;parse-names&quot;:false,&quot;dropping-particle&quot;:&quot;&quot;,&quot;non-dropping-particle&quot;:&quot;&quot;},{&quot;family&quot;:&quot;Mathur&quot;,&quot;given&quot;:&quot;Rohini&quot;,&quot;parse-names&quot;:false,&quot;dropping-particle&quot;:&quot;&quot;,&quot;non-dropping-particle&quot;:&quot;&quot;},{&quot;family&quot;:&quot;Wong&quot;,&quot;given&quot;:&quot;Angel Y.S.&quot;,&quot;parse-names&quot;:false,&quot;dropping-particle&quot;:&quot;&quot;,&quot;non-dropping-particle&quot;:&quot;&quot;},{&quot;family&quot;:&quot;Grieve&quot;,&quot;given&quot;:&quot;Richard&quot;,&quot;parse-names&quot;:false,&quot;dropping-particle&quot;:&quot;&quot;,&quot;non-dropping-particle&quot;:&quot;&quot;},{&quot;family&quot;:&quot;Harrison&quot;,&quot;given&quot;:&quot;David&quot;,&quot;parse-names&quot;:false,&quot;dropping-particle&quot;:&quot;&quot;,&quot;non-dropping-particle&quot;:&quot;&quot;},{&quot;family&quot;:&quot;Forbes&quot;,&quot;given&quot;:&quot;Harriet&quot;,&quot;parse-names&quot;:false,&quot;dropping-particle&quot;:&quot;&quot;,&quot;non-dropping-particle&quot;:&quot;&quot;},{&quot;family&quot;:&quot;Schultze&quot;,&quot;given&quot;:&quot;Anna&quot;,&quot;parse-names&quot;:false,&quot;dropping-particle&quot;:&quot;&quot;,&quot;non-dropping-particle&quot;:&quot;&quot;},{&quot;family&quot;:&quot;Croker&quot;,&quot;given&quot;:&quot;Richard&quot;,&quot;parse-names&quot;:false,&quot;dropping-particle&quot;:&quot;&quot;,&quot;non-dropping-particle&quot;:&quot;&quot;},{&quot;family&quot;:&quot;Parry&quot;,&quot;given&quot;:&quot;John&quot;,&quot;parse-names&quot;:false,&quot;dropping-particle&quot;:&quot;&quot;,&quot;non-dropping-particle&quot;:&quot;&quot;},{&quot;family&quot;:&quot;Hester&quot;,&quot;given&quot;:&quot;Frank&quot;,&quot;parse-names&quot;:false,&quot;dropping-particle&quot;:&quot;&quot;,&quot;non-dropping-particle&quot;:&quot;&quot;},{&quot;family&quot;:&quot;Harper&quot;,&quot;given&quot;:&quot;Sam&quot;,&quot;parse-names&quot;:false,&quot;dropping-particle&quot;:&quot;&quot;,&quot;non-dropping-particle&quot;:&quot;&quot;},{&quot;family&quot;:&quot;Perera&quot;,&quot;given&quot;:&quot;Rafael&quot;,&quot;parse-names&quot;:false,&quot;dropping-particle&quot;:&quot;&quot;,&quot;non-dropping-particle&quot;:&quot;&quot;},{&quot;family&quot;:&quot;Evans&quot;,&quot;given&quot;:&quot;Stephen J.W.&quot;,&quot;parse-names&quot;:false,&quot;dropping-particle&quot;:&quot;&quot;,&quot;non-dropping-particle&quot;:&quot;&quot;},{&quot;family&quot;:&quot;Smeeth&quot;,&quot;given&quot;:&quot;Liam&quot;,&quot;parse-names&quot;:false,&quot;dropping-particle&quot;:&quot;&quot;,&quot;non-dropping-particle&quot;:&quot;&quot;},{&quot;family&quot;:&quot;Goldacre&quot;,&quot;given&quot;:&quot;Ben&quot;,&quot;parse-names&quot;:false,&quot;dropping-particle&quot;:&quot;&quot;,&quot;non-dropping-particle&quot;:&quot;&quot;}],&quot;container-title&quot;:&quot;Nature&quot;,&quot;DOI&quot;:&quot;10.1038/s41586-020-2521-4&quot;,&quot;ISSN&quot;:&quot;14764687&quot;,&quot;PMID&quot;:&quot;32640463&quot;,&quot;issued&quot;:{&quot;date-parts&quot;:[[2020,8,20]]},&quot;page&quot;:&quot;430-436&quot;,&quot;abstract&quot;:&quo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quot;,&quot;publisher&quot;:&quot;Nature Research&quot;,&quot;issue&quot;:&quot;7821&quot;,&quot;volume&quot;:&quot;584&quot;},&quot;isTemporary&quot;:false}],&quot;manualOverride&quot;:{&quot;isManuallyOverriden&quot;:false,&quot;manualOverrideText&quot;:&quot;&quot;,&quot;citeprocText&quot;:&quot;(Apea et al., 2020; Williamson et al., 2020)&quot;}},{&quot;properties&quot;:{&quot;noteIndex&quot;:0},&quot;citationID&quot;:&quot;MENDELEY_CITATION_b38d1a04-8685-43aa-b669-515a21584ffe&quot;,&quot;isEdited&quot;:false,&quot;citationItems&quot;:[{&quot;id&quot;:&quot;f4211018-7462-33fc-80ae-0029c24099b2&quot;,&quot;itemData&quot;:{&quot;type&quot;:&quot;article-journal&quot;,&quot;id&quot;:&quot;f4211018-7462-33fc-80ae-0029c24099b2&quot;,&quot;title&quot;:&quot;Perspectives on the relationship of renal disease and coronavirus disease 2019&quot;,&quot;author&quot;:[{&quot;family&quot;:&quot;Yalameha&quot;,&quot;given&quot;:&quot;Banafsheh&quot;,&quot;parse-names&quot;:false,&quot;dropping-particle&quot;:&quot;&quot;,&quot;non-dropping-particle&quot;:&quot;&quot;},{&quot;family&quot;:&quot;Roshan&quot;,&quot;given&quot;:&quot;Bijan&quot;,&quot;parse-names&quot;:false,&quot;dropping-particle&quot;:&quot;&quot;,&quot;non-dropping-particle&quot;:&quot;&quot;},{&quot;family&quot;:&quot;Bhaskar&quot;,&quot;given&quot;:&quot;Lakkakula V.K.S.&quot;,&quot;parse-names&quot;:false,&quot;dropping-particle&quot;:&quot;&quot;,&quot;non-dropping-particle&quot;:&quot;&quot;},{&quot;family&quot;:&quot;Mohmoodnia&quot;,&quot;given&quot;:&quot;Leila&quot;,&quot;parse-names&quot;:false,&quot;dropping-particle&quot;:&quot;&quot;,&quot;non-dropping-particle&quot;:&quot;&quot;}],&quot;container-title&quot;:&quot;Journal of Nephropharmacology&quot;,&quot;DOI&quot;:&quot;10.34172/npj.2020.22&quot;,&quot;ISSN&quot;:&quot;23454202&quot;,&quot;issued&quot;:{&quot;date-parts&quot;:[[2020]]},&quot;abstract&quot;:&quot;Coronavirus disease 2019 (COVID-19) is now a pandemic and its death toll is rocketing up. Patients with acute kidney injury (AKI) and chronic kidney disease (CKD) are at high risk of developing COVID-19 complications and COVID-19 infection can also lead to renal dysfunction. Considering the importance of kidney function in COVID-19 patients, the present review is aimed to dig into the available evidence about kidney and COVID-19. We summarize the mechanisms underlying the renal injury in COVID-19 patients, and treatment strategies in dialysis and kidney transplant patients. We conclude, it is imperative to highlight the early monitoring of patients with AKI and carefully control kidney function during severe acute respiratory syndrome coronavirus 2 (SARS-CoV-2) infection.&quot;,&quot;publisher&quot;:&quot;Society of Diabetic Nephropathy Prevention&quot;,&quot;issue&quot;:&quot;2&quot;,&quot;volume&quot;:&quot;9&quot;},&quot;isTemporary&quot;:false}],&quot;manualOverride&quot;:{&quot;isManuallyOverriden&quot;:false,&quot;manualOverrideText&quot;:&quot;&quot;,&quot;citeprocText&quot;:&quot;(Yalameha et al., 2020)&quot;}},{&quot;properties&quot;:{&quot;noteIndex&quot;:0},&quot;citationID&quot;:&quot;MENDELEY_CITATION_636ac9a0-47a0-42c8-a58d-3f76f1be53b9&quot;,&quot;isEdited&quot;:false,&quot;citationItems&quot;:[{&quot;id&quot;:&quot;ebc20b7d-7cd8-3eac-b8a6-0f7e48be0c1c&quot;,&quot;itemData&quot;:{&quot;type&quot;:&quot;article&quot;,&quot;id&quot;:&quot;ebc20b7d-7cd8-3eac-b8a6-0f7e48be0c1c&quot;,&quot;title&quot;:&quot;Acute Kidney Injury in the Elderly&quot;,&quot;author&quot;:[{&quot;family&quot;:&quot;Abdel-Kader&quot;,&quot;given&quot;:&quot;Khaled&quot;,&quot;parse-names&quot;:false,&quot;dropping-particle&quot;:&quot;&quot;,&quot;non-dropping-particle&quot;:&quot;&quot;},{&quot;family&quot;:&quot;Palevsky&quot;,&quot;given&quot;:&quot;Paul M.&quot;,&quot;parse-names&quot;:false,&quot;dropping-particle&quot;:&quot;&quot;,&quot;non-dropping-particle&quot;:&quot;&quot;}],&quot;container-title&quot;:&quot;Clinics in Geriatric Medicine&quot;,&quot;DOI&quot;:&quot;10.1016/j.cger.2009.04.001&quot;,&quot;ISSN&quot;:&quot;07490690&quot;,&quot;PMID&quot;:&quot;19765485&quot;,&quot;issued&quot;:{&quot;date-parts&quot;:[[2009,8]]},&quot;page&quot;:&quot;331-358&quot;,&quot;abstract&quot;:&quot;The aging kidney undergoes several important anatomic and physiologic changes that increase the risk of acute kidney injury (formerly acute renal failure) in the elderly. This article reviews these changes and discusses the diagnoses frequently encountered in the elderly patient with acute kidney injury. The incidence, staging, evaluation, management, and prognosis of acute kidney injury are also examined with special focus given to older adults.&quot;,&quot;issue&quot;:&quot;3&quot;,&quot;volume&quot;:&quot;25&quot;},&quot;isTemporary&quot;:false}],&quot;manualOverride&quot;:{&quot;isManuallyOverriden&quot;:false,&quot;manualOverrideText&quot;:&quot;&quot;,&quot;citeprocText&quot;:&quot;(Abdel-Kader &amp;#38; Palevsky, 2009)&quot;}},{&quot;properties&quot;:{&quot;noteIndex&quot;:0},&quot;citationID&quot;:&quot;MENDELEY_CITATION_ec13cded-bd3f-49b5-a15e-5c7b1eab60fb&quot;,&quot;citationItems&quot;:[{&quot;id&quot;:&quot;0c6bf9b2-59e7-3f68-ad7c-ccd25757a8cc&quot;,&quot;itemData&quot;:{&quot;type&quot;:&quot;article&quot;,&quot;id&quot;:&quot;0c6bf9b2-59e7-3f68-ad7c-ccd25757a8cc&quot;,&quot;title&quot;:&quot;ENDOCRINOLOGY in the TIME of COVID-19: Management of diabetes insipidus and hyponatraemia&quot;,&quot;author&quot;:[{&quot;family&quot;:&quot;Christ-Crain&quot;,&quot;given&quot;:&quot;Mirjam&quot;,&quot;parse-names&quot;:false,&quot;dropping-particle&quot;:&quot;&quot;,&quot;non-dropping-particle&quot;:&quot;&quot;},{&quot;family&quot;:&quot;Hoorn&quot;,&quot;given&quot;:&quot;Ewout J.&quot;,&quot;parse-names&quot;:false,&quot;dropping-particle&quot;:&quot;&quot;,&quot;non-dropping-particle&quot;:&quot;&quot;},{&quot;family&quot;:&quot;Sherlock&quot;,&quot;given&quot;:&quot;Mark&quot;,&quot;parse-names&quot;:false,&quot;dropping-particle&quot;:&quot;&quot;,&quot;non-dropping-particle&quot;:&quot;&quot;},{&quot;family&quot;:&quot;Thompson&quot;,&quot;given&quot;:&quot;Chris J.&quot;,&quot;parse-names&quot;:false,&quot;dropping-particle&quot;:&quot;&quot;,&quot;non-dropping-particle&quot;:&quot;&quot;},{&quot;family&quot;:&quot;Wass&quot;,&quot;given&quot;:&quot;John A.H.&quot;,&quot;parse-names&quot;:false,&quot;dropping-particle&quot;:&quot;&quot;,&quot;non-dropping-particle&quot;:&quot;&quot;}],&quot;container-title&quot;:&quot;European Journal of Endocrinology&quot;,&quot;DOI&quot;:&quot;10.1530/EJE-20-0338&quot;,&quot;ISSN&quot;:&quot;1479683X&quot;,&quot;PMID&quot;:&quot;32380474&quot;,&quot;issued&quot;:{&quot;date-parts&quot;:[[2020,6,1]]},&quot;page&quot;:&quot;G9-G15&quot;,&quot;abstract&quot;:&quot;COVID-19 has changed the nature of medical consultations, emphasizing virtual patient counseling, with relevance for patients with diabetes insipidus (DI) or hyponatraemia. The main complication of desmopressin treatment in DI is dilutional hyponatraemia. Since plasma sodium monitoring is not always possible in times of COVID-19, we recommend to delay the desmopressin dose once a week until aquaresis occurs allowing excess retained water to be excreted. Patients should measure their body weight daily. Patients with DI admitted to the hospital with COVID-19 have a high risk for mortality due to volume depletion. Specialists must supervise fluid replacement and dosing of desmopressin. Patients after pituitary surgery should drink to thirst and measure their body weight daily to early recognize the development of the postoperative syndrome of inappropriate antidiuresis (SIAD). They should know hyponatraemia symptoms. The prevalence of hyponatraemia in patients with pneumonia due to COVID-19 is not yet known, but seems to be low. In contrast, hypernatraemia may develop in COVID-19 patients in ICU, from different multifactorial reasons, for example, due to insensible water losses from pyrexia, increased respiration rate and use of diuretics. Hypernatraemic dehydration may contribute to the high risk of acute kidney injury in COVID-19. IV fluid replacement should be administered with caution in severe cases of COVID-19 because of the risk of pulmonary oedema.&quot;,&quot;publisher&quot;:&quot;BioScientifica Ltd.&quot;,&quot;issue&quot;:&quot;1&quot;,&quot;volume&quot;:&quot;183&quot;},&quot;isTemporary&quot;:false}],&quot;isEdited&quot;:false,&quot;citationTag&quot;:&quot;MENDELEY_CITATION_{\&quot;properties\&quot;:{\&quot;noteIndex\&quot;:0},\&quot;manualOverride\&quot;:{\&quot;isManuallyOverriden\&quot;:false,\&quot;citeprocText\&quot;:\&quot;\&quot;,\&quot;manualOverrideText\&quot;:\&quot;\&quot;},\&quot;citationID\&quot;:\&quot;MENDELEY_CITATION_ec13cded-bd3f-49b5-a15e-5c7b1eab60fb\&quot;,\&quot;citationItems\&quot;:[{\&quot;id\&quot;:\&quot;0c6bf9b2-59e7-3f68-ad7c-ccd25757a8cc\&quot;,\&quot;itemData\&quot;:{\&quot;type\&quot;:\&quot;article\&quot;,\&quot;id\&quot;:\&quot;0c6bf9b2-59e7-3f68-ad7c-ccd25757a8cc\&quot;,\&quot;title\&quot;:\&quot;ENDOCRINOLOGY in the TIME of COVID-19: Management of diabetes insipidus and hyponatraemia\&quot;,\&quot;author\&quot;:[{\&quot;family\&quot;:\&quot;Christ-Crain\&quot;,\&quot;given\&quot;:\&quot;Mirjam\&quot;,\&quot;parse-names\&quot;:false,\&quot;dropping-particle\&quot;:\&quot;\&quot;,\&quot;non-dropping-particle\&quot;:\&quot;\&quot;},{\&quot;family\&quot;:\&quot;Hoorn\&quot;,\&quot;given\&quot;:\&quot;Ewout J.\&quot;,\&quot;parse-names\&quot;:false,\&quot;dropping-particle\&quot;:\&quot;\&quot;,\&quot;non-dropping-particle\&quot;:\&quot;\&quot;},{\&quot;family\&quot;:\&quot;Sherlock\&quot;,\&quot;given\&quot;:\&quot;Mark\&quot;,\&quot;parse-names\&quot;:false,\&quot;dropping-particle\&quot;:\&quot;\&quot;,\&quot;non-dropping-particle\&quot;:\&quot;\&quot;},{\&quot;family\&quot;:\&quot;Thompson\&quot;,\&quot;given\&quot;:\&quot;Chris J.\&quot;,\&quot;parse-names\&quot;:false,\&quot;dropping-particle\&quot;:\&quot;\&quot;,\&quot;non-dropping-particle\&quot;:\&quot;\&quot;},{\&quot;family\&quot;:\&quot;Wass\&quot;,\&quot;given\&quot;:\&quot;John A.H.\&quot;,\&quot;parse-names\&quot;:false,\&quot;dropping-particle\&quot;:\&quot;\&quot;,\&quot;non-dropping-particle\&quot;:\&quot;\&quot;}],\&quot;container-title\&quot;:\&quot;European Journal of Endocrinology\&quot;,\&quot;DOI\&quot;:\&quot;10.1530/EJE-20-0338\&quot;,\&quot;ISSN\&quot;:\&quot;1479683X\&quot;,\&quot;PMID\&quot;:\&quot;32380474\&quot;,\&quot;issued\&quot;:{\&quot;date-parts\&quot;:[[2020,6,1]]},\&quot;page\&quot;:\&quot;G9-G15\&quot;,\&quot;abstract\&quot;:\&quot;COVID-19 has changed the nature of medical consultations, emphasizing virtual patient counseling, with relevance for patients with diabetes insipidus (DI) or hyponatraemia. The main complication of desmopressin treatment in DI is dilutional hyponatraemia. Since plasma sodium monitoring is not always possible in times of COVID-19, we recommend to delay the desmopressin dose once a week until aquaresis occurs allowing excess retained water to be excreted. Patients should measure their body weight daily. Patients with DI admitted to the hospital with COVID-19 have a high risk for mortality due to volume depletion. Specialists must supervise fluid replacement and dosing of desmopressin. Patients after pituitary surgery should drink to thirst and measure their body weight daily to early recognize the development of the postoperative syndrome of inappropriate antidiuresis (SIAD). They should know hyponatraemia symptoms. The prevalence of hyponatraemia in patients with pneumonia due to COVID-19 is not yet known, but seems to be low. In contrast, hypernatraemia may develop in COVID-19 patients in ICU, from different multifactorial reasons, for example, due to insensible water losses from pyrexia, increased respiration rate and use of diuretics. Hypernatraemic dehydration may contribute to the high risk of acute kidney injury in COVID-19. IV fluid replacement should be administered with caution in severe cases of COVID-19 because of the risk of pulmonary oedema.\&quot;,\&quot;publisher\&quot;:\&quot;BioScientifica Ltd.\&quot;,\&quot;issue\&quot;:\&quot;1\&quot;,\&quot;volume\&quot;:\&quot;183\&quot;},\&quot;isTemporary\&quot;:false}],\&quot;isEdited\&quot;:false}&quot;,&quot;manualOverride&quot;:{&quot;isManuallyOverriden&quot;:false,&quot;manualOverrideText&quot;:&quot;&quot;,&quot;citeprocText&quot;:&quot;(Christ-Crain et al., 2020)&quot;}},{&quot;properties&quot;:{&quot;noteIndex&quot;:0},&quot;isEdited&quot;:false,&quot;citationItems&quot;:[{&quot;id&quot;:&quot;1175e47e-159d-3212-ad18-110cb5b95c78&quot;,&quot;itemData&quot;:{&quot;type&quot;:&quot;article&quot;,&quot;id&quot;:&quot;1175e47e-159d-3212-ad18-110cb5b95c78&quot;,&quot;title&quot;:&quot;COVID-19 testing and patients in mental health facilities&quot;,&quot;author&quot;:[{&quot;family&quot;:&quot;Benson&quot;,&quot;given&quot;:&quot;Nicole M.&quot;,&quot;parse-names&quot;:false,&quot;dropping-particle&quot;:&quot;&quot;,&quot;non-dropping-particle&quot;:&quot;&quot;},{&quot;family&quot;:&quot;Öngür&quot;,&quot;given&quot;:&quot;Dost&quot;,&quot;parse-names&quot;:false,&quot;dropping-particle&quot;:&quot;&quot;,&quot;non-dropping-particle&quot;:&quot;&quot;},{&quot;family&quot;:&quot;Hsu&quot;,&quot;given&quot;:&quot;John&quot;,&quot;parse-names&quot;:false,&quot;dropping-particle&quot;:&quot;&quot;,&quot;non-dropping-particle&quot;:&quot;&quot;}],&quot;container-title&quot;:&quot;The Lancet Psychiatry&quot;,&quot;DOI&quot;:&quot;10.1016/S2215-0366(20)30198-X&quot;,&quot;ISSN&quot;:&quot;22150374&quot;,&quot;PMID&quot;:&quot;32407671&quot;,&quot;issued&quot;:{&quot;date-parts&quot;:[[2020,6,1]]},&quot;page&quot;:&quot;476-477&quot;,&quot;publisher&quot;:&quot;Elsevier Ltd&quot;,&quot;issue&quot;:&quot;6&quot;,&quot;volume&quot;:&quot;7&quot;},&quot;isTemporary&quot;:false},{&quot;id&quot;:&quot;2592022d-dc9d-3d79-968c-4601417a384d&quot;,&quot;itemData&quot;:{&quot;type&quot;:&quot;article&quot;,&quot;id&quot;:&quot;2592022d-dc9d-3d79-968c-4601417a384d&quot;,&quot;title&quot;:&quot;The Risk and Prevention of Novel Coronavirus Pneumonia Infections Among Inpatients in Psychiatric Hospitals&quot;,&quot;author&quot;:[{&quot;family&quot;:&quot;Zhu&quot;,&quot;given&quot;:&quot;Yuncheng&quot;,&quot;parse-names&quot;:false,&quot;dropping-particle&quot;:&quot;&quot;,&quot;non-dropping-particle&quot;:&quot;&quot;},{&quot;family&quot;:&quot;Chen&quot;,&quot;given&quot;:&quot;Liangliang&quot;,&quot;parse-names&quot;:false,&quot;dropping-particle&quot;:&quot;&quot;,&quot;non-dropping-particle&quot;:&quot;&quot;},{&quot;family&quot;:&quot;Ji&quot;,&quot;given&quot;:&quot;Haifeng&quot;,&quot;parse-names&quot;:false,&quot;dropping-particle&quot;:&quot;&quot;,&quot;non-dropping-particle&quot;:&quot;&quot;},{&quot;family&quot;:&quot;Xi&quot;,&quot;given&quot;:&quot;Maomao&quot;,&quot;parse-names&quot;:false,&quot;dropping-particle&quot;:&quot;&quot;,&quot;non-dropping-particle&quot;:&quot;&quot;},{&quot;family&quot;:&quot;Fang&quot;,&quot;given&quot;:&quot;Yiru&quot;,&quot;parse-names&quot;:false,&quot;dropping-particle&quot;:&quot;&quot;,&quot;non-dropping-particle&quot;:&quot;&quot;},{&quot;family&quot;:&quot;Li&quot;,&quot;given&quot;:&quot;Yi&quot;,&quot;parse-names&quot;:false,&quot;dropping-particle&quot;:&quot;&quot;,&quot;non-dropping-particle&quot;:&quot;&quot;}],&quot;container-title&quot;:&quot;Neuroscience Bulletin&quot;,&quot;DOI&quot;:&quot;10.1007/s12264-020-00476-9&quot;,&quot;ISSN&quot;:&quot;19958218&quot;,&quot;PMID&quot;:&quot;32096116&quot;,&quot;issued&quot;:{&quot;date-parts&quot;:[[2020,3,1]]},&quot;page&quot;:&quot;299-302&quot;,&quot;publisher&quot;:&quot;Springer&quot;,&quot;issue&quot;:&quot;3&quot;,&quot;volume&quot;:&quot;36&quot;},&quot;isTemporary&quot;:false}],&quot;citationID&quot;:&quot;MENDELEY_CITATION_43a80870-7ae9-4f44-880c-02d47baad109&quot;,&quot;manualOverride&quot;:{&quot;isManuallyOverriden&quot;:false,&quot;manualOverrideText&quot;:&quot;&quot;,&quot;citeprocText&quot;:&quot;(Benson et al., 2020; Zhu et al., 2020)&quot;}}]"/>
    <we:property name="MENDELEY_CITATIONS_STYLE" value="&quot;https://www.zotero.org/styles/apa&quot;"/>
    <we:property name="MENDELEY_PROFILE_ID" value="&quot;8ba2ff1c9eeda3d22f820c01c429ffec8f27768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C6D191E-A317-400F-A6D1-ED25DAA9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21865</Words>
  <Characters>124633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146206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maniero</dc:creator>
  <cp:lastModifiedBy>Fu Liang Ng</cp:lastModifiedBy>
  <cp:revision>3</cp:revision>
  <cp:lastPrinted>2021-01-14T18:05:00Z</cp:lastPrinted>
  <dcterms:created xsi:type="dcterms:W3CDTF">2021-02-09T13:35:00Z</dcterms:created>
  <dcterms:modified xsi:type="dcterms:W3CDTF">2021-07-28T21:14:00Z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8a798bba-8323-3bec-825d-34d761a09d30</vt:lpwstr>
  </property>
  <property fmtid="{D5CDD505-2E9C-101B-9397-08002B2CF9AE}" pid="4" name="Mendeley Citation Style_1">
    <vt:lpwstr>http://www.zotero.org/styles/sage-vancouver-brackets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http://www.zotero.org/styles/american-medical-association-no-et-al</vt:lpwstr>
  </property>
  <property fmtid="{D5CDD505-2E9C-101B-9397-08002B2CF9AE}" pid="8" name="Mendeley Recent Style Name 1_1">
    <vt:lpwstr>American Medical Association (no "et al.")</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http://www.zotero.org/styles/european-heart-journal</vt:lpwstr>
  </property>
  <property fmtid="{D5CDD505-2E9C-101B-9397-08002B2CF9AE}" pid="18" name="Mendeley Recent Style Name 6_1">
    <vt:lpwstr>European Heart Journal</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http://www.zotero.org/styles/sage-vancouver-brackets</vt:lpwstr>
  </property>
  <property fmtid="{D5CDD505-2E9C-101B-9397-08002B2CF9AE}" pid="22" name="Mendeley Recent Style Name 8_1">
    <vt:lpwstr>SAGE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