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1EE8F5" w14:textId="77777777" w:rsidR="00EC3651" w:rsidRPr="006D5D72" w:rsidRDefault="00EC3651" w:rsidP="00EC3651">
      <w:pPr>
        <w:spacing w:line="480" w:lineRule="auto"/>
        <w:rPr>
          <w:rFonts w:ascii="Arial" w:hAnsi="Arial" w:cs="Arial"/>
          <w:b/>
          <w:color w:val="000000" w:themeColor="text1"/>
        </w:rPr>
      </w:pPr>
      <w:r w:rsidRPr="006D5D72">
        <w:rPr>
          <w:rFonts w:ascii="Arial" w:hAnsi="Arial" w:cs="Arial"/>
          <w:b/>
          <w:bCs/>
        </w:rPr>
        <w:t xml:space="preserve">Global divergence of antifungal prescribing patterns: Data from the </w:t>
      </w:r>
      <w:r w:rsidRPr="006D5D72">
        <w:rPr>
          <w:rFonts w:ascii="Arial" w:hAnsi="Arial" w:cs="Arial"/>
          <w:b/>
          <w:color w:val="000000" w:themeColor="text1"/>
        </w:rPr>
        <w:t>Global Antimicrobial Resistance, Prescribing, and Efficacy in Neonates and Children (GARPEC) Surveys.</w:t>
      </w:r>
    </w:p>
    <w:p w14:paraId="0FDBE6C8" w14:textId="77777777" w:rsidR="00EC3651" w:rsidRDefault="00EC3651" w:rsidP="00EC3651">
      <w:pPr>
        <w:spacing w:line="480" w:lineRule="auto"/>
        <w:rPr>
          <w:rFonts w:ascii="Arial" w:hAnsi="Arial" w:cs="Arial"/>
        </w:rPr>
      </w:pPr>
    </w:p>
    <w:p w14:paraId="0231502A" w14:textId="77777777" w:rsidR="00EC3651" w:rsidRPr="00C43975" w:rsidRDefault="00EC3651" w:rsidP="00EC3651">
      <w:pPr>
        <w:autoSpaceDE w:val="0"/>
        <w:autoSpaceDN w:val="0"/>
        <w:adjustRightInd w:val="0"/>
        <w:spacing w:line="480" w:lineRule="auto"/>
        <w:jc w:val="both"/>
        <w:rPr>
          <w:rFonts w:ascii="Arial" w:hAnsi="Arial" w:cs="Arial"/>
          <w:bCs/>
        </w:rPr>
      </w:pPr>
      <w:r w:rsidRPr="00C43975">
        <w:rPr>
          <w:rFonts w:ascii="Arial" w:hAnsi="Arial" w:cs="Arial"/>
          <w:bCs/>
        </w:rPr>
        <w:t xml:space="preserve">Laura </w:t>
      </w:r>
      <w:proofErr w:type="spellStart"/>
      <w:r w:rsidRPr="00C43975">
        <w:rPr>
          <w:rFonts w:ascii="Arial" w:hAnsi="Arial" w:cs="Arial"/>
          <w:bCs/>
        </w:rPr>
        <w:t>Ferreras</w:t>
      </w:r>
      <w:proofErr w:type="spellEnd"/>
      <w:r w:rsidRPr="00C43975">
        <w:rPr>
          <w:rFonts w:ascii="Arial" w:hAnsi="Arial" w:cs="Arial"/>
          <w:bCs/>
        </w:rPr>
        <w:t>-Antolin</w:t>
      </w:r>
      <w:r>
        <w:rPr>
          <w:rFonts w:ascii="Arial" w:hAnsi="Arial" w:cs="Arial"/>
          <w:bCs/>
        </w:rPr>
        <w:t xml:space="preserve"> MD, PhD</w:t>
      </w:r>
      <w:r w:rsidRPr="00C43975">
        <w:rPr>
          <w:rFonts w:ascii="Arial" w:hAnsi="Arial" w:cs="Arial"/>
          <w:bCs/>
          <w:vertAlign w:val="superscript"/>
        </w:rPr>
        <w:t>1,3</w:t>
      </w:r>
      <w:r>
        <w:rPr>
          <w:rFonts w:ascii="Arial" w:hAnsi="Arial" w:cs="Arial"/>
          <w:bCs/>
        </w:rPr>
        <w:t>,</w:t>
      </w:r>
      <w:r w:rsidRPr="00C43975">
        <w:rPr>
          <w:rFonts w:ascii="Arial" w:hAnsi="Arial" w:cs="Arial"/>
          <w:bCs/>
        </w:rPr>
        <w:t xml:space="preserve"> Julia </w:t>
      </w:r>
      <w:proofErr w:type="spellStart"/>
      <w:r w:rsidRPr="00C43975">
        <w:rPr>
          <w:rFonts w:ascii="Arial" w:hAnsi="Arial" w:cs="Arial"/>
          <w:bCs/>
        </w:rPr>
        <w:t>Bielicki</w:t>
      </w:r>
      <w:proofErr w:type="spellEnd"/>
      <w:r>
        <w:rPr>
          <w:rFonts w:ascii="Arial" w:hAnsi="Arial" w:cs="Arial"/>
          <w:bCs/>
        </w:rPr>
        <w:t xml:space="preserve"> MD</w:t>
      </w:r>
      <w:r w:rsidRPr="00C43975">
        <w:rPr>
          <w:rFonts w:ascii="Arial" w:hAnsi="Arial" w:cs="Arial"/>
          <w:bCs/>
          <w:vertAlign w:val="superscript"/>
        </w:rPr>
        <w:t>1,2</w:t>
      </w:r>
      <w:r w:rsidRPr="00C43975">
        <w:rPr>
          <w:rFonts w:ascii="Arial" w:hAnsi="Arial" w:cs="Arial"/>
          <w:bCs/>
        </w:rPr>
        <w:t xml:space="preserve">, </w:t>
      </w:r>
      <w:proofErr w:type="spellStart"/>
      <w:r w:rsidRPr="00C43975">
        <w:rPr>
          <w:rFonts w:ascii="Arial" w:hAnsi="Arial" w:cs="Arial"/>
          <w:bCs/>
        </w:rPr>
        <w:t>Adilia</w:t>
      </w:r>
      <w:proofErr w:type="spellEnd"/>
      <w:r w:rsidRPr="00C43975">
        <w:rPr>
          <w:rFonts w:ascii="Arial" w:hAnsi="Arial" w:cs="Arial"/>
          <w:bCs/>
        </w:rPr>
        <w:t xml:space="preserve"> </w:t>
      </w:r>
      <w:proofErr w:type="spellStart"/>
      <w:r w:rsidRPr="00C43975">
        <w:rPr>
          <w:rFonts w:ascii="Arial" w:hAnsi="Arial" w:cs="Arial"/>
          <w:bCs/>
        </w:rPr>
        <w:t>Warris</w:t>
      </w:r>
      <w:proofErr w:type="spellEnd"/>
      <w:r>
        <w:rPr>
          <w:rFonts w:ascii="Arial" w:hAnsi="Arial" w:cs="Arial"/>
          <w:bCs/>
        </w:rPr>
        <w:t xml:space="preserve"> MD, PhD</w:t>
      </w:r>
      <w:r w:rsidRPr="00C43975">
        <w:rPr>
          <w:rFonts w:ascii="Arial" w:hAnsi="Arial" w:cs="Arial"/>
          <w:bCs/>
          <w:vertAlign w:val="superscript"/>
        </w:rPr>
        <w:t xml:space="preserve"> 3,4</w:t>
      </w:r>
      <w:r w:rsidRPr="00C43975">
        <w:rPr>
          <w:rFonts w:ascii="Arial" w:hAnsi="Arial" w:cs="Arial"/>
          <w:bCs/>
        </w:rPr>
        <w:t xml:space="preserve">, Mike </w:t>
      </w:r>
      <w:proofErr w:type="spellStart"/>
      <w:r w:rsidRPr="00C43975">
        <w:rPr>
          <w:rFonts w:ascii="Arial" w:hAnsi="Arial" w:cs="Arial"/>
          <w:bCs/>
        </w:rPr>
        <w:t>Sharland</w:t>
      </w:r>
      <w:proofErr w:type="spellEnd"/>
      <w:r>
        <w:rPr>
          <w:rFonts w:ascii="Arial" w:hAnsi="Arial" w:cs="Arial"/>
          <w:bCs/>
        </w:rPr>
        <w:t xml:space="preserve"> MD</w:t>
      </w:r>
      <w:r w:rsidRPr="00C43975">
        <w:rPr>
          <w:rFonts w:ascii="Arial" w:hAnsi="Arial" w:cs="Arial"/>
          <w:bCs/>
          <w:vertAlign w:val="superscript"/>
        </w:rPr>
        <w:t>1</w:t>
      </w:r>
      <w:r w:rsidRPr="00C43975">
        <w:rPr>
          <w:rFonts w:ascii="Arial" w:hAnsi="Arial" w:cs="Arial"/>
          <w:bCs/>
        </w:rPr>
        <w:t xml:space="preserve">, </w:t>
      </w:r>
      <w:proofErr w:type="spellStart"/>
      <w:r w:rsidRPr="00C43975">
        <w:rPr>
          <w:rFonts w:ascii="Arial" w:hAnsi="Arial" w:cs="Arial"/>
          <w:bCs/>
        </w:rPr>
        <w:t>Yingfen</w:t>
      </w:r>
      <w:proofErr w:type="spellEnd"/>
      <w:r w:rsidRPr="00C43975">
        <w:rPr>
          <w:rFonts w:ascii="Arial" w:hAnsi="Arial" w:cs="Arial"/>
          <w:bCs/>
        </w:rPr>
        <w:t xml:space="preserve"> Hsia</w:t>
      </w:r>
      <w:r>
        <w:rPr>
          <w:rFonts w:ascii="Arial" w:hAnsi="Arial" w:cs="Arial"/>
          <w:bCs/>
        </w:rPr>
        <w:t xml:space="preserve"> PhD</w:t>
      </w:r>
      <w:r w:rsidRPr="00C43975">
        <w:rPr>
          <w:rFonts w:ascii="Arial" w:hAnsi="Arial" w:cs="Arial"/>
          <w:bCs/>
          <w:vertAlign w:val="superscript"/>
        </w:rPr>
        <w:t xml:space="preserve">1,5 </w:t>
      </w:r>
      <w:r w:rsidRPr="00C43975">
        <w:rPr>
          <w:rFonts w:ascii="Arial" w:hAnsi="Arial" w:cs="Arial"/>
          <w:bCs/>
        </w:rPr>
        <w:t>for the GARPEC network</w:t>
      </w:r>
    </w:p>
    <w:p w14:paraId="38DD1601" w14:textId="77777777" w:rsidR="00EC3651" w:rsidRPr="00C43975" w:rsidRDefault="00EC3651" w:rsidP="00EC3651">
      <w:pPr>
        <w:autoSpaceDE w:val="0"/>
        <w:autoSpaceDN w:val="0"/>
        <w:adjustRightInd w:val="0"/>
        <w:spacing w:line="480" w:lineRule="auto"/>
        <w:jc w:val="both"/>
        <w:rPr>
          <w:rFonts w:ascii="Arial" w:hAnsi="Arial" w:cs="Arial"/>
          <w:bCs/>
        </w:rPr>
      </w:pPr>
    </w:p>
    <w:p w14:paraId="14A1E76E" w14:textId="77777777" w:rsidR="00EC3651" w:rsidRPr="00C43975" w:rsidRDefault="00EC3651" w:rsidP="00EC3651">
      <w:pPr>
        <w:pStyle w:val="ListParagraph"/>
        <w:numPr>
          <w:ilvl w:val="0"/>
          <w:numId w:val="2"/>
        </w:numPr>
        <w:spacing w:after="0" w:line="480" w:lineRule="auto"/>
        <w:ind w:left="714" w:hanging="357"/>
        <w:rPr>
          <w:rFonts w:ascii="Arial" w:eastAsia="Times New Roman" w:hAnsi="Arial" w:cs="Arial"/>
          <w:sz w:val="24"/>
          <w:szCs w:val="24"/>
        </w:rPr>
      </w:pPr>
      <w:r w:rsidRPr="00C43975">
        <w:rPr>
          <w:rFonts w:ascii="Arial" w:eastAsia="Times New Roman" w:hAnsi="Arial" w:cs="Arial"/>
          <w:color w:val="202020"/>
          <w:sz w:val="24"/>
          <w:szCs w:val="24"/>
          <w:shd w:val="clear" w:color="auto" w:fill="FFFFFF"/>
        </w:rPr>
        <w:t xml:space="preserve">Paediatric Infectious Diseases Research Group, Infection and Immunity, St George’s University of London, London, United Kingdom. </w:t>
      </w:r>
    </w:p>
    <w:p w14:paraId="223820E2" w14:textId="77777777" w:rsidR="00EC3651" w:rsidRPr="00C43975" w:rsidRDefault="00EC3651" w:rsidP="00EC3651">
      <w:pPr>
        <w:pStyle w:val="ListParagraph"/>
        <w:numPr>
          <w:ilvl w:val="0"/>
          <w:numId w:val="2"/>
        </w:numPr>
        <w:spacing w:after="0" w:line="480" w:lineRule="auto"/>
        <w:ind w:left="714" w:hanging="357"/>
        <w:rPr>
          <w:rFonts w:ascii="Arial" w:eastAsia="Times New Roman" w:hAnsi="Arial" w:cs="Arial"/>
          <w:sz w:val="24"/>
          <w:szCs w:val="24"/>
        </w:rPr>
      </w:pPr>
      <w:r w:rsidRPr="00C43975">
        <w:rPr>
          <w:rFonts w:ascii="Arial" w:eastAsia="Times New Roman" w:hAnsi="Arial" w:cs="Arial"/>
          <w:color w:val="202020"/>
          <w:sz w:val="24"/>
          <w:szCs w:val="24"/>
          <w:shd w:val="clear" w:color="auto" w:fill="FFFFFF"/>
        </w:rPr>
        <w:t>Paediatric Pharmacology Group, University of Basel Children’s Hospital, Basel, Switzerland</w:t>
      </w:r>
      <w:r w:rsidRPr="00C43975">
        <w:rPr>
          <w:rFonts w:ascii="Arial" w:eastAsia="Times New Roman" w:hAnsi="Arial" w:cs="Arial"/>
          <w:sz w:val="24"/>
          <w:szCs w:val="24"/>
        </w:rPr>
        <w:t>.</w:t>
      </w:r>
    </w:p>
    <w:p w14:paraId="5E52413C" w14:textId="77777777" w:rsidR="00EC3651" w:rsidRPr="00C43975" w:rsidRDefault="00EC3651" w:rsidP="00EC3651">
      <w:pPr>
        <w:pStyle w:val="ListParagraph"/>
        <w:numPr>
          <w:ilvl w:val="0"/>
          <w:numId w:val="2"/>
        </w:numPr>
        <w:spacing w:after="0" w:line="480" w:lineRule="auto"/>
        <w:ind w:left="714" w:hanging="357"/>
        <w:rPr>
          <w:rFonts w:ascii="Arial" w:eastAsia="Times New Roman" w:hAnsi="Arial" w:cs="Arial"/>
          <w:sz w:val="24"/>
          <w:szCs w:val="24"/>
        </w:rPr>
      </w:pPr>
      <w:r w:rsidRPr="00C43975">
        <w:rPr>
          <w:rFonts w:ascii="Arial" w:hAnsi="Arial" w:cs="Arial"/>
          <w:sz w:val="24"/>
          <w:szCs w:val="24"/>
        </w:rPr>
        <w:t xml:space="preserve">MRC Centre for Medical Mycology, University of Exeter, </w:t>
      </w:r>
      <w:r w:rsidRPr="00C43975">
        <w:rPr>
          <w:rFonts w:ascii="Arial" w:eastAsia="Times New Roman" w:hAnsi="Arial" w:cs="Arial"/>
          <w:color w:val="202020"/>
          <w:sz w:val="24"/>
          <w:szCs w:val="24"/>
          <w:shd w:val="clear" w:color="auto" w:fill="FFFFFF"/>
        </w:rPr>
        <w:t>United Kingdom</w:t>
      </w:r>
      <w:r w:rsidRPr="00C43975">
        <w:rPr>
          <w:rFonts w:ascii="Arial" w:hAnsi="Arial" w:cs="Arial"/>
          <w:sz w:val="24"/>
          <w:szCs w:val="24"/>
        </w:rPr>
        <w:t xml:space="preserve">. </w:t>
      </w:r>
    </w:p>
    <w:p w14:paraId="149D9169" w14:textId="77777777" w:rsidR="00EC3651" w:rsidRPr="00C43975" w:rsidRDefault="00EC3651" w:rsidP="00EC3651">
      <w:pPr>
        <w:pStyle w:val="ListParagraph"/>
        <w:numPr>
          <w:ilvl w:val="0"/>
          <w:numId w:val="2"/>
        </w:numPr>
        <w:spacing w:after="0" w:line="480" w:lineRule="auto"/>
        <w:ind w:left="714" w:hanging="357"/>
        <w:rPr>
          <w:rFonts w:ascii="Arial" w:eastAsia="Times New Roman" w:hAnsi="Arial" w:cs="Arial"/>
          <w:sz w:val="24"/>
          <w:szCs w:val="24"/>
        </w:rPr>
      </w:pPr>
      <w:r w:rsidRPr="00C43975">
        <w:rPr>
          <w:rFonts w:ascii="Arial" w:hAnsi="Arial" w:cs="Arial"/>
          <w:sz w:val="24"/>
          <w:szCs w:val="24"/>
        </w:rPr>
        <w:t xml:space="preserve">Paediatric Infectious Diseases, Great Ormond Street Hospital, London, </w:t>
      </w:r>
      <w:r w:rsidRPr="00C43975">
        <w:rPr>
          <w:rFonts w:ascii="Arial" w:eastAsia="Times New Roman" w:hAnsi="Arial" w:cs="Arial"/>
          <w:color w:val="202020"/>
          <w:sz w:val="24"/>
          <w:szCs w:val="24"/>
          <w:shd w:val="clear" w:color="auto" w:fill="FFFFFF"/>
        </w:rPr>
        <w:t>United Kingdom.</w:t>
      </w:r>
    </w:p>
    <w:p w14:paraId="7BE03139" w14:textId="77777777" w:rsidR="00EC3651" w:rsidRPr="00C43975" w:rsidRDefault="00EC3651" w:rsidP="00EC3651">
      <w:pPr>
        <w:pStyle w:val="ListParagraph"/>
        <w:numPr>
          <w:ilvl w:val="0"/>
          <w:numId w:val="2"/>
        </w:numPr>
        <w:spacing w:after="0" w:line="480" w:lineRule="auto"/>
        <w:ind w:left="714" w:hanging="357"/>
        <w:rPr>
          <w:rFonts w:ascii="Arial" w:eastAsia="Times New Roman" w:hAnsi="Arial" w:cs="Arial"/>
          <w:sz w:val="24"/>
          <w:szCs w:val="24"/>
        </w:rPr>
      </w:pPr>
      <w:r w:rsidRPr="00C43975">
        <w:rPr>
          <w:rFonts w:ascii="Arial" w:hAnsi="Arial" w:cs="Arial"/>
          <w:sz w:val="24"/>
          <w:szCs w:val="24"/>
        </w:rPr>
        <w:t xml:space="preserve">School of Pharmacy, Queens’ University Belfast, Belfast, United Kingdom </w:t>
      </w:r>
    </w:p>
    <w:p w14:paraId="62CD4DDE" w14:textId="77777777" w:rsidR="00EC3651" w:rsidRDefault="00EC3651" w:rsidP="00EC3651">
      <w:pPr>
        <w:spacing w:line="480" w:lineRule="auto"/>
        <w:rPr>
          <w:rFonts w:ascii="Arial" w:hAnsi="Arial" w:cs="Arial"/>
        </w:rPr>
      </w:pPr>
    </w:p>
    <w:p w14:paraId="793128B8" w14:textId="77777777" w:rsidR="00EC3651" w:rsidRPr="00C43975" w:rsidRDefault="00EC3651" w:rsidP="00EC3651">
      <w:pPr>
        <w:spacing w:line="480" w:lineRule="auto"/>
        <w:rPr>
          <w:rFonts w:ascii="Arial" w:hAnsi="Arial" w:cs="Arial"/>
        </w:rPr>
      </w:pPr>
      <w:r w:rsidRPr="00C43975">
        <w:rPr>
          <w:rFonts w:ascii="Arial" w:hAnsi="Arial" w:cs="Arial"/>
          <w:b/>
        </w:rPr>
        <w:t>Corresponding author</w:t>
      </w:r>
      <w:r w:rsidRPr="00C43975">
        <w:rPr>
          <w:rFonts w:ascii="Arial" w:hAnsi="Arial" w:cs="Arial"/>
        </w:rPr>
        <w:t xml:space="preserve">: Laura </w:t>
      </w:r>
      <w:proofErr w:type="spellStart"/>
      <w:r w:rsidRPr="00C43975">
        <w:rPr>
          <w:rFonts w:ascii="Arial" w:hAnsi="Arial" w:cs="Arial"/>
        </w:rPr>
        <w:t>Ferreras</w:t>
      </w:r>
      <w:proofErr w:type="spellEnd"/>
      <w:r w:rsidRPr="00C43975">
        <w:rPr>
          <w:rFonts w:ascii="Arial" w:hAnsi="Arial" w:cs="Arial"/>
        </w:rPr>
        <w:t>-Antolin (</w:t>
      </w:r>
      <w:hyperlink r:id="rId8" w:history="1">
        <w:r w:rsidRPr="00C43975">
          <w:rPr>
            <w:rStyle w:val="Hyperlink"/>
            <w:rFonts w:ascii="Arial" w:hAnsi="Arial" w:cs="Arial"/>
          </w:rPr>
          <w:t>laura.ferrerasantolin@nhs.net</w:t>
        </w:r>
      </w:hyperlink>
      <w:r w:rsidRPr="00C43975">
        <w:rPr>
          <w:rFonts w:ascii="Arial" w:hAnsi="Arial" w:cs="Arial"/>
        </w:rPr>
        <w:t>)</w:t>
      </w:r>
    </w:p>
    <w:p w14:paraId="6DF40A56" w14:textId="77777777" w:rsidR="00EC3651" w:rsidRPr="00C43975" w:rsidRDefault="00EC3651" w:rsidP="00EC3651">
      <w:pPr>
        <w:spacing w:line="480" w:lineRule="auto"/>
        <w:rPr>
          <w:rFonts w:ascii="Arial" w:hAnsi="Arial" w:cs="Arial"/>
          <w:color w:val="202020"/>
          <w:shd w:val="clear" w:color="auto" w:fill="FFFFFF"/>
        </w:rPr>
      </w:pPr>
    </w:p>
    <w:p w14:paraId="463D69DF" w14:textId="77777777" w:rsidR="00EC3651" w:rsidRPr="0001340A" w:rsidRDefault="00EC3651" w:rsidP="00EC3651">
      <w:pPr>
        <w:spacing w:line="480" w:lineRule="auto"/>
        <w:rPr>
          <w:rFonts w:ascii="Arial" w:hAnsi="Arial" w:cs="Arial"/>
          <w:color w:val="000000" w:themeColor="text1"/>
          <w:shd w:val="clear" w:color="auto" w:fill="FFFFFF"/>
        </w:rPr>
      </w:pPr>
      <w:r w:rsidRPr="0001340A">
        <w:rPr>
          <w:rFonts w:ascii="Arial" w:hAnsi="Arial" w:cs="Arial"/>
          <w:color w:val="000000" w:themeColor="text1"/>
          <w:shd w:val="clear" w:color="auto" w:fill="FFFFFF"/>
        </w:rPr>
        <w:t>Paediatric Infectious Diseases Research Group,</w:t>
      </w:r>
    </w:p>
    <w:p w14:paraId="3D1367C1" w14:textId="77777777" w:rsidR="00EC3651" w:rsidRPr="0001340A" w:rsidRDefault="00EC3651" w:rsidP="00EC3651">
      <w:pPr>
        <w:spacing w:line="480" w:lineRule="auto"/>
        <w:rPr>
          <w:rFonts w:ascii="Arial" w:hAnsi="Arial" w:cs="Arial"/>
          <w:color w:val="000000" w:themeColor="text1"/>
          <w:shd w:val="clear" w:color="auto" w:fill="FFFFFF"/>
        </w:rPr>
      </w:pPr>
      <w:r w:rsidRPr="0001340A">
        <w:rPr>
          <w:rFonts w:ascii="Arial" w:hAnsi="Arial" w:cs="Arial"/>
          <w:color w:val="000000" w:themeColor="text1"/>
          <w:shd w:val="clear" w:color="auto" w:fill="FFFFFF"/>
        </w:rPr>
        <w:t xml:space="preserve">Infection and Immunity, St George’s University of London, </w:t>
      </w:r>
    </w:p>
    <w:p w14:paraId="2C80257D" w14:textId="77777777" w:rsidR="00EC3651" w:rsidRPr="0001340A" w:rsidRDefault="00EC3651" w:rsidP="00EC3651">
      <w:pPr>
        <w:spacing w:line="480" w:lineRule="auto"/>
        <w:rPr>
          <w:rFonts w:ascii="Arial" w:hAnsi="Arial" w:cs="Arial"/>
          <w:color w:val="000000" w:themeColor="text1"/>
          <w:shd w:val="clear" w:color="auto" w:fill="FFFFFF"/>
        </w:rPr>
      </w:pPr>
      <w:r w:rsidRPr="0001340A">
        <w:rPr>
          <w:rFonts w:ascii="Arial" w:hAnsi="Arial" w:cs="Arial"/>
          <w:color w:val="000000" w:themeColor="text1"/>
          <w:shd w:val="clear" w:color="auto" w:fill="FFFFFF"/>
        </w:rPr>
        <w:t xml:space="preserve">London, SW17 0RE United Kingdom. </w:t>
      </w:r>
    </w:p>
    <w:p w14:paraId="4B2B0619" w14:textId="77777777" w:rsidR="00EC3651" w:rsidRPr="0001340A" w:rsidRDefault="00EC3651" w:rsidP="00EC3651">
      <w:pPr>
        <w:rPr>
          <w:rFonts w:ascii="Arial" w:hAnsi="Arial" w:cs="Arial"/>
          <w:color w:val="000000" w:themeColor="text1"/>
        </w:rPr>
      </w:pPr>
      <w:r w:rsidRPr="0001340A">
        <w:rPr>
          <w:rFonts w:ascii="Arial" w:hAnsi="Arial" w:cs="Arial"/>
          <w:color w:val="000000" w:themeColor="text1"/>
          <w:shd w:val="clear" w:color="auto" w:fill="FFFFFF"/>
        </w:rPr>
        <w:t>Telephone Tel: +44 (0)208 725 5382</w:t>
      </w:r>
    </w:p>
    <w:p w14:paraId="4C95D72E" w14:textId="77777777" w:rsidR="00EC3651" w:rsidRDefault="00EC3651" w:rsidP="00EC3651">
      <w:pPr>
        <w:spacing w:line="480" w:lineRule="auto"/>
        <w:rPr>
          <w:rFonts w:ascii="Arial" w:hAnsi="Arial" w:cs="Arial"/>
          <w:color w:val="202020"/>
          <w:shd w:val="clear" w:color="auto" w:fill="FFFFFF"/>
        </w:rPr>
      </w:pPr>
    </w:p>
    <w:p w14:paraId="2B6CE158" w14:textId="77777777" w:rsidR="00EC3651" w:rsidRPr="00C43975" w:rsidRDefault="00EC3651" w:rsidP="00EC3651">
      <w:pPr>
        <w:spacing w:line="480" w:lineRule="auto"/>
        <w:rPr>
          <w:rFonts w:ascii="Arial" w:hAnsi="Arial" w:cs="Arial"/>
        </w:rPr>
      </w:pPr>
    </w:p>
    <w:p w14:paraId="0B0DBA73" w14:textId="77777777" w:rsidR="00EC3651" w:rsidRDefault="00EC3651" w:rsidP="00EC3651">
      <w:pPr>
        <w:spacing w:line="480" w:lineRule="auto"/>
        <w:rPr>
          <w:rFonts w:ascii="Arial" w:hAnsi="Arial" w:cs="Arial"/>
        </w:rPr>
      </w:pPr>
      <w:r w:rsidRPr="00C43975">
        <w:rPr>
          <w:rFonts w:ascii="Arial" w:hAnsi="Arial" w:cs="Arial"/>
          <w:b/>
        </w:rPr>
        <w:t>Keywords</w:t>
      </w:r>
      <w:r w:rsidRPr="00C43975">
        <w:rPr>
          <w:rFonts w:ascii="Arial" w:hAnsi="Arial" w:cs="Arial"/>
        </w:rPr>
        <w:t>: neonates, children, antifungal, point prevalence survey</w:t>
      </w:r>
    </w:p>
    <w:p w14:paraId="28B67A36" w14:textId="77777777" w:rsidR="00EC3651" w:rsidRDefault="00EC3651" w:rsidP="00EC3651">
      <w:pPr>
        <w:spacing w:line="480" w:lineRule="auto"/>
        <w:rPr>
          <w:rFonts w:ascii="Arial" w:hAnsi="Arial" w:cs="Arial"/>
        </w:rPr>
      </w:pPr>
    </w:p>
    <w:p w14:paraId="7B7B3870" w14:textId="77777777" w:rsidR="00EC3651" w:rsidRDefault="00EC3651" w:rsidP="00EC3651">
      <w:pPr>
        <w:spacing w:line="480" w:lineRule="auto"/>
        <w:rPr>
          <w:rFonts w:ascii="Arial" w:hAnsi="Arial" w:cs="Arial"/>
          <w:bCs/>
        </w:rPr>
      </w:pPr>
      <w:r>
        <w:rPr>
          <w:rFonts w:ascii="Arial" w:hAnsi="Arial" w:cs="Arial"/>
          <w:b/>
        </w:rPr>
        <w:lastRenderedPageBreak/>
        <w:t>Abbreviated</w:t>
      </w:r>
      <w:r w:rsidRPr="0001340A">
        <w:rPr>
          <w:rFonts w:ascii="Arial" w:hAnsi="Arial" w:cs="Arial"/>
          <w:b/>
        </w:rPr>
        <w:t xml:space="preserve"> tittle:</w:t>
      </w:r>
      <w:r>
        <w:rPr>
          <w:rFonts w:ascii="Arial" w:hAnsi="Arial" w:cs="Arial"/>
        </w:rPr>
        <w:t xml:space="preserve"> </w:t>
      </w:r>
      <w:r w:rsidRPr="00C43975">
        <w:rPr>
          <w:rFonts w:ascii="Arial" w:hAnsi="Arial" w:cs="Arial"/>
          <w:bCs/>
        </w:rPr>
        <w:t>Global divergence of antifungal prescribing patterns</w:t>
      </w:r>
    </w:p>
    <w:p w14:paraId="41312430" w14:textId="77777777" w:rsidR="00EC3651" w:rsidRDefault="00EC3651" w:rsidP="00EC3651">
      <w:pPr>
        <w:spacing w:line="480" w:lineRule="auto"/>
        <w:rPr>
          <w:rFonts w:ascii="Arial" w:hAnsi="Arial" w:cs="Arial"/>
        </w:rPr>
      </w:pPr>
    </w:p>
    <w:p w14:paraId="154616E3" w14:textId="08D78848" w:rsidR="00EC3651" w:rsidRDefault="00EC3651" w:rsidP="00EC3651">
      <w:pPr>
        <w:spacing w:line="480" w:lineRule="auto"/>
        <w:rPr>
          <w:rFonts w:ascii="Arial" w:hAnsi="Arial" w:cs="Arial"/>
        </w:rPr>
      </w:pPr>
      <w:r w:rsidRPr="00C43975">
        <w:rPr>
          <w:rFonts w:ascii="Arial" w:hAnsi="Arial" w:cs="Arial"/>
          <w:b/>
        </w:rPr>
        <w:t xml:space="preserve">Word count: </w:t>
      </w:r>
      <w:r w:rsidRPr="00C43975">
        <w:rPr>
          <w:rFonts w:ascii="Arial" w:hAnsi="Arial" w:cs="Arial"/>
        </w:rPr>
        <w:t>2,229</w:t>
      </w:r>
    </w:p>
    <w:p w14:paraId="4F93E867" w14:textId="77777777" w:rsidR="00EC3651" w:rsidRDefault="00EC3651">
      <w:pPr>
        <w:spacing w:after="160" w:line="259" w:lineRule="auto"/>
        <w:rPr>
          <w:rFonts w:ascii="Arial" w:hAnsi="Arial" w:cs="Arial"/>
        </w:rPr>
      </w:pPr>
      <w:r>
        <w:rPr>
          <w:rFonts w:ascii="Arial" w:hAnsi="Arial" w:cs="Arial"/>
        </w:rPr>
        <w:br w:type="page"/>
      </w:r>
    </w:p>
    <w:p w14:paraId="39EB097B" w14:textId="31718E29" w:rsidR="00EC3651" w:rsidRDefault="00EC3651" w:rsidP="00EC3651">
      <w:pPr>
        <w:spacing w:line="480" w:lineRule="auto"/>
        <w:rPr>
          <w:rFonts w:ascii="Arial" w:hAnsi="Arial" w:cs="Arial"/>
          <w:b/>
        </w:rPr>
      </w:pPr>
      <w:r>
        <w:rPr>
          <w:rFonts w:ascii="Arial" w:hAnsi="Arial" w:cs="Arial"/>
          <w:b/>
        </w:rPr>
        <w:lastRenderedPageBreak/>
        <w:t>Abstract</w:t>
      </w:r>
    </w:p>
    <w:p w14:paraId="5ADBF7D3" w14:textId="77777777" w:rsidR="00EC3651" w:rsidRDefault="00EC3651" w:rsidP="00EC3651">
      <w:pPr>
        <w:pStyle w:val="NormalWeb"/>
        <w:spacing w:line="480" w:lineRule="auto"/>
        <w:rPr>
          <w:rFonts w:ascii="Arial" w:hAnsi="Arial" w:cs="Arial"/>
          <w:bCs/>
        </w:rPr>
      </w:pPr>
      <w:r>
        <w:rPr>
          <w:rFonts w:ascii="Arial" w:hAnsi="Arial" w:cs="Arial"/>
          <w:bCs/>
        </w:rPr>
        <w:t>Background</w:t>
      </w:r>
    </w:p>
    <w:p w14:paraId="43BF3909" w14:textId="77777777" w:rsidR="00EC3651" w:rsidRDefault="00EC3651" w:rsidP="00EC3651">
      <w:pPr>
        <w:pStyle w:val="NormalWeb"/>
        <w:spacing w:line="480" w:lineRule="auto"/>
        <w:rPr>
          <w:rFonts w:ascii="Arial" w:hAnsi="Arial" w:cs="Arial"/>
          <w:bCs/>
        </w:rPr>
      </w:pPr>
      <w:r w:rsidRPr="00F1573E">
        <w:rPr>
          <w:rFonts w:ascii="Arial" w:hAnsi="Arial" w:cs="Arial"/>
          <w:bCs/>
        </w:rPr>
        <w:t xml:space="preserve">Globally, invasive fungal infections (IFD) have a significant impact in human health. With an increasing paediatric population at risk of IFD, effective antifungal </w:t>
      </w:r>
      <w:r>
        <w:rPr>
          <w:rFonts w:ascii="Arial" w:hAnsi="Arial" w:cs="Arial"/>
          <w:bCs/>
        </w:rPr>
        <w:t xml:space="preserve">drugs </w:t>
      </w:r>
      <w:r w:rsidRPr="00F1573E">
        <w:rPr>
          <w:rFonts w:ascii="Arial" w:hAnsi="Arial" w:cs="Arial"/>
          <w:bCs/>
        </w:rPr>
        <w:t xml:space="preserve">access and affordability should be ensured universally. The aim of our study was to characterise the global antifungal drug use in neonates and children and its variability between countries in different income groups. </w:t>
      </w:r>
    </w:p>
    <w:p w14:paraId="19FBF0E1" w14:textId="77777777" w:rsidR="00EC3651" w:rsidRPr="00F1573E" w:rsidRDefault="00EC3651" w:rsidP="00EC3651">
      <w:pPr>
        <w:pStyle w:val="NormalWeb"/>
        <w:spacing w:line="480" w:lineRule="auto"/>
        <w:rPr>
          <w:rFonts w:ascii="Arial" w:hAnsi="Arial" w:cs="Arial"/>
          <w:bCs/>
        </w:rPr>
      </w:pPr>
      <w:r>
        <w:rPr>
          <w:rFonts w:ascii="Arial" w:hAnsi="Arial" w:cs="Arial"/>
          <w:bCs/>
        </w:rPr>
        <w:t>Methods</w:t>
      </w:r>
    </w:p>
    <w:p w14:paraId="71549CB6" w14:textId="77777777" w:rsidR="00EC3651" w:rsidRDefault="00EC3651" w:rsidP="00EC3651">
      <w:pPr>
        <w:pStyle w:val="NormalWeb"/>
        <w:spacing w:line="480" w:lineRule="auto"/>
        <w:rPr>
          <w:rFonts w:ascii="Arial" w:hAnsi="Arial" w:cs="Arial"/>
          <w:bCs/>
        </w:rPr>
      </w:pPr>
      <w:r w:rsidRPr="00F1573E">
        <w:rPr>
          <w:rFonts w:ascii="Arial" w:hAnsi="Arial" w:cs="Arial"/>
        </w:rPr>
        <w:t xml:space="preserve">Data was extracted from the </w:t>
      </w:r>
      <w:r>
        <w:rPr>
          <w:rFonts w:ascii="Arial" w:hAnsi="Arial" w:cs="Arial"/>
        </w:rPr>
        <w:t>Global Antimicrobial Resistance, Prescribing and Efficacy in Neonates and Children (</w:t>
      </w:r>
      <w:r w:rsidRPr="00F1573E">
        <w:rPr>
          <w:rFonts w:ascii="Arial" w:hAnsi="Arial" w:cs="Arial"/>
        </w:rPr>
        <w:t>GARPEC</w:t>
      </w:r>
      <w:r>
        <w:rPr>
          <w:rFonts w:ascii="Arial" w:hAnsi="Arial" w:cs="Arial"/>
        </w:rPr>
        <w:t xml:space="preserve">) </w:t>
      </w:r>
      <w:r w:rsidRPr="00F1573E">
        <w:rPr>
          <w:rFonts w:ascii="Arial" w:hAnsi="Arial" w:cs="Arial"/>
        </w:rPr>
        <w:t xml:space="preserve">PPS project, </w:t>
      </w:r>
      <w:r>
        <w:rPr>
          <w:rFonts w:ascii="Arial" w:hAnsi="Arial" w:cs="Arial"/>
        </w:rPr>
        <w:t xml:space="preserve">consisting in </w:t>
      </w:r>
      <w:r w:rsidRPr="00F1573E">
        <w:rPr>
          <w:rFonts w:ascii="Arial" w:hAnsi="Arial" w:cs="Arial"/>
        </w:rPr>
        <w:t xml:space="preserve">one pilot </w:t>
      </w:r>
      <w:r>
        <w:rPr>
          <w:rFonts w:ascii="Arial" w:hAnsi="Arial" w:cs="Arial"/>
        </w:rPr>
        <w:t>and</w:t>
      </w:r>
      <w:r w:rsidRPr="00F1573E">
        <w:rPr>
          <w:rFonts w:ascii="Arial" w:hAnsi="Arial" w:cs="Arial"/>
        </w:rPr>
        <w:t xml:space="preserve"> four 1-day PPS</w:t>
      </w:r>
      <w:r>
        <w:rPr>
          <w:rFonts w:ascii="Arial" w:hAnsi="Arial" w:cs="Arial"/>
        </w:rPr>
        <w:t xml:space="preserve"> </w:t>
      </w:r>
      <w:r w:rsidRPr="00F1573E">
        <w:rPr>
          <w:rFonts w:ascii="Arial" w:hAnsi="Arial" w:cs="Arial"/>
        </w:rPr>
        <w:t xml:space="preserve">between 2015 and 2017. </w:t>
      </w:r>
      <w:r w:rsidRPr="00F1573E">
        <w:rPr>
          <w:rFonts w:ascii="Arial" w:hAnsi="Arial" w:cs="Arial"/>
          <w:bCs/>
        </w:rPr>
        <w:t xml:space="preserve">The data </w:t>
      </w:r>
      <w:r>
        <w:rPr>
          <w:rFonts w:ascii="Arial" w:hAnsi="Arial" w:cs="Arial"/>
          <w:bCs/>
        </w:rPr>
        <w:t>had been</w:t>
      </w:r>
      <w:r w:rsidRPr="00F1573E">
        <w:rPr>
          <w:rFonts w:ascii="Arial" w:hAnsi="Arial" w:cs="Arial"/>
          <w:bCs/>
        </w:rPr>
        <w:t xml:space="preserve"> entered through a study-specific web-based data collection tool. </w:t>
      </w:r>
    </w:p>
    <w:p w14:paraId="560CDC11" w14:textId="77777777" w:rsidR="00EC3651" w:rsidRDefault="00EC3651" w:rsidP="00EC3651">
      <w:pPr>
        <w:pStyle w:val="NormalWeb"/>
        <w:spacing w:line="480" w:lineRule="auto"/>
        <w:rPr>
          <w:rFonts w:ascii="Arial" w:hAnsi="Arial" w:cs="Arial"/>
          <w:bCs/>
        </w:rPr>
      </w:pPr>
      <w:r>
        <w:rPr>
          <w:rFonts w:ascii="Arial" w:hAnsi="Arial" w:cs="Arial"/>
          <w:bCs/>
        </w:rPr>
        <w:t>Results</w:t>
      </w:r>
    </w:p>
    <w:p w14:paraId="46634C05" w14:textId="77777777" w:rsidR="00EC3651" w:rsidRDefault="00EC3651" w:rsidP="00EC3651">
      <w:pPr>
        <w:spacing w:line="480" w:lineRule="auto"/>
        <w:rPr>
          <w:rFonts w:ascii="Arial" w:hAnsi="Arial" w:cs="Arial"/>
          <w:bCs/>
        </w:rPr>
      </w:pPr>
      <w:r>
        <w:rPr>
          <w:rFonts w:ascii="Arial" w:hAnsi="Arial" w:cs="Arial"/>
        </w:rPr>
        <w:t>From a</w:t>
      </w:r>
      <w:r w:rsidRPr="00F1573E">
        <w:rPr>
          <w:rFonts w:ascii="Arial" w:hAnsi="Arial" w:cs="Arial"/>
        </w:rPr>
        <w:t xml:space="preserve"> total of 13,410 children included</w:t>
      </w:r>
      <w:r>
        <w:rPr>
          <w:rFonts w:ascii="Arial" w:hAnsi="Arial" w:cs="Arial"/>
        </w:rPr>
        <w:t>, 7.</w:t>
      </w:r>
      <w:r w:rsidRPr="00F1573E">
        <w:rPr>
          <w:rFonts w:ascii="Arial" w:hAnsi="Arial" w:cs="Arial"/>
        </w:rPr>
        <w:t>8% (1,048/13,410) received at least one systemic antifungal drug: 9.5% [95% CI (8.9%-10.1%)] in H</w:t>
      </w:r>
      <w:r>
        <w:rPr>
          <w:rFonts w:ascii="Arial" w:hAnsi="Arial" w:cs="Arial"/>
        </w:rPr>
        <w:t>igh income countries (H</w:t>
      </w:r>
      <w:r w:rsidRPr="00F1573E">
        <w:rPr>
          <w:rFonts w:ascii="Arial" w:hAnsi="Arial" w:cs="Arial"/>
        </w:rPr>
        <w:t>IC</w:t>
      </w:r>
      <w:r>
        <w:rPr>
          <w:rFonts w:ascii="Arial" w:hAnsi="Arial" w:cs="Arial"/>
        </w:rPr>
        <w:t>)</w:t>
      </w:r>
      <w:r w:rsidRPr="00F1573E">
        <w:rPr>
          <w:rFonts w:ascii="Arial" w:hAnsi="Arial" w:cs="Arial"/>
        </w:rPr>
        <w:t xml:space="preserve"> vs 5.0% [95% CI (4.4%-5.6%)] in </w:t>
      </w:r>
      <w:r>
        <w:rPr>
          <w:rFonts w:ascii="Arial" w:hAnsi="Arial" w:cs="Arial"/>
        </w:rPr>
        <w:t>Low-middle income countries (</w:t>
      </w:r>
      <w:r w:rsidRPr="00F1573E">
        <w:rPr>
          <w:rFonts w:ascii="Arial" w:hAnsi="Arial" w:cs="Arial"/>
        </w:rPr>
        <w:t>LMIC</w:t>
      </w:r>
      <w:r>
        <w:rPr>
          <w:rFonts w:ascii="Arial" w:hAnsi="Arial" w:cs="Arial"/>
        </w:rPr>
        <w:t>)</w:t>
      </w:r>
      <w:r w:rsidRPr="00F1573E">
        <w:rPr>
          <w:rFonts w:ascii="Arial" w:hAnsi="Arial" w:cs="Arial"/>
        </w:rPr>
        <w:t xml:space="preserve"> (p&lt;0.01). A significant proportion of patients </w:t>
      </w:r>
      <w:r>
        <w:rPr>
          <w:rFonts w:ascii="Arial" w:hAnsi="Arial" w:cs="Arial"/>
        </w:rPr>
        <w:t xml:space="preserve">on antifungals </w:t>
      </w:r>
      <w:r w:rsidRPr="00F1573E">
        <w:rPr>
          <w:rFonts w:ascii="Arial" w:hAnsi="Arial" w:cs="Arial"/>
        </w:rPr>
        <w:t>belonged to high</w:t>
      </w:r>
      <w:r>
        <w:rPr>
          <w:rFonts w:ascii="Arial" w:hAnsi="Arial" w:cs="Arial"/>
        </w:rPr>
        <w:t>-</w:t>
      </w:r>
      <w:r w:rsidRPr="00F1573E">
        <w:rPr>
          <w:rFonts w:ascii="Arial" w:hAnsi="Arial" w:cs="Arial"/>
        </w:rPr>
        <w:t xml:space="preserve">risk </w:t>
      </w:r>
      <w:r>
        <w:rPr>
          <w:rFonts w:ascii="Arial" w:hAnsi="Arial" w:cs="Arial"/>
        </w:rPr>
        <w:t>group for</w:t>
      </w:r>
      <w:r w:rsidRPr="00F1573E">
        <w:rPr>
          <w:rFonts w:ascii="Arial" w:hAnsi="Arial" w:cs="Arial"/>
        </w:rPr>
        <w:t xml:space="preserve"> IFD</w:t>
      </w:r>
      <w:r>
        <w:rPr>
          <w:rFonts w:ascii="Arial" w:hAnsi="Arial" w:cs="Arial"/>
        </w:rPr>
        <w:t xml:space="preserve"> </w:t>
      </w:r>
      <w:r w:rsidRPr="00F1573E">
        <w:rPr>
          <w:rFonts w:ascii="Arial" w:hAnsi="Arial" w:cs="Arial"/>
        </w:rPr>
        <w:t>(67.4%; 706/1,048)</w:t>
      </w:r>
      <w:r>
        <w:rPr>
          <w:rFonts w:ascii="Arial" w:hAnsi="Arial" w:cs="Arial"/>
        </w:rPr>
        <w:t>; m</w:t>
      </w:r>
      <w:r w:rsidRPr="00F1573E">
        <w:rPr>
          <w:rFonts w:ascii="Arial" w:hAnsi="Arial" w:cs="Arial"/>
        </w:rPr>
        <w:t xml:space="preserve">ost of </w:t>
      </w:r>
      <w:r>
        <w:rPr>
          <w:rFonts w:ascii="Arial" w:hAnsi="Arial" w:cs="Arial"/>
        </w:rPr>
        <w:t>these</w:t>
      </w:r>
      <w:r w:rsidRPr="00F1573E">
        <w:rPr>
          <w:rFonts w:ascii="Arial" w:hAnsi="Arial" w:cs="Arial"/>
        </w:rPr>
        <w:t xml:space="preserve"> </w:t>
      </w:r>
      <w:r>
        <w:rPr>
          <w:rFonts w:ascii="Arial" w:hAnsi="Arial" w:cs="Arial"/>
        </w:rPr>
        <w:t xml:space="preserve">were </w:t>
      </w:r>
      <w:r w:rsidRPr="00F1573E">
        <w:rPr>
          <w:rFonts w:ascii="Arial" w:hAnsi="Arial" w:cs="Arial"/>
        </w:rPr>
        <w:t xml:space="preserve">managed in HIC (72.8%, p&lt;0.01). </w:t>
      </w:r>
      <w:r>
        <w:rPr>
          <w:rFonts w:ascii="Arial" w:hAnsi="Arial" w:cs="Arial"/>
        </w:rPr>
        <w:t>T</w:t>
      </w:r>
      <w:r w:rsidRPr="00F1573E">
        <w:rPr>
          <w:rFonts w:ascii="Arial" w:hAnsi="Arial" w:cs="Arial"/>
        </w:rPr>
        <w:t xml:space="preserve">he likelihood of </w:t>
      </w:r>
      <w:r>
        <w:rPr>
          <w:rFonts w:ascii="Arial" w:hAnsi="Arial" w:cs="Arial"/>
        </w:rPr>
        <w:t xml:space="preserve">receiving antifungals being in high-risk group </w:t>
      </w:r>
      <w:r w:rsidRPr="00F1573E">
        <w:rPr>
          <w:rFonts w:ascii="Arial" w:hAnsi="Arial" w:cs="Arial"/>
        </w:rPr>
        <w:t>was higher in HIC compared to LMIC</w:t>
      </w:r>
      <w:r>
        <w:rPr>
          <w:rFonts w:ascii="Arial" w:hAnsi="Arial" w:cs="Arial"/>
        </w:rPr>
        <w:t xml:space="preserve"> (ratio of </w:t>
      </w:r>
      <w:r w:rsidRPr="00F1573E">
        <w:rPr>
          <w:rFonts w:ascii="Arial" w:hAnsi="Arial" w:cs="Arial"/>
        </w:rPr>
        <w:t xml:space="preserve">5.8 </w:t>
      </w:r>
      <w:r>
        <w:rPr>
          <w:rFonts w:ascii="Arial" w:hAnsi="Arial" w:cs="Arial"/>
        </w:rPr>
        <w:t>vs</w:t>
      </w:r>
      <w:r w:rsidRPr="00F1573E">
        <w:rPr>
          <w:rFonts w:ascii="Arial" w:hAnsi="Arial" w:cs="Arial"/>
        </w:rPr>
        <w:t xml:space="preserve"> 3.4</w:t>
      </w:r>
      <w:r>
        <w:rPr>
          <w:rFonts w:ascii="Arial" w:hAnsi="Arial" w:cs="Arial"/>
        </w:rPr>
        <w:t xml:space="preserve">, </w:t>
      </w:r>
      <w:r w:rsidRPr="00F1573E">
        <w:rPr>
          <w:rFonts w:ascii="Arial" w:hAnsi="Arial" w:cs="Arial"/>
        </w:rPr>
        <w:t xml:space="preserve">p&lt;0.01). </w:t>
      </w:r>
      <w:r>
        <w:rPr>
          <w:rFonts w:ascii="Arial" w:hAnsi="Arial" w:cs="Arial"/>
        </w:rPr>
        <w:t>A</w:t>
      </w:r>
      <w:r w:rsidRPr="00F1573E">
        <w:rPr>
          <w:rFonts w:ascii="Arial" w:hAnsi="Arial" w:cs="Arial"/>
        </w:rPr>
        <w:t xml:space="preserve">ntifungal prophylaxis was </w:t>
      </w:r>
      <w:r>
        <w:rPr>
          <w:rFonts w:ascii="Arial" w:hAnsi="Arial" w:cs="Arial"/>
        </w:rPr>
        <w:t xml:space="preserve">more likely </w:t>
      </w:r>
      <w:r w:rsidRPr="00F1573E">
        <w:rPr>
          <w:rFonts w:ascii="Arial" w:hAnsi="Arial" w:cs="Arial"/>
        </w:rPr>
        <w:t xml:space="preserve">prescribed in HIC [67.2% vs 30.4%, p&lt;0.01]. </w:t>
      </w:r>
      <w:r w:rsidRPr="00F1573E">
        <w:rPr>
          <w:rFonts w:ascii="Arial" w:hAnsi="Arial" w:cs="Arial"/>
          <w:bCs/>
        </w:rPr>
        <w:t xml:space="preserve">Fluconazole was the most </w:t>
      </w:r>
      <w:r>
        <w:rPr>
          <w:rFonts w:ascii="Arial" w:hAnsi="Arial" w:cs="Arial"/>
          <w:bCs/>
        </w:rPr>
        <w:lastRenderedPageBreak/>
        <w:t>frequently</w:t>
      </w:r>
      <w:r w:rsidRPr="00F1573E">
        <w:rPr>
          <w:rFonts w:ascii="Arial" w:hAnsi="Arial" w:cs="Arial"/>
          <w:bCs/>
        </w:rPr>
        <w:t xml:space="preserve"> prescribed drug. The proportional use of fluconazole was higher in LMI</w:t>
      </w:r>
      <w:r>
        <w:rPr>
          <w:rFonts w:ascii="Arial" w:hAnsi="Arial" w:cs="Arial"/>
          <w:bCs/>
        </w:rPr>
        <w:t xml:space="preserve">C compared to HIC. </w:t>
      </w:r>
    </w:p>
    <w:p w14:paraId="6A683F78" w14:textId="77777777" w:rsidR="00EC3651" w:rsidRDefault="00EC3651" w:rsidP="00EC3651">
      <w:pPr>
        <w:spacing w:line="480" w:lineRule="auto"/>
        <w:rPr>
          <w:rFonts w:ascii="Arial" w:hAnsi="Arial" w:cs="Arial"/>
          <w:bCs/>
        </w:rPr>
      </w:pPr>
    </w:p>
    <w:p w14:paraId="3C57CEC3" w14:textId="77777777" w:rsidR="00EC3651" w:rsidRPr="00384AF5" w:rsidRDefault="00EC3651" w:rsidP="00EC3651">
      <w:pPr>
        <w:spacing w:line="480" w:lineRule="auto"/>
        <w:rPr>
          <w:rFonts w:ascii="Arial" w:hAnsi="Arial" w:cs="Arial"/>
          <w:bCs/>
        </w:rPr>
      </w:pPr>
      <w:r>
        <w:rPr>
          <w:rFonts w:ascii="Arial" w:hAnsi="Arial" w:cs="Arial"/>
          <w:bCs/>
        </w:rPr>
        <w:t>Conclusions</w:t>
      </w:r>
    </w:p>
    <w:p w14:paraId="0FA3E576" w14:textId="77777777" w:rsidR="00EC3651" w:rsidRPr="00F1573E" w:rsidRDefault="00EC3651" w:rsidP="00EC3651">
      <w:pPr>
        <w:spacing w:line="480" w:lineRule="auto"/>
        <w:rPr>
          <w:rFonts w:ascii="Arial" w:hAnsi="Arial" w:cs="Arial"/>
        </w:rPr>
      </w:pPr>
      <w:r>
        <w:rPr>
          <w:rFonts w:ascii="Arial" w:hAnsi="Arial" w:cs="Arial"/>
        </w:rPr>
        <w:t>A</w:t>
      </w:r>
      <w:r w:rsidRPr="00F1573E">
        <w:rPr>
          <w:rFonts w:ascii="Arial" w:hAnsi="Arial" w:cs="Arial"/>
        </w:rPr>
        <w:t xml:space="preserve"> significant variability </w:t>
      </w:r>
      <w:r>
        <w:rPr>
          <w:rFonts w:ascii="Arial" w:hAnsi="Arial" w:cs="Arial"/>
        </w:rPr>
        <w:t xml:space="preserve">of </w:t>
      </w:r>
      <w:r w:rsidRPr="00F1573E">
        <w:rPr>
          <w:rFonts w:ascii="Arial" w:hAnsi="Arial" w:cs="Arial"/>
        </w:rPr>
        <w:t xml:space="preserve">antifungal </w:t>
      </w:r>
      <w:r>
        <w:rPr>
          <w:rFonts w:ascii="Arial" w:hAnsi="Arial" w:cs="Arial"/>
        </w:rPr>
        <w:t>prescribing patterns</w:t>
      </w:r>
      <w:r w:rsidRPr="00F1573E">
        <w:rPr>
          <w:rFonts w:ascii="Arial" w:hAnsi="Arial" w:cs="Arial"/>
        </w:rPr>
        <w:t xml:space="preserve"> was observed</w:t>
      </w:r>
      <w:r>
        <w:rPr>
          <w:rFonts w:ascii="Arial" w:hAnsi="Arial" w:cs="Arial"/>
        </w:rPr>
        <w:t>. T</w:t>
      </w:r>
      <w:r w:rsidRPr="00F1573E">
        <w:rPr>
          <w:rFonts w:ascii="Arial" w:hAnsi="Arial" w:cs="Arial"/>
        </w:rPr>
        <w:t xml:space="preserve">he proportional use of systemic antifungals was twice as high in HIC compared to LMIC. </w:t>
      </w:r>
      <w:r>
        <w:rPr>
          <w:rFonts w:ascii="Arial" w:hAnsi="Arial" w:cs="Arial"/>
        </w:rPr>
        <w:t xml:space="preserve">More detailed data on access and antifungal use in limited-resource settings should be explored.  </w:t>
      </w:r>
    </w:p>
    <w:p w14:paraId="6C678811" w14:textId="1A4CEA32" w:rsidR="00EC3651" w:rsidRDefault="00EC3651">
      <w:pPr>
        <w:spacing w:after="160" w:line="259" w:lineRule="auto"/>
        <w:rPr>
          <w:rFonts w:ascii="Arial" w:hAnsi="Arial" w:cs="Arial"/>
          <w:b/>
        </w:rPr>
      </w:pPr>
      <w:r>
        <w:rPr>
          <w:rFonts w:ascii="Arial" w:hAnsi="Arial" w:cs="Arial"/>
          <w:b/>
        </w:rPr>
        <w:br w:type="page"/>
      </w:r>
    </w:p>
    <w:p w14:paraId="7800E210" w14:textId="66D51926" w:rsidR="002D6FB9" w:rsidRPr="00C43975" w:rsidRDefault="00CB715C" w:rsidP="00C43975">
      <w:pPr>
        <w:spacing w:line="480" w:lineRule="auto"/>
        <w:rPr>
          <w:rFonts w:ascii="Arial" w:hAnsi="Arial" w:cs="Arial"/>
          <w:b/>
        </w:rPr>
      </w:pPr>
      <w:r w:rsidRPr="00C43975">
        <w:rPr>
          <w:rFonts w:ascii="Arial" w:hAnsi="Arial" w:cs="Arial"/>
          <w:b/>
        </w:rPr>
        <w:lastRenderedPageBreak/>
        <w:t>Introduction</w:t>
      </w:r>
    </w:p>
    <w:p w14:paraId="6B761935" w14:textId="77777777" w:rsidR="00254BBD" w:rsidRPr="00C43975" w:rsidRDefault="00254BBD" w:rsidP="00C43975">
      <w:pPr>
        <w:spacing w:line="480" w:lineRule="auto"/>
        <w:rPr>
          <w:rFonts w:ascii="Arial" w:hAnsi="Arial" w:cs="Arial"/>
        </w:rPr>
      </w:pPr>
    </w:p>
    <w:p w14:paraId="2CE2C7C4" w14:textId="3CD97FC9" w:rsidR="00510B11" w:rsidRPr="00C43975" w:rsidRDefault="00175594" w:rsidP="00C43975">
      <w:pPr>
        <w:spacing w:line="480" w:lineRule="auto"/>
        <w:rPr>
          <w:rFonts w:ascii="Arial" w:hAnsi="Arial" w:cs="Arial"/>
          <w:color w:val="000000" w:themeColor="text1"/>
          <w:spacing w:val="-10"/>
          <w:shd w:val="clear" w:color="auto" w:fill="FFFFFF"/>
        </w:rPr>
      </w:pPr>
      <w:r w:rsidRPr="00C43975">
        <w:rPr>
          <w:rFonts w:ascii="Arial" w:hAnsi="Arial" w:cs="Arial"/>
          <w:color w:val="000000" w:themeColor="text1"/>
          <w:spacing w:val="-10"/>
          <w:shd w:val="clear" w:color="auto" w:fill="FFFFFF"/>
        </w:rPr>
        <w:t xml:space="preserve">Globally, </w:t>
      </w:r>
      <w:r w:rsidR="00510B11" w:rsidRPr="00C43975">
        <w:rPr>
          <w:rFonts w:ascii="Arial" w:hAnsi="Arial" w:cs="Arial"/>
          <w:color w:val="000000" w:themeColor="text1"/>
          <w:spacing w:val="-10"/>
          <w:shd w:val="clear" w:color="auto" w:fill="FFFFFF"/>
        </w:rPr>
        <w:t xml:space="preserve">fungal infections </w:t>
      </w:r>
      <w:r w:rsidR="00510B11" w:rsidRPr="00C43975">
        <w:rPr>
          <w:rFonts w:ascii="Arial" w:hAnsi="Arial" w:cs="Arial"/>
          <w:color w:val="000000" w:themeColor="text1"/>
          <w:lang w:val="en-US"/>
        </w:rPr>
        <w:t xml:space="preserve">affect more than </w:t>
      </w:r>
      <w:r w:rsidR="004A59CB" w:rsidRPr="00C43975">
        <w:rPr>
          <w:rFonts w:ascii="Arial" w:hAnsi="Arial" w:cs="Arial"/>
          <w:color w:val="000000" w:themeColor="text1"/>
          <w:lang w:val="en-US"/>
        </w:rPr>
        <w:t xml:space="preserve">one </w:t>
      </w:r>
      <w:r w:rsidR="00510B11" w:rsidRPr="00C43975">
        <w:rPr>
          <w:rFonts w:ascii="Arial" w:hAnsi="Arial" w:cs="Arial"/>
          <w:color w:val="000000" w:themeColor="text1"/>
          <w:lang w:val="en-US"/>
        </w:rPr>
        <w:t>billion people, resulting in approximately 11</w:t>
      </w:r>
      <w:r w:rsidR="009B5540" w:rsidRPr="00C43975">
        <w:rPr>
          <w:rFonts w:ascii="Arial" w:hAnsi="Arial" w:cs="Arial"/>
          <w:color w:val="000000" w:themeColor="text1"/>
          <w:lang w:val="en-US"/>
        </w:rPr>
        <w:t>.</w:t>
      </w:r>
      <w:r w:rsidR="00510B11" w:rsidRPr="00C43975">
        <w:rPr>
          <w:rFonts w:ascii="Arial" w:hAnsi="Arial" w:cs="Arial"/>
          <w:color w:val="000000" w:themeColor="text1"/>
          <w:lang w:val="en-US"/>
        </w:rPr>
        <w:t>5 million life-threatening infections and more than 1</w:t>
      </w:r>
      <w:r w:rsidR="009B5540" w:rsidRPr="00C43975">
        <w:rPr>
          <w:rFonts w:ascii="Arial" w:hAnsi="Arial" w:cs="Arial"/>
          <w:color w:val="000000" w:themeColor="text1"/>
          <w:lang w:val="en-US"/>
        </w:rPr>
        <w:t>.</w:t>
      </w:r>
      <w:r w:rsidR="00510B11" w:rsidRPr="00C43975">
        <w:rPr>
          <w:rFonts w:ascii="Arial" w:hAnsi="Arial" w:cs="Arial"/>
          <w:color w:val="000000" w:themeColor="text1"/>
          <w:lang w:val="en-US"/>
        </w:rPr>
        <w:t>5 million deaths annually</w:t>
      </w:r>
      <w:r w:rsidR="00FC0A61" w:rsidRPr="00C43975">
        <w:rPr>
          <w:rFonts w:ascii="Arial" w:hAnsi="Arial" w:cs="Arial"/>
        </w:rPr>
        <w:fldChar w:fldCharType="begin" w:fldLock="1"/>
      </w:r>
      <w:r w:rsidR="00FC0A61" w:rsidRPr="00C43975">
        <w:rPr>
          <w:rFonts w:ascii="Arial" w:hAnsi="Arial" w:cs="Arial"/>
          <w:color w:val="000000" w:themeColor="text1"/>
          <w:lang w:val="en-US"/>
        </w:rPr>
        <w:instrText>ADDIN CSL_CITATION {"citationItems":[{"id":"ITEM-1","itemData":{"author":[{"dropping-particle":"","family":"GAFFI","given":"","non-dropping-particle":"","parse-names":false,"suffix":""}],"id":"ITEM-1","issued":{"date-parts":[["2015"]]},"number-of-pages":"http://www.gaffi.org/roadmap (accessed Nov 15, 201","title":"Improveing outcomes for patients with fungal infections across the World: A road map for the next decade.","type":"report"},"uris":["http://www.mendeley.com/documents/?uuid=e61bcdb9-5e1d-48a4-a255-3d5f1c84eae7"]},{"id":"ITEM-2","itemData":{"author":[{"dropping-particle":"","family":"Denning","given":"David","non-dropping-particle":"","parse-names":false,"suffix":""},{"dropping-particle":"","family":"Jugessur","given":"J","non-dropping-particle":"","parse-names":false,"suffix":""}],"container-title":"Gaffi","id":"ITEM-2","issued":{"date-parts":[["2016"]]},"number-of-pages":"1-3","title":"Hidden crisis : How 150 people die every hour from fungal infection while the world turns a blind eye","type":"report"},"uris":["http://www.mendeley.com/documents/?uuid=674f5259-4fa5-46e1-bc1e-2373dff719e9"]},{"id":"ITEM-3","itemData":{"DOI":"10.3390/jof3040057","ISSN":"2309608X","abstract":"Fungal diseases kill more than 1.5 million and affect over a billion people. However, they are still a neglected topic by public health authorities even though most deaths from fungal diseases are avoidable. Serious fungal infections occur as a consequence of other health problems including asthma, AIDS, cancer, organ transplantation and corticosteroid therapies. Early accurate diagnosis allows prompt antifungal therapy; however this is often delayed or unavailable leading to death, serious chronic illness or blindness. Recent global estimates have found 3,000,000 cases of chronic pulmonary aspergillosis, ~223,100 cases of cryptococcal meningitis complicating HIV/AIDS, ~700,000 cases of invasive candidiasis, ~500,000 cases of Pneumocystis jirovecii pneumonia, ~250,000 cases of invasive aspergillosis, ~100,000 cases of disseminated histoplasmosis, over 10,000,000 cases of fungal asthma and ~1,000,000 cases of fungal keratitis occur annually. Since 2013, the Leading International Fungal Education (LIFE) portal has facilitated the estimation of the burden of serious fungal infections country by country for over 5.7 billion people (&gt;80% of the world’s population). These studies have shown differences in the global burden between countries, within regions of the same country and between at risk populations. Here we interrogate the accuracy of these fungal infection burden estimates in the 43 published papers within the LIFE initiative.","author":[{"dropping-particle":"","family":"Bongomin","given":"Felix","non-dropping-particle":"","parse-names":false,"suffix":""},{"dropping-particle":"","family":"Gago","given":"Sara","non-dropping-particle":"","parse-names":false,"suffix":""},{"dropping-particle":"","family":"Oladele","given":"Rita O.","non-dropping-particle":"","parse-names":false,"suffix":""},{"dropping-particle":"","family":"Denning","given":"David W.","non-dropping-particle":"","parse-names":false,"suffix":""}],"container-title":"Journal of Fungi","id":"ITEM-3","issue":"4","issued":{"date-parts":[["2017"]]},"page":"1-29","title":"Global and multi-national prevalence of fungal diseases—estimate precision","type":"article-journal","volume":"3"},"uris":["http://www.mendeley.com/documents/?uuid=e7b8a55a-dd13-4284-a2a7-78c7d5c663c0"]}],"mendeley":{"formattedCitation":"&lt;sup&gt;&lt;sup&gt;1&lt;/sup&gt;–&lt;sup&gt;3&lt;/sup&gt;&lt;/sup&gt;","plainTextFormattedCitation":"1–3","previouslyFormattedCitation":"&lt;sup&gt;&lt;sup&gt;1&lt;/sup&gt;–&lt;sup&gt;3&lt;/sup&gt;&lt;/sup&gt;"},"properties":{"noteIndex":0},"schema":"https://github.com/citation-style-language/schema/raw/master/csl-citation.json"}</w:instrText>
      </w:r>
      <w:r w:rsidR="00FC0A61" w:rsidRPr="00C43975">
        <w:rPr>
          <w:rFonts w:ascii="Arial" w:hAnsi="Arial" w:cs="Arial"/>
          <w:color w:val="000000" w:themeColor="text1"/>
          <w:lang w:val="en-US"/>
        </w:rPr>
        <w:fldChar w:fldCharType="separate"/>
      </w:r>
      <w:r w:rsidR="00FC0A61" w:rsidRPr="00C43975">
        <w:rPr>
          <w:rFonts w:ascii="Arial" w:hAnsi="Arial" w:cs="Arial"/>
          <w:noProof/>
          <w:color w:val="000000" w:themeColor="text1"/>
          <w:vertAlign w:val="superscript"/>
          <w:lang w:val="en-US"/>
        </w:rPr>
        <w:t>1–3</w:t>
      </w:r>
      <w:r w:rsidR="00FC0A61" w:rsidRPr="00C43975">
        <w:rPr>
          <w:rFonts w:ascii="Arial" w:hAnsi="Arial" w:cs="Arial"/>
        </w:rPr>
        <w:fldChar w:fldCharType="end"/>
      </w:r>
      <w:r w:rsidRPr="00C43975">
        <w:rPr>
          <w:rFonts w:ascii="Arial" w:hAnsi="Arial" w:cs="Arial"/>
          <w:color w:val="000000" w:themeColor="text1"/>
          <w:spacing w:val="-10"/>
          <w:shd w:val="clear" w:color="auto" w:fill="FFFFFF"/>
        </w:rPr>
        <w:t xml:space="preserve">. </w:t>
      </w:r>
      <w:r w:rsidR="008250D1" w:rsidRPr="00C43975">
        <w:rPr>
          <w:rFonts w:ascii="Arial" w:hAnsi="Arial" w:cs="Arial"/>
          <w:color w:val="000000" w:themeColor="text1"/>
          <w:lang w:val="en-US"/>
        </w:rPr>
        <w:t>Due to a lack of routine surveillance for most fungal diseases</w:t>
      </w:r>
      <w:r w:rsidR="008250D1" w:rsidRPr="00C43975">
        <w:rPr>
          <w:rFonts w:ascii="Arial" w:hAnsi="Arial" w:cs="Arial"/>
          <w:color w:val="000000" w:themeColor="text1"/>
          <w:spacing w:val="-10"/>
          <w:shd w:val="clear" w:color="auto" w:fill="FFFFFF"/>
        </w:rPr>
        <w:t xml:space="preserve">, </w:t>
      </w:r>
      <w:r w:rsidR="007838E8" w:rsidRPr="00C43975">
        <w:rPr>
          <w:rFonts w:ascii="Arial" w:hAnsi="Arial" w:cs="Arial"/>
          <w:color w:val="000000" w:themeColor="text1"/>
          <w:spacing w:val="-10"/>
          <w:shd w:val="clear" w:color="auto" w:fill="FFFFFF"/>
        </w:rPr>
        <w:t xml:space="preserve">global data are </w:t>
      </w:r>
      <w:r w:rsidR="00BA50C9" w:rsidRPr="00C43975">
        <w:rPr>
          <w:rFonts w:ascii="Arial" w:hAnsi="Arial" w:cs="Arial"/>
          <w:color w:val="000000" w:themeColor="text1"/>
          <w:spacing w:val="-10"/>
          <w:shd w:val="clear" w:color="auto" w:fill="FFFFFF"/>
        </w:rPr>
        <w:t xml:space="preserve">broad </w:t>
      </w:r>
      <w:r w:rsidR="007838E8" w:rsidRPr="00C43975">
        <w:rPr>
          <w:rFonts w:ascii="Arial" w:hAnsi="Arial" w:cs="Arial"/>
          <w:color w:val="000000" w:themeColor="text1"/>
          <w:spacing w:val="-10"/>
          <w:shd w:val="clear" w:color="auto" w:fill="FFFFFF"/>
        </w:rPr>
        <w:t>estimates</w:t>
      </w:r>
      <w:r w:rsidR="00BA50C9" w:rsidRPr="00C43975">
        <w:rPr>
          <w:rFonts w:ascii="Arial" w:hAnsi="Arial" w:cs="Arial"/>
          <w:color w:val="000000" w:themeColor="text1"/>
          <w:spacing w:val="-10"/>
          <w:shd w:val="clear" w:color="auto" w:fill="FFFFFF"/>
        </w:rPr>
        <w:t xml:space="preserve"> and</w:t>
      </w:r>
      <w:r w:rsidR="00A24715" w:rsidRPr="00C43975">
        <w:rPr>
          <w:rFonts w:ascii="Arial" w:hAnsi="Arial" w:cs="Arial"/>
          <w:color w:val="000000" w:themeColor="text1"/>
          <w:spacing w:val="-10"/>
          <w:shd w:val="clear" w:color="auto" w:fill="FFFFFF"/>
        </w:rPr>
        <w:t xml:space="preserve"> </w:t>
      </w:r>
      <w:r w:rsidR="008250D1" w:rsidRPr="00C43975">
        <w:rPr>
          <w:rFonts w:ascii="Arial" w:hAnsi="Arial" w:cs="Arial"/>
          <w:color w:val="000000" w:themeColor="text1"/>
          <w:spacing w:val="-10"/>
          <w:shd w:val="clear" w:color="auto" w:fill="FFFFFF"/>
        </w:rPr>
        <w:t xml:space="preserve">do not address specifically the burden of </w:t>
      </w:r>
      <w:r w:rsidR="005A4EE3" w:rsidRPr="00C43975">
        <w:rPr>
          <w:rFonts w:ascii="Arial" w:hAnsi="Arial" w:cs="Arial"/>
          <w:color w:val="000000" w:themeColor="text1"/>
          <w:spacing w:val="-10"/>
          <w:shd w:val="clear" w:color="auto" w:fill="FFFFFF"/>
        </w:rPr>
        <w:t xml:space="preserve">fungal </w:t>
      </w:r>
      <w:r w:rsidR="008250D1" w:rsidRPr="00C43975">
        <w:rPr>
          <w:rFonts w:ascii="Arial" w:hAnsi="Arial" w:cs="Arial"/>
          <w:color w:val="000000" w:themeColor="text1"/>
          <w:spacing w:val="-10"/>
          <w:shd w:val="clear" w:color="auto" w:fill="FFFFFF"/>
        </w:rPr>
        <w:t>disease</w:t>
      </w:r>
      <w:r w:rsidR="005A4EE3" w:rsidRPr="00C43975">
        <w:rPr>
          <w:rFonts w:ascii="Arial" w:hAnsi="Arial" w:cs="Arial"/>
          <w:color w:val="000000" w:themeColor="text1"/>
          <w:spacing w:val="-10"/>
          <w:shd w:val="clear" w:color="auto" w:fill="FFFFFF"/>
        </w:rPr>
        <w:t>s</w:t>
      </w:r>
      <w:r w:rsidR="008250D1" w:rsidRPr="00C43975">
        <w:rPr>
          <w:rFonts w:ascii="Arial" w:hAnsi="Arial" w:cs="Arial"/>
          <w:color w:val="000000" w:themeColor="text1"/>
          <w:spacing w:val="-10"/>
          <w:shd w:val="clear" w:color="auto" w:fill="FFFFFF"/>
        </w:rPr>
        <w:t xml:space="preserve"> in </w:t>
      </w:r>
      <w:r w:rsidR="00BA50C9" w:rsidRPr="00C43975">
        <w:rPr>
          <w:rFonts w:ascii="Arial" w:hAnsi="Arial" w:cs="Arial"/>
          <w:color w:val="000000" w:themeColor="text1"/>
          <w:spacing w:val="-10"/>
          <w:shd w:val="clear" w:color="auto" w:fill="FFFFFF"/>
        </w:rPr>
        <w:t>children</w:t>
      </w:r>
      <w:r w:rsidR="30FD451A" w:rsidRPr="00C43975">
        <w:rPr>
          <w:rFonts w:ascii="Arial" w:hAnsi="Arial" w:cs="Arial"/>
          <w:color w:val="000000" w:themeColor="text1"/>
          <w:spacing w:val="-10"/>
          <w:shd w:val="clear" w:color="auto" w:fill="FFFFFF"/>
        </w:rPr>
        <w:t>,</w:t>
      </w:r>
      <w:r w:rsidR="00597648" w:rsidRPr="00C43975">
        <w:rPr>
          <w:rFonts w:ascii="Arial" w:hAnsi="Arial" w:cs="Arial"/>
          <w:color w:val="000000" w:themeColor="text1"/>
          <w:spacing w:val="-10"/>
          <w:shd w:val="clear" w:color="auto" w:fill="FFFFFF"/>
        </w:rPr>
        <w:t xml:space="preserve"> which remains </w:t>
      </w:r>
      <w:r w:rsidR="00DD4E92" w:rsidRPr="00C43975">
        <w:rPr>
          <w:rFonts w:ascii="Arial" w:hAnsi="Arial" w:cs="Arial"/>
          <w:color w:val="000000" w:themeColor="text1"/>
          <w:spacing w:val="-10"/>
          <w:shd w:val="clear" w:color="auto" w:fill="FFFFFF"/>
        </w:rPr>
        <w:t xml:space="preserve">largely </w:t>
      </w:r>
      <w:r w:rsidR="00597648" w:rsidRPr="00C43975">
        <w:rPr>
          <w:rFonts w:ascii="Arial" w:hAnsi="Arial" w:cs="Arial"/>
          <w:color w:val="000000" w:themeColor="text1"/>
          <w:spacing w:val="-10"/>
          <w:shd w:val="clear" w:color="auto" w:fill="FFFFFF"/>
        </w:rPr>
        <w:t>unknown</w:t>
      </w:r>
      <w:r w:rsidR="00FC0A61" w:rsidRPr="00C43975">
        <w:rPr>
          <w:rFonts w:ascii="Arial" w:hAnsi="Arial" w:cs="Arial"/>
        </w:rPr>
        <w:fldChar w:fldCharType="begin" w:fldLock="1"/>
      </w:r>
      <w:r w:rsidR="00FC0A61" w:rsidRPr="00C43975">
        <w:rPr>
          <w:rFonts w:ascii="Arial" w:hAnsi="Arial" w:cs="Arial"/>
          <w:color w:val="000000" w:themeColor="text1"/>
          <w:spacing w:val="-10"/>
          <w:shd w:val="clear" w:color="auto" w:fill="FFFFFF"/>
        </w:rPr>
        <w:instrText>ADDIN CSL_CITATION {"citationItems":[{"id":"ITEM-1","itemData":{"DOI":"10.3390/jof3040057","ISSN":"2309608X","abstract":"Fungal diseases kill more than 1.5 million and affect over a billion people. However, they are still a neglected topic by public health authorities even though most deaths from fungal diseases are avoidable. Serious fungal infections occur as a consequence of other health problems including asthma, AIDS, cancer, organ transplantation and corticosteroid therapies. Early accurate diagnosis allows prompt antifungal therapy; however this is often delayed or unavailable leading to death, serious chronic illness or blindness. Recent global estimates have found 3,000,000 cases of chronic pulmonary aspergillosis, ~223,100 cases of cryptococcal meningitis complicating HIV/AIDS, ~700,000 cases of invasive candidiasis, ~500,000 cases of Pneumocystis jirovecii pneumonia, ~250,000 cases of invasive aspergillosis, ~100,000 cases of disseminated histoplasmosis, over 10,000,000 cases of fungal asthma and ~1,000,000 cases of fungal keratitis occur annually. Since 2013, the Leading International Fungal Education (LIFE) portal has facilitated the estimation of the burden of serious fungal infections country by country for over 5.7 billion people (&gt;80% of the world’s population). These studies have shown differences in the global burden between countries, within regions of the same country and between at risk populations. Here we interrogate the accuracy of these fungal infection burden estimates in the 43 published papers within the LIFE initiative.","author":[{"dropping-particle":"","family":"Bongomin","given":"Felix","non-dropping-particle":"","parse-names":false,"suffix":""},{"dropping-particle":"","family":"Gago","given":"Sara","non-dropping-particle":"","parse-names":false,"suffix":""},{"dropping-particle":"","family":"Oladele","given":"Rita O.","non-dropping-particle":"","parse-names":false,"suffix":""},{"dropping-particle":"","family":"Denning","given":"David W.","non-dropping-particle":"","parse-names":false,"suffix":""}],"container-title":"Journal of Fungi","id":"ITEM-1","issue":"4","issued":{"date-parts":[["2017"]]},"page":"1-29","title":"Global and multi-national prevalence of fungal diseases—estimate precision","type":"article-journal","volume":"3"},"uris":["http://www.mendeley.com/documents/?uuid=e7b8a55a-dd13-4284-a2a7-78c7d5c663c0"]},{"id":"ITEM-2","itemData":{"abstract":"Fungal diseases are a global public health problem. Although fungal diseases can affect anyone, including travelers, they pose a serious threat to people who have weakened immune systems, such as those who have cancer or HIV/AIDS.","author":[{"dropping-particle":"","family":"CDC","given":"","non-dropping-particle":"","parse-names":false,"suffix":""}],"id":"ITEM-2","issued":{"date-parts":[["2018"]]},"title":"Global Fungal Diseases | Fungal Diseases","type":"article"},"uris":["http://www.mendeley.com/documents/?uuid=e5cb5506-d333-43d2-b102-fbf61d399066"]},{"id":"ITEM-3","itemData":{"DOI":"10.1016/j.idc.2015.10.004","ISSN":"15579824","abstract":"Fungal diseases require greater attention today than ever before, given the expanding population of immunosuppressed patients who are at higher risk for these diseases. This article reports on distribution, incidence, and prevalence of various fungal diseases and points out gaps in knowledge where such data are not available. Fungal diseases that contribute substantially to global morbidity and mortality are highlighted. Long-term, sustainable surveillance programs for fungal diseases and better noninvasive and reliable diagnostic tools are needed to estimate the burden of these diseases more accurately.","author":[{"dropping-particle":"","family":"Vallabhaneni","given":"Snigdha","non-dropping-particle":"","parse-names":false,"suffix":""},{"dropping-particle":"","family":"Mody","given":"Rajal K.","non-dropping-particle":"","parse-names":false,"suffix":""},{"dropping-particle":"","family":"Walker","given":"Tiffany","non-dropping-particle":"","parse-names":false,"suffix":""},{"dropping-particle":"","family":"Chiller","given":"Tom","non-dropping-particle":"","parse-names":false,"suffix":""}],"container-title":"Infectious Disease Clinics of North America","id":"ITEM-3","issue":"1","issued":{"date-parts":[["2016"]]},"page":"1-11","publisher":"Elsevier Inc","title":"The Global Burden of Fungal Diseases","type":"article-journal","volume":"30"},"uris":["http://www.mendeley.com/documents/?uuid=f3010449-206e-47fb-b9bd-7f7125d73c0e"]}],"mendeley":{"formattedCitation":"&lt;sup&gt;&lt;sup&gt;3&lt;/sup&gt;–&lt;sup&gt;5&lt;/sup&gt;&lt;/sup&gt;","plainTextFormattedCitation":"3–5","previouslyFormattedCitation":"&lt;sup&gt;&lt;sup&gt;3&lt;/sup&gt;–&lt;sup&gt;5&lt;/sup&gt;&lt;/sup&gt;"},"properties":{"noteIndex":0},"schema":"https://github.com/citation-style-language/schema/raw/master/csl-citation.json"}</w:instrText>
      </w:r>
      <w:r w:rsidR="00FC0A61" w:rsidRPr="00C43975">
        <w:rPr>
          <w:rFonts w:ascii="Arial" w:hAnsi="Arial" w:cs="Arial"/>
          <w:color w:val="000000" w:themeColor="text1"/>
          <w:spacing w:val="-10"/>
          <w:shd w:val="clear" w:color="auto" w:fill="FFFFFF"/>
        </w:rPr>
        <w:fldChar w:fldCharType="separate"/>
      </w:r>
      <w:r w:rsidR="00FC0A61" w:rsidRPr="00C43975">
        <w:rPr>
          <w:rFonts w:ascii="Arial" w:hAnsi="Arial" w:cs="Arial"/>
          <w:noProof/>
          <w:color w:val="000000" w:themeColor="text1"/>
          <w:spacing w:val="-10"/>
          <w:shd w:val="clear" w:color="auto" w:fill="FFFFFF"/>
          <w:vertAlign w:val="superscript"/>
        </w:rPr>
        <w:t>3–5</w:t>
      </w:r>
      <w:r w:rsidR="00FC0A61" w:rsidRPr="00C43975">
        <w:rPr>
          <w:rFonts w:ascii="Arial" w:hAnsi="Arial" w:cs="Arial"/>
        </w:rPr>
        <w:fldChar w:fldCharType="end"/>
      </w:r>
      <w:r w:rsidR="00FC0A61" w:rsidRPr="00C43975">
        <w:rPr>
          <w:rFonts w:ascii="Arial" w:hAnsi="Arial" w:cs="Arial"/>
          <w:color w:val="000000" w:themeColor="text1"/>
          <w:spacing w:val="-10"/>
          <w:shd w:val="clear" w:color="auto" w:fill="FFFFFF"/>
        </w:rPr>
        <w:t>.</w:t>
      </w:r>
      <w:r w:rsidR="00A47AA6" w:rsidRPr="00C43975">
        <w:rPr>
          <w:rFonts w:ascii="Arial" w:hAnsi="Arial" w:cs="Arial"/>
          <w:color w:val="000000" w:themeColor="text1"/>
          <w:spacing w:val="-10"/>
          <w:shd w:val="clear" w:color="auto" w:fill="FFFFFF"/>
        </w:rPr>
        <w:t xml:space="preserve"> </w:t>
      </w:r>
      <w:r w:rsidR="008250D1" w:rsidRPr="00C43975">
        <w:rPr>
          <w:rFonts w:ascii="Arial" w:hAnsi="Arial" w:cs="Arial"/>
          <w:color w:val="000000" w:themeColor="text1"/>
          <w:spacing w:val="-10"/>
          <w:shd w:val="clear" w:color="auto" w:fill="FFFFFF"/>
        </w:rPr>
        <w:t xml:space="preserve"> </w:t>
      </w:r>
    </w:p>
    <w:p w14:paraId="79B9FF19" w14:textId="77777777" w:rsidR="00EA1A29" w:rsidRDefault="00510B11" w:rsidP="00EA1A29">
      <w:pPr>
        <w:autoSpaceDE w:val="0"/>
        <w:autoSpaceDN w:val="0"/>
        <w:adjustRightInd w:val="0"/>
        <w:spacing w:line="480" w:lineRule="auto"/>
        <w:rPr>
          <w:rFonts w:ascii="Arial" w:hAnsi="Arial" w:cs="Arial"/>
          <w:color w:val="000000" w:themeColor="text1"/>
          <w:lang w:val="en-US"/>
        </w:rPr>
      </w:pPr>
      <w:r w:rsidRPr="00C43975">
        <w:rPr>
          <w:rFonts w:ascii="Arial" w:hAnsi="Arial" w:cs="Arial"/>
          <w:color w:val="000000" w:themeColor="text1"/>
          <w:lang w:val="en-US"/>
        </w:rPr>
        <w:t xml:space="preserve">There is an </w:t>
      </w:r>
      <w:r w:rsidR="005A4EE3" w:rsidRPr="00C43975">
        <w:rPr>
          <w:rFonts w:ascii="Arial" w:hAnsi="Arial" w:cs="Arial"/>
          <w:color w:val="000000" w:themeColor="text1"/>
          <w:lang w:val="en-US"/>
        </w:rPr>
        <w:t xml:space="preserve">increasing </w:t>
      </w:r>
      <w:r w:rsidRPr="00C43975">
        <w:rPr>
          <w:rFonts w:ascii="Arial" w:hAnsi="Arial" w:cs="Arial"/>
          <w:color w:val="000000" w:themeColor="text1"/>
          <w:lang w:val="en-US"/>
        </w:rPr>
        <w:t xml:space="preserve">number of </w:t>
      </w:r>
      <w:proofErr w:type="spellStart"/>
      <w:r w:rsidR="00FC0A61" w:rsidRPr="00C43975">
        <w:rPr>
          <w:rFonts w:ascii="Arial" w:hAnsi="Arial" w:cs="Arial"/>
          <w:color w:val="000000" w:themeColor="text1"/>
          <w:lang w:val="en-US"/>
        </w:rPr>
        <w:t>paediatric</w:t>
      </w:r>
      <w:proofErr w:type="spellEnd"/>
      <w:r w:rsidR="00FC0A61" w:rsidRPr="00C43975">
        <w:rPr>
          <w:rFonts w:ascii="Arial" w:hAnsi="Arial" w:cs="Arial"/>
          <w:color w:val="000000" w:themeColor="text1"/>
          <w:lang w:val="en-US"/>
        </w:rPr>
        <w:t xml:space="preserve"> </w:t>
      </w:r>
      <w:r w:rsidRPr="00C43975">
        <w:rPr>
          <w:rFonts w:ascii="Arial" w:hAnsi="Arial" w:cs="Arial"/>
          <w:color w:val="000000" w:themeColor="text1"/>
          <w:lang w:val="en-US"/>
        </w:rPr>
        <w:t xml:space="preserve">patients at risk for invasive fungal </w:t>
      </w:r>
      <w:r w:rsidR="00254BBD" w:rsidRPr="00C43975">
        <w:rPr>
          <w:rFonts w:ascii="Arial" w:hAnsi="Arial" w:cs="Arial"/>
          <w:color w:val="000000" w:themeColor="text1"/>
          <w:lang w:val="en-US"/>
        </w:rPr>
        <w:t>disease (IFD)</w:t>
      </w:r>
      <w:r w:rsidR="00A24715" w:rsidRPr="00C43975">
        <w:rPr>
          <w:rFonts w:ascii="Arial" w:hAnsi="Arial" w:cs="Arial"/>
          <w:color w:val="000000" w:themeColor="text1"/>
          <w:lang w:val="en-US"/>
        </w:rPr>
        <w:t xml:space="preserve">. This includes </w:t>
      </w:r>
      <w:r w:rsidR="00DD4E92" w:rsidRPr="00C43975">
        <w:rPr>
          <w:rFonts w:ascii="Arial" w:hAnsi="Arial" w:cs="Arial"/>
          <w:color w:val="000000" w:themeColor="text1"/>
          <w:lang w:val="en-US"/>
        </w:rPr>
        <w:t>children infected</w:t>
      </w:r>
      <w:r w:rsidRPr="00C43975">
        <w:rPr>
          <w:rFonts w:ascii="Arial" w:hAnsi="Arial" w:cs="Arial"/>
          <w:color w:val="000000" w:themeColor="text1"/>
          <w:lang w:val="en-US"/>
        </w:rPr>
        <w:t xml:space="preserve"> with human immunodeficiency virus (HIV)</w:t>
      </w:r>
      <w:r w:rsidR="00DD4E92" w:rsidRPr="00C43975">
        <w:rPr>
          <w:rFonts w:ascii="Arial" w:hAnsi="Arial" w:cs="Arial"/>
          <w:color w:val="000000" w:themeColor="text1"/>
          <w:lang w:val="en-US"/>
        </w:rPr>
        <w:t>, children suffering from</w:t>
      </w:r>
      <w:r w:rsidRPr="00C43975">
        <w:rPr>
          <w:rFonts w:ascii="Arial" w:hAnsi="Arial" w:cs="Arial"/>
          <w:color w:val="000000" w:themeColor="text1"/>
          <w:lang w:val="en-US"/>
        </w:rPr>
        <w:t xml:space="preserve"> </w:t>
      </w:r>
      <w:r w:rsidR="00DD4E92" w:rsidRPr="00C43975">
        <w:rPr>
          <w:rFonts w:ascii="Arial" w:hAnsi="Arial" w:cs="Arial"/>
          <w:color w:val="000000" w:themeColor="text1"/>
          <w:lang w:val="en-US"/>
        </w:rPr>
        <w:t xml:space="preserve">primary or secondary </w:t>
      </w:r>
      <w:r w:rsidRPr="00C43975">
        <w:rPr>
          <w:rFonts w:ascii="Arial" w:hAnsi="Arial" w:cs="Arial"/>
          <w:color w:val="000000" w:themeColor="text1"/>
          <w:lang w:val="en-US"/>
        </w:rPr>
        <w:t>immunodeficiencies</w:t>
      </w:r>
      <w:r w:rsidR="70152324" w:rsidRPr="00C43975">
        <w:rPr>
          <w:rFonts w:ascii="Arial" w:hAnsi="Arial" w:cs="Arial"/>
          <w:color w:val="000000" w:themeColor="text1"/>
          <w:lang w:val="en-US"/>
        </w:rPr>
        <w:t xml:space="preserve"> due to</w:t>
      </w:r>
      <w:r w:rsidRPr="00C43975">
        <w:rPr>
          <w:rFonts w:ascii="Arial" w:hAnsi="Arial" w:cs="Arial"/>
          <w:color w:val="000000" w:themeColor="text1"/>
          <w:lang w:val="en-US"/>
        </w:rPr>
        <w:t xml:space="preserve"> cancer</w:t>
      </w:r>
      <w:r w:rsidR="005255BA" w:rsidRPr="00C43975">
        <w:rPr>
          <w:rFonts w:ascii="Arial" w:hAnsi="Arial" w:cs="Arial"/>
          <w:color w:val="000000" w:themeColor="text1"/>
          <w:lang w:val="en-US"/>
        </w:rPr>
        <w:t>,</w:t>
      </w:r>
      <w:r w:rsidRPr="00C43975">
        <w:rPr>
          <w:rFonts w:ascii="Arial" w:hAnsi="Arial" w:cs="Arial"/>
          <w:color w:val="000000" w:themeColor="text1"/>
          <w:lang w:val="en-US"/>
        </w:rPr>
        <w:t xml:space="preserve"> immunosuppressive therapies, </w:t>
      </w:r>
      <w:r w:rsidR="005A4EE3" w:rsidRPr="00C43975">
        <w:rPr>
          <w:rFonts w:ascii="Arial" w:hAnsi="Arial" w:cs="Arial"/>
          <w:color w:val="000000" w:themeColor="text1"/>
          <w:lang w:val="en-US"/>
        </w:rPr>
        <w:t xml:space="preserve">or </w:t>
      </w:r>
      <w:r w:rsidRPr="00C43975">
        <w:rPr>
          <w:rFonts w:ascii="Arial" w:hAnsi="Arial" w:cs="Arial"/>
          <w:color w:val="000000" w:themeColor="text1"/>
          <w:lang w:val="en-US"/>
        </w:rPr>
        <w:t>premature neonates</w:t>
      </w:r>
      <w:r w:rsidR="00FC0A61" w:rsidRPr="00C43975">
        <w:rPr>
          <w:rFonts w:ascii="Arial" w:hAnsi="Arial" w:cs="Arial"/>
        </w:rPr>
        <w:fldChar w:fldCharType="begin" w:fldLock="1"/>
      </w:r>
      <w:r w:rsidR="00E51D07" w:rsidRPr="00C43975">
        <w:rPr>
          <w:rFonts w:ascii="Arial" w:hAnsi="Arial" w:cs="Arial"/>
          <w:color w:val="000000" w:themeColor="text1"/>
          <w:lang w:val="en-US"/>
        </w:rPr>
        <w:instrText>ADDIN CSL_CITATION {"citationItems":[{"id":"ITEM-1","itemData":{"DOI":"10.1016/j.idc.2015.10.004","ISSN":"15579824","abstract":"Fungal diseases require greater attention today than ever before, given the expanding population of immunosuppressed patients who are at higher risk for these diseases. This article reports on distribution, incidence, and prevalence of various fungal diseases and points out gaps in knowledge where such data are not available. Fungal diseases that contribute substantially to global morbidity and mortality are highlighted. Long-term, sustainable surveillance programs for fungal diseases and better noninvasive and reliable diagnostic tools are needed to estimate the burden of these diseases more accurately.","author":[{"dropping-particle":"","family":"Vallabhaneni","given":"Snigdha","non-dropping-particle":"","parse-names":false,"suffix":""},{"dropping-particle":"","family":"Mody","given":"Rajal K.","non-dropping-particle":"","parse-names":false,"suffix":""},{"dropping-particle":"","family":"Walker","given":"Tiffany","non-dropping-particle":"","parse-names":false,"suffix":""},{"dropping-particle":"","family":"Chiller","given":"Tom","non-dropping-particle":"","parse-names":false,"suffix":""}],"container-title":"Infectious Disease Clinics of North America","id":"ITEM-1","issue":"1","issued":{"date-parts":[["2016"]]},"page":"1-11","publisher":"Elsevier Inc","title":"The Global Burden of Fungal Diseases","type":"article-journal","volume":"30"},"uris":["http://www.mendeley.com/documents/?uuid=f3010449-206e-47fb-b9bd-7f7125d73c0e"]},{"id":"ITEM-2","itemData":{"DOI":"10.1093/jpids/pix046","author":[{"dropping-particle":"","family":"Pana","given":"Zoi Dorothea","non-dropping-particle":"","parse-names":false,"suffix":""},{"dropping-particle":"","family":"Roilides","given":"Emmanuel","non-dropping-particle":"","parse-names":false,"suffix":""},{"dropping-particle":"","family":"Warris","given":"Adilia","non-dropping-particle":"","parse-names":false,"suffix":""},{"dropping-particle":"","family":"Groll","given":"Andreas H","non-dropping-particle":"","parse-names":false,"suffix":""},{"dropping-particle":"","family":"Zaoutis","given":"Theoklis","non-dropping-particle":"","parse-names":false,"suffix":""}],"container-title":"Journal of the Pediatric Infectious Diseases Society","id":"ITEM-2","issue":"August","issued":{"date-parts":[["2018"]]},"page":"3-11","title":"Epidemiology of Invasive Fungal Disease in Children","type":"article-journal","volume":"6"},"uris":["http://www.mendeley.com/documents/?uuid=9295a0c6-9261-426c-a6cb-6bc39da02030"]}],"mendeley":{"formattedCitation":"&lt;sup&gt;&lt;sup&gt;5&lt;/sup&gt;,&lt;sup&gt;6&lt;/sup&gt;&lt;/sup&gt;","plainTextFormattedCitation":"5,6","previouslyFormattedCitation":"&lt;sup&gt;&lt;sup&gt;5&lt;/sup&gt;,&lt;sup&gt;6&lt;/sup&gt;&lt;/sup&gt;"},"properties":{"noteIndex":0},"schema":"https://github.com/citation-style-language/schema/raw/master/csl-citation.json"}</w:instrText>
      </w:r>
      <w:r w:rsidR="00FC0A61" w:rsidRPr="00C43975">
        <w:rPr>
          <w:rFonts w:ascii="Arial" w:hAnsi="Arial" w:cs="Arial"/>
          <w:color w:val="000000" w:themeColor="text1"/>
          <w:lang w:val="en-US"/>
        </w:rPr>
        <w:fldChar w:fldCharType="separate"/>
      </w:r>
      <w:r w:rsidR="00FC0A61" w:rsidRPr="00C43975">
        <w:rPr>
          <w:rFonts w:ascii="Arial" w:hAnsi="Arial" w:cs="Arial"/>
          <w:noProof/>
          <w:color w:val="000000" w:themeColor="text1"/>
          <w:vertAlign w:val="superscript"/>
          <w:lang w:val="en-US"/>
        </w:rPr>
        <w:t>5,6</w:t>
      </w:r>
      <w:r w:rsidR="00FC0A61" w:rsidRPr="00C43975">
        <w:rPr>
          <w:rFonts w:ascii="Arial" w:hAnsi="Arial" w:cs="Arial"/>
        </w:rPr>
        <w:fldChar w:fldCharType="end"/>
      </w:r>
      <w:r w:rsidRPr="00C43975">
        <w:rPr>
          <w:rFonts w:ascii="Arial" w:hAnsi="Arial" w:cs="Arial"/>
          <w:color w:val="000000" w:themeColor="text1"/>
          <w:lang w:val="en-US"/>
        </w:rPr>
        <w:t xml:space="preserve">. </w:t>
      </w:r>
      <w:r w:rsidR="005A4EE3" w:rsidRPr="00C43975">
        <w:rPr>
          <w:rFonts w:ascii="Arial" w:hAnsi="Arial" w:cs="Arial"/>
          <w:color w:val="000000" w:themeColor="text1"/>
          <w:lang w:val="en-US"/>
        </w:rPr>
        <w:t>Evidence has shown</w:t>
      </w:r>
      <w:r w:rsidR="00254BBD" w:rsidRPr="00C43975">
        <w:rPr>
          <w:rFonts w:ascii="Arial" w:hAnsi="Arial" w:cs="Arial"/>
          <w:color w:val="000000" w:themeColor="text1"/>
          <w:lang w:val="en-US"/>
        </w:rPr>
        <w:t xml:space="preserve"> that</w:t>
      </w:r>
      <w:r w:rsidR="005A4EE3" w:rsidRPr="00C43975">
        <w:rPr>
          <w:rFonts w:ascii="Arial" w:hAnsi="Arial" w:cs="Arial"/>
          <w:color w:val="000000" w:themeColor="text1"/>
          <w:lang w:val="en-US"/>
        </w:rPr>
        <w:t xml:space="preserve"> </w:t>
      </w:r>
      <w:r w:rsidR="005809D9" w:rsidRPr="00C43975">
        <w:rPr>
          <w:rFonts w:ascii="Arial" w:hAnsi="Arial" w:cs="Arial"/>
          <w:color w:val="000000" w:themeColor="text1"/>
          <w:lang w:val="en-US"/>
        </w:rPr>
        <w:t>IFD</w:t>
      </w:r>
      <w:r w:rsidR="001E7195" w:rsidRPr="00C43975">
        <w:rPr>
          <w:rFonts w:ascii="Arial" w:hAnsi="Arial" w:cs="Arial"/>
          <w:color w:val="000000" w:themeColor="text1"/>
          <w:lang w:val="en-US"/>
        </w:rPr>
        <w:t xml:space="preserve"> </w:t>
      </w:r>
      <w:r w:rsidR="007838E8" w:rsidRPr="00C43975">
        <w:rPr>
          <w:rFonts w:ascii="Arial" w:hAnsi="Arial" w:cs="Arial"/>
          <w:color w:val="000000" w:themeColor="text1"/>
          <w:lang w:val="en-US"/>
        </w:rPr>
        <w:t xml:space="preserve">is </w:t>
      </w:r>
      <w:r w:rsidR="001E7195" w:rsidRPr="00C43975">
        <w:rPr>
          <w:rFonts w:ascii="Arial" w:hAnsi="Arial" w:cs="Arial"/>
          <w:color w:val="000000" w:themeColor="text1"/>
          <w:lang w:val="en-US"/>
        </w:rPr>
        <w:t>associate</w:t>
      </w:r>
      <w:r w:rsidR="00DD4E92" w:rsidRPr="00C43975">
        <w:rPr>
          <w:rFonts w:ascii="Arial" w:hAnsi="Arial" w:cs="Arial"/>
          <w:color w:val="000000" w:themeColor="text1"/>
          <w:lang w:val="en-US"/>
        </w:rPr>
        <w:t>d with</w:t>
      </w:r>
      <w:r w:rsidR="001E7195" w:rsidRPr="00C43975">
        <w:rPr>
          <w:rFonts w:ascii="Arial" w:hAnsi="Arial" w:cs="Arial"/>
          <w:color w:val="000000" w:themeColor="text1"/>
          <w:lang w:val="en-US"/>
        </w:rPr>
        <w:t xml:space="preserve"> </w:t>
      </w:r>
      <w:r w:rsidR="553B2897" w:rsidRPr="00C43975">
        <w:rPr>
          <w:rFonts w:ascii="Arial" w:hAnsi="Arial" w:cs="Arial"/>
          <w:color w:val="000000" w:themeColor="text1"/>
          <w:lang w:val="en-US"/>
        </w:rPr>
        <w:t>considerable</w:t>
      </w:r>
      <w:r w:rsidR="00BA50C9" w:rsidRPr="00C43975">
        <w:rPr>
          <w:rFonts w:ascii="Arial" w:hAnsi="Arial" w:cs="Arial"/>
          <w:color w:val="000000" w:themeColor="text1"/>
          <w:lang w:val="en-US"/>
        </w:rPr>
        <w:t xml:space="preserve"> </w:t>
      </w:r>
      <w:r w:rsidR="005A4EE3" w:rsidRPr="00C43975">
        <w:rPr>
          <w:rFonts w:ascii="Arial" w:hAnsi="Arial" w:cs="Arial"/>
          <w:color w:val="000000" w:themeColor="text1"/>
          <w:lang w:val="en-US"/>
        </w:rPr>
        <w:t>morbidity</w:t>
      </w:r>
      <w:r w:rsidR="001E7195" w:rsidRPr="00C43975">
        <w:rPr>
          <w:rFonts w:ascii="Arial" w:hAnsi="Arial" w:cs="Arial"/>
          <w:color w:val="000000" w:themeColor="text1"/>
          <w:lang w:val="en-US"/>
        </w:rPr>
        <w:t xml:space="preserve"> and mortality</w:t>
      </w:r>
      <w:r w:rsidR="00E51D07" w:rsidRPr="00C43975">
        <w:rPr>
          <w:rFonts w:ascii="Arial" w:hAnsi="Arial" w:cs="Arial"/>
          <w:color w:val="000000" w:themeColor="text1"/>
          <w:vertAlign w:val="superscript"/>
          <w:lang w:val="en-US"/>
        </w:rPr>
        <w:fldChar w:fldCharType="begin" w:fldLock="1"/>
      </w:r>
      <w:r w:rsidR="00FA2A64" w:rsidRPr="00C43975">
        <w:rPr>
          <w:rFonts w:ascii="Arial" w:hAnsi="Arial" w:cs="Arial"/>
          <w:color w:val="000000" w:themeColor="text1"/>
          <w:vertAlign w:val="superscript"/>
          <w:lang w:val="en-US"/>
        </w:rPr>
        <w:instrText>ADDIN CSL_CITATION {"citationItems":[{"id":"ITEM-1","itemData":{"DOI":"10.1093/jpids/pix046","author":[{"dropping-particle":"","family":"Pana","given":"Zoi Dorothea","non-dropping-particle":"","parse-names":false,"suffix":""},{"dropping-particle":"","family":"Roilides","given":"Emmanuel","non-dropping-particle":"","parse-names":false,"suffix":""},{"dropping-particle":"","family":"Warris","given":"Adilia","non-dropping-particle":"","parse-names":false,"suffix":""},{"dropping-particle":"","family":"Groll","given":"Andreas H","non-dropping-particle":"","parse-names":false,"suffix":""},{"dropping-particle":"","family":"Zaoutis","given":"Theoklis","non-dropping-particle":"","parse-names":false,"suffix":""}],"container-title":"Journal of the Pediatric Infectious Diseases Society","id":"ITEM-1","issue":"August","issued":{"date-parts":[["2018"]]},"page":"3-11","title":"Epidemiology of Invasive Fungal Disease in Children","type":"article-journal","volume":"6"},"uris":["http://www.mendeley.com/documents/?uuid=9295a0c6-9261-426c-a6cb-6bc39da02030"]}],"mendeley":{"formattedCitation":"&lt;sup&gt;&lt;sup&gt;6&lt;/sup&gt;&lt;/sup&gt;","plainTextFormattedCitation":"6","previouslyFormattedCitation":"&lt;sup&gt;&lt;sup&gt;6&lt;/sup&gt;&lt;/sup&gt;"},"properties":{"noteIndex":0},"schema":"https://github.com/citation-style-language/schema/raw/master/csl-citation.json"}</w:instrText>
      </w:r>
      <w:r w:rsidR="00E51D07" w:rsidRPr="00C43975">
        <w:rPr>
          <w:rFonts w:ascii="Arial" w:hAnsi="Arial" w:cs="Arial"/>
          <w:color w:val="000000" w:themeColor="text1"/>
          <w:vertAlign w:val="superscript"/>
          <w:lang w:val="en-US"/>
        </w:rPr>
        <w:fldChar w:fldCharType="separate"/>
      </w:r>
      <w:r w:rsidR="00E51D07" w:rsidRPr="00C43975">
        <w:rPr>
          <w:rFonts w:ascii="Arial" w:hAnsi="Arial" w:cs="Arial"/>
          <w:noProof/>
          <w:color w:val="000000" w:themeColor="text1"/>
          <w:vertAlign w:val="superscript"/>
          <w:lang w:val="en-US"/>
        </w:rPr>
        <w:t>6</w:t>
      </w:r>
      <w:r w:rsidR="00E51D07" w:rsidRPr="00C43975">
        <w:rPr>
          <w:rFonts w:ascii="Arial" w:hAnsi="Arial" w:cs="Arial"/>
          <w:color w:val="000000" w:themeColor="text1"/>
          <w:vertAlign w:val="superscript"/>
          <w:lang w:val="en-US"/>
        </w:rPr>
        <w:fldChar w:fldCharType="end"/>
      </w:r>
      <w:r w:rsidR="00E51D07" w:rsidRPr="00C43975">
        <w:rPr>
          <w:rFonts w:ascii="Arial" w:hAnsi="Arial" w:cs="Arial"/>
          <w:color w:val="000000" w:themeColor="text1"/>
          <w:vertAlign w:val="superscript"/>
          <w:lang w:val="en-US"/>
        </w:rPr>
        <w:t>,</w:t>
      </w:r>
      <w:r w:rsidR="00031707" w:rsidRPr="00C43975">
        <w:rPr>
          <w:rFonts w:ascii="Arial" w:hAnsi="Arial" w:cs="Arial"/>
          <w:color w:val="000000" w:themeColor="text1"/>
          <w:vertAlign w:val="superscript"/>
          <w:lang w:val="en-US"/>
        </w:rPr>
        <w:fldChar w:fldCharType="begin" w:fldLock="1"/>
      </w:r>
      <w:r w:rsidR="00C579E5" w:rsidRPr="00C43975">
        <w:rPr>
          <w:rFonts w:ascii="Arial" w:hAnsi="Arial" w:cs="Arial"/>
          <w:color w:val="000000" w:themeColor="text1"/>
          <w:vertAlign w:val="superscript"/>
          <w:lang w:val="en-US"/>
        </w:rPr>
        <w:instrText>ADDIN CSL_CITATION {"citationItems":[{"id":"ITEM-1","itemData":{"DOI":"10.1097/INF.0000000000000101","ISBN":"0000000000000","author":[{"dropping-particle":"","family":"Castagnola","given":"Elio","non-dropping-particle":"","parse-names":false,"suffix":""},{"dropping-particle":"","family":"Bagnasco","given":"Francesca","non-dropping-particle":"","parse-names":false,"suffix":""},{"dropping-particle":"","family":"Amoroso","given":"Loredana","non-dropping-particle":"","parse-names":false,"suffix":""},{"dropping-particle":"","family":"Caviglia","given":"Ilaria","non-dropping-particle":"","parse-names":false,"suffix":""},{"dropping-particle":"","family":"Caruso","given":"Silvia","non-dropping-particle":"","parse-names":false,"suffix":""},{"dropping-particle":"","family":"Faraci","given":"Maura","non-dropping-particle":"","parse-names":false,"suffix":""},{"dropping-particle":"","family":"Calvillo","given":"Michaela","non-dropping-particle":"","parse-names":false,"suffix":""},{"dropping-particle":"","family":"Moroni","given":"Cristina","non-dropping-particle":"","parse-names":false,"suffix":""},{"dropping-particle":"","family":"Bandettini","given":"Roberto","non-dropping-particle":"","parse-names":false,"suffix":""},{"dropping-particle":"","family":"Cangemi","given":"Giuliana","non-dropping-particle":"","parse-names":false,"suffix":""},{"dropping-particle":"","family":"Magnano","given":"Gian Michele","non-dropping-particle":"","parse-names":false,"suffix":""},{"dropping-particle":"","family":"Buffa","given":"Piero","non-dropping-particle":"","parse-names":false,"suffix":""},{"dropping-particle":"","family":"Moscatelli","given":"Andrea","non-dropping-particle":"","parse-names":false,"suffix":""},{"dropping-particle":"","family":"Haupt","given":"Riccardo","non-dropping-particle":"","parse-names":false,"suffix":""}],"container-title":"The Pediatric infectious disease journal","id":"ITEM-1","issue":"3","issued":{"date-parts":[["2012"]]},"page":"233-237","title":"Role of manafement strategies in reducing mortality from invasive fungal disease in children with cancer or receiving hemopoietic stem cell transplant","type":"article-journal","volume":"33"},"uris":["http://www.mendeley.com/documents/?uuid=726dfe80-ebc1-4c1a-9442-649a1e6057d8"]}],"mendeley":{"formattedCitation":"&lt;sup&gt;&lt;sup&gt;7&lt;/sup&gt;&lt;/sup&gt;","plainTextFormattedCitation":"7","previouslyFormattedCitation":"&lt;sup&gt;&lt;sup&gt;7&lt;/sup&gt;&lt;/sup&gt;"},"properties":{"noteIndex":0},"schema":"https://github.com/citation-style-language/schema/raw/master/csl-citation.json"}</w:instrText>
      </w:r>
      <w:r w:rsidR="00031707" w:rsidRPr="00C43975">
        <w:rPr>
          <w:rFonts w:ascii="Arial" w:hAnsi="Arial" w:cs="Arial"/>
          <w:color w:val="000000" w:themeColor="text1"/>
          <w:vertAlign w:val="superscript"/>
          <w:lang w:val="en-US"/>
        </w:rPr>
        <w:fldChar w:fldCharType="separate"/>
      </w:r>
      <w:r w:rsidR="00031707" w:rsidRPr="00C43975">
        <w:rPr>
          <w:rFonts w:ascii="Arial" w:hAnsi="Arial" w:cs="Arial"/>
          <w:noProof/>
          <w:color w:val="000000" w:themeColor="text1"/>
          <w:vertAlign w:val="superscript"/>
          <w:lang w:val="en-US"/>
        </w:rPr>
        <w:t>7</w:t>
      </w:r>
      <w:r w:rsidR="00031707" w:rsidRPr="00C43975">
        <w:rPr>
          <w:rFonts w:ascii="Arial" w:hAnsi="Arial" w:cs="Arial"/>
          <w:color w:val="000000" w:themeColor="text1"/>
          <w:vertAlign w:val="superscript"/>
          <w:lang w:val="en-US"/>
        </w:rPr>
        <w:fldChar w:fldCharType="end"/>
      </w:r>
      <w:r w:rsidR="20035E30" w:rsidRPr="00C43975">
        <w:rPr>
          <w:rFonts w:ascii="Arial" w:hAnsi="Arial" w:cs="Arial"/>
          <w:color w:val="000000" w:themeColor="text1"/>
          <w:lang w:val="en-US"/>
        </w:rPr>
        <w:t>, but this varies</w:t>
      </w:r>
      <w:r w:rsidR="001E7195" w:rsidRPr="00C43975">
        <w:rPr>
          <w:rFonts w:ascii="Arial" w:hAnsi="Arial" w:cs="Arial"/>
          <w:color w:val="000000" w:themeColor="text1"/>
          <w:lang w:val="en-US"/>
        </w:rPr>
        <w:t xml:space="preserve"> due to the differences</w:t>
      </w:r>
      <w:r w:rsidR="00F1193C" w:rsidRPr="00C43975">
        <w:rPr>
          <w:rFonts w:ascii="Arial" w:hAnsi="Arial" w:cs="Arial"/>
          <w:color w:val="000000" w:themeColor="text1"/>
          <w:lang w:val="en-US"/>
        </w:rPr>
        <w:t xml:space="preserve"> </w:t>
      </w:r>
      <w:r w:rsidR="001E7195" w:rsidRPr="00C43975">
        <w:rPr>
          <w:rFonts w:ascii="Arial" w:hAnsi="Arial" w:cs="Arial"/>
          <w:color w:val="000000" w:themeColor="text1"/>
          <w:lang w:val="en-US"/>
        </w:rPr>
        <w:t xml:space="preserve">in availability of resources to </w:t>
      </w:r>
      <w:r w:rsidR="00BA50C9" w:rsidRPr="00C43975">
        <w:rPr>
          <w:rFonts w:ascii="Arial" w:hAnsi="Arial" w:cs="Arial"/>
          <w:color w:val="000000" w:themeColor="text1"/>
          <w:lang w:val="en-US"/>
        </w:rPr>
        <w:t xml:space="preserve">diagnose and </w:t>
      </w:r>
      <w:r w:rsidR="001E7195" w:rsidRPr="00C43975">
        <w:rPr>
          <w:rFonts w:ascii="Arial" w:hAnsi="Arial" w:cs="Arial"/>
          <w:color w:val="000000" w:themeColor="text1"/>
          <w:lang w:val="en-US"/>
        </w:rPr>
        <w:t xml:space="preserve">manage </w:t>
      </w:r>
      <w:r w:rsidR="00254BBD" w:rsidRPr="00C43975">
        <w:rPr>
          <w:rFonts w:ascii="Arial" w:hAnsi="Arial" w:cs="Arial"/>
          <w:color w:val="000000" w:themeColor="text1"/>
          <w:lang w:val="en-US"/>
        </w:rPr>
        <w:t>IFD</w:t>
      </w:r>
      <w:r w:rsidR="00FC0A61" w:rsidRPr="00C43975">
        <w:rPr>
          <w:rFonts w:ascii="Arial" w:hAnsi="Arial" w:cs="Arial"/>
        </w:rPr>
        <w:fldChar w:fldCharType="begin" w:fldLock="1"/>
      </w:r>
      <w:r w:rsidR="00FA2A64" w:rsidRPr="00C43975">
        <w:rPr>
          <w:rFonts w:ascii="Arial" w:hAnsi="Arial" w:cs="Arial"/>
          <w:color w:val="000000" w:themeColor="text1"/>
          <w:lang w:val="en-US"/>
        </w:rPr>
        <w:instrText>ADDIN CSL_CITATION {"citationItems":[{"id":"ITEM-1","itemData":{"DOI":"10.1016/S1473-3099(17)30319-5","ISSN":"14744457","author":[{"dropping-particle":"","family":"Tudela","given":"Juan Luis Rodríguez","non-dropping-particle":"","parse-names":false,"suffix":""},{"dropping-particle":"","family":"Denning","given":"David W.","non-dropping-particle":"","parse-names":false,"suffix":""}],"container-title":"The Lancet Infectious Diseases","id":"ITEM-1","issue":"11","issued":{"date-parts":[["2017"]]},"page":"1111-1113","title":"Recovery from serious fungal infections should be realisable for everyone","type":"article-journal","volume":"17"},"uris":["http://www.mendeley.com/documents/?uuid=b747e712-db78-4527-ac9c-445dfdeec3eb"]}],"mendeley":{"formattedCitation":"&lt;sup&gt;&lt;sup&gt;8&lt;/sup&gt;&lt;/sup&gt;","plainTextFormattedCitation":"8","previouslyFormattedCitation":"&lt;sup&gt;&lt;sup&gt;8&lt;/sup&gt;&lt;/sup&gt;"},"properties":{"noteIndex":0},"schema":"https://github.com/citation-style-language/schema/raw/master/csl-citation.json"}</w:instrText>
      </w:r>
      <w:r w:rsidR="00FC0A61" w:rsidRPr="00C43975">
        <w:rPr>
          <w:rFonts w:ascii="Arial" w:hAnsi="Arial" w:cs="Arial"/>
          <w:color w:val="000000" w:themeColor="text1"/>
          <w:lang w:val="en-US"/>
        </w:rPr>
        <w:fldChar w:fldCharType="separate"/>
      </w:r>
      <w:r w:rsidR="00E51D07" w:rsidRPr="00C43975">
        <w:rPr>
          <w:rFonts w:ascii="Arial" w:hAnsi="Arial" w:cs="Arial"/>
          <w:noProof/>
          <w:color w:val="000000" w:themeColor="text1"/>
          <w:vertAlign w:val="superscript"/>
          <w:lang w:val="en-US"/>
        </w:rPr>
        <w:t>8</w:t>
      </w:r>
      <w:r w:rsidR="00FC0A61" w:rsidRPr="00C43975">
        <w:rPr>
          <w:rFonts w:ascii="Arial" w:hAnsi="Arial" w:cs="Arial"/>
        </w:rPr>
        <w:fldChar w:fldCharType="end"/>
      </w:r>
      <w:r w:rsidR="00FC0A61" w:rsidRPr="00C43975">
        <w:rPr>
          <w:rFonts w:ascii="Arial" w:hAnsi="Arial" w:cs="Arial"/>
          <w:color w:val="000000" w:themeColor="text1"/>
          <w:lang w:val="en-US"/>
        </w:rPr>
        <w:t>.</w:t>
      </w:r>
      <w:r w:rsidR="001E7195" w:rsidRPr="00C43975">
        <w:rPr>
          <w:rFonts w:ascii="Arial" w:hAnsi="Arial" w:cs="Arial"/>
          <w:color w:val="000000" w:themeColor="text1"/>
          <w:lang w:val="en-US"/>
        </w:rPr>
        <w:t xml:space="preserve"> </w:t>
      </w:r>
    </w:p>
    <w:p w14:paraId="0A85A3E4" w14:textId="7444428D" w:rsidR="00462518" w:rsidRPr="00EA1A29" w:rsidRDefault="00CF64A8" w:rsidP="00EA1A29">
      <w:pPr>
        <w:autoSpaceDE w:val="0"/>
        <w:autoSpaceDN w:val="0"/>
        <w:adjustRightInd w:val="0"/>
        <w:spacing w:line="480" w:lineRule="auto"/>
        <w:rPr>
          <w:rFonts w:ascii="Arial" w:hAnsi="Arial" w:cs="Arial"/>
          <w:color w:val="000000" w:themeColor="text1"/>
          <w:lang w:val="en-US"/>
        </w:rPr>
      </w:pPr>
      <w:r w:rsidRPr="00C43975">
        <w:rPr>
          <w:rFonts w:ascii="Arial" w:hAnsi="Arial" w:cs="Arial"/>
          <w:color w:val="000000" w:themeColor="text1"/>
        </w:rPr>
        <w:t xml:space="preserve">Effective antifungal drugs </w:t>
      </w:r>
      <w:r w:rsidR="60078C92" w:rsidRPr="00C43975">
        <w:rPr>
          <w:rFonts w:ascii="Arial" w:hAnsi="Arial" w:cs="Arial"/>
          <w:color w:val="000000" w:themeColor="text1"/>
        </w:rPr>
        <w:t xml:space="preserve">may </w:t>
      </w:r>
      <w:r w:rsidRPr="00C43975">
        <w:rPr>
          <w:rFonts w:ascii="Arial" w:hAnsi="Arial" w:cs="Arial"/>
          <w:color w:val="000000" w:themeColor="text1"/>
        </w:rPr>
        <w:t xml:space="preserve">not </w:t>
      </w:r>
      <w:r w:rsidR="60078C92" w:rsidRPr="00C43975">
        <w:rPr>
          <w:rFonts w:ascii="Arial" w:hAnsi="Arial" w:cs="Arial"/>
          <w:color w:val="000000" w:themeColor="text1"/>
        </w:rPr>
        <w:t xml:space="preserve">be </w:t>
      </w:r>
      <w:r w:rsidRPr="00C43975">
        <w:rPr>
          <w:rFonts w:ascii="Arial" w:hAnsi="Arial" w:cs="Arial"/>
          <w:color w:val="000000" w:themeColor="text1"/>
        </w:rPr>
        <w:t xml:space="preserve">accessible </w:t>
      </w:r>
      <w:r w:rsidR="60078C92" w:rsidRPr="00C43975">
        <w:rPr>
          <w:rFonts w:ascii="Arial" w:hAnsi="Arial" w:cs="Arial"/>
          <w:color w:val="000000" w:themeColor="text1"/>
        </w:rPr>
        <w:t>or</w:t>
      </w:r>
      <w:r w:rsidRPr="00C43975">
        <w:rPr>
          <w:rFonts w:ascii="Arial" w:hAnsi="Arial" w:cs="Arial"/>
          <w:color w:val="000000" w:themeColor="text1"/>
        </w:rPr>
        <w:t xml:space="preserve"> </w:t>
      </w:r>
      <w:r w:rsidR="60078C92" w:rsidRPr="00C43975">
        <w:rPr>
          <w:rFonts w:ascii="Arial" w:hAnsi="Arial" w:cs="Arial"/>
          <w:color w:val="000000" w:themeColor="text1"/>
        </w:rPr>
        <w:t>a</w:t>
      </w:r>
      <w:r w:rsidRPr="00C43975">
        <w:rPr>
          <w:rFonts w:ascii="Arial" w:hAnsi="Arial" w:cs="Arial"/>
          <w:color w:val="000000" w:themeColor="text1"/>
        </w:rPr>
        <w:t>ffordable in many countries</w:t>
      </w:r>
      <w:r w:rsidR="004F02CC" w:rsidRPr="00C43975">
        <w:rPr>
          <w:rFonts w:ascii="Arial" w:hAnsi="Arial" w:cs="Arial"/>
          <w:color w:val="000000" w:themeColor="text1"/>
        </w:rPr>
        <w:t xml:space="preserve"> especially </w:t>
      </w:r>
      <w:r w:rsidR="00CF6BAE" w:rsidRPr="00C43975">
        <w:rPr>
          <w:rFonts w:ascii="Arial" w:hAnsi="Arial" w:cs="Arial"/>
          <w:color w:val="000000" w:themeColor="text1"/>
        </w:rPr>
        <w:t>in l</w:t>
      </w:r>
      <w:r w:rsidR="00BA50C9" w:rsidRPr="00C43975">
        <w:rPr>
          <w:rFonts w:ascii="Arial" w:hAnsi="Arial" w:cs="Arial"/>
          <w:color w:val="000000" w:themeColor="text1"/>
        </w:rPr>
        <w:t xml:space="preserve">ow </w:t>
      </w:r>
      <w:r w:rsidR="00547126" w:rsidRPr="00C43975">
        <w:rPr>
          <w:rFonts w:ascii="Arial" w:hAnsi="Arial" w:cs="Arial"/>
          <w:color w:val="000000" w:themeColor="text1"/>
        </w:rPr>
        <w:t xml:space="preserve">and </w:t>
      </w:r>
      <w:r w:rsidR="00BA50C9" w:rsidRPr="00C43975">
        <w:rPr>
          <w:rFonts w:ascii="Arial" w:hAnsi="Arial" w:cs="Arial"/>
          <w:color w:val="000000" w:themeColor="text1"/>
        </w:rPr>
        <w:t>middle income countries (LMIC)</w:t>
      </w:r>
      <w:r w:rsidR="004F02CC" w:rsidRPr="00C43975">
        <w:rPr>
          <w:rFonts w:ascii="Arial" w:hAnsi="Arial" w:cs="Arial"/>
          <w:color w:val="000000" w:themeColor="text1"/>
        </w:rPr>
        <w:t xml:space="preserve"> </w:t>
      </w:r>
      <w:r w:rsidR="00FC0A61" w:rsidRPr="00C43975">
        <w:rPr>
          <w:rFonts w:ascii="Arial" w:hAnsi="Arial" w:cs="Arial"/>
        </w:rPr>
        <w:fldChar w:fldCharType="begin" w:fldLock="1"/>
      </w:r>
      <w:r w:rsidR="00FA2A64" w:rsidRPr="00C43975">
        <w:rPr>
          <w:rFonts w:ascii="Arial" w:hAnsi="Arial" w:cs="Arial"/>
          <w:color w:val="000000" w:themeColor="text1"/>
        </w:rPr>
        <w:instrText>ADDIN CSL_CITATION {"citationItems":[{"id":"ITEM-1","itemData":{"author":[{"dropping-particle":"","family":"GAFFI","given":"","non-dropping-particle":"","parse-names":false,"suffix":""}],"id":"ITEM-1","issued":{"date-parts":[["2015"]]},"number-of-pages":"http://www.gaffi.org/roadmap (accessed Nov 15, 201","title":"Improveing outcomes for patients with fungal infections across the World: A road map for the next decade.","type":"report"},"uris":["http://www.mendeley.com/documents/?uuid=e61bcdb9-5e1d-48a4-a255-3d5f1c84eae7"]},{"id":"ITEM-2","itemData":{"DOI":"10.1093/jac/dkw325","ISSN":"14602091","abstract":"Background: Antifungal therapy saves lives, if given early in life-threatening invasive infection, and also greatly reduces morbidity in hundreds of millions of patients worldwide. Objectives: We have partially mapped by country systemic generic antifungal drug registration, availability and daily cost for intravenous deoxycholate amphotericin B (50 mg), flucytosine (5 g), oral fluconazole (750-800 mg) and oral itraconazole (400 mg). Methods: Multiple publically available resources and local country contacts provided data for 159 countries with populations.1 million. Results: Amphotericin B is not licensed in and unavailable in 22 of 155 (14.2%) and 42 of 155 (27.1%) countries, respectively, representing an unserved population of 481 million. The daily price of deoxycholate amphotericin B varied from, $1 to $171. Fluconazole was licensed in all 141 (88.6%) countries for which data were available although 2 countries appear wholly dependent on the Diflucanw Partnership Program, which is restricted to HIV/AIDS patients. The daily price of fluconazole varied from, $1 to $31. Itraconazole is not licensed in and unavailable in at least 3 of 123 (2.4%) and 5 of 125 (4.0%) countries, respectively, representing an unserved population of at least 78 million. The daily price of itraconazole varied from, $1 to $102. Flucytosine is not licensed in and is unavailable in 89 of 125 (71.2%) and 95 of 125 (76.0%) countries, respectively, representing an unserved population of 2898 million. The daily price of flucytosine varied from $4.60 to $1409. Conclusions: National governments without access to antifungal drugs should address this health system deficiency urgently to improve clinical outcomes from serious fungal disease. The variability in the price of antifungals between countries is striking.","author":[{"dropping-particle":"","family":"Kneale","given":"Matthew","non-dropping-particle":"","parse-names":false,"suffix":""},{"dropping-particle":"","family":"Bartholomew","given":"Jennifer S.","non-dropping-particle":"","parse-names":false,"suffix":""},{"dropping-particle":"","family":"Davies","given":"Emma","non-dropping-particle":"","parse-names":false,"suffix":""},{"dropping-particle":"","family":"Denning","given":"David W.","non-dropping-particle":"","parse-names":false,"suffix":""}],"container-title":"Journal of Antimicrobial Chemotherapy","id":"ITEM-2","issue":"12","issued":{"date-parts":[["2016"]]},"page":"3599-3606","title":"Global access to antifungal therapy and its variable cost","type":"article-journal","volume":"71"},"uris":["http://www.mendeley.com/documents/?uuid=b8c884c7-bb2c-4025-b0e8-8ba7bf74e1a5"]}],"mendeley":{"formattedCitation":"&lt;sup&gt;&lt;sup&gt;1&lt;/sup&gt;,&lt;sup&gt;9&lt;/sup&gt;&lt;/sup&gt;","plainTextFormattedCitation":"1,9","previouslyFormattedCitation":"&lt;sup&gt;&lt;sup&gt;1&lt;/sup&gt;,&lt;sup&gt;9&lt;/sup&gt;&lt;/sup&gt;"},"properties":{"noteIndex":0},"schema":"https://github.com/citation-style-language/schema/raw/master/csl-citation.json"}</w:instrText>
      </w:r>
      <w:r w:rsidR="00FC0A61" w:rsidRPr="00C43975">
        <w:rPr>
          <w:rFonts w:ascii="Arial" w:hAnsi="Arial" w:cs="Arial"/>
          <w:color w:val="000000" w:themeColor="text1"/>
        </w:rPr>
        <w:fldChar w:fldCharType="separate"/>
      </w:r>
      <w:r w:rsidR="00E51D07" w:rsidRPr="00C43975">
        <w:rPr>
          <w:rFonts w:ascii="Arial" w:hAnsi="Arial" w:cs="Arial"/>
          <w:noProof/>
          <w:color w:val="000000" w:themeColor="text1"/>
          <w:vertAlign w:val="superscript"/>
        </w:rPr>
        <w:t>1,9</w:t>
      </w:r>
      <w:r w:rsidR="00FC0A61" w:rsidRPr="00C43975">
        <w:rPr>
          <w:rFonts w:ascii="Arial" w:hAnsi="Arial" w:cs="Arial"/>
        </w:rPr>
        <w:fldChar w:fldCharType="end"/>
      </w:r>
      <w:r w:rsidRPr="00C43975">
        <w:rPr>
          <w:rFonts w:ascii="Arial" w:hAnsi="Arial" w:cs="Arial"/>
          <w:color w:val="000000" w:themeColor="text1"/>
        </w:rPr>
        <w:t xml:space="preserve">. </w:t>
      </w:r>
      <w:r w:rsidR="003457F4" w:rsidRPr="00C43975">
        <w:rPr>
          <w:rFonts w:ascii="Arial" w:hAnsi="Arial" w:cs="Arial"/>
          <w:color w:val="000000" w:themeColor="text1"/>
        </w:rPr>
        <w:t>Moreover</w:t>
      </w:r>
      <w:r w:rsidRPr="00C43975">
        <w:rPr>
          <w:rFonts w:ascii="Arial" w:hAnsi="Arial" w:cs="Arial"/>
          <w:color w:val="000000" w:themeColor="text1"/>
        </w:rPr>
        <w:t xml:space="preserve">, antifungal </w:t>
      </w:r>
      <w:r w:rsidR="004F5E4A" w:rsidRPr="00C43975">
        <w:rPr>
          <w:rFonts w:ascii="Arial" w:hAnsi="Arial" w:cs="Arial"/>
          <w:color w:val="000000" w:themeColor="text1"/>
        </w:rPr>
        <w:t xml:space="preserve">drug </w:t>
      </w:r>
      <w:r w:rsidR="00597648" w:rsidRPr="00C43975">
        <w:rPr>
          <w:rFonts w:ascii="Arial" w:hAnsi="Arial" w:cs="Arial"/>
          <w:color w:val="000000" w:themeColor="text1"/>
        </w:rPr>
        <w:t>use in children present</w:t>
      </w:r>
      <w:r w:rsidR="003457F4" w:rsidRPr="00C43975">
        <w:rPr>
          <w:rFonts w:ascii="Arial" w:hAnsi="Arial" w:cs="Arial"/>
          <w:color w:val="000000" w:themeColor="text1"/>
        </w:rPr>
        <w:t>s its own limitations</w:t>
      </w:r>
      <w:r w:rsidR="00597648" w:rsidRPr="00C43975">
        <w:rPr>
          <w:rFonts w:ascii="Arial" w:hAnsi="Arial" w:cs="Arial"/>
          <w:color w:val="000000" w:themeColor="text1"/>
        </w:rPr>
        <w:t xml:space="preserve"> </w:t>
      </w:r>
      <w:r w:rsidR="003457F4" w:rsidRPr="00C43975">
        <w:rPr>
          <w:rFonts w:ascii="Arial" w:hAnsi="Arial" w:cs="Arial"/>
          <w:color w:val="000000" w:themeColor="text1"/>
        </w:rPr>
        <w:t xml:space="preserve">such </w:t>
      </w:r>
      <w:r w:rsidR="009B5540" w:rsidRPr="00C43975">
        <w:rPr>
          <w:rFonts w:ascii="Arial" w:hAnsi="Arial" w:cs="Arial"/>
          <w:color w:val="000000" w:themeColor="text1"/>
        </w:rPr>
        <w:t>a</w:t>
      </w:r>
      <w:r w:rsidR="003457F4" w:rsidRPr="00C43975">
        <w:rPr>
          <w:rFonts w:ascii="Arial" w:hAnsi="Arial" w:cs="Arial"/>
          <w:color w:val="000000" w:themeColor="text1"/>
        </w:rPr>
        <w:t xml:space="preserve">s </w:t>
      </w:r>
      <w:r w:rsidR="005A4EE3" w:rsidRPr="00C43975">
        <w:rPr>
          <w:rFonts w:ascii="Arial" w:hAnsi="Arial" w:cs="Arial"/>
          <w:color w:val="000000" w:themeColor="text1"/>
        </w:rPr>
        <w:t xml:space="preserve">lack of </w:t>
      </w:r>
      <w:r w:rsidR="60078C92" w:rsidRPr="00C43975">
        <w:rPr>
          <w:rFonts w:ascii="Arial" w:hAnsi="Arial" w:cs="Arial"/>
          <w:color w:val="000000" w:themeColor="text1"/>
        </w:rPr>
        <w:t>child-</w:t>
      </w:r>
      <w:r w:rsidR="005A4EE3" w:rsidRPr="00C43975">
        <w:rPr>
          <w:rFonts w:ascii="Arial" w:hAnsi="Arial" w:cs="Arial"/>
          <w:color w:val="000000" w:themeColor="text1"/>
        </w:rPr>
        <w:t xml:space="preserve">appropriate </w:t>
      </w:r>
      <w:r w:rsidRPr="00C43975">
        <w:rPr>
          <w:rFonts w:ascii="Arial" w:hAnsi="Arial" w:cs="Arial"/>
          <w:color w:val="000000" w:themeColor="text1"/>
        </w:rPr>
        <w:t>formulation</w:t>
      </w:r>
      <w:r w:rsidR="00597648" w:rsidRPr="00C43975">
        <w:rPr>
          <w:rFonts w:ascii="Arial" w:hAnsi="Arial" w:cs="Arial"/>
          <w:color w:val="000000" w:themeColor="text1"/>
        </w:rPr>
        <w:t>s</w:t>
      </w:r>
      <w:r w:rsidR="00547126" w:rsidRPr="00C43975">
        <w:rPr>
          <w:rFonts w:ascii="Arial" w:hAnsi="Arial" w:cs="Arial"/>
          <w:color w:val="000000" w:themeColor="text1"/>
        </w:rPr>
        <w:t xml:space="preserve"> and dosing </w:t>
      </w:r>
      <w:r w:rsidR="00A75F19" w:rsidRPr="00C43975">
        <w:rPr>
          <w:rFonts w:ascii="Arial" w:hAnsi="Arial" w:cs="Arial"/>
          <w:color w:val="000000" w:themeColor="text1"/>
        </w:rPr>
        <w:t>regimens</w:t>
      </w:r>
      <w:r w:rsidRPr="00C43975">
        <w:rPr>
          <w:rFonts w:ascii="Arial" w:hAnsi="Arial" w:cs="Arial"/>
          <w:color w:val="000000" w:themeColor="text1"/>
        </w:rPr>
        <w:t xml:space="preserve">, </w:t>
      </w:r>
      <w:r w:rsidR="00597648" w:rsidRPr="00C43975">
        <w:rPr>
          <w:rFonts w:ascii="Arial" w:hAnsi="Arial" w:cs="Arial"/>
          <w:color w:val="000000" w:themeColor="text1"/>
        </w:rPr>
        <w:t xml:space="preserve">differences </w:t>
      </w:r>
      <w:r w:rsidR="00F1193C" w:rsidRPr="00C43975">
        <w:rPr>
          <w:rFonts w:ascii="Arial" w:hAnsi="Arial" w:cs="Arial"/>
          <w:color w:val="000000" w:themeColor="text1"/>
        </w:rPr>
        <w:t>i</w:t>
      </w:r>
      <w:r w:rsidR="00597648" w:rsidRPr="00C43975">
        <w:rPr>
          <w:rFonts w:ascii="Arial" w:hAnsi="Arial" w:cs="Arial"/>
          <w:color w:val="000000" w:themeColor="text1"/>
        </w:rPr>
        <w:t xml:space="preserve">n </w:t>
      </w:r>
      <w:r w:rsidR="00F1193C" w:rsidRPr="00C43975">
        <w:rPr>
          <w:rFonts w:ascii="Arial" w:hAnsi="Arial" w:cs="Arial"/>
          <w:color w:val="000000" w:themeColor="text1"/>
        </w:rPr>
        <w:t>pharmacokinetics (</w:t>
      </w:r>
      <w:r w:rsidR="003457F4" w:rsidRPr="00C43975">
        <w:rPr>
          <w:rFonts w:ascii="Arial" w:hAnsi="Arial" w:cs="Arial"/>
          <w:color w:val="000000" w:themeColor="text1"/>
        </w:rPr>
        <w:t>PK</w:t>
      </w:r>
      <w:r w:rsidR="00F1193C" w:rsidRPr="00C43975">
        <w:rPr>
          <w:rFonts w:ascii="Arial" w:hAnsi="Arial" w:cs="Arial"/>
          <w:color w:val="000000" w:themeColor="text1"/>
        </w:rPr>
        <w:t>)</w:t>
      </w:r>
      <w:r w:rsidR="00597648" w:rsidRPr="00C43975">
        <w:rPr>
          <w:rFonts w:ascii="Arial" w:hAnsi="Arial" w:cs="Arial"/>
          <w:color w:val="000000" w:themeColor="text1"/>
        </w:rPr>
        <w:t xml:space="preserve"> and </w:t>
      </w:r>
      <w:r w:rsidRPr="00C43975">
        <w:rPr>
          <w:rFonts w:ascii="Arial" w:hAnsi="Arial" w:cs="Arial"/>
          <w:color w:val="000000" w:themeColor="text1"/>
        </w:rPr>
        <w:t>dosing</w:t>
      </w:r>
      <w:r w:rsidR="003457F4" w:rsidRPr="00C43975">
        <w:rPr>
          <w:rFonts w:ascii="Arial" w:hAnsi="Arial" w:cs="Arial"/>
          <w:color w:val="000000" w:themeColor="text1"/>
        </w:rPr>
        <w:t xml:space="preserve"> compared to adults</w:t>
      </w:r>
      <w:r w:rsidR="004F5E4A" w:rsidRPr="00C43975">
        <w:rPr>
          <w:rFonts w:ascii="Arial" w:hAnsi="Arial" w:cs="Arial"/>
          <w:color w:val="000000" w:themeColor="text1"/>
        </w:rPr>
        <w:t>,</w:t>
      </w:r>
      <w:r w:rsidR="003457F4" w:rsidRPr="00C43975">
        <w:rPr>
          <w:rFonts w:ascii="Arial" w:hAnsi="Arial" w:cs="Arial"/>
          <w:color w:val="000000" w:themeColor="text1"/>
        </w:rPr>
        <w:t xml:space="preserve"> and</w:t>
      </w:r>
      <w:r w:rsidRPr="00C43975">
        <w:rPr>
          <w:rFonts w:ascii="Arial" w:hAnsi="Arial" w:cs="Arial"/>
          <w:color w:val="000000" w:themeColor="text1"/>
        </w:rPr>
        <w:t xml:space="preserve"> </w:t>
      </w:r>
      <w:r w:rsidR="004F5E4A" w:rsidRPr="00C43975">
        <w:rPr>
          <w:rFonts w:ascii="Arial" w:hAnsi="Arial" w:cs="Arial"/>
          <w:color w:val="000000" w:themeColor="text1"/>
        </w:rPr>
        <w:t xml:space="preserve">the </w:t>
      </w:r>
      <w:r w:rsidRPr="00C43975">
        <w:rPr>
          <w:rFonts w:ascii="Arial" w:hAnsi="Arial" w:cs="Arial"/>
          <w:color w:val="000000" w:themeColor="text1"/>
        </w:rPr>
        <w:t xml:space="preserve">lack of </w:t>
      </w:r>
      <w:r w:rsidR="00597648" w:rsidRPr="00C43975">
        <w:rPr>
          <w:rFonts w:ascii="Arial" w:hAnsi="Arial" w:cs="Arial"/>
          <w:color w:val="000000" w:themeColor="text1"/>
        </w:rPr>
        <w:t xml:space="preserve">phase III </w:t>
      </w:r>
      <w:r w:rsidR="004F5E4A" w:rsidRPr="00C43975">
        <w:rPr>
          <w:rFonts w:ascii="Arial" w:hAnsi="Arial" w:cs="Arial"/>
          <w:color w:val="000000" w:themeColor="text1"/>
        </w:rPr>
        <w:t xml:space="preserve">clinical </w:t>
      </w:r>
      <w:r w:rsidR="009B5540" w:rsidRPr="00C43975">
        <w:rPr>
          <w:rFonts w:ascii="Arial" w:hAnsi="Arial" w:cs="Arial"/>
          <w:color w:val="000000" w:themeColor="text1"/>
        </w:rPr>
        <w:t>trials</w:t>
      </w:r>
      <w:r w:rsidR="00597648" w:rsidRPr="00C43975">
        <w:rPr>
          <w:rFonts w:ascii="Arial" w:hAnsi="Arial" w:cs="Arial"/>
          <w:color w:val="000000" w:themeColor="text1"/>
        </w:rPr>
        <w:t xml:space="preserve">. </w:t>
      </w:r>
    </w:p>
    <w:p w14:paraId="621C7E08" w14:textId="4A091159" w:rsidR="00237B9D" w:rsidRPr="00C43975" w:rsidRDefault="00490807" w:rsidP="00C43975">
      <w:pPr>
        <w:spacing w:line="480" w:lineRule="auto"/>
        <w:rPr>
          <w:rFonts w:ascii="Arial" w:hAnsi="Arial" w:cs="Arial"/>
          <w:color w:val="000000" w:themeColor="text1"/>
        </w:rPr>
      </w:pPr>
      <w:r w:rsidRPr="00C43975">
        <w:rPr>
          <w:rFonts w:ascii="Arial" w:hAnsi="Arial" w:cs="Arial"/>
          <w:color w:val="000000" w:themeColor="text1"/>
        </w:rPr>
        <w:t xml:space="preserve">The </w:t>
      </w:r>
      <w:r w:rsidR="00D3250E" w:rsidRPr="00C43975">
        <w:rPr>
          <w:rFonts w:ascii="Arial" w:hAnsi="Arial" w:cs="Arial"/>
          <w:color w:val="000000" w:themeColor="text1"/>
        </w:rPr>
        <w:t>aims</w:t>
      </w:r>
      <w:r w:rsidRPr="00C43975">
        <w:rPr>
          <w:rFonts w:ascii="Arial" w:hAnsi="Arial" w:cs="Arial"/>
          <w:color w:val="000000" w:themeColor="text1"/>
        </w:rPr>
        <w:t xml:space="preserve"> of th</w:t>
      </w:r>
      <w:r w:rsidR="00F1193C" w:rsidRPr="00C43975">
        <w:rPr>
          <w:rFonts w:ascii="Arial" w:hAnsi="Arial" w:cs="Arial"/>
          <w:color w:val="000000" w:themeColor="text1"/>
        </w:rPr>
        <w:t>is</w:t>
      </w:r>
      <w:r w:rsidRPr="00C43975">
        <w:rPr>
          <w:rFonts w:ascii="Arial" w:hAnsi="Arial" w:cs="Arial"/>
          <w:color w:val="000000" w:themeColor="text1"/>
        </w:rPr>
        <w:t xml:space="preserve"> study w</w:t>
      </w:r>
      <w:r w:rsidR="72C6EC5F" w:rsidRPr="00C43975">
        <w:rPr>
          <w:rFonts w:ascii="Arial" w:hAnsi="Arial" w:cs="Arial"/>
          <w:color w:val="000000" w:themeColor="text1"/>
        </w:rPr>
        <w:t xml:space="preserve">ere </w:t>
      </w:r>
      <w:r w:rsidRPr="00C43975">
        <w:rPr>
          <w:rFonts w:ascii="Arial" w:hAnsi="Arial" w:cs="Arial"/>
          <w:color w:val="000000" w:themeColor="text1"/>
        </w:rPr>
        <w:t xml:space="preserve">to characterize global antifungal </w:t>
      </w:r>
      <w:r w:rsidR="004F5E4A" w:rsidRPr="00C43975">
        <w:rPr>
          <w:rFonts w:ascii="Arial" w:hAnsi="Arial" w:cs="Arial"/>
          <w:color w:val="000000" w:themeColor="text1"/>
        </w:rPr>
        <w:t xml:space="preserve">drug </w:t>
      </w:r>
      <w:r w:rsidRPr="00C43975">
        <w:rPr>
          <w:rFonts w:ascii="Arial" w:hAnsi="Arial" w:cs="Arial"/>
          <w:color w:val="000000" w:themeColor="text1"/>
        </w:rPr>
        <w:t xml:space="preserve">use </w:t>
      </w:r>
      <w:r w:rsidR="00CB715C" w:rsidRPr="00C43975">
        <w:rPr>
          <w:rFonts w:ascii="Arial" w:hAnsi="Arial" w:cs="Arial"/>
          <w:color w:val="000000" w:themeColor="text1"/>
        </w:rPr>
        <w:t xml:space="preserve">in </w:t>
      </w:r>
      <w:r w:rsidR="00BA50C9" w:rsidRPr="00C43975">
        <w:rPr>
          <w:rFonts w:ascii="Arial" w:hAnsi="Arial" w:cs="Arial"/>
          <w:color w:val="000000" w:themeColor="text1"/>
        </w:rPr>
        <w:t>neonates and children</w:t>
      </w:r>
      <w:r w:rsidR="00CB715C" w:rsidRPr="00C43975">
        <w:rPr>
          <w:rFonts w:ascii="Arial" w:hAnsi="Arial" w:cs="Arial"/>
          <w:color w:val="000000" w:themeColor="text1"/>
        </w:rPr>
        <w:t xml:space="preserve"> </w:t>
      </w:r>
      <w:r w:rsidRPr="00C43975">
        <w:rPr>
          <w:rFonts w:ascii="Arial" w:hAnsi="Arial" w:cs="Arial"/>
          <w:color w:val="000000" w:themeColor="text1"/>
        </w:rPr>
        <w:t xml:space="preserve">and to describe the variability of antifungal use </w:t>
      </w:r>
      <w:r w:rsidR="002B34EB" w:rsidRPr="00C43975">
        <w:rPr>
          <w:rFonts w:ascii="Arial" w:hAnsi="Arial" w:cs="Arial"/>
          <w:color w:val="000000" w:themeColor="text1"/>
        </w:rPr>
        <w:t xml:space="preserve">between </w:t>
      </w:r>
      <w:r w:rsidRPr="00C43975">
        <w:rPr>
          <w:rFonts w:ascii="Arial" w:hAnsi="Arial" w:cs="Arial"/>
          <w:color w:val="000000" w:themeColor="text1"/>
        </w:rPr>
        <w:t>countries</w:t>
      </w:r>
      <w:r w:rsidR="72C6EC5F" w:rsidRPr="00C43975">
        <w:rPr>
          <w:rFonts w:ascii="Arial" w:hAnsi="Arial" w:cs="Arial"/>
          <w:color w:val="000000" w:themeColor="text1"/>
        </w:rPr>
        <w:t xml:space="preserve"> </w:t>
      </w:r>
      <w:r w:rsidR="002B34EB" w:rsidRPr="00C43975">
        <w:rPr>
          <w:rFonts w:ascii="Arial" w:hAnsi="Arial" w:cs="Arial"/>
          <w:color w:val="000000" w:themeColor="text1"/>
        </w:rPr>
        <w:t xml:space="preserve">in </w:t>
      </w:r>
      <w:r w:rsidR="72C6EC5F" w:rsidRPr="00C43975">
        <w:rPr>
          <w:rFonts w:ascii="Arial" w:hAnsi="Arial" w:cs="Arial"/>
          <w:color w:val="000000" w:themeColor="text1"/>
        </w:rPr>
        <w:t>different income groups</w:t>
      </w:r>
      <w:r w:rsidR="004F5E4A" w:rsidRPr="00C43975">
        <w:rPr>
          <w:rFonts w:ascii="Arial" w:hAnsi="Arial" w:cs="Arial"/>
          <w:color w:val="000000" w:themeColor="text1"/>
        </w:rPr>
        <w:t>. T</w:t>
      </w:r>
      <w:r w:rsidR="59F11675" w:rsidRPr="00C43975">
        <w:rPr>
          <w:rFonts w:ascii="Arial" w:hAnsi="Arial" w:cs="Arial"/>
          <w:color w:val="000000" w:themeColor="text1"/>
        </w:rPr>
        <w:t xml:space="preserve">o </w:t>
      </w:r>
      <w:r w:rsidR="002B34EB" w:rsidRPr="00C43975">
        <w:rPr>
          <w:rFonts w:ascii="Arial" w:hAnsi="Arial" w:cs="Arial"/>
          <w:color w:val="000000" w:themeColor="text1"/>
        </w:rPr>
        <w:t xml:space="preserve">achieve </w:t>
      </w:r>
      <w:r w:rsidR="59F11675" w:rsidRPr="00C43975">
        <w:rPr>
          <w:rFonts w:ascii="Arial" w:hAnsi="Arial" w:cs="Arial"/>
          <w:color w:val="000000" w:themeColor="text1"/>
        </w:rPr>
        <w:t>these aims</w:t>
      </w:r>
      <w:r w:rsidR="002B34EB" w:rsidRPr="00C43975">
        <w:rPr>
          <w:rFonts w:ascii="Arial" w:hAnsi="Arial" w:cs="Arial"/>
          <w:color w:val="000000" w:themeColor="text1"/>
        </w:rPr>
        <w:t>, we obtained</w:t>
      </w:r>
      <w:r w:rsidR="59F11675" w:rsidRPr="00C43975">
        <w:rPr>
          <w:rFonts w:ascii="Arial" w:hAnsi="Arial" w:cs="Arial"/>
          <w:color w:val="000000" w:themeColor="text1"/>
        </w:rPr>
        <w:t xml:space="preserve"> data from </w:t>
      </w:r>
      <w:r w:rsidR="00547126" w:rsidRPr="00C43975">
        <w:rPr>
          <w:rFonts w:ascii="Arial" w:hAnsi="Arial" w:cs="Arial"/>
          <w:color w:val="000000" w:themeColor="text1"/>
        </w:rPr>
        <w:t xml:space="preserve">the </w:t>
      </w:r>
      <w:r w:rsidR="00CB715C" w:rsidRPr="00C43975">
        <w:rPr>
          <w:rFonts w:ascii="Arial" w:hAnsi="Arial" w:cs="Arial"/>
          <w:color w:val="000000" w:themeColor="text1"/>
        </w:rPr>
        <w:t>Global Antimicrobial Resistance, Prescribing, and Efficacy in Neonates and Children (GARPEC)</w:t>
      </w:r>
      <w:r w:rsidR="00F1193C" w:rsidRPr="00C43975">
        <w:rPr>
          <w:rFonts w:ascii="Arial" w:hAnsi="Arial" w:cs="Arial"/>
          <w:color w:val="000000" w:themeColor="text1"/>
        </w:rPr>
        <w:t xml:space="preserve"> </w:t>
      </w:r>
      <w:r w:rsidR="00CB715C" w:rsidRPr="00C43975">
        <w:rPr>
          <w:rFonts w:ascii="Arial" w:hAnsi="Arial" w:cs="Arial"/>
          <w:color w:val="000000" w:themeColor="text1"/>
        </w:rPr>
        <w:t>-</w:t>
      </w:r>
      <w:r w:rsidR="00F1193C" w:rsidRPr="00C43975">
        <w:rPr>
          <w:rFonts w:ascii="Arial" w:hAnsi="Arial" w:cs="Arial"/>
          <w:color w:val="000000" w:themeColor="text1"/>
        </w:rPr>
        <w:t xml:space="preserve"> </w:t>
      </w:r>
      <w:r w:rsidR="00CB715C" w:rsidRPr="00C43975">
        <w:rPr>
          <w:rFonts w:ascii="Arial" w:hAnsi="Arial" w:cs="Arial"/>
          <w:color w:val="000000" w:themeColor="text1"/>
        </w:rPr>
        <w:t xml:space="preserve">Point Prevalence Survey (PPS) </w:t>
      </w:r>
      <w:r w:rsidR="002B34EB" w:rsidRPr="00C43975">
        <w:rPr>
          <w:rFonts w:ascii="Arial" w:hAnsi="Arial" w:cs="Arial"/>
          <w:color w:val="000000" w:themeColor="text1"/>
        </w:rPr>
        <w:t>for analyses</w:t>
      </w:r>
      <w:r w:rsidR="00CB715C" w:rsidRPr="00C43975">
        <w:rPr>
          <w:rFonts w:ascii="Arial" w:hAnsi="Arial" w:cs="Arial"/>
          <w:color w:val="000000" w:themeColor="text1"/>
          <w:lang w:val="en-US"/>
        </w:rPr>
        <w:t xml:space="preserve">. </w:t>
      </w:r>
    </w:p>
    <w:p w14:paraId="2EDA56B7" w14:textId="786E8B12" w:rsidR="00597648" w:rsidRPr="00C43975" w:rsidRDefault="00597648" w:rsidP="00C43975">
      <w:pPr>
        <w:pStyle w:val="Default"/>
        <w:spacing w:line="480" w:lineRule="auto"/>
        <w:rPr>
          <w:rFonts w:ascii="Arial" w:hAnsi="Arial" w:cs="Arial"/>
        </w:rPr>
      </w:pPr>
    </w:p>
    <w:p w14:paraId="43DA2CB9" w14:textId="3DA13ACD" w:rsidR="00CB715C" w:rsidRPr="00C43975" w:rsidRDefault="00CB715C" w:rsidP="00C43975">
      <w:pPr>
        <w:pStyle w:val="Default"/>
        <w:spacing w:line="480" w:lineRule="auto"/>
        <w:rPr>
          <w:rFonts w:ascii="Arial" w:hAnsi="Arial" w:cs="Arial"/>
          <w:b/>
        </w:rPr>
      </w:pPr>
      <w:r w:rsidRPr="00C43975">
        <w:rPr>
          <w:rFonts w:ascii="Arial" w:hAnsi="Arial" w:cs="Arial"/>
          <w:b/>
        </w:rPr>
        <w:lastRenderedPageBreak/>
        <w:t xml:space="preserve">Methods: </w:t>
      </w:r>
    </w:p>
    <w:p w14:paraId="6FE08B30" w14:textId="77777777" w:rsidR="00CB715C" w:rsidRPr="00C43975" w:rsidRDefault="00CB715C" w:rsidP="00C43975">
      <w:pPr>
        <w:pStyle w:val="Default"/>
        <w:spacing w:line="480" w:lineRule="auto"/>
        <w:rPr>
          <w:rFonts w:ascii="Arial" w:hAnsi="Arial" w:cs="Arial"/>
        </w:rPr>
      </w:pPr>
    </w:p>
    <w:p w14:paraId="7192FF25" w14:textId="1448A8DA" w:rsidR="000D1947" w:rsidRPr="00C43975" w:rsidRDefault="000D1947" w:rsidP="00C43975">
      <w:pPr>
        <w:pStyle w:val="Default"/>
        <w:spacing w:line="480" w:lineRule="auto"/>
        <w:rPr>
          <w:rFonts w:ascii="Arial" w:hAnsi="Arial" w:cs="Arial"/>
          <w:i/>
        </w:rPr>
      </w:pPr>
      <w:r w:rsidRPr="00C43975">
        <w:rPr>
          <w:rFonts w:ascii="Arial" w:hAnsi="Arial" w:cs="Arial"/>
          <w:i/>
        </w:rPr>
        <w:t xml:space="preserve">Data Source </w:t>
      </w:r>
    </w:p>
    <w:p w14:paraId="428262C6" w14:textId="77777777" w:rsidR="00CB715C" w:rsidRPr="00C43975" w:rsidRDefault="00CB715C" w:rsidP="00C43975">
      <w:pPr>
        <w:pStyle w:val="Default"/>
        <w:spacing w:line="480" w:lineRule="auto"/>
        <w:rPr>
          <w:rFonts w:ascii="Arial" w:eastAsia="Times New Roman" w:hAnsi="Arial" w:cs="Arial"/>
        </w:rPr>
      </w:pPr>
    </w:p>
    <w:p w14:paraId="6C2A31C0" w14:textId="331395F3" w:rsidR="001A2852" w:rsidRPr="00C43975" w:rsidRDefault="00F1193C" w:rsidP="00C43975">
      <w:pPr>
        <w:spacing w:line="480" w:lineRule="auto"/>
        <w:jc w:val="both"/>
        <w:rPr>
          <w:rFonts w:ascii="Arial" w:hAnsi="Arial" w:cs="Arial"/>
        </w:rPr>
      </w:pPr>
      <w:r w:rsidRPr="00C43975">
        <w:rPr>
          <w:rFonts w:ascii="Arial" w:hAnsi="Arial" w:cs="Arial"/>
        </w:rPr>
        <w:t>D</w:t>
      </w:r>
      <w:r w:rsidR="00B51B91" w:rsidRPr="00C43975">
        <w:rPr>
          <w:rFonts w:ascii="Arial" w:hAnsi="Arial" w:cs="Arial"/>
        </w:rPr>
        <w:t xml:space="preserve">ata </w:t>
      </w:r>
      <w:r w:rsidRPr="00C43975">
        <w:rPr>
          <w:rFonts w:ascii="Arial" w:hAnsi="Arial" w:cs="Arial"/>
        </w:rPr>
        <w:t xml:space="preserve">was extracted </w:t>
      </w:r>
      <w:r w:rsidR="00B51B91" w:rsidRPr="00C43975">
        <w:rPr>
          <w:rFonts w:ascii="Arial" w:hAnsi="Arial" w:cs="Arial"/>
        </w:rPr>
        <w:t xml:space="preserve">from </w:t>
      </w:r>
      <w:r w:rsidRPr="00C43975">
        <w:rPr>
          <w:rFonts w:ascii="Arial" w:hAnsi="Arial" w:cs="Arial"/>
        </w:rPr>
        <w:t xml:space="preserve">the </w:t>
      </w:r>
      <w:r w:rsidR="00B51B91" w:rsidRPr="00C43975">
        <w:rPr>
          <w:rFonts w:ascii="Arial" w:hAnsi="Arial" w:cs="Arial"/>
        </w:rPr>
        <w:t>GARPE</w:t>
      </w:r>
      <w:r w:rsidR="00CB715C" w:rsidRPr="00C43975">
        <w:rPr>
          <w:rFonts w:ascii="Arial" w:hAnsi="Arial" w:cs="Arial"/>
        </w:rPr>
        <w:t>C-</w:t>
      </w:r>
      <w:r w:rsidR="00586056" w:rsidRPr="00C43975">
        <w:rPr>
          <w:rFonts w:ascii="Arial" w:hAnsi="Arial" w:cs="Arial"/>
        </w:rPr>
        <w:t xml:space="preserve">PPS project. </w:t>
      </w:r>
      <w:r w:rsidR="00AC316E" w:rsidRPr="00C43975">
        <w:rPr>
          <w:rFonts w:ascii="Arial" w:hAnsi="Arial" w:cs="Arial"/>
        </w:rPr>
        <w:t>D</w:t>
      </w:r>
      <w:r w:rsidR="00586056" w:rsidRPr="00C43975">
        <w:rPr>
          <w:rFonts w:ascii="Arial" w:hAnsi="Arial" w:cs="Arial"/>
        </w:rPr>
        <w:t>etail</w:t>
      </w:r>
      <w:r w:rsidR="00AC316E" w:rsidRPr="00C43975">
        <w:rPr>
          <w:rFonts w:ascii="Arial" w:hAnsi="Arial" w:cs="Arial"/>
        </w:rPr>
        <w:t xml:space="preserve">ed methods </w:t>
      </w:r>
      <w:r w:rsidR="00586056" w:rsidRPr="00C43975">
        <w:rPr>
          <w:rFonts w:ascii="Arial" w:hAnsi="Arial" w:cs="Arial"/>
        </w:rPr>
        <w:t xml:space="preserve">have been </w:t>
      </w:r>
      <w:r w:rsidR="00AC316E" w:rsidRPr="00C43975">
        <w:rPr>
          <w:rFonts w:ascii="Arial" w:hAnsi="Arial" w:cs="Arial"/>
        </w:rPr>
        <w:t xml:space="preserve">described </w:t>
      </w:r>
      <w:r w:rsidR="00586056" w:rsidRPr="00C43975">
        <w:rPr>
          <w:rFonts w:ascii="Arial" w:hAnsi="Arial" w:cs="Arial"/>
        </w:rPr>
        <w:t>elsewhere</w:t>
      </w:r>
      <w:r w:rsidR="00FC0A61" w:rsidRPr="00C43975">
        <w:rPr>
          <w:rFonts w:ascii="Arial" w:hAnsi="Arial" w:cs="Arial"/>
        </w:rPr>
        <w:fldChar w:fldCharType="begin" w:fldLock="1"/>
      </w:r>
      <w:r w:rsidR="00FA2A64" w:rsidRPr="00C43975">
        <w:rPr>
          <w:rFonts w:ascii="Arial" w:hAnsi="Arial" w:cs="Arial"/>
        </w:rPr>
        <w:instrText>ADDIN CSL_CITATION {"citationItems":[{"id":"ITEM-1","itemData":{"DOI":"10.1016/S2214-109X(19)30071-3","ISSN":"2214109X","abstract":"Background: Improving the quality of hospital antibiotic use is a major goal of WHO's global action plan to combat antimicrobial resistance. The WHO Essential Medicines List Access, Watch, and Reserve (AWaRe) classification could facilitate simple stewardship interventions that are widely applicable globally. We aimed to present data on patterns of paediatric AWaRe antibiotic use that could be used for local and national stewardship interventions. Methods: 1-day point prevalence survey antibiotic prescription data were combined from two independent global networks: the Global Antimicrobial Resistance, Prescribing, and Efficacy in Neonates and Children and the Global Point Prevalence Survey on Antimicrobial Consumption and Resistance networks. We included hospital inpatients aged younger than 19 years receiving at least one antibiotic on the day of the survey. The WHO AWaRe classification was used to describe overall antibiotic use as assessed by the variation between use of Access, Watch, and Reserve antibiotics, for neonates and children and for the commonest clinical indications. Findings: Of the 23 572 patients included from 56 countries, 18 305 were children (77·7%) and 5267 were neonates (22·3%). Access antibiotic use in children ranged from 7·8% (China) to 61·2% (Slovenia) of all antibiotic prescriptions. The use of Watch antibiotics in children was highest in Iran (77·3%) and lowest in Finland (23·0%). In neonates, Access antibiotic use was highest in Singapore (100·0%) and lowest in China (24·2%). Reserve antibiotic use was low in all countries. Major differences in clinical syndrome-specific patterns of AWaRe antibiotic use in lower respiratory tract infection and neonatal sepsis were observed between WHO regions and countries. Interpretation: There is substantial global variation in the proportion of AWaRe antibiotics used in hospitalised neonates and children. The AWaRe classification could potentially be used as a simple traffic light metric of appropriate antibiotic use. Future efforts should focus on developing and evaluating paediatric antibiotic stewardship programmes on the basis of the AWaRe index. Funding: GARPEC was funded by the PENTA Foundation. GARPEC-China data collection was funded by the Sanming Project of Medicine in Shenzhen (SZSM2015120330). bioMérieux provided unrestricted funding support for the Global-PPS.","author":[{"dropping-particle":"","family":"Hsia","given":"Yingfen","non-dropping-particle":"","parse-names":false,"suffix":""},{"dropping-particle":"","family":"Lee","given":"Brian R.","non-dropping-particle":"","parse-names":false,"suffix":""},{"dropping-particle":"","family":"Versporten","given":"Ann","non-dropping-particle":"","parse-names":false,"suffix":""},{"dropping-particle":"","family":"Yang","given":"Yonghong","non-dropping-particle":"","parse-names":false,"suffix":""},{"dropping-particle":"","family":"Bielicki","given":"Julia","non-dropping-particle":"","parse-names":false,"suffix":""},{"dropping-particle":"","family":"Jackson","given":"Charlotte","non-dropping-particle":"","parse-names":false,"suffix":""},{"dropping-particle":"","family":"Newland","given":"Jason","non-dropping-particle":"","parse-names":false,"suffix":""},{"dropping-particle":"","family":"Goossens","given":"Herman","non-dropping-particle":"","parse-names":false,"suffix":""},{"dropping-particle":"","family":"Magrini","given":"Nicola","non-dropping-particle":"","parse-names":false,"suffix":""},{"dropping-particle":"","family":"Sharland","given":"Mike","non-dropping-particle":"","parse-names":false,"suffix":""}],"container-title":"The Lancet Global Health","id":"ITEM-1","issue":"7","issued":{"date-parts":[["2019"]]},"page":"e861-e871","publisher":"The Author(s). Published by Elsevier Ltd. This is an Open Access article under the CC BY-NC-ND 4.0 license","title":"Use of the WHO Access, Watch, and Reserve classification to define patterns of hospital antibiotic use (AWaRe): an analysis of paediatric survey data from 56 countries","type":"article-journal","volume":"7"},"uris":["http://www.mendeley.com/documents/?uuid=6048856b-42b0-46e6-8379-4ca868e8968d"]}],"mendeley":{"formattedCitation":"&lt;sup&gt;&lt;sup&gt;10&lt;/sup&gt;&lt;/sup&gt;","plainTextFormattedCitation":"10","previouslyFormattedCitation":"&lt;sup&gt;&lt;sup&gt;10&lt;/sup&gt;&lt;/sup&gt;"},"properties":{"noteIndex":0},"schema":"https://github.com/citation-style-language/schema/raw/master/csl-citation.json"}</w:instrText>
      </w:r>
      <w:r w:rsidR="00FC0A61" w:rsidRPr="00C43975">
        <w:rPr>
          <w:rFonts w:ascii="Arial" w:hAnsi="Arial" w:cs="Arial"/>
        </w:rPr>
        <w:fldChar w:fldCharType="separate"/>
      </w:r>
      <w:r w:rsidR="00E51D07" w:rsidRPr="00C43975">
        <w:rPr>
          <w:rFonts w:ascii="Arial" w:hAnsi="Arial" w:cs="Arial"/>
          <w:noProof/>
          <w:vertAlign w:val="superscript"/>
        </w:rPr>
        <w:t>10</w:t>
      </w:r>
      <w:r w:rsidR="00FC0A61" w:rsidRPr="00C43975">
        <w:rPr>
          <w:rFonts w:ascii="Arial" w:hAnsi="Arial" w:cs="Arial"/>
        </w:rPr>
        <w:fldChar w:fldCharType="end"/>
      </w:r>
      <w:r w:rsidR="00586056" w:rsidRPr="00C43975">
        <w:rPr>
          <w:rFonts w:ascii="Arial" w:hAnsi="Arial" w:cs="Arial"/>
        </w:rPr>
        <w:t xml:space="preserve">.  </w:t>
      </w:r>
      <w:r w:rsidR="00AC316E" w:rsidRPr="00C43975">
        <w:rPr>
          <w:rFonts w:ascii="Arial" w:hAnsi="Arial" w:cs="Arial"/>
        </w:rPr>
        <w:t>Briefly</w:t>
      </w:r>
      <w:r w:rsidR="00A05056" w:rsidRPr="00C43975">
        <w:rPr>
          <w:rFonts w:ascii="Arial" w:hAnsi="Arial" w:cs="Arial"/>
        </w:rPr>
        <w:t>, 1-day antimicrobial prescribing data were collected for neonates and children</w:t>
      </w:r>
      <w:r w:rsidR="00CB715C" w:rsidRPr="00C43975">
        <w:rPr>
          <w:rFonts w:ascii="Arial" w:hAnsi="Arial" w:cs="Arial"/>
        </w:rPr>
        <w:t xml:space="preserve"> </w:t>
      </w:r>
      <w:r w:rsidR="00E12578" w:rsidRPr="00C43975">
        <w:rPr>
          <w:rFonts w:ascii="Arial" w:hAnsi="Arial" w:cs="Arial"/>
        </w:rPr>
        <w:t xml:space="preserve">aged </w:t>
      </w:r>
      <w:r w:rsidR="00CB715C" w:rsidRPr="00C43975">
        <w:rPr>
          <w:rFonts w:ascii="Arial" w:hAnsi="Arial" w:cs="Arial"/>
        </w:rPr>
        <w:t>&lt;19 years</w:t>
      </w:r>
      <w:r w:rsidR="00A05056" w:rsidRPr="00C43975">
        <w:rPr>
          <w:rFonts w:ascii="Arial" w:hAnsi="Arial" w:cs="Arial"/>
        </w:rPr>
        <w:t xml:space="preserve"> admitte</w:t>
      </w:r>
      <w:r w:rsidR="00AE7596" w:rsidRPr="00C43975">
        <w:rPr>
          <w:rFonts w:ascii="Arial" w:hAnsi="Arial" w:cs="Arial"/>
        </w:rPr>
        <w:t xml:space="preserve">d to participating hospitals. </w:t>
      </w:r>
      <w:r w:rsidR="002B34EB" w:rsidRPr="00C43975">
        <w:rPr>
          <w:rFonts w:ascii="Arial" w:hAnsi="Arial" w:cs="Arial"/>
        </w:rPr>
        <w:t xml:space="preserve">One </w:t>
      </w:r>
      <w:r w:rsidR="00AE7596" w:rsidRPr="00C43975">
        <w:rPr>
          <w:rFonts w:ascii="Arial" w:hAnsi="Arial" w:cs="Arial"/>
        </w:rPr>
        <w:t>pilot PPS study was conducted over two months in 2015. Following the pilot study, four 1-day PPS were carried out</w:t>
      </w:r>
      <w:r w:rsidR="00683AE9" w:rsidRPr="00C43975">
        <w:rPr>
          <w:rFonts w:ascii="Arial" w:hAnsi="Arial" w:cs="Arial"/>
        </w:rPr>
        <w:t xml:space="preserve"> </w:t>
      </w:r>
      <w:r w:rsidRPr="00C43975">
        <w:rPr>
          <w:rFonts w:ascii="Arial" w:hAnsi="Arial" w:cs="Arial"/>
        </w:rPr>
        <w:t>during the periods</w:t>
      </w:r>
      <w:r w:rsidR="00683AE9" w:rsidRPr="00C43975">
        <w:rPr>
          <w:rFonts w:ascii="Arial" w:hAnsi="Arial" w:cs="Arial"/>
        </w:rPr>
        <w:t xml:space="preserve"> February-March 2016, May-June 2016, September-October 2016, and December 2016-February 2017. </w:t>
      </w:r>
    </w:p>
    <w:p w14:paraId="5FFDB050" w14:textId="77777777" w:rsidR="00235AA3" w:rsidRPr="00C43975" w:rsidRDefault="00235AA3" w:rsidP="00C43975">
      <w:pPr>
        <w:spacing w:line="480" w:lineRule="auto"/>
        <w:jc w:val="both"/>
        <w:rPr>
          <w:rFonts w:ascii="Arial" w:hAnsi="Arial" w:cs="Arial"/>
        </w:rPr>
      </w:pPr>
    </w:p>
    <w:p w14:paraId="2F532953" w14:textId="6D41E132" w:rsidR="001A2852" w:rsidRPr="00C43975" w:rsidRDefault="00DF2C87" w:rsidP="00C43975">
      <w:pPr>
        <w:spacing w:line="480" w:lineRule="auto"/>
        <w:jc w:val="both"/>
        <w:rPr>
          <w:rFonts w:ascii="Arial" w:hAnsi="Arial" w:cs="Arial"/>
        </w:rPr>
      </w:pPr>
      <w:r w:rsidRPr="00C43975">
        <w:rPr>
          <w:rFonts w:ascii="Arial" w:hAnsi="Arial" w:cs="Arial"/>
        </w:rPr>
        <w:t>Patient demographic (age, gender, body weight), comorbidity, anti</w:t>
      </w:r>
      <w:r w:rsidR="00BA50C9" w:rsidRPr="00C43975">
        <w:rPr>
          <w:rFonts w:ascii="Arial" w:hAnsi="Arial" w:cs="Arial"/>
        </w:rPr>
        <w:t>fungal</w:t>
      </w:r>
      <w:r w:rsidRPr="00C43975">
        <w:rPr>
          <w:rFonts w:ascii="Arial" w:hAnsi="Arial" w:cs="Arial"/>
        </w:rPr>
        <w:t xml:space="preserve"> agents, dose, frequency, route of administration, empirical or targeted treatment, and reasons for treatment were collected. Information on gestational age and birthweight were collected for neonates. </w:t>
      </w:r>
      <w:r w:rsidR="00093679" w:rsidRPr="00C43975">
        <w:rPr>
          <w:rFonts w:ascii="Arial" w:hAnsi="Arial" w:cs="Arial"/>
        </w:rPr>
        <w:t>Denominator</w:t>
      </w:r>
      <w:r w:rsidR="0036428E" w:rsidRPr="00C43975">
        <w:rPr>
          <w:rFonts w:ascii="Arial" w:hAnsi="Arial" w:cs="Arial"/>
        </w:rPr>
        <w:t>s</w:t>
      </w:r>
      <w:r w:rsidR="00093679" w:rsidRPr="00C43975">
        <w:rPr>
          <w:rFonts w:ascii="Arial" w:hAnsi="Arial" w:cs="Arial"/>
        </w:rPr>
        <w:t xml:space="preserve"> </w:t>
      </w:r>
      <w:r w:rsidR="0036428E" w:rsidRPr="00C43975">
        <w:rPr>
          <w:rFonts w:ascii="Arial" w:hAnsi="Arial" w:cs="Arial"/>
        </w:rPr>
        <w:t xml:space="preserve">comprised </w:t>
      </w:r>
      <w:r w:rsidR="00093679" w:rsidRPr="00C43975">
        <w:rPr>
          <w:rFonts w:ascii="Arial" w:hAnsi="Arial" w:cs="Arial"/>
        </w:rPr>
        <w:t xml:space="preserve">the total number of admitted patients by ward and hospitals. </w:t>
      </w:r>
      <w:r w:rsidR="2D606B07" w:rsidRPr="00C43975">
        <w:rPr>
          <w:rFonts w:ascii="Arial" w:hAnsi="Arial" w:cs="Arial"/>
        </w:rPr>
        <w:t xml:space="preserve">In GARPEC-PPS, </w:t>
      </w:r>
      <w:r w:rsidR="616F0546" w:rsidRPr="00C43975">
        <w:rPr>
          <w:rFonts w:ascii="Arial" w:hAnsi="Arial" w:cs="Arial"/>
        </w:rPr>
        <w:t>n</w:t>
      </w:r>
      <w:r w:rsidR="009C0EF5" w:rsidRPr="00C43975">
        <w:rPr>
          <w:rFonts w:ascii="Arial" w:hAnsi="Arial" w:cs="Arial"/>
        </w:rPr>
        <w:t>eonate</w:t>
      </w:r>
      <w:r w:rsidR="2D606B07" w:rsidRPr="00C43975">
        <w:rPr>
          <w:rFonts w:ascii="Arial" w:hAnsi="Arial" w:cs="Arial"/>
        </w:rPr>
        <w:t>s</w:t>
      </w:r>
      <w:r w:rsidR="009C0EF5" w:rsidRPr="00C43975">
        <w:rPr>
          <w:rFonts w:ascii="Arial" w:hAnsi="Arial" w:cs="Arial"/>
        </w:rPr>
        <w:t xml:space="preserve"> w</w:t>
      </w:r>
      <w:r w:rsidR="616F0546" w:rsidRPr="00C43975">
        <w:rPr>
          <w:rFonts w:ascii="Arial" w:hAnsi="Arial" w:cs="Arial"/>
        </w:rPr>
        <w:t xml:space="preserve">ere </w:t>
      </w:r>
      <w:r w:rsidR="009C0EF5" w:rsidRPr="00C43975">
        <w:rPr>
          <w:rFonts w:ascii="Arial" w:hAnsi="Arial" w:cs="Arial"/>
        </w:rPr>
        <w:t xml:space="preserve">defined as </w:t>
      </w:r>
      <w:r w:rsidR="616F0546" w:rsidRPr="00C43975">
        <w:rPr>
          <w:rFonts w:ascii="Arial" w:hAnsi="Arial" w:cs="Arial"/>
        </w:rPr>
        <w:t xml:space="preserve">being </w:t>
      </w:r>
      <w:r w:rsidR="009C0EF5" w:rsidRPr="00C43975">
        <w:rPr>
          <w:rFonts w:ascii="Arial" w:hAnsi="Arial" w:cs="Arial"/>
        </w:rPr>
        <w:t>aged 30 days or younger and children a</w:t>
      </w:r>
      <w:r w:rsidR="616F0546" w:rsidRPr="00C43975">
        <w:rPr>
          <w:rFonts w:ascii="Arial" w:hAnsi="Arial" w:cs="Arial"/>
        </w:rPr>
        <w:t>s a</w:t>
      </w:r>
      <w:r w:rsidR="009C0EF5" w:rsidRPr="00C43975">
        <w:rPr>
          <w:rFonts w:ascii="Arial" w:hAnsi="Arial" w:cs="Arial"/>
        </w:rPr>
        <w:t xml:space="preserve">ged &gt;30 days and under 19 years. </w:t>
      </w:r>
      <w:r w:rsidR="00E84091" w:rsidRPr="00C43975">
        <w:rPr>
          <w:rFonts w:ascii="Arial" w:hAnsi="Arial" w:cs="Arial"/>
        </w:rPr>
        <w:t>A patient was considered a</w:t>
      </w:r>
      <w:r w:rsidR="00F1193C" w:rsidRPr="00C43975">
        <w:rPr>
          <w:rFonts w:ascii="Arial" w:hAnsi="Arial" w:cs="Arial"/>
        </w:rPr>
        <w:t>t</w:t>
      </w:r>
      <w:r w:rsidR="00E84091" w:rsidRPr="00C43975">
        <w:rPr>
          <w:rFonts w:ascii="Arial" w:hAnsi="Arial" w:cs="Arial"/>
        </w:rPr>
        <w:t xml:space="preserve"> “high risk” for IFD if they presented </w:t>
      </w:r>
      <w:r w:rsidR="00F1193C" w:rsidRPr="00C43975">
        <w:rPr>
          <w:rFonts w:ascii="Arial" w:hAnsi="Arial" w:cs="Arial"/>
        </w:rPr>
        <w:t xml:space="preserve">with </w:t>
      </w:r>
      <w:r w:rsidR="00E84091" w:rsidRPr="00C43975">
        <w:rPr>
          <w:rFonts w:ascii="Arial" w:hAnsi="Arial" w:cs="Arial"/>
        </w:rPr>
        <w:t>extreme prematurity</w:t>
      </w:r>
      <w:r w:rsidR="00235AA3" w:rsidRPr="00C43975">
        <w:rPr>
          <w:rFonts w:ascii="Arial" w:hAnsi="Arial" w:cs="Arial"/>
        </w:rPr>
        <w:t xml:space="preserve"> (</w:t>
      </w:r>
      <w:r w:rsidR="00CF6BAE" w:rsidRPr="00C43975">
        <w:rPr>
          <w:rFonts w:ascii="Arial" w:hAnsi="Arial" w:cs="Arial"/>
        </w:rPr>
        <w:t xml:space="preserve">gestational aged </w:t>
      </w:r>
      <w:r w:rsidR="00235AA3" w:rsidRPr="00C43975">
        <w:rPr>
          <w:rFonts w:ascii="Arial" w:hAnsi="Arial" w:cs="Arial"/>
        </w:rPr>
        <w:t>&lt;28 weeks)</w:t>
      </w:r>
      <w:r w:rsidR="00E84091" w:rsidRPr="00C43975">
        <w:rPr>
          <w:rFonts w:ascii="Arial" w:hAnsi="Arial" w:cs="Arial"/>
        </w:rPr>
        <w:t xml:space="preserve">, </w:t>
      </w:r>
      <w:r w:rsidR="00582577" w:rsidRPr="00C43975">
        <w:rPr>
          <w:rFonts w:ascii="Arial" w:hAnsi="Arial" w:cs="Arial"/>
        </w:rPr>
        <w:t>malignancy</w:t>
      </w:r>
      <w:r w:rsidR="00E84091" w:rsidRPr="00C43975">
        <w:rPr>
          <w:rFonts w:ascii="Arial" w:hAnsi="Arial" w:cs="Arial"/>
        </w:rPr>
        <w:t>, or immunodeficiency. A</w:t>
      </w:r>
      <w:r w:rsidR="009C0EF5" w:rsidRPr="00C43975">
        <w:rPr>
          <w:rFonts w:ascii="Arial" w:hAnsi="Arial" w:cs="Arial"/>
        </w:rPr>
        <w:t xml:space="preserve">ntibiotic drugs were coded in accordance with WHO Anatomical </w:t>
      </w:r>
      <w:r w:rsidR="00D85098" w:rsidRPr="00C43975">
        <w:rPr>
          <w:rFonts w:ascii="Arial" w:hAnsi="Arial" w:cs="Arial"/>
        </w:rPr>
        <w:t>Therapeutic</w:t>
      </w:r>
      <w:r w:rsidR="009C0EF5" w:rsidRPr="00C43975">
        <w:rPr>
          <w:rFonts w:ascii="Arial" w:hAnsi="Arial" w:cs="Arial"/>
        </w:rPr>
        <w:t xml:space="preserve"> Chemical (ATC) classification</w:t>
      </w:r>
      <w:r w:rsidR="00FC0A61" w:rsidRPr="00C43975">
        <w:rPr>
          <w:rFonts w:ascii="Arial" w:hAnsi="Arial" w:cs="Arial"/>
        </w:rPr>
        <w:fldChar w:fldCharType="begin" w:fldLock="1"/>
      </w:r>
      <w:r w:rsidR="00FA2A64" w:rsidRPr="00C43975">
        <w:rPr>
          <w:rFonts w:ascii="Arial" w:hAnsi="Arial" w:cs="Arial"/>
        </w:rPr>
        <w:instrText>ADDIN CSL_CITATION {"citationItems":[{"id":"ITEM-1","itemData":{"URL":"http://scholar.dkyobobook.co.kr/searchDetail.laf?barcode=4010023765738","abstract":"The purpose of this study is to review Saeromaji Plan 2015 (the Second Basic Plan for the Low Fertility and Aging Society) with the framework of WHO's (2007) guidelines for building age-friendly cities and to provide suggestions for improvements in planning for the aging society. The contents of the Plan pertaining to the aging society sections were reviewed by two independent researchers to examine the extent to which the Plan fulfilled 169 checklists across 8 themes proposed by WHO. The results indicate that all 8 themes were partially reflected in the Plan. Suggested improvements for planning for the aging society include taking an inclusive approach to bring generations together, providing more options for older adults, and including more active involvement of the private sector in planning.","accessed":{"date-parts":[["2019","12","1"]]},"author":[{"dropping-particle":"","family":"WHO","given":"","non-dropping-particle":"","parse-names":false,"suffix":""}],"container-title":"WHO publications","id":"ITEM-1","issued":{"date-parts":[["2012"]]},"title":"WHO Anatomical Therapeutic Chemical (ATC) Classification","type":"webpage"},"uris":["http://www.mendeley.com/documents/?uuid=8d05200d-04b0-4801-a4db-0d7963ceeaa4"]}],"mendeley":{"formattedCitation":"&lt;sup&gt;&lt;sup&gt;11&lt;/sup&gt;&lt;/sup&gt;","plainTextFormattedCitation":"11","previouslyFormattedCitation":"&lt;sup&gt;&lt;sup&gt;11&lt;/sup&gt;&lt;/sup&gt;"},"properties":{"noteIndex":0},"schema":"https://github.com/citation-style-language/schema/raw/master/csl-citation.json"}</w:instrText>
      </w:r>
      <w:r w:rsidR="00FC0A61" w:rsidRPr="00C43975">
        <w:rPr>
          <w:rFonts w:ascii="Arial" w:hAnsi="Arial" w:cs="Arial"/>
        </w:rPr>
        <w:fldChar w:fldCharType="separate"/>
      </w:r>
      <w:r w:rsidR="00E51D07" w:rsidRPr="00C43975">
        <w:rPr>
          <w:rFonts w:ascii="Arial" w:hAnsi="Arial" w:cs="Arial"/>
          <w:noProof/>
          <w:vertAlign w:val="superscript"/>
        </w:rPr>
        <w:t>11</w:t>
      </w:r>
      <w:r w:rsidR="00FC0A61" w:rsidRPr="00C43975">
        <w:rPr>
          <w:rFonts w:ascii="Arial" w:hAnsi="Arial" w:cs="Arial"/>
        </w:rPr>
        <w:fldChar w:fldCharType="end"/>
      </w:r>
      <w:r w:rsidR="00FC0A61" w:rsidRPr="00C43975">
        <w:rPr>
          <w:rFonts w:ascii="Arial" w:hAnsi="Arial" w:cs="Arial"/>
        </w:rPr>
        <w:t xml:space="preserve">. </w:t>
      </w:r>
      <w:r w:rsidR="00A377F4" w:rsidRPr="00C43975">
        <w:rPr>
          <w:rFonts w:ascii="Arial" w:hAnsi="Arial" w:cs="Arial"/>
        </w:rPr>
        <w:t>Prescriptions for antifungal</w:t>
      </w:r>
      <w:r w:rsidR="00F1193C" w:rsidRPr="00C43975">
        <w:rPr>
          <w:rFonts w:ascii="Arial" w:hAnsi="Arial" w:cs="Arial"/>
        </w:rPr>
        <w:t>s</w:t>
      </w:r>
      <w:r w:rsidR="00A377F4" w:rsidRPr="00C43975">
        <w:rPr>
          <w:rFonts w:ascii="Arial" w:hAnsi="Arial" w:cs="Arial"/>
        </w:rPr>
        <w:t xml:space="preserve"> were defined under ATC code</w:t>
      </w:r>
      <w:r w:rsidR="5F73D9A5" w:rsidRPr="00C43975">
        <w:rPr>
          <w:rFonts w:ascii="Arial" w:hAnsi="Arial" w:cs="Arial"/>
        </w:rPr>
        <w:t xml:space="preserve"> </w:t>
      </w:r>
      <w:r w:rsidR="00A377F4" w:rsidRPr="00C43975">
        <w:rPr>
          <w:rFonts w:ascii="Arial" w:hAnsi="Arial" w:cs="Arial"/>
        </w:rPr>
        <w:t xml:space="preserve">J02. </w:t>
      </w:r>
      <w:r w:rsidR="00E90053" w:rsidRPr="00C43975">
        <w:rPr>
          <w:rFonts w:ascii="Arial" w:hAnsi="Arial" w:cs="Arial"/>
        </w:rPr>
        <w:t xml:space="preserve">Topical use of antifungal drugs </w:t>
      </w:r>
      <w:r w:rsidR="00D85098" w:rsidRPr="00C43975">
        <w:rPr>
          <w:rFonts w:ascii="Arial" w:hAnsi="Arial" w:cs="Arial"/>
        </w:rPr>
        <w:t>was</w:t>
      </w:r>
      <w:r w:rsidR="00CF6BAE" w:rsidRPr="00C43975">
        <w:rPr>
          <w:rFonts w:ascii="Arial" w:hAnsi="Arial" w:cs="Arial"/>
        </w:rPr>
        <w:t xml:space="preserve"> not collected in GARPEC project. </w:t>
      </w:r>
      <w:r w:rsidR="00E90053" w:rsidRPr="00C43975">
        <w:rPr>
          <w:rFonts w:ascii="Arial" w:hAnsi="Arial" w:cs="Arial"/>
        </w:rPr>
        <w:t xml:space="preserve"> </w:t>
      </w:r>
      <w:r w:rsidR="001A2852" w:rsidRPr="00C43975">
        <w:rPr>
          <w:rFonts w:ascii="Arial" w:hAnsi="Arial" w:cs="Arial"/>
        </w:rPr>
        <w:t xml:space="preserve">Each participating hospital </w:t>
      </w:r>
      <w:r w:rsidR="0F212A2E" w:rsidRPr="00C43975">
        <w:rPr>
          <w:rFonts w:ascii="Arial" w:hAnsi="Arial" w:cs="Arial"/>
        </w:rPr>
        <w:t xml:space="preserve">obtained </w:t>
      </w:r>
      <w:r w:rsidR="001A2852" w:rsidRPr="00C43975">
        <w:rPr>
          <w:rFonts w:ascii="Arial" w:hAnsi="Arial" w:cs="Arial"/>
        </w:rPr>
        <w:t xml:space="preserve">local ethics approval if required. </w:t>
      </w:r>
      <w:r w:rsidR="00510778" w:rsidRPr="00C43975">
        <w:rPr>
          <w:rFonts w:ascii="Arial" w:hAnsi="Arial" w:cs="Arial"/>
        </w:rPr>
        <w:t xml:space="preserve">Data were collected via </w:t>
      </w:r>
      <w:proofErr w:type="spellStart"/>
      <w:r w:rsidR="00510778" w:rsidRPr="00C43975">
        <w:rPr>
          <w:rFonts w:ascii="Arial" w:hAnsi="Arial" w:cs="Arial"/>
        </w:rPr>
        <w:t>REDCap</w:t>
      </w:r>
      <w:r w:rsidR="0F212A2E" w:rsidRPr="00C43975">
        <w:rPr>
          <w:rFonts w:ascii="Arial" w:hAnsi="Arial" w:cs="Arial"/>
          <w:vertAlign w:val="superscript"/>
        </w:rPr>
        <w:t>TM</w:t>
      </w:r>
      <w:proofErr w:type="spellEnd"/>
      <w:r w:rsidR="00510778" w:rsidRPr="00C43975">
        <w:rPr>
          <w:rFonts w:ascii="Arial" w:hAnsi="Arial" w:cs="Arial"/>
        </w:rPr>
        <w:t xml:space="preserve"> (Research Electronic Data Capture, Vanderbilt University, Nashville, TN, USA), a web-based application which </w:t>
      </w:r>
      <w:r w:rsidR="00CF6BAE" w:rsidRPr="00C43975">
        <w:rPr>
          <w:rFonts w:ascii="Arial" w:hAnsi="Arial" w:cs="Arial"/>
        </w:rPr>
        <w:t xml:space="preserve">allowed </w:t>
      </w:r>
      <w:r w:rsidR="00510778" w:rsidRPr="00C43975">
        <w:rPr>
          <w:rFonts w:ascii="Arial" w:hAnsi="Arial" w:cs="Arial"/>
        </w:rPr>
        <w:t xml:space="preserve">participating hospitals entered data online. </w:t>
      </w:r>
      <w:r w:rsidR="001A2852" w:rsidRPr="00C43975">
        <w:rPr>
          <w:rFonts w:ascii="Arial" w:hAnsi="Arial" w:cs="Arial"/>
        </w:rPr>
        <w:t xml:space="preserve">All data </w:t>
      </w:r>
      <w:r w:rsidR="001A2852" w:rsidRPr="00C43975">
        <w:rPr>
          <w:rFonts w:ascii="Arial" w:hAnsi="Arial" w:cs="Arial"/>
        </w:rPr>
        <w:lastRenderedPageBreak/>
        <w:t xml:space="preserve">were anonymised without patient identifiers. </w:t>
      </w:r>
      <w:r w:rsidR="001C2265" w:rsidRPr="00C43975">
        <w:rPr>
          <w:rFonts w:ascii="Arial" w:hAnsi="Arial" w:cs="Arial"/>
        </w:rPr>
        <w:t>Countries were stratified into high-income country (</w:t>
      </w:r>
      <w:r w:rsidR="00C82AD1" w:rsidRPr="00C43975">
        <w:rPr>
          <w:rFonts w:ascii="Arial" w:hAnsi="Arial" w:cs="Arial"/>
        </w:rPr>
        <w:t>HIC</w:t>
      </w:r>
      <w:r w:rsidR="001C2265" w:rsidRPr="00C43975">
        <w:rPr>
          <w:rFonts w:ascii="Arial" w:hAnsi="Arial" w:cs="Arial"/>
        </w:rPr>
        <w:t>)</w:t>
      </w:r>
      <w:r w:rsidR="00C82AD1" w:rsidRPr="00C43975">
        <w:rPr>
          <w:rFonts w:ascii="Arial" w:hAnsi="Arial" w:cs="Arial"/>
        </w:rPr>
        <w:t xml:space="preserve"> and LMIC</w:t>
      </w:r>
      <w:r w:rsidR="001C2265" w:rsidRPr="00C43975">
        <w:rPr>
          <w:rFonts w:ascii="Arial" w:hAnsi="Arial" w:cs="Arial"/>
        </w:rPr>
        <w:t xml:space="preserve"> using </w:t>
      </w:r>
      <w:r w:rsidR="00C82AD1" w:rsidRPr="00C43975">
        <w:rPr>
          <w:rFonts w:ascii="Arial" w:hAnsi="Arial" w:cs="Arial"/>
        </w:rPr>
        <w:t xml:space="preserve">World </w:t>
      </w:r>
      <w:r w:rsidR="00547126" w:rsidRPr="00C43975">
        <w:rPr>
          <w:rFonts w:ascii="Arial" w:hAnsi="Arial" w:cs="Arial"/>
        </w:rPr>
        <w:t xml:space="preserve">Bank </w:t>
      </w:r>
      <w:r w:rsidR="00C82AD1" w:rsidRPr="00C43975">
        <w:rPr>
          <w:rFonts w:ascii="Arial" w:hAnsi="Arial" w:cs="Arial"/>
        </w:rPr>
        <w:t>classification</w:t>
      </w:r>
      <w:r w:rsidR="00FC0A61" w:rsidRPr="00C43975">
        <w:rPr>
          <w:rFonts w:ascii="Arial" w:hAnsi="Arial" w:cs="Arial"/>
        </w:rPr>
        <w:fldChar w:fldCharType="begin" w:fldLock="1"/>
      </w:r>
      <w:r w:rsidR="00FA2A64" w:rsidRPr="00C43975">
        <w:rPr>
          <w:rFonts w:ascii="Arial" w:hAnsi="Arial" w:cs="Arial"/>
        </w:rPr>
        <w:instrText>ADDIN CSL_CITATION {"citationItems":[{"id":"ITEM-1","itemData":{"URL":"https://datahelpdesk.worldbank.org/knowledgebase/articles/906519","abstract":"For the current 2017 fiscal year, low-income economies are defined as those with a GNI per capita, calculated using the World Bank Atlas method, of $1,025 or less in 2015; lower middle-income economies are those with a GNI per capita between $1,026 and $4,035; upper middle-income economies are those with a GNI per capita between $4,036 and $12,475; high-income economies are those with a GNI per capita of $12,476 or more.","accessed":{"date-parts":[["2019","12","1"]]},"author":[{"dropping-particle":"","family":"World Bank","given":"","non-dropping-particle":"","parse-names":false,"suffix":""}],"container-title":"The World Bank","id":"ITEM-1","issued":{"date-parts":[["2019"]]},"title":"World Bank Country and Lending Groups – World Bank Data Help Desk","type":"webpage"},"uris":["http://www.mendeley.com/documents/?uuid=95c1fe78-1a8b-423a-8975-ba2abc426299"]}],"mendeley":{"formattedCitation":"&lt;sup&gt;&lt;sup&gt;12&lt;/sup&gt;&lt;/sup&gt;","plainTextFormattedCitation":"12","previouslyFormattedCitation":"&lt;sup&gt;&lt;sup&gt;12&lt;/sup&gt;&lt;/sup&gt;"},"properties":{"noteIndex":0},"schema":"https://github.com/citation-style-language/schema/raw/master/csl-citation.json"}</w:instrText>
      </w:r>
      <w:r w:rsidR="00FC0A61" w:rsidRPr="00C43975">
        <w:rPr>
          <w:rFonts w:ascii="Arial" w:hAnsi="Arial" w:cs="Arial"/>
        </w:rPr>
        <w:fldChar w:fldCharType="separate"/>
      </w:r>
      <w:r w:rsidR="00E51D07" w:rsidRPr="00C43975">
        <w:rPr>
          <w:rFonts w:ascii="Arial" w:hAnsi="Arial" w:cs="Arial"/>
          <w:noProof/>
          <w:vertAlign w:val="superscript"/>
        </w:rPr>
        <w:t>12</w:t>
      </w:r>
      <w:r w:rsidR="00FC0A61" w:rsidRPr="00C43975">
        <w:rPr>
          <w:rFonts w:ascii="Arial" w:hAnsi="Arial" w:cs="Arial"/>
        </w:rPr>
        <w:fldChar w:fldCharType="end"/>
      </w:r>
      <w:r w:rsidR="00C82AD1" w:rsidRPr="00C43975">
        <w:rPr>
          <w:rFonts w:ascii="Arial" w:hAnsi="Arial" w:cs="Arial"/>
        </w:rPr>
        <w:t>.</w:t>
      </w:r>
    </w:p>
    <w:p w14:paraId="24652ACC" w14:textId="77777777" w:rsidR="00AD7FBF" w:rsidRPr="00C43975" w:rsidRDefault="00AD7FBF" w:rsidP="00C43975">
      <w:pPr>
        <w:spacing w:line="480" w:lineRule="auto"/>
        <w:jc w:val="both"/>
        <w:rPr>
          <w:rFonts w:ascii="Arial" w:hAnsi="Arial" w:cs="Arial"/>
        </w:rPr>
      </w:pPr>
    </w:p>
    <w:p w14:paraId="58279F30" w14:textId="19C00A26" w:rsidR="00AD7FBF" w:rsidRPr="00C43975" w:rsidRDefault="00A41C41" w:rsidP="00C43975">
      <w:pPr>
        <w:spacing w:line="480" w:lineRule="auto"/>
        <w:jc w:val="both"/>
        <w:rPr>
          <w:rFonts w:ascii="Arial" w:hAnsi="Arial" w:cs="Arial"/>
        </w:rPr>
      </w:pPr>
      <w:r w:rsidRPr="00C43975">
        <w:rPr>
          <w:rFonts w:ascii="Arial" w:hAnsi="Arial" w:cs="Arial"/>
          <w:i/>
        </w:rPr>
        <w:t xml:space="preserve">Statistical </w:t>
      </w:r>
      <w:r w:rsidR="00AD7FBF" w:rsidRPr="00C43975">
        <w:rPr>
          <w:rFonts w:ascii="Arial" w:hAnsi="Arial" w:cs="Arial"/>
          <w:i/>
        </w:rPr>
        <w:t xml:space="preserve">analysis </w:t>
      </w:r>
    </w:p>
    <w:p w14:paraId="63697A43" w14:textId="076CC2D8" w:rsidR="00D85098" w:rsidRPr="00C43975" w:rsidRDefault="00E7020B" w:rsidP="00C43975">
      <w:pPr>
        <w:pStyle w:val="PlainText"/>
        <w:spacing w:line="480" w:lineRule="auto"/>
        <w:jc w:val="both"/>
        <w:rPr>
          <w:rFonts w:ascii="Arial" w:hAnsi="Arial" w:cs="Arial"/>
          <w:color w:val="000000"/>
          <w:sz w:val="24"/>
          <w:szCs w:val="24"/>
          <w:lang w:val="en-US"/>
        </w:rPr>
      </w:pPr>
      <w:r w:rsidRPr="00C43975">
        <w:rPr>
          <w:rFonts w:ascii="Arial" w:hAnsi="Arial" w:cs="Arial"/>
          <w:sz w:val="24"/>
          <w:szCs w:val="24"/>
          <w:lang w:val="en-US"/>
        </w:rPr>
        <w:t>Descriptive analys</w:t>
      </w:r>
      <w:r w:rsidR="00BA50C9" w:rsidRPr="00C43975">
        <w:rPr>
          <w:rFonts w:ascii="Arial" w:hAnsi="Arial" w:cs="Arial"/>
          <w:sz w:val="24"/>
          <w:szCs w:val="24"/>
          <w:lang w:val="en-US"/>
        </w:rPr>
        <w:t>e</w:t>
      </w:r>
      <w:r w:rsidRPr="00C43975">
        <w:rPr>
          <w:rFonts w:ascii="Arial" w:hAnsi="Arial" w:cs="Arial"/>
          <w:sz w:val="24"/>
          <w:szCs w:val="24"/>
          <w:lang w:val="en-US"/>
        </w:rPr>
        <w:t>s w</w:t>
      </w:r>
      <w:r w:rsidR="00BA50C9" w:rsidRPr="00C43975">
        <w:rPr>
          <w:rFonts w:ascii="Arial" w:hAnsi="Arial" w:cs="Arial"/>
          <w:sz w:val="24"/>
          <w:szCs w:val="24"/>
          <w:lang w:val="en-US"/>
        </w:rPr>
        <w:t xml:space="preserve">ere </w:t>
      </w:r>
      <w:r w:rsidRPr="00C43975">
        <w:rPr>
          <w:rFonts w:ascii="Arial" w:hAnsi="Arial" w:cs="Arial"/>
          <w:sz w:val="24"/>
          <w:szCs w:val="24"/>
          <w:lang w:val="en-US"/>
        </w:rPr>
        <w:t xml:space="preserve">performed to </w:t>
      </w:r>
      <w:proofErr w:type="spellStart"/>
      <w:r w:rsidRPr="00C43975">
        <w:rPr>
          <w:rFonts w:ascii="Arial" w:hAnsi="Arial" w:cs="Arial"/>
          <w:sz w:val="24"/>
          <w:szCs w:val="24"/>
          <w:lang w:val="en-US"/>
        </w:rPr>
        <w:t>characterise</w:t>
      </w:r>
      <w:proofErr w:type="spellEnd"/>
      <w:r w:rsidRPr="00C43975">
        <w:rPr>
          <w:rFonts w:ascii="Arial" w:hAnsi="Arial" w:cs="Arial"/>
          <w:sz w:val="24"/>
          <w:szCs w:val="24"/>
          <w:lang w:val="en-US"/>
        </w:rPr>
        <w:t xml:space="preserve"> patients, antifungal prescriptions, </w:t>
      </w:r>
      <w:r w:rsidR="009C0EF5" w:rsidRPr="00C43975">
        <w:rPr>
          <w:rFonts w:ascii="Arial" w:hAnsi="Arial" w:cs="Arial"/>
          <w:sz w:val="24"/>
          <w:szCs w:val="24"/>
          <w:lang w:val="en-US"/>
        </w:rPr>
        <w:t>clinical indication</w:t>
      </w:r>
      <w:r w:rsidR="00546E18" w:rsidRPr="00C43975">
        <w:rPr>
          <w:rFonts w:ascii="Arial" w:hAnsi="Arial" w:cs="Arial"/>
          <w:sz w:val="24"/>
          <w:szCs w:val="24"/>
          <w:lang w:val="en-US"/>
        </w:rPr>
        <w:t xml:space="preserve">, and comorbidity. </w:t>
      </w:r>
      <w:r w:rsidR="00BA3BBB" w:rsidRPr="00C43975">
        <w:rPr>
          <w:rFonts w:ascii="Arial" w:hAnsi="Arial" w:cs="Arial"/>
          <w:sz w:val="24"/>
          <w:szCs w:val="24"/>
          <w:lang w:val="en-US"/>
        </w:rPr>
        <w:t>Data are expressed as the mean and standard devia</w:t>
      </w:r>
      <w:r w:rsidR="00435701" w:rsidRPr="00C43975">
        <w:rPr>
          <w:rFonts w:ascii="Arial" w:hAnsi="Arial" w:cs="Arial"/>
          <w:sz w:val="24"/>
          <w:szCs w:val="24"/>
          <w:lang w:val="en-US"/>
        </w:rPr>
        <w:t>tion (SD) or median with interquartile range (IQR)</w:t>
      </w:r>
      <w:r w:rsidR="0126B02B" w:rsidRPr="00C43975">
        <w:rPr>
          <w:rFonts w:ascii="Arial" w:hAnsi="Arial" w:cs="Arial"/>
          <w:sz w:val="24"/>
          <w:szCs w:val="24"/>
          <w:lang w:val="en-US"/>
        </w:rPr>
        <w:t>, as appropriate</w:t>
      </w:r>
      <w:r w:rsidR="00435701" w:rsidRPr="00C43975">
        <w:rPr>
          <w:rFonts w:ascii="Arial" w:hAnsi="Arial" w:cs="Arial"/>
          <w:sz w:val="24"/>
          <w:szCs w:val="24"/>
          <w:lang w:val="en-US"/>
        </w:rPr>
        <w:t xml:space="preserve">. </w:t>
      </w:r>
      <w:r w:rsidR="00A41C41" w:rsidRPr="00C43975">
        <w:rPr>
          <w:rFonts w:ascii="Arial" w:hAnsi="Arial" w:cs="Arial"/>
          <w:sz w:val="24"/>
          <w:szCs w:val="24"/>
          <w:lang w:val="en-US"/>
        </w:rPr>
        <w:t xml:space="preserve">All analyses were stratified by </w:t>
      </w:r>
      <w:r w:rsidR="00F1193C" w:rsidRPr="00C43975">
        <w:rPr>
          <w:rFonts w:ascii="Arial" w:hAnsi="Arial" w:cs="Arial"/>
          <w:sz w:val="24"/>
          <w:szCs w:val="24"/>
          <w:lang w:val="en-US"/>
        </w:rPr>
        <w:t xml:space="preserve">age group (e.g. </w:t>
      </w:r>
      <w:r w:rsidR="00A41C41" w:rsidRPr="00C43975">
        <w:rPr>
          <w:rFonts w:ascii="Arial" w:hAnsi="Arial" w:cs="Arial"/>
          <w:sz w:val="24"/>
          <w:szCs w:val="24"/>
          <w:lang w:val="en-US"/>
        </w:rPr>
        <w:t>neonates</w:t>
      </w:r>
      <w:r w:rsidR="00F1193C" w:rsidRPr="00C43975">
        <w:rPr>
          <w:rFonts w:ascii="Arial" w:hAnsi="Arial" w:cs="Arial"/>
          <w:sz w:val="24"/>
          <w:szCs w:val="24"/>
          <w:lang w:val="en-US"/>
        </w:rPr>
        <w:t xml:space="preserve"> or</w:t>
      </w:r>
      <w:r w:rsidR="00A41C41" w:rsidRPr="00C43975">
        <w:rPr>
          <w:rFonts w:ascii="Arial" w:hAnsi="Arial" w:cs="Arial"/>
          <w:sz w:val="24"/>
          <w:szCs w:val="24"/>
          <w:lang w:val="en-US"/>
        </w:rPr>
        <w:t xml:space="preserve"> children</w:t>
      </w:r>
      <w:r w:rsidR="00F1193C" w:rsidRPr="00C43975">
        <w:rPr>
          <w:rFonts w:ascii="Arial" w:hAnsi="Arial" w:cs="Arial"/>
          <w:sz w:val="24"/>
          <w:szCs w:val="24"/>
          <w:lang w:val="en-US"/>
        </w:rPr>
        <w:t>)</w:t>
      </w:r>
      <w:r w:rsidR="00A41C41" w:rsidRPr="00C43975">
        <w:rPr>
          <w:rFonts w:ascii="Arial" w:hAnsi="Arial" w:cs="Arial"/>
          <w:sz w:val="24"/>
          <w:szCs w:val="24"/>
          <w:lang w:val="en-US"/>
        </w:rPr>
        <w:t xml:space="preserve">, and </w:t>
      </w:r>
      <w:r w:rsidR="00C82AD1" w:rsidRPr="00C43975">
        <w:rPr>
          <w:rFonts w:ascii="Arial" w:hAnsi="Arial" w:cs="Arial"/>
          <w:sz w:val="24"/>
          <w:szCs w:val="24"/>
          <w:lang w:val="en-US"/>
        </w:rPr>
        <w:t>country income level</w:t>
      </w:r>
      <w:r w:rsidR="00A41C41" w:rsidRPr="00C43975">
        <w:rPr>
          <w:rFonts w:ascii="Arial" w:hAnsi="Arial" w:cs="Arial"/>
          <w:sz w:val="24"/>
          <w:szCs w:val="24"/>
          <w:lang w:val="en-US"/>
        </w:rPr>
        <w:t xml:space="preserve">. </w:t>
      </w:r>
      <w:r w:rsidR="00035167" w:rsidRPr="00C43975">
        <w:rPr>
          <w:rFonts w:ascii="Arial" w:hAnsi="Arial" w:cs="Arial"/>
          <w:sz w:val="24"/>
          <w:szCs w:val="24"/>
          <w:lang w:val="en-US"/>
        </w:rPr>
        <w:t>Clinical</w:t>
      </w:r>
      <w:r w:rsidR="00F1193C" w:rsidRPr="00C43975">
        <w:rPr>
          <w:rFonts w:ascii="Arial" w:hAnsi="Arial" w:cs="Arial"/>
          <w:sz w:val="24"/>
          <w:szCs w:val="24"/>
          <w:lang w:val="en-US"/>
        </w:rPr>
        <w:t xml:space="preserve"> c</w:t>
      </w:r>
      <w:r w:rsidR="00C82AD1" w:rsidRPr="00C43975">
        <w:rPr>
          <w:rFonts w:ascii="Arial" w:hAnsi="Arial" w:cs="Arial"/>
          <w:color w:val="000000"/>
          <w:sz w:val="24"/>
          <w:szCs w:val="24"/>
          <w:lang w:val="en-US"/>
        </w:rPr>
        <w:t>haracteristics w</w:t>
      </w:r>
      <w:r w:rsidR="00F1193C" w:rsidRPr="00C43975">
        <w:rPr>
          <w:rFonts w:ascii="Arial" w:hAnsi="Arial" w:cs="Arial"/>
          <w:color w:val="000000"/>
          <w:sz w:val="24"/>
          <w:szCs w:val="24"/>
          <w:lang w:val="en-US"/>
        </w:rPr>
        <w:t>ere</w:t>
      </w:r>
      <w:r w:rsidR="00C82AD1" w:rsidRPr="00C43975">
        <w:rPr>
          <w:rFonts w:ascii="Arial" w:hAnsi="Arial" w:cs="Arial"/>
          <w:color w:val="000000"/>
          <w:sz w:val="24"/>
          <w:szCs w:val="24"/>
          <w:lang w:val="en-US"/>
        </w:rPr>
        <w:t xml:space="preserve"> compared using the Mann–Whitney </w:t>
      </w:r>
      <w:r w:rsidR="00C82AD1" w:rsidRPr="00C43975">
        <w:rPr>
          <w:rFonts w:ascii="Arial" w:hAnsi="Arial" w:cs="Arial"/>
          <w:i/>
          <w:iCs/>
          <w:color w:val="000000"/>
          <w:sz w:val="24"/>
          <w:szCs w:val="24"/>
          <w:lang w:val="en-US"/>
        </w:rPr>
        <w:t xml:space="preserve">U </w:t>
      </w:r>
      <w:r w:rsidR="00C82AD1" w:rsidRPr="00C43975">
        <w:rPr>
          <w:rFonts w:ascii="Arial" w:hAnsi="Arial" w:cs="Arial"/>
          <w:color w:val="000000"/>
          <w:sz w:val="24"/>
          <w:szCs w:val="24"/>
          <w:lang w:val="en-US"/>
        </w:rPr>
        <w:t xml:space="preserve">or </w:t>
      </w:r>
      <w:proofErr w:type="spellStart"/>
      <w:r w:rsidR="00C82AD1" w:rsidRPr="00C43975">
        <w:rPr>
          <w:rFonts w:ascii="Arial" w:hAnsi="Arial" w:cs="Arial"/>
          <w:color w:val="000000"/>
          <w:sz w:val="24"/>
          <w:szCs w:val="24"/>
          <w:lang w:val="en-US"/>
        </w:rPr>
        <w:t>Kruskall</w:t>
      </w:r>
      <w:proofErr w:type="spellEnd"/>
      <w:r w:rsidR="00C82AD1" w:rsidRPr="00C43975">
        <w:rPr>
          <w:rFonts w:ascii="Arial" w:hAnsi="Arial" w:cs="Arial"/>
          <w:color w:val="000000"/>
          <w:sz w:val="24"/>
          <w:szCs w:val="24"/>
          <w:lang w:val="en-US"/>
        </w:rPr>
        <w:t>-Wallis test for continuous variables, and x</w:t>
      </w:r>
      <w:r w:rsidR="00C82AD1" w:rsidRPr="00C43975">
        <w:rPr>
          <w:rFonts w:ascii="Arial" w:hAnsi="Arial" w:cs="Arial"/>
          <w:color w:val="000000"/>
          <w:position w:val="8"/>
          <w:sz w:val="24"/>
          <w:szCs w:val="24"/>
          <w:vertAlign w:val="superscript"/>
          <w:lang w:val="en-US"/>
        </w:rPr>
        <w:t>2</w:t>
      </w:r>
      <w:r w:rsidR="00C82AD1" w:rsidRPr="00C43975">
        <w:rPr>
          <w:rFonts w:ascii="Arial" w:hAnsi="Arial" w:cs="Arial"/>
          <w:color w:val="000000"/>
          <w:position w:val="8"/>
          <w:sz w:val="24"/>
          <w:szCs w:val="24"/>
          <w:lang w:val="en-US"/>
        </w:rPr>
        <w:t xml:space="preserve"> </w:t>
      </w:r>
      <w:r w:rsidR="00C82AD1" w:rsidRPr="00C43975">
        <w:rPr>
          <w:rFonts w:ascii="Arial" w:hAnsi="Arial" w:cs="Arial"/>
          <w:color w:val="000000"/>
          <w:sz w:val="24"/>
          <w:szCs w:val="24"/>
          <w:lang w:val="en-US"/>
        </w:rPr>
        <w:t xml:space="preserve">test for categorical parameters. </w:t>
      </w:r>
      <w:r w:rsidR="0126B02B" w:rsidRPr="00C43975">
        <w:rPr>
          <w:rFonts w:ascii="Arial" w:hAnsi="Arial" w:cs="Arial"/>
          <w:sz w:val="24"/>
          <w:szCs w:val="24"/>
          <w:lang w:val="en-US"/>
        </w:rPr>
        <w:t>S</w:t>
      </w:r>
      <w:r w:rsidR="00C82AD1" w:rsidRPr="00C43975">
        <w:rPr>
          <w:rFonts w:ascii="Arial" w:hAnsi="Arial" w:cs="Arial"/>
          <w:sz w:val="24"/>
          <w:szCs w:val="24"/>
          <w:lang w:val="en-US"/>
        </w:rPr>
        <w:t xml:space="preserve">tatistical significance was defined as P&lt; 0.05. </w:t>
      </w:r>
      <w:r w:rsidR="00435701" w:rsidRPr="00C43975">
        <w:rPr>
          <w:rFonts w:ascii="Arial" w:hAnsi="Arial" w:cs="Arial"/>
          <w:sz w:val="24"/>
          <w:szCs w:val="24"/>
          <w:lang w:val="en-US"/>
        </w:rPr>
        <w:t xml:space="preserve">All statistical analyses were performed using </w:t>
      </w:r>
      <w:r w:rsidR="009C0EF5" w:rsidRPr="00C43975">
        <w:rPr>
          <w:rFonts w:ascii="Arial" w:hAnsi="Arial" w:cs="Arial"/>
          <w:sz w:val="24"/>
          <w:szCs w:val="24"/>
          <w:lang w:val="en-US"/>
        </w:rPr>
        <w:t xml:space="preserve">Stata SE software version 14.0. </w:t>
      </w:r>
    </w:p>
    <w:p w14:paraId="320F659D" w14:textId="77777777" w:rsidR="00D85098" w:rsidRPr="00C43975" w:rsidRDefault="00D85098" w:rsidP="00C43975">
      <w:pPr>
        <w:pStyle w:val="PlainText"/>
        <w:spacing w:line="480" w:lineRule="auto"/>
        <w:jc w:val="both"/>
        <w:rPr>
          <w:rFonts w:ascii="Arial" w:hAnsi="Arial" w:cs="Arial"/>
          <w:sz w:val="24"/>
          <w:szCs w:val="24"/>
          <w:lang w:val="en-US"/>
        </w:rPr>
      </w:pPr>
    </w:p>
    <w:p w14:paraId="480B2F5A" w14:textId="4D8EB56C" w:rsidR="003531FE" w:rsidRPr="00C43975" w:rsidRDefault="00A347D9" w:rsidP="00C43975">
      <w:pPr>
        <w:pStyle w:val="PlainText"/>
        <w:spacing w:line="480" w:lineRule="auto"/>
        <w:rPr>
          <w:rFonts w:ascii="Arial" w:hAnsi="Arial" w:cs="Arial"/>
          <w:b/>
          <w:sz w:val="24"/>
          <w:szCs w:val="24"/>
          <w:lang w:val="en-US"/>
        </w:rPr>
      </w:pPr>
      <w:r w:rsidRPr="00C43975">
        <w:rPr>
          <w:rFonts w:ascii="Arial" w:hAnsi="Arial" w:cs="Arial"/>
          <w:b/>
          <w:sz w:val="24"/>
          <w:szCs w:val="24"/>
          <w:lang w:val="en-US"/>
        </w:rPr>
        <w:t>Results</w:t>
      </w:r>
    </w:p>
    <w:p w14:paraId="0C756253" w14:textId="01066BD2" w:rsidR="003531FE" w:rsidRPr="00C43975" w:rsidRDefault="003531FE" w:rsidP="00C43975">
      <w:pPr>
        <w:spacing w:line="480" w:lineRule="auto"/>
        <w:jc w:val="both"/>
        <w:rPr>
          <w:rFonts w:ascii="Arial" w:hAnsi="Arial" w:cs="Arial"/>
          <w:i/>
        </w:rPr>
      </w:pPr>
    </w:p>
    <w:p w14:paraId="0BCC53A6" w14:textId="52FAA193" w:rsidR="00DD2265" w:rsidRPr="00C43975" w:rsidRDefault="00F1193C" w:rsidP="00C43975">
      <w:pPr>
        <w:spacing w:line="480" w:lineRule="auto"/>
        <w:jc w:val="both"/>
        <w:rPr>
          <w:rFonts w:ascii="Arial" w:hAnsi="Arial" w:cs="Arial"/>
          <w:i/>
        </w:rPr>
      </w:pPr>
      <w:r w:rsidRPr="00C43975">
        <w:rPr>
          <w:rFonts w:ascii="Arial" w:hAnsi="Arial" w:cs="Arial"/>
          <w:i/>
        </w:rPr>
        <w:t>Population and c</w:t>
      </w:r>
      <w:r w:rsidR="003531FE" w:rsidRPr="00C43975">
        <w:rPr>
          <w:rFonts w:ascii="Arial" w:hAnsi="Arial" w:cs="Arial"/>
          <w:i/>
        </w:rPr>
        <w:t>ountry distribution</w:t>
      </w:r>
    </w:p>
    <w:p w14:paraId="22EDCA6B" w14:textId="77777777" w:rsidR="00F1193C" w:rsidRPr="00C43975" w:rsidRDefault="00F1193C" w:rsidP="00C43975">
      <w:pPr>
        <w:spacing w:line="480" w:lineRule="auto"/>
        <w:jc w:val="both"/>
        <w:rPr>
          <w:rFonts w:ascii="Arial" w:hAnsi="Arial" w:cs="Arial"/>
          <w:i/>
        </w:rPr>
      </w:pPr>
    </w:p>
    <w:p w14:paraId="06A5758A" w14:textId="11318BCC" w:rsidR="00230DE9" w:rsidRPr="00C43975" w:rsidRDefault="00F1193C" w:rsidP="00C43975">
      <w:pPr>
        <w:spacing w:line="480" w:lineRule="auto"/>
        <w:rPr>
          <w:rFonts w:ascii="Arial" w:hAnsi="Arial" w:cs="Arial"/>
        </w:rPr>
      </w:pPr>
      <w:r w:rsidRPr="00C43975">
        <w:rPr>
          <w:rFonts w:ascii="Arial" w:hAnsi="Arial" w:cs="Arial"/>
        </w:rPr>
        <w:t>In GARPEC-PPS project, a</w:t>
      </w:r>
      <w:r w:rsidR="005C6A15" w:rsidRPr="00C43975">
        <w:rPr>
          <w:rFonts w:ascii="Arial" w:hAnsi="Arial" w:cs="Arial"/>
        </w:rPr>
        <w:t xml:space="preserve"> total of 13,410 children were </w:t>
      </w:r>
      <w:r w:rsidR="00E70E45" w:rsidRPr="00C43975">
        <w:rPr>
          <w:rFonts w:ascii="Arial" w:hAnsi="Arial" w:cs="Arial"/>
        </w:rPr>
        <w:t xml:space="preserve">included from </w:t>
      </w:r>
      <w:r w:rsidR="00E95181" w:rsidRPr="00C43975">
        <w:rPr>
          <w:rFonts w:ascii="Arial" w:hAnsi="Arial" w:cs="Arial"/>
        </w:rPr>
        <w:t>2</w:t>
      </w:r>
      <w:r w:rsidR="007150C5" w:rsidRPr="00C43975">
        <w:rPr>
          <w:rFonts w:ascii="Arial" w:hAnsi="Arial" w:cs="Arial"/>
        </w:rPr>
        <w:t>3</w:t>
      </w:r>
      <w:r w:rsidR="00E95181" w:rsidRPr="00C43975">
        <w:rPr>
          <w:rFonts w:ascii="Arial" w:hAnsi="Arial" w:cs="Arial"/>
        </w:rPr>
        <w:t xml:space="preserve"> </w:t>
      </w:r>
      <w:r w:rsidR="00C2279E" w:rsidRPr="00C43975">
        <w:rPr>
          <w:rFonts w:ascii="Arial" w:hAnsi="Arial" w:cs="Arial"/>
        </w:rPr>
        <w:t xml:space="preserve">countries and </w:t>
      </w:r>
      <w:r w:rsidR="007150C5" w:rsidRPr="00C43975">
        <w:rPr>
          <w:rFonts w:ascii="Arial" w:hAnsi="Arial" w:cs="Arial"/>
        </w:rPr>
        <w:t>65</w:t>
      </w:r>
      <w:r w:rsidR="00E84091" w:rsidRPr="00C43975">
        <w:rPr>
          <w:rFonts w:ascii="Arial" w:hAnsi="Arial" w:cs="Arial"/>
        </w:rPr>
        <w:t xml:space="preserve"> </w:t>
      </w:r>
      <w:r w:rsidR="00C2279E" w:rsidRPr="00C43975">
        <w:rPr>
          <w:rFonts w:ascii="Arial" w:hAnsi="Arial" w:cs="Arial"/>
        </w:rPr>
        <w:t>hospitals</w:t>
      </w:r>
      <w:r w:rsidR="005C6A15" w:rsidRPr="00C43975">
        <w:rPr>
          <w:rFonts w:ascii="Arial" w:hAnsi="Arial" w:cs="Arial"/>
        </w:rPr>
        <w:t xml:space="preserve">. </w:t>
      </w:r>
      <w:r w:rsidR="00AD6ED8" w:rsidRPr="00C43975">
        <w:rPr>
          <w:rFonts w:ascii="Arial" w:hAnsi="Arial" w:cs="Arial"/>
        </w:rPr>
        <w:t>Overall,</w:t>
      </w:r>
      <w:r w:rsidR="005C6A15" w:rsidRPr="00C43975">
        <w:rPr>
          <w:rFonts w:ascii="Arial" w:hAnsi="Arial" w:cs="Arial"/>
        </w:rPr>
        <w:t xml:space="preserve"> </w:t>
      </w:r>
      <w:r w:rsidR="00B86AB6" w:rsidRPr="00C43975">
        <w:rPr>
          <w:rFonts w:ascii="Arial" w:hAnsi="Arial" w:cs="Arial"/>
        </w:rPr>
        <w:t>62.6</w:t>
      </w:r>
      <w:r w:rsidR="005C6A15" w:rsidRPr="00C43975">
        <w:rPr>
          <w:rFonts w:ascii="Arial" w:hAnsi="Arial" w:cs="Arial"/>
        </w:rPr>
        <w:t>% (</w:t>
      </w:r>
      <w:r w:rsidR="00D55A28" w:rsidRPr="00C43975">
        <w:rPr>
          <w:rFonts w:ascii="Arial" w:hAnsi="Arial" w:cs="Arial"/>
        </w:rPr>
        <w:t>8,397</w:t>
      </w:r>
      <w:r w:rsidR="005C6A15" w:rsidRPr="00C43975">
        <w:rPr>
          <w:rFonts w:ascii="Arial" w:hAnsi="Arial" w:cs="Arial"/>
        </w:rPr>
        <w:t>/13,410)</w:t>
      </w:r>
      <w:r w:rsidR="00AD6ED8" w:rsidRPr="00C43975">
        <w:rPr>
          <w:rFonts w:ascii="Arial" w:hAnsi="Arial" w:cs="Arial"/>
        </w:rPr>
        <w:t xml:space="preserve"> were patients from</w:t>
      </w:r>
      <w:r w:rsidR="005C6A15" w:rsidRPr="00C43975">
        <w:rPr>
          <w:rFonts w:ascii="Arial" w:hAnsi="Arial" w:cs="Arial"/>
        </w:rPr>
        <w:t xml:space="preserve"> HIC while </w:t>
      </w:r>
      <w:r w:rsidR="00D55A28" w:rsidRPr="00C43975">
        <w:rPr>
          <w:rFonts w:ascii="Arial" w:hAnsi="Arial" w:cs="Arial"/>
        </w:rPr>
        <w:t>37.4</w:t>
      </w:r>
      <w:r w:rsidR="005C6A15" w:rsidRPr="00C43975">
        <w:rPr>
          <w:rFonts w:ascii="Arial" w:hAnsi="Arial" w:cs="Arial"/>
        </w:rPr>
        <w:t>% (</w:t>
      </w:r>
      <w:r w:rsidR="00D55A28" w:rsidRPr="00C43975">
        <w:rPr>
          <w:rFonts w:ascii="Arial" w:hAnsi="Arial" w:cs="Arial"/>
        </w:rPr>
        <w:t>5,013</w:t>
      </w:r>
      <w:r w:rsidR="005C6A15" w:rsidRPr="00C43975">
        <w:rPr>
          <w:rFonts w:ascii="Arial" w:hAnsi="Arial" w:cs="Arial"/>
        </w:rPr>
        <w:t xml:space="preserve">/13,410) were </w:t>
      </w:r>
      <w:r w:rsidR="00F80E5D" w:rsidRPr="00C43975">
        <w:rPr>
          <w:rFonts w:ascii="Arial" w:hAnsi="Arial" w:cs="Arial"/>
        </w:rPr>
        <w:t>from</w:t>
      </w:r>
      <w:r w:rsidR="005C6A15" w:rsidRPr="00C43975">
        <w:rPr>
          <w:rFonts w:ascii="Arial" w:hAnsi="Arial" w:cs="Arial"/>
        </w:rPr>
        <w:t xml:space="preserve"> LMIC</w:t>
      </w:r>
      <w:r w:rsidR="007150C5" w:rsidRPr="00C43975">
        <w:rPr>
          <w:rFonts w:ascii="Arial" w:hAnsi="Arial" w:cs="Arial"/>
        </w:rPr>
        <w:t>. Data on antifungal</w:t>
      </w:r>
      <w:r w:rsidR="00307414" w:rsidRPr="00C43975">
        <w:rPr>
          <w:rFonts w:ascii="Arial" w:hAnsi="Arial" w:cs="Arial"/>
        </w:rPr>
        <w:t xml:space="preserve"> pre</w:t>
      </w:r>
      <w:r w:rsidR="007150C5" w:rsidRPr="00C43975">
        <w:rPr>
          <w:rFonts w:ascii="Arial" w:hAnsi="Arial" w:cs="Arial"/>
        </w:rPr>
        <w:t>s</w:t>
      </w:r>
      <w:r w:rsidR="00307414" w:rsidRPr="00C43975">
        <w:rPr>
          <w:rFonts w:ascii="Arial" w:hAnsi="Arial" w:cs="Arial"/>
        </w:rPr>
        <w:t>cription</w:t>
      </w:r>
      <w:r w:rsidR="004941EF" w:rsidRPr="00C43975">
        <w:rPr>
          <w:rFonts w:ascii="Arial" w:hAnsi="Arial" w:cs="Arial"/>
        </w:rPr>
        <w:t>s</w:t>
      </w:r>
      <w:r w:rsidR="007150C5" w:rsidRPr="00C43975">
        <w:rPr>
          <w:rFonts w:ascii="Arial" w:hAnsi="Arial" w:cs="Arial"/>
        </w:rPr>
        <w:t xml:space="preserve"> w</w:t>
      </w:r>
      <w:r w:rsidR="6D89E5EE" w:rsidRPr="00C43975">
        <w:rPr>
          <w:rFonts w:ascii="Arial" w:hAnsi="Arial" w:cs="Arial"/>
        </w:rPr>
        <w:t xml:space="preserve">ere </w:t>
      </w:r>
      <w:r w:rsidR="007150C5" w:rsidRPr="00C43975">
        <w:rPr>
          <w:rFonts w:ascii="Arial" w:hAnsi="Arial" w:cs="Arial"/>
        </w:rPr>
        <w:t xml:space="preserve">provided by </w:t>
      </w:r>
      <w:r w:rsidRPr="00C43975">
        <w:rPr>
          <w:rFonts w:ascii="Arial" w:hAnsi="Arial" w:cs="Arial"/>
        </w:rPr>
        <w:t xml:space="preserve">56 </w:t>
      </w:r>
      <w:r w:rsidR="004941EF" w:rsidRPr="00C43975">
        <w:rPr>
          <w:rFonts w:ascii="Arial" w:hAnsi="Arial" w:cs="Arial"/>
        </w:rPr>
        <w:t xml:space="preserve">hospitals </w:t>
      </w:r>
      <w:r w:rsidRPr="00C43975">
        <w:rPr>
          <w:rFonts w:ascii="Arial" w:hAnsi="Arial" w:cs="Arial"/>
        </w:rPr>
        <w:t xml:space="preserve">from </w:t>
      </w:r>
      <w:r w:rsidR="007150C5" w:rsidRPr="00C43975">
        <w:rPr>
          <w:rFonts w:ascii="Arial" w:hAnsi="Arial" w:cs="Arial"/>
        </w:rPr>
        <w:t>20 countries</w:t>
      </w:r>
      <w:r w:rsidR="003E2265" w:rsidRPr="00C43975">
        <w:rPr>
          <w:rFonts w:ascii="Arial" w:hAnsi="Arial" w:cs="Arial"/>
        </w:rPr>
        <w:t xml:space="preserve">, of which 6 </w:t>
      </w:r>
      <w:r w:rsidR="004941EF" w:rsidRPr="00C43975">
        <w:rPr>
          <w:rFonts w:ascii="Arial" w:hAnsi="Arial" w:cs="Arial"/>
        </w:rPr>
        <w:t>countries</w:t>
      </w:r>
      <w:r w:rsidR="00426F66" w:rsidRPr="00C43975">
        <w:rPr>
          <w:rFonts w:ascii="Arial" w:hAnsi="Arial" w:cs="Arial"/>
        </w:rPr>
        <w:t xml:space="preserve"> (31 hospitals) </w:t>
      </w:r>
      <w:r w:rsidR="004941EF" w:rsidRPr="00C43975">
        <w:rPr>
          <w:rFonts w:ascii="Arial" w:hAnsi="Arial" w:cs="Arial"/>
        </w:rPr>
        <w:t xml:space="preserve"> </w:t>
      </w:r>
      <w:r w:rsidR="6D89E5EE" w:rsidRPr="00C43975">
        <w:rPr>
          <w:rFonts w:ascii="Arial" w:hAnsi="Arial" w:cs="Arial"/>
        </w:rPr>
        <w:t xml:space="preserve">were </w:t>
      </w:r>
      <w:r w:rsidR="003E2265" w:rsidRPr="00C43975">
        <w:rPr>
          <w:rFonts w:ascii="Arial" w:hAnsi="Arial" w:cs="Arial"/>
        </w:rPr>
        <w:t>LMIC</w:t>
      </w:r>
      <w:r w:rsidR="51427C45" w:rsidRPr="00C43975">
        <w:rPr>
          <w:rFonts w:ascii="Arial" w:hAnsi="Arial" w:cs="Arial"/>
        </w:rPr>
        <w:t>s</w:t>
      </w:r>
      <w:r w:rsidR="007150C5" w:rsidRPr="00C43975">
        <w:rPr>
          <w:rFonts w:ascii="Arial" w:hAnsi="Arial" w:cs="Arial"/>
        </w:rPr>
        <w:t xml:space="preserve"> </w:t>
      </w:r>
      <w:r w:rsidR="005C6A15" w:rsidRPr="00C43975">
        <w:rPr>
          <w:rFonts w:ascii="Arial" w:hAnsi="Arial" w:cs="Arial"/>
        </w:rPr>
        <w:t>(Figure 1).</w:t>
      </w:r>
      <w:r w:rsidR="00031707" w:rsidRPr="00C43975">
        <w:rPr>
          <w:rFonts w:ascii="Arial" w:hAnsi="Arial" w:cs="Arial"/>
        </w:rPr>
        <w:t xml:space="preserve"> </w:t>
      </w:r>
    </w:p>
    <w:p w14:paraId="095C9CCD" w14:textId="77777777" w:rsidR="00DD2265" w:rsidRPr="00C43975" w:rsidRDefault="00DD2265" w:rsidP="00C43975">
      <w:pPr>
        <w:spacing w:line="480" w:lineRule="auto"/>
        <w:rPr>
          <w:rFonts w:ascii="Arial" w:hAnsi="Arial" w:cs="Arial"/>
        </w:rPr>
      </w:pPr>
    </w:p>
    <w:p w14:paraId="05259436" w14:textId="28706831" w:rsidR="00C82D6E" w:rsidRPr="00C43975" w:rsidRDefault="004941EF" w:rsidP="00C43975">
      <w:pPr>
        <w:spacing w:line="480" w:lineRule="auto"/>
        <w:rPr>
          <w:rFonts w:ascii="Arial" w:hAnsi="Arial" w:cs="Arial"/>
        </w:rPr>
      </w:pPr>
      <w:r w:rsidRPr="00C43975">
        <w:rPr>
          <w:rFonts w:ascii="Arial" w:hAnsi="Arial" w:cs="Arial"/>
        </w:rPr>
        <w:t xml:space="preserve">Approximately </w:t>
      </w:r>
      <w:r w:rsidR="008D40F3" w:rsidRPr="00C43975">
        <w:rPr>
          <w:rFonts w:ascii="Arial" w:hAnsi="Arial" w:cs="Arial"/>
        </w:rPr>
        <w:t xml:space="preserve">8% (1,048/13,410) </w:t>
      </w:r>
      <w:r w:rsidR="008C528D" w:rsidRPr="00C43975">
        <w:rPr>
          <w:rFonts w:ascii="Arial" w:hAnsi="Arial" w:cs="Arial"/>
        </w:rPr>
        <w:t xml:space="preserve">of children received at least one antifungal drug. </w:t>
      </w:r>
      <w:r w:rsidRPr="00C43975">
        <w:rPr>
          <w:rFonts w:ascii="Arial" w:hAnsi="Arial" w:cs="Arial"/>
        </w:rPr>
        <w:t xml:space="preserve">There </w:t>
      </w:r>
      <w:r w:rsidR="00A31717" w:rsidRPr="00C43975">
        <w:rPr>
          <w:rFonts w:ascii="Arial" w:hAnsi="Arial" w:cs="Arial"/>
        </w:rPr>
        <w:t xml:space="preserve">was </w:t>
      </w:r>
      <w:r w:rsidR="00D85098" w:rsidRPr="00C43975">
        <w:rPr>
          <w:rFonts w:ascii="Arial" w:hAnsi="Arial" w:cs="Arial"/>
        </w:rPr>
        <w:t xml:space="preserve">a </w:t>
      </w:r>
      <w:r w:rsidRPr="00C43975">
        <w:rPr>
          <w:rFonts w:ascii="Arial" w:hAnsi="Arial" w:cs="Arial"/>
        </w:rPr>
        <w:t xml:space="preserve">significant difference of antifungal drug </w:t>
      </w:r>
      <w:r w:rsidR="00BA50C9" w:rsidRPr="00C43975">
        <w:rPr>
          <w:rFonts w:ascii="Arial" w:hAnsi="Arial" w:cs="Arial"/>
        </w:rPr>
        <w:t>use</w:t>
      </w:r>
      <w:r w:rsidRPr="00C43975">
        <w:rPr>
          <w:rFonts w:ascii="Arial" w:hAnsi="Arial" w:cs="Arial"/>
        </w:rPr>
        <w:t xml:space="preserve"> between countr</w:t>
      </w:r>
      <w:r w:rsidR="00D85098" w:rsidRPr="00C43975">
        <w:rPr>
          <w:rFonts w:ascii="Arial" w:hAnsi="Arial" w:cs="Arial"/>
        </w:rPr>
        <w:t>ies</w:t>
      </w:r>
      <w:r w:rsidRPr="00C43975">
        <w:rPr>
          <w:rFonts w:ascii="Arial" w:hAnsi="Arial" w:cs="Arial"/>
        </w:rPr>
        <w:t xml:space="preserve">. </w:t>
      </w:r>
      <w:r w:rsidR="00BA50C9" w:rsidRPr="00C43975">
        <w:rPr>
          <w:rFonts w:ascii="Arial" w:hAnsi="Arial" w:cs="Arial"/>
        </w:rPr>
        <w:t xml:space="preserve">The </w:t>
      </w:r>
      <w:r w:rsidR="00BA50C9" w:rsidRPr="00C43975">
        <w:rPr>
          <w:rFonts w:ascii="Arial" w:hAnsi="Arial" w:cs="Arial"/>
        </w:rPr>
        <w:lastRenderedPageBreak/>
        <w:t xml:space="preserve">majority of </w:t>
      </w:r>
      <w:r w:rsidR="006464DA" w:rsidRPr="00C43975">
        <w:rPr>
          <w:rFonts w:ascii="Arial" w:hAnsi="Arial" w:cs="Arial"/>
        </w:rPr>
        <w:t xml:space="preserve">prescriptions were </w:t>
      </w:r>
      <w:r w:rsidR="00BA50C9" w:rsidRPr="00C43975">
        <w:rPr>
          <w:rFonts w:ascii="Arial" w:hAnsi="Arial" w:cs="Arial"/>
        </w:rPr>
        <w:t>from</w:t>
      </w:r>
      <w:r w:rsidR="006140F4" w:rsidRPr="00C43975">
        <w:rPr>
          <w:rFonts w:ascii="Arial" w:hAnsi="Arial" w:cs="Arial"/>
        </w:rPr>
        <w:t xml:space="preserve"> </w:t>
      </w:r>
      <w:r w:rsidR="006464DA" w:rsidRPr="00C43975">
        <w:rPr>
          <w:rFonts w:ascii="Arial" w:hAnsi="Arial" w:cs="Arial"/>
        </w:rPr>
        <w:t xml:space="preserve">HIC compared to LMIC, </w:t>
      </w:r>
      <w:r w:rsidR="00D55A28" w:rsidRPr="00C43975">
        <w:rPr>
          <w:rFonts w:ascii="Arial" w:hAnsi="Arial" w:cs="Arial"/>
        </w:rPr>
        <w:t>76.2</w:t>
      </w:r>
      <w:r w:rsidR="005C6A15" w:rsidRPr="00C43975">
        <w:rPr>
          <w:rFonts w:ascii="Arial" w:hAnsi="Arial" w:cs="Arial"/>
        </w:rPr>
        <w:t>% (</w:t>
      </w:r>
      <w:r w:rsidR="00D55A28" w:rsidRPr="00C43975">
        <w:rPr>
          <w:rFonts w:ascii="Arial" w:hAnsi="Arial" w:cs="Arial"/>
        </w:rPr>
        <w:t>798</w:t>
      </w:r>
      <w:r w:rsidR="005C6A15" w:rsidRPr="00C43975">
        <w:rPr>
          <w:rFonts w:ascii="Arial" w:hAnsi="Arial" w:cs="Arial"/>
        </w:rPr>
        <w:t xml:space="preserve">/1,048) </w:t>
      </w:r>
      <w:r w:rsidR="006464DA" w:rsidRPr="00C43975">
        <w:rPr>
          <w:rFonts w:ascii="Arial" w:hAnsi="Arial" w:cs="Arial"/>
        </w:rPr>
        <w:t>vs</w:t>
      </w:r>
      <w:r w:rsidR="005C6A15" w:rsidRPr="00C43975">
        <w:rPr>
          <w:rFonts w:ascii="Arial" w:hAnsi="Arial" w:cs="Arial"/>
        </w:rPr>
        <w:t xml:space="preserve"> </w:t>
      </w:r>
      <w:r w:rsidR="00D55A28" w:rsidRPr="00C43975">
        <w:rPr>
          <w:rFonts w:ascii="Arial" w:hAnsi="Arial" w:cs="Arial"/>
        </w:rPr>
        <w:t>23.8</w:t>
      </w:r>
      <w:r w:rsidR="005C6A15" w:rsidRPr="00C43975">
        <w:rPr>
          <w:rFonts w:ascii="Arial" w:hAnsi="Arial" w:cs="Arial"/>
        </w:rPr>
        <w:t>% (</w:t>
      </w:r>
      <w:r w:rsidR="00D55A28" w:rsidRPr="00C43975">
        <w:rPr>
          <w:rFonts w:ascii="Arial" w:hAnsi="Arial" w:cs="Arial"/>
        </w:rPr>
        <w:t>250</w:t>
      </w:r>
      <w:r w:rsidR="005C6A15" w:rsidRPr="00C43975">
        <w:rPr>
          <w:rFonts w:ascii="Arial" w:hAnsi="Arial" w:cs="Arial"/>
        </w:rPr>
        <w:t>/1,048) (p&lt;0.</w:t>
      </w:r>
      <w:r w:rsidR="00D55A28" w:rsidRPr="00C43975">
        <w:rPr>
          <w:rFonts w:ascii="Arial" w:hAnsi="Arial" w:cs="Arial"/>
        </w:rPr>
        <w:t>01</w:t>
      </w:r>
      <w:r w:rsidR="005C6A15" w:rsidRPr="00C43975">
        <w:rPr>
          <w:rFonts w:ascii="Arial" w:hAnsi="Arial" w:cs="Arial"/>
        </w:rPr>
        <w:t>). The proportion of antifungal</w:t>
      </w:r>
      <w:r w:rsidR="00BA50C9" w:rsidRPr="00C43975">
        <w:rPr>
          <w:rFonts w:ascii="Arial" w:hAnsi="Arial" w:cs="Arial"/>
        </w:rPr>
        <w:t xml:space="preserve">s </w:t>
      </w:r>
      <w:r w:rsidR="005C6A15" w:rsidRPr="00C43975">
        <w:rPr>
          <w:rFonts w:ascii="Arial" w:hAnsi="Arial" w:cs="Arial"/>
        </w:rPr>
        <w:t xml:space="preserve">compared to total antimicrobial </w:t>
      </w:r>
      <w:r w:rsidR="00C10513" w:rsidRPr="00C43975">
        <w:rPr>
          <w:rFonts w:ascii="Arial" w:hAnsi="Arial" w:cs="Arial"/>
        </w:rPr>
        <w:t>consumption</w:t>
      </w:r>
      <w:r w:rsidR="005C6A15" w:rsidRPr="00C43975">
        <w:rPr>
          <w:rFonts w:ascii="Arial" w:hAnsi="Arial" w:cs="Arial"/>
        </w:rPr>
        <w:t xml:space="preserve">, </w:t>
      </w:r>
      <w:r w:rsidR="00BA50C9" w:rsidRPr="00C43975">
        <w:rPr>
          <w:rFonts w:ascii="Arial" w:hAnsi="Arial" w:cs="Arial"/>
        </w:rPr>
        <w:t xml:space="preserve">also </w:t>
      </w:r>
      <w:r w:rsidR="005C6A15" w:rsidRPr="00C43975">
        <w:rPr>
          <w:rFonts w:ascii="Arial" w:hAnsi="Arial" w:cs="Arial"/>
        </w:rPr>
        <w:t>var</w:t>
      </w:r>
      <w:r w:rsidR="00C10513" w:rsidRPr="00C43975">
        <w:rPr>
          <w:rFonts w:ascii="Arial" w:hAnsi="Arial" w:cs="Arial"/>
        </w:rPr>
        <w:t>ied</w:t>
      </w:r>
      <w:r w:rsidR="005C6A15" w:rsidRPr="00C43975">
        <w:rPr>
          <w:rFonts w:ascii="Arial" w:hAnsi="Arial" w:cs="Arial"/>
        </w:rPr>
        <w:t xml:space="preserve"> by level of </w:t>
      </w:r>
      <w:r w:rsidR="00451C2E" w:rsidRPr="00C43975">
        <w:rPr>
          <w:rFonts w:ascii="Arial" w:hAnsi="Arial" w:cs="Arial"/>
        </w:rPr>
        <w:t xml:space="preserve">country </w:t>
      </w:r>
      <w:r w:rsidR="005C6A15" w:rsidRPr="00C43975">
        <w:rPr>
          <w:rFonts w:ascii="Arial" w:hAnsi="Arial" w:cs="Arial"/>
        </w:rPr>
        <w:t>income, 9.</w:t>
      </w:r>
      <w:r w:rsidR="00D55A28" w:rsidRPr="00C43975">
        <w:rPr>
          <w:rFonts w:ascii="Arial" w:hAnsi="Arial" w:cs="Arial"/>
        </w:rPr>
        <w:t>5</w:t>
      </w:r>
      <w:r w:rsidR="005C6A15" w:rsidRPr="00C43975">
        <w:rPr>
          <w:rFonts w:ascii="Arial" w:hAnsi="Arial" w:cs="Arial"/>
        </w:rPr>
        <w:t>% [95% CI (8.</w:t>
      </w:r>
      <w:r w:rsidR="000F4F3A" w:rsidRPr="00C43975">
        <w:rPr>
          <w:rFonts w:ascii="Arial" w:hAnsi="Arial" w:cs="Arial"/>
        </w:rPr>
        <w:t>9</w:t>
      </w:r>
      <w:r w:rsidR="005C6A15" w:rsidRPr="00C43975">
        <w:rPr>
          <w:rFonts w:ascii="Arial" w:hAnsi="Arial" w:cs="Arial"/>
        </w:rPr>
        <w:t>%-</w:t>
      </w:r>
      <w:r w:rsidR="000F4F3A" w:rsidRPr="00C43975">
        <w:rPr>
          <w:rFonts w:ascii="Arial" w:hAnsi="Arial" w:cs="Arial"/>
        </w:rPr>
        <w:t>10.1</w:t>
      </w:r>
      <w:r w:rsidR="005C6A15" w:rsidRPr="00C43975">
        <w:rPr>
          <w:rFonts w:ascii="Arial" w:hAnsi="Arial" w:cs="Arial"/>
        </w:rPr>
        <w:t>%</w:t>
      </w:r>
      <w:r w:rsidR="00591574" w:rsidRPr="00C43975">
        <w:rPr>
          <w:rFonts w:ascii="Arial" w:hAnsi="Arial" w:cs="Arial"/>
        </w:rPr>
        <w:t>)</w:t>
      </w:r>
      <w:r w:rsidR="005C6A15" w:rsidRPr="00C43975">
        <w:rPr>
          <w:rFonts w:ascii="Arial" w:hAnsi="Arial" w:cs="Arial"/>
        </w:rPr>
        <w:t xml:space="preserve">] in HIC compared to </w:t>
      </w:r>
      <w:r w:rsidR="000F4F3A" w:rsidRPr="00C43975">
        <w:rPr>
          <w:rFonts w:ascii="Arial" w:hAnsi="Arial" w:cs="Arial"/>
        </w:rPr>
        <w:t>5.0</w:t>
      </w:r>
      <w:r w:rsidR="005C6A15" w:rsidRPr="00C43975">
        <w:rPr>
          <w:rFonts w:ascii="Arial" w:hAnsi="Arial" w:cs="Arial"/>
        </w:rPr>
        <w:t>% [95% CI (4.</w:t>
      </w:r>
      <w:r w:rsidR="000F4F3A" w:rsidRPr="00C43975">
        <w:rPr>
          <w:rFonts w:ascii="Arial" w:hAnsi="Arial" w:cs="Arial"/>
        </w:rPr>
        <w:t>4</w:t>
      </w:r>
      <w:r w:rsidR="005C6A15" w:rsidRPr="00C43975">
        <w:rPr>
          <w:rFonts w:ascii="Arial" w:hAnsi="Arial" w:cs="Arial"/>
        </w:rPr>
        <w:t>%-5.</w:t>
      </w:r>
      <w:r w:rsidR="000F4F3A" w:rsidRPr="00C43975">
        <w:rPr>
          <w:rFonts w:ascii="Arial" w:hAnsi="Arial" w:cs="Arial"/>
        </w:rPr>
        <w:t>6</w:t>
      </w:r>
      <w:r w:rsidR="005C6A15" w:rsidRPr="00C43975">
        <w:rPr>
          <w:rFonts w:ascii="Arial" w:hAnsi="Arial" w:cs="Arial"/>
        </w:rPr>
        <w:t>%</w:t>
      </w:r>
      <w:r w:rsidR="00591574" w:rsidRPr="00C43975">
        <w:rPr>
          <w:rFonts w:ascii="Arial" w:hAnsi="Arial" w:cs="Arial"/>
        </w:rPr>
        <w:t>)</w:t>
      </w:r>
      <w:r w:rsidR="005C6A15" w:rsidRPr="00C43975">
        <w:rPr>
          <w:rFonts w:ascii="Arial" w:hAnsi="Arial" w:cs="Arial"/>
        </w:rPr>
        <w:t>] in LMIC (p&lt;0.</w:t>
      </w:r>
      <w:r w:rsidR="000F4F3A" w:rsidRPr="00C43975">
        <w:rPr>
          <w:rFonts w:ascii="Arial" w:hAnsi="Arial" w:cs="Arial"/>
        </w:rPr>
        <w:t>01</w:t>
      </w:r>
      <w:r w:rsidR="005C6A15" w:rsidRPr="00C43975">
        <w:rPr>
          <w:rFonts w:ascii="Arial" w:hAnsi="Arial" w:cs="Arial"/>
        </w:rPr>
        <w:t xml:space="preserve">). Figure 2 shows the distribution </w:t>
      </w:r>
      <w:r w:rsidR="00B618D2" w:rsidRPr="00C43975">
        <w:rPr>
          <w:rFonts w:ascii="Arial" w:hAnsi="Arial" w:cs="Arial"/>
        </w:rPr>
        <w:t>of antimicrobial use and proportion of antifungal</w:t>
      </w:r>
      <w:r w:rsidR="00307414" w:rsidRPr="00C43975">
        <w:rPr>
          <w:rFonts w:ascii="Arial" w:hAnsi="Arial" w:cs="Arial"/>
        </w:rPr>
        <w:t xml:space="preserve"> u</w:t>
      </w:r>
      <w:r w:rsidR="00C10513" w:rsidRPr="00C43975">
        <w:rPr>
          <w:rFonts w:ascii="Arial" w:hAnsi="Arial" w:cs="Arial"/>
        </w:rPr>
        <w:t>s</w:t>
      </w:r>
      <w:r w:rsidR="00307414" w:rsidRPr="00C43975">
        <w:rPr>
          <w:rFonts w:ascii="Arial" w:hAnsi="Arial" w:cs="Arial"/>
        </w:rPr>
        <w:t>e</w:t>
      </w:r>
      <w:r w:rsidR="00B618D2" w:rsidRPr="00C43975">
        <w:rPr>
          <w:rFonts w:ascii="Arial" w:hAnsi="Arial" w:cs="Arial"/>
        </w:rPr>
        <w:t xml:space="preserve"> by</w:t>
      </w:r>
      <w:r w:rsidR="005C6A15" w:rsidRPr="00C43975">
        <w:rPr>
          <w:rFonts w:ascii="Arial" w:hAnsi="Arial" w:cs="Arial"/>
        </w:rPr>
        <w:t xml:space="preserve"> country. </w:t>
      </w:r>
    </w:p>
    <w:p w14:paraId="136612B4" w14:textId="77777777" w:rsidR="00DD2265" w:rsidRPr="00C43975" w:rsidRDefault="00DD2265" w:rsidP="00C43975">
      <w:pPr>
        <w:spacing w:line="480" w:lineRule="auto"/>
        <w:rPr>
          <w:rFonts w:ascii="Arial" w:hAnsi="Arial" w:cs="Arial"/>
        </w:rPr>
      </w:pPr>
    </w:p>
    <w:p w14:paraId="2193E95E" w14:textId="2655CA68" w:rsidR="00A41C41" w:rsidRPr="00C43975" w:rsidRDefault="00A41C41" w:rsidP="00C43975">
      <w:pPr>
        <w:spacing w:line="480" w:lineRule="auto"/>
        <w:jc w:val="both"/>
        <w:rPr>
          <w:rFonts w:ascii="Arial" w:hAnsi="Arial" w:cs="Arial"/>
          <w:i/>
        </w:rPr>
      </w:pPr>
      <w:r w:rsidRPr="00C43975">
        <w:rPr>
          <w:rFonts w:ascii="Arial" w:hAnsi="Arial" w:cs="Arial"/>
          <w:i/>
        </w:rPr>
        <w:t xml:space="preserve">Demographic and clinical characteristics </w:t>
      </w:r>
    </w:p>
    <w:p w14:paraId="4442C076" w14:textId="77777777" w:rsidR="007D46C7" w:rsidRPr="00C43975" w:rsidRDefault="007D46C7" w:rsidP="00C43975">
      <w:pPr>
        <w:spacing w:line="480" w:lineRule="auto"/>
        <w:jc w:val="both"/>
        <w:rPr>
          <w:rFonts w:ascii="Arial" w:hAnsi="Arial" w:cs="Arial"/>
          <w:i/>
        </w:rPr>
      </w:pPr>
    </w:p>
    <w:p w14:paraId="33A4EEE1" w14:textId="5358605B" w:rsidR="007D5CB7" w:rsidRPr="00C43975" w:rsidRDefault="00C82D6E" w:rsidP="00C43975">
      <w:pPr>
        <w:spacing w:line="480" w:lineRule="auto"/>
        <w:rPr>
          <w:rFonts w:ascii="Arial" w:hAnsi="Arial" w:cs="Arial"/>
        </w:rPr>
      </w:pPr>
      <w:r w:rsidRPr="00C43975">
        <w:rPr>
          <w:rFonts w:ascii="Arial" w:hAnsi="Arial" w:cs="Arial"/>
        </w:rPr>
        <w:t xml:space="preserve">Across all the antifungal prescriptions, 86% (871/1,048) were in children outside the </w:t>
      </w:r>
      <w:r w:rsidR="00BA50C9" w:rsidRPr="00C43975">
        <w:rPr>
          <w:rFonts w:ascii="Arial" w:hAnsi="Arial" w:cs="Arial"/>
        </w:rPr>
        <w:t xml:space="preserve">neonatal period, defined here as the first 4 weeks of postnatal age. </w:t>
      </w:r>
      <w:r w:rsidRPr="00C43975">
        <w:rPr>
          <w:rFonts w:ascii="Arial" w:hAnsi="Arial" w:cs="Arial"/>
        </w:rPr>
        <w:t xml:space="preserve"> </w:t>
      </w:r>
      <w:r w:rsidR="005A2FB7" w:rsidRPr="00C43975">
        <w:rPr>
          <w:rFonts w:ascii="Arial" w:hAnsi="Arial" w:cs="Arial"/>
        </w:rPr>
        <w:t>Antifungals prescriptions in children represented</w:t>
      </w:r>
      <w:r w:rsidR="00A472C2" w:rsidRPr="00C43975">
        <w:rPr>
          <w:rFonts w:ascii="Arial" w:hAnsi="Arial" w:cs="Arial"/>
        </w:rPr>
        <w:t xml:space="preserve"> </w:t>
      </w:r>
      <w:r w:rsidR="005A2FB7" w:rsidRPr="00C43975">
        <w:rPr>
          <w:rFonts w:ascii="Arial" w:hAnsi="Arial" w:cs="Arial"/>
        </w:rPr>
        <w:t>10.5% [95% CI (9.7%-11.2%</w:t>
      </w:r>
      <w:r w:rsidR="00591574" w:rsidRPr="00C43975">
        <w:rPr>
          <w:rFonts w:ascii="Arial" w:hAnsi="Arial" w:cs="Arial"/>
        </w:rPr>
        <w:t>)</w:t>
      </w:r>
      <w:r w:rsidR="005A2FB7" w:rsidRPr="00C43975">
        <w:rPr>
          <w:rFonts w:ascii="Arial" w:hAnsi="Arial" w:cs="Arial"/>
        </w:rPr>
        <w:t xml:space="preserve">] of all the antimicrobials prescriptions beyond the neonatal age in HIC, this proportion </w:t>
      </w:r>
      <w:r w:rsidR="00426F66" w:rsidRPr="00C43975">
        <w:rPr>
          <w:rFonts w:ascii="Arial" w:hAnsi="Arial" w:cs="Arial"/>
        </w:rPr>
        <w:t xml:space="preserve">significantly </w:t>
      </w:r>
      <w:r w:rsidR="005A2FB7" w:rsidRPr="00C43975">
        <w:rPr>
          <w:rFonts w:ascii="Arial" w:hAnsi="Arial" w:cs="Arial"/>
        </w:rPr>
        <w:t>lower for LMIC, 4.8% [95% CI (4.2%-5.5%</w:t>
      </w:r>
      <w:r w:rsidR="00591574" w:rsidRPr="00C43975">
        <w:rPr>
          <w:rFonts w:ascii="Arial" w:hAnsi="Arial" w:cs="Arial"/>
        </w:rPr>
        <w:t>)</w:t>
      </w:r>
      <w:r w:rsidR="005A2FB7" w:rsidRPr="00C43975">
        <w:rPr>
          <w:rFonts w:ascii="Arial" w:hAnsi="Arial" w:cs="Arial"/>
        </w:rPr>
        <w:t xml:space="preserve">], p&lt;0.01. </w:t>
      </w:r>
      <w:r w:rsidR="00426F66" w:rsidRPr="00C43975">
        <w:rPr>
          <w:rFonts w:ascii="Arial" w:hAnsi="Arial" w:cs="Arial"/>
        </w:rPr>
        <w:t>Proportions were not different</w:t>
      </w:r>
      <w:r w:rsidR="005A2FB7" w:rsidRPr="00C43975">
        <w:rPr>
          <w:rFonts w:ascii="Arial" w:hAnsi="Arial" w:cs="Arial"/>
        </w:rPr>
        <w:t xml:space="preserve"> when analysing neonates, 6.0% [95% CI (4.9%-7.1%</w:t>
      </w:r>
      <w:r w:rsidR="00591574" w:rsidRPr="00C43975">
        <w:rPr>
          <w:rFonts w:ascii="Arial" w:hAnsi="Arial" w:cs="Arial"/>
        </w:rPr>
        <w:t>)</w:t>
      </w:r>
      <w:r w:rsidR="005A2FB7" w:rsidRPr="00C43975">
        <w:rPr>
          <w:rFonts w:ascii="Arial" w:hAnsi="Arial" w:cs="Arial"/>
        </w:rPr>
        <w:t>] in HIC vs 5.</w:t>
      </w:r>
      <w:r w:rsidR="002157E8" w:rsidRPr="00C43975">
        <w:rPr>
          <w:rFonts w:ascii="Arial" w:hAnsi="Arial" w:cs="Arial"/>
        </w:rPr>
        <w:t>3</w:t>
      </w:r>
      <w:r w:rsidR="005A2FB7" w:rsidRPr="00C43975">
        <w:rPr>
          <w:rFonts w:ascii="Arial" w:hAnsi="Arial" w:cs="Arial"/>
        </w:rPr>
        <w:t>% [95% CI (4.1%-6.6%</w:t>
      </w:r>
      <w:r w:rsidR="00591574" w:rsidRPr="00C43975">
        <w:rPr>
          <w:rFonts w:ascii="Arial" w:hAnsi="Arial" w:cs="Arial"/>
        </w:rPr>
        <w:t>)</w:t>
      </w:r>
      <w:r w:rsidR="005A2FB7" w:rsidRPr="00C43975">
        <w:rPr>
          <w:rFonts w:ascii="Arial" w:hAnsi="Arial" w:cs="Arial"/>
        </w:rPr>
        <w:t>] in LMIC, p =0.</w:t>
      </w:r>
      <w:r w:rsidR="00F4525D" w:rsidRPr="00C43975">
        <w:rPr>
          <w:rFonts w:ascii="Arial" w:hAnsi="Arial" w:cs="Arial"/>
        </w:rPr>
        <w:t>411</w:t>
      </w:r>
      <w:r w:rsidR="005A2FB7" w:rsidRPr="00C43975">
        <w:rPr>
          <w:rFonts w:ascii="Arial" w:hAnsi="Arial" w:cs="Arial"/>
        </w:rPr>
        <w:t>.</w:t>
      </w:r>
    </w:p>
    <w:p w14:paraId="027AE6B6" w14:textId="77777777" w:rsidR="00DB1D75" w:rsidRPr="00C43975" w:rsidRDefault="00DB1D75" w:rsidP="00C43975">
      <w:pPr>
        <w:spacing w:line="480" w:lineRule="auto"/>
        <w:rPr>
          <w:rFonts w:ascii="Arial" w:hAnsi="Arial" w:cs="Arial"/>
        </w:rPr>
      </w:pPr>
    </w:p>
    <w:p w14:paraId="6B1C5559" w14:textId="5117CDF6" w:rsidR="00C82D6E" w:rsidRPr="00C43975" w:rsidRDefault="00C82D6E" w:rsidP="00C43975">
      <w:pPr>
        <w:spacing w:line="480" w:lineRule="auto"/>
        <w:rPr>
          <w:rFonts w:ascii="Arial" w:hAnsi="Arial" w:cs="Arial"/>
        </w:rPr>
      </w:pPr>
      <w:r w:rsidRPr="00C43975">
        <w:rPr>
          <w:rFonts w:ascii="Arial" w:hAnsi="Arial" w:cs="Arial"/>
        </w:rPr>
        <w:t xml:space="preserve">The median gestational age in neonates was 28 weeks (IQR 26-33); with </w:t>
      </w:r>
      <w:r w:rsidR="006B4CEB" w:rsidRPr="00C43975">
        <w:rPr>
          <w:rFonts w:ascii="Arial" w:hAnsi="Arial" w:cs="Arial"/>
        </w:rPr>
        <w:t>43.5</w:t>
      </w:r>
      <w:r w:rsidRPr="00C43975">
        <w:rPr>
          <w:rFonts w:ascii="Arial" w:hAnsi="Arial" w:cs="Arial"/>
        </w:rPr>
        <w:t>% (</w:t>
      </w:r>
      <w:r w:rsidR="006B4CEB" w:rsidRPr="00C43975">
        <w:rPr>
          <w:rFonts w:ascii="Arial" w:hAnsi="Arial" w:cs="Arial"/>
        </w:rPr>
        <w:t>77</w:t>
      </w:r>
      <w:r w:rsidRPr="00C43975">
        <w:rPr>
          <w:rFonts w:ascii="Arial" w:hAnsi="Arial" w:cs="Arial"/>
        </w:rPr>
        <w:t xml:space="preserve">/177) of all antifungal prescriptions </w:t>
      </w:r>
      <w:r w:rsidR="005A492E" w:rsidRPr="00C43975">
        <w:rPr>
          <w:rFonts w:ascii="Arial" w:hAnsi="Arial" w:cs="Arial"/>
        </w:rPr>
        <w:t xml:space="preserve">issued to </w:t>
      </w:r>
      <w:r w:rsidR="00DB1D75" w:rsidRPr="00C43975">
        <w:rPr>
          <w:rFonts w:ascii="Arial" w:hAnsi="Arial" w:cs="Arial"/>
        </w:rPr>
        <w:t xml:space="preserve">extreme </w:t>
      </w:r>
      <w:r w:rsidR="00831E96" w:rsidRPr="00C43975">
        <w:rPr>
          <w:rFonts w:ascii="Arial" w:hAnsi="Arial" w:cs="Arial"/>
        </w:rPr>
        <w:t>preterm neonates</w:t>
      </w:r>
      <w:r w:rsidR="00870FD3" w:rsidRPr="00C43975">
        <w:rPr>
          <w:rFonts w:ascii="Arial" w:hAnsi="Arial" w:cs="Arial"/>
        </w:rPr>
        <w:t xml:space="preserve"> with a</w:t>
      </w:r>
      <w:r w:rsidRPr="00C43975">
        <w:rPr>
          <w:rFonts w:ascii="Arial" w:hAnsi="Arial" w:cs="Arial"/>
        </w:rPr>
        <w:t xml:space="preserve"> </w:t>
      </w:r>
      <w:r w:rsidR="005A492E" w:rsidRPr="00C43975">
        <w:rPr>
          <w:rFonts w:ascii="Arial" w:hAnsi="Arial" w:cs="Arial"/>
        </w:rPr>
        <w:t>gestational age</w:t>
      </w:r>
      <w:r w:rsidRPr="00C43975">
        <w:rPr>
          <w:rFonts w:ascii="Arial" w:hAnsi="Arial" w:cs="Arial"/>
        </w:rPr>
        <w:t xml:space="preserve"> &lt;28 weeks. </w:t>
      </w:r>
      <w:r w:rsidR="00261D55" w:rsidRPr="00C43975">
        <w:rPr>
          <w:rFonts w:ascii="Arial" w:hAnsi="Arial" w:cs="Arial"/>
        </w:rPr>
        <w:t>Whereas in the whole GARPEC dataset, the proportion of high</w:t>
      </w:r>
      <w:r w:rsidR="00BA0DE0" w:rsidRPr="00C43975">
        <w:rPr>
          <w:rFonts w:ascii="Arial" w:hAnsi="Arial" w:cs="Arial"/>
        </w:rPr>
        <w:t>-</w:t>
      </w:r>
      <w:r w:rsidR="00261D55" w:rsidRPr="00C43975">
        <w:rPr>
          <w:rFonts w:ascii="Arial" w:hAnsi="Arial" w:cs="Arial"/>
        </w:rPr>
        <w:t xml:space="preserve">risk neonates did not differ among HIC </w:t>
      </w:r>
      <w:r w:rsidR="00BA0DE0" w:rsidRPr="00C43975">
        <w:rPr>
          <w:rFonts w:ascii="Arial" w:hAnsi="Arial" w:cs="Arial"/>
        </w:rPr>
        <w:t>and</w:t>
      </w:r>
      <w:r w:rsidR="00261D55" w:rsidRPr="00C43975">
        <w:rPr>
          <w:rFonts w:ascii="Arial" w:hAnsi="Arial" w:cs="Arial"/>
        </w:rPr>
        <w:t xml:space="preserve"> LMIC (p=0.129), m</w:t>
      </w:r>
      <w:r w:rsidR="008645E4" w:rsidRPr="00C43975">
        <w:rPr>
          <w:rFonts w:ascii="Arial" w:hAnsi="Arial" w:cs="Arial"/>
        </w:rPr>
        <w:t xml:space="preserve">ost of the extreme preterm neonates </w:t>
      </w:r>
      <w:r w:rsidR="00261D55" w:rsidRPr="00C43975">
        <w:rPr>
          <w:rFonts w:ascii="Arial" w:hAnsi="Arial" w:cs="Arial"/>
        </w:rPr>
        <w:t xml:space="preserve">who </w:t>
      </w:r>
      <w:r w:rsidR="004C7FD5" w:rsidRPr="00C43975">
        <w:rPr>
          <w:rFonts w:ascii="Arial" w:hAnsi="Arial" w:cs="Arial"/>
        </w:rPr>
        <w:t>received antifungals</w:t>
      </w:r>
      <w:r w:rsidR="008645E4" w:rsidRPr="00C43975">
        <w:rPr>
          <w:rFonts w:ascii="Arial" w:hAnsi="Arial" w:cs="Arial"/>
        </w:rPr>
        <w:t xml:space="preserve"> </w:t>
      </w:r>
      <w:r w:rsidR="00261D55" w:rsidRPr="00C43975">
        <w:rPr>
          <w:rFonts w:ascii="Arial" w:hAnsi="Arial" w:cs="Arial"/>
        </w:rPr>
        <w:t xml:space="preserve">were </w:t>
      </w:r>
      <w:r w:rsidR="00426F66" w:rsidRPr="00C43975">
        <w:rPr>
          <w:rFonts w:ascii="Arial" w:hAnsi="Arial" w:cs="Arial"/>
        </w:rPr>
        <w:t xml:space="preserve">in </w:t>
      </w:r>
      <w:r w:rsidR="008645E4" w:rsidRPr="00C43975">
        <w:rPr>
          <w:rFonts w:ascii="Arial" w:hAnsi="Arial" w:cs="Arial"/>
        </w:rPr>
        <w:t>HIC [</w:t>
      </w:r>
      <w:r w:rsidR="00CC1A22" w:rsidRPr="00C43975">
        <w:rPr>
          <w:rFonts w:ascii="Arial" w:hAnsi="Arial" w:cs="Arial"/>
        </w:rPr>
        <w:t>71.4</w:t>
      </w:r>
      <w:r w:rsidR="008645E4" w:rsidRPr="00C43975">
        <w:rPr>
          <w:rFonts w:ascii="Arial" w:hAnsi="Arial" w:cs="Arial"/>
        </w:rPr>
        <w:t>% (55/7</w:t>
      </w:r>
      <w:r w:rsidR="00CC1A22" w:rsidRPr="00C43975">
        <w:rPr>
          <w:rFonts w:ascii="Arial" w:hAnsi="Arial" w:cs="Arial"/>
        </w:rPr>
        <w:t>7</w:t>
      </w:r>
      <w:r w:rsidR="008645E4" w:rsidRPr="00C43975">
        <w:rPr>
          <w:rFonts w:ascii="Arial" w:hAnsi="Arial" w:cs="Arial"/>
        </w:rPr>
        <w:t>)</w:t>
      </w:r>
      <w:r w:rsidR="00DF3DF6" w:rsidRPr="00C43975">
        <w:rPr>
          <w:rFonts w:ascii="Arial" w:hAnsi="Arial" w:cs="Arial"/>
        </w:rPr>
        <w:t>]</w:t>
      </w:r>
      <w:r w:rsidR="00CC1A22" w:rsidRPr="00C43975">
        <w:rPr>
          <w:rFonts w:ascii="Arial" w:hAnsi="Arial" w:cs="Arial"/>
        </w:rPr>
        <w:t>, p=0.035</w:t>
      </w:r>
      <w:r w:rsidR="008645E4" w:rsidRPr="00C43975">
        <w:rPr>
          <w:rFonts w:ascii="Arial" w:hAnsi="Arial" w:cs="Arial"/>
        </w:rPr>
        <w:t xml:space="preserve">. </w:t>
      </w:r>
      <w:r w:rsidR="00336A67" w:rsidRPr="00C43975">
        <w:rPr>
          <w:rFonts w:ascii="Arial" w:hAnsi="Arial" w:cs="Arial"/>
        </w:rPr>
        <w:t xml:space="preserve">When addressing the antifungal consumption in this </w:t>
      </w:r>
      <w:r w:rsidR="00DF3DF6" w:rsidRPr="00C43975">
        <w:rPr>
          <w:rFonts w:ascii="Arial" w:hAnsi="Arial" w:cs="Arial"/>
        </w:rPr>
        <w:t xml:space="preserve">specific </w:t>
      </w:r>
      <w:r w:rsidR="00336A67" w:rsidRPr="00C43975">
        <w:rPr>
          <w:rFonts w:ascii="Arial" w:hAnsi="Arial" w:cs="Arial"/>
        </w:rPr>
        <w:t xml:space="preserve">group, </w:t>
      </w:r>
      <w:r w:rsidR="00591574" w:rsidRPr="00C43975">
        <w:rPr>
          <w:rFonts w:ascii="Arial" w:hAnsi="Arial" w:cs="Arial"/>
        </w:rPr>
        <w:t>antifungals represented the 17.3% [95% CI (13.2%-21.5%)] of all antimicrobials in HIC, compared to 13.4% [95% CI (8.2%-18.2%] in LMIC (p=0.</w:t>
      </w:r>
      <w:r w:rsidR="00F17A9D" w:rsidRPr="00C43975">
        <w:rPr>
          <w:rFonts w:ascii="Arial" w:hAnsi="Arial" w:cs="Arial"/>
        </w:rPr>
        <w:t>26</w:t>
      </w:r>
      <w:r w:rsidR="00591574" w:rsidRPr="00C43975">
        <w:rPr>
          <w:rFonts w:ascii="Arial" w:hAnsi="Arial" w:cs="Arial"/>
        </w:rPr>
        <w:t xml:space="preserve">). </w:t>
      </w:r>
    </w:p>
    <w:p w14:paraId="2ED78974" w14:textId="77777777" w:rsidR="00DB1D75" w:rsidRPr="00C43975" w:rsidRDefault="00DB1D75" w:rsidP="00C43975">
      <w:pPr>
        <w:spacing w:line="480" w:lineRule="auto"/>
        <w:rPr>
          <w:rFonts w:ascii="Arial" w:hAnsi="Arial" w:cs="Arial"/>
        </w:rPr>
      </w:pPr>
    </w:p>
    <w:p w14:paraId="4AEDE340" w14:textId="453970FF" w:rsidR="004931D0" w:rsidRPr="00C43975" w:rsidRDefault="00523125" w:rsidP="00C43975">
      <w:pPr>
        <w:spacing w:line="480" w:lineRule="auto"/>
        <w:rPr>
          <w:rFonts w:ascii="Arial" w:hAnsi="Arial" w:cs="Arial"/>
        </w:rPr>
      </w:pPr>
      <w:r w:rsidRPr="00C43975">
        <w:rPr>
          <w:rFonts w:ascii="Arial" w:hAnsi="Arial" w:cs="Arial"/>
        </w:rPr>
        <w:t xml:space="preserve">Almost </w:t>
      </w:r>
      <w:r w:rsidR="00CE7D13" w:rsidRPr="00C43975">
        <w:rPr>
          <w:rFonts w:ascii="Arial" w:hAnsi="Arial" w:cs="Arial"/>
        </w:rPr>
        <w:t>all</w:t>
      </w:r>
      <w:r w:rsidR="00971C21" w:rsidRPr="00C43975">
        <w:rPr>
          <w:rFonts w:ascii="Arial" w:hAnsi="Arial" w:cs="Arial"/>
        </w:rPr>
        <w:t xml:space="preserve"> </w:t>
      </w:r>
      <w:r w:rsidR="00594D6D" w:rsidRPr="00C43975">
        <w:rPr>
          <w:rFonts w:ascii="Arial" w:hAnsi="Arial" w:cs="Arial"/>
        </w:rPr>
        <w:t>patients</w:t>
      </w:r>
      <w:r w:rsidR="002A70CC" w:rsidRPr="00C43975">
        <w:rPr>
          <w:rFonts w:ascii="Arial" w:hAnsi="Arial" w:cs="Arial"/>
        </w:rPr>
        <w:t xml:space="preserve"> who</w:t>
      </w:r>
      <w:r w:rsidR="00594D6D" w:rsidRPr="00C43975">
        <w:rPr>
          <w:rFonts w:ascii="Arial" w:hAnsi="Arial" w:cs="Arial"/>
        </w:rPr>
        <w:t xml:space="preserve"> </w:t>
      </w:r>
      <w:r w:rsidRPr="00C43975">
        <w:rPr>
          <w:rFonts w:ascii="Arial" w:hAnsi="Arial" w:cs="Arial"/>
        </w:rPr>
        <w:t xml:space="preserve">received </w:t>
      </w:r>
      <w:r w:rsidR="00971C21" w:rsidRPr="00C43975">
        <w:rPr>
          <w:rFonts w:ascii="Arial" w:hAnsi="Arial" w:cs="Arial"/>
        </w:rPr>
        <w:t>antifungal</w:t>
      </w:r>
      <w:r w:rsidR="00594D6D" w:rsidRPr="00C43975">
        <w:rPr>
          <w:rFonts w:ascii="Arial" w:hAnsi="Arial" w:cs="Arial"/>
        </w:rPr>
        <w:t xml:space="preserve"> treatment </w:t>
      </w:r>
      <w:r w:rsidR="00971C21" w:rsidRPr="00C43975">
        <w:rPr>
          <w:rFonts w:ascii="Arial" w:hAnsi="Arial" w:cs="Arial"/>
        </w:rPr>
        <w:t>had at least one</w:t>
      </w:r>
      <w:r w:rsidR="0073583D" w:rsidRPr="00C43975">
        <w:rPr>
          <w:rFonts w:ascii="Arial" w:hAnsi="Arial" w:cs="Arial"/>
        </w:rPr>
        <w:t xml:space="preserve"> underlying condition </w:t>
      </w:r>
      <w:r w:rsidR="00971C21" w:rsidRPr="00C43975">
        <w:rPr>
          <w:rFonts w:ascii="Arial" w:hAnsi="Arial" w:cs="Arial"/>
        </w:rPr>
        <w:t>reported</w:t>
      </w:r>
      <w:r w:rsidR="00B80C28" w:rsidRPr="00C43975">
        <w:rPr>
          <w:rFonts w:ascii="Arial" w:hAnsi="Arial" w:cs="Arial"/>
        </w:rPr>
        <w:t xml:space="preserve"> </w:t>
      </w:r>
      <w:r w:rsidR="00CE7D13" w:rsidRPr="00C43975">
        <w:rPr>
          <w:rFonts w:ascii="Arial" w:hAnsi="Arial" w:cs="Arial"/>
        </w:rPr>
        <w:t>[</w:t>
      </w:r>
      <w:r w:rsidR="001B0D77" w:rsidRPr="00C43975">
        <w:rPr>
          <w:rFonts w:ascii="Arial" w:hAnsi="Arial" w:cs="Arial"/>
        </w:rPr>
        <w:t>94.2</w:t>
      </w:r>
      <w:r w:rsidR="0073583D" w:rsidRPr="00C43975">
        <w:rPr>
          <w:rFonts w:ascii="Arial" w:hAnsi="Arial" w:cs="Arial"/>
        </w:rPr>
        <w:t>%</w:t>
      </w:r>
      <w:r w:rsidR="00CE7D13" w:rsidRPr="00C43975">
        <w:rPr>
          <w:rFonts w:ascii="Arial" w:hAnsi="Arial" w:cs="Arial"/>
        </w:rPr>
        <w:t>;</w:t>
      </w:r>
      <w:r w:rsidR="00F8186E" w:rsidRPr="00C43975">
        <w:rPr>
          <w:rFonts w:ascii="Arial" w:hAnsi="Arial" w:cs="Arial"/>
        </w:rPr>
        <w:t xml:space="preserve"> </w:t>
      </w:r>
      <w:r w:rsidR="001B0D77" w:rsidRPr="00C43975">
        <w:rPr>
          <w:rFonts w:ascii="Arial" w:hAnsi="Arial" w:cs="Arial"/>
        </w:rPr>
        <w:t>982</w:t>
      </w:r>
      <w:r w:rsidR="0073583D" w:rsidRPr="00C43975">
        <w:rPr>
          <w:rFonts w:ascii="Arial" w:hAnsi="Arial" w:cs="Arial"/>
        </w:rPr>
        <w:t>/1,048</w:t>
      </w:r>
      <w:r w:rsidR="00CE7D13" w:rsidRPr="00C43975">
        <w:rPr>
          <w:rFonts w:ascii="Arial" w:hAnsi="Arial" w:cs="Arial"/>
        </w:rPr>
        <w:t>]</w:t>
      </w:r>
      <w:r w:rsidR="0073583D" w:rsidRPr="00C43975">
        <w:rPr>
          <w:rFonts w:ascii="Arial" w:hAnsi="Arial" w:cs="Arial"/>
        </w:rPr>
        <w:t xml:space="preserve">. </w:t>
      </w:r>
      <w:r w:rsidRPr="00C43975">
        <w:rPr>
          <w:rFonts w:ascii="Arial" w:hAnsi="Arial" w:cs="Arial"/>
        </w:rPr>
        <w:t xml:space="preserve">For </w:t>
      </w:r>
      <w:r w:rsidR="001B0D77" w:rsidRPr="00C43975">
        <w:rPr>
          <w:rFonts w:ascii="Arial" w:hAnsi="Arial" w:cs="Arial"/>
        </w:rPr>
        <w:t xml:space="preserve">those </w:t>
      </w:r>
      <w:r w:rsidRPr="00C43975">
        <w:rPr>
          <w:rFonts w:ascii="Arial" w:hAnsi="Arial" w:cs="Arial"/>
        </w:rPr>
        <w:t xml:space="preserve">patients </w:t>
      </w:r>
      <w:r w:rsidR="001B0D77" w:rsidRPr="00C43975">
        <w:rPr>
          <w:rFonts w:ascii="Arial" w:hAnsi="Arial" w:cs="Arial"/>
        </w:rPr>
        <w:t>with available</w:t>
      </w:r>
      <w:r w:rsidRPr="00C43975">
        <w:rPr>
          <w:rFonts w:ascii="Arial" w:hAnsi="Arial" w:cs="Arial"/>
        </w:rPr>
        <w:t xml:space="preserve"> data</w:t>
      </w:r>
      <w:r w:rsidR="00095AB9" w:rsidRPr="00C43975">
        <w:rPr>
          <w:rFonts w:ascii="Arial" w:hAnsi="Arial" w:cs="Arial"/>
        </w:rPr>
        <w:t>, t</w:t>
      </w:r>
      <w:r w:rsidR="0073583D" w:rsidRPr="00C43975">
        <w:rPr>
          <w:rFonts w:ascii="Arial" w:hAnsi="Arial" w:cs="Arial"/>
        </w:rPr>
        <w:t xml:space="preserve">he most prevalent </w:t>
      </w:r>
      <w:r w:rsidR="00594D6D" w:rsidRPr="00C43975">
        <w:rPr>
          <w:rFonts w:ascii="Arial" w:hAnsi="Arial" w:cs="Arial"/>
        </w:rPr>
        <w:t xml:space="preserve">underlying </w:t>
      </w:r>
      <w:r w:rsidR="0073583D" w:rsidRPr="00C43975">
        <w:rPr>
          <w:rFonts w:ascii="Arial" w:hAnsi="Arial" w:cs="Arial"/>
        </w:rPr>
        <w:t>conditions were: malignancy</w:t>
      </w:r>
      <w:r w:rsidR="00DB1D75" w:rsidRPr="00C43975">
        <w:rPr>
          <w:rFonts w:ascii="Arial" w:hAnsi="Arial" w:cs="Arial"/>
        </w:rPr>
        <w:t xml:space="preserve"> (</w:t>
      </w:r>
      <w:r w:rsidR="00F46BF8" w:rsidRPr="00C43975">
        <w:rPr>
          <w:rFonts w:ascii="Arial" w:hAnsi="Arial" w:cs="Arial"/>
        </w:rPr>
        <w:t>40.2</w:t>
      </w:r>
      <w:r w:rsidR="00594D6D" w:rsidRPr="00C43975">
        <w:rPr>
          <w:rFonts w:ascii="Arial" w:hAnsi="Arial" w:cs="Arial"/>
        </w:rPr>
        <w:t xml:space="preserve">%; </w:t>
      </w:r>
      <w:r w:rsidR="00890577" w:rsidRPr="00C43975">
        <w:rPr>
          <w:rFonts w:ascii="Arial" w:hAnsi="Arial" w:cs="Arial"/>
        </w:rPr>
        <w:t>395</w:t>
      </w:r>
      <w:r w:rsidR="0073583D" w:rsidRPr="00C43975">
        <w:rPr>
          <w:rFonts w:ascii="Arial" w:hAnsi="Arial" w:cs="Arial"/>
        </w:rPr>
        <w:t>/</w:t>
      </w:r>
      <w:r w:rsidR="001B0D77" w:rsidRPr="00C43975">
        <w:rPr>
          <w:rFonts w:ascii="Arial" w:hAnsi="Arial" w:cs="Arial"/>
        </w:rPr>
        <w:t>982</w:t>
      </w:r>
      <w:r w:rsidR="00DB1D75" w:rsidRPr="00C43975">
        <w:rPr>
          <w:rFonts w:ascii="Arial" w:hAnsi="Arial" w:cs="Arial"/>
        </w:rPr>
        <w:t>)</w:t>
      </w:r>
      <w:r w:rsidR="0073583D" w:rsidRPr="00C43975">
        <w:rPr>
          <w:rFonts w:ascii="Arial" w:hAnsi="Arial" w:cs="Arial"/>
        </w:rPr>
        <w:t xml:space="preserve">; hematologic or immunologic condition </w:t>
      </w:r>
      <w:r w:rsidR="00DB1D75" w:rsidRPr="00C43975">
        <w:rPr>
          <w:rFonts w:ascii="Arial" w:hAnsi="Arial" w:cs="Arial"/>
        </w:rPr>
        <w:t>(</w:t>
      </w:r>
      <w:r w:rsidR="00F46BF8" w:rsidRPr="00C43975">
        <w:rPr>
          <w:rFonts w:ascii="Arial" w:hAnsi="Arial" w:cs="Arial"/>
        </w:rPr>
        <w:t>25.6</w:t>
      </w:r>
      <w:r w:rsidR="00594D6D" w:rsidRPr="00C43975">
        <w:rPr>
          <w:rFonts w:ascii="Arial" w:hAnsi="Arial" w:cs="Arial"/>
        </w:rPr>
        <w:t xml:space="preserve">%; </w:t>
      </w:r>
      <w:r w:rsidR="00890577" w:rsidRPr="00C43975">
        <w:rPr>
          <w:rFonts w:ascii="Arial" w:hAnsi="Arial" w:cs="Arial"/>
        </w:rPr>
        <w:t>251</w:t>
      </w:r>
      <w:r w:rsidR="0073583D" w:rsidRPr="00C43975">
        <w:rPr>
          <w:rFonts w:ascii="Arial" w:hAnsi="Arial" w:cs="Arial"/>
        </w:rPr>
        <w:t>/</w:t>
      </w:r>
      <w:r w:rsidR="001B0D77" w:rsidRPr="00C43975">
        <w:rPr>
          <w:rFonts w:ascii="Arial" w:hAnsi="Arial" w:cs="Arial"/>
        </w:rPr>
        <w:t>982</w:t>
      </w:r>
      <w:r w:rsidR="00DB1D75" w:rsidRPr="00C43975">
        <w:rPr>
          <w:rFonts w:ascii="Arial" w:hAnsi="Arial" w:cs="Arial"/>
        </w:rPr>
        <w:t>)</w:t>
      </w:r>
      <w:r w:rsidR="0073583D" w:rsidRPr="00C43975">
        <w:rPr>
          <w:rFonts w:ascii="Arial" w:hAnsi="Arial" w:cs="Arial"/>
        </w:rPr>
        <w:t xml:space="preserve">; gastrointestinal </w:t>
      </w:r>
      <w:r w:rsidR="00CE7D13" w:rsidRPr="00C43975">
        <w:rPr>
          <w:rFonts w:ascii="Arial" w:hAnsi="Arial" w:cs="Arial"/>
        </w:rPr>
        <w:t>disorders</w:t>
      </w:r>
      <w:r w:rsidR="00DB1D75" w:rsidRPr="00C43975">
        <w:rPr>
          <w:rFonts w:ascii="Arial" w:hAnsi="Arial" w:cs="Arial"/>
        </w:rPr>
        <w:t xml:space="preserve"> (</w:t>
      </w:r>
      <w:r w:rsidR="00F46BF8" w:rsidRPr="00C43975">
        <w:rPr>
          <w:rFonts w:ascii="Arial" w:hAnsi="Arial" w:cs="Arial"/>
        </w:rPr>
        <w:t>17.3</w:t>
      </w:r>
      <w:r w:rsidR="00594D6D" w:rsidRPr="00C43975">
        <w:rPr>
          <w:rFonts w:ascii="Arial" w:hAnsi="Arial" w:cs="Arial"/>
        </w:rPr>
        <w:t xml:space="preserve">%; </w:t>
      </w:r>
      <w:r w:rsidR="0067290C" w:rsidRPr="00C43975">
        <w:rPr>
          <w:rFonts w:ascii="Arial" w:hAnsi="Arial" w:cs="Arial"/>
        </w:rPr>
        <w:t>170</w:t>
      </w:r>
      <w:r w:rsidR="0073583D" w:rsidRPr="00C43975">
        <w:rPr>
          <w:rFonts w:ascii="Arial" w:hAnsi="Arial" w:cs="Arial"/>
        </w:rPr>
        <w:t>/</w:t>
      </w:r>
      <w:r w:rsidR="00095AB9" w:rsidRPr="00C43975">
        <w:rPr>
          <w:rFonts w:ascii="Arial" w:hAnsi="Arial" w:cs="Arial"/>
        </w:rPr>
        <w:t>982</w:t>
      </w:r>
      <w:r w:rsidR="00426F66" w:rsidRPr="00C43975">
        <w:rPr>
          <w:rFonts w:ascii="Arial" w:hAnsi="Arial" w:cs="Arial"/>
        </w:rPr>
        <w:t>); disorders related to prematurity and low birth weight</w:t>
      </w:r>
      <w:r w:rsidR="00426F66" w:rsidRPr="00C43975" w:rsidDel="00426F66">
        <w:rPr>
          <w:rFonts w:ascii="Arial" w:hAnsi="Arial" w:cs="Arial"/>
        </w:rPr>
        <w:t xml:space="preserve"> </w:t>
      </w:r>
      <w:r w:rsidR="0067290C" w:rsidRPr="00C43975">
        <w:rPr>
          <w:rFonts w:ascii="Arial" w:hAnsi="Arial" w:cs="Arial"/>
        </w:rPr>
        <w:t>(</w:t>
      </w:r>
      <w:r w:rsidR="00F46BF8" w:rsidRPr="00C43975">
        <w:rPr>
          <w:rFonts w:ascii="Arial" w:hAnsi="Arial" w:cs="Arial"/>
        </w:rPr>
        <w:t>13</w:t>
      </w:r>
      <w:r w:rsidR="0067290C" w:rsidRPr="00C43975">
        <w:rPr>
          <w:rFonts w:ascii="Arial" w:hAnsi="Arial" w:cs="Arial"/>
        </w:rPr>
        <w:t xml:space="preserve">.3%; 131/982); </w:t>
      </w:r>
      <w:r w:rsidR="0073583D" w:rsidRPr="00C43975">
        <w:rPr>
          <w:rFonts w:ascii="Arial" w:hAnsi="Arial" w:cs="Arial"/>
        </w:rPr>
        <w:t xml:space="preserve"> and cardiovascular condition</w:t>
      </w:r>
      <w:r w:rsidR="009D57E6" w:rsidRPr="00C43975">
        <w:rPr>
          <w:rFonts w:ascii="Arial" w:hAnsi="Arial" w:cs="Arial"/>
        </w:rPr>
        <w:t>s</w:t>
      </w:r>
      <w:r w:rsidR="0073583D" w:rsidRPr="00C43975">
        <w:rPr>
          <w:rFonts w:ascii="Arial" w:hAnsi="Arial" w:cs="Arial"/>
        </w:rPr>
        <w:t xml:space="preserve"> </w:t>
      </w:r>
      <w:r w:rsidR="00DB1D75" w:rsidRPr="00C43975">
        <w:rPr>
          <w:rFonts w:ascii="Arial" w:hAnsi="Arial" w:cs="Arial"/>
        </w:rPr>
        <w:t>(</w:t>
      </w:r>
      <w:r w:rsidR="00095AB9" w:rsidRPr="00C43975">
        <w:rPr>
          <w:rFonts w:ascii="Arial" w:hAnsi="Arial" w:cs="Arial"/>
        </w:rPr>
        <w:t>5.4</w:t>
      </w:r>
      <w:r w:rsidR="00594D6D" w:rsidRPr="00C43975">
        <w:rPr>
          <w:rFonts w:ascii="Arial" w:hAnsi="Arial" w:cs="Arial"/>
        </w:rPr>
        <w:t xml:space="preserve">%; </w:t>
      </w:r>
      <w:r w:rsidR="00095AB9" w:rsidRPr="00C43975">
        <w:rPr>
          <w:rFonts w:ascii="Arial" w:hAnsi="Arial" w:cs="Arial"/>
        </w:rPr>
        <w:t>53</w:t>
      </w:r>
      <w:r w:rsidR="0073583D" w:rsidRPr="00C43975">
        <w:rPr>
          <w:rFonts w:ascii="Arial" w:hAnsi="Arial" w:cs="Arial"/>
        </w:rPr>
        <w:t>/</w:t>
      </w:r>
      <w:r w:rsidR="00095AB9" w:rsidRPr="00C43975">
        <w:rPr>
          <w:rFonts w:ascii="Arial" w:hAnsi="Arial" w:cs="Arial"/>
        </w:rPr>
        <w:t>982</w:t>
      </w:r>
      <w:r w:rsidR="00DB1D75" w:rsidRPr="00C43975">
        <w:rPr>
          <w:rFonts w:ascii="Arial" w:hAnsi="Arial" w:cs="Arial"/>
        </w:rPr>
        <w:t>)</w:t>
      </w:r>
      <w:r w:rsidR="0073583D" w:rsidRPr="00C43975">
        <w:rPr>
          <w:rFonts w:ascii="Arial" w:hAnsi="Arial" w:cs="Arial"/>
        </w:rPr>
        <w:t>.</w:t>
      </w:r>
      <w:r w:rsidR="00594D6D" w:rsidRPr="00C43975">
        <w:rPr>
          <w:rFonts w:ascii="Arial" w:hAnsi="Arial" w:cs="Arial"/>
        </w:rPr>
        <w:t xml:space="preserve"> </w:t>
      </w:r>
    </w:p>
    <w:p w14:paraId="7A69A22E" w14:textId="77777777" w:rsidR="007D46C7" w:rsidRPr="00C43975" w:rsidRDefault="007D46C7" w:rsidP="00C43975">
      <w:pPr>
        <w:spacing w:line="480" w:lineRule="auto"/>
        <w:rPr>
          <w:rFonts w:ascii="Arial" w:hAnsi="Arial" w:cs="Arial"/>
        </w:rPr>
      </w:pPr>
    </w:p>
    <w:p w14:paraId="1587A1D5" w14:textId="6B0D4E95" w:rsidR="00F53C62" w:rsidRPr="00C43975" w:rsidRDefault="00594D6D" w:rsidP="00C43975">
      <w:pPr>
        <w:spacing w:line="480" w:lineRule="auto"/>
        <w:rPr>
          <w:rFonts w:ascii="Arial" w:hAnsi="Arial" w:cs="Arial"/>
        </w:rPr>
      </w:pPr>
      <w:r w:rsidRPr="00C43975">
        <w:rPr>
          <w:rFonts w:ascii="Arial" w:hAnsi="Arial" w:cs="Arial"/>
        </w:rPr>
        <w:t xml:space="preserve">A </w:t>
      </w:r>
      <w:r w:rsidR="00E84091" w:rsidRPr="00C43975">
        <w:rPr>
          <w:rFonts w:ascii="Arial" w:hAnsi="Arial" w:cs="Arial"/>
        </w:rPr>
        <w:t xml:space="preserve">significant </w:t>
      </w:r>
      <w:r w:rsidRPr="00C43975">
        <w:rPr>
          <w:rFonts w:ascii="Arial" w:hAnsi="Arial" w:cs="Arial"/>
        </w:rPr>
        <w:t>proportion of patients (</w:t>
      </w:r>
      <w:r w:rsidR="008260B2" w:rsidRPr="00C43975">
        <w:rPr>
          <w:rFonts w:ascii="Arial" w:hAnsi="Arial" w:cs="Arial"/>
        </w:rPr>
        <w:t>67.4</w:t>
      </w:r>
      <w:r w:rsidRPr="00C43975">
        <w:rPr>
          <w:rFonts w:ascii="Arial" w:hAnsi="Arial" w:cs="Arial"/>
        </w:rPr>
        <w:t xml:space="preserve">%; </w:t>
      </w:r>
      <w:r w:rsidR="00FF0733" w:rsidRPr="00C43975">
        <w:rPr>
          <w:rFonts w:ascii="Arial" w:hAnsi="Arial" w:cs="Arial"/>
        </w:rPr>
        <w:t>7</w:t>
      </w:r>
      <w:r w:rsidR="008260B2" w:rsidRPr="00C43975">
        <w:rPr>
          <w:rFonts w:ascii="Arial" w:hAnsi="Arial" w:cs="Arial"/>
        </w:rPr>
        <w:t>06</w:t>
      </w:r>
      <w:r w:rsidRPr="00C43975">
        <w:rPr>
          <w:rFonts w:ascii="Arial" w:hAnsi="Arial" w:cs="Arial"/>
        </w:rPr>
        <w:t>/1,</w:t>
      </w:r>
      <w:r w:rsidR="00C46E20" w:rsidRPr="00C43975">
        <w:rPr>
          <w:rFonts w:ascii="Arial" w:hAnsi="Arial" w:cs="Arial"/>
        </w:rPr>
        <w:t>048</w:t>
      </w:r>
      <w:r w:rsidRPr="00C43975">
        <w:rPr>
          <w:rFonts w:ascii="Arial" w:hAnsi="Arial" w:cs="Arial"/>
        </w:rPr>
        <w:t xml:space="preserve">) in our study </w:t>
      </w:r>
      <w:r w:rsidR="0073583D" w:rsidRPr="00C43975">
        <w:rPr>
          <w:rFonts w:ascii="Arial" w:hAnsi="Arial" w:cs="Arial"/>
        </w:rPr>
        <w:t>belong</w:t>
      </w:r>
      <w:r w:rsidR="00870FD3" w:rsidRPr="00C43975">
        <w:rPr>
          <w:rFonts w:ascii="Arial" w:hAnsi="Arial" w:cs="Arial"/>
        </w:rPr>
        <w:t>ed</w:t>
      </w:r>
      <w:r w:rsidR="0073583D" w:rsidRPr="00C43975">
        <w:rPr>
          <w:rFonts w:ascii="Arial" w:hAnsi="Arial" w:cs="Arial"/>
        </w:rPr>
        <w:t xml:space="preserve"> to </w:t>
      </w:r>
      <w:r w:rsidR="00870FD3" w:rsidRPr="00C43975">
        <w:rPr>
          <w:rFonts w:ascii="Arial" w:hAnsi="Arial" w:cs="Arial"/>
        </w:rPr>
        <w:t>patient</w:t>
      </w:r>
      <w:r w:rsidR="00E84091" w:rsidRPr="00C43975">
        <w:rPr>
          <w:rFonts w:ascii="Arial" w:hAnsi="Arial" w:cs="Arial"/>
        </w:rPr>
        <w:t xml:space="preserve"> </w:t>
      </w:r>
      <w:r w:rsidR="0073583D" w:rsidRPr="00C43975">
        <w:rPr>
          <w:rFonts w:ascii="Arial" w:hAnsi="Arial" w:cs="Arial"/>
        </w:rPr>
        <w:t>groups</w:t>
      </w:r>
      <w:r w:rsidR="00E84091" w:rsidRPr="00C43975">
        <w:rPr>
          <w:rFonts w:ascii="Arial" w:hAnsi="Arial" w:cs="Arial"/>
        </w:rPr>
        <w:t xml:space="preserve"> considered </w:t>
      </w:r>
      <w:r w:rsidR="00870FD3" w:rsidRPr="00C43975">
        <w:rPr>
          <w:rFonts w:ascii="Arial" w:hAnsi="Arial" w:cs="Arial"/>
        </w:rPr>
        <w:t>to be at</w:t>
      </w:r>
      <w:r w:rsidR="00E84091" w:rsidRPr="00C43975">
        <w:rPr>
          <w:rFonts w:ascii="Arial" w:hAnsi="Arial" w:cs="Arial"/>
        </w:rPr>
        <w:t xml:space="preserve"> high risk for IFD</w:t>
      </w:r>
      <w:r w:rsidR="00025449" w:rsidRPr="00C43975">
        <w:rPr>
          <w:rFonts w:ascii="Arial" w:hAnsi="Arial" w:cs="Arial"/>
        </w:rPr>
        <w:t>.</w:t>
      </w:r>
      <w:r w:rsidR="006441EC" w:rsidRPr="00C43975">
        <w:rPr>
          <w:rFonts w:ascii="Arial" w:hAnsi="Arial" w:cs="Arial"/>
        </w:rPr>
        <w:t xml:space="preserve"> </w:t>
      </w:r>
      <w:r w:rsidR="004379D3" w:rsidRPr="00C43975">
        <w:rPr>
          <w:rFonts w:ascii="Arial" w:hAnsi="Arial" w:cs="Arial"/>
        </w:rPr>
        <w:t>Overall</w:t>
      </w:r>
      <w:r w:rsidR="004931D0" w:rsidRPr="00C43975">
        <w:rPr>
          <w:rFonts w:ascii="Arial" w:hAnsi="Arial" w:cs="Arial"/>
        </w:rPr>
        <w:t xml:space="preserve">, </w:t>
      </w:r>
      <w:r w:rsidR="00BA50C9" w:rsidRPr="00C43975">
        <w:rPr>
          <w:rFonts w:ascii="Arial" w:hAnsi="Arial" w:cs="Arial"/>
        </w:rPr>
        <w:t xml:space="preserve">belonging to a </w:t>
      </w:r>
      <w:proofErr w:type="gramStart"/>
      <w:r w:rsidR="00BA50C9" w:rsidRPr="00C43975">
        <w:rPr>
          <w:rFonts w:ascii="Arial" w:hAnsi="Arial" w:cs="Arial"/>
        </w:rPr>
        <w:t>high risk</w:t>
      </w:r>
      <w:proofErr w:type="gramEnd"/>
      <w:r w:rsidR="00BA50C9" w:rsidRPr="00C43975">
        <w:rPr>
          <w:rFonts w:ascii="Arial" w:hAnsi="Arial" w:cs="Arial"/>
        </w:rPr>
        <w:t xml:space="preserve"> group </w:t>
      </w:r>
      <w:r w:rsidR="004931D0" w:rsidRPr="00C43975">
        <w:rPr>
          <w:rFonts w:ascii="Arial" w:hAnsi="Arial" w:cs="Arial"/>
        </w:rPr>
        <w:t xml:space="preserve">increased </w:t>
      </w:r>
      <w:r w:rsidR="004379D3" w:rsidRPr="00C43975">
        <w:rPr>
          <w:rFonts w:ascii="Arial" w:hAnsi="Arial" w:cs="Arial"/>
        </w:rPr>
        <w:t>nearly 5</w:t>
      </w:r>
      <w:r w:rsidR="001C1C00" w:rsidRPr="00C43975">
        <w:rPr>
          <w:rFonts w:ascii="Arial" w:hAnsi="Arial" w:cs="Arial"/>
        </w:rPr>
        <w:t>-fold</w:t>
      </w:r>
      <w:r w:rsidR="004931D0" w:rsidRPr="00C43975">
        <w:rPr>
          <w:rFonts w:ascii="Arial" w:hAnsi="Arial" w:cs="Arial"/>
        </w:rPr>
        <w:t xml:space="preserve"> the likelihood </w:t>
      </w:r>
      <w:r w:rsidR="004379D3" w:rsidRPr="00C43975">
        <w:rPr>
          <w:rFonts w:ascii="Arial" w:hAnsi="Arial" w:cs="Arial"/>
        </w:rPr>
        <w:t xml:space="preserve">of an </w:t>
      </w:r>
      <w:r w:rsidR="00014439" w:rsidRPr="00C43975">
        <w:rPr>
          <w:rFonts w:ascii="Arial" w:hAnsi="Arial" w:cs="Arial"/>
        </w:rPr>
        <w:t>antifungal</w:t>
      </w:r>
      <w:r w:rsidR="004379D3" w:rsidRPr="00C43975">
        <w:rPr>
          <w:rFonts w:ascii="Arial" w:hAnsi="Arial" w:cs="Arial"/>
        </w:rPr>
        <w:t xml:space="preserve"> drug</w:t>
      </w:r>
      <w:r w:rsidR="00014439" w:rsidRPr="00C43975">
        <w:rPr>
          <w:rFonts w:ascii="Arial" w:hAnsi="Arial" w:cs="Arial"/>
        </w:rPr>
        <w:t xml:space="preserve"> </w:t>
      </w:r>
      <w:r w:rsidR="004931D0" w:rsidRPr="00C43975">
        <w:rPr>
          <w:rFonts w:ascii="Arial" w:hAnsi="Arial" w:cs="Arial"/>
        </w:rPr>
        <w:t>prescribed. This ratio was</w:t>
      </w:r>
      <w:r w:rsidR="00426F66" w:rsidRPr="00C43975">
        <w:rPr>
          <w:rFonts w:ascii="Arial" w:hAnsi="Arial" w:cs="Arial"/>
        </w:rPr>
        <w:t xml:space="preserve"> significantly</w:t>
      </w:r>
      <w:r w:rsidR="004931D0" w:rsidRPr="00C43975">
        <w:rPr>
          <w:rFonts w:ascii="Arial" w:hAnsi="Arial" w:cs="Arial"/>
        </w:rPr>
        <w:t xml:space="preserve"> higher in HIC compared to LMIC, 5.8 and 3.4 respectively</w:t>
      </w:r>
      <w:r w:rsidR="00081249" w:rsidRPr="00C43975">
        <w:rPr>
          <w:rFonts w:ascii="Arial" w:hAnsi="Arial" w:cs="Arial"/>
        </w:rPr>
        <w:t xml:space="preserve"> (p&lt;0.01)</w:t>
      </w:r>
      <w:r w:rsidR="004931D0" w:rsidRPr="00C43975">
        <w:rPr>
          <w:rFonts w:ascii="Arial" w:hAnsi="Arial" w:cs="Arial"/>
        </w:rPr>
        <w:t xml:space="preserve">. </w:t>
      </w:r>
      <w:r w:rsidR="00691882" w:rsidRPr="00C43975">
        <w:rPr>
          <w:rFonts w:ascii="Arial" w:hAnsi="Arial" w:cs="Arial"/>
        </w:rPr>
        <w:t>In the entire cohort of patients</w:t>
      </w:r>
      <w:r w:rsidR="00F53C62" w:rsidRPr="00C43975">
        <w:rPr>
          <w:rFonts w:ascii="Arial" w:hAnsi="Arial" w:cs="Arial"/>
        </w:rPr>
        <w:t xml:space="preserve">, </w:t>
      </w:r>
      <w:r w:rsidR="00691882" w:rsidRPr="00C43975">
        <w:rPr>
          <w:rFonts w:ascii="Arial" w:hAnsi="Arial" w:cs="Arial"/>
        </w:rPr>
        <w:t xml:space="preserve">72.8% (2,396/3,292) </w:t>
      </w:r>
      <w:r w:rsidR="0073583D" w:rsidRPr="00C43975">
        <w:rPr>
          <w:rFonts w:ascii="Arial" w:hAnsi="Arial" w:cs="Arial"/>
        </w:rPr>
        <w:t xml:space="preserve">of children with malignancy </w:t>
      </w:r>
      <w:r w:rsidR="00025449" w:rsidRPr="00C43975">
        <w:rPr>
          <w:rFonts w:ascii="Arial" w:hAnsi="Arial" w:cs="Arial"/>
        </w:rPr>
        <w:t>or haemato</w:t>
      </w:r>
      <w:r w:rsidR="00BB1A83" w:rsidRPr="00C43975">
        <w:rPr>
          <w:rFonts w:ascii="Arial" w:hAnsi="Arial" w:cs="Arial"/>
        </w:rPr>
        <w:t xml:space="preserve">-immunological </w:t>
      </w:r>
      <w:r w:rsidR="00FF0733" w:rsidRPr="00C43975">
        <w:rPr>
          <w:rFonts w:ascii="Arial" w:hAnsi="Arial" w:cs="Arial"/>
        </w:rPr>
        <w:t xml:space="preserve">condition </w:t>
      </w:r>
      <w:r w:rsidR="00F53C62" w:rsidRPr="00C43975">
        <w:rPr>
          <w:rFonts w:ascii="Arial" w:hAnsi="Arial" w:cs="Arial"/>
        </w:rPr>
        <w:t>were managed in HIC</w:t>
      </w:r>
      <w:r w:rsidR="00691882" w:rsidRPr="00C43975">
        <w:rPr>
          <w:rFonts w:ascii="Arial" w:hAnsi="Arial" w:cs="Arial"/>
        </w:rPr>
        <w:t xml:space="preserve"> </w:t>
      </w:r>
      <w:r w:rsidR="00F53C62" w:rsidRPr="00C43975">
        <w:rPr>
          <w:rFonts w:ascii="Arial" w:hAnsi="Arial" w:cs="Arial"/>
        </w:rPr>
        <w:t>and 27.2% (896/3,292) in LMIC</w:t>
      </w:r>
      <w:r w:rsidR="00261D55" w:rsidRPr="00C43975">
        <w:rPr>
          <w:rFonts w:ascii="Arial" w:hAnsi="Arial" w:cs="Arial"/>
        </w:rPr>
        <w:t xml:space="preserve"> (p&lt;0.01)</w:t>
      </w:r>
      <w:r w:rsidR="00F53C62" w:rsidRPr="00C43975">
        <w:rPr>
          <w:rFonts w:ascii="Arial" w:hAnsi="Arial" w:cs="Arial"/>
        </w:rPr>
        <w:t xml:space="preserve">. </w:t>
      </w:r>
      <w:r w:rsidR="00691882" w:rsidRPr="00C43975">
        <w:rPr>
          <w:rFonts w:ascii="Arial" w:hAnsi="Arial" w:cs="Arial"/>
        </w:rPr>
        <w:t>Of those</w:t>
      </w:r>
      <w:r w:rsidR="00F53C62" w:rsidRPr="00C43975">
        <w:rPr>
          <w:rFonts w:ascii="Arial" w:hAnsi="Arial" w:cs="Arial"/>
        </w:rPr>
        <w:t xml:space="preserve">, 22.2% (532/2,396) </w:t>
      </w:r>
      <w:r w:rsidR="00691882" w:rsidRPr="00C43975">
        <w:rPr>
          <w:rFonts w:ascii="Arial" w:hAnsi="Arial" w:cs="Arial"/>
        </w:rPr>
        <w:t xml:space="preserve">received </w:t>
      </w:r>
      <w:r w:rsidR="00F53C62" w:rsidRPr="00C43975">
        <w:rPr>
          <w:rFonts w:ascii="Arial" w:hAnsi="Arial" w:cs="Arial"/>
        </w:rPr>
        <w:t xml:space="preserve">antifungals </w:t>
      </w:r>
      <w:r w:rsidR="00691882" w:rsidRPr="00C43975">
        <w:rPr>
          <w:rFonts w:ascii="Arial" w:hAnsi="Arial" w:cs="Arial"/>
        </w:rPr>
        <w:t xml:space="preserve">for treatment </w:t>
      </w:r>
      <w:r w:rsidR="00F53C62" w:rsidRPr="00C43975">
        <w:rPr>
          <w:rFonts w:ascii="Arial" w:hAnsi="Arial" w:cs="Arial"/>
        </w:rPr>
        <w:t>in HIC, compared to 10.8% (97/896) in LMIC (p&lt;0.01).</w:t>
      </w:r>
    </w:p>
    <w:p w14:paraId="3E97A9DD" w14:textId="77777777" w:rsidR="00DB1D75" w:rsidRPr="00C43975" w:rsidRDefault="00DB1D75" w:rsidP="00C43975">
      <w:pPr>
        <w:spacing w:line="480" w:lineRule="auto"/>
        <w:rPr>
          <w:rFonts w:ascii="Arial" w:hAnsi="Arial" w:cs="Arial"/>
        </w:rPr>
      </w:pPr>
    </w:p>
    <w:p w14:paraId="117B6822" w14:textId="3949BA66" w:rsidR="00230DE9" w:rsidRPr="00C43975" w:rsidRDefault="00865144" w:rsidP="00C43975">
      <w:pPr>
        <w:spacing w:line="480" w:lineRule="auto"/>
        <w:rPr>
          <w:rFonts w:ascii="Arial" w:hAnsi="Arial" w:cs="Arial"/>
          <w:i/>
        </w:rPr>
      </w:pPr>
      <w:r w:rsidRPr="00C43975">
        <w:rPr>
          <w:rFonts w:ascii="Arial" w:hAnsi="Arial" w:cs="Arial"/>
          <w:i/>
        </w:rPr>
        <w:t>Prophylaxis</w:t>
      </w:r>
      <w:r w:rsidR="00230DE9" w:rsidRPr="00C43975">
        <w:rPr>
          <w:rFonts w:ascii="Arial" w:hAnsi="Arial" w:cs="Arial"/>
          <w:i/>
        </w:rPr>
        <w:t xml:space="preserve"> and treatment</w:t>
      </w:r>
    </w:p>
    <w:p w14:paraId="00139BE1" w14:textId="77777777" w:rsidR="007D46C7" w:rsidRPr="00C43975" w:rsidRDefault="007D46C7" w:rsidP="00C43975">
      <w:pPr>
        <w:spacing w:line="480" w:lineRule="auto"/>
        <w:rPr>
          <w:rFonts w:ascii="Arial" w:hAnsi="Arial" w:cs="Arial"/>
          <w:i/>
        </w:rPr>
      </w:pPr>
    </w:p>
    <w:p w14:paraId="3C45B0F0" w14:textId="5D626338" w:rsidR="00230DE9" w:rsidRPr="00C43975" w:rsidRDefault="00230DE9" w:rsidP="00C43975">
      <w:pPr>
        <w:spacing w:line="480" w:lineRule="auto"/>
        <w:rPr>
          <w:rFonts w:ascii="Arial" w:hAnsi="Arial" w:cs="Arial"/>
        </w:rPr>
      </w:pPr>
      <w:r w:rsidRPr="00C43975">
        <w:rPr>
          <w:rFonts w:ascii="Arial" w:hAnsi="Arial" w:cs="Arial"/>
        </w:rPr>
        <w:t>Overall, 58.</w:t>
      </w:r>
      <w:r w:rsidR="00BF6099" w:rsidRPr="00C43975">
        <w:rPr>
          <w:rFonts w:ascii="Arial" w:hAnsi="Arial" w:cs="Arial"/>
        </w:rPr>
        <w:t>4</w:t>
      </w:r>
      <w:r w:rsidRPr="00C43975">
        <w:rPr>
          <w:rFonts w:ascii="Arial" w:hAnsi="Arial" w:cs="Arial"/>
        </w:rPr>
        <w:t xml:space="preserve">% of </w:t>
      </w:r>
      <w:r w:rsidR="00BF20E9" w:rsidRPr="00C43975">
        <w:rPr>
          <w:rFonts w:ascii="Arial" w:hAnsi="Arial" w:cs="Arial"/>
        </w:rPr>
        <w:t xml:space="preserve">antifungal </w:t>
      </w:r>
      <w:r w:rsidRPr="00C43975">
        <w:rPr>
          <w:rFonts w:ascii="Arial" w:hAnsi="Arial" w:cs="Arial"/>
        </w:rPr>
        <w:t xml:space="preserve">prescriptions (612/1,048) were </w:t>
      </w:r>
      <w:r w:rsidR="00F121B8" w:rsidRPr="00C43975">
        <w:rPr>
          <w:rFonts w:ascii="Arial" w:hAnsi="Arial" w:cs="Arial"/>
        </w:rPr>
        <w:t xml:space="preserve">prescribed </w:t>
      </w:r>
      <w:r w:rsidRPr="00C43975">
        <w:rPr>
          <w:rFonts w:ascii="Arial" w:hAnsi="Arial" w:cs="Arial"/>
        </w:rPr>
        <w:t xml:space="preserve">for medical prophylaxis. This proportion was </w:t>
      </w:r>
      <w:r w:rsidR="00CE7D13" w:rsidRPr="00C43975">
        <w:rPr>
          <w:rFonts w:ascii="Arial" w:hAnsi="Arial" w:cs="Arial"/>
        </w:rPr>
        <w:t xml:space="preserve">significantly </w:t>
      </w:r>
      <w:r w:rsidRPr="00C43975">
        <w:rPr>
          <w:rFonts w:ascii="Arial" w:hAnsi="Arial" w:cs="Arial"/>
        </w:rPr>
        <w:t xml:space="preserve">higher compared to </w:t>
      </w:r>
      <w:r w:rsidR="000011E2" w:rsidRPr="00C43975">
        <w:rPr>
          <w:rFonts w:ascii="Arial" w:hAnsi="Arial" w:cs="Arial"/>
        </w:rPr>
        <w:t>children receiv</w:t>
      </w:r>
      <w:r w:rsidR="00CE7D13" w:rsidRPr="00C43975">
        <w:rPr>
          <w:rFonts w:ascii="Arial" w:hAnsi="Arial" w:cs="Arial"/>
        </w:rPr>
        <w:t>ing</w:t>
      </w:r>
      <w:r w:rsidR="000011E2" w:rsidRPr="00C43975">
        <w:rPr>
          <w:rFonts w:ascii="Arial" w:hAnsi="Arial" w:cs="Arial"/>
        </w:rPr>
        <w:t xml:space="preserve"> </w:t>
      </w:r>
      <w:r w:rsidRPr="00C43975">
        <w:rPr>
          <w:rFonts w:ascii="Arial" w:hAnsi="Arial" w:cs="Arial"/>
        </w:rPr>
        <w:t>other antimicrobials</w:t>
      </w:r>
      <w:r w:rsidR="009A0894" w:rsidRPr="00C43975">
        <w:rPr>
          <w:rFonts w:ascii="Arial" w:hAnsi="Arial" w:cs="Arial"/>
        </w:rPr>
        <w:t xml:space="preserve"> for prophylaxis</w:t>
      </w:r>
      <w:r w:rsidRPr="00C43975">
        <w:rPr>
          <w:rFonts w:ascii="Arial" w:hAnsi="Arial" w:cs="Arial"/>
        </w:rPr>
        <w:t>, 29.4% (3,637/12,362) (p&lt;0.</w:t>
      </w:r>
      <w:r w:rsidR="00A50DA4" w:rsidRPr="00C43975">
        <w:rPr>
          <w:rFonts w:ascii="Arial" w:hAnsi="Arial" w:cs="Arial"/>
        </w:rPr>
        <w:t>01</w:t>
      </w:r>
      <w:r w:rsidRPr="00C43975">
        <w:rPr>
          <w:rFonts w:ascii="Arial" w:hAnsi="Arial" w:cs="Arial"/>
        </w:rPr>
        <w:t>). The use of prophylactic antifungals was more common</w:t>
      </w:r>
      <w:r w:rsidR="00F121B8" w:rsidRPr="00C43975">
        <w:rPr>
          <w:rFonts w:ascii="Arial" w:hAnsi="Arial" w:cs="Arial"/>
        </w:rPr>
        <w:t>ly prescribed</w:t>
      </w:r>
      <w:r w:rsidRPr="00C43975">
        <w:rPr>
          <w:rFonts w:ascii="Arial" w:hAnsi="Arial" w:cs="Arial"/>
        </w:rPr>
        <w:t xml:space="preserve"> among neonates compared to children [61</w:t>
      </w:r>
      <w:r w:rsidR="000011E2" w:rsidRPr="00C43975">
        <w:rPr>
          <w:rFonts w:ascii="Arial" w:hAnsi="Arial" w:cs="Arial"/>
        </w:rPr>
        <w:t>.0</w:t>
      </w:r>
      <w:r w:rsidRPr="00C43975">
        <w:rPr>
          <w:rFonts w:ascii="Arial" w:hAnsi="Arial" w:cs="Arial"/>
        </w:rPr>
        <w:t>% (108/177) vs 57.9% (504/871), p</w:t>
      </w:r>
      <w:r w:rsidR="00905AEC" w:rsidRPr="00C43975">
        <w:rPr>
          <w:rFonts w:ascii="Arial" w:hAnsi="Arial" w:cs="Arial"/>
        </w:rPr>
        <w:t>=0.438</w:t>
      </w:r>
      <w:r w:rsidRPr="00C43975">
        <w:rPr>
          <w:rFonts w:ascii="Arial" w:hAnsi="Arial" w:cs="Arial"/>
        </w:rPr>
        <w:t xml:space="preserve">]. </w:t>
      </w:r>
      <w:r w:rsidR="000011E2" w:rsidRPr="00C43975">
        <w:rPr>
          <w:rFonts w:ascii="Arial" w:hAnsi="Arial" w:cs="Arial"/>
        </w:rPr>
        <w:t xml:space="preserve">A </w:t>
      </w:r>
      <w:r w:rsidR="00CE7D13" w:rsidRPr="00C43975">
        <w:rPr>
          <w:rFonts w:ascii="Arial" w:hAnsi="Arial" w:cs="Arial"/>
        </w:rPr>
        <w:t xml:space="preserve">significantly </w:t>
      </w:r>
      <w:r w:rsidR="000011E2" w:rsidRPr="00C43975">
        <w:rPr>
          <w:rFonts w:ascii="Arial" w:hAnsi="Arial" w:cs="Arial"/>
        </w:rPr>
        <w:t>high</w:t>
      </w:r>
      <w:r w:rsidR="00CE7D13" w:rsidRPr="00C43975">
        <w:rPr>
          <w:rFonts w:ascii="Arial" w:hAnsi="Arial" w:cs="Arial"/>
        </w:rPr>
        <w:t>er</w:t>
      </w:r>
      <w:r w:rsidR="000011E2" w:rsidRPr="00C43975">
        <w:rPr>
          <w:rFonts w:ascii="Arial" w:hAnsi="Arial" w:cs="Arial"/>
        </w:rPr>
        <w:t xml:space="preserve"> </w:t>
      </w:r>
      <w:r w:rsidR="000011E2" w:rsidRPr="00C43975">
        <w:rPr>
          <w:rFonts w:ascii="Arial" w:hAnsi="Arial" w:cs="Arial"/>
        </w:rPr>
        <w:lastRenderedPageBreak/>
        <w:t xml:space="preserve">proportion of antifungal prophylaxis </w:t>
      </w:r>
      <w:r w:rsidR="00CE7D13" w:rsidRPr="00C43975">
        <w:rPr>
          <w:rFonts w:ascii="Arial" w:hAnsi="Arial" w:cs="Arial"/>
        </w:rPr>
        <w:t xml:space="preserve">was prescribed </w:t>
      </w:r>
      <w:r w:rsidRPr="00C43975">
        <w:rPr>
          <w:rFonts w:ascii="Arial" w:hAnsi="Arial" w:cs="Arial"/>
        </w:rPr>
        <w:t>in HIC compared to LMIC [</w:t>
      </w:r>
      <w:r w:rsidR="00905AEC" w:rsidRPr="00C43975">
        <w:rPr>
          <w:rFonts w:ascii="Arial" w:hAnsi="Arial" w:cs="Arial"/>
        </w:rPr>
        <w:t>67.2</w:t>
      </w:r>
      <w:r w:rsidRPr="00C43975">
        <w:rPr>
          <w:rFonts w:ascii="Arial" w:hAnsi="Arial" w:cs="Arial"/>
        </w:rPr>
        <w:t>% (</w:t>
      </w:r>
      <w:r w:rsidR="00905AEC" w:rsidRPr="00C43975">
        <w:rPr>
          <w:rFonts w:ascii="Arial" w:hAnsi="Arial" w:cs="Arial"/>
        </w:rPr>
        <w:t>536</w:t>
      </w:r>
      <w:r w:rsidRPr="00C43975">
        <w:rPr>
          <w:rFonts w:ascii="Arial" w:hAnsi="Arial" w:cs="Arial"/>
        </w:rPr>
        <w:t>/</w:t>
      </w:r>
      <w:r w:rsidR="00905AEC" w:rsidRPr="00C43975">
        <w:rPr>
          <w:rFonts w:ascii="Arial" w:hAnsi="Arial" w:cs="Arial"/>
        </w:rPr>
        <w:t>798</w:t>
      </w:r>
      <w:r w:rsidRPr="00C43975">
        <w:rPr>
          <w:rFonts w:ascii="Arial" w:hAnsi="Arial" w:cs="Arial"/>
        </w:rPr>
        <w:t xml:space="preserve">) vs </w:t>
      </w:r>
      <w:r w:rsidR="00905AEC" w:rsidRPr="00C43975">
        <w:rPr>
          <w:rFonts w:ascii="Arial" w:hAnsi="Arial" w:cs="Arial"/>
        </w:rPr>
        <w:t>30.4</w:t>
      </w:r>
      <w:r w:rsidRPr="00C43975">
        <w:rPr>
          <w:rFonts w:ascii="Arial" w:hAnsi="Arial" w:cs="Arial"/>
        </w:rPr>
        <w:t>% (</w:t>
      </w:r>
      <w:r w:rsidR="00905AEC" w:rsidRPr="00C43975">
        <w:rPr>
          <w:rFonts w:ascii="Arial" w:hAnsi="Arial" w:cs="Arial"/>
        </w:rPr>
        <w:t>76</w:t>
      </w:r>
      <w:r w:rsidRPr="00C43975">
        <w:rPr>
          <w:rFonts w:ascii="Arial" w:hAnsi="Arial" w:cs="Arial"/>
        </w:rPr>
        <w:t>/</w:t>
      </w:r>
      <w:r w:rsidR="00905AEC" w:rsidRPr="00C43975">
        <w:rPr>
          <w:rFonts w:ascii="Arial" w:hAnsi="Arial" w:cs="Arial"/>
        </w:rPr>
        <w:t>1250</w:t>
      </w:r>
      <w:r w:rsidRPr="00C43975">
        <w:rPr>
          <w:rFonts w:ascii="Arial" w:hAnsi="Arial" w:cs="Arial"/>
        </w:rPr>
        <w:t>), p&lt;0.</w:t>
      </w:r>
      <w:r w:rsidR="00905AEC" w:rsidRPr="00C43975">
        <w:rPr>
          <w:rFonts w:ascii="Arial" w:hAnsi="Arial" w:cs="Arial"/>
        </w:rPr>
        <w:t>01</w:t>
      </w:r>
      <w:r w:rsidRPr="00C43975">
        <w:rPr>
          <w:rFonts w:ascii="Arial" w:hAnsi="Arial" w:cs="Arial"/>
        </w:rPr>
        <w:t>].</w:t>
      </w:r>
    </w:p>
    <w:p w14:paraId="3C078670" w14:textId="77777777" w:rsidR="00905AEC" w:rsidRPr="00C43975" w:rsidRDefault="00905AEC" w:rsidP="00C43975">
      <w:pPr>
        <w:spacing w:line="480" w:lineRule="auto"/>
        <w:rPr>
          <w:rFonts w:ascii="Arial" w:hAnsi="Arial" w:cs="Arial"/>
        </w:rPr>
      </w:pPr>
    </w:p>
    <w:p w14:paraId="4D2B5122" w14:textId="367A6E42" w:rsidR="00230DE9" w:rsidRPr="00C43975" w:rsidRDefault="00CE7D13" w:rsidP="00C43975">
      <w:pPr>
        <w:spacing w:line="480" w:lineRule="auto"/>
        <w:rPr>
          <w:rFonts w:ascii="Arial" w:hAnsi="Arial" w:cs="Arial"/>
        </w:rPr>
      </w:pPr>
      <w:r w:rsidRPr="00C43975">
        <w:rPr>
          <w:rFonts w:ascii="Arial" w:hAnsi="Arial" w:cs="Arial"/>
        </w:rPr>
        <w:t>The majority</w:t>
      </w:r>
      <w:r w:rsidR="00230DE9" w:rsidRPr="00C43975">
        <w:rPr>
          <w:rFonts w:ascii="Arial" w:hAnsi="Arial" w:cs="Arial"/>
        </w:rPr>
        <w:t xml:space="preserve"> of antifungal </w:t>
      </w:r>
      <w:r w:rsidR="0081098F" w:rsidRPr="00C43975">
        <w:rPr>
          <w:rFonts w:ascii="Arial" w:hAnsi="Arial" w:cs="Arial"/>
        </w:rPr>
        <w:t>treatment</w:t>
      </w:r>
      <w:r w:rsidR="00230DE9" w:rsidRPr="00C43975">
        <w:rPr>
          <w:rFonts w:ascii="Arial" w:hAnsi="Arial" w:cs="Arial"/>
        </w:rPr>
        <w:t xml:space="preserve"> </w:t>
      </w:r>
      <w:r w:rsidR="00AB787C" w:rsidRPr="00C43975">
        <w:rPr>
          <w:rFonts w:ascii="Arial" w:hAnsi="Arial" w:cs="Arial"/>
        </w:rPr>
        <w:t xml:space="preserve">was </w:t>
      </w:r>
      <w:r w:rsidRPr="00C43975">
        <w:rPr>
          <w:rFonts w:ascii="Arial" w:hAnsi="Arial" w:cs="Arial"/>
        </w:rPr>
        <w:t xml:space="preserve">prescribed for </w:t>
      </w:r>
      <w:r w:rsidR="00230DE9" w:rsidRPr="00C43975">
        <w:rPr>
          <w:rFonts w:ascii="Arial" w:hAnsi="Arial" w:cs="Arial"/>
        </w:rPr>
        <w:t>empiric</w:t>
      </w:r>
      <w:r w:rsidR="00F877C6" w:rsidRPr="00C43975">
        <w:rPr>
          <w:rFonts w:ascii="Arial" w:hAnsi="Arial" w:cs="Arial"/>
        </w:rPr>
        <w:t xml:space="preserve">al </w:t>
      </w:r>
      <w:r w:rsidRPr="00C43975">
        <w:rPr>
          <w:rFonts w:ascii="Arial" w:hAnsi="Arial" w:cs="Arial"/>
        </w:rPr>
        <w:t>reasons</w:t>
      </w:r>
      <w:r w:rsidR="00F877C6" w:rsidRPr="00C43975">
        <w:rPr>
          <w:rFonts w:ascii="Arial" w:hAnsi="Arial" w:cs="Arial"/>
        </w:rPr>
        <w:t xml:space="preserve">. </w:t>
      </w:r>
      <w:r w:rsidRPr="00C43975">
        <w:rPr>
          <w:rFonts w:ascii="Arial" w:hAnsi="Arial" w:cs="Arial"/>
        </w:rPr>
        <w:t>Seventy-one percent</w:t>
      </w:r>
      <w:r w:rsidR="003363FE" w:rsidRPr="00C43975">
        <w:rPr>
          <w:rFonts w:ascii="Arial" w:hAnsi="Arial" w:cs="Arial"/>
        </w:rPr>
        <w:t xml:space="preserve"> </w:t>
      </w:r>
      <w:r w:rsidR="00230DE9" w:rsidRPr="00C43975">
        <w:rPr>
          <w:rFonts w:ascii="Arial" w:hAnsi="Arial" w:cs="Arial"/>
        </w:rPr>
        <w:t>(303/427)</w:t>
      </w:r>
      <w:r w:rsidR="00F877C6" w:rsidRPr="00C43975">
        <w:rPr>
          <w:rFonts w:ascii="Arial" w:hAnsi="Arial" w:cs="Arial"/>
        </w:rPr>
        <w:t xml:space="preserve"> </w:t>
      </w:r>
      <w:r w:rsidRPr="00C43975">
        <w:rPr>
          <w:rFonts w:ascii="Arial" w:hAnsi="Arial" w:cs="Arial"/>
        </w:rPr>
        <w:t xml:space="preserve">of </w:t>
      </w:r>
      <w:r w:rsidR="00F877C6" w:rsidRPr="00C43975">
        <w:rPr>
          <w:rFonts w:ascii="Arial" w:hAnsi="Arial" w:cs="Arial"/>
        </w:rPr>
        <w:t>children received empirical antifungal treatment</w:t>
      </w:r>
      <w:r w:rsidR="00230DE9" w:rsidRPr="00C43975">
        <w:rPr>
          <w:rFonts w:ascii="Arial" w:hAnsi="Arial" w:cs="Arial"/>
        </w:rPr>
        <w:t>, whereas 29</w:t>
      </w:r>
      <w:r w:rsidR="00F877C6" w:rsidRPr="00C43975">
        <w:rPr>
          <w:rFonts w:ascii="Arial" w:hAnsi="Arial" w:cs="Arial"/>
        </w:rPr>
        <w:t>.0</w:t>
      </w:r>
      <w:r w:rsidR="00230DE9" w:rsidRPr="00C43975">
        <w:rPr>
          <w:rFonts w:ascii="Arial" w:hAnsi="Arial" w:cs="Arial"/>
        </w:rPr>
        <w:t xml:space="preserve">% (124/427) </w:t>
      </w:r>
      <w:r w:rsidR="007F5A2B" w:rsidRPr="00C43975">
        <w:rPr>
          <w:rFonts w:ascii="Arial" w:hAnsi="Arial" w:cs="Arial"/>
        </w:rPr>
        <w:t>of children  received antifungal drug</w:t>
      </w:r>
      <w:r w:rsidR="00230DE9" w:rsidRPr="00C43975">
        <w:rPr>
          <w:rFonts w:ascii="Arial" w:hAnsi="Arial" w:cs="Arial"/>
        </w:rPr>
        <w:t xml:space="preserve"> as </w:t>
      </w:r>
      <w:r w:rsidR="0081098F" w:rsidRPr="00C43975">
        <w:rPr>
          <w:rFonts w:ascii="Arial" w:hAnsi="Arial" w:cs="Arial"/>
        </w:rPr>
        <w:t>target</w:t>
      </w:r>
      <w:r w:rsidR="00740E00" w:rsidRPr="00C43975">
        <w:rPr>
          <w:rFonts w:ascii="Arial" w:hAnsi="Arial" w:cs="Arial"/>
        </w:rPr>
        <w:t>ed</w:t>
      </w:r>
      <w:r w:rsidR="00230DE9" w:rsidRPr="00C43975">
        <w:rPr>
          <w:rFonts w:ascii="Arial" w:hAnsi="Arial" w:cs="Arial"/>
        </w:rPr>
        <w:t xml:space="preserve"> treatment. </w:t>
      </w:r>
      <w:r w:rsidR="0081098F" w:rsidRPr="00C43975">
        <w:rPr>
          <w:rFonts w:ascii="Arial" w:hAnsi="Arial" w:cs="Arial"/>
        </w:rPr>
        <w:t>E</w:t>
      </w:r>
      <w:r w:rsidR="00230DE9" w:rsidRPr="00C43975">
        <w:rPr>
          <w:rFonts w:ascii="Arial" w:hAnsi="Arial" w:cs="Arial"/>
        </w:rPr>
        <w:t>mpiric</w:t>
      </w:r>
      <w:r w:rsidR="00017BF6" w:rsidRPr="00C43975">
        <w:rPr>
          <w:rFonts w:ascii="Arial" w:hAnsi="Arial" w:cs="Arial"/>
        </w:rPr>
        <w:t>al</w:t>
      </w:r>
      <w:r w:rsidR="00230DE9" w:rsidRPr="00C43975">
        <w:rPr>
          <w:rFonts w:ascii="Arial" w:hAnsi="Arial" w:cs="Arial"/>
        </w:rPr>
        <w:t xml:space="preserve"> </w:t>
      </w:r>
      <w:r w:rsidR="00AB787C" w:rsidRPr="00C43975">
        <w:rPr>
          <w:rFonts w:ascii="Arial" w:hAnsi="Arial" w:cs="Arial"/>
        </w:rPr>
        <w:t xml:space="preserve">antifungal </w:t>
      </w:r>
      <w:r w:rsidR="0081098F" w:rsidRPr="00C43975">
        <w:rPr>
          <w:rFonts w:ascii="Arial" w:hAnsi="Arial" w:cs="Arial"/>
        </w:rPr>
        <w:t>treatment</w:t>
      </w:r>
      <w:r w:rsidR="00230DE9" w:rsidRPr="00C43975">
        <w:rPr>
          <w:rFonts w:ascii="Arial" w:hAnsi="Arial" w:cs="Arial"/>
        </w:rPr>
        <w:t xml:space="preserve"> was more common</w:t>
      </w:r>
      <w:r w:rsidR="00916F73" w:rsidRPr="00C43975">
        <w:rPr>
          <w:rFonts w:ascii="Arial" w:hAnsi="Arial" w:cs="Arial"/>
        </w:rPr>
        <w:t xml:space="preserve">ly prescribed to </w:t>
      </w:r>
      <w:r w:rsidR="00230DE9" w:rsidRPr="00C43975">
        <w:rPr>
          <w:rFonts w:ascii="Arial" w:hAnsi="Arial" w:cs="Arial"/>
        </w:rPr>
        <w:t>neonates compared to older children [</w:t>
      </w:r>
      <w:r w:rsidR="00251F85" w:rsidRPr="00C43975">
        <w:rPr>
          <w:rFonts w:ascii="Arial" w:hAnsi="Arial" w:cs="Arial"/>
        </w:rPr>
        <w:t>76.8</w:t>
      </w:r>
      <w:r w:rsidR="00230DE9" w:rsidRPr="00C43975">
        <w:rPr>
          <w:rFonts w:ascii="Arial" w:hAnsi="Arial" w:cs="Arial"/>
        </w:rPr>
        <w:t>% (</w:t>
      </w:r>
      <w:r w:rsidR="00251F85" w:rsidRPr="00C43975">
        <w:rPr>
          <w:rFonts w:ascii="Arial" w:hAnsi="Arial" w:cs="Arial"/>
        </w:rPr>
        <w:t>53</w:t>
      </w:r>
      <w:r w:rsidR="00230DE9" w:rsidRPr="00C43975">
        <w:rPr>
          <w:rFonts w:ascii="Arial" w:hAnsi="Arial" w:cs="Arial"/>
        </w:rPr>
        <w:t>/</w:t>
      </w:r>
      <w:r w:rsidR="00251F85" w:rsidRPr="00C43975">
        <w:rPr>
          <w:rFonts w:ascii="Arial" w:hAnsi="Arial" w:cs="Arial"/>
        </w:rPr>
        <w:t>69</w:t>
      </w:r>
      <w:r w:rsidR="00230DE9" w:rsidRPr="00C43975">
        <w:rPr>
          <w:rFonts w:ascii="Arial" w:hAnsi="Arial" w:cs="Arial"/>
        </w:rPr>
        <w:t xml:space="preserve">) vs </w:t>
      </w:r>
      <w:r w:rsidR="00251F85" w:rsidRPr="00C43975">
        <w:rPr>
          <w:rFonts w:ascii="Arial" w:hAnsi="Arial" w:cs="Arial"/>
        </w:rPr>
        <w:t>68.1</w:t>
      </w:r>
      <w:r w:rsidR="00230DE9" w:rsidRPr="00C43975">
        <w:rPr>
          <w:rFonts w:ascii="Arial" w:hAnsi="Arial" w:cs="Arial"/>
        </w:rPr>
        <w:t>% (</w:t>
      </w:r>
      <w:r w:rsidR="00251F85" w:rsidRPr="00C43975">
        <w:rPr>
          <w:rFonts w:ascii="Arial" w:hAnsi="Arial" w:cs="Arial"/>
        </w:rPr>
        <w:t>250</w:t>
      </w:r>
      <w:r w:rsidR="00230DE9" w:rsidRPr="00C43975">
        <w:rPr>
          <w:rFonts w:ascii="Arial" w:hAnsi="Arial" w:cs="Arial"/>
        </w:rPr>
        <w:t>/367), p</w:t>
      </w:r>
      <w:r w:rsidR="00251F85" w:rsidRPr="00C43975">
        <w:rPr>
          <w:rFonts w:ascii="Arial" w:hAnsi="Arial" w:cs="Arial"/>
        </w:rPr>
        <w:t>=0.15</w:t>
      </w:r>
      <w:r w:rsidR="00230DE9" w:rsidRPr="00C43975">
        <w:rPr>
          <w:rFonts w:ascii="Arial" w:hAnsi="Arial" w:cs="Arial"/>
        </w:rPr>
        <w:t xml:space="preserve">]. </w:t>
      </w:r>
      <w:r w:rsidR="00740E00" w:rsidRPr="00C43975">
        <w:rPr>
          <w:rFonts w:ascii="Arial" w:hAnsi="Arial" w:cs="Arial"/>
        </w:rPr>
        <w:t>There was no significant difference when compar</w:t>
      </w:r>
      <w:r w:rsidRPr="00C43975">
        <w:rPr>
          <w:rFonts w:ascii="Arial" w:hAnsi="Arial" w:cs="Arial"/>
        </w:rPr>
        <w:t>ing</w:t>
      </w:r>
      <w:r w:rsidR="00740E00" w:rsidRPr="00C43975">
        <w:rPr>
          <w:rFonts w:ascii="Arial" w:hAnsi="Arial" w:cs="Arial"/>
        </w:rPr>
        <w:t xml:space="preserve"> </w:t>
      </w:r>
      <w:r w:rsidR="00230DE9" w:rsidRPr="00C43975">
        <w:rPr>
          <w:rFonts w:ascii="Arial" w:hAnsi="Arial" w:cs="Arial"/>
        </w:rPr>
        <w:t>empiri</w:t>
      </w:r>
      <w:r w:rsidR="0081098F" w:rsidRPr="00C43975">
        <w:rPr>
          <w:rFonts w:ascii="Arial" w:hAnsi="Arial" w:cs="Arial"/>
        </w:rPr>
        <w:t>c</w:t>
      </w:r>
      <w:r w:rsidR="00740E00" w:rsidRPr="00C43975">
        <w:rPr>
          <w:rFonts w:ascii="Arial" w:hAnsi="Arial" w:cs="Arial"/>
        </w:rPr>
        <w:t xml:space="preserve">al and </w:t>
      </w:r>
      <w:r w:rsidR="00230DE9" w:rsidRPr="00C43975">
        <w:rPr>
          <w:rFonts w:ascii="Arial" w:hAnsi="Arial" w:cs="Arial"/>
        </w:rPr>
        <w:t xml:space="preserve">target </w:t>
      </w:r>
      <w:r w:rsidR="00740E00" w:rsidRPr="00C43975">
        <w:rPr>
          <w:rFonts w:ascii="Arial" w:hAnsi="Arial" w:cs="Arial"/>
        </w:rPr>
        <w:t>treatment by country income</w:t>
      </w:r>
      <w:r w:rsidR="00DB1D75" w:rsidRPr="00C43975">
        <w:rPr>
          <w:rFonts w:ascii="Arial" w:hAnsi="Arial" w:cs="Arial"/>
        </w:rPr>
        <w:t>;</w:t>
      </w:r>
      <w:r w:rsidR="00230DE9" w:rsidRPr="00C43975">
        <w:rPr>
          <w:rFonts w:ascii="Arial" w:hAnsi="Arial" w:cs="Arial"/>
        </w:rPr>
        <w:t xml:space="preserve"> </w:t>
      </w:r>
      <w:r w:rsidR="00053529" w:rsidRPr="00C43975">
        <w:rPr>
          <w:rFonts w:ascii="Arial" w:hAnsi="Arial" w:cs="Arial"/>
        </w:rPr>
        <w:t>66.8</w:t>
      </w:r>
      <w:r w:rsidR="00230DE9" w:rsidRPr="00C43975">
        <w:rPr>
          <w:rFonts w:ascii="Arial" w:hAnsi="Arial" w:cs="Arial"/>
        </w:rPr>
        <w:t>% (</w:t>
      </w:r>
      <w:r w:rsidR="00053529" w:rsidRPr="00C43975">
        <w:rPr>
          <w:rFonts w:ascii="Arial" w:hAnsi="Arial" w:cs="Arial"/>
        </w:rPr>
        <w:t>175</w:t>
      </w:r>
      <w:r w:rsidR="00230DE9" w:rsidRPr="00C43975">
        <w:rPr>
          <w:rFonts w:ascii="Arial" w:hAnsi="Arial" w:cs="Arial"/>
        </w:rPr>
        <w:t>/</w:t>
      </w:r>
      <w:r w:rsidR="00053529" w:rsidRPr="00C43975">
        <w:rPr>
          <w:rFonts w:ascii="Arial" w:hAnsi="Arial" w:cs="Arial"/>
        </w:rPr>
        <w:t>262</w:t>
      </w:r>
      <w:r w:rsidR="00230DE9" w:rsidRPr="00C43975">
        <w:rPr>
          <w:rFonts w:ascii="Arial" w:hAnsi="Arial" w:cs="Arial"/>
        </w:rPr>
        <w:t xml:space="preserve">) and </w:t>
      </w:r>
      <w:r w:rsidR="00053529" w:rsidRPr="00C43975">
        <w:rPr>
          <w:rFonts w:ascii="Arial" w:hAnsi="Arial" w:cs="Arial"/>
        </w:rPr>
        <w:t>73.6</w:t>
      </w:r>
      <w:r w:rsidR="00230DE9" w:rsidRPr="00C43975">
        <w:rPr>
          <w:rFonts w:ascii="Arial" w:hAnsi="Arial" w:cs="Arial"/>
        </w:rPr>
        <w:t>% (</w:t>
      </w:r>
      <w:r w:rsidR="00053529" w:rsidRPr="00C43975">
        <w:rPr>
          <w:rFonts w:ascii="Arial" w:hAnsi="Arial" w:cs="Arial"/>
        </w:rPr>
        <w:t>128</w:t>
      </w:r>
      <w:r w:rsidR="00230DE9" w:rsidRPr="00C43975">
        <w:rPr>
          <w:rFonts w:ascii="Arial" w:hAnsi="Arial" w:cs="Arial"/>
        </w:rPr>
        <w:t>/</w:t>
      </w:r>
      <w:r w:rsidR="00053529" w:rsidRPr="00C43975">
        <w:rPr>
          <w:rFonts w:ascii="Arial" w:hAnsi="Arial" w:cs="Arial"/>
        </w:rPr>
        <w:t>174</w:t>
      </w:r>
      <w:r w:rsidR="00230DE9" w:rsidRPr="00C43975">
        <w:rPr>
          <w:rFonts w:ascii="Arial" w:hAnsi="Arial" w:cs="Arial"/>
        </w:rPr>
        <w:t>)</w:t>
      </w:r>
      <w:r w:rsidR="0081098F" w:rsidRPr="00C43975">
        <w:rPr>
          <w:rFonts w:ascii="Arial" w:hAnsi="Arial" w:cs="Arial"/>
        </w:rPr>
        <w:t xml:space="preserve"> received empiric </w:t>
      </w:r>
      <w:r w:rsidRPr="00C43975">
        <w:rPr>
          <w:rFonts w:ascii="Arial" w:hAnsi="Arial" w:cs="Arial"/>
        </w:rPr>
        <w:t xml:space="preserve">antifungal </w:t>
      </w:r>
      <w:r w:rsidR="0081098F" w:rsidRPr="00C43975">
        <w:rPr>
          <w:rFonts w:ascii="Arial" w:hAnsi="Arial" w:cs="Arial"/>
        </w:rPr>
        <w:t xml:space="preserve">treatment in </w:t>
      </w:r>
      <w:r w:rsidR="00230DE9" w:rsidRPr="00C43975">
        <w:rPr>
          <w:rFonts w:ascii="Arial" w:hAnsi="Arial" w:cs="Arial"/>
        </w:rPr>
        <w:t>HIC and LMIC</w:t>
      </w:r>
      <w:r w:rsidR="00740E00" w:rsidRPr="00C43975">
        <w:rPr>
          <w:rFonts w:ascii="Arial" w:hAnsi="Arial" w:cs="Arial"/>
        </w:rPr>
        <w:t>,</w:t>
      </w:r>
      <w:r w:rsidR="00230DE9" w:rsidRPr="00C43975">
        <w:rPr>
          <w:rFonts w:ascii="Arial" w:hAnsi="Arial" w:cs="Arial"/>
        </w:rPr>
        <w:t xml:space="preserve"> respectively</w:t>
      </w:r>
      <w:r w:rsidR="00053529" w:rsidRPr="00C43975">
        <w:rPr>
          <w:rFonts w:ascii="Arial" w:hAnsi="Arial" w:cs="Arial"/>
        </w:rPr>
        <w:t xml:space="preserve"> (p=0.133)</w:t>
      </w:r>
      <w:r w:rsidR="00230DE9" w:rsidRPr="00C43975">
        <w:rPr>
          <w:rFonts w:ascii="Arial" w:hAnsi="Arial" w:cs="Arial"/>
        </w:rPr>
        <w:t xml:space="preserve">. </w:t>
      </w:r>
    </w:p>
    <w:p w14:paraId="0AA2C3EB" w14:textId="77777777" w:rsidR="00DB1D75" w:rsidRPr="00C43975" w:rsidRDefault="00DB1D75" w:rsidP="00C43975">
      <w:pPr>
        <w:spacing w:line="480" w:lineRule="auto"/>
        <w:rPr>
          <w:rFonts w:ascii="Arial" w:hAnsi="Arial" w:cs="Arial"/>
        </w:rPr>
      </w:pPr>
    </w:p>
    <w:p w14:paraId="11D46F87" w14:textId="65A93966" w:rsidR="00230DE9" w:rsidRPr="00C43975" w:rsidRDefault="00230DE9" w:rsidP="00C43975">
      <w:pPr>
        <w:autoSpaceDE w:val="0"/>
        <w:autoSpaceDN w:val="0"/>
        <w:adjustRightInd w:val="0"/>
        <w:spacing w:line="480" w:lineRule="auto"/>
        <w:jc w:val="both"/>
        <w:rPr>
          <w:rFonts w:ascii="Arial" w:hAnsi="Arial" w:cs="Arial"/>
          <w:bCs/>
        </w:rPr>
      </w:pPr>
      <w:r w:rsidRPr="00C43975">
        <w:rPr>
          <w:rFonts w:ascii="Arial" w:hAnsi="Arial" w:cs="Arial"/>
          <w:bCs/>
        </w:rPr>
        <w:t>Fluconazole was the most common</w:t>
      </w:r>
      <w:r w:rsidR="003E68A0" w:rsidRPr="00C43975">
        <w:rPr>
          <w:rFonts w:ascii="Arial" w:hAnsi="Arial" w:cs="Arial"/>
          <w:bCs/>
        </w:rPr>
        <w:t>ly prescribed</w:t>
      </w:r>
      <w:r w:rsidRPr="00C43975">
        <w:rPr>
          <w:rFonts w:ascii="Arial" w:hAnsi="Arial" w:cs="Arial"/>
          <w:bCs/>
        </w:rPr>
        <w:t xml:space="preserve"> </w:t>
      </w:r>
      <w:r w:rsidR="003E68A0" w:rsidRPr="00C43975">
        <w:rPr>
          <w:rFonts w:ascii="Arial" w:hAnsi="Arial" w:cs="Arial"/>
          <w:bCs/>
        </w:rPr>
        <w:t>antifungal drug</w:t>
      </w:r>
      <w:r w:rsidRPr="00C43975">
        <w:rPr>
          <w:rFonts w:ascii="Arial" w:hAnsi="Arial" w:cs="Arial"/>
          <w:bCs/>
        </w:rPr>
        <w:t xml:space="preserve">, </w:t>
      </w:r>
      <w:r w:rsidR="003E68A0" w:rsidRPr="00C43975">
        <w:rPr>
          <w:rFonts w:ascii="Arial" w:hAnsi="Arial" w:cs="Arial"/>
          <w:bCs/>
        </w:rPr>
        <w:t xml:space="preserve">accounting for </w:t>
      </w:r>
      <w:r w:rsidRPr="00C43975">
        <w:rPr>
          <w:rFonts w:ascii="Arial" w:hAnsi="Arial" w:cs="Arial"/>
          <w:bCs/>
        </w:rPr>
        <w:t>45.8% (480/1,048)</w:t>
      </w:r>
      <w:r w:rsidR="003E68A0" w:rsidRPr="00C43975">
        <w:rPr>
          <w:rFonts w:ascii="Arial" w:hAnsi="Arial" w:cs="Arial"/>
          <w:bCs/>
        </w:rPr>
        <w:t xml:space="preserve"> and </w:t>
      </w:r>
      <w:r w:rsidRPr="00C43975">
        <w:rPr>
          <w:rFonts w:ascii="Arial" w:hAnsi="Arial" w:cs="Arial"/>
          <w:bCs/>
        </w:rPr>
        <w:t xml:space="preserve">followed by </w:t>
      </w:r>
      <w:r w:rsidR="00597A68" w:rsidRPr="00C43975">
        <w:rPr>
          <w:rFonts w:ascii="Arial" w:hAnsi="Arial" w:cs="Arial"/>
          <w:bCs/>
        </w:rPr>
        <w:t xml:space="preserve">any formulations of </w:t>
      </w:r>
      <w:r w:rsidRPr="00C43975">
        <w:rPr>
          <w:rFonts w:ascii="Arial" w:hAnsi="Arial" w:cs="Arial"/>
          <w:bCs/>
        </w:rPr>
        <w:t>amphotericin B (</w:t>
      </w:r>
      <w:r w:rsidR="00237A8C" w:rsidRPr="00C43975">
        <w:rPr>
          <w:rFonts w:ascii="Arial" w:hAnsi="Arial" w:cs="Arial"/>
          <w:bCs/>
        </w:rPr>
        <w:t>25.5</w:t>
      </w:r>
      <w:r w:rsidR="003E68A0" w:rsidRPr="00C43975">
        <w:rPr>
          <w:rFonts w:ascii="Arial" w:hAnsi="Arial" w:cs="Arial"/>
          <w:bCs/>
        </w:rPr>
        <w:t xml:space="preserve">%; </w:t>
      </w:r>
      <w:r w:rsidR="00237A8C" w:rsidRPr="00C43975">
        <w:rPr>
          <w:rFonts w:ascii="Arial" w:hAnsi="Arial" w:cs="Arial"/>
          <w:bCs/>
        </w:rPr>
        <w:t>267</w:t>
      </w:r>
      <w:r w:rsidRPr="00C43975">
        <w:rPr>
          <w:rFonts w:ascii="Arial" w:hAnsi="Arial" w:cs="Arial"/>
          <w:bCs/>
        </w:rPr>
        <w:t xml:space="preserve">/1,048). The use of different antifungals is summarised in tables 1 </w:t>
      </w:r>
      <w:r w:rsidR="00226D9D" w:rsidRPr="00C43975">
        <w:rPr>
          <w:rFonts w:ascii="Arial" w:hAnsi="Arial" w:cs="Arial"/>
          <w:bCs/>
        </w:rPr>
        <w:t>to 3</w:t>
      </w:r>
      <w:r w:rsidRPr="00C43975">
        <w:rPr>
          <w:rFonts w:ascii="Arial" w:hAnsi="Arial" w:cs="Arial"/>
          <w:bCs/>
        </w:rPr>
        <w:t>. The proportional use of fluconazole was higher in LMIC compared to HIC, where other triazoles</w:t>
      </w:r>
      <w:r w:rsidR="004122D9" w:rsidRPr="00C43975">
        <w:rPr>
          <w:rFonts w:ascii="Arial" w:hAnsi="Arial" w:cs="Arial"/>
          <w:bCs/>
        </w:rPr>
        <w:t xml:space="preserve">, </w:t>
      </w:r>
      <w:r w:rsidRPr="00C43975">
        <w:rPr>
          <w:rFonts w:ascii="Arial" w:hAnsi="Arial" w:cs="Arial"/>
          <w:bCs/>
        </w:rPr>
        <w:t xml:space="preserve">amphotericin B </w:t>
      </w:r>
      <w:r w:rsidR="00226D9D" w:rsidRPr="00C43975">
        <w:rPr>
          <w:rFonts w:ascii="Arial" w:hAnsi="Arial" w:cs="Arial"/>
          <w:bCs/>
        </w:rPr>
        <w:t xml:space="preserve">and </w:t>
      </w:r>
      <w:proofErr w:type="spellStart"/>
      <w:r w:rsidR="004122D9" w:rsidRPr="00C43975">
        <w:rPr>
          <w:rFonts w:ascii="Arial" w:hAnsi="Arial" w:cs="Arial"/>
          <w:bCs/>
        </w:rPr>
        <w:t>echinocandines</w:t>
      </w:r>
      <w:proofErr w:type="spellEnd"/>
      <w:r w:rsidR="00226D9D" w:rsidRPr="00C43975">
        <w:rPr>
          <w:rFonts w:ascii="Arial" w:hAnsi="Arial" w:cs="Arial"/>
          <w:bCs/>
        </w:rPr>
        <w:t xml:space="preserve"> </w:t>
      </w:r>
      <w:r w:rsidRPr="00C43975">
        <w:rPr>
          <w:rFonts w:ascii="Arial" w:hAnsi="Arial" w:cs="Arial"/>
          <w:bCs/>
        </w:rPr>
        <w:t>were more commonly used.</w:t>
      </w:r>
      <w:r w:rsidR="00226D9D" w:rsidRPr="00C43975">
        <w:rPr>
          <w:rFonts w:ascii="Arial" w:hAnsi="Arial" w:cs="Arial"/>
          <w:bCs/>
        </w:rPr>
        <w:t xml:space="preserve"> </w:t>
      </w:r>
      <w:r w:rsidRPr="00C43975">
        <w:rPr>
          <w:rFonts w:ascii="Arial" w:hAnsi="Arial" w:cs="Arial"/>
          <w:bCs/>
        </w:rPr>
        <w:t xml:space="preserve"> </w:t>
      </w:r>
      <w:r w:rsidR="00676E84" w:rsidRPr="00C43975">
        <w:rPr>
          <w:rFonts w:ascii="Arial" w:hAnsi="Arial" w:cs="Arial"/>
          <w:bCs/>
        </w:rPr>
        <w:t xml:space="preserve">This </w:t>
      </w:r>
      <w:r w:rsidR="00524319" w:rsidRPr="00C43975">
        <w:rPr>
          <w:rFonts w:ascii="Arial" w:hAnsi="Arial" w:cs="Arial"/>
          <w:bCs/>
        </w:rPr>
        <w:t xml:space="preserve">prescribing pattern </w:t>
      </w:r>
      <w:r w:rsidR="00DB1D75" w:rsidRPr="00C43975">
        <w:rPr>
          <w:rFonts w:ascii="Arial" w:hAnsi="Arial" w:cs="Arial"/>
          <w:bCs/>
        </w:rPr>
        <w:t>was</w:t>
      </w:r>
      <w:r w:rsidR="00965AAA" w:rsidRPr="00C43975">
        <w:rPr>
          <w:rFonts w:ascii="Arial" w:hAnsi="Arial" w:cs="Arial"/>
          <w:bCs/>
        </w:rPr>
        <w:t xml:space="preserve"> even more marked when </w:t>
      </w:r>
      <w:r w:rsidR="00524319" w:rsidRPr="00C43975">
        <w:rPr>
          <w:rFonts w:ascii="Arial" w:hAnsi="Arial" w:cs="Arial"/>
          <w:bCs/>
        </w:rPr>
        <w:t xml:space="preserve">stratifying </w:t>
      </w:r>
      <w:r w:rsidR="00965AAA" w:rsidRPr="00C43975">
        <w:rPr>
          <w:rFonts w:ascii="Arial" w:hAnsi="Arial" w:cs="Arial"/>
          <w:bCs/>
        </w:rPr>
        <w:t xml:space="preserve">by </w:t>
      </w:r>
      <w:r w:rsidR="009A0894" w:rsidRPr="00C43975">
        <w:rPr>
          <w:rFonts w:ascii="Arial" w:hAnsi="Arial" w:cs="Arial"/>
          <w:bCs/>
        </w:rPr>
        <w:t>patient</w:t>
      </w:r>
      <w:r w:rsidR="00524319" w:rsidRPr="00C43975">
        <w:rPr>
          <w:rFonts w:ascii="Arial" w:hAnsi="Arial" w:cs="Arial"/>
          <w:bCs/>
        </w:rPr>
        <w:t xml:space="preserve"> </w:t>
      </w:r>
      <w:r w:rsidR="00965AAA" w:rsidRPr="00C43975">
        <w:rPr>
          <w:rFonts w:ascii="Arial" w:hAnsi="Arial" w:cs="Arial"/>
          <w:bCs/>
        </w:rPr>
        <w:t xml:space="preserve">risk of </w:t>
      </w:r>
      <w:r w:rsidR="00524319" w:rsidRPr="00C43975">
        <w:rPr>
          <w:rFonts w:ascii="Arial" w:hAnsi="Arial" w:cs="Arial"/>
          <w:bCs/>
        </w:rPr>
        <w:t xml:space="preserve">developing </w:t>
      </w:r>
      <w:r w:rsidR="00965AAA" w:rsidRPr="00C43975">
        <w:rPr>
          <w:rFonts w:ascii="Arial" w:hAnsi="Arial" w:cs="Arial"/>
          <w:bCs/>
        </w:rPr>
        <w:t>IFD and country (table 2)</w:t>
      </w:r>
      <w:r w:rsidR="00524319" w:rsidRPr="00C43975">
        <w:rPr>
          <w:rFonts w:ascii="Arial" w:hAnsi="Arial" w:cs="Arial"/>
          <w:bCs/>
        </w:rPr>
        <w:t xml:space="preserve">. </w:t>
      </w:r>
      <w:r w:rsidR="00A373C2" w:rsidRPr="00C43975">
        <w:rPr>
          <w:rFonts w:ascii="Arial" w:hAnsi="Arial" w:cs="Arial"/>
          <w:bCs/>
        </w:rPr>
        <w:t>H</w:t>
      </w:r>
      <w:r w:rsidR="004122D9" w:rsidRPr="00C43975">
        <w:rPr>
          <w:rFonts w:ascii="Arial" w:hAnsi="Arial" w:cs="Arial"/>
          <w:bCs/>
        </w:rPr>
        <w:t>igh-risk</w:t>
      </w:r>
      <w:r w:rsidR="00896866" w:rsidRPr="00C43975">
        <w:rPr>
          <w:rFonts w:ascii="Arial" w:hAnsi="Arial" w:cs="Arial"/>
          <w:bCs/>
        </w:rPr>
        <w:t xml:space="preserve"> patients received fluconazole in 64.7% of </w:t>
      </w:r>
      <w:r w:rsidR="00A373C2" w:rsidRPr="00C43975">
        <w:rPr>
          <w:rFonts w:ascii="Arial" w:hAnsi="Arial" w:cs="Arial"/>
          <w:bCs/>
        </w:rPr>
        <w:t xml:space="preserve">the cases </w:t>
      </w:r>
      <w:r w:rsidR="00896866" w:rsidRPr="00C43975">
        <w:rPr>
          <w:rFonts w:ascii="Arial" w:hAnsi="Arial" w:cs="Arial"/>
          <w:bCs/>
        </w:rPr>
        <w:t>in LMIC, compared to 35.1% in HIC. The use of antifungals per rational</w:t>
      </w:r>
      <w:r w:rsidR="00A373C2" w:rsidRPr="00C43975">
        <w:rPr>
          <w:rFonts w:ascii="Arial" w:hAnsi="Arial" w:cs="Arial"/>
          <w:bCs/>
        </w:rPr>
        <w:t>e</w:t>
      </w:r>
      <w:r w:rsidR="00896866" w:rsidRPr="00C43975">
        <w:rPr>
          <w:rFonts w:ascii="Arial" w:hAnsi="Arial" w:cs="Arial"/>
          <w:bCs/>
        </w:rPr>
        <w:t xml:space="preserve"> varied too</w:t>
      </w:r>
      <w:r w:rsidR="009A0894" w:rsidRPr="00C43975">
        <w:rPr>
          <w:rFonts w:ascii="Arial" w:hAnsi="Arial" w:cs="Arial"/>
          <w:bCs/>
        </w:rPr>
        <w:t xml:space="preserve">; </w:t>
      </w:r>
      <w:r w:rsidR="009F5998" w:rsidRPr="00C43975">
        <w:rPr>
          <w:rFonts w:ascii="Arial" w:hAnsi="Arial" w:cs="Arial"/>
          <w:bCs/>
        </w:rPr>
        <w:t>fluconazole was the most common agent used for prophylaxis in both LMIC and HIC but, whereas it represented 94.7%</w:t>
      </w:r>
      <w:r w:rsidR="002869D0" w:rsidRPr="00C43975">
        <w:rPr>
          <w:rFonts w:ascii="Arial" w:hAnsi="Arial" w:cs="Arial"/>
          <w:bCs/>
        </w:rPr>
        <w:t xml:space="preserve"> (72/76)</w:t>
      </w:r>
      <w:r w:rsidR="009F5998" w:rsidRPr="00C43975">
        <w:rPr>
          <w:rFonts w:ascii="Arial" w:hAnsi="Arial" w:cs="Arial"/>
          <w:bCs/>
        </w:rPr>
        <w:t xml:space="preserve"> of all the prophylaxis in LMIC, this proportion was 45.1%</w:t>
      </w:r>
      <w:r w:rsidR="002869D0" w:rsidRPr="00C43975">
        <w:rPr>
          <w:rFonts w:ascii="Arial" w:hAnsi="Arial" w:cs="Arial"/>
          <w:bCs/>
        </w:rPr>
        <w:t xml:space="preserve"> (243/536)</w:t>
      </w:r>
      <w:r w:rsidR="009F5998" w:rsidRPr="00C43975">
        <w:rPr>
          <w:rFonts w:ascii="Arial" w:hAnsi="Arial" w:cs="Arial"/>
          <w:bCs/>
        </w:rPr>
        <w:t xml:space="preserve"> in HIC, where amphotericin</w:t>
      </w:r>
      <w:r w:rsidR="00524319" w:rsidRPr="00C43975">
        <w:rPr>
          <w:rFonts w:ascii="Arial" w:hAnsi="Arial" w:cs="Arial"/>
          <w:bCs/>
        </w:rPr>
        <w:t xml:space="preserve"> B</w:t>
      </w:r>
      <w:r w:rsidR="009F5998" w:rsidRPr="00C43975">
        <w:rPr>
          <w:rFonts w:ascii="Arial" w:hAnsi="Arial" w:cs="Arial"/>
          <w:bCs/>
        </w:rPr>
        <w:t xml:space="preserve"> </w:t>
      </w:r>
      <w:r w:rsidR="00D031D1" w:rsidRPr="00C43975">
        <w:rPr>
          <w:rFonts w:ascii="Arial" w:hAnsi="Arial" w:cs="Arial"/>
          <w:bCs/>
        </w:rPr>
        <w:t xml:space="preserve">and triazoles were </w:t>
      </w:r>
      <w:r w:rsidR="00A373C2" w:rsidRPr="00C43975">
        <w:rPr>
          <w:rFonts w:ascii="Arial" w:hAnsi="Arial" w:cs="Arial"/>
          <w:bCs/>
        </w:rPr>
        <w:t xml:space="preserve">chosen </w:t>
      </w:r>
      <w:r w:rsidR="002D7478" w:rsidRPr="00C43975">
        <w:rPr>
          <w:rFonts w:ascii="Arial" w:hAnsi="Arial" w:cs="Arial"/>
          <w:bCs/>
        </w:rPr>
        <w:t>options with</w:t>
      </w:r>
      <w:r w:rsidR="00D031D1" w:rsidRPr="00C43975">
        <w:rPr>
          <w:rFonts w:ascii="Arial" w:hAnsi="Arial" w:cs="Arial"/>
          <w:bCs/>
        </w:rPr>
        <w:t xml:space="preserve"> </w:t>
      </w:r>
      <w:r w:rsidR="009F5998" w:rsidRPr="00C43975">
        <w:rPr>
          <w:rFonts w:ascii="Arial" w:hAnsi="Arial" w:cs="Arial"/>
          <w:bCs/>
        </w:rPr>
        <w:t>27.4%</w:t>
      </w:r>
      <w:r w:rsidR="002869D0" w:rsidRPr="00C43975">
        <w:rPr>
          <w:rFonts w:ascii="Arial" w:hAnsi="Arial" w:cs="Arial"/>
          <w:bCs/>
        </w:rPr>
        <w:t xml:space="preserve"> (146/536)</w:t>
      </w:r>
      <w:r w:rsidR="00D031D1" w:rsidRPr="00C43975">
        <w:rPr>
          <w:rFonts w:ascii="Arial" w:hAnsi="Arial" w:cs="Arial"/>
          <w:bCs/>
        </w:rPr>
        <w:t xml:space="preserve"> and 17.9% </w:t>
      </w:r>
      <w:r w:rsidR="002869D0" w:rsidRPr="00C43975">
        <w:rPr>
          <w:rFonts w:ascii="Arial" w:hAnsi="Arial" w:cs="Arial"/>
          <w:bCs/>
        </w:rPr>
        <w:t xml:space="preserve">(96/536) </w:t>
      </w:r>
      <w:r w:rsidR="002D7478" w:rsidRPr="00C43975">
        <w:rPr>
          <w:rFonts w:ascii="Arial" w:hAnsi="Arial" w:cs="Arial"/>
          <w:bCs/>
        </w:rPr>
        <w:t xml:space="preserve">of the cases </w:t>
      </w:r>
      <w:r w:rsidR="00D031D1" w:rsidRPr="00C43975">
        <w:rPr>
          <w:rFonts w:ascii="Arial" w:hAnsi="Arial" w:cs="Arial"/>
          <w:bCs/>
        </w:rPr>
        <w:t xml:space="preserve">respectively. </w:t>
      </w:r>
      <w:r w:rsidR="002D7478" w:rsidRPr="00C43975">
        <w:rPr>
          <w:rFonts w:ascii="Arial" w:hAnsi="Arial" w:cs="Arial"/>
          <w:bCs/>
        </w:rPr>
        <w:t xml:space="preserve">Fluconazole was </w:t>
      </w:r>
      <w:r w:rsidR="002869D0" w:rsidRPr="00C43975">
        <w:rPr>
          <w:rFonts w:ascii="Arial" w:hAnsi="Arial" w:cs="Arial"/>
          <w:bCs/>
        </w:rPr>
        <w:t xml:space="preserve">also </w:t>
      </w:r>
      <w:r w:rsidR="002D7478" w:rsidRPr="00C43975">
        <w:rPr>
          <w:rFonts w:ascii="Arial" w:hAnsi="Arial" w:cs="Arial"/>
          <w:bCs/>
        </w:rPr>
        <w:t xml:space="preserve">most </w:t>
      </w:r>
      <w:r w:rsidR="00B016C5" w:rsidRPr="00C43975">
        <w:rPr>
          <w:rFonts w:ascii="Arial" w:hAnsi="Arial" w:cs="Arial"/>
          <w:bCs/>
        </w:rPr>
        <w:t xml:space="preserve">commonly </w:t>
      </w:r>
      <w:r w:rsidR="002D7478" w:rsidRPr="00C43975">
        <w:rPr>
          <w:rFonts w:ascii="Arial" w:hAnsi="Arial" w:cs="Arial"/>
          <w:bCs/>
        </w:rPr>
        <w:t xml:space="preserve">used for empirical antifungal treatment in LMIC </w:t>
      </w:r>
      <w:r w:rsidR="002D7478" w:rsidRPr="00C43975">
        <w:rPr>
          <w:rFonts w:ascii="Arial" w:hAnsi="Arial" w:cs="Arial"/>
          <w:bCs/>
        </w:rPr>
        <w:lastRenderedPageBreak/>
        <w:t>(59.2%</w:t>
      </w:r>
      <w:r w:rsidR="002869D0" w:rsidRPr="00C43975">
        <w:rPr>
          <w:rFonts w:ascii="Arial" w:hAnsi="Arial" w:cs="Arial"/>
          <w:bCs/>
        </w:rPr>
        <w:t>, 77/133</w:t>
      </w:r>
      <w:r w:rsidR="002D7478" w:rsidRPr="00C43975">
        <w:rPr>
          <w:rFonts w:ascii="Arial" w:hAnsi="Arial" w:cs="Arial"/>
          <w:bCs/>
        </w:rPr>
        <w:t>)</w:t>
      </w:r>
      <w:r w:rsidR="00B016C5" w:rsidRPr="00C43975">
        <w:rPr>
          <w:rFonts w:ascii="Arial" w:hAnsi="Arial" w:cs="Arial"/>
          <w:bCs/>
        </w:rPr>
        <w:t xml:space="preserve">. This prescribing pattern is </w:t>
      </w:r>
      <w:r w:rsidR="002D7478" w:rsidRPr="00C43975">
        <w:rPr>
          <w:rFonts w:ascii="Arial" w:hAnsi="Arial" w:cs="Arial"/>
          <w:bCs/>
        </w:rPr>
        <w:t>different from HIC,</w:t>
      </w:r>
      <w:r w:rsidR="00B016C5" w:rsidRPr="00C43975">
        <w:rPr>
          <w:rFonts w:ascii="Arial" w:hAnsi="Arial" w:cs="Arial"/>
          <w:bCs/>
        </w:rPr>
        <w:t xml:space="preserve"> where </w:t>
      </w:r>
      <w:r w:rsidR="002D7478" w:rsidRPr="00C43975">
        <w:rPr>
          <w:rFonts w:ascii="Arial" w:hAnsi="Arial" w:cs="Arial"/>
          <w:bCs/>
        </w:rPr>
        <w:t xml:space="preserve">amphotericin B </w:t>
      </w:r>
      <w:r w:rsidR="002869D0" w:rsidRPr="00C43975">
        <w:rPr>
          <w:rFonts w:ascii="Arial" w:hAnsi="Arial" w:cs="Arial"/>
          <w:bCs/>
        </w:rPr>
        <w:t>account</w:t>
      </w:r>
      <w:r w:rsidR="00A373C2" w:rsidRPr="00C43975">
        <w:rPr>
          <w:rFonts w:ascii="Arial" w:hAnsi="Arial" w:cs="Arial"/>
          <w:bCs/>
        </w:rPr>
        <w:t>ed</w:t>
      </w:r>
      <w:r w:rsidR="002869D0" w:rsidRPr="00C43975">
        <w:rPr>
          <w:rFonts w:ascii="Arial" w:hAnsi="Arial" w:cs="Arial"/>
          <w:bCs/>
        </w:rPr>
        <w:t xml:space="preserve"> </w:t>
      </w:r>
      <w:r w:rsidR="00597A68" w:rsidRPr="00C43975">
        <w:rPr>
          <w:rFonts w:ascii="Arial" w:hAnsi="Arial" w:cs="Arial"/>
          <w:bCs/>
        </w:rPr>
        <w:t xml:space="preserve">for </w:t>
      </w:r>
      <w:r w:rsidR="002869D0" w:rsidRPr="00C43975">
        <w:rPr>
          <w:rFonts w:ascii="Arial" w:hAnsi="Arial" w:cs="Arial"/>
          <w:bCs/>
        </w:rPr>
        <w:t xml:space="preserve">33.5% (61/182) of prescriptions and </w:t>
      </w:r>
      <w:r w:rsidR="00597A68" w:rsidRPr="00C43975">
        <w:rPr>
          <w:rFonts w:ascii="Arial" w:hAnsi="Arial" w:cs="Arial"/>
          <w:bCs/>
        </w:rPr>
        <w:t xml:space="preserve">echinocandins for </w:t>
      </w:r>
      <w:r w:rsidR="00B016C5" w:rsidRPr="00C43975">
        <w:rPr>
          <w:rFonts w:ascii="Arial" w:hAnsi="Arial" w:cs="Arial"/>
          <w:bCs/>
        </w:rPr>
        <w:t xml:space="preserve">24.4% (44/182). </w:t>
      </w:r>
      <w:r w:rsidR="002869D0" w:rsidRPr="00C43975">
        <w:rPr>
          <w:rFonts w:ascii="Arial" w:hAnsi="Arial" w:cs="Arial"/>
          <w:bCs/>
        </w:rPr>
        <w:t xml:space="preserve"> </w:t>
      </w:r>
    </w:p>
    <w:p w14:paraId="0F6B4EE8" w14:textId="6EB1E321" w:rsidR="003531FE" w:rsidRPr="00C43975" w:rsidRDefault="003531FE" w:rsidP="00C43975">
      <w:pPr>
        <w:spacing w:line="480" w:lineRule="auto"/>
        <w:jc w:val="both"/>
        <w:rPr>
          <w:rFonts w:ascii="Arial" w:hAnsi="Arial" w:cs="Arial"/>
        </w:rPr>
      </w:pPr>
    </w:p>
    <w:p w14:paraId="39635D81" w14:textId="7FEC8273" w:rsidR="00720D2F" w:rsidRPr="00C43975" w:rsidRDefault="00720D2F" w:rsidP="00C43975">
      <w:pPr>
        <w:spacing w:line="480" w:lineRule="auto"/>
        <w:jc w:val="both"/>
        <w:rPr>
          <w:rFonts w:ascii="Arial" w:hAnsi="Arial" w:cs="Arial"/>
          <w:b/>
          <w:bCs/>
        </w:rPr>
      </w:pPr>
      <w:r w:rsidRPr="00C43975">
        <w:rPr>
          <w:rFonts w:ascii="Arial" w:hAnsi="Arial" w:cs="Arial"/>
          <w:b/>
          <w:bCs/>
        </w:rPr>
        <w:t>Discussion</w:t>
      </w:r>
    </w:p>
    <w:p w14:paraId="649E45BF" w14:textId="26E6AC78" w:rsidR="003531FE" w:rsidRPr="00C43975" w:rsidRDefault="003531FE" w:rsidP="00C43975">
      <w:pPr>
        <w:spacing w:line="480" w:lineRule="auto"/>
        <w:jc w:val="both"/>
        <w:rPr>
          <w:rFonts w:ascii="Arial" w:hAnsi="Arial" w:cs="Arial"/>
          <w:i/>
        </w:rPr>
      </w:pPr>
    </w:p>
    <w:p w14:paraId="223DEA68" w14:textId="4E2F8A44" w:rsidR="00B5277E" w:rsidRPr="00C43975" w:rsidRDefault="00DD14AB" w:rsidP="00C43975">
      <w:pPr>
        <w:spacing w:line="480" w:lineRule="auto"/>
        <w:rPr>
          <w:rFonts w:ascii="Arial" w:hAnsi="Arial" w:cs="Arial"/>
          <w:bCs/>
        </w:rPr>
      </w:pPr>
      <w:r w:rsidRPr="00C43975">
        <w:rPr>
          <w:rFonts w:ascii="Arial" w:hAnsi="Arial" w:cs="Arial"/>
        </w:rPr>
        <w:t>We analyse</w:t>
      </w:r>
      <w:r w:rsidR="00D262E9" w:rsidRPr="00C43975">
        <w:rPr>
          <w:rFonts w:ascii="Arial" w:hAnsi="Arial" w:cs="Arial"/>
        </w:rPr>
        <w:t>d</w:t>
      </w:r>
      <w:r w:rsidRPr="00C43975">
        <w:rPr>
          <w:rFonts w:ascii="Arial" w:hAnsi="Arial" w:cs="Arial"/>
        </w:rPr>
        <w:t xml:space="preserve"> antifungal prescription</w:t>
      </w:r>
      <w:r w:rsidR="00F73317" w:rsidRPr="00C43975">
        <w:rPr>
          <w:rFonts w:ascii="Arial" w:hAnsi="Arial" w:cs="Arial"/>
        </w:rPr>
        <w:t>s</w:t>
      </w:r>
      <w:r w:rsidRPr="00C43975">
        <w:rPr>
          <w:rFonts w:ascii="Arial" w:hAnsi="Arial" w:cs="Arial"/>
        </w:rPr>
        <w:t xml:space="preserve"> from</w:t>
      </w:r>
      <w:r w:rsidR="00586A76" w:rsidRPr="00C43975">
        <w:rPr>
          <w:rFonts w:ascii="Arial" w:hAnsi="Arial" w:cs="Arial"/>
        </w:rPr>
        <w:t xml:space="preserve"> 2</w:t>
      </w:r>
      <w:r w:rsidR="00EE38EE" w:rsidRPr="00C43975">
        <w:rPr>
          <w:rFonts w:ascii="Arial" w:hAnsi="Arial" w:cs="Arial"/>
        </w:rPr>
        <w:t>0</w:t>
      </w:r>
      <w:r w:rsidR="00586A76" w:rsidRPr="00C43975">
        <w:rPr>
          <w:rFonts w:ascii="Arial" w:hAnsi="Arial" w:cs="Arial"/>
        </w:rPr>
        <w:t xml:space="preserve"> countries</w:t>
      </w:r>
      <w:r w:rsidR="00EE38EE" w:rsidRPr="00C43975">
        <w:rPr>
          <w:rFonts w:ascii="Arial" w:hAnsi="Arial" w:cs="Arial"/>
        </w:rPr>
        <w:t xml:space="preserve"> (56 </w:t>
      </w:r>
      <w:r w:rsidR="003016F8" w:rsidRPr="00C43975">
        <w:rPr>
          <w:rFonts w:ascii="Arial" w:hAnsi="Arial" w:cs="Arial"/>
        </w:rPr>
        <w:t>hospitals</w:t>
      </w:r>
      <w:r w:rsidR="00EE38EE" w:rsidRPr="00C43975">
        <w:rPr>
          <w:rFonts w:ascii="Arial" w:hAnsi="Arial" w:cs="Arial"/>
        </w:rPr>
        <w:t>)</w:t>
      </w:r>
      <w:r w:rsidR="00586A76" w:rsidRPr="00C43975">
        <w:rPr>
          <w:rFonts w:ascii="Arial" w:hAnsi="Arial" w:cs="Arial"/>
        </w:rPr>
        <w:t xml:space="preserve"> </w:t>
      </w:r>
      <w:r w:rsidR="00D262E9" w:rsidRPr="00C43975">
        <w:rPr>
          <w:rFonts w:ascii="Arial" w:hAnsi="Arial" w:cs="Arial"/>
        </w:rPr>
        <w:t>o</w:t>
      </w:r>
      <w:r w:rsidR="00586A76" w:rsidRPr="00C43975">
        <w:rPr>
          <w:rFonts w:ascii="Arial" w:hAnsi="Arial" w:cs="Arial"/>
        </w:rPr>
        <w:t xml:space="preserve">n five consecutive </w:t>
      </w:r>
      <w:r w:rsidR="00F73317" w:rsidRPr="00C43975">
        <w:rPr>
          <w:rFonts w:ascii="Arial" w:hAnsi="Arial" w:cs="Arial"/>
        </w:rPr>
        <w:t>1-day PPS</w:t>
      </w:r>
      <w:r w:rsidR="00586A76" w:rsidRPr="00C43975">
        <w:rPr>
          <w:rFonts w:ascii="Arial" w:hAnsi="Arial" w:cs="Arial"/>
        </w:rPr>
        <w:t xml:space="preserve">. </w:t>
      </w:r>
      <w:r w:rsidR="0053541C" w:rsidRPr="00C43975">
        <w:rPr>
          <w:rFonts w:ascii="Arial" w:hAnsi="Arial" w:cs="Arial"/>
        </w:rPr>
        <w:t>Globally</w:t>
      </w:r>
      <w:r w:rsidR="00FF66ED" w:rsidRPr="00C43975">
        <w:rPr>
          <w:rFonts w:ascii="Arial" w:hAnsi="Arial" w:cs="Arial"/>
        </w:rPr>
        <w:t>,</w:t>
      </w:r>
      <w:r w:rsidR="0053541C" w:rsidRPr="00C43975">
        <w:rPr>
          <w:rFonts w:ascii="Arial" w:hAnsi="Arial" w:cs="Arial"/>
        </w:rPr>
        <w:t xml:space="preserve"> antifungals account</w:t>
      </w:r>
      <w:r w:rsidR="00D262E9" w:rsidRPr="00C43975">
        <w:rPr>
          <w:rFonts w:ascii="Arial" w:hAnsi="Arial" w:cs="Arial"/>
        </w:rPr>
        <w:t>ed for</w:t>
      </w:r>
      <w:r w:rsidR="0053541C" w:rsidRPr="00C43975">
        <w:rPr>
          <w:rFonts w:ascii="Arial" w:hAnsi="Arial" w:cs="Arial"/>
        </w:rPr>
        <w:t xml:space="preserve"> 7.8% of </w:t>
      </w:r>
      <w:r w:rsidR="00712FB6" w:rsidRPr="00C43975">
        <w:rPr>
          <w:rFonts w:ascii="Arial" w:hAnsi="Arial" w:cs="Arial"/>
        </w:rPr>
        <w:t>overall antimicrobial</w:t>
      </w:r>
      <w:r w:rsidR="0053541C" w:rsidRPr="00C43975">
        <w:rPr>
          <w:rFonts w:ascii="Arial" w:hAnsi="Arial" w:cs="Arial"/>
        </w:rPr>
        <w:t xml:space="preserve"> prescription</w:t>
      </w:r>
      <w:r w:rsidR="00712FB6" w:rsidRPr="00C43975">
        <w:rPr>
          <w:rFonts w:ascii="Arial" w:hAnsi="Arial" w:cs="Arial"/>
        </w:rPr>
        <w:t>s</w:t>
      </w:r>
      <w:r w:rsidR="00D262E9" w:rsidRPr="00C43975">
        <w:rPr>
          <w:rFonts w:ascii="Arial" w:hAnsi="Arial" w:cs="Arial"/>
        </w:rPr>
        <w:t xml:space="preserve"> in </w:t>
      </w:r>
      <w:r w:rsidR="00FF66ED" w:rsidRPr="00C43975">
        <w:rPr>
          <w:rFonts w:ascii="Arial" w:hAnsi="Arial" w:cs="Arial"/>
        </w:rPr>
        <w:t xml:space="preserve">the </w:t>
      </w:r>
      <w:r w:rsidR="00D262E9" w:rsidRPr="00C43975">
        <w:rPr>
          <w:rFonts w:ascii="Arial" w:hAnsi="Arial" w:cs="Arial"/>
        </w:rPr>
        <w:t>GARPE</w:t>
      </w:r>
      <w:r w:rsidR="00865144" w:rsidRPr="00C43975">
        <w:rPr>
          <w:rFonts w:ascii="Arial" w:hAnsi="Arial" w:cs="Arial"/>
        </w:rPr>
        <w:t>C</w:t>
      </w:r>
      <w:r w:rsidR="00D262E9" w:rsidRPr="00C43975">
        <w:rPr>
          <w:rFonts w:ascii="Arial" w:hAnsi="Arial" w:cs="Arial"/>
        </w:rPr>
        <w:t>-PPS project</w:t>
      </w:r>
      <w:r w:rsidR="0053541C" w:rsidRPr="00C43975">
        <w:rPr>
          <w:rFonts w:ascii="Arial" w:hAnsi="Arial" w:cs="Arial"/>
        </w:rPr>
        <w:t xml:space="preserve">, with </w:t>
      </w:r>
      <w:r w:rsidR="000410DA" w:rsidRPr="00C43975">
        <w:rPr>
          <w:rFonts w:ascii="Arial" w:hAnsi="Arial" w:cs="Arial"/>
        </w:rPr>
        <w:t>a</w:t>
      </w:r>
      <w:r w:rsidR="00865144" w:rsidRPr="00C43975">
        <w:rPr>
          <w:rFonts w:ascii="Arial" w:hAnsi="Arial" w:cs="Arial"/>
        </w:rPr>
        <w:t xml:space="preserve"> prevalence</w:t>
      </w:r>
      <w:r w:rsidR="006051C9" w:rsidRPr="00C43975">
        <w:rPr>
          <w:rFonts w:ascii="Arial" w:hAnsi="Arial" w:cs="Arial"/>
        </w:rPr>
        <w:t xml:space="preserve"> </w:t>
      </w:r>
      <w:r w:rsidR="0053541C" w:rsidRPr="00C43975">
        <w:rPr>
          <w:rFonts w:ascii="Arial" w:hAnsi="Arial" w:cs="Arial"/>
        </w:rPr>
        <w:t xml:space="preserve">twice </w:t>
      </w:r>
      <w:r w:rsidR="00FF66ED" w:rsidRPr="00C43975">
        <w:rPr>
          <w:rFonts w:ascii="Arial" w:hAnsi="Arial" w:cs="Arial"/>
        </w:rPr>
        <w:t xml:space="preserve">as </w:t>
      </w:r>
      <w:r w:rsidR="00EE38EE" w:rsidRPr="00C43975">
        <w:rPr>
          <w:rFonts w:ascii="Arial" w:hAnsi="Arial" w:cs="Arial"/>
        </w:rPr>
        <w:t xml:space="preserve">high </w:t>
      </w:r>
      <w:r w:rsidR="006051C9" w:rsidRPr="00C43975">
        <w:rPr>
          <w:rFonts w:ascii="Arial" w:hAnsi="Arial" w:cs="Arial"/>
        </w:rPr>
        <w:t xml:space="preserve">in HIC </w:t>
      </w:r>
      <w:r w:rsidR="001E0E76" w:rsidRPr="00C43975">
        <w:rPr>
          <w:rFonts w:ascii="Arial" w:hAnsi="Arial" w:cs="Arial"/>
        </w:rPr>
        <w:t>as in</w:t>
      </w:r>
      <w:r w:rsidR="0053541C" w:rsidRPr="00C43975">
        <w:rPr>
          <w:rFonts w:ascii="Arial" w:hAnsi="Arial" w:cs="Arial"/>
        </w:rPr>
        <w:t xml:space="preserve"> LMIC. </w:t>
      </w:r>
      <w:r w:rsidR="00712FB6" w:rsidRPr="00C43975">
        <w:rPr>
          <w:rFonts w:ascii="Arial" w:hAnsi="Arial" w:cs="Arial"/>
        </w:rPr>
        <w:t>M</w:t>
      </w:r>
      <w:r w:rsidR="0053541C" w:rsidRPr="00C43975">
        <w:rPr>
          <w:rFonts w:ascii="Arial" w:hAnsi="Arial" w:cs="Arial"/>
        </w:rPr>
        <w:t xml:space="preserve">ost </w:t>
      </w:r>
      <w:r w:rsidR="00BB033D" w:rsidRPr="00C43975">
        <w:rPr>
          <w:rFonts w:ascii="Arial" w:hAnsi="Arial" w:cs="Arial"/>
        </w:rPr>
        <w:t xml:space="preserve">children </w:t>
      </w:r>
      <w:r w:rsidR="0053541C" w:rsidRPr="00C43975">
        <w:rPr>
          <w:rFonts w:ascii="Arial" w:hAnsi="Arial" w:cs="Arial"/>
        </w:rPr>
        <w:t>at high risk for an IFD</w:t>
      </w:r>
      <w:r w:rsidR="00FB5485" w:rsidRPr="00C43975">
        <w:rPr>
          <w:rFonts w:ascii="Arial" w:hAnsi="Arial" w:cs="Arial"/>
        </w:rPr>
        <w:t xml:space="preserve"> included in </w:t>
      </w:r>
      <w:r w:rsidR="006051C9" w:rsidRPr="00C43975">
        <w:rPr>
          <w:rFonts w:ascii="Arial" w:hAnsi="Arial" w:cs="Arial"/>
        </w:rPr>
        <w:t>the cohort</w:t>
      </w:r>
      <w:r w:rsidR="0053541C" w:rsidRPr="00C43975">
        <w:rPr>
          <w:rFonts w:ascii="Arial" w:hAnsi="Arial" w:cs="Arial"/>
        </w:rPr>
        <w:t xml:space="preserve"> were </w:t>
      </w:r>
      <w:r w:rsidR="00B5277E" w:rsidRPr="00C43975">
        <w:rPr>
          <w:rFonts w:ascii="Arial" w:hAnsi="Arial" w:cs="Arial"/>
        </w:rPr>
        <w:t>treated</w:t>
      </w:r>
      <w:r w:rsidR="0053541C" w:rsidRPr="00C43975">
        <w:rPr>
          <w:rFonts w:ascii="Arial" w:hAnsi="Arial" w:cs="Arial"/>
        </w:rPr>
        <w:t xml:space="preserve"> in HIC</w:t>
      </w:r>
      <w:r w:rsidR="00865144" w:rsidRPr="00C43975">
        <w:rPr>
          <w:rFonts w:ascii="Arial" w:hAnsi="Arial" w:cs="Arial"/>
        </w:rPr>
        <w:t xml:space="preserve"> and</w:t>
      </w:r>
      <w:r w:rsidR="0035433C" w:rsidRPr="00C43975">
        <w:rPr>
          <w:rFonts w:ascii="Arial" w:hAnsi="Arial" w:cs="Arial"/>
        </w:rPr>
        <w:t xml:space="preserve"> the</w:t>
      </w:r>
      <w:r w:rsidR="00865144" w:rsidRPr="00C43975">
        <w:rPr>
          <w:rFonts w:ascii="Arial" w:hAnsi="Arial" w:cs="Arial"/>
        </w:rPr>
        <w:t>ir</w:t>
      </w:r>
      <w:r w:rsidR="0035433C" w:rsidRPr="00C43975">
        <w:rPr>
          <w:rFonts w:ascii="Arial" w:hAnsi="Arial" w:cs="Arial"/>
        </w:rPr>
        <w:t xml:space="preserve"> use of antifungals was significantly higher in HIC compared to LMIC. </w:t>
      </w:r>
      <w:r w:rsidR="00A51D9D" w:rsidRPr="00C43975">
        <w:rPr>
          <w:rFonts w:ascii="Arial" w:hAnsi="Arial" w:cs="Arial"/>
        </w:rPr>
        <w:t>The s</w:t>
      </w:r>
      <w:r w:rsidR="0035433C" w:rsidRPr="00C43975">
        <w:rPr>
          <w:rFonts w:ascii="Arial" w:hAnsi="Arial" w:cs="Arial"/>
        </w:rPr>
        <w:t>ame trend was found for the use of antifungal prophylaxis</w:t>
      </w:r>
      <w:r w:rsidR="006051C9" w:rsidRPr="00C43975">
        <w:rPr>
          <w:rFonts w:ascii="Arial" w:hAnsi="Arial" w:cs="Arial"/>
        </w:rPr>
        <w:t xml:space="preserve">. </w:t>
      </w:r>
      <w:r w:rsidR="00865144" w:rsidRPr="00C43975">
        <w:rPr>
          <w:rFonts w:ascii="Arial" w:hAnsi="Arial" w:cs="Arial"/>
        </w:rPr>
        <w:t xml:space="preserve">Marked </w:t>
      </w:r>
      <w:r w:rsidR="00B5277E" w:rsidRPr="00C43975">
        <w:rPr>
          <w:rFonts w:ascii="Arial" w:hAnsi="Arial" w:cs="Arial"/>
        </w:rPr>
        <w:t xml:space="preserve">differences </w:t>
      </w:r>
      <w:r w:rsidR="00EE38EE" w:rsidRPr="00C43975">
        <w:rPr>
          <w:rFonts w:ascii="Arial" w:hAnsi="Arial" w:cs="Arial"/>
        </w:rPr>
        <w:t xml:space="preserve">were observed </w:t>
      </w:r>
      <w:r w:rsidR="00B5277E" w:rsidRPr="00C43975">
        <w:rPr>
          <w:rFonts w:ascii="Arial" w:hAnsi="Arial" w:cs="Arial"/>
        </w:rPr>
        <w:t xml:space="preserve">in the use of antifungal agents, </w:t>
      </w:r>
      <w:r w:rsidR="001E0E76" w:rsidRPr="00C43975">
        <w:rPr>
          <w:rFonts w:ascii="Arial" w:hAnsi="Arial" w:cs="Arial"/>
        </w:rPr>
        <w:t xml:space="preserve">with a higher </w:t>
      </w:r>
      <w:r w:rsidR="001E0E76" w:rsidRPr="00C43975">
        <w:rPr>
          <w:rFonts w:ascii="Arial" w:hAnsi="Arial" w:cs="Arial"/>
          <w:bCs/>
        </w:rPr>
        <w:t>proportional use of fluconazole compared to other antifungals in LMIC than in HIC</w:t>
      </w:r>
      <w:r w:rsidR="00B5277E" w:rsidRPr="00C43975">
        <w:rPr>
          <w:rFonts w:ascii="Arial" w:hAnsi="Arial" w:cs="Arial"/>
          <w:bCs/>
        </w:rPr>
        <w:t xml:space="preserve">. </w:t>
      </w:r>
    </w:p>
    <w:p w14:paraId="4809EC08" w14:textId="77777777" w:rsidR="00E4411D" w:rsidRPr="00C43975" w:rsidRDefault="00E4411D" w:rsidP="00C43975">
      <w:pPr>
        <w:spacing w:line="480" w:lineRule="auto"/>
        <w:rPr>
          <w:rFonts w:ascii="Arial" w:hAnsi="Arial" w:cs="Arial"/>
        </w:rPr>
      </w:pPr>
    </w:p>
    <w:p w14:paraId="313B1E2F" w14:textId="66556E6E" w:rsidR="00401015" w:rsidRPr="00C43975" w:rsidRDefault="00063F26" w:rsidP="00C43975">
      <w:pPr>
        <w:spacing w:line="480" w:lineRule="auto"/>
        <w:rPr>
          <w:rFonts w:ascii="Arial" w:hAnsi="Arial" w:cs="Arial"/>
        </w:rPr>
      </w:pPr>
      <w:r w:rsidRPr="00C43975">
        <w:rPr>
          <w:rFonts w:ascii="Arial" w:hAnsi="Arial" w:cs="Arial"/>
        </w:rPr>
        <w:t xml:space="preserve">We </w:t>
      </w:r>
      <w:r w:rsidR="00EE38EE" w:rsidRPr="00C43975">
        <w:rPr>
          <w:rFonts w:ascii="Arial" w:hAnsi="Arial" w:cs="Arial"/>
        </w:rPr>
        <w:t xml:space="preserve">have </w:t>
      </w:r>
      <w:r w:rsidRPr="00C43975">
        <w:rPr>
          <w:rFonts w:ascii="Arial" w:hAnsi="Arial" w:cs="Arial"/>
        </w:rPr>
        <w:t xml:space="preserve">previously </w:t>
      </w:r>
      <w:r w:rsidR="00EE38EE" w:rsidRPr="00C43975">
        <w:rPr>
          <w:rFonts w:ascii="Arial" w:hAnsi="Arial" w:cs="Arial"/>
        </w:rPr>
        <w:t>reported our results from</w:t>
      </w:r>
      <w:r w:rsidR="00A51D9D" w:rsidRPr="00C43975">
        <w:rPr>
          <w:rFonts w:ascii="Arial" w:hAnsi="Arial" w:cs="Arial"/>
        </w:rPr>
        <w:t xml:space="preserve"> the</w:t>
      </w:r>
      <w:r w:rsidR="00EE38EE" w:rsidRPr="00C43975">
        <w:rPr>
          <w:rFonts w:ascii="Arial" w:hAnsi="Arial" w:cs="Arial"/>
        </w:rPr>
        <w:t xml:space="preserve"> </w:t>
      </w:r>
      <w:r w:rsidR="00B82151" w:rsidRPr="00C43975">
        <w:rPr>
          <w:rFonts w:ascii="Arial" w:hAnsi="Arial" w:cs="Arial"/>
        </w:rPr>
        <w:t xml:space="preserve">ARPEC (Antibiotic Resistance and Prescribing in European Children) </w:t>
      </w:r>
      <w:r w:rsidR="003E37DC" w:rsidRPr="00C43975">
        <w:rPr>
          <w:rFonts w:ascii="Arial" w:hAnsi="Arial" w:cs="Arial"/>
        </w:rPr>
        <w:t xml:space="preserve">a single PPS </w:t>
      </w:r>
      <w:r w:rsidR="00B82151" w:rsidRPr="00C43975">
        <w:rPr>
          <w:rFonts w:ascii="Arial" w:hAnsi="Arial" w:cs="Arial"/>
        </w:rPr>
        <w:t>study</w:t>
      </w:r>
      <w:r w:rsidR="002963E8" w:rsidRPr="00C43975">
        <w:rPr>
          <w:rFonts w:ascii="Arial" w:hAnsi="Arial" w:cs="Arial"/>
        </w:rPr>
        <w:t>,</w:t>
      </w:r>
      <w:r w:rsidR="00B82151" w:rsidRPr="00C43975">
        <w:rPr>
          <w:rFonts w:ascii="Arial" w:hAnsi="Arial" w:cs="Arial"/>
        </w:rPr>
        <w:fldChar w:fldCharType="begin" w:fldLock="1"/>
      </w:r>
      <w:r w:rsidR="00FA2A64" w:rsidRPr="00C43975">
        <w:rPr>
          <w:rFonts w:ascii="Arial" w:hAnsi="Arial" w:cs="Arial"/>
        </w:rPr>
        <w:instrText>ADDIN CSL_CITATION {"citationItems":[{"id":"ITEM-1","itemData":{"DOI":"10.1128/AAC.04109-14","ISBN":"0066-4804","ISSN":"10986596","PMID":"2015706742","abstract":"The appropriate use of systemic antifungals is vital in the prevention and treatment of invasive fungal infection (IFI) in immunosuppressed children and neonates. This multicenter observational study describes the inpatient prescribing practice of antifungal drugs for children and neonates and identifies factors associated with prescribing variability. A single-day point prevalence study of antimicrobial use in hospitalized neonates and children was performed between October and December 2012. The data were entered through a study-specific Web-based portal using a standardized data entry protocol. Data were recorded from 17,693 patients from 226 centers. A total of 136 centers recorded data from 1,092 children and 380 neonates receiving at least one antifungal agent. The most frequently prescribed systemic antifungals were fluconazole (n = 355) and amphotericin B deoxycholate (n = 195). The most common indications for antifungal administration in children were medical prophylaxis (n = 325), empirical treatment of febrile neutropenia (n = 122), and treatment of confirmed or suspected IFI (n = 100 [14%]). The treatment of suspected IFI in low-birthweight neonates accounted for the majority of prescriptions in the neonatal units (n = 103). An analysis of variance (ANOVA) demonstrated no significant effect of clinical indication (prophylaxis or treatment of systemic or localized infection) on the total daily dose (TDD). Fewer than one-half of the patients (n = 371) received a TDD within the dosing range recommended in the current guidelines. Subtherapeutic doses were prescribed in 416 cases (47%). The predominance of fluconazole and high incidence of subtherapeutic doses in participating hospitals may contribute to suboptimal clinical outcomes and an increased predominance of resistant pathogenic fungi. A global consensus on antifungal dosing and coordinated stewardship programs are needed to promote the consistent and appropriate use of antifungal drugs in neonates and children. Go to: INTRODUCTION Antimicrobial agents are among the most commonly prescribed drugs in neonates and children. The widespread use of broad-spectrum antimicrobials is known to contribute to antimicrobial resistance, while the failure to initiate appropriate treatment is associated with significantly increased attributable mortality (1). The appropriate use of antifungals is of particular importance in the prevention and treatment of infection in the presence of severe intercurrent …","author":[{"dropping-particle":"","family":"Lestner","given":"J. M.","non-dropping-particle":"","parse-names":false,"suffix":""},{"dropping-particle":"","family":"Versporten","given":"A.","non-dropping-particle":"","parse-names":false,"suffix":""},{"dropping-particle":"","family":"Doerholt","given":"K.","non-dropping-particle":"","parse-names":false,"suffix":""},{"dropping-particle":"","family":"Warris","given":"A.","non-dropping-particle":"","parse-names":false,"suffix":""},{"dropping-particle":"","family":"Roilides","given":"E.","non-dropping-particle":"","parse-names":false,"suffix":""},{"dropping-particle":"","family":"Sharland","given":"M.","non-dropping-particle":"","parse-names":false,"suffix":""},{"dropping-particle":"","family":"Bielicki","given":"J.","non-dropping-particle":"","parse-names":false,"suffix":""},{"dropping-particle":"","family":"Goossens","given":"H.","non-dropping-particle":"","parse-names":false,"suffix":""}],"container-title":"Antimicrobial Agents and Chemotherapy","id":"ITEM-1","issue":"2","issued":{"date-parts":[["2015"]]},"page":"782-789","title":"Systemic antifungal prescribing in neonates and children: Outcomes from the antibiotic resistance and prescribing in european children (arpec) study","type":"article-journal","volume":"59"},"uris":["http://www.mendeley.com/documents/?uuid=285f66d7-91d8-49d1-92ac-37939ccd9cca"]}],"mendeley":{"formattedCitation":"&lt;sup&gt;&lt;sup&gt;13&lt;/sup&gt;&lt;/sup&gt;","plainTextFormattedCitation":"13","previouslyFormattedCitation":"&lt;sup&gt;&lt;sup&gt;13&lt;/sup&gt;&lt;/sup&gt;"},"properties":{"noteIndex":0},"schema":"https://github.com/citation-style-language/schema/raw/master/csl-citation.json"}</w:instrText>
      </w:r>
      <w:r w:rsidR="00B82151" w:rsidRPr="00C43975">
        <w:rPr>
          <w:rFonts w:ascii="Arial" w:hAnsi="Arial" w:cs="Arial"/>
        </w:rPr>
        <w:fldChar w:fldCharType="separate"/>
      </w:r>
      <w:r w:rsidR="00E51D07" w:rsidRPr="00C43975">
        <w:rPr>
          <w:rFonts w:ascii="Arial" w:hAnsi="Arial" w:cs="Arial"/>
          <w:noProof/>
          <w:vertAlign w:val="superscript"/>
        </w:rPr>
        <w:t>13</w:t>
      </w:r>
      <w:r w:rsidR="00B82151" w:rsidRPr="00C43975">
        <w:rPr>
          <w:rFonts w:ascii="Arial" w:hAnsi="Arial" w:cs="Arial"/>
        </w:rPr>
        <w:fldChar w:fldCharType="end"/>
      </w:r>
      <w:r w:rsidR="00865144" w:rsidRPr="00C43975">
        <w:rPr>
          <w:rFonts w:ascii="Arial" w:hAnsi="Arial" w:cs="Arial"/>
        </w:rPr>
        <w:t xml:space="preserve"> which </w:t>
      </w:r>
      <w:r w:rsidR="00EE38EE" w:rsidRPr="00C43975">
        <w:rPr>
          <w:rFonts w:ascii="Arial" w:hAnsi="Arial" w:cs="Arial"/>
        </w:rPr>
        <w:t>showed</w:t>
      </w:r>
      <w:r w:rsidR="00A51D9D" w:rsidRPr="00C43975">
        <w:rPr>
          <w:rFonts w:ascii="Arial" w:hAnsi="Arial" w:cs="Arial"/>
        </w:rPr>
        <w:t xml:space="preserve"> a</w:t>
      </w:r>
      <w:r w:rsidRPr="00C43975">
        <w:rPr>
          <w:rFonts w:ascii="Arial" w:hAnsi="Arial" w:cs="Arial"/>
        </w:rPr>
        <w:t xml:space="preserve"> </w:t>
      </w:r>
      <w:r w:rsidR="00865144" w:rsidRPr="00C43975">
        <w:rPr>
          <w:rFonts w:ascii="Arial" w:hAnsi="Arial" w:cs="Arial"/>
        </w:rPr>
        <w:t xml:space="preserve">similar </w:t>
      </w:r>
      <w:r w:rsidRPr="00C43975">
        <w:rPr>
          <w:rFonts w:ascii="Arial" w:hAnsi="Arial" w:cs="Arial"/>
        </w:rPr>
        <w:t>wide</w:t>
      </w:r>
      <w:r w:rsidR="00B82151" w:rsidRPr="00C43975">
        <w:rPr>
          <w:rFonts w:ascii="Arial" w:hAnsi="Arial" w:cs="Arial"/>
        </w:rPr>
        <w:t xml:space="preserve"> </w:t>
      </w:r>
      <w:r w:rsidRPr="00C43975">
        <w:rPr>
          <w:rFonts w:ascii="Arial" w:hAnsi="Arial" w:cs="Arial"/>
        </w:rPr>
        <w:t xml:space="preserve">variation </w:t>
      </w:r>
      <w:r w:rsidR="00EE38EE" w:rsidRPr="00C43975">
        <w:rPr>
          <w:rFonts w:ascii="Arial" w:hAnsi="Arial" w:cs="Arial"/>
        </w:rPr>
        <w:t>i</w:t>
      </w:r>
      <w:r w:rsidR="00B82151" w:rsidRPr="00C43975">
        <w:rPr>
          <w:rFonts w:ascii="Arial" w:hAnsi="Arial" w:cs="Arial"/>
        </w:rPr>
        <w:t xml:space="preserve">n antifungal </w:t>
      </w:r>
      <w:r w:rsidR="00EE38EE" w:rsidRPr="00C43975">
        <w:rPr>
          <w:rFonts w:ascii="Arial" w:hAnsi="Arial" w:cs="Arial"/>
        </w:rPr>
        <w:t>prescription</w:t>
      </w:r>
      <w:r w:rsidR="002963E8" w:rsidRPr="00C43975">
        <w:rPr>
          <w:rFonts w:ascii="Arial" w:hAnsi="Arial" w:cs="Arial"/>
        </w:rPr>
        <w:t xml:space="preserve"> practices</w:t>
      </w:r>
      <w:r w:rsidR="00A14C59" w:rsidRPr="00C43975">
        <w:rPr>
          <w:rFonts w:ascii="Arial" w:hAnsi="Arial" w:cs="Arial"/>
        </w:rPr>
        <w:t>.</w:t>
      </w:r>
      <w:r w:rsidR="00865144" w:rsidRPr="00C43975">
        <w:rPr>
          <w:rFonts w:ascii="Arial" w:hAnsi="Arial" w:cs="Arial"/>
        </w:rPr>
        <w:t xml:space="preserve"> </w:t>
      </w:r>
      <w:r w:rsidR="00EE38EE" w:rsidRPr="00C43975">
        <w:rPr>
          <w:rFonts w:ascii="Arial" w:hAnsi="Arial" w:cs="Arial"/>
        </w:rPr>
        <w:t xml:space="preserve">Sparse paediatric PK data and </w:t>
      </w:r>
      <w:r w:rsidR="00F34C59" w:rsidRPr="00C43975">
        <w:rPr>
          <w:rFonts w:ascii="Arial" w:hAnsi="Arial" w:cs="Arial"/>
        </w:rPr>
        <w:t xml:space="preserve">the </w:t>
      </w:r>
      <w:r w:rsidR="00EE38EE" w:rsidRPr="00C43975">
        <w:rPr>
          <w:rFonts w:ascii="Arial" w:hAnsi="Arial" w:cs="Arial"/>
        </w:rPr>
        <w:t>lack of phase III clinical trials in neonates and children</w:t>
      </w:r>
      <w:r w:rsidR="00A51D9D" w:rsidRPr="00C43975">
        <w:rPr>
          <w:rFonts w:ascii="Arial" w:hAnsi="Arial" w:cs="Arial"/>
        </w:rPr>
        <w:t xml:space="preserve"> might be the reason for</w:t>
      </w:r>
      <w:r w:rsidR="00EE38EE" w:rsidRPr="00C43975">
        <w:rPr>
          <w:rFonts w:ascii="Arial" w:hAnsi="Arial" w:cs="Arial"/>
        </w:rPr>
        <w:t xml:space="preserve"> this variability. In addition</w:t>
      </w:r>
      <w:r w:rsidR="00B82151" w:rsidRPr="00C43975">
        <w:rPr>
          <w:rFonts w:ascii="Arial" w:hAnsi="Arial" w:cs="Arial"/>
        </w:rPr>
        <w:t xml:space="preserve">, </w:t>
      </w:r>
      <w:r w:rsidR="00EE38EE" w:rsidRPr="00C43975">
        <w:rPr>
          <w:rFonts w:ascii="Arial" w:hAnsi="Arial" w:cs="Arial"/>
        </w:rPr>
        <w:t>a number of studies have shown</w:t>
      </w:r>
      <w:r w:rsidR="003363FE" w:rsidRPr="00C43975">
        <w:rPr>
          <w:rFonts w:ascii="Arial" w:hAnsi="Arial" w:cs="Arial"/>
        </w:rPr>
        <w:t xml:space="preserve"> </w:t>
      </w:r>
      <w:r w:rsidR="00B82151" w:rsidRPr="00C43975">
        <w:rPr>
          <w:rFonts w:ascii="Arial" w:hAnsi="Arial" w:cs="Arial"/>
        </w:rPr>
        <w:t>that antifungal use is dominated by prophylaxis and empirical treatment</w:t>
      </w:r>
      <w:r w:rsidR="00B82151" w:rsidRPr="00C43975">
        <w:rPr>
          <w:rFonts w:ascii="Arial" w:hAnsi="Arial" w:cs="Arial"/>
        </w:rPr>
        <w:fldChar w:fldCharType="begin" w:fldLock="1"/>
      </w:r>
      <w:r w:rsidR="00FA2A64" w:rsidRPr="00C43975">
        <w:rPr>
          <w:rFonts w:ascii="Arial" w:hAnsi="Arial" w:cs="Arial"/>
        </w:rPr>
        <w:instrText>ADDIN CSL_CITATION {"citationItems":[{"id":"ITEM-1","itemData":{"DOI":"10.1017/ice.2017.40","ISSN":"15596834","abstract":"We analyzed antifungal and antiviral prescribing among high-risk children across freestanding children's hospitals. Antifungal and antiviral days of therapy varied across hospitals. Benchmarking antifungal and antiviral use and developing antimicrobial stewardship strategies to optimize use of these high cost agents is needed.","author":[{"dropping-particle":"","family":"Goldman","given":"Jennifer L.","non-dropping-particle":"","parse-names":false,"suffix":""},{"dropping-particle":"","family":"Ross","given":"Rachael K.","non-dropping-particle":"","parse-names":false,"suffix":""},{"dropping-particle":"","family":"Lee","given":"Brian R.","non-dropping-particle":"","parse-names":false,"suffix":""},{"dropping-particle":"","family":"Newland","given":"Jason G.","non-dropping-particle":"","parse-names":false,"suffix":""},{"dropping-particle":"","family":"Hersh","given":"Adam L.","non-dropping-particle":"","parse-names":false,"suffix":""},{"dropping-particle":"","family":"Kronman","given":"Matthew P.","non-dropping-particle":"","parse-names":false,"suffix":""},{"dropping-particle":"","family":"Gerber","given":"Jeffrey S.","non-dropping-particle":"","parse-names":false,"suffix":""}],"container-title":"Infection Control and Hospital Epidemiology","id":"ITEM-1","issue":"6","issued":{"date-parts":[["2017"]]},"page":"743-746","title":"Variability in Antifungal and Antiviral Use in Hospitalized Children","type":"article-journal","volume":"38"},"uris":["http://www.mendeley.com/documents/?uuid=dde1a15b-5aa1-407d-b489-10a19560d962"]},{"id":"ITEM-2","itemData":{"DOI":"10.1097/inf.0000000000002463","ISBN":"0000000000","ISSN":"0891-3668","abstract":"BACKGROUND: Diagnostic challenges combined with the vulnerability of neonates to develop invasive candidiasis (IC) may lead to antifungal administration in the absence of IC. A modified point-prevalence study was performed to obtain an improved insight and understanding of antifungal prescribing in this specific patient population. METHODS: Neonates and infants &lt;/=90 days of age receiving systemic antifungals from 12 centers in England were included. Data were collected prospectively during 26 consecutive weeks and entered into an online REDCap database. RESULTS: Two hundred eighty neonates and infants were included, the majority &lt;/=1 month of age (68.2%). Prematurity was the commonest underlying condition (68.9%). Antifungals were prescribed for prophylactic reason in 79.6%; of those, 64.6% and 76.3% were extreme low birth weight infants and prematurely born neonates, respectively. Additional risk factors were present in almost all patients, but only 44.7% had &gt;/=3 risk factors rendering them more susceptible to develop IC. Nonpremature and non extremely low birth weight premature infants only scored &gt;/=3 risk factors in 32.6% and 15%, respectively. Fluconazole was the most common antifungal used (76.7% of all prescriptions), and commonly underdosed as treatment. The number of microbiological proven IC was low, 5.4%. CONCLUSIONS: Neonatal antifungal prophylaxis is commonly prescribed outside the recommendations based on known risk profiles. Fluconazole is the main antifungal prescribed in neonates and infants, with underdosing frequently observed when prescribed for treatment. Number of proven IC was very low. These observations should be taken into consideration to develop a national pediatric Antifungal Stewardship program aiming to guide rational prescribing.","author":[{"dropping-particle":"","family":"Ferreras-Antolín","given":"Laura","non-dropping-particle":"","parse-names":false,"suffix":""},{"dropping-particle":"","family":"Irwin","given":"Adam","non-dropping-particle":"","parse-names":false,"suffix":""},{"dropping-particle":"","family":"Atra","given":"Ayad","non-dropping-particle":"","parse-names":false,"suffix":""},{"dropping-particle":"","family":"Dermirjian","given":"Alicia","non-dropping-particle":"","parse-names":false,"suffix":""},{"dropping-particle":"","family":"Drysdale","given":"Simon B.","non-dropping-particle":"","parse-names":false,"suffix":""},{"dropping-particle":"","family":"Emonts","given":"Marieke","non-dropping-particle":"","parse-names":false,"suffix":""},{"dropping-particle":"","family":"McMaster","given":"Paddy","non-dropping-particle":"","parse-names":false,"suffix":""},{"dropping-particle":"","family":"Paulus","given":"Stephane","non-dropping-particle":"","parse-names":false,"suffix":""},{"dropping-particle":"","family":"Patel","given":"Sanjay","non-dropping-particle":"","parse-names":false,"suffix":""},{"dropping-particle":"","family":"Kinsey","given":"Sally","non-dropping-particle":"","parse-names":false,"suffix":""},{"dropping-particle":"","family":"Vergnano","given":"Stefania","non-dropping-particle":"","parse-names":false,"suffix":""},{"dropping-particle":"","family":"Whittaker","given":"Elisabeth","non-dropping-particle":"","parse-names":false,"suffix":""},{"dropping-particle":"","family":"Warris","given":"Adilia","non-dropping-particle":"","parse-names":false,"suffix":""}],"container-title":"The Pediatric Infectious Disease Journal","id":"ITEM-2","issue":"12","issued":{"date-parts":[["2019"]]},"page":"1219-1223","title":"Neonatal Antifungal Consumption Is Dominated by Prophylactic Use; Outcomes From The Pediatric Antifungal Stewardship","type":"article-journal","volume":"38"},"uris":["http://www.mendeley.com/documents/?uuid=31f72c99-cb5b-40d3-894d-853a09e417ad"]},{"id":"ITEM-3","itemData":{"DOI":"10.1016/j.jinf.2012.08.003","author":[{"dropping-particle":"","family":"Steinbach","given":"William J","non-dropping-particle":"","parse-names":false,"suffix":""},{"dropping-particle":"","family":"Marr","given":"Kieren A","non-dropping-particle":"","parse-names":false,"suffix":""},{"dropping-particle":"","family":"Anaissie","given":"Elias J","non-dropping-particle":"","parse-names":false,"suffix":""},{"dropping-particle":"","family":"Azie","given":"Nkechi","non-dropping-particle":"","parse-names":false,"suffix":""},{"dropping-particle":"","family":"Quan","given":"Shun-ping","non-dropping-particle":"","parse-names":false,"suffix":""},{"dropping-particle":"","family":"Meier-kriesche","given":"Herwig-ulf","non-dropping-particle":"","parse-names":false,"suffix":""},{"dropping-particle":"","family":"Apewokin","given":"Senu","non-dropping-particle":"","parse-names":false,"suffix":""},{"dropping-particle":"","family":"Horn","given":"David L","non-dropping-particle":"","parse-names":false,"suffix":""}],"container-title":"Journal of Infection","id":"ITEM-3","issued":{"date-parts":[["2012"]]},"page":"453-464","publisher":"Elsevier Ltd","title":"Clinical epidemiology of 960 patients with invasive aspergillosis from the PATH Alliance registry","type":"article-journal","volume":"65"},"uris":["http://www.mendeley.com/documents/?uuid=14ec8970-da21-4f3a-ba04-4dead40e8367"]}],"mendeley":{"formattedCitation":"&lt;sup&gt;&lt;sup&gt;14&lt;/sup&gt;–&lt;sup&gt;16&lt;/sup&gt;&lt;/sup&gt;","plainTextFormattedCitation":"14–16","previouslyFormattedCitation":"&lt;sup&gt;&lt;sup&gt;14&lt;/sup&gt;–&lt;sup&gt;16&lt;/sup&gt;&lt;/sup&gt;"},"properties":{"noteIndex":0},"schema":"https://github.com/citation-style-language/schema/raw/master/csl-citation.json"}</w:instrText>
      </w:r>
      <w:r w:rsidR="00B82151" w:rsidRPr="00C43975">
        <w:rPr>
          <w:rFonts w:ascii="Arial" w:hAnsi="Arial" w:cs="Arial"/>
        </w:rPr>
        <w:fldChar w:fldCharType="separate"/>
      </w:r>
      <w:r w:rsidR="00E51D07" w:rsidRPr="00C43975">
        <w:rPr>
          <w:rFonts w:ascii="Arial" w:hAnsi="Arial" w:cs="Arial"/>
          <w:noProof/>
          <w:vertAlign w:val="superscript"/>
        </w:rPr>
        <w:t>14–16</w:t>
      </w:r>
      <w:r w:rsidR="00B82151" w:rsidRPr="00C43975">
        <w:rPr>
          <w:rFonts w:ascii="Arial" w:hAnsi="Arial" w:cs="Arial"/>
        </w:rPr>
        <w:fldChar w:fldCharType="end"/>
      </w:r>
      <w:r w:rsidR="00B82151" w:rsidRPr="00C43975">
        <w:rPr>
          <w:rFonts w:ascii="Arial" w:hAnsi="Arial" w:cs="Arial"/>
        </w:rPr>
        <w:t xml:space="preserve">. </w:t>
      </w:r>
      <w:r w:rsidR="00401015" w:rsidRPr="00C43975">
        <w:rPr>
          <w:rFonts w:ascii="Arial" w:hAnsi="Arial" w:cs="Arial"/>
        </w:rPr>
        <w:t>This</w:t>
      </w:r>
      <w:r w:rsidR="00177319" w:rsidRPr="00C43975">
        <w:rPr>
          <w:rFonts w:ascii="Arial" w:hAnsi="Arial" w:cs="Arial"/>
        </w:rPr>
        <w:t xml:space="preserve"> </w:t>
      </w:r>
      <w:r w:rsidR="00EE38EE" w:rsidRPr="00C43975">
        <w:rPr>
          <w:rFonts w:ascii="Arial" w:hAnsi="Arial" w:cs="Arial"/>
        </w:rPr>
        <w:t xml:space="preserve">most likely </w:t>
      </w:r>
      <w:r w:rsidR="00177319" w:rsidRPr="00C43975">
        <w:rPr>
          <w:rFonts w:ascii="Arial" w:hAnsi="Arial" w:cs="Arial"/>
        </w:rPr>
        <w:t>arise</w:t>
      </w:r>
      <w:r w:rsidR="0090024A" w:rsidRPr="00C43975">
        <w:rPr>
          <w:rFonts w:ascii="Arial" w:hAnsi="Arial" w:cs="Arial"/>
        </w:rPr>
        <w:t>s</w:t>
      </w:r>
      <w:r w:rsidR="00B82151" w:rsidRPr="00C43975">
        <w:rPr>
          <w:rFonts w:ascii="Arial" w:hAnsi="Arial" w:cs="Arial"/>
        </w:rPr>
        <w:t xml:space="preserve"> from</w:t>
      </w:r>
      <w:r w:rsidR="00177319" w:rsidRPr="00C43975">
        <w:rPr>
          <w:rFonts w:ascii="Arial" w:hAnsi="Arial" w:cs="Arial"/>
        </w:rPr>
        <w:t xml:space="preserve"> the intrinsic difficulties </w:t>
      </w:r>
      <w:r w:rsidR="00EE38EE" w:rsidRPr="00C43975">
        <w:rPr>
          <w:rFonts w:ascii="Arial" w:hAnsi="Arial" w:cs="Arial"/>
        </w:rPr>
        <w:t>i</w:t>
      </w:r>
      <w:r w:rsidR="00177319" w:rsidRPr="00C43975">
        <w:rPr>
          <w:rFonts w:ascii="Arial" w:hAnsi="Arial" w:cs="Arial"/>
        </w:rPr>
        <w:t xml:space="preserve">n the management of IFD in </w:t>
      </w:r>
      <w:r w:rsidR="00401015" w:rsidRPr="00C43975">
        <w:rPr>
          <w:rFonts w:ascii="Arial" w:hAnsi="Arial" w:cs="Arial"/>
        </w:rPr>
        <w:t>paediatric</w:t>
      </w:r>
      <w:r w:rsidR="00177319" w:rsidRPr="00C43975">
        <w:rPr>
          <w:rFonts w:ascii="Arial" w:hAnsi="Arial" w:cs="Arial"/>
        </w:rPr>
        <w:t xml:space="preserve"> p</w:t>
      </w:r>
      <w:r w:rsidR="00EE38EE" w:rsidRPr="00C43975">
        <w:rPr>
          <w:rFonts w:ascii="Arial" w:hAnsi="Arial" w:cs="Arial"/>
        </w:rPr>
        <w:t>atients</w:t>
      </w:r>
      <w:r w:rsidR="00177319" w:rsidRPr="00C43975">
        <w:rPr>
          <w:rFonts w:ascii="Arial" w:hAnsi="Arial" w:cs="Arial"/>
        </w:rPr>
        <w:t xml:space="preserve"> with </w:t>
      </w:r>
      <w:r w:rsidR="00401015" w:rsidRPr="00C43975">
        <w:rPr>
          <w:rFonts w:ascii="Arial" w:hAnsi="Arial" w:cs="Arial"/>
        </w:rPr>
        <w:t>poor diagnostic tools</w:t>
      </w:r>
      <w:r w:rsidR="00F34C59" w:rsidRPr="00C43975">
        <w:rPr>
          <w:rFonts w:ascii="Arial" w:hAnsi="Arial" w:cs="Arial"/>
        </w:rPr>
        <w:t>.</w:t>
      </w:r>
    </w:p>
    <w:p w14:paraId="1D6E7771" w14:textId="77777777" w:rsidR="0090024A" w:rsidRPr="00C43975" w:rsidRDefault="0090024A" w:rsidP="00C43975">
      <w:pPr>
        <w:spacing w:line="480" w:lineRule="auto"/>
        <w:rPr>
          <w:rFonts w:ascii="Arial" w:hAnsi="Arial" w:cs="Arial"/>
        </w:rPr>
      </w:pPr>
    </w:p>
    <w:p w14:paraId="00F2B472" w14:textId="2441AA50" w:rsidR="00C05A67" w:rsidRPr="00C43975" w:rsidRDefault="00D40DA8" w:rsidP="00C43975">
      <w:pPr>
        <w:spacing w:line="480" w:lineRule="auto"/>
        <w:rPr>
          <w:rFonts w:ascii="Arial" w:hAnsi="Arial" w:cs="Arial"/>
          <w:color w:val="000000" w:themeColor="text1"/>
        </w:rPr>
      </w:pPr>
      <w:r w:rsidRPr="00C43975">
        <w:rPr>
          <w:rFonts w:ascii="Arial" w:hAnsi="Arial" w:cs="Arial"/>
          <w:color w:val="000000" w:themeColor="text1"/>
        </w:rPr>
        <w:t xml:space="preserve">We observed </w:t>
      </w:r>
      <w:r w:rsidR="0080308E" w:rsidRPr="00C43975">
        <w:rPr>
          <w:rFonts w:ascii="Arial" w:hAnsi="Arial" w:cs="Arial"/>
          <w:color w:val="000000" w:themeColor="text1"/>
        </w:rPr>
        <w:t>differen</w:t>
      </w:r>
      <w:r w:rsidRPr="00C43975">
        <w:rPr>
          <w:rFonts w:ascii="Arial" w:hAnsi="Arial" w:cs="Arial"/>
          <w:color w:val="000000" w:themeColor="text1"/>
        </w:rPr>
        <w:t xml:space="preserve">t </w:t>
      </w:r>
      <w:r w:rsidR="004F6FA0" w:rsidRPr="00C43975">
        <w:rPr>
          <w:rFonts w:ascii="Arial" w:hAnsi="Arial" w:cs="Arial"/>
          <w:color w:val="000000" w:themeColor="text1"/>
        </w:rPr>
        <w:t xml:space="preserve">antifungal </w:t>
      </w:r>
      <w:r w:rsidRPr="00C43975">
        <w:rPr>
          <w:rFonts w:ascii="Arial" w:hAnsi="Arial" w:cs="Arial"/>
          <w:color w:val="000000" w:themeColor="text1"/>
        </w:rPr>
        <w:t xml:space="preserve">prescribing patterns </w:t>
      </w:r>
      <w:r w:rsidR="004F6FA0" w:rsidRPr="00C43975">
        <w:rPr>
          <w:rFonts w:ascii="Arial" w:hAnsi="Arial" w:cs="Arial"/>
          <w:color w:val="000000" w:themeColor="text1"/>
        </w:rPr>
        <w:t>among</w:t>
      </w:r>
      <w:r w:rsidR="0080308E" w:rsidRPr="00C43975">
        <w:rPr>
          <w:rFonts w:ascii="Arial" w:hAnsi="Arial" w:cs="Arial"/>
          <w:color w:val="000000" w:themeColor="text1"/>
        </w:rPr>
        <w:t xml:space="preserve"> HIC </w:t>
      </w:r>
      <w:r w:rsidRPr="00C43975">
        <w:rPr>
          <w:rFonts w:ascii="Arial" w:hAnsi="Arial" w:cs="Arial"/>
          <w:color w:val="000000" w:themeColor="text1"/>
        </w:rPr>
        <w:t xml:space="preserve">and </w:t>
      </w:r>
      <w:r w:rsidR="0080308E" w:rsidRPr="00C43975">
        <w:rPr>
          <w:rFonts w:ascii="Arial" w:hAnsi="Arial" w:cs="Arial"/>
          <w:color w:val="000000" w:themeColor="text1"/>
        </w:rPr>
        <w:t>LMIC</w:t>
      </w:r>
      <w:r w:rsidRPr="00C43975">
        <w:rPr>
          <w:rFonts w:ascii="Arial" w:hAnsi="Arial" w:cs="Arial"/>
          <w:color w:val="000000" w:themeColor="text1"/>
        </w:rPr>
        <w:t xml:space="preserve">, which </w:t>
      </w:r>
      <w:r w:rsidR="004F6FA0" w:rsidRPr="00C43975">
        <w:rPr>
          <w:rFonts w:ascii="Arial" w:hAnsi="Arial" w:cs="Arial"/>
          <w:color w:val="000000" w:themeColor="text1"/>
        </w:rPr>
        <w:t>might</w:t>
      </w:r>
      <w:r w:rsidR="0080308E" w:rsidRPr="00C43975">
        <w:rPr>
          <w:rFonts w:ascii="Arial" w:hAnsi="Arial" w:cs="Arial"/>
          <w:color w:val="000000" w:themeColor="text1"/>
        </w:rPr>
        <w:t xml:space="preserve"> have been </w:t>
      </w:r>
      <w:r w:rsidR="004F6FA0" w:rsidRPr="00C43975">
        <w:rPr>
          <w:rFonts w:ascii="Arial" w:hAnsi="Arial" w:cs="Arial"/>
          <w:color w:val="000000" w:themeColor="text1"/>
        </w:rPr>
        <w:t xml:space="preserve">affected by </w:t>
      </w:r>
      <w:r w:rsidR="00B82151" w:rsidRPr="00C43975">
        <w:rPr>
          <w:rFonts w:ascii="Arial" w:hAnsi="Arial" w:cs="Arial"/>
          <w:color w:val="000000" w:themeColor="text1"/>
        </w:rPr>
        <w:t xml:space="preserve">the </w:t>
      </w:r>
      <w:r w:rsidR="004F6FA0" w:rsidRPr="00C43975">
        <w:rPr>
          <w:rFonts w:ascii="Arial" w:hAnsi="Arial" w:cs="Arial"/>
          <w:color w:val="000000" w:themeColor="text1"/>
        </w:rPr>
        <w:t xml:space="preserve">distribution of </w:t>
      </w:r>
      <w:r w:rsidR="00035167">
        <w:rPr>
          <w:rFonts w:ascii="Arial" w:hAnsi="Arial" w:cs="Arial"/>
          <w:color w:val="000000" w:themeColor="text1"/>
        </w:rPr>
        <w:t xml:space="preserve">the </w:t>
      </w:r>
      <w:r w:rsidR="0080308E" w:rsidRPr="00C43975">
        <w:rPr>
          <w:rFonts w:ascii="Arial" w:hAnsi="Arial" w:cs="Arial"/>
          <w:color w:val="000000" w:themeColor="text1"/>
        </w:rPr>
        <w:t>different risk populations</w:t>
      </w:r>
      <w:r w:rsidR="0035433C" w:rsidRPr="00C43975">
        <w:rPr>
          <w:rFonts w:ascii="Arial" w:hAnsi="Arial" w:cs="Arial"/>
          <w:color w:val="000000" w:themeColor="text1"/>
        </w:rPr>
        <w:t xml:space="preserve">. This did </w:t>
      </w:r>
      <w:r w:rsidR="0035433C" w:rsidRPr="00C43975">
        <w:rPr>
          <w:rFonts w:ascii="Arial" w:hAnsi="Arial" w:cs="Arial"/>
          <w:color w:val="000000" w:themeColor="text1"/>
        </w:rPr>
        <w:lastRenderedPageBreak/>
        <w:t>not apply to</w:t>
      </w:r>
      <w:r w:rsidR="00C05A67" w:rsidRPr="00C43975">
        <w:rPr>
          <w:rFonts w:ascii="Arial" w:hAnsi="Arial" w:cs="Arial"/>
          <w:color w:val="000000" w:themeColor="text1"/>
        </w:rPr>
        <w:t xml:space="preserve"> </w:t>
      </w:r>
      <w:r w:rsidR="004F6FA0" w:rsidRPr="00C43975">
        <w:rPr>
          <w:rFonts w:ascii="Arial" w:hAnsi="Arial" w:cs="Arial"/>
          <w:color w:val="000000" w:themeColor="text1"/>
        </w:rPr>
        <w:t>extreme preterm</w:t>
      </w:r>
      <w:r w:rsidR="00C05A67" w:rsidRPr="00C43975">
        <w:rPr>
          <w:rFonts w:ascii="Arial" w:hAnsi="Arial" w:cs="Arial"/>
          <w:color w:val="000000" w:themeColor="text1"/>
        </w:rPr>
        <w:t xml:space="preserve"> neonates</w:t>
      </w:r>
      <w:r w:rsidR="00C05C01" w:rsidRPr="00C43975">
        <w:rPr>
          <w:rFonts w:ascii="Arial" w:hAnsi="Arial" w:cs="Arial"/>
          <w:color w:val="000000" w:themeColor="text1"/>
        </w:rPr>
        <w:t>,</w:t>
      </w:r>
      <w:r w:rsidR="00C05A67" w:rsidRPr="00C43975">
        <w:rPr>
          <w:rFonts w:ascii="Arial" w:hAnsi="Arial" w:cs="Arial"/>
          <w:color w:val="000000" w:themeColor="text1"/>
        </w:rPr>
        <w:t xml:space="preserve"> </w:t>
      </w:r>
      <w:r w:rsidR="0035433C" w:rsidRPr="00C43975">
        <w:rPr>
          <w:rFonts w:ascii="Arial" w:hAnsi="Arial" w:cs="Arial"/>
          <w:color w:val="000000" w:themeColor="text1"/>
        </w:rPr>
        <w:t xml:space="preserve">but </w:t>
      </w:r>
      <w:r w:rsidR="00865144" w:rsidRPr="00C43975">
        <w:rPr>
          <w:rFonts w:ascii="Arial" w:hAnsi="Arial" w:cs="Arial"/>
          <w:color w:val="000000" w:themeColor="text1"/>
        </w:rPr>
        <w:t xml:space="preserve">predominantly related to </w:t>
      </w:r>
      <w:r w:rsidR="00C05A67" w:rsidRPr="00C43975">
        <w:rPr>
          <w:rFonts w:ascii="Arial" w:hAnsi="Arial" w:cs="Arial"/>
          <w:color w:val="000000" w:themeColor="text1"/>
        </w:rPr>
        <w:t xml:space="preserve">oncology </w:t>
      </w:r>
      <w:r w:rsidR="00865144" w:rsidRPr="00C43975">
        <w:rPr>
          <w:rFonts w:ascii="Arial" w:hAnsi="Arial" w:cs="Arial"/>
          <w:color w:val="000000" w:themeColor="text1"/>
        </w:rPr>
        <w:t>and</w:t>
      </w:r>
      <w:r w:rsidR="0035433C" w:rsidRPr="00C43975">
        <w:rPr>
          <w:rFonts w:ascii="Arial" w:hAnsi="Arial" w:cs="Arial"/>
          <w:color w:val="000000" w:themeColor="text1"/>
        </w:rPr>
        <w:t xml:space="preserve"> haemato-immunological </w:t>
      </w:r>
      <w:r w:rsidR="00865144" w:rsidRPr="00C43975">
        <w:rPr>
          <w:rFonts w:ascii="Arial" w:hAnsi="Arial" w:cs="Arial"/>
          <w:color w:val="000000" w:themeColor="text1"/>
        </w:rPr>
        <w:t>underlying disease</w:t>
      </w:r>
      <w:r w:rsidR="0080308E" w:rsidRPr="00C43975">
        <w:rPr>
          <w:rFonts w:ascii="Arial" w:hAnsi="Arial" w:cs="Arial"/>
          <w:color w:val="000000" w:themeColor="text1"/>
        </w:rPr>
        <w:t>.</w:t>
      </w:r>
      <w:r w:rsidR="003F02C4" w:rsidRPr="00C43975">
        <w:rPr>
          <w:rFonts w:ascii="Arial" w:hAnsi="Arial" w:cs="Arial"/>
          <w:color w:val="000000" w:themeColor="text1"/>
        </w:rPr>
        <w:t xml:space="preserve"> </w:t>
      </w:r>
      <w:r w:rsidR="00B82151" w:rsidRPr="00C43975">
        <w:rPr>
          <w:rFonts w:ascii="Arial" w:hAnsi="Arial" w:cs="Arial"/>
          <w:color w:val="000000" w:themeColor="text1"/>
        </w:rPr>
        <w:t>In term</w:t>
      </w:r>
      <w:r w:rsidR="001762F5" w:rsidRPr="00C43975">
        <w:rPr>
          <w:rFonts w:ascii="Arial" w:hAnsi="Arial" w:cs="Arial"/>
          <w:color w:val="000000" w:themeColor="text1"/>
        </w:rPr>
        <w:t>s</w:t>
      </w:r>
      <w:r w:rsidR="00B82151" w:rsidRPr="00C43975">
        <w:rPr>
          <w:rFonts w:ascii="Arial" w:hAnsi="Arial" w:cs="Arial"/>
          <w:color w:val="000000" w:themeColor="text1"/>
        </w:rPr>
        <w:t xml:space="preserve"> of paediatric cancer, approximately</w:t>
      </w:r>
      <w:r w:rsidR="00B82151" w:rsidRPr="00C43975">
        <w:rPr>
          <w:rFonts w:ascii="Arial" w:hAnsi="Arial" w:cs="Arial"/>
          <w:lang w:val="en-US"/>
        </w:rPr>
        <w:t xml:space="preserve"> 85% of childhood cancer cases occur in LMIC.</w:t>
      </w:r>
      <w:r w:rsidR="00582FFA" w:rsidRPr="00C43975">
        <w:rPr>
          <w:rFonts w:ascii="Arial" w:hAnsi="Arial" w:cs="Arial"/>
          <w:lang w:val="en-US"/>
        </w:rPr>
        <w:t xml:space="preserve"> </w:t>
      </w:r>
      <w:r w:rsidR="005E4412" w:rsidRPr="00C43975">
        <w:rPr>
          <w:rFonts w:ascii="Arial" w:hAnsi="Arial" w:cs="Arial"/>
          <w:lang w:val="en-US"/>
        </w:rPr>
        <w:t>Nevertheless, t</w:t>
      </w:r>
      <w:r w:rsidR="00C05A67" w:rsidRPr="00C43975">
        <w:rPr>
          <w:rFonts w:ascii="Arial" w:hAnsi="Arial" w:cs="Arial"/>
          <w:lang w:val="en-US"/>
        </w:rPr>
        <w:t>he report from the Global Task Force on Expanded Access to Cancer Case an</w:t>
      </w:r>
      <w:r w:rsidR="00A51D9D" w:rsidRPr="00C43975">
        <w:rPr>
          <w:rFonts w:ascii="Arial" w:hAnsi="Arial" w:cs="Arial"/>
          <w:lang w:val="en-US"/>
        </w:rPr>
        <w:t>d</w:t>
      </w:r>
      <w:r w:rsidR="00C05A67" w:rsidRPr="00C43975">
        <w:rPr>
          <w:rFonts w:ascii="Arial" w:hAnsi="Arial" w:cs="Arial"/>
          <w:lang w:val="en-US"/>
        </w:rPr>
        <w:t xml:space="preserve"> Control in Developing countries stated that a child</w:t>
      </w:r>
      <w:r w:rsidR="00C05A67" w:rsidRPr="00C43975">
        <w:rPr>
          <w:rFonts w:ascii="Arial" w:hAnsi="Arial" w:cs="Arial"/>
          <w:color w:val="000000" w:themeColor="text1"/>
        </w:rPr>
        <w:t xml:space="preserve"> </w:t>
      </w:r>
      <w:r w:rsidR="00C05A67" w:rsidRPr="00C43975">
        <w:rPr>
          <w:rFonts w:ascii="Arial" w:hAnsi="Arial" w:cs="Arial"/>
          <w:lang w:val="en-US"/>
        </w:rPr>
        <w:t xml:space="preserve">diagnosed with cancer in </w:t>
      </w:r>
      <w:r w:rsidR="001762F5" w:rsidRPr="00C43975">
        <w:rPr>
          <w:rFonts w:ascii="Arial" w:hAnsi="Arial" w:cs="Arial"/>
          <w:lang w:val="en-US"/>
        </w:rPr>
        <w:t xml:space="preserve">particular </w:t>
      </w:r>
      <w:r w:rsidR="00C05A67" w:rsidRPr="00C43975">
        <w:rPr>
          <w:rFonts w:ascii="Arial" w:hAnsi="Arial" w:cs="Arial"/>
          <w:lang w:val="en-US"/>
        </w:rPr>
        <w:t>L</w:t>
      </w:r>
      <w:r w:rsidR="00AC5D20" w:rsidRPr="00C43975">
        <w:rPr>
          <w:rFonts w:ascii="Arial" w:hAnsi="Arial" w:cs="Arial"/>
          <w:lang w:val="en-US"/>
        </w:rPr>
        <w:t>M</w:t>
      </w:r>
      <w:r w:rsidR="00C05A67" w:rsidRPr="00C43975">
        <w:rPr>
          <w:rFonts w:ascii="Arial" w:hAnsi="Arial" w:cs="Arial"/>
          <w:lang w:val="en-US"/>
        </w:rPr>
        <w:t>IC has</w:t>
      </w:r>
      <w:r w:rsidR="00C05A67" w:rsidRPr="00C43975">
        <w:rPr>
          <w:rFonts w:ascii="Arial" w:hAnsi="Arial" w:cs="Arial"/>
          <w:color w:val="000000" w:themeColor="text1"/>
        </w:rPr>
        <w:t xml:space="preserve"> </w:t>
      </w:r>
      <w:r w:rsidR="00C05A67" w:rsidRPr="00C43975">
        <w:rPr>
          <w:rFonts w:ascii="Arial" w:hAnsi="Arial" w:cs="Arial"/>
          <w:lang w:val="en-US"/>
        </w:rPr>
        <w:t>an 80% probability of dying, compared to less than 20% in most</w:t>
      </w:r>
      <w:r w:rsidR="00C05A67" w:rsidRPr="00C43975">
        <w:rPr>
          <w:rFonts w:ascii="Arial" w:hAnsi="Arial" w:cs="Arial"/>
          <w:color w:val="000000" w:themeColor="text1"/>
        </w:rPr>
        <w:t xml:space="preserve"> </w:t>
      </w:r>
      <w:r w:rsidR="00C05A67" w:rsidRPr="00C43975">
        <w:rPr>
          <w:rFonts w:ascii="Arial" w:hAnsi="Arial" w:cs="Arial"/>
          <w:lang w:val="en-US"/>
        </w:rPr>
        <w:t>HIC</w:t>
      </w:r>
      <w:r w:rsidR="004F6FA0" w:rsidRPr="00C43975">
        <w:rPr>
          <w:rFonts w:ascii="Arial" w:hAnsi="Arial" w:cs="Arial"/>
          <w:lang w:val="en-US"/>
        </w:rPr>
        <w:fldChar w:fldCharType="begin" w:fldLock="1"/>
      </w:r>
      <w:r w:rsidR="00FA2A64" w:rsidRPr="00C43975">
        <w:rPr>
          <w:rFonts w:ascii="Arial" w:hAnsi="Arial" w:cs="Arial"/>
          <w:lang w:val="en-US"/>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approach.","author":[{"dropping-particle":"","family":"Knaul","given":"Felicia Marie","non-dropping-particle":"","parse-names":false,"suffix":""},{"dropping-particle":"","family":"Frenk","given":"Julio","non-dropping-particle":"","parse-names":false,"suffix":""},{"dropping-particle":"","family":"Shulman","given":"Lawrence","non-dropping-particle":"","parse-names":false,"suffix":""},{"dropping-particle":"","family":"Countries.","given":"for the Global Task Force on Expanded Access to Cancer Care and Control in Developing","non-dropping-particle":"","parse-names":false,"suffix":""}],"container-title":"Harvard Global Equity Initiative,","id":"ITEM-1","issued":{"date-parts":[["2011"]]},"title":"Closing the Cancer Divide: A Blueprint to Expand Access in Low and Middle Income Countries.","type":"report"},"uris":["http://www.mendeley.com/documents/?uuid=8f90e66a-2e91-4270-8678-aa0130e3a957"]}],"mendeley":{"formattedCitation":"&lt;sup&gt;&lt;sup&gt;17&lt;/sup&gt;&lt;/sup&gt;","plainTextFormattedCitation":"17","previouslyFormattedCitation":"&lt;sup&gt;&lt;sup&gt;17&lt;/sup&gt;&lt;/sup&gt;"},"properties":{"noteIndex":0},"schema":"https://github.com/citation-style-language/schema/raw/master/csl-citation.json"}</w:instrText>
      </w:r>
      <w:r w:rsidR="004F6FA0" w:rsidRPr="00C43975">
        <w:rPr>
          <w:rFonts w:ascii="Arial" w:hAnsi="Arial" w:cs="Arial"/>
          <w:lang w:val="en-US"/>
        </w:rPr>
        <w:fldChar w:fldCharType="separate"/>
      </w:r>
      <w:r w:rsidR="00E51D07" w:rsidRPr="00C43975">
        <w:rPr>
          <w:rFonts w:ascii="Arial" w:hAnsi="Arial" w:cs="Arial"/>
          <w:noProof/>
          <w:vertAlign w:val="superscript"/>
          <w:lang w:val="en-US"/>
        </w:rPr>
        <w:t>17</w:t>
      </w:r>
      <w:r w:rsidR="004F6FA0" w:rsidRPr="00C43975">
        <w:rPr>
          <w:rFonts w:ascii="Arial" w:hAnsi="Arial" w:cs="Arial"/>
          <w:lang w:val="en-US"/>
        </w:rPr>
        <w:fldChar w:fldCharType="end"/>
      </w:r>
      <w:r w:rsidR="00C05A67" w:rsidRPr="00C43975">
        <w:rPr>
          <w:rFonts w:ascii="Arial" w:hAnsi="Arial" w:cs="Arial"/>
          <w:lang w:val="en-US"/>
        </w:rPr>
        <w:t xml:space="preserve">. </w:t>
      </w:r>
      <w:r w:rsidR="00C05A67" w:rsidRPr="00C43975">
        <w:rPr>
          <w:rFonts w:ascii="Arial" w:hAnsi="Arial" w:cs="Arial"/>
          <w:color w:val="1C1D1E"/>
          <w:shd w:val="clear" w:color="auto" w:fill="FFFFFF"/>
        </w:rPr>
        <w:t xml:space="preserve">The reasons for </w:t>
      </w:r>
      <w:r w:rsidR="00D62232" w:rsidRPr="00C43975">
        <w:rPr>
          <w:rFonts w:ascii="Arial" w:hAnsi="Arial" w:cs="Arial"/>
          <w:color w:val="1C1D1E"/>
          <w:shd w:val="clear" w:color="auto" w:fill="FFFFFF"/>
        </w:rPr>
        <w:t>this poor outcome</w:t>
      </w:r>
      <w:r w:rsidR="00C05A67" w:rsidRPr="00C43975">
        <w:rPr>
          <w:rFonts w:ascii="Arial" w:hAnsi="Arial" w:cs="Arial"/>
          <w:color w:val="1C1D1E"/>
          <w:shd w:val="clear" w:color="auto" w:fill="FFFFFF"/>
        </w:rPr>
        <w:t xml:space="preserve"> are </w:t>
      </w:r>
      <w:r w:rsidR="00A51D9D" w:rsidRPr="00C43975">
        <w:rPr>
          <w:rFonts w:ascii="Arial" w:hAnsi="Arial" w:cs="Arial"/>
          <w:color w:val="1C1D1E"/>
          <w:shd w:val="clear" w:color="auto" w:fill="FFFFFF"/>
        </w:rPr>
        <w:t>wide-ranging</w:t>
      </w:r>
      <w:r w:rsidR="002E6EC1" w:rsidRPr="00C43975">
        <w:rPr>
          <w:rFonts w:ascii="Arial" w:hAnsi="Arial" w:cs="Arial"/>
          <w:color w:val="1C1D1E"/>
          <w:shd w:val="clear" w:color="auto" w:fill="FFFFFF"/>
        </w:rPr>
        <w:t xml:space="preserve">. However, </w:t>
      </w:r>
      <w:r w:rsidR="00C05A67" w:rsidRPr="00C43975">
        <w:rPr>
          <w:rFonts w:ascii="Arial" w:hAnsi="Arial" w:cs="Arial"/>
          <w:color w:val="1C1D1E"/>
          <w:shd w:val="clear" w:color="auto" w:fill="FFFFFF"/>
        </w:rPr>
        <w:t xml:space="preserve">there is an important role </w:t>
      </w:r>
      <w:r w:rsidR="001762F5" w:rsidRPr="00C43975">
        <w:rPr>
          <w:rFonts w:ascii="Arial" w:hAnsi="Arial" w:cs="Arial"/>
          <w:color w:val="1C1D1E"/>
          <w:shd w:val="clear" w:color="auto" w:fill="FFFFFF"/>
        </w:rPr>
        <w:t>for</w:t>
      </w:r>
      <w:r w:rsidR="00C05A67" w:rsidRPr="00C43975">
        <w:rPr>
          <w:rFonts w:ascii="Arial" w:hAnsi="Arial" w:cs="Arial"/>
          <w:color w:val="1C1D1E"/>
          <w:shd w:val="clear" w:color="auto" w:fill="FFFFFF"/>
        </w:rPr>
        <w:t xml:space="preserve"> supportive care</w:t>
      </w:r>
      <w:r w:rsidR="001762F5" w:rsidRPr="00C43975">
        <w:rPr>
          <w:rFonts w:ascii="Arial" w:hAnsi="Arial" w:cs="Arial"/>
          <w:color w:val="1C1D1E"/>
          <w:shd w:val="clear" w:color="auto" w:fill="FFFFFF"/>
        </w:rPr>
        <w:t xml:space="preserve"> including the treatment of infectious complications</w:t>
      </w:r>
      <w:r w:rsidR="00EA54DE" w:rsidRPr="00C43975">
        <w:rPr>
          <w:rFonts w:ascii="Arial" w:hAnsi="Arial" w:cs="Arial"/>
          <w:color w:val="1C1D1E"/>
          <w:shd w:val="clear" w:color="auto" w:fill="FFFFFF"/>
        </w:rPr>
        <w:t xml:space="preserve"> amongst children with cancers</w:t>
      </w:r>
      <w:r w:rsidR="001762F5" w:rsidRPr="00C43975">
        <w:rPr>
          <w:rFonts w:ascii="Arial" w:hAnsi="Arial" w:cs="Arial"/>
          <w:color w:val="1C1D1E"/>
          <w:shd w:val="clear" w:color="auto" w:fill="FFFFFF"/>
        </w:rPr>
        <w:t xml:space="preserve">. </w:t>
      </w:r>
      <w:r w:rsidR="0035433C" w:rsidRPr="00C43975">
        <w:rPr>
          <w:rFonts w:ascii="Arial" w:hAnsi="Arial" w:cs="Arial"/>
          <w:color w:val="1C1D1E"/>
          <w:shd w:val="clear" w:color="auto" w:fill="FFFFFF"/>
        </w:rPr>
        <w:t>T</w:t>
      </w:r>
      <w:r w:rsidR="001762F5" w:rsidRPr="00C43975">
        <w:rPr>
          <w:rFonts w:ascii="Arial" w:hAnsi="Arial" w:cs="Arial"/>
          <w:color w:val="1C1D1E"/>
          <w:shd w:val="clear" w:color="auto" w:fill="FFFFFF"/>
        </w:rPr>
        <w:t xml:space="preserve">he inability to </w:t>
      </w:r>
      <w:r w:rsidR="0035433C" w:rsidRPr="00C43975">
        <w:rPr>
          <w:rFonts w:ascii="Arial" w:hAnsi="Arial" w:cs="Arial"/>
          <w:color w:val="1C1D1E"/>
          <w:shd w:val="clear" w:color="auto" w:fill="FFFFFF"/>
        </w:rPr>
        <w:t xml:space="preserve">offer </w:t>
      </w:r>
      <w:r w:rsidR="00FA2A64" w:rsidRPr="00C43975">
        <w:rPr>
          <w:rFonts w:ascii="Arial" w:hAnsi="Arial" w:cs="Arial"/>
          <w:color w:val="1C1D1E"/>
          <w:shd w:val="clear" w:color="auto" w:fill="FFFFFF"/>
        </w:rPr>
        <w:t>adequate</w:t>
      </w:r>
      <w:r w:rsidR="00B665CA" w:rsidRPr="00C43975">
        <w:rPr>
          <w:rFonts w:ascii="Arial" w:hAnsi="Arial" w:cs="Arial"/>
          <w:color w:val="1C1D1E"/>
          <w:shd w:val="clear" w:color="auto" w:fill="FFFFFF"/>
        </w:rPr>
        <w:t xml:space="preserve"> antifungal </w:t>
      </w:r>
      <w:r w:rsidR="0035433C" w:rsidRPr="00C43975">
        <w:rPr>
          <w:rFonts w:ascii="Arial" w:hAnsi="Arial" w:cs="Arial"/>
          <w:color w:val="1C1D1E"/>
          <w:shd w:val="clear" w:color="auto" w:fill="FFFFFF"/>
        </w:rPr>
        <w:t xml:space="preserve">prophylaxis </w:t>
      </w:r>
      <w:r w:rsidR="00B665CA" w:rsidRPr="00C43975">
        <w:rPr>
          <w:rFonts w:ascii="Arial" w:hAnsi="Arial" w:cs="Arial"/>
          <w:color w:val="1C1D1E"/>
          <w:shd w:val="clear" w:color="auto" w:fill="FFFFFF"/>
        </w:rPr>
        <w:t>and/</w:t>
      </w:r>
      <w:r w:rsidR="0035433C" w:rsidRPr="00C43975">
        <w:rPr>
          <w:rFonts w:ascii="Arial" w:hAnsi="Arial" w:cs="Arial"/>
          <w:color w:val="1C1D1E"/>
          <w:shd w:val="clear" w:color="auto" w:fill="FFFFFF"/>
        </w:rPr>
        <w:t xml:space="preserve">or to </w:t>
      </w:r>
      <w:r w:rsidR="001762F5" w:rsidRPr="00C43975">
        <w:rPr>
          <w:rFonts w:ascii="Arial" w:hAnsi="Arial" w:cs="Arial"/>
          <w:color w:val="1C1D1E"/>
          <w:shd w:val="clear" w:color="auto" w:fill="FFFFFF"/>
        </w:rPr>
        <w:t xml:space="preserve">treat IFD in the most optimal manner, </w:t>
      </w:r>
      <w:r w:rsidR="00B665CA" w:rsidRPr="00C43975">
        <w:rPr>
          <w:rFonts w:ascii="Arial" w:hAnsi="Arial" w:cs="Arial"/>
          <w:color w:val="1C1D1E"/>
          <w:shd w:val="clear" w:color="auto" w:fill="FFFFFF"/>
        </w:rPr>
        <w:t xml:space="preserve">is expected to contribute to the poor </w:t>
      </w:r>
      <w:r w:rsidR="001762F5" w:rsidRPr="00C43975">
        <w:rPr>
          <w:rFonts w:ascii="Arial" w:hAnsi="Arial" w:cs="Arial"/>
          <w:color w:val="1C1D1E"/>
          <w:shd w:val="clear" w:color="auto" w:fill="FFFFFF"/>
        </w:rPr>
        <w:t xml:space="preserve">outcome of </w:t>
      </w:r>
      <w:r w:rsidR="001879B3" w:rsidRPr="00C43975">
        <w:rPr>
          <w:rFonts w:ascii="Arial" w:hAnsi="Arial" w:cs="Arial"/>
          <w:color w:val="1C1D1E"/>
          <w:shd w:val="clear" w:color="auto" w:fill="FFFFFF"/>
        </w:rPr>
        <w:t>th</w:t>
      </w:r>
      <w:r w:rsidR="00865144" w:rsidRPr="00C43975">
        <w:rPr>
          <w:rFonts w:ascii="Arial" w:hAnsi="Arial" w:cs="Arial"/>
          <w:color w:val="1C1D1E"/>
          <w:shd w:val="clear" w:color="auto" w:fill="FFFFFF"/>
        </w:rPr>
        <w:t>ese</w:t>
      </w:r>
      <w:r w:rsidR="001879B3" w:rsidRPr="00C43975">
        <w:rPr>
          <w:rFonts w:ascii="Arial" w:hAnsi="Arial" w:cs="Arial"/>
          <w:color w:val="1C1D1E"/>
          <w:shd w:val="clear" w:color="auto" w:fill="FFFFFF"/>
        </w:rPr>
        <w:t xml:space="preserve"> patients</w:t>
      </w:r>
      <w:r w:rsidR="001762F5" w:rsidRPr="00C43975">
        <w:rPr>
          <w:rFonts w:ascii="Arial" w:hAnsi="Arial" w:cs="Arial"/>
          <w:color w:val="1C1D1E"/>
          <w:shd w:val="clear" w:color="auto" w:fill="FFFFFF"/>
        </w:rPr>
        <w:t xml:space="preserve"> in LMIC </w:t>
      </w:r>
      <w:r w:rsidR="004F6FA0" w:rsidRPr="00C43975">
        <w:rPr>
          <w:rFonts w:ascii="Arial" w:eastAsiaTheme="minorHAnsi" w:hAnsi="Arial" w:cs="Arial"/>
          <w:lang w:val="en-US"/>
        </w:rPr>
        <w:fldChar w:fldCharType="begin" w:fldLock="1"/>
      </w:r>
      <w:r w:rsidR="00FA2A64" w:rsidRPr="00C43975">
        <w:rPr>
          <w:rFonts w:ascii="Arial" w:eastAsiaTheme="minorHAnsi" w:hAnsi="Arial" w:cs="Arial"/>
          <w:lang w:val="en-US"/>
        </w:rPr>
        <w:instrText>ADDIN CSL_CITATION {"citationItems":[{"id":"ITEM-1","itemData":{"DOI":"10.1097/MOP.0b013e32835c1cbe","ISSN":"10408703","PMID":"23295716","abstract":"PURPOSE OF REVIEW: Reduction of child mortality is one of the Millennium Development Goals; as low-income and middle-income countries (LMICs) advance toward the achievement of this goal, initiatives aimed at reducing the burden of noncommunicable diseases, including childhood cancer, need to be developed. RECENT FINDINGS: Approximately 200â€Š000 children and adolescents are diagnosed with cancer every year worldwide; of those, 80% live in LMICs, which account for 90% of the deaths. Lack of quality population-based cancer registries in LMICs limits our knowledge of the epidemiology of pediatric cancer; however, available information showing variations in incidence may indicate unique interactions between environmental and genetic factors that could provide clues to cause. Outcome of children with cancer in LMICs is dictated by late presentation and underdiagnosis, high abandonment rates, high prevalence of malnutrition and other comorbidities, suboptimal supportive and palliative care, and limited access to curative therapies. Initiatives integrating program building with education of healthcare providers and research have proven to be successful in the development of regional capacity. Intensity-graduated treatments adjusted to the local capacity have been developed. SUMMARY: Childhood cancer burden is shifted toward LMICs; global initiatives directed at pediatric cancer care and control are urgently needed. International partnerships facilitating stepwise processes that build capacity while incorporating epidemiology and health services research and implementing intensity-graduated treatments have been shown to be effective. © 2013 Wolters Kluwer Health Lippincott Williams &amp; Wilkins.","author":[{"dropping-particle":"","family":"Rodriguez-Galindo","given":"Carlos","non-dropping-particle":"","parse-names":false,"suffix":""},{"dropping-particle":"","family":"Friedrich","given":"Paola","non-dropping-particle":"","parse-names":false,"suffix":""},{"dropping-particle":"","family":"Morrissey","given":"Lisa","non-dropping-particle":"","parse-names":false,"suffix":""},{"dropping-particle":"","family":"Frazier","given":"Lindsay","non-dropping-particle":"","parse-names":false,"suffix":""}],"container-title":"Current Opinion in Pediatrics","id":"ITEM-1","issue":"1","issued":{"date-parts":[["2013"]]},"page":"3-15","title":"Global challenges in pediatric oncology","type":"article-journal","volume":"25"},"uris":["http://www.mendeley.com/documents/?uuid=f559e0f1-3fb7-45a7-b2b0-c6734445b31b"]},{"id":"ITEM-2","itemData":{"DOI":"10.1002/pbc","author":[{"dropping-particle":"","family":"Arora","given":"Ramandeep Singh","non-dropping-particle":"","parse-names":false,"suffix":""},{"dropping-particle":"","family":"Challinor","given":"Julia M.","non-dropping-particle":"","parse-names":false,"suffix":""},{"dropping-particle":"","family":"Howard","given":"Scott C.","non-dropping-particle":"","parse-names":false,"suffix":""},{"dropping-particle":"","family":"Israels","given":"Trijn","non-dropping-particle":"","parse-names":false,"suffix":""}],"container-title":"Pediatric Blood and Cancer","id":"ITEM-2","issued":{"date-parts":[["2016"]]},"page":"387-391","title":"Improving Care for Children With Cancer in Low- and Middle-Income Countries - A SIOP PODC Initiative","type":"article-journal","volume":"63"},"uris":["http://www.mendeley.com/documents/?uuid=8a0f5fe1-d38f-4018-abb9-14bad5a3b085"]},{"id":"ITEM-3","itemData":{"DOI":"10.1016/S1470-2045(20)30022-X","ISSN":"1474-5488","PMID":"32240612","abstract":"We estimate that there will be 13·7 million new cases of childhood cancer globally between 2020 and 2050. At current levels of health system performance (including access and referral), 6·1 million (44·9%) of these children will be undiagnosed. Between 2020 and 2050, 11·1 million children will die from cancer if no additional investments are made to improve access to health-care services or childhood cancer treatment. Of this total, 9·3 million children (84·1%) will be in low-income and lower-middle-income countries. This burden could be vastly reduced with new funding to scale up cost-effective interventions. Simultaneous comprehensive scale-up of interventions could avert 6·2 million deaths in children with cancer in this period, more than half (56·1%) of the total number of deaths otherwise projected. Taking excess mortality risk into consideration, this reduction in the number of deaths is projected to produce a gain of 318 million life-years. In addition, the global lifetime productivity gains of US$2580 billion in 2020-50 would be four times greater than the cumulative treatment costs of $594 billion, producing a net benefit of $1986 billion on the global investment: a net return of $3 for every $1 invested. In sum, the burden of childhood cancer, which has been grossly underestimated in the past, can be effectively diminished to realise massive health and economic benefits and to avert millions of needless deaths.","author":[{"dropping-particle":"","family":"Atun","given":"Rifat","non-dropping-particle":"","parse-names":false,"suffix":""},{"dropping-particle":"","family":"Bhakta","given":"Nickhill","non-dropping-particle":"","parse-names":false,"suffix":""},{"dropping-particle":"","family":"Denburg","given":"Avram","non-dropping-particle":"","parse-names":false,"suffix":""},{"dropping-particle":"","family":"Frazier","given":"A Lindsay","non-dropping-particle":"","parse-names":false,"suffix":""},{"dropping-particle":"","family":"Friedrich","given":"Paola","non-dropping-particle":"","parse-names":false,"suffix":""},{"dropping-particle":"","family":"Gupta","given":"Sumit","non-dropping-particle":"","parse-names":false,"suffix":""},{"dropping-particle":"","family":"Lam","given":"Catherine G","non-dropping-particle":"","parse-names":false,"suffix":""},{"dropping-particle":"","family":"Ward","given":"Zachary J","non-dropping-particle":"","parse-names":false,"suffix":""},{"dropping-particle":"","family":"Yeh","given":"Jennifer M","non-dropping-particle":"","parse-names":false,"suffix":""},{"dropping-particle":"","family":"Allemani","given":"Claudia","non-dropping-particle":"","parse-names":false,"suffix":""},{"dropping-particle":"","family":"Coleman","given":"Michel P","non-dropping-particle":"","parse-names":false,"suffix":""},{"dropping-particle":"","family":"Carlo","given":"Veronica","non-dropping-particle":"Di","parse-names":false,"suffix":""},{"dropping-particle":"","family":"Loucaides","given":"Eva","non-dropping-particle":"","parse-names":false,"suffix":""},{"dropping-particle":"","family":"Fitchett","given":"Elizabeth","non-dropping-particle":"","parse-names":false,"suffix":""},{"dropping-particle":"","family":"Girardi","given":"Fabio","non-dropping-particle":"","parse-names":false,"suffix":""},{"dropping-particle":"","family":"Horton","given":"Susan E","non-dropping-particle":"","parse-names":false,"suffix":""},{"dropping-particle":"","family":"Bray","given":"Freddie","non-dropping-particle":"","parse-names":false,"suffix":""},{"dropping-particle":"","family":"Steliarova-Foucher","given":"Eva","non-dropping-particle":"","parse-names":false,"suffix":""},{"dropping-particle":"","family":"Sullivan","given":"Richard","non-dropping-particle":"","parse-names":false,"suffix":""},{"dropping-particle":"","family":"Aitken","given":"Joanne F","non-dropping-particle":"","parse-names":false,"suffix":""},{"dropping-particle":"","family":"Banavali","given":"Shripad","non-dropping-particle":"","parse-names":false,"suffix":""},{"dropping-particle":"","family":"Binagwaho","given":"Agnes","non-dropping-particle":"","parse-names":false,"suffix":""},{"dropping-particle":"","family":"Alcasabas","given":"Patricia","non-dropping-particle":"","parse-names":false,"suffix":""},{"dropping-particle":"","family":"Antillon","given":"Federico","non-dropping-particle":"","parse-names":false,"suffix":""},{"dropping-particle":"","family":"Arora","given":"Ramandeep S","non-dropping-particle":"","parse-names":false,"suffix":""},{"dropping-particle":"","family":"Barr","given":"Ronald D","non-dropping-particle":"","parse-names":false,"suffix":""},{"dropping-particle":"","family":"Bouffet","given":"Eric","non-dropping-particle":"","parse-names":false,"suffix":""},{"dropping-particle":"","family":"Challinor","given":"Julia","non-dropping-particle":"","parse-names":false,"suffix":""},{"dropping-particle":"","family":"Fuentes-Alabi","given":"Soad","non-dropping-particle":"","parse-names":false,"suffix":""},{"dropping-particle":"","family":"Gross","given":"Thomas","non-dropping-particle":"","parse-names":false,"suffix":""},{"dropping-particle":"","family":"Hagander","given":"Lars","non-dropping-particle":"","parse-names":false,"suffix":""},{"dropping-particle":"","family":"Hoffman","given":"Ruth I","non-dropping-particle":"","parse-names":false,"suffix":""},{"dropping-particle":"","family":"Herrera","given":"Cristian","non-dropping-particle":"","parse-names":false,"suffix":""},{"dropping-particle":"","family":"Kutluk","given":"Tezer","non-dropping-particle":"","parse-names":false,"suffix":""},{"dropping-particle":"","family":"Marcus","given":"Karen J","non-dropping-particle":"","parse-names":false,"suffix":""},{"dropping-particle":"","family":"Moreira","given":"Claude","non-dropping-particle":"","parse-names":false,"suffix":""},{"dropping-particle":"","family":"Pritchard-Jones","given":"Kathy","non-dropping-particle":"","parse-names":false,"suffix":""},{"dropping-particle":"","family":"Ramirez","given":"Oscar","non-dropping-particle":"","parse-names":false,"suffix":""},{"dropping-particle":"","family":"Renner","given":"Lorna","non-dropping-particle":"","parse-names":false,"suffix":""},{"dropping-particle":"","family":"Robison","given":"Leslie L","non-dropping-particle":"","parse-names":false,"suffix":""},{"dropping-particle":"","family":"Shalkow","given":"Jaime","non-dropping-particle":"","parse-names":false,"suffix":""},{"dropping-particle":"","family":"Sung","given":"Lillian","non-dropping-particle":"","parse-names":false,"suffix":""},{"dropping-particle":"","family":"Yeoh","given":"Allen","non-dropping-particle":"","parse-names":false,"suffix":""},{"dropping-particle":"","family":"Rodriguez-Galindo","given":"Carlos","non-dropping-particle":"","parse-names":false,"suffix":""}],"container-title":"The Lancet. Oncology","id":"ITEM-3","issue":"4","issued":{"date-parts":[["2020","4","1"]]},"page":"e185-e224","publisher":"Elsevier","title":"Sustainable care for children with cancer: a Lancet Oncology Commission.","type":"article-journal","volume":"21"},"uris":["http://www.mendeley.com/documents/?uuid=ca444fe1-8242-3d15-a9f1-87ccb8ef8175"]}],"mendeley":{"formattedCitation":"&lt;sup&gt;&lt;sup&gt;18&lt;/sup&gt;–&lt;sup&gt;20&lt;/sup&gt;&lt;/sup&gt;","plainTextFormattedCitation":"18–20","previouslyFormattedCitation":"&lt;sup&gt;&lt;sup&gt;18&lt;/sup&gt;–&lt;sup&gt;20&lt;/sup&gt;&lt;/sup&gt;"},"properties":{"noteIndex":0},"schema":"https://github.com/citation-style-language/schema/raw/master/csl-citation.json"}</w:instrText>
      </w:r>
      <w:r w:rsidR="004F6FA0" w:rsidRPr="00C43975">
        <w:rPr>
          <w:rFonts w:ascii="Arial" w:eastAsiaTheme="minorHAnsi" w:hAnsi="Arial" w:cs="Arial"/>
          <w:lang w:val="en-US"/>
        </w:rPr>
        <w:fldChar w:fldCharType="separate"/>
      </w:r>
      <w:r w:rsidR="00E51D07" w:rsidRPr="00C43975">
        <w:rPr>
          <w:rFonts w:ascii="Arial" w:eastAsiaTheme="minorHAnsi" w:hAnsi="Arial" w:cs="Arial"/>
          <w:noProof/>
          <w:vertAlign w:val="superscript"/>
          <w:lang w:val="en-US"/>
        </w:rPr>
        <w:t>18–20</w:t>
      </w:r>
      <w:r w:rsidR="004F6FA0" w:rsidRPr="00C43975">
        <w:rPr>
          <w:rFonts w:ascii="Arial" w:eastAsiaTheme="minorHAnsi" w:hAnsi="Arial" w:cs="Arial"/>
          <w:lang w:val="en-US"/>
        </w:rPr>
        <w:fldChar w:fldCharType="end"/>
      </w:r>
      <w:r w:rsidR="00C05A67" w:rsidRPr="00C43975">
        <w:rPr>
          <w:rFonts w:ascii="Arial" w:eastAsiaTheme="minorHAnsi" w:hAnsi="Arial" w:cs="Arial"/>
          <w:lang w:val="en-US"/>
        </w:rPr>
        <w:t xml:space="preserve">. </w:t>
      </w:r>
    </w:p>
    <w:p w14:paraId="461E4F0F" w14:textId="1864995E" w:rsidR="00C05A67" w:rsidRPr="00C43975" w:rsidRDefault="00C05A67" w:rsidP="00C43975">
      <w:pPr>
        <w:autoSpaceDE w:val="0"/>
        <w:autoSpaceDN w:val="0"/>
        <w:adjustRightInd w:val="0"/>
        <w:spacing w:line="480" w:lineRule="auto"/>
        <w:rPr>
          <w:rFonts w:ascii="Arial" w:hAnsi="Arial" w:cs="Arial"/>
          <w:color w:val="000000" w:themeColor="text1"/>
        </w:rPr>
      </w:pPr>
      <w:r w:rsidRPr="00C43975">
        <w:rPr>
          <w:rFonts w:ascii="Arial" w:hAnsi="Arial" w:cs="Arial"/>
          <w:lang w:val="en-US"/>
        </w:rPr>
        <w:t xml:space="preserve"> </w:t>
      </w:r>
    </w:p>
    <w:p w14:paraId="6F296D88" w14:textId="3D69A7D2" w:rsidR="00C579E5" w:rsidRPr="00C43975" w:rsidRDefault="00FF7229" w:rsidP="00C43975">
      <w:pPr>
        <w:pStyle w:val="NormalWeb"/>
        <w:spacing w:line="480" w:lineRule="auto"/>
        <w:rPr>
          <w:rFonts w:ascii="Arial" w:eastAsiaTheme="minorHAnsi" w:hAnsi="Arial" w:cs="Arial"/>
          <w:lang w:val="en-US"/>
        </w:rPr>
      </w:pPr>
      <w:r w:rsidRPr="00C43975">
        <w:rPr>
          <w:rFonts w:ascii="Arial" w:hAnsi="Arial" w:cs="Arial"/>
        </w:rPr>
        <w:t xml:space="preserve">There were </w:t>
      </w:r>
      <w:r w:rsidR="003F4549" w:rsidRPr="00C43975">
        <w:rPr>
          <w:rFonts w:ascii="Arial" w:hAnsi="Arial" w:cs="Arial"/>
        </w:rPr>
        <w:t>significant</w:t>
      </w:r>
      <w:r w:rsidR="0080308E" w:rsidRPr="00C43975">
        <w:rPr>
          <w:rFonts w:ascii="Arial" w:hAnsi="Arial" w:cs="Arial"/>
        </w:rPr>
        <w:t xml:space="preserve"> differences</w:t>
      </w:r>
      <w:r w:rsidRPr="00C43975">
        <w:rPr>
          <w:rFonts w:ascii="Arial" w:hAnsi="Arial" w:cs="Arial"/>
        </w:rPr>
        <w:t xml:space="preserve"> </w:t>
      </w:r>
      <w:r w:rsidR="00865144" w:rsidRPr="00C43975">
        <w:rPr>
          <w:rFonts w:ascii="Arial" w:hAnsi="Arial" w:cs="Arial"/>
        </w:rPr>
        <w:t>in the</w:t>
      </w:r>
      <w:r w:rsidRPr="00C43975">
        <w:rPr>
          <w:rFonts w:ascii="Arial" w:hAnsi="Arial" w:cs="Arial"/>
        </w:rPr>
        <w:t xml:space="preserve"> type of antifungal agent</w:t>
      </w:r>
      <w:r w:rsidR="00B665CA" w:rsidRPr="00C43975">
        <w:rPr>
          <w:rFonts w:ascii="Arial" w:hAnsi="Arial" w:cs="Arial"/>
        </w:rPr>
        <w:t xml:space="preserve">s prescribed </w:t>
      </w:r>
      <w:r w:rsidRPr="00C43975">
        <w:rPr>
          <w:rFonts w:ascii="Arial" w:hAnsi="Arial" w:cs="Arial"/>
        </w:rPr>
        <w:t xml:space="preserve">by country income and risk of </w:t>
      </w:r>
      <w:r w:rsidR="00513B0E" w:rsidRPr="00C43975">
        <w:rPr>
          <w:rFonts w:ascii="Arial" w:hAnsi="Arial" w:cs="Arial"/>
        </w:rPr>
        <w:t xml:space="preserve">IFD </w:t>
      </w:r>
      <w:r w:rsidRPr="00C43975">
        <w:rPr>
          <w:rFonts w:ascii="Arial" w:hAnsi="Arial" w:cs="Arial"/>
        </w:rPr>
        <w:t>in our study population</w:t>
      </w:r>
      <w:r w:rsidR="0080308E" w:rsidRPr="00C43975">
        <w:rPr>
          <w:rFonts w:ascii="Arial" w:hAnsi="Arial" w:cs="Arial"/>
        </w:rPr>
        <w:t>.</w:t>
      </w:r>
      <w:r w:rsidR="00E20B3A" w:rsidRPr="00C43975">
        <w:rPr>
          <w:rFonts w:ascii="Arial" w:hAnsi="Arial" w:cs="Arial"/>
        </w:rPr>
        <w:t xml:space="preserve"> Fluconazole </w:t>
      </w:r>
      <w:r w:rsidR="00E3354D" w:rsidRPr="00C43975">
        <w:rPr>
          <w:rFonts w:ascii="Arial" w:hAnsi="Arial" w:cs="Arial"/>
        </w:rPr>
        <w:t xml:space="preserve">was </w:t>
      </w:r>
      <w:r w:rsidR="00444C62" w:rsidRPr="00C43975">
        <w:rPr>
          <w:rFonts w:ascii="Arial" w:hAnsi="Arial" w:cs="Arial"/>
        </w:rPr>
        <w:t>the</w:t>
      </w:r>
      <w:r w:rsidR="00E20B3A" w:rsidRPr="00C43975">
        <w:rPr>
          <w:rFonts w:ascii="Arial" w:hAnsi="Arial" w:cs="Arial"/>
        </w:rPr>
        <w:t xml:space="preserve"> </w:t>
      </w:r>
      <w:r w:rsidR="0064569F" w:rsidRPr="00C43975">
        <w:rPr>
          <w:rFonts w:ascii="Arial" w:hAnsi="Arial" w:cs="Arial"/>
        </w:rPr>
        <w:t>most commonly prescribed drug</w:t>
      </w:r>
      <w:r w:rsidR="00E20B3A" w:rsidRPr="00C43975">
        <w:rPr>
          <w:rFonts w:ascii="Arial" w:hAnsi="Arial" w:cs="Arial"/>
        </w:rPr>
        <w:t xml:space="preserve">, </w:t>
      </w:r>
      <w:r w:rsidR="0064569F" w:rsidRPr="00C43975">
        <w:rPr>
          <w:rFonts w:ascii="Arial" w:hAnsi="Arial" w:cs="Arial"/>
        </w:rPr>
        <w:t>particularly in</w:t>
      </w:r>
      <w:r w:rsidR="00E20B3A" w:rsidRPr="00C43975">
        <w:rPr>
          <w:rFonts w:ascii="Arial" w:hAnsi="Arial" w:cs="Arial"/>
        </w:rPr>
        <w:t xml:space="preserve"> LMIC</w:t>
      </w:r>
      <w:r w:rsidR="0064569F" w:rsidRPr="00C43975">
        <w:rPr>
          <w:rFonts w:ascii="Arial" w:hAnsi="Arial" w:cs="Arial"/>
        </w:rPr>
        <w:t xml:space="preserve"> and </w:t>
      </w:r>
      <w:r w:rsidR="00B82151" w:rsidRPr="00C43975">
        <w:rPr>
          <w:rFonts w:ascii="Arial" w:hAnsi="Arial" w:cs="Arial"/>
        </w:rPr>
        <w:t xml:space="preserve">even </w:t>
      </w:r>
      <w:r w:rsidR="00865144" w:rsidRPr="00C43975">
        <w:rPr>
          <w:rFonts w:ascii="Arial" w:hAnsi="Arial" w:cs="Arial"/>
        </w:rPr>
        <w:t>in</w:t>
      </w:r>
      <w:r w:rsidR="00B82151" w:rsidRPr="00C43975">
        <w:rPr>
          <w:rFonts w:ascii="Arial" w:hAnsi="Arial" w:cs="Arial"/>
        </w:rPr>
        <w:t xml:space="preserve"> </w:t>
      </w:r>
      <w:r w:rsidR="00E20B3A" w:rsidRPr="00C43975">
        <w:rPr>
          <w:rFonts w:ascii="Arial" w:hAnsi="Arial" w:cs="Arial"/>
        </w:rPr>
        <w:t>the high</w:t>
      </w:r>
      <w:r w:rsidR="0064569F" w:rsidRPr="00C43975">
        <w:rPr>
          <w:rFonts w:ascii="Arial" w:hAnsi="Arial" w:cs="Arial"/>
        </w:rPr>
        <w:t>-</w:t>
      </w:r>
      <w:r w:rsidR="00E20B3A" w:rsidRPr="00C43975">
        <w:rPr>
          <w:rFonts w:ascii="Arial" w:hAnsi="Arial" w:cs="Arial"/>
        </w:rPr>
        <w:t>risk population</w:t>
      </w:r>
      <w:r w:rsidR="00865144" w:rsidRPr="00C43975">
        <w:rPr>
          <w:rFonts w:ascii="Arial" w:hAnsi="Arial" w:cs="Arial"/>
        </w:rPr>
        <w:t>s</w:t>
      </w:r>
      <w:r w:rsidR="00E20B3A" w:rsidRPr="00C43975">
        <w:rPr>
          <w:rFonts w:ascii="Arial" w:hAnsi="Arial" w:cs="Arial"/>
        </w:rPr>
        <w:t xml:space="preserve"> where </w:t>
      </w:r>
      <w:r w:rsidR="00B82151" w:rsidRPr="00C43975">
        <w:rPr>
          <w:rFonts w:ascii="Arial" w:hAnsi="Arial" w:cs="Arial"/>
        </w:rPr>
        <w:t xml:space="preserve">an </w:t>
      </w:r>
      <w:r w:rsidR="00E20B3A" w:rsidRPr="00C43975">
        <w:rPr>
          <w:rFonts w:ascii="Arial" w:hAnsi="Arial" w:cs="Arial"/>
        </w:rPr>
        <w:t>anti-mould cover might be needed</w:t>
      </w:r>
      <w:r w:rsidR="00876E71" w:rsidRPr="00C43975">
        <w:rPr>
          <w:rFonts w:ascii="Arial" w:hAnsi="Arial" w:cs="Arial"/>
        </w:rPr>
        <w:t xml:space="preserve"> both for prophylaxis and for empirical treatment</w:t>
      </w:r>
      <w:r w:rsidR="00E20B3A" w:rsidRPr="00C43975">
        <w:rPr>
          <w:rFonts w:ascii="Arial" w:hAnsi="Arial" w:cs="Arial"/>
        </w:rPr>
        <w:t xml:space="preserve">. </w:t>
      </w:r>
      <w:r w:rsidR="00E3354D" w:rsidRPr="00C43975">
        <w:rPr>
          <w:rFonts w:ascii="Arial" w:hAnsi="Arial" w:cs="Arial"/>
        </w:rPr>
        <w:t>A</w:t>
      </w:r>
      <w:proofErr w:type="spellStart"/>
      <w:r w:rsidR="00E3354D" w:rsidRPr="00C43975">
        <w:rPr>
          <w:rFonts w:ascii="Arial" w:eastAsiaTheme="minorHAnsi" w:hAnsi="Arial" w:cs="Arial"/>
          <w:lang w:val="en-US"/>
        </w:rPr>
        <w:t>mphotericin</w:t>
      </w:r>
      <w:proofErr w:type="spellEnd"/>
      <w:r w:rsidR="00B665CA" w:rsidRPr="00C43975">
        <w:rPr>
          <w:rFonts w:ascii="Arial" w:eastAsiaTheme="minorHAnsi" w:hAnsi="Arial" w:cs="Arial"/>
          <w:lang w:val="en-US"/>
        </w:rPr>
        <w:t xml:space="preserve"> B</w:t>
      </w:r>
      <w:r w:rsidR="00E3354D" w:rsidRPr="00C43975">
        <w:rPr>
          <w:rFonts w:ascii="Arial" w:eastAsiaTheme="minorHAnsi" w:hAnsi="Arial" w:cs="Arial"/>
          <w:lang w:val="en-US"/>
        </w:rPr>
        <w:t xml:space="preserve"> was the second most commonly used antifungal drug, with almost twice as much use in HIC compared to LMIC. </w:t>
      </w:r>
      <w:proofErr w:type="spellStart"/>
      <w:r w:rsidR="007D2BC6" w:rsidRPr="00C43975">
        <w:rPr>
          <w:rFonts w:ascii="Arial" w:eastAsiaTheme="minorHAnsi" w:hAnsi="Arial" w:cs="Arial"/>
          <w:lang w:val="en-US"/>
        </w:rPr>
        <w:t>Echinocandines</w:t>
      </w:r>
      <w:proofErr w:type="spellEnd"/>
      <w:r w:rsidR="007D2BC6" w:rsidRPr="00C43975">
        <w:rPr>
          <w:rFonts w:ascii="Arial" w:eastAsiaTheme="minorHAnsi" w:hAnsi="Arial" w:cs="Arial"/>
          <w:lang w:val="en-US"/>
        </w:rPr>
        <w:t xml:space="preserve"> were prescribed in 12% of all the cases</w:t>
      </w:r>
      <w:r w:rsidR="00035167">
        <w:rPr>
          <w:rFonts w:ascii="Arial" w:eastAsiaTheme="minorHAnsi" w:hAnsi="Arial" w:cs="Arial"/>
          <w:lang w:val="en-US"/>
        </w:rPr>
        <w:t xml:space="preserve">, </w:t>
      </w:r>
      <w:r w:rsidR="00865144" w:rsidRPr="00C43975">
        <w:rPr>
          <w:rFonts w:ascii="Arial" w:eastAsiaTheme="minorHAnsi" w:hAnsi="Arial" w:cs="Arial"/>
          <w:lang w:val="en-US"/>
        </w:rPr>
        <w:t xml:space="preserve"> with a similar high use in HIC settings</w:t>
      </w:r>
      <w:r w:rsidR="007D2BC6" w:rsidRPr="00C43975">
        <w:rPr>
          <w:rFonts w:ascii="Arial" w:eastAsiaTheme="minorHAnsi" w:hAnsi="Arial" w:cs="Arial"/>
          <w:lang w:val="en-US"/>
        </w:rPr>
        <w:t xml:space="preserve">. </w:t>
      </w:r>
      <w:r w:rsidR="007D2BC6" w:rsidRPr="00C43975">
        <w:rPr>
          <w:rFonts w:ascii="Arial" w:hAnsi="Arial" w:cs="Arial"/>
        </w:rPr>
        <w:t>V</w:t>
      </w:r>
      <w:proofErr w:type="spellStart"/>
      <w:r w:rsidR="007D2BC6" w:rsidRPr="00C43975">
        <w:rPr>
          <w:rFonts w:ascii="Arial" w:eastAsiaTheme="minorHAnsi" w:hAnsi="Arial" w:cs="Arial"/>
          <w:lang w:val="en-US"/>
        </w:rPr>
        <w:t>oriconazole</w:t>
      </w:r>
      <w:proofErr w:type="spellEnd"/>
      <w:r w:rsidR="007D2BC6" w:rsidRPr="00C43975">
        <w:rPr>
          <w:rFonts w:ascii="Arial" w:eastAsiaTheme="minorHAnsi" w:hAnsi="Arial" w:cs="Arial"/>
          <w:lang w:val="en-US"/>
        </w:rPr>
        <w:t xml:space="preserve"> was the most frequently prescribed </w:t>
      </w:r>
      <w:proofErr w:type="spellStart"/>
      <w:r w:rsidR="007D2BC6" w:rsidRPr="00C43975">
        <w:rPr>
          <w:rFonts w:ascii="Arial" w:eastAsiaTheme="minorHAnsi" w:hAnsi="Arial" w:cs="Arial"/>
          <w:lang w:val="en-US"/>
        </w:rPr>
        <w:t>mould</w:t>
      </w:r>
      <w:proofErr w:type="spellEnd"/>
      <w:r w:rsidR="007D2BC6" w:rsidRPr="00C43975">
        <w:rPr>
          <w:rFonts w:ascii="Arial" w:eastAsiaTheme="minorHAnsi" w:hAnsi="Arial" w:cs="Arial"/>
          <w:lang w:val="en-US"/>
        </w:rPr>
        <w:t xml:space="preserve">-active </w:t>
      </w:r>
      <w:r w:rsidR="00B665CA" w:rsidRPr="00C43975">
        <w:rPr>
          <w:rFonts w:ascii="Arial" w:eastAsiaTheme="minorHAnsi" w:hAnsi="Arial" w:cs="Arial"/>
          <w:lang w:val="en-US"/>
        </w:rPr>
        <w:t xml:space="preserve">azole </w:t>
      </w:r>
      <w:r w:rsidR="007D2BC6" w:rsidRPr="00C43975">
        <w:rPr>
          <w:rFonts w:ascii="Arial" w:eastAsiaTheme="minorHAnsi" w:hAnsi="Arial" w:cs="Arial"/>
          <w:lang w:val="en-US"/>
        </w:rPr>
        <w:t>antifungal</w:t>
      </w:r>
      <w:r w:rsidR="006E4219">
        <w:rPr>
          <w:rFonts w:ascii="Arial" w:eastAsiaTheme="minorHAnsi" w:hAnsi="Arial" w:cs="Arial"/>
          <w:lang w:val="en-US"/>
        </w:rPr>
        <w:t xml:space="preserve">, </w:t>
      </w:r>
      <w:r w:rsidR="007D2BC6" w:rsidRPr="00C43975">
        <w:rPr>
          <w:rFonts w:ascii="Arial" w:eastAsiaTheme="minorHAnsi" w:hAnsi="Arial" w:cs="Arial"/>
          <w:lang w:val="en-US"/>
        </w:rPr>
        <w:t xml:space="preserve">with similar proportion in both groups. </w:t>
      </w:r>
      <w:r w:rsidR="00E3354D" w:rsidRPr="00C43975">
        <w:rPr>
          <w:rFonts w:ascii="Arial" w:hAnsi="Arial" w:cs="Arial"/>
        </w:rPr>
        <w:t xml:space="preserve">Data from </w:t>
      </w:r>
      <w:r w:rsidR="00E3354D" w:rsidRPr="00C43975">
        <w:rPr>
          <w:rFonts w:ascii="Arial" w:eastAsiaTheme="minorHAnsi" w:hAnsi="Arial" w:cs="Arial"/>
          <w:lang w:val="en-US"/>
        </w:rPr>
        <w:t xml:space="preserve">The Global Action Fund for Fungal Infections (GAFFI), showed that fluconazole </w:t>
      </w:r>
      <w:r w:rsidR="00BF7173" w:rsidRPr="00C43975">
        <w:rPr>
          <w:rFonts w:ascii="Arial" w:eastAsiaTheme="minorHAnsi" w:hAnsi="Arial" w:cs="Arial"/>
          <w:lang w:val="en-US"/>
        </w:rPr>
        <w:t xml:space="preserve">was </w:t>
      </w:r>
      <w:r w:rsidR="00E3354D" w:rsidRPr="00C43975">
        <w:rPr>
          <w:rFonts w:ascii="Arial" w:eastAsiaTheme="minorHAnsi" w:hAnsi="Arial" w:cs="Arial"/>
          <w:lang w:val="en-US"/>
        </w:rPr>
        <w:t xml:space="preserve">the antifungal more extensively available globally (all of the 143 countries with data available), but variability in the price of fluconazole </w:t>
      </w:r>
      <w:r w:rsidR="00B665CA" w:rsidRPr="00C43975">
        <w:rPr>
          <w:rFonts w:ascii="Arial" w:eastAsiaTheme="minorHAnsi" w:hAnsi="Arial" w:cs="Arial"/>
          <w:lang w:val="en-US"/>
        </w:rPr>
        <w:t xml:space="preserve">were </w:t>
      </w:r>
      <w:r w:rsidR="00E3354D" w:rsidRPr="00C43975">
        <w:rPr>
          <w:rFonts w:ascii="Arial" w:eastAsiaTheme="minorHAnsi" w:hAnsi="Arial" w:cs="Arial"/>
          <w:lang w:val="en-US"/>
        </w:rPr>
        <w:t>observed between countries</w:t>
      </w:r>
      <w:r w:rsidR="00E3354D" w:rsidRPr="00C43975">
        <w:rPr>
          <w:rFonts w:ascii="Arial" w:eastAsiaTheme="minorHAnsi" w:hAnsi="Arial" w:cs="Arial"/>
          <w:lang w:val="en-US"/>
        </w:rPr>
        <w:fldChar w:fldCharType="begin" w:fldLock="1"/>
      </w:r>
      <w:r w:rsidR="00FA2A64" w:rsidRPr="00C43975">
        <w:rPr>
          <w:rFonts w:ascii="Arial" w:eastAsiaTheme="minorHAnsi" w:hAnsi="Arial" w:cs="Arial"/>
          <w:lang w:val="en-US"/>
        </w:rPr>
        <w:instrText>ADDIN CSL_CITATION {"citationItems":[{"id":"ITEM-1","itemData":{"DOI":"10.1093/jac/dkw325","ISSN":"14602091","abstract":"Background: Antifungal therapy saves lives, if given early in life-threatening invasive infection, and also greatly reduces morbidity in hundreds of millions of patients worldwide. Objectives: We have partially mapped by country systemic generic antifungal drug registration, availability and daily cost for intravenous deoxycholate amphotericin B (50 mg), flucytosine (5 g), oral fluconazole (750-800 mg) and oral itraconazole (400 mg). Methods: Multiple publically available resources and local country contacts provided data for 159 countries with populations.1 million. Results: Amphotericin B is not licensed in and unavailable in 22 of 155 (14.2%) and 42 of 155 (27.1%) countries, respectively, representing an unserved population of 481 million. The daily price of deoxycholate amphotericin B varied from, $1 to $171. Fluconazole was licensed in all 141 (88.6%) countries for which data were available although 2 countries appear wholly dependent on the Diflucanw Partnership Program, which is restricted to HIV/AIDS patients. The daily price of fluconazole varied from, $1 to $31. Itraconazole is not licensed in and unavailable in at least 3 of 123 (2.4%) and 5 of 125 (4.0%) countries, respectively, representing an unserved population of at least 78 million. The daily price of itraconazole varied from, $1 to $102. Flucytosine is not licensed in and is unavailable in 89 of 125 (71.2%) and 95 of 125 (76.0%) countries, respectively, representing an unserved population of 2898 million. The daily price of flucytosine varied from $4.60 to $1409. Conclusions: National governments without access to antifungal drugs should address this health system deficiency urgently to improve clinical outcomes from serious fungal disease. The variability in the price of antifungals between countries is striking.","author":[{"dropping-particle":"","family":"Kneale","given":"Matthew","non-dropping-particle":"","parse-names":false,"suffix":""},{"dropping-particle":"","family":"Bartholomew","given":"Jennifer S.","non-dropping-particle":"","parse-names":false,"suffix":""},{"dropping-particle":"","family":"Davies","given":"Emma","non-dropping-particle":"","parse-names":false,"suffix":""},{"dropping-particle":"","family":"Denning","given":"David W.","non-dropping-particle":"","parse-names":false,"suffix":""}],"container-title":"Journal of Antimicrobial Chemotherapy","id":"ITEM-1","issue":"12","issued":{"date-parts":[["2016"]]},"page":"3599-3606","title":"Global access to antifungal therapy and its variable cost","type":"article-journal","volume":"71"},"uris":["http://www.mendeley.com/documents/?uuid=b8c884c7-bb2c-4025-b0e8-8ba7bf74e1a5"]}],"mendeley":{"formattedCitation":"&lt;sup&gt;&lt;sup&gt;9&lt;/sup&gt;&lt;/sup&gt;","plainTextFormattedCitation":"9","previouslyFormattedCitation":"&lt;sup&gt;&lt;sup&gt;9&lt;/sup&gt;&lt;/sup&gt;"},"properties":{"noteIndex":0},"schema":"https://github.com/citation-style-language/schema/raw/master/csl-citation.json"}</w:instrText>
      </w:r>
      <w:r w:rsidR="00E3354D" w:rsidRPr="00C43975">
        <w:rPr>
          <w:rFonts w:ascii="Arial" w:eastAsiaTheme="minorHAnsi" w:hAnsi="Arial" w:cs="Arial"/>
          <w:lang w:val="en-US"/>
        </w:rPr>
        <w:fldChar w:fldCharType="separate"/>
      </w:r>
      <w:r w:rsidR="00E51D07" w:rsidRPr="00C43975">
        <w:rPr>
          <w:rFonts w:ascii="Arial" w:eastAsiaTheme="minorHAnsi" w:hAnsi="Arial" w:cs="Arial"/>
          <w:noProof/>
          <w:vertAlign w:val="superscript"/>
          <w:lang w:val="en-US"/>
        </w:rPr>
        <w:t>9</w:t>
      </w:r>
      <w:r w:rsidR="00E3354D" w:rsidRPr="00C43975">
        <w:rPr>
          <w:rFonts w:ascii="Arial" w:eastAsiaTheme="minorHAnsi" w:hAnsi="Arial" w:cs="Arial"/>
          <w:lang w:val="en-US"/>
        </w:rPr>
        <w:fldChar w:fldCharType="end"/>
      </w:r>
      <w:r w:rsidR="00E3354D" w:rsidRPr="00C43975">
        <w:rPr>
          <w:rFonts w:ascii="Arial" w:eastAsiaTheme="minorHAnsi" w:hAnsi="Arial" w:cs="Arial"/>
          <w:lang w:val="en-US"/>
        </w:rPr>
        <w:t>.</w:t>
      </w:r>
      <w:r w:rsidR="00E3354D" w:rsidRPr="00C43975">
        <w:rPr>
          <w:rFonts w:ascii="Arial" w:hAnsi="Arial" w:cs="Arial"/>
        </w:rPr>
        <w:t xml:space="preserve"> </w:t>
      </w:r>
      <w:r w:rsidR="007D2BC6" w:rsidRPr="00C43975">
        <w:rPr>
          <w:rFonts w:ascii="Arial" w:eastAsiaTheme="minorHAnsi" w:hAnsi="Arial" w:cs="Arial"/>
          <w:lang w:val="en-US"/>
        </w:rPr>
        <w:t>This</w:t>
      </w:r>
      <w:r w:rsidR="00E3354D" w:rsidRPr="00C43975">
        <w:rPr>
          <w:rFonts w:ascii="Arial" w:eastAsiaTheme="minorHAnsi" w:hAnsi="Arial" w:cs="Arial"/>
          <w:lang w:val="en-US"/>
        </w:rPr>
        <w:t xml:space="preserve"> report</w:t>
      </w:r>
      <w:r w:rsidR="00911DD7" w:rsidRPr="00C43975">
        <w:rPr>
          <w:rFonts w:ascii="Arial" w:eastAsiaTheme="minorHAnsi" w:hAnsi="Arial" w:cs="Arial"/>
          <w:lang w:val="en-US"/>
        </w:rPr>
        <w:t xml:space="preserve"> also</w:t>
      </w:r>
      <w:r w:rsidR="00E3354D" w:rsidRPr="00C43975">
        <w:rPr>
          <w:rFonts w:ascii="Arial" w:eastAsiaTheme="minorHAnsi" w:hAnsi="Arial" w:cs="Arial"/>
          <w:lang w:val="en-US"/>
        </w:rPr>
        <w:t xml:space="preserve"> </w:t>
      </w:r>
      <w:r w:rsidR="003F02C4" w:rsidRPr="00C43975">
        <w:rPr>
          <w:rFonts w:ascii="Arial" w:eastAsiaTheme="minorHAnsi" w:hAnsi="Arial" w:cs="Arial"/>
          <w:lang w:val="en-US"/>
        </w:rPr>
        <w:t>showed</w:t>
      </w:r>
      <w:r w:rsidR="00E3354D" w:rsidRPr="00C43975">
        <w:rPr>
          <w:rFonts w:ascii="Arial" w:eastAsiaTheme="minorHAnsi" w:hAnsi="Arial" w:cs="Arial"/>
          <w:lang w:val="en-US"/>
        </w:rPr>
        <w:t xml:space="preserve"> that 27% of the</w:t>
      </w:r>
      <w:r w:rsidR="00911DD7" w:rsidRPr="00C43975">
        <w:rPr>
          <w:rFonts w:ascii="Arial" w:eastAsiaTheme="minorHAnsi" w:hAnsi="Arial" w:cs="Arial"/>
          <w:lang w:val="en-US"/>
        </w:rPr>
        <w:t xml:space="preserve"> countries</w:t>
      </w:r>
      <w:r w:rsidR="00E3354D" w:rsidRPr="00C43975">
        <w:rPr>
          <w:rFonts w:ascii="Arial" w:eastAsiaTheme="minorHAnsi" w:hAnsi="Arial" w:cs="Arial"/>
          <w:lang w:val="en-US"/>
        </w:rPr>
        <w:t xml:space="preserve"> surveyed (42/155), had no supply of amphotericin</w:t>
      </w:r>
      <w:r w:rsidR="00B665CA" w:rsidRPr="00C43975">
        <w:rPr>
          <w:rFonts w:ascii="Arial" w:eastAsiaTheme="minorHAnsi" w:hAnsi="Arial" w:cs="Arial"/>
          <w:lang w:val="en-US"/>
        </w:rPr>
        <w:t xml:space="preserve"> B</w:t>
      </w:r>
      <w:r w:rsidR="00E3354D" w:rsidRPr="00C43975">
        <w:rPr>
          <w:rFonts w:ascii="Arial" w:eastAsiaTheme="minorHAnsi" w:hAnsi="Arial" w:cs="Arial"/>
          <w:lang w:val="en-US"/>
        </w:rPr>
        <w:fldChar w:fldCharType="begin" w:fldLock="1"/>
      </w:r>
      <w:r w:rsidR="00FA2A64" w:rsidRPr="00C43975">
        <w:rPr>
          <w:rFonts w:ascii="Arial" w:eastAsiaTheme="minorHAnsi" w:hAnsi="Arial" w:cs="Arial"/>
          <w:lang w:val="en-US"/>
        </w:rPr>
        <w:instrText>ADDIN CSL_CITATION {"citationItems":[{"id":"ITEM-1","itemData":{"DOI":"10.1093/jac/dkw325","ISSN":"14602091","abstract":"Background: Antifungal therapy saves lives, if given early in life-threatening invasive infection, and also greatly reduces morbidity in hundreds of millions of patients worldwide. Objectives: We have partially mapped by country systemic generic antifungal drug registration, availability and daily cost for intravenous deoxycholate amphotericin B (50 mg), flucytosine (5 g), oral fluconazole (750-800 mg) and oral itraconazole (400 mg). Methods: Multiple publically available resources and local country contacts provided data for 159 countries with populations.1 million. Results: Amphotericin B is not licensed in and unavailable in 22 of 155 (14.2%) and 42 of 155 (27.1%) countries, respectively, representing an unserved population of 481 million. The daily price of deoxycholate amphotericin B varied from, $1 to $171. Fluconazole was licensed in all 141 (88.6%) countries for which data were available although 2 countries appear wholly dependent on the Diflucanw Partnership Program, which is restricted to HIV/AIDS patients. The daily price of fluconazole varied from, $1 to $31. Itraconazole is not licensed in and unavailable in at least 3 of 123 (2.4%) and 5 of 125 (4.0%) countries, respectively, representing an unserved population of at least 78 million. The daily price of itraconazole varied from, $1 to $102. Flucytosine is not licensed in and is unavailable in 89 of 125 (71.2%) and 95 of 125 (76.0%) countries, respectively, representing an unserved population of 2898 million. The daily price of flucytosine varied from $4.60 to $1409. Conclusions: National governments without access to antifungal drugs should address this health system deficiency urgently to improve clinical outcomes from serious fungal disease. The variability in the price of antifungals between countries is striking.","author":[{"dropping-particle":"","family":"Kneale","given":"Matthew","non-dropping-particle":"","parse-names":false,"suffix":""},{"dropping-particle":"","family":"Bartholomew","given":"Jennifer S.","non-dropping-particle":"","parse-names":false,"suffix":""},{"dropping-particle":"","family":"Davies","given":"Emma","non-dropping-particle":"","parse-names":false,"suffix":""},{"dropping-particle":"","family":"Denning","given":"David W.","non-dropping-particle":"","parse-names":false,"suffix":""}],"container-title":"Journal of Antimicrobial Chemotherapy","id":"ITEM-1","issue":"12","issued":{"date-parts":[["2016"]]},"page":"3599-3606","title":"Global access to antifungal therapy and its variable cost","type":"article-journal","volume":"71"},"uris":["http://www.mendeley.com/documents/?uuid=b8c884c7-bb2c-4025-b0e8-8ba7bf74e1a5"]}],"mendeley":{"formattedCitation":"&lt;sup&gt;&lt;sup&gt;9&lt;/sup&gt;&lt;/sup&gt;","plainTextFormattedCitation":"9","previouslyFormattedCitation":"&lt;sup&gt;&lt;sup&gt;9&lt;/sup&gt;&lt;/sup&gt;"},"properties":{"noteIndex":0},"schema":"https://github.com/citation-style-language/schema/raw/master/csl-citation.json"}</w:instrText>
      </w:r>
      <w:r w:rsidR="00E3354D" w:rsidRPr="00C43975">
        <w:rPr>
          <w:rFonts w:ascii="Arial" w:eastAsiaTheme="minorHAnsi" w:hAnsi="Arial" w:cs="Arial"/>
          <w:lang w:val="en-US"/>
        </w:rPr>
        <w:fldChar w:fldCharType="separate"/>
      </w:r>
      <w:r w:rsidR="00E51D07" w:rsidRPr="00C43975">
        <w:rPr>
          <w:rFonts w:ascii="Arial" w:eastAsiaTheme="minorHAnsi" w:hAnsi="Arial" w:cs="Arial"/>
          <w:noProof/>
          <w:vertAlign w:val="superscript"/>
          <w:lang w:val="en-US"/>
        </w:rPr>
        <w:t>9</w:t>
      </w:r>
      <w:r w:rsidR="00E3354D" w:rsidRPr="00C43975">
        <w:rPr>
          <w:rFonts w:ascii="Arial" w:eastAsiaTheme="minorHAnsi" w:hAnsi="Arial" w:cs="Arial"/>
          <w:lang w:val="en-US"/>
        </w:rPr>
        <w:fldChar w:fldCharType="end"/>
      </w:r>
      <w:r w:rsidR="007D2BC6" w:rsidRPr="00C43975">
        <w:rPr>
          <w:rFonts w:ascii="Arial" w:eastAsiaTheme="minorHAnsi" w:hAnsi="Arial" w:cs="Arial"/>
          <w:lang w:val="en-US"/>
        </w:rPr>
        <w:t xml:space="preserve"> and that </w:t>
      </w:r>
      <w:r w:rsidR="007D2BC6" w:rsidRPr="00C43975">
        <w:rPr>
          <w:rFonts w:ascii="Arial" w:eastAsiaTheme="minorHAnsi" w:hAnsi="Arial" w:cs="Arial"/>
          <w:lang w:val="en-US"/>
        </w:rPr>
        <w:lastRenderedPageBreak/>
        <w:t>the access to voriconazole</w:t>
      </w:r>
      <w:r w:rsidR="008B5302" w:rsidRPr="00C43975">
        <w:rPr>
          <w:rFonts w:ascii="Arial" w:eastAsiaTheme="minorHAnsi" w:hAnsi="Arial" w:cs="Arial"/>
          <w:lang w:val="en-US"/>
        </w:rPr>
        <w:t xml:space="preserve"> </w:t>
      </w:r>
      <w:r w:rsidR="007D2BC6" w:rsidRPr="00C43975">
        <w:rPr>
          <w:rFonts w:ascii="Arial" w:eastAsiaTheme="minorHAnsi" w:hAnsi="Arial" w:cs="Arial"/>
          <w:lang w:val="en-US"/>
        </w:rPr>
        <w:t>varie</w:t>
      </w:r>
      <w:r w:rsidR="006E4219">
        <w:rPr>
          <w:rFonts w:ascii="Arial" w:eastAsiaTheme="minorHAnsi" w:hAnsi="Arial" w:cs="Arial"/>
          <w:lang w:val="en-US"/>
        </w:rPr>
        <w:t>d</w:t>
      </w:r>
      <w:r w:rsidR="007D2BC6" w:rsidRPr="00C43975">
        <w:rPr>
          <w:rFonts w:ascii="Arial" w:eastAsiaTheme="minorHAnsi" w:hAnsi="Arial" w:cs="Arial"/>
          <w:lang w:val="en-US"/>
        </w:rPr>
        <w:t xml:space="preserve"> significantly</w:t>
      </w:r>
      <w:r w:rsidR="00865144" w:rsidRPr="00C43975">
        <w:rPr>
          <w:rFonts w:ascii="Arial" w:eastAsiaTheme="minorHAnsi" w:hAnsi="Arial" w:cs="Arial"/>
          <w:lang w:val="en-US"/>
        </w:rPr>
        <w:t xml:space="preserve"> between</w:t>
      </w:r>
      <w:r w:rsidR="008B5302" w:rsidRPr="00C43975">
        <w:rPr>
          <w:rFonts w:ascii="Arial" w:eastAsiaTheme="minorHAnsi" w:hAnsi="Arial" w:cs="Arial"/>
          <w:lang w:val="en-US"/>
        </w:rPr>
        <w:t xml:space="preserve"> </w:t>
      </w:r>
      <w:r w:rsidR="00542267" w:rsidRPr="00C43975">
        <w:rPr>
          <w:rFonts w:ascii="Arial" w:eastAsiaTheme="minorHAnsi" w:hAnsi="Arial" w:cs="Arial"/>
          <w:lang w:val="en-US"/>
        </w:rPr>
        <w:t>continent</w:t>
      </w:r>
      <w:r w:rsidR="00B82151" w:rsidRPr="00C43975">
        <w:rPr>
          <w:rFonts w:ascii="Arial" w:eastAsiaTheme="minorHAnsi" w:hAnsi="Arial" w:cs="Arial"/>
          <w:lang w:val="en-US"/>
        </w:rPr>
        <w:t>s</w:t>
      </w:r>
      <w:r w:rsidR="004415DB" w:rsidRPr="00C43975">
        <w:rPr>
          <w:rFonts w:ascii="Arial" w:eastAsiaTheme="minorHAnsi" w:hAnsi="Arial" w:cs="Arial"/>
          <w:lang w:val="en-US"/>
        </w:rPr>
        <w:t>. Approximately 75%</w:t>
      </w:r>
      <w:r w:rsidR="00C51BAB" w:rsidRPr="00C43975">
        <w:rPr>
          <w:rFonts w:ascii="Arial" w:eastAsiaTheme="minorHAnsi" w:hAnsi="Arial" w:cs="Arial"/>
          <w:lang w:val="en-US"/>
        </w:rPr>
        <w:t xml:space="preserve"> (39/52)</w:t>
      </w:r>
      <w:r w:rsidR="004415DB" w:rsidRPr="00C43975">
        <w:rPr>
          <w:rFonts w:ascii="Arial" w:eastAsiaTheme="minorHAnsi" w:hAnsi="Arial" w:cs="Arial"/>
          <w:lang w:val="en-US"/>
        </w:rPr>
        <w:t xml:space="preserve"> of African countries</w:t>
      </w:r>
      <w:r w:rsidR="00C51BAB" w:rsidRPr="00C43975">
        <w:rPr>
          <w:rFonts w:ascii="Arial" w:eastAsiaTheme="minorHAnsi" w:hAnsi="Arial" w:cs="Arial"/>
          <w:lang w:val="en-US"/>
        </w:rPr>
        <w:t>, 53.3% (24/45) of Asian and 12.5% (6/48) of American countries</w:t>
      </w:r>
      <w:r w:rsidR="00B82151" w:rsidRPr="00C43975">
        <w:rPr>
          <w:rFonts w:ascii="Arial" w:eastAsiaTheme="minorHAnsi" w:hAnsi="Arial" w:cs="Arial"/>
          <w:lang w:val="en-US"/>
        </w:rPr>
        <w:t xml:space="preserve"> had </w:t>
      </w:r>
      <w:r w:rsidR="00A94262" w:rsidRPr="00C43975">
        <w:rPr>
          <w:rFonts w:ascii="Arial" w:eastAsiaTheme="minorHAnsi" w:hAnsi="Arial" w:cs="Arial"/>
          <w:lang w:val="en-US"/>
        </w:rPr>
        <w:t xml:space="preserve">either </w:t>
      </w:r>
      <w:r w:rsidR="00542267" w:rsidRPr="00C43975">
        <w:rPr>
          <w:rFonts w:ascii="Arial" w:eastAsiaTheme="minorHAnsi" w:hAnsi="Arial" w:cs="Arial"/>
          <w:lang w:val="en-US"/>
        </w:rPr>
        <w:t>no</w:t>
      </w:r>
      <w:r w:rsidR="00797CCB" w:rsidRPr="00C43975">
        <w:rPr>
          <w:rFonts w:ascii="Arial" w:eastAsiaTheme="minorHAnsi" w:hAnsi="Arial" w:cs="Arial"/>
          <w:lang w:val="en-US"/>
        </w:rPr>
        <w:t xml:space="preserve"> </w:t>
      </w:r>
      <w:r w:rsidR="004415DB" w:rsidRPr="00C43975">
        <w:rPr>
          <w:rFonts w:ascii="Arial" w:eastAsiaTheme="minorHAnsi" w:hAnsi="Arial" w:cs="Arial"/>
          <w:lang w:val="en-US"/>
        </w:rPr>
        <w:t xml:space="preserve">supply </w:t>
      </w:r>
      <w:r w:rsidR="00BF7173" w:rsidRPr="00C43975">
        <w:rPr>
          <w:rFonts w:ascii="Arial" w:eastAsiaTheme="minorHAnsi" w:hAnsi="Arial" w:cs="Arial"/>
          <w:lang w:val="en-US"/>
        </w:rPr>
        <w:t xml:space="preserve">of voriconazole </w:t>
      </w:r>
      <w:r w:rsidR="00B82151" w:rsidRPr="00C43975">
        <w:rPr>
          <w:rFonts w:ascii="Arial" w:eastAsiaTheme="minorHAnsi" w:hAnsi="Arial" w:cs="Arial"/>
          <w:lang w:val="en-US"/>
        </w:rPr>
        <w:t xml:space="preserve">or </w:t>
      </w:r>
      <w:r w:rsidR="00797CCB" w:rsidRPr="00C43975">
        <w:rPr>
          <w:rFonts w:ascii="Arial" w:eastAsiaTheme="minorHAnsi" w:hAnsi="Arial" w:cs="Arial"/>
          <w:lang w:val="en-US"/>
        </w:rPr>
        <w:t xml:space="preserve">no </w:t>
      </w:r>
      <w:r w:rsidR="00582FFA" w:rsidRPr="00C43975">
        <w:rPr>
          <w:rFonts w:ascii="Arial" w:eastAsiaTheme="minorHAnsi" w:hAnsi="Arial" w:cs="Arial"/>
          <w:lang w:val="en-US"/>
        </w:rPr>
        <w:t xml:space="preserve">data </w:t>
      </w:r>
      <w:r w:rsidR="00911DD7" w:rsidRPr="00C43975">
        <w:rPr>
          <w:rFonts w:ascii="Arial" w:eastAsiaTheme="minorHAnsi" w:hAnsi="Arial" w:cs="Arial"/>
          <w:lang w:val="en-US"/>
        </w:rPr>
        <w:t>was</w:t>
      </w:r>
      <w:r w:rsidR="00582FFA" w:rsidRPr="00C43975">
        <w:rPr>
          <w:rFonts w:ascii="Arial" w:eastAsiaTheme="minorHAnsi" w:hAnsi="Arial" w:cs="Arial"/>
          <w:lang w:val="en-US"/>
        </w:rPr>
        <w:t xml:space="preserve"> </w:t>
      </w:r>
      <w:r w:rsidR="00A94262" w:rsidRPr="00C43975">
        <w:rPr>
          <w:rFonts w:ascii="Arial" w:eastAsiaTheme="minorHAnsi" w:hAnsi="Arial" w:cs="Arial"/>
          <w:lang w:val="en-US"/>
        </w:rPr>
        <w:t>available</w:t>
      </w:r>
      <w:r w:rsidR="00582FFA" w:rsidRPr="00C43975">
        <w:rPr>
          <w:rFonts w:ascii="Arial" w:eastAsiaTheme="minorHAnsi" w:hAnsi="Arial" w:cs="Arial"/>
          <w:lang w:val="en-US"/>
        </w:rPr>
        <w:t xml:space="preserve">; </w:t>
      </w:r>
      <w:r w:rsidR="00BF7173" w:rsidRPr="00C43975">
        <w:rPr>
          <w:rFonts w:ascii="Arial" w:eastAsiaTheme="minorHAnsi" w:hAnsi="Arial" w:cs="Arial"/>
          <w:lang w:val="en-US"/>
        </w:rPr>
        <w:t xml:space="preserve">this is in contrast </w:t>
      </w:r>
      <w:r w:rsidR="00542267" w:rsidRPr="00C43975">
        <w:rPr>
          <w:rFonts w:ascii="Arial" w:eastAsiaTheme="minorHAnsi" w:hAnsi="Arial" w:cs="Arial"/>
          <w:lang w:val="en-US"/>
        </w:rPr>
        <w:t xml:space="preserve">to Europe, where almost all the countries reported availability </w:t>
      </w:r>
      <w:r w:rsidR="00797CCB" w:rsidRPr="00C43975">
        <w:rPr>
          <w:rFonts w:ascii="Arial" w:eastAsiaTheme="minorHAnsi" w:hAnsi="Arial" w:cs="Arial"/>
          <w:lang w:val="en-US"/>
        </w:rPr>
        <w:t>of this drug</w:t>
      </w:r>
      <w:r w:rsidR="00797CCB" w:rsidRPr="00C43975">
        <w:rPr>
          <w:rFonts w:ascii="Arial" w:eastAsiaTheme="minorHAnsi" w:hAnsi="Arial" w:cs="Arial"/>
          <w:lang w:val="en-US"/>
        </w:rPr>
        <w:fldChar w:fldCharType="begin" w:fldLock="1"/>
      </w:r>
      <w:r w:rsidR="00FA2A64" w:rsidRPr="00C43975">
        <w:rPr>
          <w:rFonts w:ascii="Arial" w:eastAsiaTheme="minorHAnsi" w:hAnsi="Arial" w:cs="Arial"/>
          <w:lang w:val="en-US"/>
        </w:rPr>
        <w:instrText>ADDIN CSL_CITATION {"citationItems":[{"id":"ITEM-1","itemData":{"URL":"https://antifungalsavailability.org/maps/list/itraconazole","accessed":{"date-parts":[["2019","12","1"]]},"author":[{"dropping-particle":"","family":"GAFFI","given":"","non-dropping-particle":"","parse-names":false,"suffix":""}],"id":"ITEM-1","issued":{"date-parts":[["2019"]]},"title":"Drugs Maps: Voriconazole","type":"webpage"},"uris":["http://www.mendeley.com/documents/?uuid=dfa744a0-7e93-4f07-a26a-76122aad221c"]}],"mendeley":{"formattedCitation":"&lt;sup&gt;&lt;sup&gt;21&lt;/sup&gt;&lt;/sup&gt;","plainTextFormattedCitation":"21","previouslyFormattedCitation":"&lt;sup&gt;&lt;sup&gt;21&lt;/sup&gt;&lt;/sup&gt;"},"properties":{"noteIndex":0},"schema":"https://github.com/citation-style-language/schema/raw/master/csl-citation.json"}</w:instrText>
      </w:r>
      <w:r w:rsidR="00797CCB" w:rsidRPr="00C43975">
        <w:rPr>
          <w:rFonts w:ascii="Arial" w:eastAsiaTheme="minorHAnsi" w:hAnsi="Arial" w:cs="Arial"/>
          <w:lang w:val="en-US"/>
        </w:rPr>
        <w:fldChar w:fldCharType="separate"/>
      </w:r>
      <w:r w:rsidR="00E51D07" w:rsidRPr="00C43975">
        <w:rPr>
          <w:rFonts w:ascii="Arial" w:eastAsiaTheme="minorHAnsi" w:hAnsi="Arial" w:cs="Arial"/>
          <w:noProof/>
          <w:vertAlign w:val="superscript"/>
          <w:lang w:val="en-US"/>
        </w:rPr>
        <w:t>21</w:t>
      </w:r>
      <w:r w:rsidR="00797CCB" w:rsidRPr="00C43975">
        <w:rPr>
          <w:rFonts w:ascii="Arial" w:eastAsiaTheme="minorHAnsi" w:hAnsi="Arial" w:cs="Arial"/>
          <w:lang w:val="en-US"/>
        </w:rPr>
        <w:fldChar w:fldCharType="end"/>
      </w:r>
      <w:r w:rsidR="00797CCB" w:rsidRPr="00C43975">
        <w:rPr>
          <w:rFonts w:ascii="Arial" w:eastAsiaTheme="minorHAnsi" w:hAnsi="Arial" w:cs="Arial"/>
          <w:lang w:val="en-US"/>
        </w:rPr>
        <w:t>.</w:t>
      </w:r>
      <w:r w:rsidR="00876E71" w:rsidRPr="00C43975">
        <w:rPr>
          <w:rFonts w:ascii="Arial" w:eastAsiaTheme="minorHAnsi" w:hAnsi="Arial" w:cs="Arial"/>
          <w:lang w:val="en-US"/>
        </w:rPr>
        <w:t xml:space="preserve"> </w:t>
      </w:r>
      <w:r w:rsidR="001575CA" w:rsidRPr="00C43975">
        <w:rPr>
          <w:rFonts w:ascii="Arial" w:eastAsiaTheme="minorHAnsi" w:hAnsi="Arial" w:cs="Arial"/>
          <w:lang w:val="en-US"/>
        </w:rPr>
        <w:t xml:space="preserve">Although there </w:t>
      </w:r>
      <w:r w:rsidR="00911DD7" w:rsidRPr="00C43975">
        <w:rPr>
          <w:rFonts w:ascii="Arial" w:eastAsiaTheme="minorHAnsi" w:hAnsi="Arial" w:cs="Arial"/>
          <w:lang w:val="en-US"/>
        </w:rPr>
        <w:t>is</w:t>
      </w:r>
      <w:r w:rsidR="001575CA" w:rsidRPr="00C43975">
        <w:rPr>
          <w:rFonts w:ascii="Arial" w:eastAsiaTheme="minorHAnsi" w:hAnsi="Arial" w:cs="Arial"/>
          <w:lang w:val="en-US"/>
        </w:rPr>
        <w:t xml:space="preserve"> no published data</w:t>
      </w:r>
      <w:r w:rsidR="00554811" w:rsidRPr="00C43975">
        <w:rPr>
          <w:rFonts w:ascii="Arial" w:eastAsiaTheme="minorHAnsi" w:hAnsi="Arial" w:cs="Arial"/>
          <w:lang w:val="en-US"/>
        </w:rPr>
        <w:t xml:space="preserve"> yet</w:t>
      </w:r>
      <w:r w:rsidR="001575CA" w:rsidRPr="00C43975">
        <w:rPr>
          <w:rFonts w:ascii="Arial" w:eastAsiaTheme="minorHAnsi" w:hAnsi="Arial" w:cs="Arial"/>
          <w:lang w:val="en-US"/>
        </w:rPr>
        <w:t xml:space="preserve"> in terms of</w:t>
      </w:r>
      <w:r w:rsidR="00554811" w:rsidRPr="00C43975">
        <w:rPr>
          <w:rFonts w:ascii="Arial" w:eastAsiaTheme="minorHAnsi" w:hAnsi="Arial" w:cs="Arial"/>
          <w:lang w:val="en-US"/>
        </w:rPr>
        <w:t xml:space="preserve"> global</w:t>
      </w:r>
      <w:r w:rsidR="001575CA" w:rsidRPr="00C43975">
        <w:rPr>
          <w:rFonts w:ascii="Arial" w:eastAsiaTheme="minorHAnsi" w:hAnsi="Arial" w:cs="Arial"/>
          <w:lang w:val="en-US"/>
        </w:rPr>
        <w:t xml:space="preserve"> accessibility</w:t>
      </w:r>
      <w:r w:rsidR="00BF7173" w:rsidRPr="00C43975">
        <w:rPr>
          <w:rFonts w:ascii="Arial" w:eastAsiaTheme="minorHAnsi" w:hAnsi="Arial" w:cs="Arial"/>
          <w:lang w:val="en-US"/>
        </w:rPr>
        <w:t xml:space="preserve"> to </w:t>
      </w:r>
      <w:proofErr w:type="spellStart"/>
      <w:r w:rsidR="00554811" w:rsidRPr="00C43975">
        <w:rPr>
          <w:rFonts w:ascii="Arial" w:eastAsiaTheme="minorHAnsi" w:hAnsi="Arial" w:cs="Arial"/>
          <w:lang w:val="en-US"/>
        </w:rPr>
        <w:t>echinocandines</w:t>
      </w:r>
      <w:proofErr w:type="spellEnd"/>
      <w:r w:rsidR="00BF7173" w:rsidRPr="00C43975">
        <w:rPr>
          <w:rFonts w:ascii="Arial" w:eastAsiaTheme="minorHAnsi" w:hAnsi="Arial" w:cs="Arial"/>
          <w:lang w:val="en-US"/>
        </w:rPr>
        <w:t xml:space="preserve">, </w:t>
      </w:r>
      <w:r w:rsidR="00B665CA" w:rsidRPr="00C43975">
        <w:rPr>
          <w:rFonts w:ascii="Arial" w:eastAsiaTheme="minorHAnsi" w:hAnsi="Arial" w:cs="Arial"/>
          <w:lang w:val="en-US"/>
        </w:rPr>
        <w:t>this class of antifungals is considered to be first line treatment for invasive candidiasis</w:t>
      </w:r>
      <w:r w:rsidR="00FA2A64" w:rsidRPr="00C43975">
        <w:rPr>
          <w:rFonts w:ascii="Arial" w:eastAsiaTheme="minorHAnsi" w:hAnsi="Arial" w:cs="Arial"/>
          <w:lang w:val="en-US"/>
        </w:rPr>
        <w:fldChar w:fldCharType="begin" w:fldLock="1"/>
      </w:r>
      <w:r w:rsidR="00FA2A64" w:rsidRPr="00C43975">
        <w:rPr>
          <w:rFonts w:ascii="Arial" w:eastAsiaTheme="minorHAnsi" w:hAnsi="Arial" w:cs="Arial"/>
          <w:lang w:val="en-US"/>
        </w:rPr>
        <w:instrText>ADDIN CSL_CITATION {"citationItems":[{"id":"ITEM-1","itemData":{"DOI":"10.1093/jac/dkw506","ISBN":"1469-0691 (Electronic)\\r1198-743X (Linking)","ISSN":"14602091","PMID":"24687545","abstract":"During recent years, inappropriate antifungal use has contributed to the global increase in antifungal resistance and has played a role in the shift in the aetiology of invasive fungal infections. Moreover, overuse of antifungals may also lead to higher toxicity associated with unnecessary medication exposure and to increased healthcare costs. Antifungal stewardship (AFS) programmes consist of multidisciplinary interventions, led by specialists in infectious disease, microbiology and pharmacy that cooperate and communicate with the major prescribing departments in order to optimise antifungal therapies evaluating the indication, dose, streamlining and duration. Herein, we review the available evidence for the use of AFS and their impact on health economics. We also describe our AFS program, the successive steps we followed and the main difficulties we found.","author":[{"dropping-particle":"","family":"Denning","given":"David","non-dropping-particle":"","parse-names":false,"suffix":""},{"dropping-particle":"","family":"PErlin","given":"David","non-dropping-particle":"","parse-names":false,"suffix":""},{"dropping-particle":"","family":"Eavan","given":"Muldoon","non-dropping-particle":"","parse-names":false,"suffix":""},{"dropping-particle":"","family":"Lopes-Colombo","given":"Arlando","non-dropping-particle":"","parse-names":false,"suffix":""},{"dropping-particle":"","family":"Chakrabarti","given":"Arunaloke","non-dropping-particle":"","parse-names":false,"suffix":""},{"dropping-particle":"","family":"Richardson","given":"Malcolm","non-dropping-particle":"","parse-names":false,"suffix":""},{"dropping-particle":"","family":"Sorrel","given":"Tania","non-dropping-particle":"","parse-names":false,"suffix":""}],"container-title":"Emerging Infectious Diseases","id":"ITEM-1","issue":"2","issued":{"date-parts":[["2016"]]},"page":"177-183","publisher":"European Society of Clinical Infectious Diseases","title":"Candidiaisis IDSA guidelines 2016","type":"article-journal","volume":"23"},"uris":["http://www.mendeley.com/documents/?uuid=82b40e65-8c05-40c6-a3fe-2fc68bb530aa"]},{"id":"ITEM-2","itemData":{"DOI":"10.1111/1469-0691.12040","author":[{"dropping-particle":"","family":"Hope","given":"W W","non-dropping-particle":"","parse-names":false,"suffix":""},{"dropping-particle":"","family":"Castagnola","given":"E","non-dropping-particle":"","parse-names":false,"suffix":""},{"dropping-particle":"","family":"Groll","given":"A H","non-dropping-particle":"","parse-names":false,"suffix":""},{"dropping-particle":"","family":"Roilides","given":"E","non-dropping-particle":"","parse-names":false,"suffix":""},{"dropping-particle":"","family":"Akova","given":"M","non-dropping-particle":"","parse-names":false,"suffix":""},{"dropping-particle":"","family":"Arendrup","given":"M C","non-dropping-particle":"","parse-names":false,"suffix":""},{"dropping-particle":"","family":"Bassetti","given":"M","non-dropping-particle":"","parse-names":false,"suffix":""}],"container-title":"Clin Microbiol Infect","id":"ITEM-2","issued":{"date-parts":[["2012"]]},"page":"38-52","title":"ESCMID * guideline for the diagnosis and management of Candida diseases 2012 : prevention and management of invasive infections in neonates and children caused by Candida spp .","type":"article-journal","volume":"18"},"uris":["http://www.mendeley.com/documents/?uuid=b4e58a04-b2c2-4810-b95a-7ebe04fb4259"]}],"mendeley":{"formattedCitation":"&lt;sup&gt;&lt;sup&gt;22&lt;/sup&gt;,&lt;sup&gt;23&lt;/sup&gt;&lt;/sup&gt;","plainTextFormattedCitation":"22,23"},"properties":{"noteIndex":0},"schema":"https://github.com/citation-style-language/schema/raw/master/csl-citation.json"}</w:instrText>
      </w:r>
      <w:r w:rsidR="00FA2A64" w:rsidRPr="00C43975">
        <w:rPr>
          <w:rFonts w:ascii="Arial" w:eastAsiaTheme="minorHAnsi" w:hAnsi="Arial" w:cs="Arial"/>
          <w:lang w:val="en-US"/>
        </w:rPr>
        <w:fldChar w:fldCharType="separate"/>
      </w:r>
      <w:r w:rsidR="00FA2A64" w:rsidRPr="00C43975">
        <w:rPr>
          <w:rFonts w:ascii="Arial" w:eastAsiaTheme="minorHAnsi" w:hAnsi="Arial" w:cs="Arial"/>
          <w:noProof/>
          <w:vertAlign w:val="superscript"/>
          <w:lang w:val="en-US"/>
        </w:rPr>
        <w:t>22,23</w:t>
      </w:r>
      <w:r w:rsidR="00FA2A64" w:rsidRPr="00C43975">
        <w:rPr>
          <w:rFonts w:ascii="Arial" w:eastAsiaTheme="minorHAnsi" w:hAnsi="Arial" w:cs="Arial"/>
          <w:lang w:val="en-US"/>
        </w:rPr>
        <w:fldChar w:fldCharType="end"/>
      </w:r>
      <w:r w:rsidR="00B665CA" w:rsidRPr="00C43975">
        <w:rPr>
          <w:rFonts w:ascii="Arial" w:eastAsiaTheme="minorHAnsi" w:hAnsi="Arial" w:cs="Arial"/>
          <w:lang w:val="en-US"/>
        </w:rPr>
        <w:t xml:space="preserve">. They are drugs with broad antifungal activity against many </w:t>
      </w:r>
      <w:r w:rsidR="00B665CA" w:rsidRPr="00C43975">
        <w:rPr>
          <w:rFonts w:ascii="Arial" w:eastAsiaTheme="minorHAnsi" w:hAnsi="Arial" w:cs="Arial"/>
          <w:i/>
          <w:lang w:val="en-US"/>
        </w:rPr>
        <w:t xml:space="preserve">Candida </w:t>
      </w:r>
      <w:proofErr w:type="spellStart"/>
      <w:r w:rsidR="00B665CA" w:rsidRPr="00C43975">
        <w:rPr>
          <w:rFonts w:ascii="Arial" w:eastAsiaTheme="minorHAnsi" w:hAnsi="Arial" w:cs="Arial"/>
          <w:i/>
          <w:lang w:val="en-US"/>
        </w:rPr>
        <w:t>Sp</w:t>
      </w:r>
      <w:proofErr w:type="spellEnd"/>
      <w:r w:rsidR="00B665CA" w:rsidRPr="00C43975">
        <w:rPr>
          <w:rFonts w:ascii="Arial" w:eastAsiaTheme="minorHAnsi" w:hAnsi="Arial" w:cs="Arial"/>
          <w:lang w:val="en-US"/>
        </w:rPr>
        <w:t xml:space="preserve">, as well as certain </w:t>
      </w:r>
      <w:proofErr w:type="spellStart"/>
      <w:r w:rsidR="00B665CA" w:rsidRPr="00C43975">
        <w:rPr>
          <w:rFonts w:ascii="Arial" w:eastAsiaTheme="minorHAnsi" w:hAnsi="Arial" w:cs="Arial"/>
          <w:lang w:val="en-US"/>
        </w:rPr>
        <w:t>moulds</w:t>
      </w:r>
      <w:proofErr w:type="spellEnd"/>
      <w:r w:rsidR="00B665CA" w:rsidRPr="00C43975">
        <w:rPr>
          <w:rFonts w:ascii="Arial" w:eastAsiaTheme="minorHAnsi" w:hAnsi="Arial" w:cs="Arial"/>
          <w:lang w:val="en-US"/>
        </w:rPr>
        <w:t>, favorable toxicity profile and low susceptibility to development of resistances</w:t>
      </w:r>
      <w:r w:rsidR="00B665CA" w:rsidRPr="00C43975">
        <w:rPr>
          <w:rFonts w:ascii="Arial" w:eastAsiaTheme="minorHAnsi" w:hAnsi="Arial" w:cs="Arial"/>
          <w:lang w:val="en-US"/>
        </w:rPr>
        <w:fldChar w:fldCharType="begin" w:fldLock="1"/>
      </w:r>
      <w:r w:rsidR="00FA2A64" w:rsidRPr="00C43975">
        <w:rPr>
          <w:rFonts w:ascii="Arial" w:eastAsiaTheme="minorHAnsi" w:hAnsi="Arial" w:cs="Arial"/>
          <w:lang w:val="en-US"/>
        </w:rPr>
        <w:instrText>ADDIN CSL_CITATION {"citationItems":[{"id":"ITEM-1","itemData":{"DOI":"10.1111/jphp.12780","author":[{"dropping-particle":"","family":"Patil","given":"Akash","non-dropping-particle":"","parse-names":false,"suffix":""},{"dropping-particle":"","family":"Majumdar","given":"Soumyajit","non-dropping-particle":"","parse-names":false,"suffix":""}],"container-title":"Journal of Pharmacy and Pharmacology","id":"ITEM-1","issued":{"date-parts":[["2017"]]},"page":"1635-1660","title":"Echinocandins in antifungal pharmacotherapy","type":"article-journal","volume":"69"},"uris":["http://www.mendeley.com/documents/?uuid=48e6a0e6-baab-430c-a6d6-21ac8dde1f09"]},{"id":"ITEM-2","itemData":{"DOI":"10.1093/mmy/myy084","author":[{"dropping-particle":"","family":"Downes","given":"Kevin J","non-dropping-particle":"","parse-names":false,"suffix":""},{"dropping-particle":"","family":"Ellis","given":"Darcy","non-dropping-particle":"","parse-names":false,"suffix":""},{"dropping-particle":"","family":"Lavigne","given":"Sondra","non-dropping-particle":"","parse-names":false,"suffix":""},{"dropping-particle":"","family":"Bryan","given":"Matthew","non-dropping-particle":"","parse-names":false,"suffix":""},{"dropping-particle":"","family":"Zaoutis","given":"Theoklis E","non-dropping-particle":"","parse-names":false,"suffix":""},{"dropping-particle":"","family":"Fisher","given":"Brian T","non-dropping-particle":"","parse-names":false,"suffix":""}],"container-title":"Medical Mycology","id":"ITEM-2","issued":{"date-parts":[["2018"]]},"page":"1-8","title":"The use of echinocandins in hospitalized children in the United States","type":"article-journal","volume":"0"},"uris":["http://www.mendeley.com/documents/?uuid=e953b553-25da-4b2a-b1f7-dd7ddb2128bf"]}],"mendeley":{"formattedCitation":"&lt;sup&gt;&lt;sup&gt;24&lt;/sup&gt;,&lt;sup&gt;25&lt;/sup&gt;&lt;/sup&gt;","plainTextFormattedCitation":"24,25","previouslyFormattedCitation":"&lt;sup&gt;&lt;sup&gt;22&lt;/sup&gt;,&lt;sup&gt;23&lt;/sup&gt;&lt;/sup&gt;"},"properties":{"noteIndex":0},"schema":"https://github.com/citation-style-language/schema/raw/master/csl-citation.json"}</w:instrText>
      </w:r>
      <w:r w:rsidR="00B665CA" w:rsidRPr="00C43975">
        <w:rPr>
          <w:rFonts w:ascii="Arial" w:eastAsiaTheme="minorHAnsi" w:hAnsi="Arial" w:cs="Arial"/>
          <w:lang w:val="en-US"/>
        </w:rPr>
        <w:fldChar w:fldCharType="separate"/>
      </w:r>
      <w:r w:rsidR="00FA2A64" w:rsidRPr="00C43975">
        <w:rPr>
          <w:rFonts w:ascii="Arial" w:eastAsiaTheme="minorHAnsi" w:hAnsi="Arial" w:cs="Arial"/>
          <w:noProof/>
          <w:vertAlign w:val="superscript"/>
          <w:lang w:val="en-US"/>
        </w:rPr>
        <w:t>24,25</w:t>
      </w:r>
      <w:r w:rsidR="00B665CA" w:rsidRPr="00C43975">
        <w:rPr>
          <w:rFonts w:ascii="Arial" w:eastAsiaTheme="minorHAnsi" w:hAnsi="Arial" w:cs="Arial"/>
          <w:lang w:val="en-US"/>
        </w:rPr>
        <w:fldChar w:fldCharType="end"/>
      </w:r>
      <w:r w:rsidR="00B665CA" w:rsidRPr="00C43975">
        <w:rPr>
          <w:rFonts w:ascii="Arial" w:eastAsiaTheme="minorHAnsi" w:hAnsi="Arial" w:cs="Arial"/>
          <w:lang w:val="en-US"/>
        </w:rPr>
        <w:t>. Costs related to the use of echinocandins may well explain the difference in prescriptions between HIC and LMIC. I</w:t>
      </w:r>
      <w:r w:rsidR="00C579E5" w:rsidRPr="00C43975">
        <w:rPr>
          <w:rFonts w:ascii="Arial" w:eastAsiaTheme="minorHAnsi" w:hAnsi="Arial" w:cs="Arial"/>
          <w:lang w:val="en-US"/>
        </w:rPr>
        <w:t xml:space="preserve">n some settings, such as the U.S., the administration of </w:t>
      </w:r>
      <w:r w:rsidR="00C579E5" w:rsidRPr="00C43975">
        <w:rPr>
          <w:rFonts w:ascii="Arial" w:hAnsi="Arial" w:cs="Arial"/>
        </w:rPr>
        <w:t xml:space="preserve">echinocandin </w:t>
      </w:r>
      <w:r w:rsidR="00582834" w:rsidRPr="00C43975">
        <w:rPr>
          <w:rFonts w:ascii="Arial" w:hAnsi="Arial" w:cs="Arial"/>
        </w:rPr>
        <w:t>exceeds</w:t>
      </w:r>
      <w:r w:rsidR="00C579E5" w:rsidRPr="00C43975">
        <w:rPr>
          <w:rFonts w:ascii="Arial" w:hAnsi="Arial" w:cs="Arial"/>
        </w:rPr>
        <w:t xml:space="preserve"> amphotericin or mould-active azoles in children’s hospitals</w:t>
      </w:r>
      <w:r w:rsidR="00C579E5" w:rsidRPr="00C43975">
        <w:rPr>
          <w:rFonts w:ascii="Arial" w:hAnsi="Arial" w:cs="Arial"/>
        </w:rPr>
        <w:fldChar w:fldCharType="begin" w:fldLock="1"/>
      </w:r>
      <w:r w:rsidR="00FA2A64" w:rsidRPr="00C43975">
        <w:rPr>
          <w:rFonts w:ascii="Arial" w:hAnsi="Arial" w:cs="Arial"/>
        </w:rPr>
        <w:instrText>ADDIN CSL_CITATION {"citationItems":[{"id":"ITEM-1","itemData":{"DOI":"10.1093/mmy/myy084","author":[{"dropping-particle":"","family":"Downes","given":"Kevin J","non-dropping-particle":"","parse-names":false,"suffix":""},{"dropping-particle":"","family":"Ellis","given":"Darcy","non-dropping-particle":"","parse-names":false,"suffix":""},{"dropping-particle":"","family":"Lavigne","given":"Sondra","non-dropping-particle":"","parse-names":false,"suffix":""},{"dropping-particle":"","family":"Bryan","given":"Matthew","non-dropping-particle":"","parse-names":false,"suffix":""},{"dropping-particle":"","family":"Zaoutis","given":"Theoklis E","non-dropping-particle":"","parse-names":false,"suffix":""},{"dropping-particle":"","family":"Fisher","given":"Brian T","non-dropping-particle":"","parse-names":false,"suffix":""}],"container-title":"Medical Mycology","id":"ITEM-1","issued":{"date-parts":[["2018"]]},"page":"1-8","title":"The use of echinocandins in hospitalized children in the United States","type":"article-journal","volume":"0"},"uris":["http://www.mendeley.com/documents/?uuid=e953b553-25da-4b2a-b1f7-dd7ddb2128bf"]}],"mendeley":{"formattedCitation":"&lt;sup&gt;&lt;sup&gt;25&lt;/sup&gt;&lt;/sup&gt;","plainTextFormattedCitation":"25","previouslyFormattedCitation":"&lt;sup&gt;&lt;sup&gt;23&lt;/sup&gt;&lt;/sup&gt;"},"properties":{"noteIndex":0},"schema":"https://github.com/citation-style-language/schema/raw/master/csl-citation.json"}</w:instrText>
      </w:r>
      <w:r w:rsidR="00C579E5" w:rsidRPr="00C43975">
        <w:rPr>
          <w:rFonts w:ascii="Arial" w:hAnsi="Arial" w:cs="Arial"/>
        </w:rPr>
        <w:fldChar w:fldCharType="separate"/>
      </w:r>
      <w:r w:rsidR="00FA2A64" w:rsidRPr="00C43975">
        <w:rPr>
          <w:rFonts w:ascii="Arial" w:hAnsi="Arial" w:cs="Arial"/>
          <w:noProof/>
          <w:vertAlign w:val="superscript"/>
        </w:rPr>
        <w:t>25</w:t>
      </w:r>
      <w:r w:rsidR="00C579E5" w:rsidRPr="00C43975">
        <w:rPr>
          <w:rFonts w:ascii="Arial" w:hAnsi="Arial" w:cs="Arial"/>
        </w:rPr>
        <w:fldChar w:fldCharType="end"/>
      </w:r>
      <w:r w:rsidR="00C579E5" w:rsidRPr="00C43975">
        <w:rPr>
          <w:rFonts w:ascii="Arial" w:hAnsi="Arial" w:cs="Arial"/>
        </w:rPr>
        <w:t xml:space="preserve">. </w:t>
      </w:r>
    </w:p>
    <w:p w14:paraId="0B9A0178" w14:textId="77777777" w:rsidR="00160E55" w:rsidRPr="00C43975" w:rsidRDefault="00160E55" w:rsidP="00C43975">
      <w:pPr>
        <w:spacing w:line="480" w:lineRule="auto"/>
        <w:rPr>
          <w:rFonts w:ascii="Arial" w:hAnsi="Arial" w:cs="Arial"/>
        </w:rPr>
      </w:pPr>
    </w:p>
    <w:p w14:paraId="1B93DB77" w14:textId="77777777" w:rsidR="00A347D9" w:rsidRPr="00C43975" w:rsidRDefault="00A347D9" w:rsidP="00C43975">
      <w:pPr>
        <w:spacing w:line="480" w:lineRule="auto"/>
        <w:jc w:val="both"/>
        <w:rPr>
          <w:rFonts w:ascii="Arial" w:hAnsi="Arial" w:cs="Arial"/>
          <w:i/>
        </w:rPr>
      </w:pPr>
      <w:r w:rsidRPr="00C43975">
        <w:rPr>
          <w:rFonts w:ascii="Arial" w:hAnsi="Arial" w:cs="Arial"/>
          <w:i/>
        </w:rPr>
        <w:t>Strength and limitations</w:t>
      </w:r>
    </w:p>
    <w:p w14:paraId="12572040" w14:textId="20BE1D87" w:rsidR="000F7C95" w:rsidRPr="00C43975" w:rsidRDefault="00A347D9" w:rsidP="00C43975">
      <w:pPr>
        <w:spacing w:line="480" w:lineRule="auto"/>
        <w:jc w:val="both"/>
        <w:rPr>
          <w:rFonts w:ascii="Arial" w:hAnsi="Arial" w:cs="Arial"/>
        </w:rPr>
      </w:pPr>
      <w:r w:rsidRPr="00C43975">
        <w:rPr>
          <w:rFonts w:ascii="Arial" w:hAnsi="Arial" w:cs="Arial"/>
        </w:rPr>
        <w:t>To our knowledge</w:t>
      </w:r>
      <w:r w:rsidR="00EF3EDB" w:rsidRPr="00C43975">
        <w:rPr>
          <w:rFonts w:ascii="Arial" w:hAnsi="Arial" w:cs="Arial"/>
        </w:rPr>
        <w:t>,</w:t>
      </w:r>
      <w:r w:rsidRPr="00C43975">
        <w:rPr>
          <w:rFonts w:ascii="Arial" w:hAnsi="Arial" w:cs="Arial"/>
        </w:rPr>
        <w:t xml:space="preserve"> this is the first global collaborative study </w:t>
      </w:r>
      <w:r w:rsidR="00EF3EDB" w:rsidRPr="00C43975">
        <w:rPr>
          <w:rFonts w:ascii="Arial" w:hAnsi="Arial" w:cs="Arial"/>
        </w:rPr>
        <w:t xml:space="preserve">to evaluate </w:t>
      </w:r>
      <w:r w:rsidRPr="00C43975">
        <w:rPr>
          <w:rFonts w:ascii="Arial" w:hAnsi="Arial" w:cs="Arial"/>
        </w:rPr>
        <w:t xml:space="preserve">antifungal </w:t>
      </w:r>
      <w:r w:rsidR="003E2265" w:rsidRPr="00C43975">
        <w:rPr>
          <w:rFonts w:ascii="Arial" w:hAnsi="Arial" w:cs="Arial"/>
        </w:rPr>
        <w:t>prescription in a large</w:t>
      </w:r>
      <w:r w:rsidRPr="00C43975">
        <w:rPr>
          <w:rFonts w:ascii="Arial" w:hAnsi="Arial" w:cs="Arial"/>
        </w:rPr>
        <w:t xml:space="preserve"> paediatric population</w:t>
      </w:r>
      <w:r w:rsidR="006618DB" w:rsidRPr="00C43975">
        <w:rPr>
          <w:rFonts w:ascii="Arial" w:hAnsi="Arial" w:cs="Arial"/>
        </w:rPr>
        <w:t>, including data from LMICs</w:t>
      </w:r>
      <w:r w:rsidRPr="00C43975">
        <w:rPr>
          <w:rFonts w:ascii="Arial" w:hAnsi="Arial" w:cs="Arial"/>
        </w:rPr>
        <w:t>. We observed a substantial variation between countries in the use of antifungal</w:t>
      </w:r>
      <w:r w:rsidR="00911DD7" w:rsidRPr="00C43975">
        <w:rPr>
          <w:rFonts w:ascii="Arial" w:hAnsi="Arial" w:cs="Arial"/>
        </w:rPr>
        <w:t>s</w:t>
      </w:r>
      <w:r w:rsidRPr="00C43975">
        <w:rPr>
          <w:rFonts w:ascii="Arial" w:hAnsi="Arial" w:cs="Arial"/>
        </w:rPr>
        <w:t xml:space="preserve"> in neonates and children. </w:t>
      </w:r>
      <w:r w:rsidR="000F7C95" w:rsidRPr="00C43975">
        <w:rPr>
          <w:rFonts w:ascii="Arial" w:hAnsi="Arial" w:cs="Arial"/>
        </w:rPr>
        <w:t>Our study has limitations in common with other PPS studies</w:t>
      </w:r>
      <w:r w:rsidR="00197EB9" w:rsidRPr="00C43975">
        <w:rPr>
          <w:rFonts w:ascii="Arial" w:hAnsi="Arial" w:cs="Arial"/>
        </w:rPr>
        <w:fldChar w:fldCharType="begin" w:fldLock="1"/>
      </w:r>
      <w:r w:rsidR="00FA2A64" w:rsidRPr="00C43975">
        <w:rPr>
          <w:rFonts w:ascii="Arial" w:hAnsi="Arial" w:cs="Arial"/>
        </w:rPr>
        <w:instrText>ADDIN CSL_CITATION {"citationItems":[{"id":"ITEM-1","itemData":{"DOI":"10.1016/S2214-109X(19)30071-3","ISSN":"2214109X","abstract":"Background: Improving the quality of hospital antibiotic use is a major goal of WHO's global action plan to combat antimicrobial resistance. The WHO Essential Medicines List Access, Watch, and Reserve (AWaRe) classification could facilitate simple stewardship interventions that are widely applicable globally. We aimed to present data on patterns of paediatric AWaRe antibiotic use that could be used for local and national stewardship interventions. Methods: 1-day point prevalence survey antibiotic prescription data were combined from two independent global networks: the Global Antimicrobial Resistance, Prescribing, and Efficacy in Neonates and Children and the Global Point Prevalence Survey on Antimicrobial Consumption and Resistance networks. We included hospital inpatients aged younger than 19 years receiving at least one antibiotic on the day of the survey. The WHO AWaRe classification was used to describe overall antibiotic use as assessed by the variation between use of Access, Watch, and Reserve antibiotics, for neonates and children and for the commonest clinical indications. Findings: Of the 23 572 patients included from 56 countries, 18 305 were children (77·7%) and 5267 were neonates (22·3%). Access antibiotic use in children ranged from 7·8% (China) to 61·2% (Slovenia) of all antibiotic prescriptions. The use of Watch antibiotics in children was highest in Iran (77·3%) and lowest in Finland (23·0%). In neonates, Access antibiotic use was highest in Singapore (100·0%) and lowest in China (24·2%). Reserve antibiotic use was low in all countries. Major differences in clinical syndrome-specific patterns of AWaRe antibiotic use in lower respiratory tract infection and neonatal sepsis were observed between WHO regions and countries. Interpretation: There is substantial global variation in the proportion of AWaRe antibiotics used in hospitalised neonates and children. The AWaRe classification could potentially be used as a simple traffic light metric of appropriate antibiotic use. Future efforts should focus on developing and evaluating paediatric antibiotic stewardship programmes on the basis of the AWaRe index. Funding: GARPEC was funded by the PENTA Foundation. GARPEC-China data collection was funded by the Sanming Project of Medicine in Shenzhen (SZSM2015120330). bioMérieux provided unrestricted funding support for the Global-PPS.","author":[{"dropping-particle":"","family":"Hsia","given":"Yingfen","non-dropping-particle":"","parse-names":false,"suffix":""},{"dropping-particle":"","family":"Lee","given":"Brian R.","non-dropping-particle":"","parse-names":false,"suffix":""},{"dropping-particle":"","family":"Versporten","given":"Ann","non-dropping-particle":"","parse-names":false,"suffix":""},{"dropping-particle":"","family":"Yang","given":"Yonghong","non-dropping-particle":"","parse-names":false,"suffix":""},{"dropping-particle":"","family":"Bielicki","given":"Julia","non-dropping-particle":"","parse-names":false,"suffix":""},{"dropping-particle":"","family":"Jackson","given":"Charlotte","non-dropping-particle":"","parse-names":false,"suffix":""},{"dropping-particle":"","family":"Newland","given":"Jason","non-dropping-particle":"","parse-names":false,"suffix":""},{"dropping-particle":"","family":"Goossens","given":"Herman","non-dropping-particle":"","parse-names":false,"suffix":""},{"dropping-particle":"","family":"Magrini","given":"Nicola","non-dropping-particle":"","parse-names":false,"suffix":""},{"dropping-particle":"","family":"Sharland","given":"Mike","non-dropping-particle":"","parse-names":false,"suffix":""}],"container-title":"The Lancet Global Health","id":"ITEM-1","issue":"7","issued":{"date-parts":[["2019"]]},"page":"e861-e871","publisher":"The Author(s). Published by Elsevier Ltd. This is an Open Access article under the CC BY-NC-ND 4.0 license","title":"Use of the WHO Access, Watch, and Reserve classification to define patterns of hospital antibiotic use (AWaRe): an analysis of paediatric survey data from 56 countries","type":"article-journal","volume":"7"},"uris":["http://www.mendeley.com/documents/?uuid=6048856b-42b0-46e6-8379-4ca868e8968d"]},{"id":"ITEM-2","itemData":{"DOI":"10.1016/S2214-109X(18)30186-4","ISSN":"2214109X","abstract":"Background: The Global Point Prevalence Survey (Global-PPS) established an international network of hospitals to measure antimicrobial prescribing and resistance worldwide. We aimed to assess antimicrobial prescribing and resistance in hospital inpatients. Methods: We used a standardised surveillance method to collect detailed data about antimicrobial prescribing and resistance from hospitals worldwide, which were grouped by UN region. The internet-based survey included all inpatients (adults, children, and neonates) receiving an antimicrobial who were on the ward at 0800 h on one specific day between January and September, 2015. Hospitals were classified as primary, secondary, tertiary (including infectious diseases hospitals), and paediatric hospitals. Five main ward types were defined: medical wards, surgical wards, intensive-care units, haematology oncology wards, and medical transplantation (bone marrow or solid transplants) wards. Data recorded included patient characteristics, antimicrobials received, diagnosis, therapeutic indication according to predefined lists, and markers of prescribing quality (eg, whether a stop or review date were recorded, and whether local prescribing guidelines existed and were adhered to). We report findings for adult inpatients. Findings: The Global-PPS for 2015 included adult data from 303 hospitals in 53 countries, including eight lower-middle-income and 17 upper-middle-income countries. 86 776 inpatients were admitted to 3315 adult wards, of whom 29 891 (34·4%) received at least one antimicrobial. 41 213 antimicrobial prescriptions were issued, of which 36 792 (89·3%) were antibacterial agents for systemic use. The top three antibiotics prescribed worldwide were penicillins with β-lactamase inhibitors, third-generation cephalosporins, and fluoroquinolones. Carbapenems were most frequently prescribed in Latin America and west and central Asia. Of patients who received at least one antimicrobial, 5926 (19·8%) received a targeted antibacterial treatment for systemic use, and 1769 (5·9%) received a treatment targeting at least one multidrug-resistant organism. The frequency of health-care-associated infections was highest in Latin America (1518 [11·9%]) and east and south Asia (5363 [10·1%]). Overall, the reason for treatment was recorded in 31 694 (76·9%) of antimicrobial prescriptions, and a stop or review date in 15 778 (38·3%). Local antibiotic guidelines were missing for 7050 (19·2%) of the 36 792 antibiotic pres…","author":[{"dropping-particle":"","family":"Versporten","given":"Ann","non-dropping-particle":"","parse-names":false,"suffix":""},{"dropping-particle":"","family":"Zarb","given":"Peter","non-dropping-particle":"","parse-names":false,"suffix":""},{"dropping-particle":"","family":"Caniaux","given":"Isabelle","non-dropping-particle":"","parse-names":false,"suffix":""},{"dropping-particle":"","family":"Gros","given":"Marie Françoise","non-dropping-particle":"","parse-names":false,"suffix":""},{"dropping-particle":"","family":"Drapier","given":"Nico","non-dropping-particle":"","parse-names":false,"suffix":""},{"dropping-particle":"","family":"Miller","given":"Mark","non-dropping-particle":"","parse-names":false,"suffix":""},{"dropping-particle":"","family":"Jarlier","given":"Vincent","non-dropping-particle":"","parse-names":false,"suffix":""},{"dropping-particle":"","family":"Nathwani","given":"Dilip","non-dropping-particle":"","parse-names":false,"suffix":""},{"dropping-particle":"","family":"Goossens","given":"Herman","non-dropping-particle":"","parse-names":false,"suffix":""},{"dropping-particle":"","family":"Koraqi","given":"Andi","non-dropping-particle":"","parse-names":false,"suffix":""},{"dropping-particle":"","family":"Hoxha","given":"Iris","non-dropping-particle":"","parse-names":false,"suffix":""},{"dropping-particle":"","family":"Tafaj","given":"Silva","non-dropping-particle":"","parse-names":false,"suffix":""},{"dropping-particle":"","family":"Lacej","given":"Denada","non-dropping-particle":"","parse-names":false,"suffix":""},{"dropping-particle":"","family":"Hojman","given":"Martin","non-dropping-particle":"","parse-names":false,"suffix":""},{"dropping-particle":"","family":"Quiros","given":"Rodolfo Ernesto","non-dropping-particle":"","parse-names":false,"suffix":""},{"dropping-particle":"","family":"Ghazaryan","given":"Lilit","non-dropping-particle":"","parse-names":false,"suffix":""},{"dropping-particle":"","family":"Cairns","given":"Kelly A.","non-dropping-particle":"","parse-names":false,"suffix":""},{"dropping-particle":"","family":"Cheng","given":"Allen","non-dropping-particle":"","parse-names":false,"suffix":""},{"dropping-particle":"","family":"Horne","given":"Kylie C.","non-dropping-particle":"","parse-names":false,"suffix":""},{"dropping-particle":"","family":"Doukas","given":"Fiona F.","non-dropping-particle":"","parse-names":false,"suffix":""},{"dropping-particle":"","family":"Gottlieb","given":"Thomas","non-dropping-particle":"","parse-names":false,"suffix":""},{"dropping-particle":"","family":"Alsalman","given":"Jameela","non-dropping-particle":"","parse-names":false,"suffix":""},{"dropping-particle":"","family":"Magerman","given":"Koen","non-dropping-particle":"","parse-names":false,"suffix":""},{"dropping-particle":"","family":"Marielle","given":"Gounongbe YT","non-dropping-particle":"","parse-names":false,"suffix":""},{"dropping-particle":"","family":"Ljubovic","given":"Amela Dedeic","non-dropping-particle":"","parse-names":false,"suffix":""},{"dropping-particle":"","family":"Coelho","given":"André Afonso Machado","non-dropping-particle":"","parse-names":false,"suffix":""},{"dropping-particle":"","family":"Gales","given":"Ana Cristina","non-dropping-particle":"","parse-names":false,"suffix":""},{"dropping-particle":"","family":"Keuleyan","given":"Emma","non-dropping-particle":"","parse-names":false,"suffix":""},{"dropping-particle":"","family":"Sabuda","given":"Deana","non-dropping-particle":"","parse-names":false,"suffix":""},{"dropping-particle":"","family":"Boswell","given":"Jennifer Lee","non-dropping-particle":"","parse-names":false,"suffix":""},{"dropping-particle":"","family":"Conly","given":"John M.","non-dropping-particle":"","parse-names":false,"suffix":""},{"dropping-particle":"","family":"Rojas","given":"Alvaro","non-dropping-particle":"","parse-names":false,"suffix":""},{"dropping-particle":"","family":"Carvajal","given":"Camila","non-dropping-particle":"","parse-names":false,"suffix":""},{"dropping-particle":"","family":"Labarca","given":"Jaime","non-dropping-particle":"","parse-names":false,"suffix":""},{"dropping-particle":"","family":"Solano","given":"Antonio","non-dropping-particle":"","parse-names":false,"suffix":""},{"dropping-particle":"","family":"Valverde","given":"Carlos Ramírez","non-dropping-particle":"","parse-names":false,"suffix":""},{"dropping-particle":"","family":"Villalobos-Vindas","given":"Juan M.","non-dropping-particle":"","parse-names":false,"suffix":""},{"dropping-particle":"","family":"Pristas","given":"Irina","non-dropping-particle":"","parse-names":false,"suffix":""},{"dropping-particle":"","family":"Plecko","given":"Vanda","non-dropping-particle":"","parse-names":false,"suffix":""},{"dropping-particle":"","family":"Paphitou","given":"Niki","non-dropping-particle":"","parse-names":false,"suffix":""},{"dropping-particle":"","family":"Shaqiri","given":"Erjona","non-dropping-particle":"","parse-names":false,"suffix":""},{"dropping-particle":"","family":"Rummukainen","given":"Maija Liisa","non-dropping-particle":"","parse-names":false,"suffix":""},{"dropping-particle":"","family":"Pagava","given":"Karaman","non-dropping-particle":"","parse-names":false,"suffix":""},{"dropping-particle":"","family":"Korinteli","given":"Irma","non-dropping-particle":"","parse-names":false,"suffix":""},{"dropping-particle":"","family":"Brandt","given":"Tobias","non-dropping-particle":"","parse-names":false,"suffix":""},{"dropping-particle":"","family":"Messler","given":"Sabine","non-dropping-particle":"","parse-names":false,"suffix":""},{"dropping-particle":"","family":"Enimil","given":"Anthony","non-dropping-particle":"","parse-names":false,"suffix":""},{"dropping-particle":"","family":"Iosifidis","given":"Elias","non-dropping-particle":"","parse-names":false,"suffix":""},{"dropping-particle":"","family":"Roilides","given":"Emmanuel","non-dropping-particle":"","parse-names":false,"suffix":""},{"dropping-particle":"","family":"Sow","given":"Mamadou Saliou","non-dropping-particle":"","parse-names":false,"suffix":""},{"dropping-particle":"","family":"Sengupta","given":"Sharmila","non-dropping-particle":"","parse-names":false,"suffix":""},{"dropping-particle":"V.","family":"George","given":"Joby","non-dropping-particle":"","parse-names":false,"suffix":""},{"dropping-particle":"","family":"Poojary","given":"Aruna","non-dropping-particle":"","parse-names":false,"suffix":""},{"dropping-particle":"","family":"Patil","given":"Priyanka","non-dropping-particle":"","parse-names":false,"suffix":""},{"dropping-particle":"","family":"Soltani","given":"Jafar","non-dropping-particle":"","parse-names":false,"suffix":""},{"dropping-particle":"","family":"Jafarpour","given":"Zahra","non-dropping-particle":"","parse-names":false,"suffix":""},{"dropping-particle":"","family":"Ameen","given":"Hadi","non-dropping-particle":"","parse-names":false,"suffix":""},{"dropping-particle":"","family":"Fitzgerald","given":"David","non-dropping-particle":"","parse-names":false,"suffix":""},{"dropping-particle":"","family":"Maor","given":"Yasmin","non-dropping-particle":"","parse-names":false,"suffix":""},{"dropping-particle":"","family":"Chowers","given":"Michal","non-dropping-particle":"","parse-names":false,"suffix":""},{"dropping-particle":"","family":"Temkin","given":"Elizabeth","non-dropping-particle":"","parse-names":false,"suffix":""},{"dropping-particle":"","family":"Esposito","given":"Susanna","non-dropping-particle":"","parse-names":false,"suffix":""},{"dropping-particle":"","family":"Arnoldo","given":"Luca","non-dropping-particle":"","parse-names":false,"suffix":""},{"dropping-particle":"","family":"Brusaferro","given":"Silvio","non-dropping-particle":"","parse-names":false,"suffix":""},{"dropping-particle":"","family":"Gu","given":"Yoshiaki","non-dropping-particle":"","parse-names":false,"suffix":""},{"dropping-particle":"","family":"El-Hajji","given":"Feras Darwish","non-dropping-particle":"","parse-names":false,"suffix":""},{"dropping-particle":"","family":"Kim","given":"Nam Joong","non-dropping-particle":"","parse-names":false,"suffix":""},{"dropping-particle":"","family":"Kambaralieva","given":"Baktygul","non-dropping-particle":"","parse-names":false,"suffix":""},{"dropping-particle":"","family":"Pavare","given":"Jana","non-dropping-particle":"","parse-names":false,"suffix":""},{"dropping-particle":"","family":"Zarakauska","given":"Lelde","non-dropping-particle":"","parse-names":false,"suffix":""},{"dropping-particle":"","family":"Usonis","given":"Vytautas","non-dropping-particle":"","parse-names":false,"suffix":""},{"dropping-particle":"","family":"Burokiene","given":"Sigita","non-dropping-particle":"","parse-names":false,"suffix":""},{"dropping-particle":"","family":"Ivaskeviciene","given":"Inga","non-dropping-particle":"","parse-names":false,"suffix":""},{"dropping-particle":"","family":"Mijovic","given":"Gordana","non-dropping-particle":"","parse-names":false,"suffix":""},{"dropping-particle":"","family":"Duborija-Kovacevic","given":"Natasa","non-dropping-particle":"","parse-names":false,"suffix":""},{"dropping-particle":"","family":"Bondesio","given":"Kristen","non-dropping-particle":"","parse-names":false,"suffix":""},{"dropping-particle":"","family":"Iregbu","given":"Kenneth","non-dropping-particle":"","parse-names":false,"suffix":""},{"dropping-particle":"","family":"Oduyebo","given":"Oyinlola","non-dropping-particle":"","parse-names":false,"suffix":""},{"dropping-particle":"","family":"Raka","given":"Denis","non-dropping-particle":"","parse-names":false,"suffix":""},{"dropping-particle":"","family":"Raka","given":"Lul","non-dropping-particle":"","parse-names":false,"suffix":""},{"dropping-particle":"","family":"Rachina","given":"Svetlana","non-dropping-particle":"","parse-names":false,"suffix":""},{"dropping-particle":"","family":"Enani","given":"Mushira Abdulaziz","non-dropping-particle":"","parse-names":false,"suffix":""},{"dropping-particle":"","family":"Shehri","given":"Mohamed","non-dropping-particle":"Al","parse-names":false,"suffix":""},{"dropping-particle":"","family":"Carevic","given":"Biljana","non-dropping-particle":"","parse-names":false,"suffix":""},{"dropping-particle":"","family":"Dragovac","given":"Gorana","non-dropping-particle":"","parse-names":false,"suffix":""},{"dropping-particle":"","family":"Obradovic","given":"Dusanka","non-dropping-particle":"","parse-names":false,"suffix":""},{"dropping-particle":"","family":"Stojadinovic","given":"Aleksandra","non-dropping-particle":"","parse-names":false,"suffix":""},{"dropping-particle":"","family":"Radulovic","given":"Lili","non-dropping-particle":"","parse-names":false,"suffix":""},{"dropping-particle":"","family":"Wu","given":"Jia EN","non-dropping-particle":"","parse-names":false,"suffix":""},{"dropping-particle":"","family":"Wei Teng Chung","given":"Gladys","non-dropping-particle":"","parse-names":false,"suffix":""},{"dropping-particle":"","family":"Chen","given":"Hui Hiong","non-dropping-particle":"","parse-names":false,"suffix":""},{"dropping-particle":"","family":"Tambyah","given":"Paul Anantharajah","non-dropping-particle":"","parse-names":false,"suffix":""},{"dropping-particle":"","family":"Lye","given":"David","non-dropping-particle":"","parse-names":false,"suffix":""},{"dropping-particle":"","family":"Tan","given":"Sock Hoon","non-dropping-particle":"","parse-names":false,"suffix":""},{"dropping-particle":"","family":"Ng","given":"Tat Ming","non-dropping-particle":"","parse-names":false,"suffix":""},{"dropping-particle":"","family":"Tay","given":"Hui Lin","non-dropping-particle":"","parse-names":false,"suffix":""},{"dropping-particle":"","family":"Ling","given":"Moi Lin","non-dropping-particle":"","parse-names":false,"suffix":""},{"dropping-particle":"","family":"Chlebicki","given":"Maciej Piotr","non-dropping-particle":"","parse-names":false,"suffix":""},{"dropping-particle":"","family":"Kwa","given":"Andrea L.","non-dropping-particle":"","parse-names":false,"suffix":""},{"dropping-particle":"","family":"Lee","given":"Winnie","non-dropping-particle":"","parse-names":false,"suffix":""},{"dropping-particle":"","family":"Beović","given":"Bojana","non-dropping-particle":"","parse-names":false,"suffix":""},{"dropping-particle":"","family":"Dramowski","given":"Angela","non-dropping-particle":"","parse-names":false,"suffix":""},{"dropping-particle":"","family":"Finlayson","given":"Heather","non-dropping-particle":"","parse-names":false,"suffix":""},{"dropping-particle":"","family":"Taljaard","given":"Jantjie","non-dropping-particle":"","parse-names":false,"suffix":""},{"dropping-particle":"","family":"Ojeda-Burgos","given":"Guillermo","non-dropping-particle":"","parse-names":false,"suffix":""},{"dropping-particle":"","family":"Retamar","given":"Pilar","non-dropping-particle":"","parse-names":false,"suffix":""},{"dropping-particle":"","family":"Lucas","given":"Johan","non-dropping-particle":"","parse-names":false,"suffix":""},{"dropping-particle":"","family":"Pot","given":"Wolter","non-dropping-particle":"","parse-names":false,"suffix":""},{"dropping-particle":"","family":"Verduin","given":"Cees","non-dropping-particle":"","parse-names":false,"suffix":""},{"dropping-particle":"","family":"Kluytmans","given":"Jan","non-dropping-particle":"","parse-names":false,"suffix":""},{"dropping-particle":"","family":"Scott","given":"Michael","non-dropping-particle":"","parse-names":false,"suffix":""},{"dropping-particle":"","family":"Aldeyab","given":"Mamoon A.","non-dropping-particle":"","parse-names":false,"suffix":""},{"dropping-particle":"","family":"McCullagh","given":"Bernadette","non-dropping-particle":"","parse-names":false,"suffix":""},{"dropping-particle":"","family":"Gormley","given":"Cairine","non-dropping-particle":"","parse-names":false,"suffix":""},{"dropping-particle":"","family":"Sharpe","given":"David","non-dropping-particle":"","parse-names":false,"suffix":""},{"dropping-particle":"","family":"Gilchrist","given":"Mark","non-dropping-particle":"","parse-names":false,"suffix":""},{"dropping-particle":"","family":"Whitney","given":"Laura","non-dropping-particle":"","parse-names":false,"suffix":""},{"dropping-particle":"","family":"Laundy","given":"Matthew","non-dropping-particle":"","parse-names":false,"suffix":""},{"dropping-particle":"","family":"Lockwood","given":"Debbie","non-dropping-particle":"","parse-names":false,"suffix":""},{"dropping-particle":"","family":"Drysdale","given":"Simon B.","non-dropping-particle":"","parse-names":false,"suffix":""},{"dropping-particle":"","family":"Boudreaux","given":"Jennifer","non-dropping-particle":"","parse-names":false,"suffix":""},{"dropping-particle":"","family":"Septimus","given":"Edward J.","non-dropping-particle":"","parse-names":false,"suffix":""},{"dropping-particle":"","family":"Greer","given":"Nickie","non-dropping-particle":"","parse-names":false,"suffix":""},{"dropping-particle":"","family":"Gawrys","given":"Gerard","non-dropping-particle":"","parse-names":false,"suffix":""},{"dropping-particle":"","family":"Rios","given":"Edgar","non-dropping-particle":"","parse-names":false,"suffix":""},{"dropping-particle":"","family":"May","given":"Suzanne","non-dropping-particle":"","parse-names":false,"suffix":""}],"container-title":"The Lancet Global Health","id":"ITEM-2","issue":"6","issued":{"date-parts":[["2018"]]},"page":"e619-e629","title":"Antimicrobial consumption and resistance in adult hospital inpatients in 53 countries: results of an internet-based global point prevalence survey","type":"article-journal","volume":"6"},"uris":["http://www.mendeley.com/documents/?uuid=e11eda7d-162a-450c-a7b5-b4b6b0dac9ff"]},{"id":"ITEM-3","itemData":{"DOI":"10.1097/INF.0b013e318286c612","ISSN":"15320987","author":[{"dropping-particle":"","family":"Versporten","given":"Ann","non-dropping-particle":"","parse-names":false,"suffix":""},{"dropping-particle":"","family":"Sharland","given":"Mike","non-dropping-particle":"","parse-names":false,"suffix":""},{"dropping-particle":"","family":"Bielicki","given":"Julia","non-dropping-particle":"","parse-names":false,"suffix":""},{"dropping-particle":"","family":"Drapier","given":"Nico","non-dropping-particle":"","parse-names":false,"suffix":""},{"dropping-particle":"","family":"Vankerckhoven","given":"Vanessa","non-dropping-particle":"","parse-names":false,"suffix":""},{"dropping-particle":"","family":"Goossens","given":"Herman","non-dropping-particle":"","parse-names":false,"suffix":""}],"container-title":"Pediatric Infectious Disease Journal","id":"ITEM-3","issue":"6","issued":{"date-parts":[["2013"]]},"page":"e242-e253","title":"The Antibiotic Resistance and Prescribing in European Children Project: A Neonatal and Pediatric Antimicrobial Web-based Point Prevalence Survey in 73 Hospitals Worldwide","type":"article-journal","volume":"32"},"uris":["http://www.mendeley.com/documents/?uuid=04374deb-20fd-4cbd-81ef-8840fb64580f"]},{"id":"ITEM-4","itemData":{"DOI":"10.1093/jac/dkv418","ISSN":"14602091","abstract":"Objectives: Previously, web-based tools for cross-sectional antimicrobial point prevalence surveys (PPSs) have been used in adults to develop indicators of quality improvement. We aimed to determine the feasibility of developing similar quality indicators of improved antimicrobial prescribing focusing specifically on hospitalized neonates and children worldwide. Methods: A standardized antimicrobial PPS method was employed. Included were all inpatient children and neonates receiving an antimicrobial at 8:00 am on the day of the PPS. Denominators included the total number of inpatients. A web-based application was used for data entry, validation and reporting. We analysed 2012 data from 226 hospitals (H) in 41 countries (C) from Europe (174H; 24C), Africa (6H; 4C), Asia (25H; 8C), Australia (6H), Latin America (11H; 3C) and North America (4H). Results: Of 17 693 admissions, 6499 (36.7%) inpatients received at least one antimicrobial, but this varied considerably between wards and regions. Potential indicators included very high broad-spectrum antibiotic prescribing in children of mainly ceftriaxone (ranked first in Eastern Europe, 31.3%; Asia, 13.0%; Southern Europe, 9.8%), cefepime (ranked third in North America, 7.8%) and meropenem (ranked first in Latin America, 13.1%). The survey identified worryingly high use of critically important antibiotics for hospital-acquired infections in neonates (34.9%; range from 14.2% in Africa to 68.0% in Latin America) compared with children (28.3%; range from 14.5% in Africa to 48.9% in Latin America). Parenteral administration was very common among children in Asia (88%), Latin America (81%) and Europe (67%). Documentation of the reasons for antibiotic prescribing was lowest in Latin America (52%). Prolonged surgical prophylaxis rates ranged from 78% (Europe) to 84% (Latin America). Conclusions: Simple web-based PPS tools provide a feasible method to identify areas for improvement of antibiotic use, to set benchmarks and to monitor future interventions in hospitalized neonates and children. To our knowledge, this study has derived the first global quality indicators for antibiotic use in hospitalized neonates and children.","author":[{"dropping-particle":"","family":"Versporten","given":"Ann","non-dropping-particle":"","parse-names":false,"suffix":""},{"dropping-particle":"","family":"Bielicki","given":"Julia","non-dropping-particle":"","parse-names":false,"suffix":""},{"dropping-particle":"","family":"Drapier","given":"Nico","non-dropping-particle":"","parse-names":false,"suffix":""},{"dropping-particle":"","family":"Sharland","given":"Mike","non-dropping-particle":"","parse-names":false,"suffix":""},{"dropping-particle":"","family":"Goossens","given":"Hermanon","non-dropping-particle":"","parse-names":false,"suffix":""},{"dropping-particle":"","family":"Calle","given":"Graciela Maria","non-dropping-particle":"","parse-names":false,"suffix":""},{"dropping-particle":"","family":"Clark","given":"Julia","non-dropping-particle":"","parse-names":false,"suffix":""},{"dropping-particle":"","family":"Cooper","given":"Celia","non-dropping-particle":"","parse-names":false,"suffix":""},{"dropping-particle":"","family":"Blyth","given":"Christopher C.","non-dropping-particle":"","parse-names":false,"suffix":""},{"dropping-particle":"","family":"Francis","given":"Joshua Reginald","non-dropping-particle":"","parse-names":false,"suffix":""},{"dropping-particle":"","family":"Alsalman","given":"Jameela","non-dropping-particle":"","parse-names":false,"suffix":""},{"dropping-particle":"","family":"Jansens","given":"Hilde","non-dropping-particle":"","parse-names":false,"suffix":""},{"dropping-particle":"","family":"Mahieu","given":"Ludo","non-dropping-particle":"","parse-names":false,"suffix":""},{"dropping-particle":"","family":"Rossom","given":"Paul","non-dropping-particle":"Van","parse-names":false,"suffix":""},{"dropping-particle":"","family":"Vandewal","given":"Wouter","non-dropping-particle":"","parse-names":false,"suffix":""},{"dropping-particle":"","family":"Lepage","given":"Philippe","non-dropping-particle":"","parse-names":false,"suffix":""},{"dropping-particle":"","family":"Blumental","given":"Sophie","non-dropping-particle":"","parse-names":false,"suffix":""},{"dropping-particle":"","family":"Briquet","given":"Caroline","non-dropping-particle":"","parse-names":false,"suffix":""},{"dropping-particle":"","family":"Robbrecht","given":"Dirk","non-dropping-particle":"","parse-names":false,"suffix":""},{"dropping-particle":"","family":"Maton","given":"Pierre","non-dropping-particle":"","parse-names":false,"suffix":""},{"dropping-particle":"","family":"Gabriels","given":"Patrick","non-dropping-particle":"","parse-names":false,"suffix":""},{"dropping-particle":"","family":"Rubic","given":"Zana","non-dropping-particle":"","parse-names":false,"suffix":""},{"dropping-particle":"","family":"Kovacevic","given":"Tanja","non-dropping-particle":"","parse-names":false,"suffix":""},{"dropping-particle":"","family":"Nielsen","given":"Jens Peter","non-dropping-particle":"","parse-names":false,"suffix":""},{"dropping-particle":"","family":"Petersen","given":"Jes Reinholdt","non-dropping-particle":"","parse-names":false,"suffix":""},{"dropping-particle":"","family":"Poorisrisak","given":"Porntiva","non-dropping-particle":"","parse-names":false,"suffix":""},{"dropping-particle":"","family":"Jensen","given":"Lise Heilmann","non-dropping-particle":"","parse-names":false,"suffix":""},{"dropping-particle":"","family":"Laan","given":"Mari","non-dropping-particle":"","parse-names":false,"suffix":""},{"dropping-particle":"","family":"Tamm","given":"Eda","non-dropping-particle":"","parse-names":false,"suffix":""},{"dropping-particle":"","family":"Matsinen","given":"Maire","non-dropping-particle":"","parse-names":false,"suffix":""},{"dropping-particle":"","family":"Rummukainen","given":"Maija Liisa","non-dropping-particle":"","parse-names":false,"suffix":""},{"dropping-particle":"","family":"Gajdos","given":"Vincent","non-dropping-particle":"","parse-names":false,"suffix":""},{"dropping-particle":"","family":"Olivier","given":"Romain","non-dropping-particle":"","parse-names":false,"suffix":""},{"dropping-particle":"","family":"Maréchal","given":"Flore","non-dropping-particle":"Le","parse-names":false,"suffix":""},{"dropping-particle":"","family":"Martinot","given":"Alain","non-dropping-particle":"","parse-names":false,"suffix":""},{"dropping-particle":"","family":"Prot-Labarthe","given":"Sonia","non-dropping-particle":"","parse-names":false,"suffix":""},{"dropping-particle":"","family":"Lorrot","given":"Mathie","non-dropping-particle":"","parse-names":false,"suffix":""},{"dropping-particle":"","family":"Orbach","given":"Daniel","non-dropping-particle":"","parse-names":false,"suffix":""},{"dropping-particle":"","family":"Pagava","given":"Karaman","non-dropping-particle":"","parse-names":false,"suffix":""},{"dropping-particle":"","family":"Hufnagel","given":"Markus","non-dropping-particle":"","parse-names":false,"suffix":""},{"dropping-particle":"","family":"Knuf","given":"Markus","non-dropping-particle":"","parse-names":false,"suffix":""},{"dropping-particle":"","family":"Schlag","given":"Stephanie A.A.","non-dropping-particle":"","parse-names":false,"suffix":""},{"dropping-particle":"","family":"Liese","given":"Johannes","non-dropping-particle":"","parse-names":false,"suffix":""},{"dropping-particle":"","family":"Renner","given":"Lorna","non-dropping-particle":"","parse-names":false,"suffix":""},{"dropping-particle":"","family":"Enimil","given":"Anthony","non-dropping-particle":"","parse-names":false,"suffix":""},{"dropping-particle":"","family":"Awunyo","given":"Marah","non-dropping-particle":"","parse-names":false,"suffix":""},{"dropping-particle":"","family":"Syridou","given":"Garyfallia","non-dropping-particle":"","parse-names":false,"suffix":""},{"dropping-particle":"","family":"Spyridis","given":"Nikos","non-dropping-particle":"","parse-names":false,"suffix":""},{"dropping-particle":"","family":"Critselis","given":"Elena","non-dropping-particle":"","parse-names":false,"suffix":""},{"dropping-particle":"","family":"Kouni","given":"Sofia","non-dropping-particle":"","parse-names":false,"suffix":""},{"dropping-particle":"","family":"Mougkou","given":"Katerina","non-dropping-particle":"","parse-names":false,"suffix":""},{"dropping-particle":"","family":"Ladomenou","given":"Fani","non-dropping-particle":"","parse-names":false,"suffix":""},{"dropping-particle":"","family":"Gkentzi","given":"Despoina","non-dropping-particle":"","parse-names":false,"suffix":""},{"dropping-particle":"","family":"Iosifidis","given":"Elias","non-dropping-particle":"","parse-names":false,"suffix":""},{"dropping-particle":"","family":"Roilides","given":"Emmanuel","non-dropping-particle":"","parse-names":false,"suffix":""},{"dropping-particle":"","family":"Sahu","given":"Suneeta","non-dropping-particle":"","parse-names":false,"suffix":""},{"dropping-particle":"","family":"Murki","given":"Srinivas","non-dropping-particle":"","parse-names":false,"suffix":""},{"dropping-particle":"","family":"Malviya","given":"Manoj","non-dropping-particle":"","parse-names":false,"suffix":""},{"dropping-particle":"","family":"Kalavalapalli","given":"Durga Bhavani","non-dropping-particle":"","parse-names":false,"suffix":""},{"dropping-particle":"","family":"Singh","given":"Sanjeev","non-dropping-particle":"","parse-names":false,"suffix":""},{"dropping-particle":"","family":"Singhal","given":"Tanu","non-dropping-particle":"","parse-names":false,"suffix":""},{"dropping-particle":"","family":"Garg","given":"Garima","non-dropping-particle":"","parse-names":false,"suffix":""},{"dropping-particle":"","family":"Garg","given":"Pankaj","non-dropping-particle":"","parse-names":false,"suffix":""},{"dropping-particle":"","family":"Kler","given":"Neelam","non-dropping-particle":"","parse-names":false,"suffix":""},{"dropping-particle":"","family":"Soltani","given":"Jafar","non-dropping-particle":"","parse-names":false,"suffix":""},{"dropping-particle":"","family":"Jafarpour","given":"Zahra","non-dropping-particle":"","parse-names":false,"suffix":""},{"dropping-particle":"","family":"Pouladfar","given":"Gholamreza","non-dropping-particle":"","parse-names":false,"suffix":""},{"dropping-particle":"","family":"Nicolini","given":"Giangiacomo","non-dropping-particle":"","parse-names":false,"suffix":""},{"dropping-particle":"","family":"Montagnani","given":"Carlotta","non-dropping-particle":"","parse-names":false,"suffix":""},{"dropping-particle":"","family":"Galli","given":"Luisa","non-dropping-particle":"","parse-names":false,"suffix":""},{"dropping-particle":"","family":"Esposito","given":"Susanna","non-dropping-particle":"","parse-names":false,"suffix":""},{"dropping-particle":"Lo","family":"Vecchio","given":"Andrea","non-dropping-particle":"","parse-names":false,"suffix":""},{"dropping-particle":"","family":"Dona'","given":"Daniele","non-dropping-particle":"","parse-names":false,"suffix":""},{"dropping-particle":"","family":"Giaquinto","given":"Carlo","non-dropping-particle":"","parse-names":false,"suffix":""},{"dropping-particle":"","family":"Borgia","given":"Eleonora","non-dropping-particle":"","parse-names":false,"suffix":""},{"dropping-particle":"","family":"D'Argenio","given":"Patrizia","non-dropping-particle":"","parse-names":false,"suffix":""},{"dropping-particle":"","family":"Luca","given":"Maia","non-dropping-particle":"De","parse-names":false,"suffix":""},{"dropping-particle":"","family":"Centenari","given":"Chiara","non-dropping-particle":"","parse-names":false,"suffix":""},{"dropping-particle":"","family":"Raka","given":"Lul","non-dropping-particle":"","parse-names":false,"suffix":""},{"dropping-particle":"","family":"Omar","given":"Abeer","non-dropping-particle":"","parse-names":false,"suffix":""},{"dropping-particle":"","family":"Al-Mousa","given":"Haifaa","non-dropping-particle":"","parse-names":false,"suffix":""},{"dropping-particle":"","family":"Mozgis","given":"Dzintars","non-dropping-particle":"","parse-names":false,"suffix":""},{"dropping-particle":"","family":"Sviestina","given":"Inese","non-dropping-particle":"","parse-names":false,"suffix":""},{"dropping-particle":"","family":"Burokiene","given":"Sigita","non-dropping-particle":"","parse-names":false,"suffix":""},{"dropping-particle":"","family":"Usonis","given":"Vytautas","non-dropping-particle":"","parse-names":false,"suffix":""},{"dropping-particle":"","family":"Tavchioska","given":"Gabriela","non-dropping-particle":"","parse-names":false,"suffix":""},{"dropping-particle":"","family":"Hargadon-Lowe","given":"Antonia","non-dropping-particle":"","parse-names":false,"suffix":""},{"dropping-particle":"","family":"Zarb","given":"Peter","non-dropping-particle":"","parse-names":false,"suffix":""},{"dropping-particle":"","family":"Borg","given":"Michael A.","non-dropping-particle":"","parse-names":false,"suffix":""},{"dropping-particle":"","family":"González Lozano","given":"Carlos Agustín","non-dropping-particle":"","parse-names":false,"suffix":""},{"dropping-particle":"","family":"Castañon","given":"Patricia Zárate","non-dropping-particle":"","parse-names":false,"suffix":""},{"dropping-particle":"","family":"Cancino","given":"Martha E.","non-dropping-particle":"","parse-names":false,"suffix":""},{"dropping-particle":"","family":"McCullagh","given":"Bernadette","non-dropping-particle":"","parse-names":false,"suffix":""},{"dropping-particle":"","family":"McCorry","given":"Ann","non-dropping-particle":"","parse-names":false,"suffix":""},{"dropping-particle":"","family":"Gormley","given":"Cairine","non-dropping-particle":"","parse-names":false,"suffix":""},{"dropping-particle":"","family":"Maskari","given":"Zaina","non-dropping-particle":"Al","parse-names":false,"suffix":""},{"dropping-particle":"","family":"Al-Jardani","given":"Amina","non-dropping-particle":"","parse-names":false,"suffix":""},{"dropping-particle":"","family":"Pluta","given":"Magdalena","non-dropping-particle":"","parse-names":false,"suffix":""},{"dropping-particle":"","family":"Rodrigues","given":"Fernanda","non-dropping-particle":"","parse-names":false,"suffix":""},{"dropping-particle":"","family":"Brett","given":"Ana","non-dropping-particle":"","parse-names":false,"suffix":""},{"dropping-particle":"","family":"Esteves","given":"Isabel","non-dropping-particle":"","parse-names":false,"suffix":""},{"dropping-particle":"","family":"Marques","given":"Laura","non-dropping-particle":"","parse-names":false,"suffix":""},{"dropping-particle":"","family":"AlAjmi","given":"Jameela Ali","non-dropping-particle":"","parse-names":false,"suffix":""},{"dropping-particle":"","family":"Cambrea","given":"Simona Claudia","non-dropping-particle":"","parse-names":false,"suffix":""},{"dropping-particle":"","family":"Rashed","given":"Asia N.","non-dropping-particle":"","parse-names":false,"suffix":""},{"dropping-particle":"","family":"Azmi","given":"Aeshah Abdu Mubarak","non-dropping-particle":"Al","parse-names":false,"suffix":""},{"dropping-particle":"","family":"Chan","given":"Si Min","non-dropping-particle":"","parse-names":false,"suffix":""},{"dropping-particle":"","family":"Isa","given":"Mas Suhaila","non-dropping-particle":"","parse-names":false,"suffix":""},{"dropping-particle":"","family":"Najdenov","given":"Peter","non-dropping-particle":"","parse-names":false,"suffix":""},{"dropping-particle":"","family":"Čižman","given":"Milan","non-dropping-particle":"","parse-names":false,"suffix":""},{"dropping-particle":"","family":"Unuk","given":"Sibila","non-dropping-particle":"","parse-names":false,"suffix":""},{"dropping-particle":"","family":"Finlayson","given":"Heather","non-dropping-particle":"","parse-names":false,"suffix":""},{"dropping-particle":"","family":"Dramowski","given":"Angela","non-dropping-particle":"","parse-names":false,"suffix":""},{"dropping-particle":"","family":"Maté-Cano","given":"Irene","non-dropping-particle":"","parse-names":false,"suffix":""},{"dropping-particle":"","family":"Soto","given":"Beatriz","non-dropping-particle":"","parse-names":false,"suffix":""},{"dropping-particle":"","family":"Calvo","given":"Cristina","non-dropping-particle":"","parse-names":false,"suffix":""},{"dropping-particle":"","family":"Santiago","given":"Begoña","non-dropping-particle":"","parse-names":false,"suffix":""},{"dropping-particle":"","family":"Saavedra-Lozano","given":"Jesus","non-dropping-particle":"","parse-names":false,"suffix":""},{"dropping-particle":"","family":"Bustinza","given":"Amaya","non-dropping-particle":"","parse-names":false,"suffix":""},{"dropping-particle":"","family":"Escosa-García","given":"Luis","non-dropping-particle":"","parse-names":false,"suffix":""},{"dropping-particle":"","family":"Ureta","given":"Noelia","non-dropping-particle":"","parse-names":false,"suffix":""},{"dropping-particle":"","family":"Tagarro","given":"Alfredo","non-dropping-particle":"","parse-names":false,"suffix":""},{"dropping-particle":"","family":"Barrero","given":"Pedro Terol","non-dropping-particle":"","parse-names":false,"suffix":""},{"dropping-particle":"","family":"Rincon-Lopez","given":"Elena Maria","non-dropping-particle":"","parse-names":false,"suffix":""},{"dropping-particle":"","family":"Abubakar","given":"Ismaela","non-dropping-particle":"","parse-names":false,"suffix":""},{"dropping-particle":"","family":"Aston","given":"Jeff","non-dropping-particle":"","parse-names":false,"suffix":""},{"dropping-particle":"","family":"Heginbothom","given":"Maggie","non-dropping-particle":"","parse-names":false,"suffix":""},{"dropping-particle":"","family":"Satodia","given":"Prakash","non-dropping-particle":"","parse-names":false,"suffix":""},{"dropping-particle":"","family":"Garbash","given":"Mehdi","non-dropping-particle":"","parse-names":false,"suffix":""},{"dropping-particle":"","family":"Johnson","given":"Alison","non-dropping-particle":"","parse-names":false,"suffix":""},{"dropping-particle":"","family":"Sharpe","given":"David","non-dropping-particle":"","parse-names":false,"suffix":""},{"dropping-particle":"","family":"Barton","given":"Christopher","non-dropping-particle":"","parse-names":false,"suffix":""},{"dropping-particle":"","family":"Menson","given":"Esse","non-dropping-particle":"","parse-names":false,"suffix":""},{"dropping-particle":"","family":"Arenas-Lopez","given":"Sara","non-dropping-particle":"","parse-names":false,"suffix":""},{"dropping-particle":"","family":"Luck","given":"Suzanne","non-dropping-particle":"","parse-names":false,"suffix":""},{"dropping-particle":"","family":"Doerholt","given":"Katja","non-dropping-particle":"","parse-names":false,"suffix":""},{"dropping-particle":"","family":"McMaster","given":"Paddy","non-dropping-particle":"","parse-names":false,"suffix":""},{"dropping-particle":"","family":"Caldwell","given":"Neil A.","non-dropping-particle":"","parse-names":false,"suffix":""},{"dropping-particle":"","family":"Lunn","given":"Andrew","non-dropping-particle":"","parse-names":false,"suffix":""},{"dropping-particle":"","family":"Drysdale","given":"Simon B.","non-dropping-particle":"","parse-names":false,"suffix":""},{"dropping-particle":"","family":"Howe","given":"Rachel","non-dropping-particle":"","parse-names":false,"suffix":""},{"dropping-particle":"","family":"Scorrer","given":"Tim","non-dropping-particle":"","parse-names":false,"suffix":""},{"dropping-particle":"","family":"Gahleitner","given":"Florian","non-dropping-particle":"","parse-names":false,"suffix":""},{"dropping-particle":"","family":"Gupta","given":"Richa","non-dropping-particle":"","parse-names":false,"suffix":""},{"dropping-particle":"","family":"Nash","given":"Clare","non-dropping-particle":"","parse-names":false,"suffix":""},{"dropping-particle":"","family":"Alexander","given":"John","non-dropping-particle":"","parse-names":false,"suffix":""},{"dropping-particle":"","family":"Raman","given":"Mala","non-dropping-particle":"","parse-names":false,"suffix":""},{"dropping-particle":"","family":"Bell","given":"Emily","non-dropping-particle":"","parse-names":false,"suffix":""},{"dropping-particle":"","family":"Rajagopal","given":"Veena","non-dropping-particle":"","parse-names":false,"suffix":""},{"dropping-particle":"","family":"Kohlhoff","given":"Stephan","non-dropping-particle":"","parse-names":false,"suffix":""},{"dropping-particle":"","family":"Cox","given":"Elaine","non-dropping-particle":"","parse-names":false,"suffix":""},{"dropping-particle":"","family":"Zaoutis","given":"Theoklis","non-dropping-particle":"","parse-names":false,"suffix":""}],"container-title":"Journal of Antimicrobial Chemotherapy","id":"ITEM-4","issue":"4","issued":{"date-parts":[["2016"]]},"page":"1106-1117","title":"The worldwide antibiotic resistance and prescribing in european children (ARPEC) point prevalence survey: Developing hospital-quality indicators of antibiotic prescribing for children","type":"article-journal","volume":"71"},"uris":["http://www.mendeley.com/documents/?uuid=0466d003-90a3-471b-a1b4-5f05b3f652f4"]}],"mendeley":{"formattedCitation":"&lt;sup&gt;&lt;sup&gt;10&lt;/sup&gt;,&lt;sup&gt;26&lt;/sup&gt;–&lt;sup&gt;28&lt;/sup&gt;&lt;/sup&gt;","plainTextFormattedCitation":"10,26–28","previouslyFormattedCitation":"&lt;sup&gt;&lt;sup&gt;10&lt;/sup&gt;,&lt;sup&gt;26&lt;/sup&gt;–&lt;sup&gt;28&lt;/sup&gt;&lt;/sup&gt;"},"properties":{"noteIndex":0},"schema":"https://github.com/citation-style-language/schema/raw/master/csl-citation.json"}</w:instrText>
      </w:r>
      <w:r w:rsidR="00197EB9" w:rsidRPr="00C43975">
        <w:rPr>
          <w:rFonts w:ascii="Arial" w:hAnsi="Arial" w:cs="Arial"/>
        </w:rPr>
        <w:fldChar w:fldCharType="separate"/>
      </w:r>
      <w:r w:rsidR="00E51D07" w:rsidRPr="00C43975">
        <w:rPr>
          <w:rFonts w:ascii="Arial" w:hAnsi="Arial" w:cs="Arial"/>
          <w:noProof/>
          <w:vertAlign w:val="superscript"/>
        </w:rPr>
        <w:t>10,26–28</w:t>
      </w:r>
      <w:r w:rsidR="00197EB9" w:rsidRPr="00C43975">
        <w:rPr>
          <w:rFonts w:ascii="Arial" w:hAnsi="Arial" w:cs="Arial"/>
        </w:rPr>
        <w:fldChar w:fldCharType="end"/>
      </w:r>
      <w:r w:rsidR="000F7C95" w:rsidRPr="00C43975">
        <w:rPr>
          <w:rFonts w:ascii="Arial" w:hAnsi="Arial" w:cs="Arial"/>
        </w:rPr>
        <w:t xml:space="preserve">. We were unable to capture treatment duration, </w:t>
      </w:r>
      <w:r w:rsidR="003E2265" w:rsidRPr="00C43975">
        <w:rPr>
          <w:rFonts w:ascii="Arial" w:hAnsi="Arial" w:cs="Arial"/>
        </w:rPr>
        <w:t>sequential treatment choices</w:t>
      </w:r>
      <w:r w:rsidR="000F7C95" w:rsidRPr="00C43975">
        <w:rPr>
          <w:rFonts w:ascii="Arial" w:hAnsi="Arial" w:cs="Arial"/>
        </w:rPr>
        <w:t xml:space="preserve">, and treatment outcomes. </w:t>
      </w:r>
      <w:r w:rsidR="006C25FF" w:rsidRPr="00C43975">
        <w:rPr>
          <w:rFonts w:ascii="Arial" w:hAnsi="Arial" w:cs="Arial"/>
        </w:rPr>
        <w:t xml:space="preserve">Furthermore, participating hospitals contributed data to </w:t>
      </w:r>
      <w:r w:rsidR="003E2265" w:rsidRPr="00C43975">
        <w:rPr>
          <w:rFonts w:ascii="Arial" w:hAnsi="Arial" w:cs="Arial"/>
        </w:rPr>
        <w:t xml:space="preserve">the </w:t>
      </w:r>
      <w:r w:rsidR="006C25FF" w:rsidRPr="00C43975">
        <w:rPr>
          <w:rFonts w:ascii="Arial" w:hAnsi="Arial" w:cs="Arial"/>
        </w:rPr>
        <w:t>GARPEC network voluntarily so our study may not be generali</w:t>
      </w:r>
      <w:r w:rsidR="00911DD7" w:rsidRPr="00C43975">
        <w:rPr>
          <w:rFonts w:ascii="Arial" w:hAnsi="Arial" w:cs="Arial"/>
        </w:rPr>
        <w:t>s</w:t>
      </w:r>
      <w:r w:rsidR="006C25FF" w:rsidRPr="00C43975">
        <w:rPr>
          <w:rFonts w:ascii="Arial" w:hAnsi="Arial" w:cs="Arial"/>
        </w:rPr>
        <w:t>able to the overall</w:t>
      </w:r>
      <w:r w:rsidR="003E2265" w:rsidRPr="00C43975">
        <w:rPr>
          <w:rFonts w:ascii="Arial" w:hAnsi="Arial" w:cs="Arial"/>
        </w:rPr>
        <w:t xml:space="preserve"> global</w:t>
      </w:r>
      <w:r w:rsidR="006C25FF" w:rsidRPr="00C43975">
        <w:rPr>
          <w:rFonts w:ascii="Arial" w:hAnsi="Arial" w:cs="Arial"/>
        </w:rPr>
        <w:t xml:space="preserve"> inpatient paediatric population. </w:t>
      </w:r>
      <w:r w:rsidR="00823030" w:rsidRPr="00C43975">
        <w:rPr>
          <w:rFonts w:ascii="Arial" w:hAnsi="Arial" w:cs="Arial"/>
        </w:rPr>
        <w:t xml:space="preserve">The use of </w:t>
      </w:r>
      <w:r w:rsidR="003E2265" w:rsidRPr="00C43975">
        <w:rPr>
          <w:rFonts w:ascii="Arial" w:hAnsi="Arial" w:cs="Arial"/>
        </w:rPr>
        <w:t xml:space="preserve">a </w:t>
      </w:r>
      <w:r w:rsidR="00823030" w:rsidRPr="00C43975">
        <w:rPr>
          <w:rFonts w:ascii="Arial" w:hAnsi="Arial" w:cs="Arial"/>
        </w:rPr>
        <w:t>simple cross-sectional PPS study design allow</w:t>
      </w:r>
      <w:r w:rsidR="003E2265" w:rsidRPr="00C43975">
        <w:rPr>
          <w:rFonts w:ascii="Arial" w:hAnsi="Arial" w:cs="Arial"/>
        </w:rPr>
        <w:t>s</w:t>
      </w:r>
      <w:r w:rsidR="00823030" w:rsidRPr="00C43975">
        <w:rPr>
          <w:rFonts w:ascii="Arial" w:hAnsi="Arial" w:cs="Arial"/>
        </w:rPr>
        <w:t xml:space="preserve"> the collection of </w:t>
      </w:r>
      <w:r w:rsidR="003E32DD" w:rsidRPr="00C43975">
        <w:rPr>
          <w:rFonts w:ascii="Arial" w:hAnsi="Arial" w:cs="Arial"/>
        </w:rPr>
        <w:t xml:space="preserve">valuable </w:t>
      </w:r>
      <w:r w:rsidR="00823030" w:rsidRPr="00C43975">
        <w:rPr>
          <w:rFonts w:ascii="Arial" w:hAnsi="Arial" w:cs="Arial"/>
        </w:rPr>
        <w:t xml:space="preserve">data in LMICs, where surveillance and stewardship programmes are not routinely available. </w:t>
      </w:r>
    </w:p>
    <w:p w14:paraId="6A206E53" w14:textId="77777777" w:rsidR="008D27AB" w:rsidRPr="00C43975" w:rsidRDefault="008D27AB" w:rsidP="00C43975">
      <w:pPr>
        <w:spacing w:line="480" w:lineRule="auto"/>
        <w:jc w:val="both"/>
        <w:rPr>
          <w:rFonts w:ascii="Arial" w:hAnsi="Arial" w:cs="Arial"/>
        </w:rPr>
      </w:pPr>
    </w:p>
    <w:p w14:paraId="793555B8" w14:textId="67C1A284" w:rsidR="008D27AB" w:rsidRPr="00C43975" w:rsidRDefault="00EF1721" w:rsidP="00C43975">
      <w:pPr>
        <w:spacing w:line="480" w:lineRule="auto"/>
        <w:jc w:val="both"/>
        <w:rPr>
          <w:rFonts w:ascii="Arial" w:hAnsi="Arial" w:cs="Arial"/>
          <w:b/>
        </w:rPr>
      </w:pPr>
      <w:r w:rsidRPr="00C43975">
        <w:rPr>
          <w:rFonts w:ascii="Arial" w:hAnsi="Arial" w:cs="Arial"/>
          <w:b/>
        </w:rPr>
        <w:lastRenderedPageBreak/>
        <w:t>Conclusion</w:t>
      </w:r>
    </w:p>
    <w:p w14:paraId="5F614FD1" w14:textId="2BE05CFE" w:rsidR="00443401" w:rsidRPr="00C43975" w:rsidRDefault="00654802" w:rsidP="00C43975">
      <w:pPr>
        <w:spacing w:line="480" w:lineRule="auto"/>
        <w:jc w:val="both"/>
        <w:rPr>
          <w:rFonts w:ascii="Arial" w:hAnsi="Arial" w:cs="Arial"/>
        </w:rPr>
      </w:pPr>
      <w:r w:rsidRPr="00C43975">
        <w:rPr>
          <w:rFonts w:ascii="Arial" w:hAnsi="Arial" w:cs="Arial"/>
        </w:rPr>
        <w:t xml:space="preserve">Globally, </w:t>
      </w:r>
      <w:r w:rsidR="005D2CE9" w:rsidRPr="00C43975">
        <w:rPr>
          <w:rFonts w:ascii="Arial" w:hAnsi="Arial" w:cs="Arial"/>
        </w:rPr>
        <w:t xml:space="preserve">a </w:t>
      </w:r>
      <w:r w:rsidR="00020543" w:rsidRPr="00C43975">
        <w:rPr>
          <w:rFonts w:ascii="Arial" w:hAnsi="Arial" w:cs="Arial"/>
        </w:rPr>
        <w:t xml:space="preserve">significant </w:t>
      </w:r>
      <w:r w:rsidRPr="00C43975">
        <w:rPr>
          <w:rFonts w:ascii="Arial" w:hAnsi="Arial" w:cs="Arial"/>
        </w:rPr>
        <w:t xml:space="preserve">variability in antifungal </w:t>
      </w:r>
      <w:r w:rsidR="003E2265" w:rsidRPr="00C43975">
        <w:rPr>
          <w:rFonts w:ascii="Arial" w:hAnsi="Arial" w:cs="Arial"/>
        </w:rPr>
        <w:t xml:space="preserve">prescription </w:t>
      </w:r>
      <w:r w:rsidR="00020543" w:rsidRPr="00C43975">
        <w:rPr>
          <w:rFonts w:ascii="Arial" w:hAnsi="Arial" w:cs="Arial"/>
        </w:rPr>
        <w:t xml:space="preserve">was </w:t>
      </w:r>
      <w:r w:rsidR="003E2265" w:rsidRPr="00C43975">
        <w:rPr>
          <w:rFonts w:ascii="Arial" w:hAnsi="Arial" w:cs="Arial"/>
        </w:rPr>
        <w:t>observed</w:t>
      </w:r>
      <w:r w:rsidRPr="00C43975">
        <w:rPr>
          <w:rFonts w:ascii="Arial" w:hAnsi="Arial" w:cs="Arial"/>
        </w:rPr>
        <w:t>, with a proportion</w:t>
      </w:r>
      <w:r w:rsidR="003E2265" w:rsidRPr="00C43975">
        <w:rPr>
          <w:rFonts w:ascii="Arial" w:hAnsi="Arial" w:cs="Arial"/>
        </w:rPr>
        <w:t>al</w:t>
      </w:r>
      <w:r w:rsidRPr="00C43975">
        <w:rPr>
          <w:rFonts w:ascii="Arial" w:hAnsi="Arial" w:cs="Arial"/>
        </w:rPr>
        <w:t xml:space="preserve"> </w:t>
      </w:r>
      <w:r w:rsidR="00020543" w:rsidRPr="00C43975">
        <w:rPr>
          <w:rFonts w:ascii="Arial" w:hAnsi="Arial" w:cs="Arial"/>
        </w:rPr>
        <w:t xml:space="preserve">use </w:t>
      </w:r>
      <w:r w:rsidRPr="00C43975">
        <w:rPr>
          <w:rFonts w:ascii="Arial" w:hAnsi="Arial" w:cs="Arial"/>
        </w:rPr>
        <w:t xml:space="preserve">twice as high in HIC compared to LMIC. </w:t>
      </w:r>
      <w:r w:rsidR="00A12564" w:rsidRPr="00C43975">
        <w:rPr>
          <w:rFonts w:ascii="Arial" w:hAnsi="Arial" w:cs="Arial"/>
        </w:rPr>
        <w:t>The majority</w:t>
      </w:r>
      <w:r w:rsidRPr="00C43975">
        <w:rPr>
          <w:rFonts w:ascii="Arial" w:hAnsi="Arial" w:cs="Arial"/>
        </w:rPr>
        <w:t xml:space="preserve"> of prescriptions were </w:t>
      </w:r>
      <w:r w:rsidR="00A12564" w:rsidRPr="00C43975">
        <w:rPr>
          <w:rFonts w:ascii="Arial" w:hAnsi="Arial" w:cs="Arial"/>
        </w:rPr>
        <w:t xml:space="preserve">issued </w:t>
      </w:r>
      <w:r w:rsidRPr="00C43975">
        <w:rPr>
          <w:rFonts w:ascii="Arial" w:hAnsi="Arial" w:cs="Arial"/>
        </w:rPr>
        <w:t>for medical prophylaxis and empiric</w:t>
      </w:r>
      <w:r w:rsidR="00A12564" w:rsidRPr="00C43975">
        <w:rPr>
          <w:rFonts w:ascii="Arial" w:hAnsi="Arial" w:cs="Arial"/>
        </w:rPr>
        <w:t>al</w:t>
      </w:r>
      <w:r w:rsidRPr="00C43975">
        <w:rPr>
          <w:rFonts w:ascii="Arial" w:hAnsi="Arial" w:cs="Arial"/>
        </w:rPr>
        <w:t xml:space="preserve"> treatment in high</w:t>
      </w:r>
      <w:r w:rsidR="00A12564" w:rsidRPr="00C43975">
        <w:rPr>
          <w:rFonts w:ascii="Arial" w:hAnsi="Arial" w:cs="Arial"/>
        </w:rPr>
        <w:t>-</w:t>
      </w:r>
      <w:r w:rsidRPr="00C43975">
        <w:rPr>
          <w:rFonts w:ascii="Arial" w:hAnsi="Arial" w:cs="Arial"/>
        </w:rPr>
        <w:t xml:space="preserve">risk </w:t>
      </w:r>
      <w:r w:rsidR="005D2CE9" w:rsidRPr="00C43975">
        <w:rPr>
          <w:rFonts w:ascii="Arial" w:hAnsi="Arial" w:cs="Arial"/>
        </w:rPr>
        <w:t xml:space="preserve">paediatric </w:t>
      </w:r>
      <w:r w:rsidRPr="00C43975">
        <w:rPr>
          <w:rFonts w:ascii="Arial" w:hAnsi="Arial" w:cs="Arial"/>
        </w:rPr>
        <w:t>population</w:t>
      </w:r>
      <w:r w:rsidR="00A12564" w:rsidRPr="00C43975">
        <w:rPr>
          <w:rFonts w:ascii="Arial" w:hAnsi="Arial" w:cs="Arial"/>
        </w:rPr>
        <w:t xml:space="preserve">. </w:t>
      </w:r>
      <w:r w:rsidR="000043C7" w:rsidRPr="00C43975">
        <w:rPr>
          <w:rFonts w:ascii="Arial" w:hAnsi="Arial" w:cs="Arial"/>
        </w:rPr>
        <w:t>Accessibility and affordability of antifungal drugs is a well-known hurdle for LMIC</w:t>
      </w:r>
      <w:r w:rsidR="00865144" w:rsidRPr="00C43975">
        <w:rPr>
          <w:rFonts w:ascii="Arial" w:hAnsi="Arial" w:cs="Arial"/>
        </w:rPr>
        <w:t>s in general</w:t>
      </w:r>
      <w:r w:rsidR="000043C7" w:rsidRPr="00C43975">
        <w:rPr>
          <w:rFonts w:ascii="Arial" w:hAnsi="Arial" w:cs="Arial"/>
        </w:rPr>
        <w:t xml:space="preserve">. </w:t>
      </w:r>
      <w:r w:rsidR="00865144" w:rsidRPr="00C43975">
        <w:rPr>
          <w:rFonts w:ascii="Arial" w:hAnsi="Arial" w:cs="Arial"/>
        </w:rPr>
        <w:t>The next step is to obtain patient level data from the LMIC setting, focussing on the optimal management of high</w:t>
      </w:r>
      <w:r w:rsidR="006618DB" w:rsidRPr="00C43975">
        <w:rPr>
          <w:rFonts w:ascii="Arial" w:hAnsi="Arial" w:cs="Arial"/>
        </w:rPr>
        <w:t>-</w:t>
      </w:r>
      <w:r w:rsidR="00865144" w:rsidRPr="00C43975">
        <w:rPr>
          <w:rFonts w:ascii="Arial" w:hAnsi="Arial" w:cs="Arial"/>
        </w:rPr>
        <w:t xml:space="preserve">risk groups. </w:t>
      </w:r>
    </w:p>
    <w:p w14:paraId="37DB4E23" w14:textId="2CC9178C" w:rsidR="00443401" w:rsidRPr="00C43975" w:rsidRDefault="00443401" w:rsidP="00C43975">
      <w:pPr>
        <w:spacing w:after="160" w:line="480" w:lineRule="auto"/>
        <w:rPr>
          <w:rFonts w:ascii="Arial" w:hAnsi="Arial" w:cs="Arial"/>
        </w:rPr>
      </w:pPr>
      <w:r w:rsidRPr="00C43975">
        <w:rPr>
          <w:rFonts w:ascii="Arial" w:hAnsi="Arial" w:cs="Arial"/>
        </w:rPr>
        <w:br w:type="page"/>
      </w:r>
    </w:p>
    <w:p w14:paraId="5280B839" w14:textId="16E8654D" w:rsidR="008D27AB" w:rsidRPr="00C43975" w:rsidRDefault="008D27AB" w:rsidP="00C43975">
      <w:pPr>
        <w:spacing w:line="480" w:lineRule="auto"/>
        <w:jc w:val="both"/>
        <w:rPr>
          <w:rFonts w:ascii="Arial" w:hAnsi="Arial" w:cs="Arial"/>
        </w:rPr>
      </w:pPr>
      <w:r w:rsidRPr="00C43975">
        <w:rPr>
          <w:rFonts w:ascii="Arial" w:eastAsia="ScalaLancetPro" w:hAnsi="Arial" w:cs="Arial"/>
          <w:b/>
        </w:rPr>
        <w:lastRenderedPageBreak/>
        <w:t>References</w:t>
      </w:r>
    </w:p>
    <w:p w14:paraId="78B15022" w14:textId="455C3118" w:rsidR="00120631" w:rsidRPr="00C43975" w:rsidRDefault="00120631" w:rsidP="00C43975">
      <w:pPr>
        <w:autoSpaceDE w:val="0"/>
        <w:autoSpaceDN w:val="0"/>
        <w:adjustRightInd w:val="0"/>
        <w:spacing w:line="480" w:lineRule="auto"/>
        <w:jc w:val="both"/>
        <w:rPr>
          <w:rFonts w:ascii="Arial" w:eastAsia="ScalaLancetPro" w:hAnsi="Arial" w:cs="Arial"/>
          <w:b/>
        </w:rPr>
      </w:pPr>
    </w:p>
    <w:p w14:paraId="439943A1" w14:textId="3A80005A" w:rsidR="00FA2A64" w:rsidRPr="00C43975" w:rsidRDefault="00120631" w:rsidP="00C43975">
      <w:pPr>
        <w:widowControl w:val="0"/>
        <w:autoSpaceDE w:val="0"/>
        <w:autoSpaceDN w:val="0"/>
        <w:adjustRightInd w:val="0"/>
        <w:spacing w:line="480" w:lineRule="auto"/>
        <w:ind w:left="640" w:hanging="640"/>
        <w:rPr>
          <w:rFonts w:ascii="Arial" w:hAnsi="Arial" w:cs="Arial"/>
          <w:noProof/>
          <w:lang w:val="en-US"/>
        </w:rPr>
      </w:pPr>
      <w:r w:rsidRPr="00C43975">
        <w:rPr>
          <w:rFonts w:ascii="Arial" w:eastAsia="ScalaLancetPro" w:hAnsi="Arial" w:cs="Arial"/>
          <w:b/>
        </w:rPr>
        <w:fldChar w:fldCharType="begin" w:fldLock="1"/>
      </w:r>
      <w:r w:rsidRPr="00C43975">
        <w:rPr>
          <w:rFonts w:ascii="Arial" w:eastAsia="ScalaLancetPro" w:hAnsi="Arial" w:cs="Arial"/>
          <w:b/>
        </w:rPr>
        <w:instrText xml:space="preserve">ADDIN Mendeley Bibliography CSL_BIBLIOGRAPHY </w:instrText>
      </w:r>
      <w:r w:rsidRPr="00C43975">
        <w:rPr>
          <w:rFonts w:ascii="Arial" w:eastAsia="ScalaLancetPro" w:hAnsi="Arial" w:cs="Arial"/>
          <w:b/>
        </w:rPr>
        <w:fldChar w:fldCharType="separate"/>
      </w:r>
      <w:r w:rsidR="00FA2A64" w:rsidRPr="00C43975">
        <w:rPr>
          <w:rFonts w:ascii="Arial" w:hAnsi="Arial" w:cs="Arial"/>
          <w:noProof/>
          <w:lang w:val="en-US"/>
        </w:rPr>
        <w:t xml:space="preserve">1. </w:t>
      </w:r>
      <w:r w:rsidR="00FA2A64" w:rsidRPr="00C43975">
        <w:rPr>
          <w:rFonts w:ascii="Arial" w:hAnsi="Arial" w:cs="Arial"/>
          <w:noProof/>
          <w:lang w:val="en-US"/>
        </w:rPr>
        <w:tab/>
        <w:t xml:space="preserve">GAFFI. Improveing outcomes for patients with fungal infections across the World: A road map for the next decade. 2015. </w:t>
      </w:r>
    </w:p>
    <w:p w14:paraId="69C455D2" w14:textId="77777777" w:rsidR="00FA2A64" w:rsidRPr="00C43975" w:rsidRDefault="00FA2A64" w:rsidP="00C43975">
      <w:pPr>
        <w:widowControl w:val="0"/>
        <w:autoSpaceDE w:val="0"/>
        <w:autoSpaceDN w:val="0"/>
        <w:adjustRightInd w:val="0"/>
        <w:spacing w:line="480" w:lineRule="auto"/>
        <w:ind w:left="640" w:hanging="640"/>
        <w:rPr>
          <w:rFonts w:ascii="Arial" w:hAnsi="Arial" w:cs="Arial"/>
          <w:noProof/>
          <w:lang w:val="en-US"/>
        </w:rPr>
      </w:pPr>
      <w:r w:rsidRPr="00C43975">
        <w:rPr>
          <w:rFonts w:ascii="Arial" w:hAnsi="Arial" w:cs="Arial"/>
          <w:noProof/>
          <w:lang w:val="en-US"/>
        </w:rPr>
        <w:t xml:space="preserve">2. </w:t>
      </w:r>
      <w:r w:rsidRPr="00C43975">
        <w:rPr>
          <w:rFonts w:ascii="Arial" w:hAnsi="Arial" w:cs="Arial"/>
          <w:noProof/>
          <w:lang w:val="en-US"/>
        </w:rPr>
        <w:tab/>
        <w:t>Denning D, Jugessur J. Hidden crisis : How 150 people die every hour from fungal infection while the world turns a blind eye [Internet]. Gaffi. 2016. Available from: https://www.gaffi.org/wp-content/uploads/GAFFI-Leaflet-June-2016-DWD-hidden-crisis.pdf</w:t>
      </w:r>
    </w:p>
    <w:p w14:paraId="2C1D4D6E" w14:textId="77777777" w:rsidR="00FA2A64" w:rsidRPr="00C43975" w:rsidRDefault="00FA2A64" w:rsidP="00C43975">
      <w:pPr>
        <w:widowControl w:val="0"/>
        <w:autoSpaceDE w:val="0"/>
        <w:autoSpaceDN w:val="0"/>
        <w:adjustRightInd w:val="0"/>
        <w:spacing w:line="480" w:lineRule="auto"/>
        <w:ind w:left="640" w:hanging="640"/>
        <w:rPr>
          <w:rFonts w:ascii="Arial" w:hAnsi="Arial" w:cs="Arial"/>
          <w:noProof/>
          <w:lang w:val="en-US"/>
        </w:rPr>
      </w:pPr>
      <w:r w:rsidRPr="00C43975">
        <w:rPr>
          <w:rFonts w:ascii="Arial" w:hAnsi="Arial" w:cs="Arial"/>
          <w:noProof/>
          <w:lang w:val="en-US"/>
        </w:rPr>
        <w:t xml:space="preserve">3. </w:t>
      </w:r>
      <w:r w:rsidRPr="00C43975">
        <w:rPr>
          <w:rFonts w:ascii="Arial" w:hAnsi="Arial" w:cs="Arial"/>
          <w:noProof/>
          <w:lang w:val="en-US"/>
        </w:rPr>
        <w:tab/>
        <w:t xml:space="preserve">Bongomin F, Gago S, Oladele RO, Denning DW. Global and multi-national prevalence of fungal diseases—estimate precision. J Fungi. 2017;3(4):1–29. </w:t>
      </w:r>
    </w:p>
    <w:p w14:paraId="7B303D43" w14:textId="77777777" w:rsidR="00FA2A64" w:rsidRPr="00C43975" w:rsidRDefault="00FA2A64" w:rsidP="00C43975">
      <w:pPr>
        <w:widowControl w:val="0"/>
        <w:autoSpaceDE w:val="0"/>
        <w:autoSpaceDN w:val="0"/>
        <w:adjustRightInd w:val="0"/>
        <w:spacing w:line="480" w:lineRule="auto"/>
        <w:ind w:left="640" w:hanging="640"/>
        <w:rPr>
          <w:rFonts w:ascii="Arial" w:hAnsi="Arial" w:cs="Arial"/>
          <w:noProof/>
          <w:lang w:val="en-US"/>
        </w:rPr>
      </w:pPr>
      <w:r w:rsidRPr="00C43975">
        <w:rPr>
          <w:rFonts w:ascii="Arial" w:hAnsi="Arial" w:cs="Arial"/>
          <w:noProof/>
          <w:lang w:val="en-US"/>
        </w:rPr>
        <w:t xml:space="preserve">4. </w:t>
      </w:r>
      <w:r w:rsidRPr="00C43975">
        <w:rPr>
          <w:rFonts w:ascii="Arial" w:hAnsi="Arial" w:cs="Arial"/>
          <w:noProof/>
          <w:lang w:val="en-US"/>
        </w:rPr>
        <w:tab/>
        <w:t>CDC. Global Fungal Diseases | Fungal Diseases [Internet]. 2018. Available from: https://www.cdc.gov/fungal/global/index.html</w:t>
      </w:r>
    </w:p>
    <w:p w14:paraId="04AB3E69" w14:textId="77777777" w:rsidR="00FA2A64" w:rsidRPr="00C43975" w:rsidRDefault="00FA2A64" w:rsidP="00C43975">
      <w:pPr>
        <w:widowControl w:val="0"/>
        <w:autoSpaceDE w:val="0"/>
        <w:autoSpaceDN w:val="0"/>
        <w:adjustRightInd w:val="0"/>
        <w:spacing w:line="480" w:lineRule="auto"/>
        <w:ind w:left="640" w:hanging="640"/>
        <w:rPr>
          <w:rFonts w:ascii="Arial" w:hAnsi="Arial" w:cs="Arial"/>
          <w:noProof/>
          <w:lang w:val="en-US"/>
        </w:rPr>
      </w:pPr>
      <w:r w:rsidRPr="00C43975">
        <w:rPr>
          <w:rFonts w:ascii="Arial" w:hAnsi="Arial" w:cs="Arial"/>
          <w:noProof/>
          <w:lang w:val="en-US"/>
        </w:rPr>
        <w:t xml:space="preserve">5. </w:t>
      </w:r>
      <w:r w:rsidRPr="00C43975">
        <w:rPr>
          <w:rFonts w:ascii="Arial" w:hAnsi="Arial" w:cs="Arial"/>
          <w:noProof/>
          <w:lang w:val="en-US"/>
        </w:rPr>
        <w:tab/>
        <w:t xml:space="preserve">Vallabhaneni S, Mody RK, Walker T, Chiller T. The Global Burden of Fungal Diseases. Infect Dis Clin North Am. 2016;30(1):1–11. </w:t>
      </w:r>
    </w:p>
    <w:p w14:paraId="3885FA6B" w14:textId="77777777" w:rsidR="00FA2A64" w:rsidRPr="00C43975" w:rsidRDefault="00FA2A64" w:rsidP="00C43975">
      <w:pPr>
        <w:widowControl w:val="0"/>
        <w:autoSpaceDE w:val="0"/>
        <w:autoSpaceDN w:val="0"/>
        <w:adjustRightInd w:val="0"/>
        <w:spacing w:line="480" w:lineRule="auto"/>
        <w:ind w:left="640" w:hanging="640"/>
        <w:rPr>
          <w:rFonts w:ascii="Arial" w:hAnsi="Arial" w:cs="Arial"/>
          <w:noProof/>
          <w:lang w:val="en-US"/>
        </w:rPr>
      </w:pPr>
      <w:r w:rsidRPr="00C43975">
        <w:rPr>
          <w:rFonts w:ascii="Arial" w:hAnsi="Arial" w:cs="Arial"/>
          <w:noProof/>
          <w:lang w:val="en-US"/>
        </w:rPr>
        <w:t xml:space="preserve">6. </w:t>
      </w:r>
      <w:r w:rsidRPr="00C43975">
        <w:rPr>
          <w:rFonts w:ascii="Arial" w:hAnsi="Arial" w:cs="Arial"/>
          <w:noProof/>
          <w:lang w:val="en-US"/>
        </w:rPr>
        <w:tab/>
        <w:t xml:space="preserve">Pana ZD, Roilides E, Warris A, Groll AH, Zaoutis T. Epidemiology of Invasive Fungal Disease in Children. J Pediatric Infect Dis Soc. 2018;6(August):3–11. </w:t>
      </w:r>
    </w:p>
    <w:p w14:paraId="06E49E29" w14:textId="77777777" w:rsidR="00FA2A64" w:rsidRPr="00C43975" w:rsidRDefault="00FA2A64" w:rsidP="00C43975">
      <w:pPr>
        <w:widowControl w:val="0"/>
        <w:autoSpaceDE w:val="0"/>
        <w:autoSpaceDN w:val="0"/>
        <w:adjustRightInd w:val="0"/>
        <w:spacing w:line="480" w:lineRule="auto"/>
        <w:ind w:left="640" w:hanging="640"/>
        <w:rPr>
          <w:rFonts w:ascii="Arial" w:hAnsi="Arial" w:cs="Arial"/>
          <w:noProof/>
          <w:lang w:val="en-US"/>
        </w:rPr>
      </w:pPr>
      <w:r w:rsidRPr="00C43975">
        <w:rPr>
          <w:rFonts w:ascii="Arial" w:hAnsi="Arial" w:cs="Arial"/>
          <w:noProof/>
          <w:lang w:val="en-US"/>
        </w:rPr>
        <w:t xml:space="preserve">7. </w:t>
      </w:r>
      <w:r w:rsidRPr="00C43975">
        <w:rPr>
          <w:rFonts w:ascii="Arial" w:hAnsi="Arial" w:cs="Arial"/>
          <w:noProof/>
          <w:lang w:val="en-US"/>
        </w:rPr>
        <w:tab/>
        <w:t xml:space="preserve">Castagnola E, Bagnasco F, Amoroso L, Caviglia I, Caruso S, Faraci M, et al. Role of manafement strategies in reducing mortality from invasive fungal disease in children with cancer or receiving hemopoietic stem cell transplant. Pediatr Infect Dis J. 2012;33(3):233–7. </w:t>
      </w:r>
    </w:p>
    <w:p w14:paraId="0B9442B8" w14:textId="77777777" w:rsidR="00FA2A64" w:rsidRPr="00C43975" w:rsidRDefault="00FA2A64" w:rsidP="00C43975">
      <w:pPr>
        <w:widowControl w:val="0"/>
        <w:autoSpaceDE w:val="0"/>
        <w:autoSpaceDN w:val="0"/>
        <w:adjustRightInd w:val="0"/>
        <w:spacing w:line="480" w:lineRule="auto"/>
        <w:ind w:left="640" w:hanging="640"/>
        <w:rPr>
          <w:rFonts w:ascii="Arial" w:hAnsi="Arial" w:cs="Arial"/>
          <w:noProof/>
          <w:lang w:val="en-US"/>
        </w:rPr>
      </w:pPr>
      <w:r w:rsidRPr="00C43975">
        <w:rPr>
          <w:rFonts w:ascii="Arial" w:hAnsi="Arial" w:cs="Arial"/>
          <w:noProof/>
          <w:lang w:val="en-US"/>
        </w:rPr>
        <w:t xml:space="preserve">8. </w:t>
      </w:r>
      <w:r w:rsidRPr="00C43975">
        <w:rPr>
          <w:rFonts w:ascii="Arial" w:hAnsi="Arial" w:cs="Arial"/>
          <w:noProof/>
          <w:lang w:val="en-US"/>
        </w:rPr>
        <w:tab/>
        <w:t xml:space="preserve">Tudela JLR, Denning DW. Recovery from serious fungal infections should be realisable for everyone. Lancet Infect Dis. 2017;17(11):1111–3. </w:t>
      </w:r>
    </w:p>
    <w:p w14:paraId="51D04CAF" w14:textId="77777777" w:rsidR="00FA2A64" w:rsidRPr="00C43975" w:rsidRDefault="00FA2A64" w:rsidP="00C43975">
      <w:pPr>
        <w:widowControl w:val="0"/>
        <w:autoSpaceDE w:val="0"/>
        <w:autoSpaceDN w:val="0"/>
        <w:adjustRightInd w:val="0"/>
        <w:spacing w:line="480" w:lineRule="auto"/>
        <w:ind w:left="640" w:hanging="640"/>
        <w:rPr>
          <w:rFonts w:ascii="Arial" w:hAnsi="Arial" w:cs="Arial"/>
          <w:noProof/>
          <w:lang w:val="en-US"/>
        </w:rPr>
      </w:pPr>
      <w:r w:rsidRPr="00C43975">
        <w:rPr>
          <w:rFonts w:ascii="Arial" w:hAnsi="Arial" w:cs="Arial"/>
          <w:noProof/>
          <w:lang w:val="en-US"/>
        </w:rPr>
        <w:t xml:space="preserve">9. </w:t>
      </w:r>
      <w:r w:rsidRPr="00C43975">
        <w:rPr>
          <w:rFonts w:ascii="Arial" w:hAnsi="Arial" w:cs="Arial"/>
          <w:noProof/>
          <w:lang w:val="en-US"/>
        </w:rPr>
        <w:tab/>
        <w:t xml:space="preserve">Kneale M, Bartholomew JS, Davies E, Denning DW. Global access to antifungal therapy and its variable cost. J Antimicrob Chemother. 2016;71(12):3599–606. </w:t>
      </w:r>
    </w:p>
    <w:p w14:paraId="3F1AA61F" w14:textId="77777777" w:rsidR="00FA2A64" w:rsidRPr="00C43975" w:rsidRDefault="00FA2A64" w:rsidP="00C43975">
      <w:pPr>
        <w:widowControl w:val="0"/>
        <w:autoSpaceDE w:val="0"/>
        <w:autoSpaceDN w:val="0"/>
        <w:adjustRightInd w:val="0"/>
        <w:spacing w:line="480" w:lineRule="auto"/>
        <w:ind w:left="640" w:hanging="640"/>
        <w:rPr>
          <w:rFonts w:ascii="Arial" w:hAnsi="Arial" w:cs="Arial"/>
          <w:noProof/>
          <w:lang w:val="en-US"/>
        </w:rPr>
      </w:pPr>
      <w:r w:rsidRPr="00C43975">
        <w:rPr>
          <w:rFonts w:ascii="Arial" w:hAnsi="Arial" w:cs="Arial"/>
          <w:noProof/>
          <w:lang w:val="en-US"/>
        </w:rPr>
        <w:lastRenderedPageBreak/>
        <w:t xml:space="preserve">10. </w:t>
      </w:r>
      <w:r w:rsidRPr="00C43975">
        <w:rPr>
          <w:rFonts w:ascii="Arial" w:hAnsi="Arial" w:cs="Arial"/>
          <w:noProof/>
          <w:lang w:val="en-US"/>
        </w:rPr>
        <w:tab/>
        <w:t xml:space="preserve">Hsia Y, Lee BR, Versporten A, Yang Y, Bielicki J, Jackson C, et al. Use of the WHO Access, Watch, and Reserve classification to define patterns of hospital antibiotic use (AWaRe): an analysis of paediatric survey data from 56 countries. Lancet Glob Heal. 2019;7(7):e861–71. </w:t>
      </w:r>
    </w:p>
    <w:p w14:paraId="7C63D736" w14:textId="77777777" w:rsidR="00FA2A64" w:rsidRPr="00C43975" w:rsidRDefault="00FA2A64" w:rsidP="00C43975">
      <w:pPr>
        <w:widowControl w:val="0"/>
        <w:autoSpaceDE w:val="0"/>
        <w:autoSpaceDN w:val="0"/>
        <w:adjustRightInd w:val="0"/>
        <w:spacing w:line="480" w:lineRule="auto"/>
        <w:ind w:left="640" w:hanging="640"/>
        <w:rPr>
          <w:rFonts w:ascii="Arial" w:hAnsi="Arial" w:cs="Arial"/>
          <w:noProof/>
          <w:lang w:val="en-US"/>
        </w:rPr>
      </w:pPr>
      <w:r w:rsidRPr="00C43975">
        <w:rPr>
          <w:rFonts w:ascii="Arial" w:hAnsi="Arial" w:cs="Arial"/>
          <w:noProof/>
          <w:lang w:val="en-US"/>
        </w:rPr>
        <w:t xml:space="preserve">11. </w:t>
      </w:r>
      <w:r w:rsidRPr="00C43975">
        <w:rPr>
          <w:rFonts w:ascii="Arial" w:hAnsi="Arial" w:cs="Arial"/>
          <w:noProof/>
          <w:lang w:val="en-US"/>
        </w:rPr>
        <w:tab/>
        <w:t>WHO. WHO Anatomical Therapeutic Chemical (ATC) Classification [Internet]. WHO publications. 2012 [cited 2019 Dec 1]. Available from: http://scholar.dkyobobook.co.kr/searchDetail.laf?barcode=4010023765738</w:t>
      </w:r>
    </w:p>
    <w:p w14:paraId="1D443EA9" w14:textId="77777777" w:rsidR="00FA2A64" w:rsidRPr="00C43975" w:rsidRDefault="00FA2A64" w:rsidP="00C43975">
      <w:pPr>
        <w:widowControl w:val="0"/>
        <w:autoSpaceDE w:val="0"/>
        <w:autoSpaceDN w:val="0"/>
        <w:adjustRightInd w:val="0"/>
        <w:spacing w:line="480" w:lineRule="auto"/>
        <w:ind w:left="640" w:hanging="640"/>
        <w:rPr>
          <w:rFonts w:ascii="Arial" w:hAnsi="Arial" w:cs="Arial"/>
          <w:noProof/>
          <w:lang w:val="en-US"/>
        </w:rPr>
      </w:pPr>
      <w:r w:rsidRPr="00C43975">
        <w:rPr>
          <w:rFonts w:ascii="Arial" w:hAnsi="Arial" w:cs="Arial"/>
          <w:noProof/>
          <w:lang w:val="en-US"/>
        </w:rPr>
        <w:t xml:space="preserve">12. </w:t>
      </w:r>
      <w:r w:rsidRPr="00C43975">
        <w:rPr>
          <w:rFonts w:ascii="Arial" w:hAnsi="Arial" w:cs="Arial"/>
          <w:noProof/>
          <w:lang w:val="en-US"/>
        </w:rPr>
        <w:tab/>
        <w:t>World Bank. World Bank Country and Lending Groups – World Bank Data Help Desk [Internet]. The World Bank. 2019 [cited 2019 Dec 1]. Available from: https://datahelpdesk.worldbank.org/knowledgebase/articles/906519</w:t>
      </w:r>
    </w:p>
    <w:p w14:paraId="5E249F9A" w14:textId="77777777" w:rsidR="00FA2A64" w:rsidRPr="00C43975" w:rsidRDefault="00FA2A64" w:rsidP="00C43975">
      <w:pPr>
        <w:widowControl w:val="0"/>
        <w:autoSpaceDE w:val="0"/>
        <w:autoSpaceDN w:val="0"/>
        <w:adjustRightInd w:val="0"/>
        <w:spacing w:line="480" w:lineRule="auto"/>
        <w:ind w:left="640" w:hanging="640"/>
        <w:rPr>
          <w:rFonts w:ascii="Arial" w:hAnsi="Arial" w:cs="Arial"/>
          <w:noProof/>
          <w:lang w:val="en-US"/>
        </w:rPr>
      </w:pPr>
      <w:r w:rsidRPr="00C43975">
        <w:rPr>
          <w:rFonts w:ascii="Arial" w:hAnsi="Arial" w:cs="Arial"/>
          <w:noProof/>
          <w:lang w:val="en-US"/>
        </w:rPr>
        <w:t xml:space="preserve">13. </w:t>
      </w:r>
      <w:r w:rsidRPr="00C43975">
        <w:rPr>
          <w:rFonts w:ascii="Arial" w:hAnsi="Arial" w:cs="Arial"/>
          <w:noProof/>
          <w:lang w:val="en-US"/>
        </w:rPr>
        <w:tab/>
        <w:t xml:space="preserve">Lestner JM, Versporten A, Doerholt K, Warris A, Roilides E, Sharland M, et al. Systemic antifungal prescribing in neonates and children: Outcomes from the antibiotic resistance and prescribing in european children (arpec) study. Antimicrob Agents Chemother. 2015;59(2):782–9. </w:t>
      </w:r>
    </w:p>
    <w:p w14:paraId="3E0BB85A" w14:textId="77777777" w:rsidR="00FA2A64" w:rsidRPr="00C43975" w:rsidRDefault="00FA2A64" w:rsidP="00C43975">
      <w:pPr>
        <w:widowControl w:val="0"/>
        <w:autoSpaceDE w:val="0"/>
        <w:autoSpaceDN w:val="0"/>
        <w:adjustRightInd w:val="0"/>
        <w:spacing w:line="480" w:lineRule="auto"/>
        <w:ind w:left="640" w:hanging="640"/>
        <w:rPr>
          <w:rFonts w:ascii="Arial" w:hAnsi="Arial" w:cs="Arial"/>
          <w:noProof/>
          <w:lang w:val="en-US"/>
        </w:rPr>
      </w:pPr>
      <w:r w:rsidRPr="00C43975">
        <w:rPr>
          <w:rFonts w:ascii="Arial" w:hAnsi="Arial" w:cs="Arial"/>
          <w:noProof/>
          <w:lang w:val="en-US"/>
        </w:rPr>
        <w:t xml:space="preserve">14. </w:t>
      </w:r>
      <w:r w:rsidRPr="00C43975">
        <w:rPr>
          <w:rFonts w:ascii="Arial" w:hAnsi="Arial" w:cs="Arial"/>
          <w:noProof/>
          <w:lang w:val="en-US"/>
        </w:rPr>
        <w:tab/>
        <w:t xml:space="preserve">Goldman JL, Ross RK, Lee BR, Newland JG, Hersh AL, Kronman MP, et al. Variability in Antifungal and Antiviral Use in Hospitalized Children. Infect Control Hosp Epidemiol. 2017;38(6):743–6. </w:t>
      </w:r>
    </w:p>
    <w:p w14:paraId="62AC33A1" w14:textId="77777777" w:rsidR="00FA2A64" w:rsidRPr="00C43975" w:rsidRDefault="00FA2A64" w:rsidP="00C43975">
      <w:pPr>
        <w:widowControl w:val="0"/>
        <w:autoSpaceDE w:val="0"/>
        <w:autoSpaceDN w:val="0"/>
        <w:adjustRightInd w:val="0"/>
        <w:spacing w:line="480" w:lineRule="auto"/>
        <w:ind w:left="640" w:hanging="640"/>
        <w:rPr>
          <w:rFonts w:ascii="Arial" w:hAnsi="Arial" w:cs="Arial"/>
          <w:noProof/>
          <w:lang w:val="en-US"/>
        </w:rPr>
      </w:pPr>
      <w:r w:rsidRPr="00C43975">
        <w:rPr>
          <w:rFonts w:ascii="Arial" w:hAnsi="Arial" w:cs="Arial"/>
          <w:noProof/>
          <w:lang w:val="en-US"/>
        </w:rPr>
        <w:t xml:space="preserve">15. </w:t>
      </w:r>
      <w:r w:rsidRPr="00C43975">
        <w:rPr>
          <w:rFonts w:ascii="Arial" w:hAnsi="Arial" w:cs="Arial"/>
          <w:noProof/>
          <w:lang w:val="en-US"/>
        </w:rPr>
        <w:tab/>
        <w:t>Ferreras-Antolín L, Irwin A, Atra A, Dermirjian A, Drysdale SB, Emonts M, et al. Neonatal Antifungal Consumption Is Dominated by Prophylactic Use; Outcomes From The Pediatric Antifungal Stewardship. Pediatr Infect Dis J [Internet]. 2019;38(12):1219–23. Available from: https://www.cdc.gov/fungal/global/index.html</w:t>
      </w:r>
    </w:p>
    <w:p w14:paraId="034586A7" w14:textId="77777777" w:rsidR="00FA2A64" w:rsidRPr="00C43975" w:rsidRDefault="00FA2A64" w:rsidP="00C43975">
      <w:pPr>
        <w:widowControl w:val="0"/>
        <w:autoSpaceDE w:val="0"/>
        <w:autoSpaceDN w:val="0"/>
        <w:adjustRightInd w:val="0"/>
        <w:spacing w:line="480" w:lineRule="auto"/>
        <w:ind w:left="640" w:hanging="640"/>
        <w:rPr>
          <w:rFonts w:ascii="Arial" w:hAnsi="Arial" w:cs="Arial"/>
          <w:noProof/>
          <w:lang w:val="en-US"/>
        </w:rPr>
      </w:pPr>
      <w:r w:rsidRPr="00C43975">
        <w:rPr>
          <w:rFonts w:ascii="Arial" w:hAnsi="Arial" w:cs="Arial"/>
          <w:noProof/>
          <w:lang w:val="en-US"/>
        </w:rPr>
        <w:t xml:space="preserve">16. </w:t>
      </w:r>
      <w:r w:rsidRPr="00C43975">
        <w:rPr>
          <w:rFonts w:ascii="Arial" w:hAnsi="Arial" w:cs="Arial"/>
          <w:noProof/>
          <w:lang w:val="en-US"/>
        </w:rPr>
        <w:tab/>
        <w:t xml:space="preserve">Steinbach WJ, Marr KA, Anaissie EJ, Azie N, Quan S, Meier-kriesche H, et al. Clinical epidemiology of 960 patients with invasive aspergillosis from the PATH Alliance registry. J Infect. 2012;65:453–64. </w:t>
      </w:r>
    </w:p>
    <w:p w14:paraId="1D4B5C02" w14:textId="77777777" w:rsidR="00FA2A64" w:rsidRPr="00C43975" w:rsidRDefault="00FA2A64" w:rsidP="00C43975">
      <w:pPr>
        <w:widowControl w:val="0"/>
        <w:autoSpaceDE w:val="0"/>
        <w:autoSpaceDN w:val="0"/>
        <w:adjustRightInd w:val="0"/>
        <w:spacing w:line="480" w:lineRule="auto"/>
        <w:ind w:left="640" w:hanging="640"/>
        <w:rPr>
          <w:rFonts w:ascii="Arial" w:hAnsi="Arial" w:cs="Arial"/>
          <w:noProof/>
          <w:lang w:val="en-US"/>
        </w:rPr>
      </w:pPr>
      <w:r w:rsidRPr="00C43975">
        <w:rPr>
          <w:rFonts w:ascii="Arial" w:hAnsi="Arial" w:cs="Arial"/>
          <w:noProof/>
          <w:lang w:val="en-US"/>
        </w:rPr>
        <w:lastRenderedPageBreak/>
        <w:t xml:space="preserve">17. </w:t>
      </w:r>
      <w:r w:rsidRPr="00C43975">
        <w:rPr>
          <w:rFonts w:ascii="Arial" w:hAnsi="Arial" w:cs="Arial"/>
          <w:noProof/>
          <w:lang w:val="en-US"/>
        </w:rPr>
        <w:tab/>
        <w:t xml:space="preserve">Knaul FM, Frenk J, Shulman L, Countries.  for the GTF on EA to CC and C in D. Closing the Cancer Divide: A Blueprint to Expand Access in Low and Middle Income Countries. Harvard Global Equity Initiative,. 2011. </w:t>
      </w:r>
    </w:p>
    <w:p w14:paraId="6F157A10" w14:textId="77777777" w:rsidR="00FA2A64" w:rsidRPr="00C43975" w:rsidRDefault="00FA2A64" w:rsidP="00C43975">
      <w:pPr>
        <w:widowControl w:val="0"/>
        <w:autoSpaceDE w:val="0"/>
        <w:autoSpaceDN w:val="0"/>
        <w:adjustRightInd w:val="0"/>
        <w:spacing w:line="480" w:lineRule="auto"/>
        <w:ind w:left="640" w:hanging="640"/>
        <w:rPr>
          <w:rFonts w:ascii="Arial" w:hAnsi="Arial" w:cs="Arial"/>
          <w:noProof/>
          <w:lang w:val="en-US"/>
        </w:rPr>
      </w:pPr>
      <w:r w:rsidRPr="00C43975">
        <w:rPr>
          <w:rFonts w:ascii="Arial" w:hAnsi="Arial" w:cs="Arial"/>
          <w:noProof/>
          <w:lang w:val="en-US"/>
        </w:rPr>
        <w:t xml:space="preserve">18. </w:t>
      </w:r>
      <w:r w:rsidRPr="00C43975">
        <w:rPr>
          <w:rFonts w:ascii="Arial" w:hAnsi="Arial" w:cs="Arial"/>
          <w:noProof/>
          <w:lang w:val="en-US"/>
        </w:rPr>
        <w:tab/>
        <w:t xml:space="preserve">Rodriguez-Galindo C, Friedrich P, Morrissey L, Frazier L. Global challenges in pediatric oncology. Curr Opin Pediatr. 2013;25(1):3–15. </w:t>
      </w:r>
    </w:p>
    <w:p w14:paraId="25F8B7A4" w14:textId="77777777" w:rsidR="00FA2A64" w:rsidRPr="00C43975" w:rsidRDefault="00FA2A64" w:rsidP="00C43975">
      <w:pPr>
        <w:widowControl w:val="0"/>
        <w:autoSpaceDE w:val="0"/>
        <w:autoSpaceDN w:val="0"/>
        <w:adjustRightInd w:val="0"/>
        <w:spacing w:line="480" w:lineRule="auto"/>
        <w:ind w:left="640" w:hanging="640"/>
        <w:rPr>
          <w:rFonts w:ascii="Arial" w:hAnsi="Arial" w:cs="Arial"/>
          <w:noProof/>
          <w:lang w:val="en-US"/>
        </w:rPr>
      </w:pPr>
      <w:r w:rsidRPr="00C43975">
        <w:rPr>
          <w:rFonts w:ascii="Arial" w:hAnsi="Arial" w:cs="Arial"/>
          <w:noProof/>
          <w:lang w:val="en-US"/>
        </w:rPr>
        <w:t xml:space="preserve">19. </w:t>
      </w:r>
      <w:r w:rsidRPr="00C43975">
        <w:rPr>
          <w:rFonts w:ascii="Arial" w:hAnsi="Arial" w:cs="Arial"/>
          <w:noProof/>
          <w:lang w:val="en-US"/>
        </w:rPr>
        <w:tab/>
        <w:t xml:space="preserve">Arora RS, Challinor JM, Howard SC, Israels T. Improving Care for Children With Cancer in Low- and Middle-Income Countries - A SIOP PODC Initiative. Pediatr Blood Cancer. 2016;63:387–91. </w:t>
      </w:r>
    </w:p>
    <w:p w14:paraId="51A9E3EC" w14:textId="77777777" w:rsidR="00FA2A64" w:rsidRPr="00C43975" w:rsidRDefault="00FA2A64" w:rsidP="00C43975">
      <w:pPr>
        <w:widowControl w:val="0"/>
        <w:autoSpaceDE w:val="0"/>
        <w:autoSpaceDN w:val="0"/>
        <w:adjustRightInd w:val="0"/>
        <w:spacing w:line="480" w:lineRule="auto"/>
        <w:ind w:left="640" w:hanging="640"/>
        <w:rPr>
          <w:rFonts w:ascii="Arial" w:hAnsi="Arial" w:cs="Arial"/>
          <w:noProof/>
          <w:lang w:val="en-US"/>
        </w:rPr>
      </w:pPr>
      <w:r w:rsidRPr="00C43975">
        <w:rPr>
          <w:rFonts w:ascii="Arial" w:hAnsi="Arial" w:cs="Arial"/>
          <w:noProof/>
          <w:lang w:val="en-US"/>
        </w:rPr>
        <w:t xml:space="preserve">20. </w:t>
      </w:r>
      <w:r w:rsidRPr="00C43975">
        <w:rPr>
          <w:rFonts w:ascii="Arial" w:hAnsi="Arial" w:cs="Arial"/>
          <w:noProof/>
          <w:lang w:val="en-US"/>
        </w:rPr>
        <w:tab/>
        <w:t>Atun R, Bhakta N, Denburg A, Frazier AL, Friedrich P, Gupta S, et al. Sustainable care for children with cancer: a Lancet Oncology Commission. Lancet Oncol [Internet]. 2020 Apr 1 [cited 2020 Apr 5];21(4):e185–224. Available from: http://www.ncbi.nlm.nih.gov/pubmed/32240612</w:t>
      </w:r>
    </w:p>
    <w:p w14:paraId="7D99AA4D" w14:textId="77777777" w:rsidR="00FA2A64" w:rsidRPr="00C43975" w:rsidRDefault="00FA2A64" w:rsidP="00C43975">
      <w:pPr>
        <w:widowControl w:val="0"/>
        <w:autoSpaceDE w:val="0"/>
        <w:autoSpaceDN w:val="0"/>
        <w:adjustRightInd w:val="0"/>
        <w:spacing w:line="480" w:lineRule="auto"/>
        <w:ind w:left="640" w:hanging="640"/>
        <w:rPr>
          <w:rFonts w:ascii="Arial" w:hAnsi="Arial" w:cs="Arial"/>
          <w:noProof/>
          <w:lang w:val="en-US"/>
        </w:rPr>
      </w:pPr>
      <w:r w:rsidRPr="00C43975">
        <w:rPr>
          <w:rFonts w:ascii="Arial" w:hAnsi="Arial" w:cs="Arial"/>
          <w:noProof/>
          <w:lang w:val="en-US"/>
        </w:rPr>
        <w:t xml:space="preserve">21. </w:t>
      </w:r>
      <w:r w:rsidRPr="00C43975">
        <w:rPr>
          <w:rFonts w:ascii="Arial" w:hAnsi="Arial" w:cs="Arial"/>
          <w:noProof/>
          <w:lang w:val="en-US"/>
        </w:rPr>
        <w:tab/>
        <w:t>GAFFI. Drugs Maps: Voriconazole [Internet]. 2019 [cited 2019 Dec 1]. Available from: https://antifungalsavailability.org/maps/list/itraconazole</w:t>
      </w:r>
    </w:p>
    <w:p w14:paraId="0B273673" w14:textId="77777777" w:rsidR="00FA2A64" w:rsidRPr="00C43975" w:rsidRDefault="00FA2A64" w:rsidP="00C43975">
      <w:pPr>
        <w:widowControl w:val="0"/>
        <w:autoSpaceDE w:val="0"/>
        <w:autoSpaceDN w:val="0"/>
        <w:adjustRightInd w:val="0"/>
        <w:spacing w:line="480" w:lineRule="auto"/>
        <w:ind w:left="640" w:hanging="640"/>
        <w:rPr>
          <w:rFonts w:ascii="Arial" w:hAnsi="Arial" w:cs="Arial"/>
          <w:noProof/>
          <w:lang w:val="en-US"/>
        </w:rPr>
      </w:pPr>
      <w:r w:rsidRPr="00C43975">
        <w:rPr>
          <w:rFonts w:ascii="Arial" w:hAnsi="Arial" w:cs="Arial"/>
          <w:noProof/>
          <w:lang w:val="en-US"/>
        </w:rPr>
        <w:t xml:space="preserve">22. </w:t>
      </w:r>
      <w:r w:rsidRPr="00C43975">
        <w:rPr>
          <w:rFonts w:ascii="Arial" w:hAnsi="Arial" w:cs="Arial"/>
          <w:noProof/>
          <w:lang w:val="en-US"/>
        </w:rPr>
        <w:tab/>
        <w:t>Denning D, PErlin D, Eavan M, Lopes-Colombo A, Chakrabarti A, Richardson M, et al. Candidiaisis IDSA guidelines 2016. Emerg Infect Dis [Internet]. 2016;23(2):177–83. Available from: http://www.ncbi.nlm.nih.gov/pubmed/27997332%0Ahttp://www.ncbi.nlm.nih.gov/pubmed/27997332</w:t>
      </w:r>
    </w:p>
    <w:p w14:paraId="7A609198" w14:textId="77777777" w:rsidR="00FA2A64" w:rsidRPr="00C43975" w:rsidRDefault="00FA2A64" w:rsidP="00C43975">
      <w:pPr>
        <w:widowControl w:val="0"/>
        <w:autoSpaceDE w:val="0"/>
        <w:autoSpaceDN w:val="0"/>
        <w:adjustRightInd w:val="0"/>
        <w:spacing w:line="480" w:lineRule="auto"/>
        <w:ind w:left="640" w:hanging="640"/>
        <w:rPr>
          <w:rFonts w:ascii="Arial" w:hAnsi="Arial" w:cs="Arial"/>
          <w:noProof/>
          <w:lang w:val="en-US"/>
        </w:rPr>
      </w:pPr>
      <w:r w:rsidRPr="00C43975">
        <w:rPr>
          <w:rFonts w:ascii="Arial" w:hAnsi="Arial" w:cs="Arial"/>
          <w:noProof/>
          <w:lang w:val="en-US"/>
        </w:rPr>
        <w:t xml:space="preserve">23. </w:t>
      </w:r>
      <w:r w:rsidRPr="00C43975">
        <w:rPr>
          <w:rFonts w:ascii="Arial" w:hAnsi="Arial" w:cs="Arial"/>
          <w:noProof/>
          <w:lang w:val="en-US"/>
        </w:rPr>
        <w:tab/>
        <w:t xml:space="preserve">Hope WW, Castagnola E, Groll AH, Roilides E, Akova M, Arendrup MC, et al. ESCMID * guideline for the diagnosis and management of Candida diseases 2012 : prevention and management of invasive infections in neonates and children caused by Candida spp . Clin Microbiol Infect. 2012;18:38–52. </w:t>
      </w:r>
    </w:p>
    <w:p w14:paraId="65BE80C8" w14:textId="77777777" w:rsidR="00FA2A64" w:rsidRPr="00C43975" w:rsidRDefault="00FA2A64" w:rsidP="00C43975">
      <w:pPr>
        <w:widowControl w:val="0"/>
        <w:autoSpaceDE w:val="0"/>
        <w:autoSpaceDN w:val="0"/>
        <w:adjustRightInd w:val="0"/>
        <w:spacing w:line="480" w:lineRule="auto"/>
        <w:ind w:left="640" w:hanging="640"/>
        <w:rPr>
          <w:rFonts w:ascii="Arial" w:hAnsi="Arial" w:cs="Arial"/>
          <w:noProof/>
          <w:lang w:val="en-US"/>
        </w:rPr>
      </w:pPr>
      <w:r w:rsidRPr="00C43975">
        <w:rPr>
          <w:rFonts w:ascii="Arial" w:hAnsi="Arial" w:cs="Arial"/>
          <w:noProof/>
          <w:lang w:val="en-US"/>
        </w:rPr>
        <w:t xml:space="preserve">24. </w:t>
      </w:r>
      <w:r w:rsidRPr="00C43975">
        <w:rPr>
          <w:rFonts w:ascii="Arial" w:hAnsi="Arial" w:cs="Arial"/>
          <w:noProof/>
          <w:lang w:val="en-US"/>
        </w:rPr>
        <w:tab/>
        <w:t xml:space="preserve">Patil A, Majumdar S. Echinocandins in antifungal pharmacotherapy. J Pharm Pharmacol. 2017;69:1635–60. </w:t>
      </w:r>
    </w:p>
    <w:p w14:paraId="585F6F91" w14:textId="77777777" w:rsidR="00FA2A64" w:rsidRPr="00C43975" w:rsidRDefault="00FA2A64" w:rsidP="00C43975">
      <w:pPr>
        <w:widowControl w:val="0"/>
        <w:autoSpaceDE w:val="0"/>
        <w:autoSpaceDN w:val="0"/>
        <w:adjustRightInd w:val="0"/>
        <w:spacing w:line="480" w:lineRule="auto"/>
        <w:ind w:left="640" w:hanging="640"/>
        <w:rPr>
          <w:rFonts w:ascii="Arial" w:hAnsi="Arial" w:cs="Arial"/>
          <w:noProof/>
          <w:lang w:val="en-US"/>
        </w:rPr>
      </w:pPr>
      <w:r w:rsidRPr="00C43975">
        <w:rPr>
          <w:rFonts w:ascii="Arial" w:hAnsi="Arial" w:cs="Arial"/>
          <w:noProof/>
          <w:lang w:val="en-US"/>
        </w:rPr>
        <w:lastRenderedPageBreak/>
        <w:t xml:space="preserve">25. </w:t>
      </w:r>
      <w:r w:rsidRPr="00C43975">
        <w:rPr>
          <w:rFonts w:ascii="Arial" w:hAnsi="Arial" w:cs="Arial"/>
          <w:noProof/>
          <w:lang w:val="en-US"/>
        </w:rPr>
        <w:tab/>
        <w:t xml:space="preserve">Downes KJ, Ellis D, Lavigne S, Bryan M, Zaoutis TE, Fisher BT. The use of echinocandins in hospitalized children in the United States. Med Mycol. 2018;0:1–8. </w:t>
      </w:r>
    </w:p>
    <w:p w14:paraId="6047F1A1" w14:textId="77777777" w:rsidR="00FA2A64" w:rsidRPr="00C43975" w:rsidRDefault="00FA2A64" w:rsidP="00C43975">
      <w:pPr>
        <w:widowControl w:val="0"/>
        <w:autoSpaceDE w:val="0"/>
        <w:autoSpaceDN w:val="0"/>
        <w:adjustRightInd w:val="0"/>
        <w:spacing w:line="480" w:lineRule="auto"/>
        <w:ind w:left="640" w:hanging="640"/>
        <w:rPr>
          <w:rFonts w:ascii="Arial" w:hAnsi="Arial" w:cs="Arial"/>
          <w:noProof/>
          <w:lang w:val="en-US"/>
        </w:rPr>
      </w:pPr>
      <w:r w:rsidRPr="00C43975">
        <w:rPr>
          <w:rFonts w:ascii="Arial" w:hAnsi="Arial" w:cs="Arial"/>
          <w:noProof/>
          <w:lang w:val="en-US"/>
        </w:rPr>
        <w:t xml:space="preserve">26. </w:t>
      </w:r>
      <w:r w:rsidRPr="00C43975">
        <w:rPr>
          <w:rFonts w:ascii="Arial" w:hAnsi="Arial" w:cs="Arial"/>
          <w:noProof/>
          <w:lang w:val="en-US"/>
        </w:rPr>
        <w:tab/>
        <w:t xml:space="preserve">Versporten A, Zarb P, Caniaux I, Gros MF, Drapier N, Miller M, et al. Antimicrobial consumption and resistance in adult hospital inpatients in 53 countries: results of an internet-based global point prevalence survey. Lancet Glob Heal. 2018;6(6):e619–29. </w:t>
      </w:r>
    </w:p>
    <w:p w14:paraId="430D932B" w14:textId="77777777" w:rsidR="00FA2A64" w:rsidRPr="00C43975" w:rsidRDefault="00FA2A64" w:rsidP="00C43975">
      <w:pPr>
        <w:widowControl w:val="0"/>
        <w:autoSpaceDE w:val="0"/>
        <w:autoSpaceDN w:val="0"/>
        <w:adjustRightInd w:val="0"/>
        <w:spacing w:line="480" w:lineRule="auto"/>
        <w:ind w:left="640" w:hanging="640"/>
        <w:rPr>
          <w:rFonts w:ascii="Arial" w:hAnsi="Arial" w:cs="Arial"/>
          <w:noProof/>
          <w:lang w:val="en-US"/>
        </w:rPr>
      </w:pPr>
      <w:r w:rsidRPr="00C43975">
        <w:rPr>
          <w:rFonts w:ascii="Arial" w:hAnsi="Arial" w:cs="Arial"/>
          <w:noProof/>
          <w:lang w:val="en-US"/>
        </w:rPr>
        <w:t xml:space="preserve">27. </w:t>
      </w:r>
      <w:r w:rsidRPr="00C43975">
        <w:rPr>
          <w:rFonts w:ascii="Arial" w:hAnsi="Arial" w:cs="Arial"/>
          <w:noProof/>
          <w:lang w:val="en-US"/>
        </w:rPr>
        <w:tab/>
        <w:t xml:space="preserve">Versporten A, Sharland M, Bielicki J, Drapier N, Vankerckhoven V, Goossens H. The Antibiotic Resistance and Prescribing in European Children Project: A Neonatal and Pediatric Antimicrobial Web-based Point Prevalence Survey in 73 Hospitals Worldwide. Pediatr Infect Dis J. 2013;32(6):e242–53. </w:t>
      </w:r>
    </w:p>
    <w:p w14:paraId="7AD39EC0" w14:textId="131D31F7" w:rsidR="00EF3D53" w:rsidRDefault="00FA2A64" w:rsidP="00C43975">
      <w:pPr>
        <w:widowControl w:val="0"/>
        <w:autoSpaceDE w:val="0"/>
        <w:autoSpaceDN w:val="0"/>
        <w:adjustRightInd w:val="0"/>
        <w:spacing w:line="480" w:lineRule="auto"/>
        <w:ind w:left="640" w:hanging="640"/>
        <w:rPr>
          <w:rFonts w:ascii="Arial" w:hAnsi="Arial" w:cs="Arial"/>
          <w:noProof/>
          <w:lang w:val="en-US"/>
        </w:rPr>
      </w:pPr>
      <w:r w:rsidRPr="00C43975">
        <w:rPr>
          <w:rFonts w:ascii="Arial" w:hAnsi="Arial" w:cs="Arial"/>
          <w:noProof/>
          <w:lang w:val="en-US"/>
        </w:rPr>
        <w:t xml:space="preserve">28. </w:t>
      </w:r>
      <w:r w:rsidRPr="00C43975">
        <w:rPr>
          <w:rFonts w:ascii="Arial" w:hAnsi="Arial" w:cs="Arial"/>
          <w:noProof/>
          <w:lang w:val="en-US"/>
        </w:rPr>
        <w:tab/>
        <w:t xml:space="preserve">Versporten A, Bielicki J, Drapier N, Sharland M, Goossens H, Calle GM, et al. The worldwide antibiotic resistance and prescribing in european children (ARPEC) point prevalence survey: Developing hospital-quality indicators of antibiotic prescribing for children. J Antimicrob Chemother. 2016;71(4):1106–17. </w:t>
      </w:r>
    </w:p>
    <w:p w14:paraId="6AA69133" w14:textId="673D17CA" w:rsidR="00FA2A64" w:rsidRPr="00EF3D53" w:rsidRDefault="00EF3D53" w:rsidP="00EF3D53">
      <w:pPr>
        <w:spacing w:after="160" w:line="259" w:lineRule="auto"/>
        <w:rPr>
          <w:rFonts w:ascii="Arial" w:hAnsi="Arial" w:cs="Arial"/>
          <w:noProof/>
          <w:lang w:val="en-US"/>
        </w:rPr>
      </w:pPr>
      <w:r>
        <w:rPr>
          <w:rFonts w:ascii="Arial" w:hAnsi="Arial" w:cs="Arial"/>
          <w:noProof/>
          <w:lang w:val="en-US"/>
        </w:rPr>
        <w:br w:type="page"/>
      </w:r>
    </w:p>
    <w:p w14:paraId="7CD45296" w14:textId="7422E901" w:rsidR="00120631" w:rsidRDefault="00120631" w:rsidP="00C43975">
      <w:pPr>
        <w:widowControl w:val="0"/>
        <w:autoSpaceDE w:val="0"/>
        <w:autoSpaceDN w:val="0"/>
        <w:adjustRightInd w:val="0"/>
        <w:spacing w:line="480" w:lineRule="auto"/>
        <w:ind w:left="640" w:hanging="640"/>
        <w:rPr>
          <w:rFonts w:ascii="Arial" w:eastAsia="ScalaLancetPro" w:hAnsi="Arial" w:cs="Arial"/>
          <w:b/>
        </w:rPr>
      </w:pPr>
      <w:r w:rsidRPr="00C43975">
        <w:rPr>
          <w:rFonts w:ascii="Arial" w:eastAsia="ScalaLancetPro" w:hAnsi="Arial" w:cs="Arial"/>
          <w:b/>
        </w:rPr>
        <w:lastRenderedPageBreak/>
        <w:fldChar w:fldCharType="end"/>
      </w:r>
      <w:r w:rsidR="00EF3D53">
        <w:rPr>
          <w:rFonts w:ascii="Arial" w:eastAsia="ScalaLancetPro" w:hAnsi="Arial" w:cs="Arial"/>
          <w:b/>
        </w:rPr>
        <w:t>Figure legends</w:t>
      </w:r>
    </w:p>
    <w:p w14:paraId="2C073B7E" w14:textId="77777777" w:rsidR="00EF3D53" w:rsidRDefault="00EF3D53" w:rsidP="00EF3D53">
      <w:pPr>
        <w:autoSpaceDE w:val="0"/>
        <w:autoSpaceDN w:val="0"/>
        <w:adjustRightInd w:val="0"/>
        <w:spacing w:line="480" w:lineRule="auto"/>
        <w:rPr>
          <w:rFonts w:ascii="Arial" w:hAnsi="Arial" w:cs="Arial"/>
        </w:rPr>
      </w:pPr>
    </w:p>
    <w:p w14:paraId="2CFBA272" w14:textId="57DB3962" w:rsidR="00EF3D53" w:rsidRDefault="00EF3D53" w:rsidP="00EF3D53">
      <w:pPr>
        <w:autoSpaceDE w:val="0"/>
        <w:autoSpaceDN w:val="0"/>
        <w:adjustRightInd w:val="0"/>
        <w:spacing w:line="480" w:lineRule="auto"/>
        <w:rPr>
          <w:rFonts w:ascii="Arial" w:hAnsi="Arial" w:cs="Arial"/>
        </w:rPr>
      </w:pPr>
      <w:r w:rsidRPr="00C43975">
        <w:rPr>
          <w:rFonts w:ascii="Arial" w:hAnsi="Arial" w:cs="Arial"/>
        </w:rPr>
        <w:t>Figure 1: Countries included in the GARPEC-PPS project with data on antifungal use, number of centres at each country presented in brackets. Dark grey colour, countries classified as high-income countries (HIC) including Australia (1), Chile (1),  Finland (1), Germany (5), Greece (3), Italy (4), Japan (1), Singapore (1), Slovenia (1), Spain (2), Taiwan (1), United Kingdom (11) and United States (1). Light grey colour, countries classified as middle- and low-income countries (LMIC) including  Brazil (6), Gambia (1), India (9), Mexico (1), Nigeria (10, South Africa (2), and Thailand (2).</w:t>
      </w:r>
    </w:p>
    <w:p w14:paraId="10355299" w14:textId="68AE83EF" w:rsidR="00EF3D53" w:rsidRDefault="00EF3D53" w:rsidP="00EF3D53">
      <w:pPr>
        <w:autoSpaceDE w:val="0"/>
        <w:autoSpaceDN w:val="0"/>
        <w:adjustRightInd w:val="0"/>
        <w:spacing w:line="480" w:lineRule="auto"/>
        <w:rPr>
          <w:rFonts w:ascii="Arial" w:hAnsi="Arial" w:cs="Arial"/>
        </w:rPr>
      </w:pPr>
    </w:p>
    <w:p w14:paraId="7A530259" w14:textId="3DCBDAAC" w:rsidR="00EC3651" w:rsidRDefault="00EF3D53" w:rsidP="00EF3D53">
      <w:pPr>
        <w:autoSpaceDE w:val="0"/>
        <w:autoSpaceDN w:val="0"/>
        <w:adjustRightInd w:val="0"/>
        <w:spacing w:line="480" w:lineRule="auto"/>
        <w:rPr>
          <w:rFonts w:ascii="Arial" w:hAnsi="Arial" w:cs="Arial"/>
        </w:rPr>
      </w:pPr>
      <w:r w:rsidRPr="00C43975">
        <w:rPr>
          <w:rFonts w:ascii="Arial" w:hAnsi="Arial" w:cs="Arial"/>
        </w:rPr>
        <w:t xml:space="preserve">Figure 2. Distribution of antimicrobial prescriptions and proportion of antifungal prescriptions per country. Right Y axis and bars represent the total antimicrobial prescription in frequency. Left Y axis and dots represent the proportion (%) of antifungal prescriptions from the total of antimicrobials prescribed. Dotted line represents the average of antifungal use on the total sample. </w:t>
      </w:r>
    </w:p>
    <w:p w14:paraId="5090C9DB" w14:textId="77777777" w:rsidR="00EC3651" w:rsidRDefault="00EC3651">
      <w:pPr>
        <w:spacing w:after="160" w:line="259" w:lineRule="auto"/>
        <w:rPr>
          <w:rFonts w:ascii="Arial" w:hAnsi="Arial" w:cs="Arial"/>
        </w:rPr>
      </w:pPr>
      <w:r>
        <w:rPr>
          <w:rFonts w:ascii="Arial" w:hAnsi="Arial" w:cs="Arial"/>
        </w:rPr>
        <w:br w:type="page"/>
      </w:r>
    </w:p>
    <w:p w14:paraId="5FDA8EC9" w14:textId="77777777" w:rsidR="00EC3651" w:rsidRPr="00C43975" w:rsidRDefault="00EC3651" w:rsidP="00EC3651">
      <w:pPr>
        <w:spacing w:after="160" w:line="480" w:lineRule="auto"/>
        <w:rPr>
          <w:rFonts w:ascii="Arial" w:hAnsi="Arial" w:cs="Arial"/>
        </w:rPr>
      </w:pPr>
      <w:r w:rsidRPr="00C43975">
        <w:rPr>
          <w:rFonts w:ascii="Arial" w:hAnsi="Arial" w:cs="Arial"/>
          <w:b/>
        </w:rPr>
        <w:lastRenderedPageBreak/>
        <w:t>Tables</w:t>
      </w:r>
    </w:p>
    <w:p w14:paraId="5EA49AD8" w14:textId="77777777" w:rsidR="00EC3651" w:rsidRPr="00C43975" w:rsidRDefault="00EC3651" w:rsidP="00EC3651">
      <w:pPr>
        <w:autoSpaceDE w:val="0"/>
        <w:autoSpaceDN w:val="0"/>
        <w:adjustRightInd w:val="0"/>
        <w:spacing w:line="480" w:lineRule="auto"/>
        <w:rPr>
          <w:rFonts w:ascii="Arial" w:hAnsi="Arial" w:cs="Arial"/>
        </w:rPr>
      </w:pPr>
      <w:r w:rsidRPr="00C43975">
        <w:rPr>
          <w:rFonts w:ascii="Arial" w:hAnsi="Arial" w:cs="Arial"/>
          <w:b/>
        </w:rPr>
        <w:t>Table 1.</w:t>
      </w:r>
      <w:r w:rsidRPr="00C43975">
        <w:rPr>
          <w:rFonts w:ascii="Arial" w:hAnsi="Arial" w:cs="Arial"/>
        </w:rPr>
        <w:t xml:space="preserve"> </w:t>
      </w:r>
      <w:r w:rsidRPr="00C43975">
        <w:rPr>
          <w:rFonts w:ascii="Arial" w:hAnsi="Arial" w:cs="Arial"/>
          <w:bCs/>
        </w:rPr>
        <w:t>Antifungal agents prescribed in high-income countries (HICs) and low-middle income countries (LMICs)</w:t>
      </w:r>
    </w:p>
    <w:tbl>
      <w:tblPr>
        <w:tblStyle w:val="PlainTable4"/>
        <w:tblW w:w="0" w:type="auto"/>
        <w:tblInd w:w="-57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321"/>
        <w:gridCol w:w="2012"/>
        <w:gridCol w:w="2147"/>
        <w:gridCol w:w="2108"/>
      </w:tblGrid>
      <w:tr w:rsidR="00EC3651" w:rsidRPr="00C43975" w14:paraId="2830EF4B" w14:textId="77777777" w:rsidTr="00515F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1" w:type="dxa"/>
          </w:tcPr>
          <w:p w14:paraId="6BD54AE6" w14:textId="77777777" w:rsidR="00EC3651" w:rsidRPr="00C43975" w:rsidRDefault="00EC3651" w:rsidP="00515F47">
            <w:pPr>
              <w:autoSpaceDE w:val="0"/>
              <w:autoSpaceDN w:val="0"/>
              <w:adjustRightInd w:val="0"/>
              <w:spacing w:line="480" w:lineRule="auto"/>
              <w:jc w:val="both"/>
              <w:rPr>
                <w:rFonts w:ascii="Arial" w:hAnsi="Arial" w:cs="Arial"/>
                <w:bCs w:val="0"/>
              </w:rPr>
            </w:pPr>
          </w:p>
        </w:tc>
        <w:tc>
          <w:tcPr>
            <w:tcW w:w="4159" w:type="dxa"/>
            <w:gridSpan w:val="2"/>
          </w:tcPr>
          <w:p w14:paraId="70A7521D" w14:textId="77777777" w:rsidR="00EC3651" w:rsidRPr="00C43975" w:rsidRDefault="00EC3651" w:rsidP="00515F47">
            <w:pPr>
              <w:autoSpaceDE w:val="0"/>
              <w:autoSpaceDN w:val="0"/>
              <w:adjustRightInd w:val="0"/>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C43975">
              <w:rPr>
                <w:rFonts w:ascii="Arial" w:hAnsi="Arial" w:cs="Arial"/>
                <w:bCs w:val="0"/>
              </w:rPr>
              <w:t>Country income level</w:t>
            </w:r>
          </w:p>
        </w:tc>
        <w:tc>
          <w:tcPr>
            <w:tcW w:w="2108" w:type="dxa"/>
          </w:tcPr>
          <w:p w14:paraId="5E06066A" w14:textId="77777777" w:rsidR="00EC3651" w:rsidRPr="00C43975" w:rsidRDefault="00EC3651" w:rsidP="00515F47">
            <w:pPr>
              <w:autoSpaceDE w:val="0"/>
              <w:autoSpaceDN w:val="0"/>
              <w:adjustRightInd w:val="0"/>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Cs w:val="0"/>
              </w:rPr>
            </w:pPr>
          </w:p>
        </w:tc>
      </w:tr>
      <w:tr w:rsidR="00EC3651" w:rsidRPr="00C43975" w14:paraId="09479C45" w14:textId="77777777" w:rsidTr="00515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1" w:type="dxa"/>
          </w:tcPr>
          <w:p w14:paraId="7858E177" w14:textId="77777777" w:rsidR="00EC3651" w:rsidRPr="00C43975" w:rsidRDefault="00EC3651" w:rsidP="00515F47">
            <w:pPr>
              <w:autoSpaceDE w:val="0"/>
              <w:autoSpaceDN w:val="0"/>
              <w:adjustRightInd w:val="0"/>
              <w:spacing w:line="480" w:lineRule="auto"/>
              <w:jc w:val="both"/>
              <w:rPr>
                <w:rFonts w:ascii="Arial" w:hAnsi="Arial" w:cs="Arial"/>
                <w:bCs w:val="0"/>
              </w:rPr>
            </w:pPr>
            <w:r w:rsidRPr="00C43975">
              <w:rPr>
                <w:rFonts w:ascii="Arial" w:hAnsi="Arial" w:cs="Arial"/>
                <w:bCs w:val="0"/>
              </w:rPr>
              <w:t>Antifungal drug</w:t>
            </w:r>
          </w:p>
        </w:tc>
        <w:tc>
          <w:tcPr>
            <w:tcW w:w="2012" w:type="dxa"/>
          </w:tcPr>
          <w:p w14:paraId="04CE8E8A"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43975">
              <w:rPr>
                <w:rFonts w:ascii="Arial" w:hAnsi="Arial" w:cs="Arial"/>
                <w:color w:val="000000"/>
              </w:rPr>
              <w:t>HIC</w:t>
            </w:r>
          </w:p>
          <w:p w14:paraId="033F04CD"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bCs/>
              </w:rPr>
              <w:t>(n= 798)</w:t>
            </w:r>
          </w:p>
        </w:tc>
        <w:tc>
          <w:tcPr>
            <w:tcW w:w="2147" w:type="dxa"/>
          </w:tcPr>
          <w:p w14:paraId="23A7D696"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43975">
              <w:rPr>
                <w:rFonts w:ascii="Arial" w:hAnsi="Arial" w:cs="Arial"/>
                <w:color w:val="000000"/>
              </w:rPr>
              <w:t>LMIC</w:t>
            </w:r>
          </w:p>
          <w:p w14:paraId="78DFEF1D"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bCs/>
              </w:rPr>
              <w:t>(n=250)</w:t>
            </w:r>
          </w:p>
        </w:tc>
        <w:tc>
          <w:tcPr>
            <w:tcW w:w="2108" w:type="dxa"/>
          </w:tcPr>
          <w:p w14:paraId="41E52C56"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43975">
              <w:rPr>
                <w:rFonts w:ascii="Arial" w:hAnsi="Arial" w:cs="Arial"/>
                <w:color w:val="000000"/>
              </w:rPr>
              <w:t>Total</w:t>
            </w:r>
          </w:p>
          <w:p w14:paraId="0FE2C260"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bCs/>
              </w:rPr>
              <w:t>(n= 1048)</w:t>
            </w:r>
          </w:p>
        </w:tc>
      </w:tr>
      <w:tr w:rsidR="00EC3651" w:rsidRPr="00C43975" w14:paraId="714E3E72" w14:textId="77777777" w:rsidTr="00515F47">
        <w:tc>
          <w:tcPr>
            <w:cnfStyle w:val="001000000000" w:firstRow="0" w:lastRow="0" w:firstColumn="1" w:lastColumn="0" w:oddVBand="0" w:evenVBand="0" w:oddHBand="0" w:evenHBand="0" w:firstRowFirstColumn="0" w:firstRowLastColumn="0" w:lastRowFirstColumn="0" w:lastRowLastColumn="0"/>
            <w:tcW w:w="3321" w:type="dxa"/>
          </w:tcPr>
          <w:p w14:paraId="1B42A9CF" w14:textId="77777777" w:rsidR="00EC3651" w:rsidRPr="00C43975" w:rsidRDefault="00EC3651" w:rsidP="00515F47">
            <w:pPr>
              <w:autoSpaceDE w:val="0"/>
              <w:autoSpaceDN w:val="0"/>
              <w:adjustRightInd w:val="0"/>
              <w:spacing w:line="480" w:lineRule="auto"/>
              <w:jc w:val="both"/>
              <w:rPr>
                <w:rFonts w:ascii="Arial" w:hAnsi="Arial" w:cs="Arial"/>
                <w:b w:val="0"/>
                <w:bCs w:val="0"/>
              </w:rPr>
            </w:pPr>
            <w:r w:rsidRPr="00C43975">
              <w:rPr>
                <w:rFonts w:ascii="Arial" w:hAnsi="Arial" w:cs="Arial"/>
                <w:b w:val="0"/>
                <w:color w:val="000000"/>
              </w:rPr>
              <w:t>Amphotericin B n(%)</w:t>
            </w:r>
          </w:p>
        </w:tc>
        <w:tc>
          <w:tcPr>
            <w:tcW w:w="2012" w:type="dxa"/>
          </w:tcPr>
          <w:p w14:paraId="67791A27"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C43975">
              <w:rPr>
                <w:rFonts w:ascii="Arial" w:hAnsi="Arial" w:cs="Arial"/>
                <w:color w:val="000000"/>
              </w:rPr>
              <w:t>231 (28.4)</w:t>
            </w:r>
          </w:p>
        </w:tc>
        <w:tc>
          <w:tcPr>
            <w:tcW w:w="2147" w:type="dxa"/>
          </w:tcPr>
          <w:p w14:paraId="2BED2D99"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C43975">
              <w:rPr>
                <w:rFonts w:ascii="Arial" w:hAnsi="Arial" w:cs="Arial"/>
                <w:color w:val="000000"/>
              </w:rPr>
              <w:t>43 (16.0)</w:t>
            </w:r>
          </w:p>
        </w:tc>
        <w:tc>
          <w:tcPr>
            <w:tcW w:w="2108" w:type="dxa"/>
          </w:tcPr>
          <w:p w14:paraId="44FB21D8"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C43975">
              <w:rPr>
                <w:rFonts w:ascii="Arial" w:hAnsi="Arial" w:cs="Arial"/>
                <w:color w:val="000000"/>
              </w:rPr>
              <w:t>274 (26.1)</w:t>
            </w:r>
          </w:p>
        </w:tc>
      </w:tr>
      <w:tr w:rsidR="00EC3651" w:rsidRPr="00C43975" w14:paraId="7D5735B9" w14:textId="77777777" w:rsidTr="00515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1" w:type="dxa"/>
          </w:tcPr>
          <w:p w14:paraId="61BE9997" w14:textId="77777777" w:rsidR="00EC3651" w:rsidRPr="00C43975" w:rsidRDefault="00EC3651" w:rsidP="00515F47">
            <w:pPr>
              <w:autoSpaceDE w:val="0"/>
              <w:autoSpaceDN w:val="0"/>
              <w:adjustRightInd w:val="0"/>
              <w:spacing w:line="480" w:lineRule="auto"/>
              <w:jc w:val="both"/>
              <w:rPr>
                <w:rFonts w:ascii="Arial" w:hAnsi="Arial" w:cs="Arial"/>
                <w:b w:val="0"/>
                <w:bCs w:val="0"/>
              </w:rPr>
            </w:pPr>
            <w:r w:rsidRPr="00C43975">
              <w:rPr>
                <w:rFonts w:ascii="Arial" w:hAnsi="Arial" w:cs="Arial"/>
                <w:b w:val="0"/>
                <w:color w:val="000000"/>
              </w:rPr>
              <w:t>Fluconazole n(%)</w:t>
            </w:r>
          </w:p>
        </w:tc>
        <w:tc>
          <w:tcPr>
            <w:tcW w:w="2012" w:type="dxa"/>
          </w:tcPr>
          <w:p w14:paraId="6817318F"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color w:val="000000"/>
              </w:rPr>
              <w:t>314 (39.2)</w:t>
            </w:r>
          </w:p>
        </w:tc>
        <w:tc>
          <w:tcPr>
            <w:tcW w:w="2147" w:type="dxa"/>
          </w:tcPr>
          <w:p w14:paraId="5CD536E1"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color w:val="000000"/>
              </w:rPr>
              <w:t>167 (66.8)</w:t>
            </w:r>
          </w:p>
        </w:tc>
        <w:tc>
          <w:tcPr>
            <w:tcW w:w="2108" w:type="dxa"/>
          </w:tcPr>
          <w:p w14:paraId="7AA74035"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color w:val="000000"/>
              </w:rPr>
              <w:t>481 (45.9)</w:t>
            </w:r>
          </w:p>
        </w:tc>
      </w:tr>
      <w:tr w:rsidR="00EC3651" w:rsidRPr="00C43975" w14:paraId="63FDE030" w14:textId="77777777" w:rsidTr="00515F47">
        <w:tc>
          <w:tcPr>
            <w:cnfStyle w:val="001000000000" w:firstRow="0" w:lastRow="0" w:firstColumn="1" w:lastColumn="0" w:oddVBand="0" w:evenVBand="0" w:oddHBand="0" w:evenHBand="0" w:firstRowFirstColumn="0" w:firstRowLastColumn="0" w:lastRowFirstColumn="0" w:lastRowLastColumn="0"/>
            <w:tcW w:w="3321" w:type="dxa"/>
          </w:tcPr>
          <w:p w14:paraId="15B4FFCF" w14:textId="77777777" w:rsidR="00EC3651" w:rsidRPr="00C43975" w:rsidRDefault="00EC3651" w:rsidP="00515F47">
            <w:pPr>
              <w:autoSpaceDE w:val="0"/>
              <w:autoSpaceDN w:val="0"/>
              <w:adjustRightInd w:val="0"/>
              <w:spacing w:line="480" w:lineRule="auto"/>
              <w:jc w:val="both"/>
              <w:rPr>
                <w:rFonts w:ascii="Arial" w:hAnsi="Arial" w:cs="Arial"/>
                <w:b w:val="0"/>
                <w:bCs w:val="0"/>
                <w:color w:val="000000"/>
              </w:rPr>
            </w:pPr>
            <w:r w:rsidRPr="00C43975">
              <w:rPr>
                <w:rFonts w:ascii="Arial" w:hAnsi="Arial" w:cs="Arial"/>
                <w:b w:val="0"/>
                <w:bCs w:val="0"/>
                <w:color w:val="000000"/>
              </w:rPr>
              <w:t xml:space="preserve">Mould active triazoles </w:t>
            </w:r>
            <w:r w:rsidRPr="00C43975">
              <w:rPr>
                <w:rFonts w:ascii="Arial" w:hAnsi="Arial" w:cs="Arial"/>
                <w:b w:val="0"/>
                <w:color w:val="000000"/>
              </w:rPr>
              <w:t>n(%)</w:t>
            </w:r>
          </w:p>
        </w:tc>
        <w:tc>
          <w:tcPr>
            <w:tcW w:w="2012" w:type="dxa"/>
          </w:tcPr>
          <w:p w14:paraId="5BC65694"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43975">
              <w:rPr>
                <w:rFonts w:ascii="Arial" w:hAnsi="Arial" w:cs="Arial"/>
                <w:color w:val="000000"/>
              </w:rPr>
              <w:t>139 (17.4)</w:t>
            </w:r>
          </w:p>
        </w:tc>
        <w:tc>
          <w:tcPr>
            <w:tcW w:w="2147" w:type="dxa"/>
          </w:tcPr>
          <w:p w14:paraId="62F45650"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43975">
              <w:rPr>
                <w:rFonts w:ascii="Arial" w:hAnsi="Arial" w:cs="Arial"/>
                <w:color w:val="000000"/>
              </w:rPr>
              <w:t>24 (9.6)</w:t>
            </w:r>
          </w:p>
        </w:tc>
        <w:tc>
          <w:tcPr>
            <w:tcW w:w="2108" w:type="dxa"/>
          </w:tcPr>
          <w:p w14:paraId="52A02024" w14:textId="77777777" w:rsidR="00EC3651" w:rsidRPr="00C43975" w:rsidRDefault="00EC3651" w:rsidP="00515F47">
            <w:pPr>
              <w:tabs>
                <w:tab w:val="left" w:pos="606"/>
                <w:tab w:val="center" w:pos="946"/>
              </w:tabs>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43975">
              <w:rPr>
                <w:rFonts w:ascii="Arial" w:hAnsi="Arial" w:cs="Arial"/>
                <w:color w:val="000000"/>
              </w:rPr>
              <w:t>163 (15.5)</w:t>
            </w:r>
          </w:p>
        </w:tc>
      </w:tr>
      <w:tr w:rsidR="00EC3651" w:rsidRPr="00C43975" w14:paraId="5C9C6579" w14:textId="77777777" w:rsidTr="00515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1" w:type="dxa"/>
          </w:tcPr>
          <w:p w14:paraId="1D8E8CD9" w14:textId="77777777" w:rsidR="00EC3651" w:rsidRPr="00C43975" w:rsidRDefault="00EC3651" w:rsidP="00515F47">
            <w:pPr>
              <w:autoSpaceDE w:val="0"/>
              <w:autoSpaceDN w:val="0"/>
              <w:adjustRightInd w:val="0"/>
              <w:spacing w:line="480" w:lineRule="auto"/>
              <w:jc w:val="center"/>
              <w:rPr>
                <w:rFonts w:ascii="Arial" w:hAnsi="Arial" w:cs="Arial"/>
                <w:b w:val="0"/>
                <w:bCs w:val="0"/>
                <w:i/>
              </w:rPr>
            </w:pPr>
            <w:r w:rsidRPr="00C43975">
              <w:rPr>
                <w:rFonts w:ascii="Arial" w:hAnsi="Arial" w:cs="Arial"/>
                <w:b w:val="0"/>
                <w:i/>
                <w:color w:val="000000"/>
              </w:rPr>
              <w:t>Voriconazole</w:t>
            </w:r>
          </w:p>
        </w:tc>
        <w:tc>
          <w:tcPr>
            <w:tcW w:w="2012" w:type="dxa"/>
          </w:tcPr>
          <w:p w14:paraId="00BE1A88"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
              </w:rPr>
            </w:pPr>
            <w:r w:rsidRPr="00C43975">
              <w:rPr>
                <w:rFonts w:ascii="Arial" w:hAnsi="Arial" w:cs="Arial"/>
                <w:i/>
                <w:color w:val="000000"/>
              </w:rPr>
              <w:t xml:space="preserve">  60 (7.5)</w:t>
            </w:r>
          </w:p>
        </w:tc>
        <w:tc>
          <w:tcPr>
            <w:tcW w:w="2147" w:type="dxa"/>
          </w:tcPr>
          <w:p w14:paraId="180C81A4"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
              </w:rPr>
            </w:pPr>
            <w:r w:rsidRPr="00C43975">
              <w:rPr>
                <w:rFonts w:ascii="Arial" w:hAnsi="Arial" w:cs="Arial"/>
                <w:i/>
                <w:color w:val="000000"/>
              </w:rPr>
              <w:t xml:space="preserve">  16 (6.4)</w:t>
            </w:r>
          </w:p>
        </w:tc>
        <w:tc>
          <w:tcPr>
            <w:tcW w:w="2108" w:type="dxa"/>
          </w:tcPr>
          <w:p w14:paraId="32D626D4"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
              </w:rPr>
            </w:pPr>
            <w:r w:rsidRPr="00C43975">
              <w:rPr>
                <w:rFonts w:ascii="Arial" w:hAnsi="Arial" w:cs="Arial"/>
                <w:i/>
                <w:color w:val="000000"/>
              </w:rPr>
              <w:t xml:space="preserve">  76 (7.3)</w:t>
            </w:r>
          </w:p>
        </w:tc>
      </w:tr>
      <w:tr w:rsidR="00EC3651" w:rsidRPr="00C43975" w14:paraId="51857D25" w14:textId="77777777" w:rsidTr="00515F47">
        <w:tc>
          <w:tcPr>
            <w:cnfStyle w:val="001000000000" w:firstRow="0" w:lastRow="0" w:firstColumn="1" w:lastColumn="0" w:oddVBand="0" w:evenVBand="0" w:oddHBand="0" w:evenHBand="0" w:firstRowFirstColumn="0" w:firstRowLastColumn="0" w:lastRowFirstColumn="0" w:lastRowLastColumn="0"/>
            <w:tcW w:w="3321" w:type="dxa"/>
          </w:tcPr>
          <w:p w14:paraId="76EDBBF7" w14:textId="77777777" w:rsidR="00EC3651" w:rsidRPr="00C43975" w:rsidRDefault="00EC3651" w:rsidP="00515F47">
            <w:pPr>
              <w:autoSpaceDE w:val="0"/>
              <w:autoSpaceDN w:val="0"/>
              <w:adjustRightInd w:val="0"/>
              <w:spacing w:line="480" w:lineRule="auto"/>
              <w:jc w:val="center"/>
              <w:rPr>
                <w:rFonts w:ascii="Arial" w:hAnsi="Arial" w:cs="Arial"/>
                <w:b w:val="0"/>
                <w:bCs w:val="0"/>
                <w:i/>
              </w:rPr>
            </w:pPr>
            <w:proofErr w:type="spellStart"/>
            <w:r w:rsidRPr="00C43975">
              <w:rPr>
                <w:rFonts w:ascii="Arial" w:hAnsi="Arial" w:cs="Arial"/>
                <w:b w:val="0"/>
                <w:i/>
                <w:color w:val="000000"/>
              </w:rPr>
              <w:t>Posaconazole</w:t>
            </w:r>
            <w:proofErr w:type="spellEnd"/>
          </w:p>
        </w:tc>
        <w:tc>
          <w:tcPr>
            <w:tcW w:w="2012" w:type="dxa"/>
          </w:tcPr>
          <w:p w14:paraId="1950F58F"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i/>
              </w:rPr>
            </w:pPr>
            <w:r w:rsidRPr="00C43975">
              <w:rPr>
                <w:rFonts w:ascii="Arial" w:hAnsi="Arial" w:cs="Arial"/>
                <w:i/>
                <w:color w:val="000000"/>
              </w:rPr>
              <w:t xml:space="preserve">  32 (4.0)</w:t>
            </w:r>
          </w:p>
        </w:tc>
        <w:tc>
          <w:tcPr>
            <w:tcW w:w="2147" w:type="dxa"/>
          </w:tcPr>
          <w:p w14:paraId="51E9281E"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i/>
              </w:rPr>
            </w:pPr>
            <w:r w:rsidRPr="00C43975">
              <w:rPr>
                <w:rFonts w:ascii="Arial" w:hAnsi="Arial" w:cs="Arial"/>
                <w:i/>
                <w:color w:val="000000"/>
              </w:rPr>
              <w:t xml:space="preserve">  6 (2.4)</w:t>
            </w:r>
          </w:p>
        </w:tc>
        <w:tc>
          <w:tcPr>
            <w:tcW w:w="2108" w:type="dxa"/>
          </w:tcPr>
          <w:p w14:paraId="78B4F770"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i/>
              </w:rPr>
            </w:pPr>
            <w:r w:rsidRPr="00C43975">
              <w:rPr>
                <w:rFonts w:ascii="Arial" w:hAnsi="Arial" w:cs="Arial"/>
                <w:i/>
                <w:color w:val="000000"/>
              </w:rPr>
              <w:t xml:space="preserve">  38 (3.6)</w:t>
            </w:r>
          </w:p>
        </w:tc>
      </w:tr>
      <w:tr w:rsidR="00EC3651" w:rsidRPr="00C43975" w14:paraId="7E77DF41" w14:textId="77777777" w:rsidTr="00515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1" w:type="dxa"/>
          </w:tcPr>
          <w:p w14:paraId="091EDF38" w14:textId="77777777" w:rsidR="00EC3651" w:rsidRPr="00C43975" w:rsidRDefault="00EC3651" w:rsidP="00515F47">
            <w:pPr>
              <w:autoSpaceDE w:val="0"/>
              <w:autoSpaceDN w:val="0"/>
              <w:adjustRightInd w:val="0"/>
              <w:spacing w:line="480" w:lineRule="auto"/>
              <w:jc w:val="center"/>
              <w:rPr>
                <w:rFonts w:ascii="Arial" w:hAnsi="Arial" w:cs="Arial"/>
                <w:b w:val="0"/>
                <w:bCs w:val="0"/>
                <w:i/>
              </w:rPr>
            </w:pPr>
            <w:r w:rsidRPr="00C43975">
              <w:rPr>
                <w:rFonts w:ascii="Arial" w:hAnsi="Arial" w:cs="Arial"/>
                <w:b w:val="0"/>
                <w:i/>
                <w:color w:val="000000"/>
              </w:rPr>
              <w:t>Itraconazole</w:t>
            </w:r>
          </w:p>
        </w:tc>
        <w:tc>
          <w:tcPr>
            <w:tcW w:w="2012" w:type="dxa"/>
          </w:tcPr>
          <w:p w14:paraId="0066149B"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
              </w:rPr>
            </w:pPr>
            <w:r w:rsidRPr="00C43975">
              <w:rPr>
                <w:rFonts w:ascii="Arial" w:hAnsi="Arial" w:cs="Arial"/>
                <w:i/>
                <w:color w:val="000000"/>
              </w:rPr>
              <w:t xml:space="preserve">  47 (5.9)</w:t>
            </w:r>
          </w:p>
        </w:tc>
        <w:tc>
          <w:tcPr>
            <w:tcW w:w="2147" w:type="dxa"/>
          </w:tcPr>
          <w:p w14:paraId="673126B1"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
              </w:rPr>
            </w:pPr>
            <w:r w:rsidRPr="00C43975">
              <w:rPr>
                <w:rFonts w:ascii="Arial" w:hAnsi="Arial" w:cs="Arial"/>
                <w:i/>
                <w:color w:val="000000"/>
              </w:rPr>
              <w:t xml:space="preserve">  2 (0.8)</w:t>
            </w:r>
          </w:p>
        </w:tc>
        <w:tc>
          <w:tcPr>
            <w:tcW w:w="2108" w:type="dxa"/>
          </w:tcPr>
          <w:p w14:paraId="63A650D5"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
              </w:rPr>
            </w:pPr>
            <w:r w:rsidRPr="00C43975">
              <w:rPr>
                <w:rFonts w:ascii="Arial" w:hAnsi="Arial" w:cs="Arial"/>
                <w:i/>
                <w:color w:val="000000"/>
              </w:rPr>
              <w:t xml:space="preserve">  49 (4.7)</w:t>
            </w:r>
          </w:p>
        </w:tc>
      </w:tr>
      <w:tr w:rsidR="00EC3651" w:rsidRPr="00C43975" w14:paraId="7C7E3F0D" w14:textId="77777777" w:rsidTr="00515F47">
        <w:tc>
          <w:tcPr>
            <w:cnfStyle w:val="001000000000" w:firstRow="0" w:lastRow="0" w:firstColumn="1" w:lastColumn="0" w:oddVBand="0" w:evenVBand="0" w:oddHBand="0" w:evenHBand="0" w:firstRowFirstColumn="0" w:firstRowLastColumn="0" w:lastRowFirstColumn="0" w:lastRowLastColumn="0"/>
            <w:tcW w:w="3321" w:type="dxa"/>
          </w:tcPr>
          <w:p w14:paraId="57BCC5AF" w14:textId="77777777" w:rsidR="00EC3651" w:rsidRPr="00C43975" w:rsidRDefault="00EC3651" w:rsidP="00515F47">
            <w:pPr>
              <w:autoSpaceDE w:val="0"/>
              <w:autoSpaceDN w:val="0"/>
              <w:adjustRightInd w:val="0"/>
              <w:spacing w:line="480" w:lineRule="auto"/>
              <w:jc w:val="both"/>
              <w:rPr>
                <w:rFonts w:ascii="Arial" w:hAnsi="Arial" w:cs="Arial"/>
                <w:b w:val="0"/>
                <w:bCs w:val="0"/>
                <w:color w:val="000000"/>
              </w:rPr>
            </w:pPr>
            <w:r w:rsidRPr="00C43975">
              <w:rPr>
                <w:rFonts w:ascii="Arial" w:hAnsi="Arial" w:cs="Arial"/>
                <w:b w:val="0"/>
                <w:bCs w:val="0"/>
                <w:color w:val="000000"/>
              </w:rPr>
              <w:t xml:space="preserve">Echinocandins </w:t>
            </w:r>
            <w:r w:rsidRPr="00C43975">
              <w:rPr>
                <w:rFonts w:ascii="Arial" w:hAnsi="Arial" w:cs="Arial"/>
                <w:b w:val="0"/>
                <w:color w:val="000000"/>
              </w:rPr>
              <w:t>n(%)</w:t>
            </w:r>
          </w:p>
        </w:tc>
        <w:tc>
          <w:tcPr>
            <w:tcW w:w="2012" w:type="dxa"/>
          </w:tcPr>
          <w:p w14:paraId="7FF8BB30" w14:textId="77777777" w:rsidR="00EC3651" w:rsidRPr="00C43975" w:rsidRDefault="00EC3651" w:rsidP="00515F47">
            <w:pPr>
              <w:tabs>
                <w:tab w:val="center" w:pos="898"/>
              </w:tabs>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C43975">
              <w:rPr>
                <w:rFonts w:ascii="Arial" w:hAnsi="Arial" w:cs="Arial"/>
                <w:color w:val="000000"/>
              </w:rPr>
              <w:tab/>
              <w:t>111 (13.9)</w:t>
            </w:r>
          </w:p>
        </w:tc>
        <w:tc>
          <w:tcPr>
            <w:tcW w:w="2147" w:type="dxa"/>
          </w:tcPr>
          <w:p w14:paraId="043220DE"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C43975">
              <w:rPr>
                <w:rFonts w:ascii="Arial" w:hAnsi="Arial" w:cs="Arial"/>
                <w:color w:val="000000"/>
              </w:rPr>
              <w:t>15 (6.0)</w:t>
            </w:r>
          </w:p>
        </w:tc>
        <w:tc>
          <w:tcPr>
            <w:tcW w:w="2108" w:type="dxa"/>
          </w:tcPr>
          <w:p w14:paraId="1223A504"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C43975">
              <w:rPr>
                <w:rFonts w:ascii="Arial" w:hAnsi="Arial" w:cs="Arial"/>
                <w:color w:val="000000"/>
              </w:rPr>
              <w:t>126 (12.0)</w:t>
            </w:r>
          </w:p>
        </w:tc>
      </w:tr>
      <w:tr w:rsidR="00EC3651" w:rsidRPr="00C43975" w14:paraId="1AC44E24" w14:textId="77777777" w:rsidTr="00515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1" w:type="dxa"/>
          </w:tcPr>
          <w:p w14:paraId="1245C332" w14:textId="77777777" w:rsidR="00EC3651" w:rsidRPr="00C43975" w:rsidRDefault="00EC3651" w:rsidP="00515F47">
            <w:pPr>
              <w:autoSpaceDE w:val="0"/>
              <w:autoSpaceDN w:val="0"/>
              <w:adjustRightInd w:val="0"/>
              <w:spacing w:line="480" w:lineRule="auto"/>
              <w:jc w:val="center"/>
              <w:rPr>
                <w:rFonts w:ascii="Arial" w:hAnsi="Arial" w:cs="Arial"/>
                <w:b w:val="0"/>
                <w:bCs w:val="0"/>
                <w:i/>
              </w:rPr>
            </w:pPr>
            <w:proofErr w:type="spellStart"/>
            <w:r w:rsidRPr="00C43975">
              <w:rPr>
                <w:rFonts w:ascii="Arial" w:hAnsi="Arial" w:cs="Arial"/>
                <w:b w:val="0"/>
                <w:i/>
                <w:color w:val="000000"/>
              </w:rPr>
              <w:t>Caspofungin</w:t>
            </w:r>
            <w:proofErr w:type="spellEnd"/>
          </w:p>
        </w:tc>
        <w:tc>
          <w:tcPr>
            <w:tcW w:w="2012" w:type="dxa"/>
          </w:tcPr>
          <w:p w14:paraId="195E172E"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
              </w:rPr>
            </w:pPr>
            <w:r w:rsidRPr="00C43975">
              <w:rPr>
                <w:rFonts w:ascii="Arial" w:hAnsi="Arial" w:cs="Arial"/>
                <w:i/>
                <w:color w:val="000000"/>
              </w:rPr>
              <w:t xml:space="preserve">  61 (7.6)</w:t>
            </w:r>
          </w:p>
        </w:tc>
        <w:tc>
          <w:tcPr>
            <w:tcW w:w="2147" w:type="dxa"/>
          </w:tcPr>
          <w:p w14:paraId="49ABF429"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
              </w:rPr>
            </w:pPr>
            <w:r w:rsidRPr="00C43975">
              <w:rPr>
                <w:rFonts w:ascii="Arial" w:hAnsi="Arial" w:cs="Arial"/>
                <w:i/>
                <w:color w:val="000000"/>
              </w:rPr>
              <w:t xml:space="preserve">  8 (3.2)</w:t>
            </w:r>
          </w:p>
        </w:tc>
        <w:tc>
          <w:tcPr>
            <w:tcW w:w="2108" w:type="dxa"/>
          </w:tcPr>
          <w:p w14:paraId="64C2A86D"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
              </w:rPr>
            </w:pPr>
            <w:r w:rsidRPr="00C43975">
              <w:rPr>
                <w:rFonts w:ascii="Arial" w:hAnsi="Arial" w:cs="Arial"/>
                <w:i/>
                <w:color w:val="000000"/>
              </w:rPr>
              <w:t xml:space="preserve">  69 (6.6)</w:t>
            </w:r>
          </w:p>
        </w:tc>
      </w:tr>
      <w:tr w:rsidR="00EC3651" w:rsidRPr="00C43975" w14:paraId="0CE2B87F" w14:textId="77777777" w:rsidTr="00515F47">
        <w:tc>
          <w:tcPr>
            <w:cnfStyle w:val="001000000000" w:firstRow="0" w:lastRow="0" w:firstColumn="1" w:lastColumn="0" w:oddVBand="0" w:evenVBand="0" w:oddHBand="0" w:evenHBand="0" w:firstRowFirstColumn="0" w:firstRowLastColumn="0" w:lastRowFirstColumn="0" w:lastRowLastColumn="0"/>
            <w:tcW w:w="3321" w:type="dxa"/>
          </w:tcPr>
          <w:p w14:paraId="77F68E2C" w14:textId="77777777" w:rsidR="00EC3651" w:rsidRPr="00C43975" w:rsidRDefault="00EC3651" w:rsidP="00515F47">
            <w:pPr>
              <w:autoSpaceDE w:val="0"/>
              <w:autoSpaceDN w:val="0"/>
              <w:adjustRightInd w:val="0"/>
              <w:spacing w:line="480" w:lineRule="auto"/>
              <w:jc w:val="center"/>
              <w:rPr>
                <w:rFonts w:ascii="Arial" w:hAnsi="Arial" w:cs="Arial"/>
                <w:b w:val="0"/>
                <w:i/>
                <w:color w:val="000000"/>
              </w:rPr>
            </w:pPr>
            <w:r w:rsidRPr="00C43975">
              <w:rPr>
                <w:rFonts w:ascii="Arial" w:hAnsi="Arial" w:cs="Arial"/>
                <w:b w:val="0"/>
                <w:i/>
                <w:color w:val="000000"/>
              </w:rPr>
              <w:t>Micafungin</w:t>
            </w:r>
          </w:p>
        </w:tc>
        <w:tc>
          <w:tcPr>
            <w:tcW w:w="2012" w:type="dxa"/>
          </w:tcPr>
          <w:p w14:paraId="48B918AF"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0000"/>
              </w:rPr>
            </w:pPr>
            <w:r w:rsidRPr="00C43975">
              <w:rPr>
                <w:rFonts w:ascii="Arial" w:hAnsi="Arial" w:cs="Arial"/>
                <w:i/>
                <w:color w:val="000000"/>
              </w:rPr>
              <w:t xml:space="preserve">  47 (5.9)</w:t>
            </w:r>
          </w:p>
        </w:tc>
        <w:tc>
          <w:tcPr>
            <w:tcW w:w="2147" w:type="dxa"/>
          </w:tcPr>
          <w:p w14:paraId="7FF4BE39"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0000"/>
              </w:rPr>
            </w:pPr>
            <w:r w:rsidRPr="00C43975">
              <w:rPr>
                <w:rFonts w:ascii="Arial" w:hAnsi="Arial" w:cs="Arial"/>
                <w:i/>
                <w:color w:val="000000"/>
              </w:rPr>
              <w:t xml:space="preserve">  7 (2.8)</w:t>
            </w:r>
          </w:p>
        </w:tc>
        <w:tc>
          <w:tcPr>
            <w:tcW w:w="2108" w:type="dxa"/>
          </w:tcPr>
          <w:p w14:paraId="6B3289F0"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0000"/>
              </w:rPr>
            </w:pPr>
            <w:r w:rsidRPr="00C43975">
              <w:rPr>
                <w:rFonts w:ascii="Arial" w:hAnsi="Arial" w:cs="Arial"/>
                <w:i/>
                <w:color w:val="000000"/>
              </w:rPr>
              <w:t xml:space="preserve">  54 (5.1)</w:t>
            </w:r>
          </w:p>
        </w:tc>
      </w:tr>
      <w:tr w:rsidR="00EC3651" w:rsidRPr="00C43975" w14:paraId="6C00C18B" w14:textId="77777777" w:rsidTr="00515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1" w:type="dxa"/>
          </w:tcPr>
          <w:p w14:paraId="70CCA0CC" w14:textId="77777777" w:rsidR="00EC3651" w:rsidRPr="00C43975" w:rsidRDefault="00EC3651" w:rsidP="00515F47">
            <w:pPr>
              <w:autoSpaceDE w:val="0"/>
              <w:autoSpaceDN w:val="0"/>
              <w:adjustRightInd w:val="0"/>
              <w:spacing w:line="480" w:lineRule="auto"/>
              <w:jc w:val="center"/>
              <w:rPr>
                <w:rFonts w:ascii="Arial" w:hAnsi="Arial" w:cs="Arial"/>
                <w:b w:val="0"/>
                <w:bCs w:val="0"/>
                <w:i/>
              </w:rPr>
            </w:pPr>
            <w:r w:rsidRPr="00C43975">
              <w:rPr>
                <w:rFonts w:ascii="Arial" w:hAnsi="Arial" w:cs="Arial"/>
                <w:b w:val="0"/>
                <w:i/>
                <w:color w:val="000000"/>
              </w:rPr>
              <w:t>Anidulafungin</w:t>
            </w:r>
          </w:p>
        </w:tc>
        <w:tc>
          <w:tcPr>
            <w:tcW w:w="2012" w:type="dxa"/>
          </w:tcPr>
          <w:p w14:paraId="7541A8F1"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
              </w:rPr>
            </w:pPr>
            <w:r w:rsidRPr="00C43975">
              <w:rPr>
                <w:rFonts w:ascii="Arial" w:hAnsi="Arial" w:cs="Arial"/>
                <w:i/>
                <w:color w:val="000000"/>
              </w:rPr>
              <w:t xml:space="preserve">  3 (0.4)</w:t>
            </w:r>
          </w:p>
        </w:tc>
        <w:tc>
          <w:tcPr>
            <w:tcW w:w="2147" w:type="dxa"/>
          </w:tcPr>
          <w:p w14:paraId="72FB290C"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
              </w:rPr>
            </w:pPr>
            <w:r w:rsidRPr="00C43975">
              <w:rPr>
                <w:rFonts w:ascii="Arial" w:hAnsi="Arial" w:cs="Arial"/>
                <w:i/>
                <w:color w:val="000000"/>
              </w:rPr>
              <w:t>0</w:t>
            </w:r>
          </w:p>
        </w:tc>
        <w:tc>
          <w:tcPr>
            <w:tcW w:w="2108" w:type="dxa"/>
          </w:tcPr>
          <w:p w14:paraId="2862A92C"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
              </w:rPr>
            </w:pPr>
            <w:r w:rsidRPr="00C43975">
              <w:rPr>
                <w:rFonts w:ascii="Arial" w:hAnsi="Arial" w:cs="Arial"/>
                <w:i/>
                <w:color w:val="000000"/>
              </w:rPr>
              <w:t xml:space="preserve">  3 (0.3)</w:t>
            </w:r>
          </w:p>
        </w:tc>
      </w:tr>
      <w:tr w:rsidR="00EC3651" w:rsidRPr="00C43975" w14:paraId="31BC9B36" w14:textId="77777777" w:rsidTr="00515F47">
        <w:tc>
          <w:tcPr>
            <w:cnfStyle w:val="001000000000" w:firstRow="0" w:lastRow="0" w:firstColumn="1" w:lastColumn="0" w:oddVBand="0" w:evenVBand="0" w:oddHBand="0" w:evenHBand="0" w:firstRowFirstColumn="0" w:firstRowLastColumn="0" w:lastRowFirstColumn="0" w:lastRowLastColumn="0"/>
            <w:tcW w:w="3321" w:type="dxa"/>
          </w:tcPr>
          <w:p w14:paraId="740DD30D" w14:textId="77777777" w:rsidR="00EC3651" w:rsidRPr="00C43975" w:rsidRDefault="00EC3651" w:rsidP="00515F47">
            <w:pPr>
              <w:autoSpaceDE w:val="0"/>
              <w:autoSpaceDN w:val="0"/>
              <w:adjustRightInd w:val="0"/>
              <w:spacing w:line="480" w:lineRule="auto"/>
              <w:jc w:val="both"/>
              <w:rPr>
                <w:rFonts w:ascii="Arial" w:hAnsi="Arial" w:cs="Arial"/>
                <w:b w:val="0"/>
                <w:color w:val="000000"/>
              </w:rPr>
            </w:pPr>
            <w:r w:rsidRPr="00C43975">
              <w:rPr>
                <w:rFonts w:ascii="Arial" w:hAnsi="Arial" w:cs="Arial"/>
                <w:b w:val="0"/>
                <w:color w:val="000000"/>
              </w:rPr>
              <w:t>Flucytosine n(%)</w:t>
            </w:r>
          </w:p>
        </w:tc>
        <w:tc>
          <w:tcPr>
            <w:tcW w:w="2012" w:type="dxa"/>
          </w:tcPr>
          <w:p w14:paraId="516686BE"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43975">
              <w:rPr>
                <w:rFonts w:ascii="Arial" w:hAnsi="Arial" w:cs="Arial"/>
                <w:color w:val="000000"/>
              </w:rPr>
              <w:t>1 (0.1)</w:t>
            </w:r>
          </w:p>
        </w:tc>
        <w:tc>
          <w:tcPr>
            <w:tcW w:w="2147" w:type="dxa"/>
          </w:tcPr>
          <w:p w14:paraId="654C0BF3"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43975">
              <w:rPr>
                <w:rFonts w:ascii="Arial" w:hAnsi="Arial" w:cs="Arial"/>
                <w:color w:val="000000"/>
              </w:rPr>
              <w:t>1 (0.4)</w:t>
            </w:r>
          </w:p>
        </w:tc>
        <w:tc>
          <w:tcPr>
            <w:tcW w:w="2108" w:type="dxa"/>
          </w:tcPr>
          <w:p w14:paraId="31735CD1" w14:textId="77777777" w:rsidR="00EC3651" w:rsidRPr="00C43975" w:rsidDel="009A5F90"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43975">
              <w:rPr>
                <w:rFonts w:ascii="Arial" w:hAnsi="Arial" w:cs="Arial"/>
                <w:color w:val="000000"/>
              </w:rPr>
              <w:t>2 (0.2)</w:t>
            </w:r>
          </w:p>
        </w:tc>
      </w:tr>
      <w:tr w:rsidR="00EC3651" w:rsidRPr="00C43975" w14:paraId="56062AE5" w14:textId="77777777" w:rsidTr="00515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1" w:type="dxa"/>
          </w:tcPr>
          <w:p w14:paraId="2B9B45ED" w14:textId="77777777" w:rsidR="00EC3651" w:rsidRPr="00C43975" w:rsidRDefault="00EC3651" w:rsidP="00515F47">
            <w:pPr>
              <w:autoSpaceDE w:val="0"/>
              <w:autoSpaceDN w:val="0"/>
              <w:adjustRightInd w:val="0"/>
              <w:spacing w:line="480" w:lineRule="auto"/>
              <w:jc w:val="both"/>
              <w:rPr>
                <w:rFonts w:ascii="Arial" w:hAnsi="Arial" w:cs="Arial"/>
                <w:b w:val="0"/>
                <w:bCs w:val="0"/>
              </w:rPr>
            </w:pPr>
            <w:proofErr w:type="gramStart"/>
            <w:r w:rsidRPr="00C43975">
              <w:rPr>
                <w:rFonts w:ascii="Arial" w:hAnsi="Arial" w:cs="Arial"/>
                <w:b w:val="0"/>
                <w:color w:val="000000"/>
              </w:rPr>
              <w:t>Other</w:t>
            </w:r>
            <w:proofErr w:type="gramEnd"/>
            <w:r w:rsidRPr="00C43975">
              <w:rPr>
                <w:rFonts w:ascii="Arial" w:hAnsi="Arial" w:cs="Arial"/>
                <w:b w:val="0"/>
                <w:color w:val="000000"/>
              </w:rPr>
              <w:t xml:space="preserve"> n(%)</w:t>
            </w:r>
          </w:p>
        </w:tc>
        <w:tc>
          <w:tcPr>
            <w:tcW w:w="2012" w:type="dxa"/>
          </w:tcPr>
          <w:p w14:paraId="7ED670BB"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color w:val="000000"/>
              </w:rPr>
              <w:t>2 (0.2)</w:t>
            </w:r>
          </w:p>
        </w:tc>
        <w:tc>
          <w:tcPr>
            <w:tcW w:w="2147" w:type="dxa"/>
          </w:tcPr>
          <w:p w14:paraId="03AFBBC2"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color w:val="000000"/>
              </w:rPr>
              <w:t>0</w:t>
            </w:r>
          </w:p>
        </w:tc>
        <w:tc>
          <w:tcPr>
            <w:tcW w:w="2108" w:type="dxa"/>
          </w:tcPr>
          <w:p w14:paraId="07C2C4D7"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color w:val="000000"/>
              </w:rPr>
              <w:t>2 (0.2)</w:t>
            </w:r>
          </w:p>
        </w:tc>
      </w:tr>
    </w:tbl>
    <w:p w14:paraId="45A87546" w14:textId="77777777" w:rsidR="00EC3651" w:rsidRPr="00C43975" w:rsidRDefault="00EC3651" w:rsidP="00EC3651">
      <w:pPr>
        <w:spacing w:line="480" w:lineRule="auto"/>
        <w:rPr>
          <w:rFonts w:ascii="Arial" w:hAnsi="Arial" w:cs="Arial"/>
        </w:rPr>
      </w:pPr>
    </w:p>
    <w:p w14:paraId="6AA7CF5A" w14:textId="77777777" w:rsidR="00EC3651" w:rsidRDefault="00EC3651" w:rsidP="00EC3651">
      <w:pPr>
        <w:spacing w:line="480" w:lineRule="auto"/>
        <w:rPr>
          <w:rFonts w:ascii="Arial" w:hAnsi="Arial" w:cs="Arial"/>
        </w:rPr>
      </w:pPr>
      <w:r w:rsidRPr="00C43975">
        <w:rPr>
          <w:rFonts w:ascii="Arial" w:hAnsi="Arial" w:cs="Arial"/>
        </w:rPr>
        <w:t xml:space="preserve">HIC, High Income Country. LMIC, Low Middle Income Country. Amphotericin B includes all formulations. </w:t>
      </w:r>
    </w:p>
    <w:p w14:paraId="42CA9021" w14:textId="77777777" w:rsidR="00EC3651" w:rsidRDefault="00EC3651" w:rsidP="00EC3651">
      <w:pPr>
        <w:rPr>
          <w:rFonts w:ascii="Arial" w:hAnsi="Arial" w:cs="Arial"/>
        </w:rPr>
      </w:pPr>
      <w:r>
        <w:rPr>
          <w:rFonts w:ascii="Arial" w:hAnsi="Arial" w:cs="Arial"/>
        </w:rPr>
        <w:br w:type="page"/>
      </w:r>
    </w:p>
    <w:p w14:paraId="7008130F" w14:textId="77777777" w:rsidR="00EC3651" w:rsidRPr="00C43975" w:rsidRDefault="00EC3651" w:rsidP="00EC3651">
      <w:pPr>
        <w:autoSpaceDE w:val="0"/>
        <w:autoSpaceDN w:val="0"/>
        <w:adjustRightInd w:val="0"/>
        <w:spacing w:line="480" w:lineRule="auto"/>
        <w:jc w:val="both"/>
        <w:rPr>
          <w:rFonts w:ascii="Arial" w:hAnsi="Arial" w:cs="Arial"/>
          <w:bCs/>
        </w:rPr>
      </w:pPr>
      <w:r w:rsidRPr="00C43975">
        <w:rPr>
          <w:rFonts w:ascii="Arial" w:hAnsi="Arial" w:cs="Arial"/>
          <w:b/>
          <w:bCs/>
        </w:rPr>
        <w:lastRenderedPageBreak/>
        <w:t xml:space="preserve">Table 2. </w:t>
      </w:r>
      <w:r w:rsidRPr="00C43975">
        <w:rPr>
          <w:rFonts w:ascii="Arial" w:hAnsi="Arial" w:cs="Arial"/>
          <w:bCs/>
        </w:rPr>
        <w:t>Antifungal agents by country income and type of underlying condition</w:t>
      </w:r>
    </w:p>
    <w:p w14:paraId="00D014D3" w14:textId="77777777" w:rsidR="00EC3651" w:rsidRPr="00C43975" w:rsidRDefault="00EC3651" w:rsidP="00EC3651">
      <w:pPr>
        <w:autoSpaceDE w:val="0"/>
        <w:autoSpaceDN w:val="0"/>
        <w:adjustRightInd w:val="0"/>
        <w:spacing w:line="480" w:lineRule="auto"/>
        <w:jc w:val="both"/>
        <w:rPr>
          <w:rFonts w:ascii="Arial" w:hAnsi="Arial" w:cs="Arial"/>
          <w:bCs/>
        </w:rPr>
      </w:pPr>
    </w:p>
    <w:tbl>
      <w:tblPr>
        <w:tblStyle w:val="PlainTable4"/>
        <w:tblW w:w="10915" w:type="dxa"/>
        <w:tblInd w:w="-57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835"/>
        <w:gridCol w:w="1418"/>
        <w:gridCol w:w="1276"/>
        <w:gridCol w:w="1156"/>
        <w:gridCol w:w="1232"/>
        <w:gridCol w:w="163"/>
        <w:gridCol w:w="1276"/>
        <w:gridCol w:w="1559"/>
      </w:tblGrid>
      <w:tr w:rsidR="00EC3651" w:rsidRPr="00C43975" w14:paraId="35ACF0A2" w14:textId="77777777" w:rsidTr="00515F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9BB8532" w14:textId="77777777" w:rsidR="00EC3651" w:rsidRPr="00C43975" w:rsidRDefault="00EC3651" w:rsidP="00515F47">
            <w:pPr>
              <w:autoSpaceDE w:val="0"/>
              <w:autoSpaceDN w:val="0"/>
              <w:adjustRightInd w:val="0"/>
              <w:spacing w:line="480" w:lineRule="auto"/>
              <w:jc w:val="both"/>
              <w:rPr>
                <w:rFonts w:ascii="Arial" w:hAnsi="Arial" w:cs="Arial"/>
                <w:b w:val="0"/>
                <w:bCs w:val="0"/>
              </w:rPr>
            </w:pPr>
          </w:p>
        </w:tc>
        <w:tc>
          <w:tcPr>
            <w:tcW w:w="5082" w:type="dxa"/>
            <w:gridSpan w:val="4"/>
          </w:tcPr>
          <w:p w14:paraId="39F19EE4" w14:textId="77777777" w:rsidR="00EC3651" w:rsidRPr="00C43975" w:rsidRDefault="00EC3651" w:rsidP="00515F47">
            <w:pPr>
              <w:autoSpaceDE w:val="0"/>
              <w:autoSpaceDN w:val="0"/>
              <w:adjustRightInd w:val="0"/>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C43975">
              <w:rPr>
                <w:rFonts w:ascii="Arial" w:hAnsi="Arial" w:cs="Arial"/>
                <w:bCs w:val="0"/>
              </w:rPr>
              <w:t>Country income level</w:t>
            </w:r>
          </w:p>
        </w:tc>
        <w:tc>
          <w:tcPr>
            <w:tcW w:w="2998" w:type="dxa"/>
            <w:gridSpan w:val="3"/>
          </w:tcPr>
          <w:p w14:paraId="056959F6" w14:textId="77777777" w:rsidR="00EC3651" w:rsidRPr="00C43975" w:rsidRDefault="00EC3651" w:rsidP="00515F47">
            <w:pPr>
              <w:autoSpaceDE w:val="0"/>
              <w:autoSpaceDN w:val="0"/>
              <w:adjustRightInd w:val="0"/>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tc>
      </w:tr>
      <w:tr w:rsidR="00EC3651" w:rsidRPr="00C43975" w14:paraId="560ED428" w14:textId="77777777" w:rsidTr="00515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6984E85" w14:textId="77777777" w:rsidR="00EC3651" w:rsidRPr="00C43975" w:rsidRDefault="00EC3651" w:rsidP="00515F47">
            <w:pPr>
              <w:autoSpaceDE w:val="0"/>
              <w:autoSpaceDN w:val="0"/>
              <w:adjustRightInd w:val="0"/>
              <w:spacing w:line="480" w:lineRule="auto"/>
              <w:jc w:val="both"/>
              <w:rPr>
                <w:rFonts w:ascii="Arial" w:hAnsi="Arial" w:cs="Arial"/>
                <w:b w:val="0"/>
                <w:bCs w:val="0"/>
              </w:rPr>
            </w:pPr>
          </w:p>
        </w:tc>
        <w:tc>
          <w:tcPr>
            <w:tcW w:w="2694" w:type="dxa"/>
            <w:gridSpan w:val="2"/>
          </w:tcPr>
          <w:p w14:paraId="5C090BB9"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43975">
              <w:rPr>
                <w:rFonts w:ascii="Arial" w:hAnsi="Arial" w:cs="Arial"/>
                <w:color w:val="000000"/>
              </w:rPr>
              <w:t>HIC</w:t>
            </w:r>
          </w:p>
          <w:p w14:paraId="62139604"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bCs/>
              </w:rPr>
              <w:t>(n= 798)</w:t>
            </w:r>
          </w:p>
        </w:tc>
        <w:tc>
          <w:tcPr>
            <w:tcW w:w="2388" w:type="dxa"/>
            <w:gridSpan w:val="2"/>
          </w:tcPr>
          <w:p w14:paraId="246F012E"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43975">
              <w:rPr>
                <w:rFonts w:ascii="Arial" w:hAnsi="Arial" w:cs="Arial"/>
                <w:color w:val="000000"/>
              </w:rPr>
              <w:t>LMIC</w:t>
            </w:r>
          </w:p>
          <w:p w14:paraId="518D0080"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bCs/>
              </w:rPr>
              <w:t>(n=250)</w:t>
            </w:r>
          </w:p>
        </w:tc>
        <w:tc>
          <w:tcPr>
            <w:tcW w:w="2998" w:type="dxa"/>
            <w:gridSpan w:val="3"/>
          </w:tcPr>
          <w:p w14:paraId="29591095"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43975">
              <w:rPr>
                <w:rFonts w:ascii="Arial" w:hAnsi="Arial" w:cs="Arial"/>
                <w:color w:val="000000"/>
              </w:rPr>
              <w:t>Total</w:t>
            </w:r>
          </w:p>
          <w:p w14:paraId="58DDF50D"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bCs/>
              </w:rPr>
              <w:t>(n= 1048)</w:t>
            </w:r>
          </w:p>
        </w:tc>
      </w:tr>
      <w:tr w:rsidR="00EC3651" w:rsidRPr="00C43975" w14:paraId="49A669DD" w14:textId="77777777" w:rsidTr="00515F47">
        <w:tc>
          <w:tcPr>
            <w:cnfStyle w:val="001000000000" w:firstRow="0" w:lastRow="0" w:firstColumn="1" w:lastColumn="0" w:oddVBand="0" w:evenVBand="0" w:oddHBand="0" w:evenHBand="0" w:firstRowFirstColumn="0" w:firstRowLastColumn="0" w:lastRowFirstColumn="0" w:lastRowLastColumn="0"/>
            <w:tcW w:w="2835" w:type="dxa"/>
          </w:tcPr>
          <w:p w14:paraId="11EDD39B" w14:textId="77777777" w:rsidR="00EC3651" w:rsidRPr="00C43975" w:rsidRDefault="00EC3651" w:rsidP="00515F47">
            <w:pPr>
              <w:autoSpaceDE w:val="0"/>
              <w:autoSpaceDN w:val="0"/>
              <w:adjustRightInd w:val="0"/>
              <w:spacing w:line="480" w:lineRule="auto"/>
              <w:jc w:val="both"/>
              <w:rPr>
                <w:rFonts w:ascii="Arial" w:hAnsi="Arial" w:cs="Arial"/>
                <w:bCs w:val="0"/>
              </w:rPr>
            </w:pPr>
            <w:r w:rsidRPr="00C43975">
              <w:rPr>
                <w:rFonts w:ascii="Arial" w:hAnsi="Arial" w:cs="Arial"/>
                <w:bCs w:val="0"/>
              </w:rPr>
              <w:t>Antifungal drug</w:t>
            </w:r>
          </w:p>
        </w:tc>
        <w:tc>
          <w:tcPr>
            <w:tcW w:w="1418" w:type="dxa"/>
          </w:tcPr>
          <w:p w14:paraId="6BDBA950"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43975">
              <w:rPr>
                <w:rFonts w:ascii="Arial" w:hAnsi="Arial" w:cs="Arial"/>
                <w:color w:val="000000"/>
              </w:rPr>
              <w:t>High risk</w:t>
            </w:r>
          </w:p>
          <w:p w14:paraId="64FB5141"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186919BC"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43975">
              <w:rPr>
                <w:rFonts w:ascii="Arial" w:hAnsi="Arial" w:cs="Arial"/>
                <w:color w:val="000000"/>
              </w:rPr>
              <w:t xml:space="preserve">(n=587) </w:t>
            </w:r>
          </w:p>
        </w:tc>
        <w:tc>
          <w:tcPr>
            <w:tcW w:w="1276" w:type="dxa"/>
          </w:tcPr>
          <w:p w14:paraId="130D0316"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43975">
              <w:rPr>
                <w:rFonts w:ascii="Arial" w:hAnsi="Arial" w:cs="Arial"/>
                <w:color w:val="000000"/>
              </w:rPr>
              <w:t>Standard risk (n=211)</w:t>
            </w:r>
          </w:p>
        </w:tc>
        <w:tc>
          <w:tcPr>
            <w:tcW w:w="1156" w:type="dxa"/>
          </w:tcPr>
          <w:p w14:paraId="753C28E6"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43975">
              <w:rPr>
                <w:rFonts w:ascii="Arial" w:hAnsi="Arial" w:cs="Arial"/>
                <w:color w:val="000000"/>
              </w:rPr>
              <w:t xml:space="preserve">High risk </w:t>
            </w:r>
          </w:p>
          <w:p w14:paraId="1FF9EB74"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51CA8A32"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43975">
              <w:rPr>
                <w:rFonts w:ascii="Arial" w:hAnsi="Arial" w:cs="Arial"/>
                <w:color w:val="000000"/>
              </w:rPr>
              <w:t xml:space="preserve">(n=119) </w:t>
            </w:r>
          </w:p>
        </w:tc>
        <w:tc>
          <w:tcPr>
            <w:tcW w:w="1232" w:type="dxa"/>
          </w:tcPr>
          <w:p w14:paraId="62247DD3"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43975">
              <w:rPr>
                <w:rFonts w:ascii="Arial" w:hAnsi="Arial" w:cs="Arial"/>
                <w:color w:val="000000"/>
              </w:rPr>
              <w:t>Standard risk (n=131)</w:t>
            </w:r>
          </w:p>
        </w:tc>
        <w:tc>
          <w:tcPr>
            <w:tcW w:w="1439" w:type="dxa"/>
            <w:gridSpan w:val="2"/>
          </w:tcPr>
          <w:p w14:paraId="2CFBE371"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43975">
              <w:rPr>
                <w:rFonts w:ascii="Arial" w:hAnsi="Arial" w:cs="Arial"/>
                <w:color w:val="000000"/>
              </w:rPr>
              <w:t>High risk</w:t>
            </w:r>
          </w:p>
          <w:p w14:paraId="56512D15"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033B5FF7"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43975">
              <w:rPr>
                <w:rFonts w:ascii="Arial" w:hAnsi="Arial" w:cs="Arial"/>
                <w:color w:val="000000"/>
              </w:rPr>
              <w:t xml:space="preserve">(n=706) </w:t>
            </w:r>
          </w:p>
        </w:tc>
        <w:tc>
          <w:tcPr>
            <w:tcW w:w="1559" w:type="dxa"/>
          </w:tcPr>
          <w:p w14:paraId="17DD3856"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43975">
              <w:rPr>
                <w:rFonts w:ascii="Arial" w:hAnsi="Arial" w:cs="Arial"/>
                <w:color w:val="000000"/>
              </w:rPr>
              <w:t xml:space="preserve">Standard risk </w:t>
            </w:r>
          </w:p>
          <w:p w14:paraId="1CC6F82A"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p w14:paraId="182B213A"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43975">
              <w:rPr>
                <w:rFonts w:ascii="Arial" w:hAnsi="Arial" w:cs="Arial"/>
                <w:color w:val="000000"/>
              </w:rPr>
              <w:t>(n=342)</w:t>
            </w:r>
          </w:p>
        </w:tc>
      </w:tr>
      <w:tr w:rsidR="00EC3651" w:rsidRPr="00C43975" w14:paraId="0FEFE109" w14:textId="77777777" w:rsidTr="00515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0381B2E" w14:textId="77777777" w:rsidR="00EC3651" w:rsidRPr="00C43975" w:rsidRDefault="00EC3651" w:rsidP="00515F47">
            <w:pPr>
              <w:autoSpaceDE w:val="0"/>
              <w:autoSpaceDN w:val="0"/>
              <w:adjustRightInd w:val="0"/>
              <w:spacing w:line="480" w:lineRule="auto"/>
              <w:jc w:val="both"/>
              <w:rPr>
                <w:rFonts w:ascii="Arial" w:hAnsi="Arial" w:cs="Arial"/>
                <w:b w:val="0"/>
                <w:bCs w:val="0"/>
              </w:rPr>
            </w:pPr>
            <w:r w:rsidRPr="00C43975">
              <w:rPr>
                <w:rFonts w:ascii="Arial" w:hAnsi="Arial" w:cs="Arial"/>
                <w:b w:val="0"/>
                <w:color w:val="000000"/>
              </w:rPr>
              <w:t>Amphotericin B n(%)</w:t>
            </w:r>
          </w:p>
        </w:tc>
        <w:tc>
          <w:tcPr>
            <w:tcW w:w="1418" w:type="dxa"/>
          </w:tcPr>
          <w:p w14:paraId="537769A9"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color w:val="000000"/>
              </w:rPr>
              <w:t>196 (33.4)</w:t>
            </w:r>
          </w:p>
        </w:tc>
        <w:tc>
          <w:tcPr>
            <w:tcW w:w="1276" w:type="dxa"/>
          </w:tcPr>
          <w:p w14:paraId="271D49D8"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bCs/>
              </w:rPr>
              <w:t>35 (16.6)</w:t>
            </w:r>
          </w:p>
        </w:tc>
        <w:tc>
          <w:tcPr>
            <w:tcW w:w="1156" w:type="dxa"/>
          </w:tcPr>
          <w:p w14:paraId="29A6A7F4"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color w:val="000000"/>
              </w:rPr>
              <w:t>20 (16.8)</w:t>
            </w:r>
          </w:p>
        </w:tc>
        <w:tc>
          <w:tcPr>
            <w:tcW w:w="1232" w:type="dxa"/>
          </w:tcPr>
          <w:p w14:paraId="7986163A"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bCs/>
              </w:rPr>
              <w:t>23 (19.3)</w:t>
            </w:r>
          </w:p>
        </w:tc>
        <w:tc>
          <w:tcPr>
            <w:tcW w:w="1439" w:type="dxa"/>
            <w:gridSpan w:val="2"/>
          </w:tcPr>
          <w:p w14:paraId="280FA010"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color w:val="000000"/>
              </w:rPr>
              <w:t>216 (30.6)</w:t>
            </w:r>
          </w:p>
        </w:tc>
        <w:tc>
          <w:tcPr>
            <w:tcW w:w="1559" w:type="dxa"/>
          </w:tcPr>
          <w:p w14:paraId="7A7C5C5A"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bCs/>
              </w:rPr>
              <w:t>58 (16.9)</w:t>
            </w:r>
          </w:p>
        </w:tc>
      </w:tr>
      <w:tr w:rsidR="00EC3651" w:rsidRPr="00C43975" w14:paraId="4DCBCC57" w14:textId="77777777" w:rsidTr="00515F47">
        <w:tc>
          <w:tcPr>
            <w:cnfStyle w:val="001000000000" w:firstRow="0" w:lastRow="0" w:firstColumn="1" w:lastColumn="0" w:oddVBand="0" w:evenVBand="0" w:oddHBand="0" w:evenHBand="0" w:firstRowFirstColumn="0" w:firstRowLastColumn="0" w:lastRowFirstColumn="0" w:lastRowLastColumn="0"/>
            <w:tcW w:w="2835" w:type="dxa"/>
          </w:tcPr>
          <w:p w14:paraId="0098BEF6" w14:textId="77777777" w:rsidR="00EC3651" w:rsidRPr="00C43975" w:rsidRDefault="00EC3651" w:rsidP="00515F47">
            <w:pPr>
              <w:autoSpaceDE w:val="0"/>
              <w:autoSpaceDN w:val="0"/>
              <w:adjustRightInd w:val="0"/>
              <w:spacing w:line="480" w:lineRule="auto"/>
              <w:jc w:val="both"/>
              <w:rPr>
                <w:rFonts w:ascii="Arial" w:hAnsi="Arial" w:cs="Arial"/>
                <w:b w:val="0"/>
                <w:bCs w:val="0"/>
              </w:rPr>
            </w:pPr>
            <w:r w:rsidRPr="00C43975">
              <w:rPr>
                <w:rFonts w:ascii="Arial" w:hAnsi="Arial" w:cs="Arial"/>
                <w:b w:val="0"/>
                <w:color w:val="000000"/>
              </w:rPr>
              <w:t>Fluconazole n(%)</w:t>
            </w:r>
          </w:p>
        </w:tc>
        <w:tc>
          <w:tcPr>
            <w:tcW w:w="1418" w:type="dxa"/>
          </w:tcPr>
          <w:p w14:paraId="7EE288AE"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C43975">
              <w:rPr>
                <w:rFonts w:ascii="Arial" w:hAnsi="Arial" w:cs="Arial"/>
                <w:bCs/>
              </w:rPr>
              <w:t>206 (35.1)</w:t>
            </w:r>
          </w:p>
        </w:tc>
        <w:tc>
          <w:tcPr>
            <w:tcW w:w="1276" w:type="dxa"/>
          </w:tcPr>
          <w:p w14:paraId="53A26695"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C43975">
              <w:rPr>
                <w:rFonts w:ascii="Arial" w:hAnsi="Arial" w:cs="Arial"/>
                <w:bCs/>
              </w:rPr>
              <w:t>108 (51.2)</w:t>
            </w:r>
          </w:p>
        </w:tc>
        <w:tc>
          <w:tcPr>
            <w:tcW w:w="1156" w:type="dxa"/>
          </w:tcPr>
          <w:p w14:paraId="184652C0"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C43975">
              <w:rPr>
                <w:rFonts w:ascii="Arial" w:hAnsi="Arial" w:cs="Arial"/>
                <w:bCs/>
              </w:rPr>
              <w:t>77 (64.7)</w:t>
            </w:r>
          </w:p>
        </w:tc>
        <w:tc>
          <w:tcPr>
            <w:tcW w:w="1232" w:type="dxa"/>
          </w:tcPr>
          <w:p w14:paraId="5CE14373"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C43975">
              <w:rPr>
                <w:rFonts w:ascii="Arial" w:hAnsi="Arial" w:cs="Arial"/>
                <w:bCs/>
              </w:rPr>
              <w:t>90 (68.7)</w:t>
            </w:r>
          </w:p>
        </w:tc>
        <w:tc>
          <w:tcPr>
            <w:tcW w:w="1439" w:type="dxa"/>
            <w:gridSpan w:val="2"/>
          </w:tcPr>
          <w:p w14:paraId="48E5795B"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C43975">
              <w:rPr>
                <w:rFonts w:ascii="Arial" w:hAnsi="Arial" w:cs="Arial"/>
                <w:bCs/>
              </w:rPr>
              <w:t>282 (39.9)</w:t>
            </w:r>
          </w:p>
        </w:tc>
        <w:tc>
          <w:tcPr>
            <w:tcW w:w="1559" w:type="dxa"/>
          </w:tcPr>
          <w:p w14:paraId="266D6516"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C43975">
              <w:rPr>
                <w:rFonts w:ascii="Arial" w:hAnsi="Arial" w:cs="Arial"/>
                <w:bCs/>
              </w:rPr>
              <w:t>198 (57.9)</w:t>
            </w:r>
          </w:p>
        </w:tc>
      </w:tr>
      <w:tr w:rsidR="00EC3651" w:rsidRPr="00C43975" w14:paraId="00BFECB1" w14:textId="77777777" w:rsidTr="00515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E6B0D29" w14:textId="77777777" w:rsidR="00EC3651" w:rsidRPr="00C43975" w:rsidRDefault="00EC3651" w:rsidP="00515F47">
            <w:pPr>
              <w:autoSpaceDE w:val="0"/>
              <w:autoSpaceDN w:val="0"/>
              <w:adjustRightInd w:val="0"/>
              <w:spacing w:line="480" w:lineRule="auto"/>
              <w:jc w:val="both"/>
              <w:rPr>
                <w:rFonts w:ascii="Arial" w:hAnsi="Arial" w:cs="Arial"/>
                <w:b w:val="0"/>
                <w:color w:val="000000"/>
              </w:rPr>
            </w:pPr>
            <w:r w:rsidRPr="00C43975">
              <w:rPr>
                <w:rFonts w:ascii="Arial" w:hAnsi="Arial" w:cs="Arial"/>
                <w:b w:val="0"/>
                <w:bCs w:val="0"/>
                <w:color w:val="000000"/>
              </w:rPr>
              <w:t>Mould active triazoles</w:t>
            </w:r>
            <w:r w:rsidRPr="00C43975">
              <w:rPr>
                <w:rFonts w:ascii="Arial" w:hAnsi="Arial" w:cs="Arial"/>
                <w:b w:val="0"/>
                <w:color w:val="000000"/>
              </w:rPr>
              <w:t xml:space="preserve"> n(%)</w:t>
            </w:r>
          </w:p>
        </w:tc>
        <w:tc>
          <w:tcPr>
            <w:tcW w:w="1418" w:type="dxa"/>
          </w:tcPr>
          <w:p w14:paraId="0BE4926C"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bCs/>
              </w:rPr>
              <w:t>111 (18.9)</w:t>
            </w:r>
          </w:p>
        </w:tc>
        <w:tc>
          <w:tcPr>
            <w:tcW w:w="1276" w:type="dxa"/>
          </w:tcPr>
          <w:p w14:paraId="5AD1F95F"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bCs/>
              </w:rPr>
              <w:t>28 (13.3)</w:t>
            </w:r>
          </w:p>
        </w:tc>
        <w:tc>
          <w:tcPr>
            <w:tcW w:w="1156" w:type="dxa"/>
          </w:tcPr>
          <w:p w14:paraId="44589DEF"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bCs/>
              </w:rPr>
              <w:t>15 (12.6)</w:t>
            </w:r>
          </w:p>
        </w:tc>
        <w:tc>
          <w:tcPr>
            <w:tcW w:w="1232" w:type="dxa"/>
          </w:tcPr>
          <w:p w14:paraId="16AFAD4C"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bCs/>
              </w:rPr>
              <w:t>9 (6.9)</w:t>
            </w:r>
          </w:p>
        </w:tc>
        <w:tc>
          <w:tcPr>
            <w:tcW w:w="1439" w:type="dxa"/>
            <w:gridSpan w:val="2"/>
          </w:tcPr>
          <w:p w14:paraId="6C97FD6C"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bCs/>
              </w:rPr>
              <w:t>130 (18.4)</w:t>
            </w:r>
          </w:p>
        </w:tc>
        <w:tc>
          <w:tcPr>
            <w:tcW w:w="1559" w:type="dxa"/>
          </w:tcPr>
          <w:p w14:paraId="1DE1F6A5"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bCs/>
              </w:rPr>
              <w:t>37 (10.8)</w:t>
            </w:r>
          </w:p>
        </w:tc>
      </w:tr>
      <w:tr w:rsidR="00EC3651" w:rsidRPr="00C43975" w14:paraId="6DBB85B6" w14:textId="77777777" w:rsidTr="00515F47">
        <w:tc>
          <w:tcPr>
            <w:cnfStyle w:val="001000000000" w:firstRow="0" w:lastRow="0" w:firstColumn="1" w:lastColumn="0" w:oddVBand="0" w:evenVBand="0" w:oddHBand="0" w:evenHBand="0" w:firstRowFirstColumn="0" w:firstRowLastColumn="0" w:lastRowFirstColumn="0" w:lastRowLastColumn="0"/>
            <w:tcW w:w="2835" w:type="dxa"/>
          </w:tcPr>
          <w:p w14:paraId="5DE7E01F" w14:textId="77777777" w:rsidR="00EC3651" w:rsidRPr="00C43975" w:rsidRDefault="00EC3651" w:rsidP="00515F47">
            <w:pPr>
              <w:autoSpaceDE w:val="0"/>
              <w:autoSpaceDN w:val="0"/>
              <w:adjustRightInd w:val="0"/>
              <w:spacing w:line="480" w:lineRule="auto"/>
              <w:jc w:val="center"/>
              <w:rPr>
                <w:rFonts w:ascii="Arial" w:hAnsi="Arial" w:cs="Arial"/>
                <w:b w:val="0"/>
                <w:bCs w:val="0"/>
                <w:i/>
              </w:rPr>
            </w:pPr>
            <w:r w:rsidRPr="00C43975">
              <w:rPr>
                <w:rFonts w:ascii="Arial" w:hAnsi="Arial" w:cs="Arial"/>
                <w:b w:val="0"/>
                <w:i/>
                <w:color w:val="000000"/>
              </w:rPr>
              <w:t>Voriconazole</w:t>
            </w:r>
          </w:p>
        </w:tc>
        <w:tc>
          <w:tcPr>
            <w:tcW w:w="1418" w:type="dxa"/>
          </w:tcPr>
          <w:p w14:paraId="238DEA58" w14:textId="77777777" w:rsidR="00EC3651" w:rsidRPr="00C43975" w:rsidRDefault="00EC3651" w:rsidP="00515F47">
            <w:pPr>
              <w:autoSpaceDE w:val="0"/>
              <w:autoSpaceDN w:val="0"/>
              <w:adjustRightInd w:val="0"/>
              <w:spacing w:line="480" w:lineRule="auto"/>
              <w:ind w:left="113"/>
              <w:jc w:val="center"/>
              <w:cnfStyle w:val="000000000000" w:firstRow="0" w:lastRow="0" w:firstColumn="0" w:lastColumn="0" w:oddVBand="0" w:evenVBand="0" w:oddHBand="0" w:evenHBand="0" w:firstRowFirstColumn="0" w:firstRowLastColumn="0" w:lastRowFirstColumn="0" w:lastRowLastColumn="0"/>
              <w:rPr>
                <w:rFonts w:ascii="Arial" w:hAnsi="Arial" w:cs="Arial"/>
                <w:bCs/>
                <w:i/>
              </w:rPr>
            </w:pPr>
            <w:r w:rsidRPr="00C43975">
              <w:rPr>
                <w:rFonts w:ascii="Arial" w:hAnsi="Arial" w:cs="Arial"/>
                <w:bCs/>
                <w:i/>
              </w:rPr>
              <w:t>50 (8.5)</w:t>
            </w:r>
          </w:p>
        </w:tc>
        <w:tc>
          <w:tcPr>
            <w:tcW w:w="1276" w:type="dxa"/>
          </w:tcPr>
          <w:p w14:paraId="1663F22F" w14:textId="77777777" w:rsidR="00EC3651" w:rsidRPr="00C43975" w:rsidRDefault="00EC3651" w:rsidP="00515F47">
            <w:pPr>
              <w:autoSpaceDE w:val="0"/>
              <w:autoSpaceDN w:val="0"/>
              <w:adjustRightInd w:val="0"/>
              <w:spacing w:line="480" w:lineRule="auto"/>
              <w:ind w:left="113"/>
              <w:jc w:val="center"/>
              <w:cnfStyle w:val="000000000000" w:firstRow="0" w:lastRow="0" w:firstColumn="0" w:lastColumn="0" w:oddVBand="0" w:evenVBand="0" w:oddHBand="0" w:evenHBand="0" w:firstRowFirstColumn="0" w:firstRowLastColumn="0" w:lastRowFirstColumn="0" w:lastRowLastColumn="0"/>
              <w:rPr>
                <w:rFonts w:ascii="Arial" w:hAnsi="Arial" w:cs="Arial"/>
                <w:bCs/>
                <w:i/>
              </w:rPr>
            </w:pPr>
            <w:r w:rsidRPr="00C43975">
              <w:rPr>
                <w:rFonts w:ascii="Arial" w:hAnsi="Arial" w:cs="Arial"/>
                <w:bCs/>
                <w:i/>
              </w:rPr>
              <w:t>10 (4.7)</w:t>
            </w:r>
          </w:p>
        </w:tc>
        <w:tc>
          <w:tcPr>
            <w:tcW w:w="1156" w:type="dxa"/>
          </w:tcPr>
          <w:p w14:paraId="134EC21B" w14:textId="77777777" w:rsidR="00EC3651" w:rsidRPr="00C43975" w:rsidRDefault="00EC3651" w:rsidP="00515F47">
            <w:pPr>
              <w:autoSpaceDE w:val="0"/>
              <w:autoSpaceDN w:val="0"/>
              <w:adjustRightInd w:val="0"/>
              <w:spacing w:line="480" w:lineRule="auto"/>
              <w:ind w:left="113"/>
              <w:jc w:val="center"/>
              <w:cnfStyle w:val="000000000000" w:firstRow="0" w:lastRow="0" w:firstColumn="0" w:lastColumn="0" w:oddVBand="0" w:evenVBand="0" w:oddHBand="0" w:evenHBand="0" w:firstRowFirstColumn="0" w:firstRowLastColumn="0" w:lastRowFirstColumn="0" w:lastRowLastColumn="0"/>
              <w:rPr>
                <w:rFonts w:ascii="Arial" w:hAnsi="Arial" w:cs="Arial"/>
                <w:bCs/>
                <w:i/>
              </w:rPr>
            </w:pPr>
            <w:r w:rsidRPr="00C43975">
              <w:rPr>
                <w:rFonts w:ascii="Arial" w:hAnsi="Arial" w:cs="Arial"/>
                <w:bCs/>
                <w:i/>
              </w:rPr>
              <w:t>9 (7.6)</w:t>
            </w:r>
          </w:p>
        </w:tc>
        <w:tc>
          <w:tcPr>
            <w:tcW w:w="1395" w:type="dxa"/>
            <w:gridSpan w:val="2"/>
          </w:tcPr>
          <w:p w14:paraId="4F792ECB" w14:textId="77777777" w:rsidR="00EC3651" w:rsidRPr="00C43975" w:rsidRDefault="00EC3651" w:rsidP="00515F47">
            <w:pPr>
              <w:autoSpaceDE w:val="0"/>
              <w:autoSpaceDN w:val="0"/>
              <w:adjustRightInd w:val="0"/>
              <w:spacing w:line="480" w:lineRule="auto"/>
              <w:ind w:left="113"/>
              <w:jc w:val="center"/>
              <w:cnfStyle w:val="000000000000" w:firstRow="0" w:lastRow="0" w:firstColumn="0" w:lastColumn="0" w:oddVBand="0" w:evenVBand="0" w:oddHBand="0" w:evenHBand="0" w:firstRowFirstColumn="0" w:firstRowLastColumn="0" w:lastRowFirstColumn="0" w:lastRowLastColumn="0"/>
              <w:rPr>
                <w:rFonts w:ascii="Arial" w:hAnsi="Arial" w:cs="Arial"/>
                <w:bCs/>
                <w:i/>
              </w:rPr>
            </w:pPr>
            <w:r w:rsidRPr="00C43975">
              <w:rPr>
                <w:rFonts w:ascii="Arial" w:hAnsi="Arial" w:cs="Arial"/>
                <w:bCs/>
                <w:i/>
              </w:rPr>
              <w:t>7 (5.3)</w:t>
            </w:r>
          </w:p>
        </w:tc>
        <w:tc>
          <w:tcPr>
            <w:tcW w:w="1276" w:type="dxa"/>
          </w:tcPr>
          <w:p w14:paraId="7705094B" w14:textId="77777777" w:rsidR="00EC3651" w:rsidRPr="00C43975" w:rsidRDefault="00EC3651" w:rsidP="00515F47">
            <w:pPr>
              <w:autoSpaceDE w:val="0"/>
              <w:autoSpaceDN w:val="0"/>
              <w:adjustRightInd w:val="0"/>
              <w:spacing w:line="480" w:lineRule="auto"/>
              <w:ind w:left="113"/>
              <w:jc w:val="center"/>
              <w:cnfStyle w:val="000000000000" w:firstRow="0" w:lastRow="0" w:firstColumn="0" w:lastColumn="0" w:oddVBand="0" w:evenVBand="0" w:oddHBand="0" w:evenHBand="0" w:firstRowFirstColumn="0" w:firstRowLastColumn="0" w:lastRowFirstColumn="0" w:lastRowLastColumn="0"/>
              <w:rPr>
                <w:rFonts w:ascii="Arial" w:hAnsi="Arial" w:cs="Arial"/>
                <w:bCs/>
                <w:i/>
              </w:rPr>
            </w:pPr>
            <w:r w:rsidRPr="00C43975">
              <w:rPr>
                <w:rFonts w:ascii="Arial" w:hAnsi="Arial" w:cs="Arial"/>
                <w:bCs/>
                <w:i/>
              </w:rPr>
              <w:t>59 (8.4)</w:t>
            </w:r>
          </w:p>
        </w:tc>
        <w:tc>
          <w:tcPr>
            <w:tcW w:w="1559" w:type="dxa"/>
          </w:tcPr>
          <w:p w14:paraId="17428380" w14:textId="77777777" w:rsidR="00EC3651" w:rsidRPr="00C43975" w:rsidRDefault="00EC3651" w:rsidP="00515F47">
            <w:pPr>
              <w:autoSpaceDE w:val="0"/>
              <w:autoSpaceDN w:val="0"/>
              <w:adjustRightInd w:val="0"/>
              <w:spacing w:line="480" w:lineRule="auto"/>
              <w:ind w:left="113"/>
              <w:jc w:val="center"/>
              <w:cnfStyle w:val="000000000000" w:firstRow="0" w:lastRow="0" w:firstColumn="0" w:lastColumn="0" w:oddVBand="0" w:evenVBand="0" w:oddHBand="0" w:evenHBand="0" w:firstRowFirstColumn="0" w:firstRowLastColumn="0" w:lastRowFirstColumn="0" w:lastRowLastColumn="0"/>
              <w:rPr>
                <w:rFonts w:ascii="Arial" w:hAnsi="Arial" w:cs="Arial"/>
                <w:bCs/>
                <w:i/>
              </w:rPr>
            </w:pPr>
            <w:r w:rsidRPr="00C43975">
              <w:rPr>
                <w:rFonts w:ascii="Arial" w:hAnsi="Arial" w:cs="Arial"/>
                <w:bCs/>
                <w:i/>
              </w:rPr>
              <w:t>17 (5.0)</w:t>
            </w:r>
          </w:p>
        </w:tc>
      </w:tr>
      <w:tr w:rsidR="00EC3651" w:rsidRPr="00C43975" w14:paraId="219F6349" w14:textId="77777777" w:rsidTr="00515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E058A82" w14:textId="77777777" w:rsidR="00EC3651" w:rsidRPr="00C43975" w:rsidRDefault="00EC3651" w:rsidP="00515F47">
            <w:pPr>
              <w:autoSpaceDE w:val="0"/>
              <w:autoSpaceDN w:val="0"/>
              <w:adjustRightInd w:val="0"/>
              <w:spacing w:line="480" w:lineRule="auto"/>
              <w:jc w:val="center"/>
              <w:rPr>
                <w:rFonts w:ascii="Arial" w:hAnsi="Arial" w:cs="Arial"/>
                <w:b w:val="0"/>
                <w:bCs w:val="0"/>
                <w:i/>
              </w:rPr>
            </w:pPr>
            <w:proofErr w:type="spellStart"/>
            <w:r w:rsidRPr="00C43975">
              <w:rPr>
                <w:rFonts w:ascii="Arial" w:hAnsi="Arial" w:cs="Arial"/>
                <w:b w:val="0"/>
                <w:i/>
                <w:color w:val="000000"/>
              </w:rPr>
              <w:t>Posaconazole</w:t>
            </w:r>
            <w:proofErr w:type="spellEnd"/>
          </w:p>
        </w:tc>
        <w:tc>
          <w:tcPr>
            <w:tcW w:w="1418" w:type="dxa"/>
          </w:tcPr>
          <w:p w14:paraId="459F6C93" w14:textId="77777777" w:rsidR="00EC3651" w:rsidRPr="00C43975" w:rsidRDefault="00EC3651" w:rsidP="00515F47">
            <w:pPr>
              <w:autoSpaceDE w:val="0"/>
              <w:autoSpaceDN w:val="0"/>
              <w:adjustRightInd w:val="0"/>
              <w:spacing w:line="480" w:lineRule="auto"/>
              <w:ind w:left="113"/>
              <w:jc w:val="center"/>
              <w:cnfStyle w:val="000000100000" w:firstRow="0" w:lastRow="0" w:firstColumn="0" w:lastColumn="0" w:oddVBand="0" w:evenVBand="0" w:oddHBand="1" w:evenHBand="0" w:firstRowFirstColumn="0" w:firstRowLastColumn="0" w:lastRowFirstColumn="0" w:lastRowLastColumn="0"/>
              <w:rPr>
                <w:rFonts w:ascii="Arial" w:hAnsi="Arial" w:cs="Arial"/>
                <w:bCs/>
                <w:i/>
              </w:rPr>
            </w:pPr>
            <w:r w:rsidRPr="00C43975">
              <w:rPr>
                <w:rFonts w:ascii="Arial" w:hAnsi="Arial" w:cs="Arial"/>
                <w:bCs/>
                <w:i/>
              </w:rPr>
              <w:t>28 (4.7)</w:t>
            </w:r>
          </w:p>
        </w:tc>
        <w:tc>
          <w:tcPr>
            <w:tcW w:w="1276" w:type="dxa"/>
          </w:tcPr>
          <w:p w14:paraId="10152AF5" w14:textId="77777777" w:rsidR="00EC3651" w:rsidRPr="00C43975" w:rsidRDefault="00EC3651" w:rsidP="00515F47">
            <w:pPr>
              <w:autoSpaceDE w:val="0"/>
              <w:autoSpaceDN w:val="0"/>
              <w:adjustRightInd w:val="0"/>
              <w:spacing w:line="480" w:lineRule="auto"/>
              <w:ind w:left="113"/>
              <w:jc w:val="center"/>
              <w:cnfStyle w:val="000000100000" w:firstRow="0" w:lastRow="0" w:firstColumn="0" w:lastColumn="0" w:oddVBand="0" w:evenVBand="0" w:oddHBand="1" w:evenHBand="0" w:firstRowFirstColumn="0" w:firstRowLastColumn="0" w:lastRowFirstColumn="0" w:lastRowLastColumn="0"/>
              <w:rPr>
                <w:rFonts w:ascii="Arial" w:hAnsi="Arial" w:cs="Arial"/>
                <w:bCs/>
                <w:i/>
              </w:rPr>
            </w:pPr>
            <w:r w:rsidRPr="00C43975">
              <w:rPr>
                <w:rFonts w:ascii="Arial" w:hAnsi="Arial" w:cs="Arial"/>
                <w:bCs/>
                <w:i/>
              </w:rPr>
              <w:t>4 (1.9)</w:t>
            </w:r>
          </w:p>
        </w:tc>
        <w:tc>
          <w:tcPr>
            <w:tcW w:w="1156" w:type="dxa"/>
          </w:tcPr>
          <w:p w14:paraId="171DAD88" w14:textId="77777777" w:rsidR="00EC3651" w:rsidRPr="00C43975" w:rsidRDefault="00EC3651" w:rsidP="00515F47">
            <w:pPr>
              <w:autoSpaceDE w:val="0"/>
              <w:autoSpaceDN w:val="0"/>
              <w:adjustRightInd w:val="0"/>
              <w:spacing w:line="480" w:lineRule="auto"/>
              <w:ind w:left="113"/>
              <w:jc w:val="center"/>
              <w:cnfStyle w:val="000000100000" w:firstRow="0" w:lastRow="0" w:firstColumn="0" w:lastColumn="0" w:oddVBand="0" w:evenVBand="0" w:oddHBand="1" w:evenHBand="0" w:firstRowFirstColumn="0" w:firstRowLastColumn="0" w:lastRowFirstColumn="0" w:lastRowLastColumn="0"/>
              <w:rPr>
                <w:rFonts w:ascii="Arial" w:hAnsi="Arial" w:cs="Arial"/>
                <w:bCs/>
                <w:i/>
              </w:rPr>
            </w:pPr>
            <w:r w:rsidRPr="00C43975">
              <w:rPr>
                <w:rFonts w:ascii="Arial" w:hAnsi="Arial" w:cs="Arial"/>
                <w:bCs/>
                <w:i/>
              </w:rPr>
              <w:t>4 (3.4)</w:t>
            </w:r>
          </w:p>
        </w:tc>
        <w:tc>
          <w:tcPr>
            <w:tcW w:w="1232" w:type="dxa"/>
          </w:tcPr>
          <w:p w14:paraId="6896FA8B" w14:textId="77777777" w:rsidR="00EC3651" w:rsidRPr="00C43975" w:rsidRDefault="00EC3651" w:rsidP="00515F47">
            <w:pPr>
              <w:autoSpaceDE w:val="0"/>
              <w:autoSpaceDN w:val="0"/>
              <w:adjustRightInd w:val="0"/>
              <w:spacing w:line="480" w:lineRule="auto"/>
              <w:ind w:left="113"/>
              <w:jc w:val="center"/>
              <w:cnfStyle w:val="000000100000" w:firstRow="0" w:lastRow="0" w:firstColumn="0" w:lastColumn="0" w:oddVBand="0" w:evenVBand="0" w:oddHBand="1" w:evenHBand="0" w:firstRowFirstColumn="0" w:firstRowLastColumn="0" w:lastRowFirstColumn="0" w:lastRowLastColumn="0"/>
              <w:rPr>
                <w:rFonts w:ascii="Arial" w:hAnsi="Arial" w:cs="Arial"/>
                <w:bCs/>
                <w:i/>
              </w:rPr>
            </w:pPr>
            <w:r w:rsidRPr="00C43975">
              <w:rPr>
                <w:rFonts w:ascii="Arial" w:hAnsi="Arial" w:cs="Arial"/>
                <w:bCs/>
                <w:i/>
              </w:rPr>
              <w:t>2 (1.5)</w:t>
            </w:r>
          </w:p>
        </w:tc>
        <w:tc>
          <w:tcPr>
            <w:tcW w:w="1439" w:type="dxa"/>
            <w:gridSpan w:val="2"/>
          </w:tcPr>
          <w:p w14:paraId="031692EC" w14:textId="77777777" w:rsidR="00EC3651" w:rsidRPr="00C43975" w:rsidRDefault="00EC3651" w:rsidP="00515F47">
            <w:pPr>
              <w:autoSpaceDE w:val="0"/>
              <w:autoSpaceDN w:val="0"/>
              <w:adjustRightInd w:val="0"/>
              <w:spacing w:line="480" w:lineRule="auto"/>
              <w:ind w:left="113"/>
              <w:jc w:val="center"/>
              <w:cnfStyle w:val="000000100000" w:firstRow="0" w:lastRow="0" w:firstColumn="0" w:lastColumn="0" w:oddVBand="0" w:evenVBand="0" w:oddHBand="1" w:evenHBand="0" w:firstRowFirstColumn="0" w:firstRowLastColumn="0" w:lastRowFirstColumn="0" w:lastRowLastColumn="0"/>
              <w:rPr>
                <w:rFonts w:ascii="Arial" w:hAnsi="Arial" w:cs="Arial"/>
                <w:bCs/>
                <w:i/>
              </w:rPr>
            </w:pPr>
            <w:r w:rsidRPr="00C43975">
              <w:rPr>
                <w:rFonts w:ascii="Arial" w:hAnsi="Arial" w:cs="Arial"/>
                <w:bCs/>
                <w:i/>
              </w:rPr>
              <w:t>32 (4.5)</w:t>
            </w:r>
          </w:p>
        </w:tc>
        <w:tc>
          <w:tcPr>
            <w:tcW w:w="1559" w:type="dxa"/>
          </w:tcPr>
          <w:p w14:paraId="140F14D8" w14:textId="77777777" w:rsidR="00EC3651" w:rsidRPr="00C43975" w:rsidRDefault="00EC3651" w:rsidP="00515F47">
            <w:pPr>
              <w:autoSpaceDE w:val="0"/>
              <w:autoSpaceDN w:val="0"/>
              <w:adjustRightInd w:val="0"/>
              <w:spacing w:line="480" w:lineRule="auto"/>
              <w:ind w:left="113"/>
              <w:jc w:val="center"/>
              <w:cnfStyle w:val="000000100000" w:firstRow="0" w:lastRow="0" w:firstColumn="0" w:lastColumn="0" w:oddVBand="0" w:evenVBand="0" w:oddHBand="1" w:evenHBand="0" w:firstRowFirstColumn="0" w:firstRowLastColumn="0" w:lastRowFirstColumn="0" w:lastRowLastColumn="0"/>
              <w:rPr>
                <w:rFonts w:ascii="Arial" w:hAnsi="Arial" w:cs="Arial"/>
                <w:bCs/>
                <w:i/>
              </w:rPr>
            </w:pPr>
            <w:r w:rsidRPr="00C43975">
              <w:rPr>
                <w:rFonts w:ascii="Arial" w:hAnsi="Arial" w:cs="Arial"/>
                <w:bCs/>
                <w:i/>
              </w:rPr>
              <w:t>6 (1.9)</w:t>
            </w:r>
          </w:p>
        </w:tc>
      </w:tr>
      <w:tr w:rsidR="00EC3651" w:rsidRPr="00C43975" w14:paraId="3816AED7" w14:textId="77777777" w:rsidTr="00515F47">
        <w:tc>
          <w:tcPr>
            <w:cnfStyle w:val="001000000000" w:firstRow="0" w:lastRow="0" w:firstColumn="1" w:lastColumn="0" w:oddVBand="0" w:evenVBand="0" w:oddHBand="0" w:evenHBand="0" w:firstRowFirstColumn="0" w:firstRowLastColumn="0" w:lastRowFirstColumn="0" w:lastRowLastColumn="0"/>
            <w:tcW w:w="2835" w:type="dxa"/>
          </w:tcPr>
          <w:p w14:paraId="7AB0B691" w14:textId="77777777" w:rsidR="00EC3651" w:rsidRPr="00C43975" w:rsidRDefault="00EC3651" w:rsidP="00515F47">
            <w:pPr>
              <w:autoSpaceDE w:val="0"/>
              <w:autoSpaceDN w:val="0"/>
              <w:adjustRightInd w:val="0"/>
              <w:spacing w:line="480" w:lineRule="auto"/>
              <w:jc w:val="center"/>
              <w:rPr>
                <w:rFonts w:ascii="Arial" w:hAnsi="Arial" w:cs="Arial"/>
                <w:b w:val="0"/>
                <w:bCs w:val="0"/>
                <w:i/>
              </w:rPr>
            </w:pPr>
            <w:r w:rsidRPr="00C43975">
              <w:rPr>
                <w:rFonts w:ascii="Arial" w:hAnsi="Arial" w:cs="Arial"/>
                <w:b w:val="0"/>
                <w:i/>
                <w:color w:val="000000"/>
              </w:rPr>
              <w:t>Itraconazole</w:t>
            </w:r>
          </w:p>
        </w:tc>
        <w:tc>
          <w:tcPr>
            <w:tcW w:w="1418" w:type="dxa"/>
          </w:tcPr>
          <w:p w14:paraId="6858CAB7" w14:textId="77777777" w:rsidR="00EC3651" w:rsidRPr="00C43975" w:rsidRDefault="00EC3651" w:rsidP="00515F47">
            <w:pPr>
              <w:autoSpaceDE w:val="0"/>
              <w:autoSpaceDN w:val="0"/>
              <w:adjustRightInd w:val="0"/>
              <w:spacing w:line="480" w:lineRule="auto"/>
              <w:ind w:left="113"/>
              <w:jc w:val="center"/>
              <w:cnfStyle w:val="000000000000" w:firstRow="0" w:lastRow="0" w:firstColumn="0" w:lastColumn="0" w:oddVBand="0" w:evenVBand="0" w:oddHBand="0" w:evenHBand="0" w:firstRowFirstColumn="0" w:firstRowLastColumn="0" w:lastRowFirstColumn="0" w:lastRowLastColumn="0"/>
              <w:rPr>
                <w:rFonts w:ascii="Arial" w:hAnsi="Arial" w:cs="Arial"/>
                <w:bCs/>
                <w:i/>
              </w:rPr>
            </w:pPr>
            <w:r w:rsidRPr="00C43975">
              <w:rPr>
                <w:rFonts w:ascii="Arial" w:hAnsi="Arial" w:cs="Arial"/>
                <w:bCs/>
                <w:i/>
              </w:rPr>
              <w:t>33 (5.6)</w:t>
            </w:r>
          </w:p>
        </w:tc>
        <w:tc>
          <w:tcPr>
            <w:tcW w:w="1276" w:type="dxa"/>
          </w:tcPr>
          <w:p w14:paraId="3165BA01" w14:textId="77777777" w:rsidR="00EC3651" w:rsidRPr="00C43975" w:rsidRDefault="00EC3651" w:rsidP="00515F47">
            <w:pPr>
              <w:autoSpaceDE w:val="0"/>
              <w:autoSpaceDN w:val="0"/>
              <w:adjustRightInd w:val="0"/>
              <w:spacing w:line="480" w:lineRule="auto"/>
              <w:ind w:left="113"/>
              <w:jc w:val="center"/>
              <w:cnfStyle w:val="000000000000" w:firstRow="0" w:lastRow="0" w:firstColumn="0" w:lastColumn="0" w:oddVBand="0" w:evenVBand="0" w:oddHBand="0" w:evenHBand="0" w:firstRowFirstColumn="0" w:firstRowLastColumn="0" w:lastRowFirstColumn="0" w:lastRowLastColumn="0"/>
              <w:rPr>
                <w:rFonts w:ascii="Arial" w:hAnsi="Arial" w:cs="Arial"/>
                <w:bCs/>
                <w:i/>
              </w:rPr>
            </w:pPr>
            <w:r w:rsidRPr="00C43975">
              <w:rPr>
                <w:rFonts w:ascii="Arial" w:hAnsi="Arial" w:cs="Arial"/>
                <w:bCs/>
                <w:i/>
              </w:rPr>
              <w:t>14 (6.6)</w:t>
            </w:r>
          </w:p>
        </w:tc>
        <w:tc>
          <w:tcPr>
            <w:tcW w:w="1156" w:type="dxa"/>
          </w:tcPr>
          <w:p w14:paraId="269D84F1" w14:textId="77777777" w:rsidR="00EC3651" w:rsidRPr="00C43975" w:rsidRDefault="00EC3651" w:rsidP="00515F47">
            <w:pPr>
              <w:autoSpaceDE w:val="0"/>
              <w:autoSpaceDN w:val="0"/>
              <w:adjustRightInd w:val="0"/>
              <w:spacing w:line="480" w:lineRule="auto"/>
              <w:ind w:left="113"/>
              <w:jc w:val="center"/>
              <w:cnfStyle w:val="000000000000" w:firstRow="0" w:lastRow="0" w:firstColumn="0" w:lastColumn="0" w:oddVBand="0" w:evenVBand="0" w:oddHBand="0" w:evenHBand="0" w:firstRowFirstColumn="0" w:firstRowLastColumn="0" w:lastRowFirstColumn="0" w:lastRowLastColumn="0"/>
              <w:rPr>
                <w:rFonts w:ascii="Arial" w:hAnsi="Arial" w:cs="Arial"/>
                <w:bCs/>
                <w:i/>
              </w:rPr>
            </w:pPr>
            <w:r w:rsidRPr="00C43975">
              <w:rPr>
                <w:rFonts w:ascii="Arial" w:hAnsi="Arial" w:cs="Arial"/>
                <w:bCs/>
                <w:i/>
              </w:rPr>
              <w:t>2 (1.7)</w:t>
            </w:r>
          </w:p>
        </w:tc>
        <w:tc>
          <w:tcPr>
            <w:tcW w:w="1232" w:type="dxa"/>
          </w:tcPr>
          <w:p w14:paraId="0401DD75" w14:textId="77777777" w:rsidR="00EC3651" w:rsidRPr="00C43975" w:rsidRDefault="00EC3651" w:rsidP="00515F47">
            <w:pPr>
              <w:autoSpaceDE w:val="0"/>
              <w:autoSpaceDN w:val="0"/>
              <w:adjustRightInd w:val="0"/>
              <w:spacing w:line="480" w:lineRule="auto"/>
              <w:ind w:left="113"/>
              <w:jc w:val="center"/>
              <w:cnfStyle w:val="000000000000" w:firstRow="0" w:lastRow="0" w:firstColumn="0" w:lastColumn="0" w:oddVBand="0" w:evenVBand="0" w:oddHBand="0" w:evenHBand="0" w:firstRowFirstColumn="0" w:firstRowLastColumn="0" w:lastRowFirstColumn="0" w:lastRowLastColumn="0"/>
              <w:rPr>
                <w:rFonts w:ascii="Arial" w:hAnsi="Arial" w:cs="Arial"/>
                <w:bCs/>
                <w:i/>
              </w:rPr>
            </w:pPr>
            <w:r w:rsidRPr="00C43975">
              <w:rPr>
                <w:rFonts w:ascii="Arial" w:hAnsi="Arial" w:cs="Arial"/>
                <w:bCs/>
                <w:i/>
              </w:rPr>
              <w:t>0</w:t>
            </w:r>
          </w:p>
        </w:tc>
        <w:tc>
          <w:tcPr>
            <w:tcW w:w="1439" w:type="dxa"/>
            <w:gridSpan w:val="2"/>
          </w:tcPr>
          <w:p w14:paraId="5699850E" w14:textId="77777777" w:rsidR="00EC3651" w:rsidRPr="00C43975" w:rsidRDefault="00EC3651" w:rsidP="00515F47">
            <w:pPr>
              <w:autoSpaceDE w:val="0"/>
              <w:autoSpaceDN w:val="0"/>
              <w:adjustRightInd w:val="0"/>
              <w:spacing w:line="480" w:lineRule="auto"/>
              <w:ind w:left="113"/>
              <w:jc w:val="center"/>
              <w:cnfStyle w:val="000000000000" w:firstRow="0" w:lastRow="0" w:firstColumn="0" w:lastColumn="0" w:oddVBand="0" w:evenVBand="0" w:oddHBand="0" w:evenHBand="0" w:firstRowFirstColumn="0" w:firstRowLastColumn="0" w:lastRowFirstColumn="0" w:lastRowLastColumn="0"/>
              <w:rPr>
                <w:rFonts w:ascii="Arial" w:hAnsi="Arial" w:cs="Arial"/>
                <w:bCs/>
                <w:i/>
              </w:rPr>
            </w:pPr>
            <w:r w:rsidRPr="00C43975">
              <w:rPr>
                <w:rFonts w:ascii="Arial" w:hAnsi="Arial" w:cs="Arial"/>
                <w:bCs/>
                <w:i/>
              </w:rPr>
              <w:t>35 (5.0)</w:t>
            </w:r>
          </w:p>
        </w:tc>
        <w:tc>
          <w:tcPr>
            <w:tcW w:w="1559" w:type="dxa"/>
          </w:tcPr>
          <w:p w14:paraId="5A9242BA" w14:textId="77777777" w:rsidR="00EC3651" w:rsidRPr="00C43975" w:rsidRDefault="00EC3651" w:rsidP="00515F47">
            <w:pPr>
              <w:autoSpaceDE w:val="0"/>
              <w:autoSpaceDN w:val="0"/>
              <w:adjustRightInd w:val="0"/>
              <w:spacing w:line="480" w:lineRule="auto"/>
              <w:ind w:left="113"/>
              <w:jc w:val="center"/>
              <w:cnfStyle w:val="000000000000" w:firstRow="0" w:lastRow="0" w:firstColumn="0" w:lastColumn="0" w:oddVBand="0" w:evenVBand="0" w:oddHBand="0" w:evenHBand="0" w:firstRowFirstColumn="0" w:firstRowLastColumn="0" w:lastRowFirstColumn="0" w:lastRowLastColumn="0"/>
              <w:rPr>
                <w:rFonts w:ascii="Arial" w:hAnsi="Arial" w:cs="Arial"/>
                <w:bCs/>
                <w:i/>
              </w:rPr>
            </w:pPr>
            <w:r w:rsidRPr="00C43975">
              <w:rPr>
                <w:rFonts w:ascii="Arial" w:hAnsi="Arial" w:cs="Arial"/>
                <w:bCs/>
                <w:i/>
              </w:rPr>
              <w:t>14 (4.1)</w:t>
            </w:r>
          </w:p>
        </w:tc>
      </w:tr>
      <w:tr w:rsidR="00EC3651" w:rsidRPr="00C43975" w14:paraId="1256D9B0" w14:textId="77777777" w:rsidTr="00515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93E3CB4" w14:textId="77777777" w:rsidR="00EC3651" w:rsidRPr="00C43975" w:rsidRDefault="00EC3651" w:rsidP="00515F47">
            <w:pPr>
              <w:autoSpaceDE w:val="0"/>
              <w:autoSpaceDN w:val="0"/>
              <w:adjustRightInd w:val="0"/>
              <w:spacing w:line="480" w:lineRule="auto"/>
              <w:jc w:val="both"/>
              <w:rPr>
                <w:rFonts w:ascii="Arial" w:hAnsi="Arial" w:cs="Arial"/>
                <w:b w:val="0"/>
                <w:bCs w:val="0"/>
              </w:rPr>
            </w:pPr>
            <w:r w:rsidRPr="00C43975">
              <w:rPr>
                <w:rFonts w:ascii="Arial" w:hAnsi="Arial" w:cs="Arial"/>
                <w:b w:val="0"/>
                <w:bCs w:val="0"/>
                <w:color w:val="000000"/>
              </w:rPr>
              <w:t xml:space="preserve">Echinocandins </w:t>
            </w:r>
            <w:r w:rsidRPr="00C43975">
              <w:rPr>
                <w:rFonts w:ascii="Arial" w:hAnsi="Arial" w:cs="Arial"/>
                <w:b w:val="0"/>
                <w:color w:val="000000"/>
              </w:rPr>
              <w:t>n(%)</w:t>
            </w:r>
          </w:p>
        </w:tc>
        <w:tc>
          <w:tcPr>
            <w:tcW w:w="1418" w:type="dxa"/>
          </w:tcPr>
          <w:p w14:paraId="43ABB3FC"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bCs/>
              </w:rPr>
              <w:t>72 (12.3)</w:t>
            </w:r>
          </w:p>
        </w:tc>
        <w:tc>
          <w:tcPr>
            <w:tcW w:w="1276" w:type="dxa"/>
          </w:tcPr>
          <w:p w14:paraId="2D24A849"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bCs/>
              </w:rPr>
              <w:t>39 (18.5)</w:t>
            </w:r>
          </w:p>
        </w:tc>
        <w:tc>
          <w:tcPr>
            <w:tcW w:w="1156" w:type="dxa"/>
          </w:tcPr>
          <w:p w14:paraId="7258B4E9"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bCs/>
              </w:rPr>
              <w:t>7 (5.9)</w:t>
            </w:r>
          </w:p>
        </w:tc>
        <w:tc>
          <w:tcPr>
            <w:tcW w:w="1232" w:type="dxa"/>
          </w:tcPr>
          <w:p w14:paraId="502137EB"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bCs/>
              </w:rPr>
              <w:t>8 (6.1)</w:t>
            </w:r>
          </w:p>
        </w:tc>
        <w:tc>
          <w:tcPr>
            <w:tcW w:w="1439" w:type="dxa"/>
            <w:gridSpan w:val="2"/>
          </w:tcPr>
          <w:p w14:paraId="256B1428"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bCs/>
              </w:rPr>
              <w:t>87 (12.3)</w:t>
            </w:r>
          </w:p>
        </w:tc>
        <w:tc>
          <w:tcPr>
            <w:tcW w:w="1559" w:type="dxa"/>
          </w:tcPr>
          <w:p w14:paraId="17F0F795"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bCs/>
              </w:rPr>
              <w:t>46(13.4)</w:t>
            </w:r>
          </w:p>
        </w:tc>
      </w:tr>
      <w:tr w:rsidR="00EC3651" w:rsidRPr="00C43975" w14:paraId="677569A2" w14:textId="77777777" w:rsidTr="00515F47">
        <w:tc>
          <w:tcPr>
            <w:cnfStyle w:val="001000000000" w:firstRow="0" w:lastRow="0" w:firstColumn="1" w:lastColumn="0" w:oddVBand="0" w:evenVBand="0" w:oddHBand="0" w:evenHBand="0" w:firstRowFirstColumn="0" w:firstRowLastColumn="0" w:lastRowFirstColumn="0" w:lastRowLastColumn="0"/>
            <w:tcW w:w="2835" w:type="dxa"/>
          </w:tcPr>
          <w:p w14:paraId="28E9DE26" w14:textId="77777777" w:rsidR="00EC3651" w:rsidRPr="00C43975" w:rsidRDefault="00EC3651" w:rsidP="00515F47">
            <w:pPr>
              <w:autoSpaceDE w:val="0"/>
              <w:autoSpaceDN w:val="0"/>
              <w:adjustRightInd w:val="0"/>
              <w:spacing w:line="480" w:lineRule="auto"/>
              <w:jc w:val="center"/>
              <w:rPr>
                <w:rFonts w:ascii="Arial" w:hAnsi="Arial" w:cs="Arial"/>
                <w:b w:val="0"/>
                <w:bCs w:val="0"/>
                <w:i/>
              </w:rPr>
            </w:pPr>
            <w:proofErr w:type="spellStart"/>
            <w:r w:rsidRPr="00C43975">
              <w:rPr>
                <w:rFonts w:ascii="Arial" w:hAnsi="Arial" w:cs="Arial"/>
                <w:b w:val="0"/>
                <w:i/>
                <w:color w:val="000000"/>
              </w:rPr>
              <w:t>Caspofungin</w:t>
            </w:r>
            <w:proofErr w:type="spellEnd"/>
          </w:p>
        </w:tc>
        <w:tc>
          <w:tcPr>
            <w:tcW w:w="1418" w:type="dxa"/>
          </w:tcPr>
          <w:p w14:paraId="2EFC2DE6" w14:textId="77777777" w:rsidR="00EC3651" w:rsidRPr="00C43975" w:rsidRDefault="00EC3651" w:rsidP="00515F47">
            <w:pPr>
              <w:autoSpaceDE w:val="0"/>
              <w:autoSpaceDN w:val="0"/>
              <w:adjustRightInd w:val="0"/>
              <w:spacing w:line="480" w:lineRule="auto"/>
              <w:ind w:left="113"/>
              <w:jc w:val="center"/>
              <w:cnfStyle w:val="000000000000" w:firstRow="0" w:lastRow="0" w:firstColumn="0" w:lastColumn="0" w:oddVBand="0" w:evenVBand="0" w:oddHBand="0" w:evenHBand="0" w:firstRowFirstColumn="0" w:firstRowLastColumn="0" w:lastRowFirstColumn="0" w:lastRowLastColumn="0"/>
              <w:rPr>
                <w:rFonts w:ascii="Arial" w:hAnsi="Arial" w:cs="Arial"/>
                <w:bCs/>
                <w:i/>
              </w:rPr>
            </w:pPr>
            <w:r w:rsidRPr="00C43975">
              <w:rPr>
                <w:rFonts w:ascii="Arial" w:hAnsi="Arial" w:cs="Arial"/>
                <w:bCs/>
                <w:i/>
              </w:rPr>
              <w:t>40 (6.8)</w:t>
            </w:r>
          </w:p>
        </w:tc>
        <w:tc>
          <w:tcPr>
            <w:tcW w:w="1276" w:type="dxa"/>
          </w:tcPr>
          <w:p w14:paraId="1B799F15" w14:textId="77777777" w:rsidR="00EC3651" w:rsidRPr="00C43975" w:rsidRDefault="00EC3651" w:rsidP="00515F47">
            <w:pPr>
              <w:autoSpaceDE w:val="0"/>
              <w:autoSpaceDN w:val="0"/>
              <w:adjustRightInd w:val="0"/>
              <w:spacing w:line="480" w:lineRule="auto"/>
              <w:ind w:left="113"/>
              <w:jc w:val="center"/>
              <w:cnfStyle w:val="000000000000" w:firstRow="0" w:lastRow="0" w:firstColumn="0" w:lastColumn="0" w:oddVBand="0" w:evenVBand="0" w:oddHBand="0" w:evenHBand="0" w:firstRowFirstColumn="0" w:firstRowLastColumn="0" w:lastRowFirstColumn="0" w:lastRowLastColumn="0"/>
              <w:rPr>
                <w:rFonts w:ascii="Arial" w:hAnsi="Arial" w:cs="Arial"/>
                <w:bCs/>
                <w:i/>
              </w:rPr>
            </w:pPr>
            <w:r w:rsidRPr="00C43975">
              <w:rPr>
                <w:rFonts w:ascii="Arial" w:hAnsi="Arial" w:cs="Arial"/>
                <w:bCs/>
                <w:i/>
              </w:rPr>
              <w:t>21 (9.9)</w:t>
            </w:r>
          </w:p>
        </w:tc>
        <w:tc>
          <w:tcPr>
            <w:tcW w:w="1156" w:type="dxa"/>
          </w:tcPr>
          <w:p w14:paraId="23D8A9E5" w14:textId="77777777" w:rsidR="00EC3651" w:rsidRPr="00C43975" w:rsidRDefault="00EC3651" w:rsidP="00515F47">
            <w:pPr>
              <w:autoSpaceDE w:val="0"/>
              <w:autoSpaceDN w:val="0"/>
              <w:adjustRightInd w:val="0"/>
              <w:spacing w:line="480" w:lineRule="auto"/>
              <w:ind w:left="113"/>
              <w:jc w:val="center"/>
              <w:cnfStyle w:val="000000000000" w:firstRow="0" w:lastRow="0" w:firstColumn="0" w:lastColumn="0" w:oddVBand="0" w:evenVBand="0" w:oddHBand="0" w:evenHBand="0" w:firstRowFirstColumn="0" w:firstRowLastColumn="0" w:lastRowFirstColumn="0" w:lastRowLastColumn="0"/>
              <w:rPr>
                <w:rFonts w:ascii="Arial" w:hAnsi="Arial" w:cs="Arial"/>
                <w:bCs/>
                <w:i/>
              </w:rPr>
            </w:pPr>
            <w:r w:rsidRPr="00C43975">
              <w:rPr>
                <w:rFonts w:ascii="Arial" w:hAnsi="Arial" w:cs="Arial"/>
                <w:bCs/>
                <w:i/>
              </w:rPr>
              <w:t>5 (4.2)</w:t>
            </w:r>
          </w:p>
        </w:tc>
        <w:tc>
          <w:tcPr>
            <w:tcW w:w="1232" w:type="dxa"/>
          </w:tcPr>
          <w:p w14:paraId="49FA71AF" w14:textId="77777777" w:rsidR="00EC3651" w:rsidRPr="00C43975" w:rsidRDefault="00EC3651" w:rsidP="00515F47">
            <w:pPr>
              <w:autoSpaceDE w:val="0"/>
              <w:autoSpaceDN w:val="0"/>
              <w:adjustRightInd w:val="0"/>
              <w:spacing w:line="480" w:lineRule="auto"/>
              <w:ind w:left="113"/>
              <w:jc w:val="center"/>
              <w:cnfStyle w:val="000000000000" w:firstRow="0" w:lastRow="0" w:firstColumn="0" w:lastColumn="0" w:oddVBand="0" w:evenVBand="0" w:oddHBand="0" w:evenHBand="0" w:firstRowFirstColumn="0" w:firstRowLastColumn="0" w:lastRowFirstColumn="0" w:lastRowLastColumn="0"/>
              <w:rPr>
                <w:rFonts w:ascii="Arial" w:hAnsi="Arial" w:cs="Arial"/>
                <w:bCs/>
                <w:i/>
              </w:rPr>
            </w:pPr>
            <w:r w:rsidRPr="00C43975">
              <w:rPr>
                <w:rFonts w:ascii="Arial" w:hAnsi="Arial" w:cs="Arial"/>
                <w:bCs/>
                <w:i/>
              </w:rPr>
              <w:t>3 (2.3)</w:t>
            </w:r>
          </w:p>
        </w:tc>
        <w:tc>
          <w:tcPr>
            <w:tcW w:w="1439" w:type="dxa"/>
            <w:gridSpan w:val="2"/>
          </w:tcPr>
          <w:p w14:paraId="27E828F5" w14:textId="77777777" w:rsidR="00EC3651" w:rsidRPr="00C43975" w:rsidRDefault="00EC3651" w:rsidP="00515F47">
            <w:pPr>
              <w:autoSpaceDE w:val="0"/>
              <w:autoSpaceDN w:val="0"/>
              <w:adjustRightInd w:val="0"/>
              <w:spacing w:line="480" w:lineRule="auto"/>
              <w:ind w:left="113"/>
              <w:jc w:val="center"/>
              <w:cnfStyle w:val="000000000000" w:firstRow="0" w:lastRow="0" w:firstColumn="0" w:lastColumn="0" w:oddVBand="0" w:evenVBand="0" w:oddHBand="0" w:evenHBand="0" w:firstRowFirstColumn="0" w:firstRowLastColumn="0" w:lastRowFirstColumn="0" w:lastRowLastColumn="0"/>
              <w:rPr>
                <w:rFonts w:ascii="Arial" w:hAnsi="Arial" w:cs="Arial"/>
                <w:bCs/>
                <w:i/>
              </w:rPr>
            </w:pPr>
            <w:r w:rsidRPr="00C43975">
              <w:rPr>
                <w:rFonts w:ascii="Arial" w:hAnsi="Arial" w:cs="Arial"/>
                <w:bCs/>
                <w:i/>
              </w:rPr>
              <w:t>45 (6.4)</w:t>
            </w:r>
          </w:p>
        </w:tc>
        <w:tc>
          <w:tcPr>
            <w:tcW w:w="1559" w:type="dxa"/>
          </w:tcPr>
          <w:p w14:paraId="10780571" w14:textId="77777777" w:rsidR="00EC3651" w:rsidRPr="00C43975" w:rsidRDefault="00EC3651" w:rsidP="00515F47">
            <w:pPr>
              <w:autoSpaceDE w:val="0"/>
              <w:autoSpaceDN w:val="0"/>
              <w:adjustRightInd w:val="0"/>
              <w:spacing w:line="480" w:lineRule="auto"/>
              <w:ind w:left="113"/>
              <w:jc w:val="center"/>
              <w:cnfStyle w:val="000000000000" w:firstRow="0" w:lastRow="0" w:firstColumn="0" w:lastColumn="0" w:oddVBand="0" w:evenVBand="0" w:oddHBand="0" w:evenHBand="0" w:firstRowFirstColumn="0" w:firstRowLastColumn="0" w:lastRowFirstColumn="0" w:lastRowLastColumn="0"/>
              <w:rPr>
                <w:rFonts w:ascii="Arial" w:hAnsi="Arial" w:cs="Arial"/>
                <w:bCs/>
                <w:i/>
              </w:rPr>
            </w:pPr>
            <w:r w:rsidRPr="00C43975">
              <w:rPr>
                <w:rFonts w:ascii="Arial" w:hAnsi="Arial" w:cs="Arial"/>
                <w:bCs/>
                <w:i/>
              </w:rPr>
              <w:t>24 (7.0)</w:t>
            </w:r>
          </w:p>
        </w:tc>
      </w:tr>
      <w:tr w:rsidR="00EC3651" w:rsidRPr="00C43975" w14:paraId="0EB72738" w14:textId="77777777" w:rsidTr="00515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E6264CA" w14:textId="77777777" w:rsidR="00EC3651" w:rsidRPr="00C43975" w:rsidRDefault="00EC3651" w:rsidP="00515F47">
            <w:pPr>
              <w:autoSpaceDE w:val="0"/>
              <w:autoSpaceDN w:val="0"/>
              <w:adjustRightInd w:val="0"/>
              <w:spacing w:line="480" w:lineRule="auto"/>
              <w:jc w:val="center"/>
              <w:rPr>
                <w:rFonts w:ascii="Arial" w:hAnsi="Arial" w:cs="Arial"/>
                <w:b w:val="0"/>
                <w:i/>
                <w:color w:val="000000"/>
              </w:rPr>
            </w:pPr>
            <w:r w:rsidRPr="00C43975">
              <w:rPr>
                <w:rFonts w:ascii="Arial" w:hAnsi="Arial" w:cs="Arial"/>
                <w:b w:val="0"/>
                <w:i/>
                <w:color w:val="000000"/>
              </w:rPr>
              <w:t>Micafungin</w:t>
            </w:r>
          </w:p>
        </w:tc>
        <w:tc>
          <w:tcPr>
            <w:tcW w:w="1418" w:type="dxa"/>
          </w:tcPr>
          <w:p w14:paraId="3FC1534D" w14:textId="77777777" w:rsidR="00EC3651" w:rsidRPr="00C43975" w:rsidRDefault="00EC3651" w:rsidP="00515F47">
            <w:pPr>
              <w:autoSpaceDE w:val="0"/>
              <w:autoSpaceDN w:val="0"/>
              <w:adjustRightInd w:val="0"/>
              <w:spacing w:line="480" w:lineRule="auto"/>
              <w:ind w:left="113"/>
              <w:jc w:val="center"/>
              <w:cnfStyle w:val="000000100000" w:firstRow="0" w:lastRow="0" w:firstColumn="0" w:lastColumn="0" w:oddVBand="0" w:evenVBand="0" w:oddHBand="1" w:evenHBand="0" w:firstRowFirstColumn="0" w:firstRowLastColumn="0" w:lastRowFirstColumn="0" w:lastRowLastColumn="0"/>
              <w:rPr>
                <w:rFonts w:ascii="Arial" w:hAnsi="Arial" w:cs="Arial"/>
                <w:bCs/>
                <w:i/>
              </w:rPr>
            </w:pPr>
            <w:r w:rsidRPr="00C43975">
              <w:rPr>
                <w:rFonts w:ascii="Arial" w:hAnsi="Arial" w:cs="Arial"/>
                <w:bCs/>
                <w:i/>
              </w:rPr>
              <w:t>30 (5.1)</w:t>
            </w:r>
          </w:p>
        </w:tc>
        <w:tc>
          <w:tcPr>
            <w:tcW w:w="1276" w:type="dxa"/>
          </w:tcPr>
          <w:p w14:paraId="76A59A78" w14:textId="77777777" w:rsidR="00EC3651" w:rsidRPr="00C43975" w:rsidRDefault="00EC3651" w:rsidP="00515F47">
            <w:pPr>
              <w:autoSpaceDE w:val="0"/>
              <w:autoSpaceDN w:val="0"/>
              <w:adjustRightInd w:val="0"/>
              <w:spacing w:line="480" w:lineRule="auto"/>
              <w:ind w:left="113"/>
              <w:jc w:val="center"/>
              <w:cnfStyle w:val="000000100000" w:firstRow="0" w:lastRow="0" w:firstColumn="0" w:lastColumn="0" w:oddVBand="0" w:evenVBand="0" w:oddHBand="1" w:evenHBand="0" w:firstRowFirstColumn="0" w:firstRowLastColumn="0" w:lastRowFirstColumn="0" w:lastRowLastColumn="0"/>
              <w:rPr>
                <w:rFonts w:ascii="Arial" w:hAnsi="Arial" w:cs="Arial"/>
                <w:bCs/>
                <w:i/>
              </w:rPr>
            </w:pPr>
            <w:r w:rsidRPr="00C43975">
              <w:rPr>
                <w:rFonts w:ascii="Arial" w:hAnsi="Arial" w:cs="Arial"/>
                <w:bCs/>
                <w:i/>
              </w:rPr>
              <w:t>17 (8.0)</w:t>
            </w:r>
          </w:p>
        </w:tc>
        <w:tc>
          <w:tcPr>
            <w:tcW w:w="1156" w:type="dxa"/>
          </w:tcPr>
          <w:p w14:paraId="4A23E434" w14:textId="77777777" w:rsidR="00EC3651" w:rsidRPr="00C43975" w:rsidRDefault="00EC3651" w:rsidP="00515F47">
            <w:pPr>
              <w:autoSpaceDE w:val="0"/>
              <w:autoSpaceDN w:val="0"/>
              <w:adjustRightInd w:val="0"/>
              <w:spacing w:line="480" w:lineRule="auto"/>
              <w:ind w:left="113"/>
              <w:jc w:val="center"/>
              <w:cnfStyle w:val="000000100000" w:firstRow="0" w:lastRow="0" w:firstColumn="0" w:lastColumn="0" w:oddVBand="0" w:evenVBand="0" w:oddHBand="1" w:evenHBand="0" w:firstRowFirstColumn="0" w:firstRowLastColumn="0" w:lastRowFirstColumn="0" w:lastRowLastColumn="0"/>
              <w:rPr>
                <w:rFonts w:ascii="Arial" w:hAnsi="Arial" w:cs="Arial"/>
                <w:bCs/>
                <w:i/>
              </w:rPr>
            </w:pPr>
            <w:r w:rsidRPr="00C43975">
              <w:rPr>
                <w:rFonts w:ascii="Arial" w:hAnsi="Arial" w:cs="Arial"/>
                <w:bCs/>
                <w:i/>
              </w:rPr>
              <w:t>2 (1.7)</w:t>
            </w:r>
          </w:p>
        </w:tc>
        <w:tc>
          <w:tcPr>
            <w:tcW w:w="1232" w:type="dxa"/>
          </w:tcPr>
          <w:p w14:paraId="5DF68D69" w14:textId="77777777" w:rsidR="00EC3651" w:rsidRPr="00C43975" w:rsidRDefault="00EC3651" w:rsidP="00515F47">
            <w:pPr>
              <w:autoSpaceDE w:val="0"/>
              <w:autoSpaceDN w:val="0"/>
              <w:adjustRightInd w:val="0"/>
              <w:spacing w:line="480" w:lineRule="auto"/>
              <w:ind w:left="113"/>
              <w:jc w:val="center"/>
              <w:cnfStyle w:val="000000100000" w:firstRow="0" w:lastRow="0" w:firstColumn="0" w:lastColumn="0" w:oddVBand="0" w:evenVBand="0" w:oddHBand="1" w:evenHBand="0" w:firstRowFirstColumn="0" w:firstRowLastColumn="0" w:lastRowFirstColumn="0" w:lastRowLastColumn="0"/>
              <w:rPr>
                <w:rFonts w:ascii="Arial" w:hAnsi="Arial" w:cs="Arial"/>
                <w:bCs/>
                <w:i/>
              </w:rPr>
            </w:pPr>
            <w:r w:rsidRPr="00C43975">
              <w:rPr>
                <w:rFonts w:ascii="Arial" w:hAnsi="Arial" w:cs="Arial"/>
                <w:bCs/>
                <w:i/>
              </w:rPr>
              <w:t>5 (3.8)</w:t>
            </w:r>
          </w:p>
        </w:tc>
        <w:tc>
          <w:tcPr>
            <w:tcW w:w="1439" w:type="dxa"/>
            <w:gridSpan w:val="2"/>
          </w:tcPr>
          <w:p w14:paraId="569BCBE9" w14:textId="77777777" w:rsidR="00EC3651" w:rsidRPr="00C43975" w:rsidRDefault="00EC3651" w:rsidP="00515F47">
            <w:pPr>
              <w:autoSpaceDE w:val="0"/>
              <w:autoSpaceDN w:val="0"/>
              <w:adjustRightInd w:val="0"/>
              <w:spacing w:line="480" w:lineRule="auto"/>
              <w:ind w:left="113"/>
              <w:jc w:val="center"/>
              <w:cnfStyle w:val="000000100000" w:firstRow="0" w:lastRow="0" w:firstColumn="0" w:lastColumn="0" w:oddVBand="0" w:evenVBand="0" w:oddHBand="1" w:evenHBand="0" w:firstRowFirstColumn="0" w:firstRowLastColumn="0" w:lastRowFirstColumn="0" w:lastRowLastColumn="0"/>
              <w:rPr>
                <w:rFonts w:ascii="Arial" w:hAnsi="Arial" w:cs="Arial"/>
                <w:bCs/>
                <w:i/>
              </w:rPr>
            </w:pPr>
            <w:r w:rsidRPr="00C43975">
              <w:rPr>
                <w:rFonts w:ascii="Arial" w:hAnsi="Arial" w:cs="Arial"/>
                <w:bCs/>
                <w:i/>
              </w:rPr>
              <w:t>32 (4.5)</w:t>
            </w:r>
          </w:p>
        </w:tc>
        <w:tc>
          <w:tcPr>
            <w:tcW w:w="1559" w:type="dxa"/>
          </w:tcPr>
          <w:p w14:paraId="31EA9086" w14:textId="77777777" w:rsidR="00EC3651" w:rsidRPr="00C43975" w:rsidRDefault="00EC3651" w:rsidP="00515F47">
            <w:pPr>
              <w:autoSpaceDE w:val="0"/>
              <w:autoSpaceDN w:val="0"/>
              <w:adjustRightInd w:val="0"/>
              <w:spacing w:line="480" w:lineRule="auto"/>
              <w:ind w:left="113"/>
              <w:jc w:val="center"/>
              <w:cnfStyle w:val="000000100000" w:firstRow="0" w:lastRow="0" w:firstColumn="0" w:lastColumn="0" w:oddVBand="0" w:evenVBand="0" w:oddHBand="1" w:evenHBand="0" w:firstRowFirstColumn="0" w:firstRowLastColumn="0" w:lastRowFirstColumn="0" w:lastRowLastColumn="0"/>
              <w:rPr>
                <w:rFonts w:ascii="Arial" w:hAnsi="Arial" w:cs="Arial"/>
                <w:bCs/>
                <w:i/>
              </w:rPr>
            </w:pPr>
            <w:r w:rsidRPr="00C43975">
              <w:rPr>
                <w:rFonts w:ascii="Arial" w:hAnsi="Arial" w:cs="Arial"/>
                <w:bCs/>
                <w:i/>
              </w:rPr>
              <w:t>22 (6.4)</w:t>
            </w:r>
          </w:p>
        </w:tc>
      </w:tr>
      <w:tr w:rsidR="00EC3651" w:rsidRPr="00C43975" w14:paraId="110BFA51" w14:textId="77777777" w:rsidTr="00515F47">
        <w:tc>
          <w:tcPr>
            <w:cnfStyle w:val="001000000000" w:firstRow="0" w:lastRow="0" w:firstColumn="1" w:lastColumn="0" w:oddVBand="0" w:evenVBand="0" w:oddHBand="0" w:evenHBand="0" w:firstRowFirstColumn="0" w:firstRowLastColumn="0" w:lastRowFirstColumn="0" w:lastRowLastColumn="0"/>
            <w:tcW w:w="2835" w:type="dxa"/>
          </w:tcPr>
          <w:p w14:paraId="23684E36" w14:textId="77777777" w:rsidR="00EC3651" w:rsidRPr="00C43975" w:rsidRDefault="00EC3651" w:rsidP="00515F47">
            <w:pPr>
              <w:autoSpaceDE w:val="0"/>
              <w:autoSpaceDN w:val="0"/>
              <w:adjustRightInd w:val="0"/>
              <w:spacing w:line="480" w:lineRule="auto"/>
              <w:jc w:val="center"/>
              <w:rPr>
                <w:rFonts w:ascii="Arial" w:hAnsi="Arial" w:cs="Arial"/>
                <w:b w:val="0"/>
                <w:bCs w:val="0"/>
                <w:i/>
              </w:rPr>
            </w:pPr>
            <w:r w:rsidRPr="00C43975">
              <w:rPr>
                <w:rFonts w:ascii="Arial" w:hAnsi="Arial" w:cs="Arial"/>
                <w:b w:val="0"/>
                <w:i/>
                <w:color w:val="000000"/>
              </w:rPr>
              <w:t>Anidulafungin</w:t>
            </w:r>
          </w:p>
        </w:tc>
        <w:tc>
          <w:tcPr>
            <w:tcW w:w="1418" w:type="dxa"/>
          </w:tcPr>
          <w:p w14:paraId="738D304D" w14:textId="77777777" w:rsidR="00EC3651" w:rsidRPr="00C43975" w:rsidRDefault="00EC3651" w:rsidP="00515F47">
            <w:pPr>
              <w:autoSpaceDE w:val="0"/>
              <w:autoSpaceDN w:val="0"/>
              <w:adjustRightInd w:val="0"/>
              <w:spacing w:line="480" w:lineRule="auto"/>
              <w:ind w:left="113"/>
              <w:jc w:val="center"/>
              <w:cnfStyle w:val="000000000000" w:firstRow="0" w:lastRow="0" w:firstColumn="0" w:lastColumn="0" w:oddVBand="0" w:evenVBand="0" w:oddHBand="0" w:evenHBand="0" w:firstRowFirstColumn="0" w:firstRowLastColumn="0" w:lastRowFirstColumn="0" w:lastRowLastColumn="0"/>
              <w:rPr>
                <w:rFonts w:ascii="Arial" w:hAnsi="Arial" w:cs="Arial"/>
                <w:bCs/>
                <w:i/>
              </w:rPr>
            </w:pPr>
            <w:r w:rsidRPr="00C43975">
              <w:rPr>
                <w:rFonts w:ascii="Arial" w:hAnsi="Arial" w:cs="Arial"/>
                <w:bCs/>
                <w:i/>
              </w:rPr>
              <w:t>2 (0.3)</w:t>
            </w:r>
          </w:p>
        </w:tc>
        <w:tc>
          <w:tcPr>
            <w:tcW w:w="1276" w:type="dxa"/>
          </w:tcPr>
          <w:p w14:paraId="0A82ED24" w14:textId="77777777" w:rsidR="00EC3651" w:rsidRPr="00C43975" w:rsidRDefault="00EC3651" w:rsidP="00515F47">
            <w:pPr>
              <w:autoSpaceDE w:val="0"/>
              <w:autoSpaceDN w:val="0"/>
              <w:adjustRightInd w:val="0"/>
              <w:spacing w:line="480" w:lineRule="auto"/>
              <w:ind w:left="113"/>
              <w:jc w:val="center"/>
              <w:cnfStyle w:val="000000000000" w:firstRow="0" w:lastRow="0" w:firstColumn="0" w:lastColumn="0" w:oddVBand="0" w:evenVBand="0" w:oddHBand="0" w:evenHBand="0" w:firstRowFirstColumn="0" w:firstRowLastColumn="0" w:lastRowFirstColumn="0" w:lastRowLastColumn="0"/>
              <w:rPr>
                <w:rFonts w:ascii="Arial" w:hAnsi="Arial" w:cs="Arial"/>
                <w:bCs/>
                <w:i/>
              </w:rPr>
            </w:pPr>
            <w:r w:rsidRPr="00C43975">
              <w:rPr>
                <w:rFonts w:ascii="Arial" w:hAnsi="Arial" w:cs="Arial"/>
                <w:bCs/>
                <w:i/>
              </w:rPr>
              <w:t>1 (0.5)</w:t>
            </w:r>
          </w:p>
        </w:tc>
        <w:tc>
          <w:tcPr>
            <w:tcW w:w="1156" w:type="dxa"/>
          </w:tcPr>
          <w:p w14:paraId="5BD03899" w14:textId="77777777" w:rsidR="00EC3651" w:rsidRPr="00C43975" w:rsidRDefault="00EC3651" w:rsidP="00515F47">
            <w:pPr>
              <w:autoSpaceDE w:val="0"/>
              <w:autoSpaceDN w:val="0"/>
              <w:adjustRightInd w:val="0"/>
              <w:spacing w:line="480" w:lineRule="auto"/>
              <w:ind w:left="113"/>
              <w:jc w:val="center"/>
              <w:cnfStyle w:val="000000000000" w:firstRow="0" w:lastRow="0" w:firstColumn="0" w:lastColumn="0" w:oddVBand="0" w:evenVBand="0" w:oddHBand="0" w:evenHBand="0" w:firstRowFirstColumn="0" w:firstRowLastColumn="0" w:lastRowFirstColumn="0" w:lastRowLastColumn="0"/>
              <w:rPr>
                <w:rFonts w:ascii="Arial" w:hAnsi="Arial" w:cs="Arial"/>
                <w:bCs/>
                <w:i/>
              </w:rPr>
            </w:pPr>
            <w:r w:rsidRPr="00C43975">
              <w:rPr>
                <w:rFonts w:ascii="Arial" w:hAnsi="Arial" w:cs="Arial"/>
                <w:bCs/>
                <w:i/>
              </w:rPr>
              <w:t>0</w:t>
            </w:r>
          </w:p>
        </w:tc>
        <w:tc>
          <w:tcPr>
            <w:tcW w:w="1232" w:type="dxa"/>
          </w:tcPr>
          <w:p w14:paraId="5E181A1A" w14:textId="77777777" w:rsidR="00EC3651" w:rsidRPr="00C43975" w:rsidRDefault="00EC3651" w:rsidP="00515F47">
            <w:pPr>
              <w:autoSpaceDE w:val="0"/>
              <w:autoSpaceDN w:val="0"/>
              <w:adjustRightInd w:val="0"/>
              <w:spacing w:line="480" w:lineRule="auto"/>
              <w:ind w:left="113"/>
              <w:jc w:val="center"/>
              <w:cnfStyle w:val="000000000000" w:firstRow="0" w:lastRow="0" w:firstColumn="0" w:lastColumn="0" w:oddVBand="0" w:evenVBand="0" w:oddHBand="0" w:evenHBand="0" w:firstRowFirstColumn="0" w:firstRowLastColumn="0" w:lastRowFirstColumn="0" w:lastRowLastColumn="0"/>
              <w:rPr>
                <w:rFonts w:ascii="Arial" w:hAnsi="Arial" w:cs="Arial"/>
                <w:bCs/>
                <w:i/>
              </w:rPr>
            </w:pPr>
            <w:r w:rsidRPr="00C43975">
              <w:rPr>
                <w:rFonts w:ascii="Arial" w:hAnsi="Arial" w:cs="Arial"/>
                <w:bCs/>
                <w:i/>
              </w:rPr>
              <w:t>0</w:t>
            </w:r>
          </w:p>
        </w:tc>
        <w:tc>
          <w:tcPr>
            <w:tcW w:w="1439" w:type="dxa"/>
            <w:gridSpan w:val="2"/>
          </w:tcPr>
          <w:p w14:paraId="5DAE2D16" w14:textId="77777777" w:rsidR="00EC3651" w:rsidRPr="00C43975" w:rsidRDefault="00EC3651" w:rsidP="00515F47">
            <w:pPr>
              <w:autoSpaceDE w:val="0"/>
              <w:autoSpaceDN w:val="0"/>
              <w:adjustRightInd w:val="0"/>
              <w:spacing w:line="480" w:lineRule="auto"/>
              <w:ind w:left="113"/>
              <w:jc w:val="center"/>
              <w:cnfStyle w:val="000000000000" w:firstRow="0" w:lastRow="0" w:firstColumn="0" w:lastColumn="0" w:oddVBand="0" w:evenVBand="0" w:oddHBand="0" w:evenHBand="0" w:firstRowFirstColumn="0" w:firstRowLastColumn="0" w:lastRowFirstColumn="0" w:lastRowLastColumn="0"/>
              <w:rPr>
                <w:rFonts w:ascii="Arial" w:hAnsi="Arial" w:cs="Arial"/>
                <w:bCs/>
                <w:i/>
              </w:rPr>
            </w:pPr>
            <w:r w:rsidRPr="00C43975">
              <w:rPr>
                <w:rFonts w:ascii="Arial" w:hAnsi="Arial" w:cs="Arial"/>
                <w:bCs/>
                <w:i/>
              </w:rPr>
              <w:t>2 (0.3)</w:t>
            </w:r>
          </w:p>
        </w:tc>
        <w:tc>
          <w:tcPr>
            <w:tcW w:w="1559" w:type="dxa"/>
          </w:tcPr>
          <w:p w14:paraId="7E04966E" w14:textId="77777777" w:rsidR="00EC3651" w:rsidRPr="00C43975" w:rsidRDefault="00EC3651" w:rsidP="00515F47">
            <w:pPr>
              <w:autoSpaceDE w:val="0"/>
              <w:autoSpaceDN w:val="0"/>
              <w:adjustRightInd w:val="0"/>
              <w:spacing w:line="480" w:lineRule="auto"/>
              <w:ind w:left="113"/>
              <w:jc w:val="center"/>
              <w:cnfStyle w:val="000000000000" w:firstRow="0" w:lastRow="0" w:firstColumn="0" w:lastColumn="0" w:oddVBand="0" w:evenVBand="0" w:oddHBand="0" w:evenHBand="0" w:firstRowFirstColumn="0" w:firstRowLastColumn="0" w:lastRowFirstColumn="0" w:lastRowLastColumn="0"/>
              <w:rPr>
                <w:rFonts w:ascii="Arial" w:hAnsi="Arial" w:cs="Arial"/>
                <w:bCs/>
                <w:i/>
              </w:rPr>
            </w:pPr>
            <w:r w:rsidRPr="00C43975">
              <w:rPr>
                <w:rFonts w:ascii="Arial" w:hAnsi="Arial" w:cs="Arial"/>
                <w:bCs/>
                <w:i/>
              </w:rPr>
              <w:t>0</w:t>
            </w:r>
          </w:p>
        </w:tc>
      </w:tr>
      <w:tr w:rsidR="00EC3651" w:rsidRPr="00C43975" w14:paraId="4C0A015B" w14:textId="77777777" w:rsidTr="00515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38EAEC0" w14:textId="77777777" w:rsidR="00EC3651" w:rsidRPr="00C43975" w:rsidRDefault="00EC3651" w:rsidP="00515F47">
            <w:pPr>
              <w:autoSpaceDE w:val="0"/>
              <w:autoSpaceDN w:val="0"/>
              <w:adjustRightInd w:val="0"/>
              <w:spacing w:line="480" w:lineRule="auto"/>
              <w:jc w:val="both"/>
              <w:rPr>
                <w:rFonts w:ascii="Arial" w:hAnsi="Arial" w:cs="Arial"/>
                <w:b w:val="0"/>
                <w:color w:val="000000"/>
              </w:rPr>
            </w:pPr>
            <w:r w:rsidRPr="00C43975">
              <w:rPr>
                <w:rFonts w:ascii="Arial" w:hAnsi="Arial" w:cs="Arial"/>
                <w:b w:val="0"/>
                <w:color w:val="000000"/>
              </w:rPr>
              <w:t>Flucytosine n(%)</w:t>
            </w:r>
          </w:p>
        </w:tc>
        <w:tc>
          <w:tcPr>
            <w:tcW w:w="1418" w:type="dxa"/>
          </w:tcPr>
          <w:p w14:paraId="63D2AD80"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bCs/>
              </w:rPr>
              <w:t>1 (0.2)</w:t>
            </w:r>
          </w:p>
        </w:tc>
        <w:tc>
          <w:tcPr>
            <w:tcW w:w="1276" w:type="dxa"/>
          </w:tcPr>
          <w:p w14:paraId="2456F8B8"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bCs/>
              </w:rPr>
              <w:t>0</w:t>
            </w:r>
          </w:p>
        </w:tc>
        <w:tc>
          <w:tcPr>
            <w:tcW w:w="1156" w:type="dxa"/>
          </w:tcPr>
          <w:p w14:paraId="37906FEE"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bCs/>
              </w:rPr>
              <w:t>0</w:t>
            </w:r>
          </w:p>
        </w:tc>
        <w:tc>
          <w:tcPr>
            <w:tcW w:w="1232" w:type="dxa"/>
          </w:tcPr>
          <w:p w14:paraId="3B22C312"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bCs/>
              </w:rPr>
              <w:t>1 (0.8)</w:t>
            </w:r>
          </w:p>
        </w:tc>
        <w:tc>
          <w:tcPr>
            <w:tcW w:w="1439" w:type="dxa"/>
            <w:gridSpan w:val="2"/>
          </w:tcPr>
          <w:p w14:paraId="3FA25990"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bCs/>
              </w:rPr>
              <w:t>1 (0.1)</w:t>
            </w:r>
          </w:p>
        </w:tc>
        <w:tc>
          <w:tcPr>
            <w:tcW w:w="1559" w:type="dxa"/>
          </w:tcPr>
          <w:p w14:paraId="5252C2DA"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bCs/>
              </w:rPr>
              <w:t>1 (0.3)</w:t>
            </w:r>
          </w:p>
        </w:tc>
      </w:tr>
      <w:tr w:rsidR="00EC3651" w:rsidRPr="00C43975" w14:paraId="63E494D1" w14:textId="77777777" w:rsidTr="00515F47">
        <w:tc>
          <w:tcPr>
            <w:cnfStyle w:val="001000000000" w:firstRow="0" w:lastRow="0" w:firstColumn="1" w:lastColumn="0" w:oddVBand="0" w:evenVBand="0" w:oddHBand="0" w:evenHBand="0" w:firstRowFirstColumn="0" w:firstRowLastColumn="0" w:lastRowFirstColumn="0" w:lastRowLastColumn="0"/>
            <w:tcW w:w="2835" w:type="dxa"/>
          </w:tcPr>
          <w:p w14:paraId="36E2E9EF" w14:textId="77777777" w:rsidR="00EC3651" w:rsidRPr="00C43975" w:rsidRDefault="00EC3651" w:rsidP="00515F47">
            <w:pPr>
              <w:autoSpaceDE w:val="0"/>
              <w:autoSpaceDN w:val="0"/>
              <w:adjustRightInd w:val="0"/>
              <w:spacing w:line="480" w:lineRule="auto"/>
              <w:jc w:val="both"/>
              <w:rPr>
                <w:rFonts w:ascii="Arial" w:hAnsi="Arial" w:cs="Arial"/>
                <w:b w:val="0"/>
                <w:bCs w:val="0"/>
              </w:rPr>
            </w:pPr>
            <w:proofErr w:type="gramStart"/>
            <w:r w:rsidRPr="00C43975">
              <w:rPr>
                <w:rFonts w:ascii="Arial" w:hAnsi="Arial" w:cs="Arial"/>
                <w:b w:val="0"/>
                <w:color w:val="000000"/>
              </w:rPr>
              <w:t>Other</w:t>
            </w:r>
            <w:proofErr w:type="gramEnd"/>
            <w:r w:rsidRPr="00C43975">
              <w:rPr>
                <w:rFonts w:ascii="Arial" w:hAnsi="Arial" w:cs="Arial"/>
                <w:b w:val="0"/>
                <w:color w:val="000000"/>
              </w:rPr>
              <w:t xml:space="preserve"> n(%)</w:t>
            </w:r>
          </w:p>
        </w:tc>
        <w:tc>
          <w:tcPr>
            <w:tcW w:w="1418" w:type="dxa"/>
          </w:tcPr>
          <w:p w14:paraId="3A35428D"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C43975">
              <w:rPr>
                <w:rFonts w:ascii="Arial" w:hAnsi="Arial" w:cs="Arial"/>
                <w:bCs/>
              </w:rPr>
              <w:t>1 (0.2)</w:t>
            </w:r>
          </w:p>
        </w:tc>
        <w:tc>
          <w:tcPr>
            <w:tcW w:w="1276" w:type="dxa"/>
          </w:tcPr>
          <w:p w14:paraId="2846F510"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C43975">
              <w:rPr>
                <w:rFonts w:ascii="Arial" w:hAnsi="Arial" w:cs="Arial"/>
                <w:bCs/>
              </w:rPr>
              <w:t>1 (0.5)</w:t>
            </w:r>
          </w:p>
        </w:tc>
        <w:tc>
          <w:tcPr>
            <w:tcW w:w="1156" w:type="dxa"/>
          </w:tcPr>
          <w:p w14:paraId="4534387C"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C43975">
              <w:rPr>
                <w:rFonts w:ascii="Arial" w:hAnsi="Arial" w:cs="Arial"/>
                <w:bCs/>
              </w:rPr>
              <w:t>0</w:t>
            </w:r>
          </w:p>
        </w:tc>
        <w:tc>
          <w:tcPr>
            <w:tcW w:w="1232" w:type="dxa"/>
          </w:tcPr>
          <w:p w14:paraId="7F67C66F"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C43975">
              <w:rPr>
                <w:rFonts w:ascii="Arial" w:hAnsi="Arial" w:cs="Arial"/>
                <w:bCs/>
              </w:rPr>
              <w:t>0</w:t>
            </w:r>
          </w:p>
        </w:tc>
        <w:tc>
          <w:tcPr>
            <w:tcW w:w="1439" w:type="dxa"/>
            <w:gridSpan w:val="2"/>
          </w:tcPr>
          <w:p w14:paraId="4B3484EA"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C43975">
              <w:rPr>
                <w:rFonts w:ascii="Arial" w:hAnsi="Arial" w:cs="Arial"/>
                <w:bCs/>
              </w:rPr>
              <w:t>1 (0.1))</w:t>
            </w:r>
          </w:p>
        </w:tc>
        <w:tc>
          <w:tcPr>
            <w:tcW w:w="1559" w:type="dxa"/>
          </w:tcPr>
          <w:p w14:paraId="38DBD0C3"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C43975">
              <w:rPr>
                <w:rFonts w:ascii="Arial" w:hAnsi="Arial" w:cs="Arial"/>
                <w:bCs/>
              </w:rPr>
              <w:t>0</w:t>
            </w:r>
          </w:p>
        </w:tc>
      </w:tr>
    </w:tbl>
    <w:p w14:paraId="532DF6CF" w14:textId="77777777" w:rsidR="00EC3651" w:rsidRPr="00C43975" w:rsidRDefault="00EC3651" w:rsidP="00EC3651">
      <w:pPr>
        <w:spacing w:line="480" w:lineRule="auto"/>
        <w:rPr>
          <w:rFonts w:ascii="Arial" w:hAnsi="Arial" w:cs="Arial"/>
        </w:rPr>
      </w:pPr>
    </w:p>
    <w:p w14:paraId="256237B8" w14:textId="77777777" w:rsidR="00EC3651" w:rsidRDefault="00EC3651" w:rsidP="00EC3651">
      <w:pPr>
        <w:spacing w:line="480" w:lineRule="auto"/>
        <w:rPr>
          <w:rFonts w:ascii="Arial" w:hAnsi="Arial" w:cs="Arial"/>
        </w:rPr>
      </w:pPr>
      <w:r w:rsidRPr="00C43975">
        <w:rPr>
          <w:rFonts w:ascii="Arial" w:hAnsi="Arial" w:cs="Arial"/>
        </w:rPr>
        <w:lastRenderedPageBreak/>
        <w:t xml:space="preserve">HIC, High Income Country. LMIC, Low Middle Income Country. High risk for invasive fungal infection was considered when the neonate was extreme preterm or the children had an underlying malignancy or immunodeficiency. Amphotericin B includes all formulations. </w:t>
      </w:r>
    </w:p>
    <w:p w14:paraId="4400637D" w14:textId="77777777" w:rsidR="00EC3651" w:rsidRDefault="00EC3651" w:rsidP="00EC3651">
      <w:pPr>
        <w:spacing w:after="160" w:line="259" w:lineRule="auto"/>
        <w:rPr>
          <w:rFonts w:ascii="Arial" w:hAnsi="Arial" w:cs="Arial"/>
        </w:rPr>
      </w:pPr>
      <w:r>
        <w:rPr>
          <w:rFonts w:ascii="Arial" w:hAnsi="Arial" w:cs="Arial"/>
        </w:rPr>
        <w:br w:type="page"/>
      </w:r>
    </w:p>
    <w:p w14:paraId="5DF57D7D" w14:textId="77777777" w:rsidR="00EC3651" w:rsidRPr="00C43975" w:rsidRDefault="00EC3651" w:rsidP="00EC3651">
      <w:pPr>
        <w:autoSpaceDE w:val="0"/>
        <w:autoSpaceDN w:val="0"/>
        <w:adjustRightInd w:val="0"/>
        <w:spacing w:line="480" w:lineRule="auto"/>
        <w:jc w:val="both"/>
        <w:rPr>
          <w:rFonts w:ascii="Arial" w:hAnsi="Arial" w:cs="Arial"/>
          <w:bCs/>
        </w:rPr>
      </w:pPr>
      <w:r w:rsidRPr="00C43975">
        <w:rPr>
          <w:rFonts w:ascii="Arial" w:hAnsi="Arial" w:cs="Arial"/>
          <w:b/>
          <w:bCs/>
        </w:rPr>
        <w:lastRenderedPageBreak/>
        <w:t xml:space="preserve">Table 3. </w:t>
      </w:r>
      <w:r w:rsidRPr="00C43975">
        <w:rPr>
          <w:rFonts w:ascii="Arial" w:hAnsi="Arial" w:cs="Arial"/>
          <w:bCs/>
        </w:rPr>
        <w:t>Antifungal agents by country income and rational of treatment</w:t>
      </w:r>
    </w:p>
    <w:tbl>
      <w:tblPr>
        <w:tblStyle w:val="PlainTable4"/>
        <w:tblW w:w="11057" w:type="dxa"/>
        <w:tblInd w:w="-71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977"/>
        <w:gridCol w:w="1418"/>
        <w:gridCol w:w="1276"/>
        <w:gridCol w:w="1118"/>
        <w:gridCol w:w="157"/>
        <w:gridCol w:w="1276"/>
        <w:gridCol w:w="142"/>
        <w:gridCol w:w="1134"/>
        <w:gridCol w:w="142"/>
        <w:gridCol w:w="1417"/>
      </w:tblGrid>
      <w:tr w:rsidR="00EC3651" w:rsidRPr="00C43975" w14:paraId="2F73D355" w14:textId="77777777" w:rsidTr="00515F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2DDBFE67" w14:textId="77777777" w:rsidR="00EC3651" w:rsidRPr="00C43975" w:rsidRDefault="00EC3651" w:rsidP="00515F47">
            <w:pPr>
              <w:autoSpaceDE w:val="0"/>
              <w:autoSpaceDN w:val="0"/>
              <w:adjustRightInd w:val="0"/>
              <w:spacing w:line="480" w:lineRule="auto"/>
              <w:jc w:val="both"/>
              <w:rPr>
                <w:rFonts w:ascii="Arial" w:hAnsi="Arial" w:cs="Arial"/>
                <w:b w:val="0"/>
                <w:bCs w:val="0"/>
              </w:rPr>
            </w:pPr>
          </w:p>
        </w:tc>
        <w:tc>
          <w:tcPr>
            <w:tcW w:w="5387" w:type="dxa"/>
            <w:gridSpan w:val="6"/>
            <w:tcBorders>
              <w:bottom w:val="nil"/>
            </w:tcBorders>
          </w:tcPr>
          <w:p w14:paraId="6BBB6EA9" w14:textId="77777777" w:rsidR="00EC3651" w:rsidRPr="00C43975" w:rsidRDefault="00EC3651" w:rsidP="00515F47">
            <w:pPr>
              <w:autoSpaceDE w:val="0"/>
              <w:autoSpaceDN w:val="0"/>
              <w:adjustRightInd w:val="0"/>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C43975">
              <w:rPr>
                <w:rFonts w:ascii="Arial" w:hAnsi="Arial" w:cs="Arial"/>
                <w:bCs w:val="0"/>
              </w:rPr>
              <w:t>Country income level</w:t>
            </w:r>
          </w:p>
        </w:tc>
        <w:tc>
          <w:tcPr>
            <w:tcW w:w="2693" w:type="dxa"/>
            <w:gridSpan w:val="3"/>
            <w:tcBorders>
              <w:bottom w:val="nil"/>
            </w:tcBorders>
          </w:tcPr>
          <w:p w14:paraId="109140E9" w14:textId="77777777" w:rsidR="00EC3651" w:rsidRPr="00C43975" w:rsidRDefault="00EC3651" w:rsidP="00515F47">
            <w:pPr>
              <w:autoSpaceDE w:val="0"/>
              <w:autoSpaceDN w:val="0"/>
              <w:adjustRightInd w:val="0"/>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tc>
      </w:tr>
      <w:tr w:rsidR="00EC3651" w:rsidRPr="00C43975" w14:paraId="510EB2FA" w14:textId="77777777" w:rsidTr="00515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right w:val="nil"/>
            </w:tcBorders>
          </w:tcPr>
          <w:p w14:paraId="097F2F8F" w14:textId="77777777" w:rsidR="00EC3651" w:rsidRPr="00C43975" w:rsidRDefault="00EC3651" w:rsidP="00515F47">
            <w:pPr>
              <w:autoSpaceDE w:val="0"/>
              <w:autoSpaceDN w:val="0"/>
              <w:adjustRightInd w:val="0"/>
              <w:spacing w:line="480" w:lineRule="auto"/>
              <w:jc w:val="both"/>
              <w:rPr>
                <w:rFonts w:ascii="Arial" w:hAnsi="Arial" w:cs="Arial"/>
                <w:b w:val="0"/>
                <w:bCs w:val="0"/>
              </w:rPr>
            </w:pPr>
          </w:p>
        </w:tc>
        <w:tc>
          <w:tcPr>
            <w:tcW w:w="3812" w:type="dxa"/>
            <w:gridSpan w:val="3"/>
            <w:tcBorders>
              <w:top w:val="nil"/>
              <w:left w:val="nil"/>
              <w:bottom w:val="nil"/>
              <w:right w:val="nil"/>
            </w:tcBorders>
          </w:tcPr>
          <w:p w14:paraId="6F5045F5"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43975">
              <w:rPr>
                <w:rFonts w:ascii="Arial" w:hAnsi="Arial" w:cs="Arial"/>
                <w:color w:val="000000"/>
              </w:rPr>
              <w:t>HIC</w:t>
            </w:r>
          </w:p>
          <w:p w14:paraId="7598AD01"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bCs/>
              </w:rPr>
              <w:t>(n= 798)</w:t>
            </w:r>
          </w:p>
        </w:tc>
        <w:tc>
          <w:tcPr>
            <w:tcW w:w="4268" w:type="dxa"/>
            <w:gridSpan w:val="6"/>
            <w:tcBorders>
              <w:top w:val="nil"/>
              <w:left w:val="nil"/>
              <w:bottom w:val="nil"/>
              <w:right w:val="nil"/>
            </w:tcBorders>
          </w:tcPr>
          <w:p w14:paraId="7D31F9DE"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43975">
              <w:rPr>
                <w:rFonts w:ascii="Arial" w:hAnsi="Arial" w:cs="Arial"/>
                <w:color w:val="000000"/>
              </w:rPr>
              <w:t>LMIC</w:t>
            </w:r>
          </w:p>
          <w:p w14:paraId="014BB941"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bCs/>
              </w:rPr>
              <w:t>(n=250)</w:t>
            </w:r>
          </w:p>
        </w:tc>
      </w:tr>
      <w:tr w:rsidR="00EC3651" w:rsidRPr="00C43975" w14:paraId="7D2F54F5" w14:textId="77777777" w:rsidTr="00515F47">
        <w:tc>
          <w:tcPr>
            <w:cnfStyle w:val="001000000000" w:firstRow="0" w:lastRow="0" w:firstColumn="1" w:lastColumn="0" w:oddVBand="0" w:evenVBand="0" w:oddHBand="0" w:evenHBand="0" w:firstRowFirstColumn="0" w:firstRowLastColumn="0" w:lastRowFirstColumn="0" w:lastRowLastColumn="0"/>
            <w:tcW w:w="2977" w:type="dxa"/>
            <w:tcBorders>
              <w:right w:val="nil"/>
            </w:tcBorders>
          </w:tcPr>
          <w:p w14:paraId="3BF4FBC9" w14:textId="77777777" w:rsidR="00EC3651" w:rsidRPr="00C43975" w:rsidRDefault="00EC3651" w:rsidP="00515F47">
            <w:pPr>
              <w:autoSpaceDE w:val="0"/>
              <w:autoSpaceDN w:val="0"/>
              <w:adjustRightInd w:val="0"/>
              <w:spacing w:line="480" w:lineRule="auto"/>
              <w:jc w:val="both"/>
              <w:rPr>
                <w:rFonts w:ascii="Arial" w:hAnsi="Arial" w:cs="Arial"/>
                <w:bCs w:val="0"/>
              </w:rPr>
            </w:pPr>
            <w:r w:rsidRPr="00C43975">
              <w:rPr>
                <w:rFonts w:ascii="Arial" w:hAnsi="Arial" w:cs="Arial"/>
                <w:bCs w:val="0"/>
              </w:rPr>
              <w:t>Antifungal drug</w:t>
            </w:r>
          </w:p>
        </w:tc>
        <w:tc>
          <w:tcPr>
            <w:tcW w:w="1418" w:type="dxa"/>
            <w:tcBorders>
              <w:top w:val="nil"/>
              <w:left w:val="nil"/>
              <w:bottom w:val="nil"/>
              <w:right w:val="nil"/>
            </w:tcBorders>
          </w:tcPr>
          <w:p w14:paraId="406C2097"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43975">
              <w:rPr>
                <w:rFonts w:ascii="Arial" w:hAnsi="Arial" w:cs="Arial"/>
                <w:color w:val="000000"/>
              </w:rPr>
              <w:t>Prophylaxis</w:t>
            </w:r>
          </w:p>
          <w:p w14:paraId="0F2B2124"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43975">
              <w:rPr>
                <w:rFonts w:ascii="Arial" w:hAnsi="Arial" w:cs="Arial"/>
                <w:color w:val="000000"/>
              </w:rPr>
              <w:t>(n=536)</w:t>
            </w:r>
          </w:p>
        </w:tc>
        <w:tc>
          <w:tcPr>
            <w:tcW w:w="1276" w:type="dxa"/>
            <w:tcBorders>
              <w:top w:val="nil"/>
              <w:left w:val="nil"/>
              <w:bottom w:val="nil"/>
              <w:right w:val="nil"/>
            </w:tcBorders>
          </w:tcPr>
          <w:p w14:paraId="04A32538"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43975">
              <w:rPr>
                <w:rFonts w:ascii="Arial" w:hAnsi="Arial" w:cs="Arial"/>
                <w:color w:val="000000"/>
              </w:rPr>
              <w:t>Empiric. (n=182)</w:t>
            </w:r>
          </w:p>
        </w:tc>
        <w:tc>
          <w:tcPr>
            <w:tcW w:w="1275" w:type="dxa"/>
            <w:gridSpan w:val="2"/>
            <w:tcBorders>
              <w:top w:val="nil"/>
              <w:left w:val="nil"/>
              <w:bottom w:val="nil"/>
              <w:right w:val="nil"/>
            </w:tcBorders>
          </w:tcPr>
          <w:p w14:paraId="01D77F3C"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43975">
              <w:rPr>
                <w:rFonts w:ascii="Arial" w:hAnsi="Arial" w:cs="Arial"/>
                <w:color w:val="000000"/>
              </w:rPr>
              <w:t xml:space="preserve">Target </w:t>
            </w:r>
          </w:p>
          <w:p w14:paraId="4338C284"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43975">
              <w:rPr>
                <w:rFonts w:ascii="Arial" w:hAnsi="Arial" w:cs="Arial"/>
                <w:color w:val="000000"/>
              </w:rPr>
              <w:t xml:space="preserve">(n=80) </w:t>
            </w:r>
          </w:p>
        </w:tc>
        <w:tc>
          <w:tcPr>
            <w:tcW w:w="1418" w:type="dxa"/>
            <w:gridSpan w:val="2"/>
            <w:tcBorders>
              <w:top w:val="nil"/>
              <w:left w:val="nil"/>
              <w:bottom w:val="nil"/>
              <w:right w:val="nil"/>
            </w:tcBorders>
          </w:tcPr>
          <w:p w14:paraId="738B11C0"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43975">
              <w:rPr>
                <w:rFonts w:ascii="Arial" w:hAnsi="Arial" w:cs="Arial"/>
                <w:color w:val="000000"/>
              </w:rPr>
              <w:t>Prophylaxis (n=76)</w:t>
            </w:r>
          </w:p>
        </w:tc>
        <w:tc>
          <w:tcPr>
            <w:tcW w:w="1276" w:type="dxa"/>
            <w:gridSpan w:val="2"/>
            <w:tcBorders>
              <w:top w:val="nil"/>
              <w:left w:val="nil"/>
              <w:bottom w:val="nil"/>
              <w:right w:val="nil"/>
            </w:tcBorders>
          </w:tcPr>
          <w:p w14:paraId="3934F4C0"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43975">
              <w:rPr>
                <w:rFonts w:ascii="Arial" w:hAnsi="Arial" w:cs="Arial"/>
                <w:color w:val="000000"/>
              </w:rPr>
              <w:t xml:space="preserve">Empiric </w:t>
            </w:r>
          </w:p>
          <w:p w14:paraId="3F9E4949"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43975">
              <w:rPr>
                <w:rFonts w:ascii="Arial" w:hAnsi="Arial" w:cs="Arial"/>
                <w:color w:val="000000"/>
              </w:rPr>
              <w:t xml:space="preserve">(n=130) </w:t>
            </w:r>
          </w:p>
        </w:tc>
        <w:tc>
          <w:tcPr>
            <w:tcW w:w="1417" w:type="dxa"/>
            <w:tcBorders>
              <w:left w:val="nil"/>
            </w:tcBorders>
          </w:tcPr>
          <w:p w14:paraId="366E3FB3"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43975">
              <w:rPr>
                <w:rFonts w:ascii="Arial" w:hAnsi="Arial" w:cs="Arial"/>
                <w:color w:val="000000"/>
              </w:rPr>
              <w:t>Target</w:t>
            </w:r>
          </w:p>
          <w:p w14:paraId="3E8E8920"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43975">
              <w:rPr>
                <w:rFonts w:ascii="Arial" w:hAnsi="Arial" w:cs="Arial"/>
                <w:color w:val="000000"/>
              </w:rPr>
              <w:t>(n=44)</w:t>
            </w:r>
          </w:p>
        </w:tc>
      </w:tr>
      <w:tr w:rsidR="00EC3651" w:rsidRPr="00C43975" w14:paraId="454B9D25" w14:textId="77777777" w:rsidTr="00515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1BDB2E05" w14:textId="77777777" w:rsidR="00EC3651" w:rsidRPr="00C43975" w:rsidRDefault="00EC3651" w:rsidP="00515F47">
            <w:pPr>
              <w:autoSpaceDE w:val="0"/>
              <w:autoSpaceDN w:val="0"/>
              <w:adjustRightInd w:val="0"/>
              <w:spacing w:line="480" w:lineRule="auto"/>
              <w:jc w:val="both"/>
              <w:rPr>
                <w:rFonts w:ascii="Arial" w:hAnsi="Arial" w:cs="Arial"/>
                <w:b w:val="0"/>
                <w:bCs w:val="0"/>
              </w:rPr>
            </w:pPr>
            <w:r w:rsidRPr="00C43975">
              <w:rPr>
                <w:rFonts w:ascii="Arial" w:hAnsi="Arial" w:cs="Arial"/>
                <w:b w:val="0"/>
                <w:color w:val="000000"/>
              </w:rPr>
              <w:t>Amphotericin B n(%)</w:t>
            </w:r>
          </w:p>
        </w:tc>
        <w:tc>
          <w:tcPr>
            <w:tcW w:w="1418" w:type="dxa"/>
            <w:tcBorders>
              <w:top w:val="nil"/>
            </w:tcBorders>
          </w:tcPr>
          <w:p w14:paraId="428148C3"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color w:val="000000"/>
              </w:rPr>
              <w:t>146 (27.4)</w:t>
            </w:r>
          </w:p>
        </w:tc>
        <w:tc>
          <w:tcPr>
            <w:tcW w:w="1276" w:type="dxa"/>
            <w:tcBorders>
              <w:top w:val="nil"/>
            </w:tcBorders>
          </w:tcPr>
          <w:p w14:paraId="74D13D99"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bCs/>
              </w:rPr>
              <w:t>61 (33.5)</w:t>
            </w:r>
          </w:p>
        </w:tc>
        <w:tc>
          <w:tcPr>
            <w:tcW w:w="1275" w:type="dxa"/>
            <w:gridSpan w:val="2"/>
            <w:tcBorders>
              <w:top w:val="nil"/>
            </w:tcBorders>
          </w:tcPr>
          <w:p w14:paraId="1A3511D7"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color w:val="000000"/>
              </w:rPr>
              <w:t>21 (26.2)</w:t>
            </w:r>
          </w:p>
        </w:tc>
        <w:tc>
          <w:tcPr>
            <w:tcW w:w="1418" w:type="dxa"/>
            <w:gridSpan w:val="2"/>
            <w:tcBorders>
              <w:top w:val="nil"/>
            </w:tcBorders>
          </w:tcPr>
          <w:p w14:paraId="00FA374E"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bCs/>
              </w:rPr>
              <w:t>0</w:t>
            </w:r>
          </w:p>
        </w:tc>
        <w:tc>
          <w:tcPr>
            <w:tcW w:w="1134" w:type="dxa"/>
            <w:tcBorders>
              <w:top w:val="nil"/>
            </w:tcBorders>
          </w:tcPr>
          <w:p w14:paraId="1A2868C8"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color w:val="000000"/>
              </w:rPr>
              <w:t>31 (23.8)</w:t>
            </w:r>
          </w:p>
        </w:tc>
        <w:tc>
          <w:tcPr>
            <w:tcW w:w="1559" w:type="dxa"/>
            <w:gridSpan w:val="2"/>
          </w:tcPr>
          <w:p w14:paraId="1B48720A"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bCs/>
              </w:rPr>
              <w:t>12 (27.3)</w:t>
            </w:r>
          </w:p>
        </w:tc>
      </w:tr>
      <w:tr w:rsidR="00EC3651" w:rsidRPr="00C43975" w14:paraId="5368010C" w14:textId="77777777" w:rsidTr="00515F47">
        <w:tc>
          <w:tcPr>
            <w:cnfStyle w:val="001000000000" w:firstRow="0" w:lastRow="0" w:firstColumn="1" w:lastColumn="0" w:oddVBand="0" w:evenVBand="0" w:oddHBand="0" w:evenHBand="0" w:firstRowFirstColumn="0" w:firstRowLastColumn="0" w:lastRowFirstColumn="0" w:lastRowLastColumn="0"/>
            <w:tcW w:w="2977" w:type="dxa"/>
          </w:tcPr>
          <w:p w14:paraId="00D87CC9" w14:textId="77777777" w:rsidR="00EC3651" w:rsidRPr="00C43975" w:rsidRDefault="00EC3651" w:rsidP="00515F47">
            <w:pPr>
              <w:autoSpaceDE w:val="0"/>
              <w:autoSpaceDN w:val="0"/>
              <w:adjustRightInd w:val="0"/>
              <w:spacing w:line="480" w:lineRule="auto"/>
              <w:jc w:val="both"/>
              <w:rPr>
                <w:rFonts w:ascii="Arial" w:hAnsi="Arial" w:cs="Arial"/>
                <w:b w:val="0"/>
                <w:bCs w:val="0"/>
              </w:rPr>
            </w:pPr>
            <w:r w:rsidRPr="00C43975">
              <w:rPr>
                <w:rFonts w:ascii="Arial" w:hAnsi="Arial" w:cs="Arial"/>
                <w:b w:val="0"/>
                <w:color w:val="000000"/>
              </w:rPr>
              <w:t>Fluconazole n(%)</w:t>
            </w:r>
          </w:p>
        </w:tc>
        <w:tc>
          <w:tcPr>
            <w:tcW w:w="1418" w:type="dxa"/>
          </w:tcPr>
          <w:p w14:paraId="0C37C8D8"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C43975">
              <w:rPr>
                <w:rFonts w:ascii="Arial" w:hAnsi="Arial" w:cs="Arial"/>
                <w:bCs/>
              </w:rPr>
              <w:t>243 (45.1)</w:t>
            </w:r>
          </w:p>
        </w:tc>
        <w:tc>
          <w:tcPr>
            <w:tcW w:w="1276" w:type="dxa"/>
          </w:tcPr>
          <w:p w14:paraId="5320C52F"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C43975">
              <w:rPr>
                <w:rFonts w:ascii="Arial" w:hAnsi="Arial" w:cs="Arial"/>
                <w:bCs/>
              </w:rPr>
              <w:t>42 (23.1)</w:t>
            </w:r>
          </w:p>
        </w:tc>
        <w:tc>
          <w:tcPr>
            <w:tcW w:w="1275" w:type="dxa"/>
            <w:gridSpan w:val="2"/>
          </w:tcPr>
          <w:p w14:paraId="2B3982B1"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C43975">
              <w:rPr>
                <w:rFonts w:ascii="Arial" w:hAnsi="Arial" w:cs="Arial"/>
                <w:bCs/>
              </w:rPr>
              <w:t>28 (35.0)</w:t>
            </w:r>
          </w:p>
        </w:tc>
        <w:tc>
          <w:tcPr>
            <w:tcW w:w="1276" w:type="dxa"/>
          </w:tcPr>
          <w:p w14:paraId="58577D97"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C43975">
              <w:rPr>
                <w:rFonts w:ascii="Arial" w:hAnsi="Arial" w:cs="Arial"/>
                <w:bCs/>
              </w:rPr>
              <w:t>72 (94.7)</w:t>
            </w:r>
          </w:p>
        </w:tc>
        <w:tc>
          <w:tcPr>
            <w:tcW w:w="1276" w:type="dxa"/>
            <w:gridSpan w:val="2"/>
          </w:tcPr>
          <w:p w14:paraId="2F79FA06"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C43975">
              <w:rPr>
                <w:rFonts w:ascii="Arial" w:hAnsi="Arial" w:cs="Arial"/>
                <w:bCs/>
              </w:rPr>
              <w:t>77 (59.2)</w:t>
            </w:r>
          </w:p>
        </w:tc>
        <w:tc>
          <w:tcPr>
            <w:tcW w:w="1559" w:type="dxa"/>
            <w:gridSpan w:val="2"/>
          </w:tcPr>
          <w:p w14:paraId="75798ECB"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C43975">
              <w:rPr>
                <w:rFonts w:ascii="Arial" w:hAnsi="Arial" w:cs="Arial"/>
                <w:bCs/>
              </w:rPr>
              <w:t>16 (36.4)</w:t>
            </w:r>
          </w:p>
        </w:tc>
      </w:tr>
      <w:tr w:rsidR="00EC3651" w:rsidRPr="00C43975" w14:paraId="6548EDAC" w14:textId="77777777" w:rsidTr="00515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57FD1A93" w14:textId="77777777" w:rsidR="00EC3651" w:rsidRPr="00C43975" w:rsidRDefault="00EC3651" w:rsidP="00515F47">
            <w:pPr>
              <w:autoSpaceDE w:val="0"/>
              <w:autoSpaceDN w:val="0"/>
              <w:adjustRightInd w:val="0"/>
              <w:spacing w:line="480" w:lineRule="auto"/>
              <w:jc w:val="both"/>
              <w:rPr>
                <w:rFonts w:ascii="Arial" w:hAnsi="Arial" w:cs="Arial"/>
                <w:b w:val="0"/>
                <w:color w:val="000000"/>
              </w:rPr>
            </w:pPr>
            <w:r w:rsidRPr="00C43975">
              <w:rPr>
                <w:rFonts w:ascii="Arial" w:hAnsi="Arial" w:cs="Arial"/>
                <w:b w:val="0"/>
                <w:bCs w:val="0"/>
                <w:color w:val="000000"/>
              </w:rPr>
              <w:t>Mould active triazoles</w:t>
            </w:r>
            <w:r w:rsidRPr="00C43975">
              <w:rPr>
                <w:rFonts w:ascii="Arial" w:hAnsi="Arial" w:cs="Arial"/>
                <w:b w:val="0"/>
                <w:color w:val="000000"/>
              </w:rPr>
              <w:t xml:space="preserve"> n(%)</w:t>
            </w:r>
          </w:p>
        </w:tc>
        <w:tc>
          <w:tcPr>
            <w:tcW w:w="1418" w:type="dxa"/>
          </w:tcPr>
          <w:p w14:paraId="23F164DA"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bCs/>
              </w:rPr>
              <w:t>96 (17.9)</w:t>
            </w:r>
          </w:p>
        </w:tc>
        <w:tc>
          <w:tcPr>
            <w:tcW w:w="1276" w:type="dxa"/>
          </w:tcPr>
          <w:p w14:paraId="7EB6C4CD"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bCs/>
              </w:rPr>
              <w:t>26 (14.3)</w:t>
            </w:r>
          </w:p>
        </w:tc>
        <w:tc>
          <w:tcPr>
            <w:tcW w:w="1275" w:type="dxa"/>
            <w:gridSpan w:val="2"/>
          </w:tcPr>
          <w:p w14:paraId="44A8E2DC"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bCs/>
              </w:rPr>
              <w:t>15 (18.7)</w:t>
            </w:r>
          </w:p>
        </w:tc>
        <w:tc>
          <w:tcPr>
            <w:tcW w:w="1418" w:type="dxa"/>
            <w:gridSpan w:val="2"/>
          </w:tcPr>
          <w:p w14:paraId="1E13EB77"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bCs/>
              </w:rPr>
              <w:t>4 (5.5)</w:t>
            </w:r>
          </w:p>
        </w:tc>
        <w:tc>
          <w:tcPr>
            <w:tcW w:w="1134" w:type="dxa"/>
          </w:tcPr>
          <w:p w14:paraId="7D3CEA07"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bCs/>
              </w:rPr>
              <w:t>9 (6.9)</w:t>
            </w:r>
          </w:p>
        </w:tc>
        <w:tc>
          <w:tcPr>
            <w:tcW w:w="1559" w:type="dxa"/>
            <w:gridSpan w:val="2"/>
          </w:tcPr>
          <w:p w14:paraId="24EAF86B"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bCs/>
              </w:rPr>
              <w:t>11 (25.0)</w:t>
            </w:r>
          </w:p>
        </w:tc>
      </w:tr>
      <w:tr w:rsidR="00EC3651" w:rsidRPr="00C43975" w14:paraId="589BD036" w14:textId="77777777" w:rsidTr="00515F47">
        <w:tc>
          <w:tcPr>
            <w:cnfStyle w:val="001000000000" w:firstRow="0" w:lastRow="0" w:firstColumn="1" w:lastColumn="0" w:oddVBand="0" w:evenVBand="0" w:oddHBand="0" w:evenHBand="0" w:firstRowFirstColumn="0" w:firstRowLastColumn="0" w:lastRowFirstColumn="0" w:lastRowLastColumn="0"/>
            <w:tcW w:w="2977" w:type="dxa"/>
          </w:tcPr>
          <w:p w14:paraId="39D2C04B" w14:textId="77777777" w:rsidR="00EC3651" w:rsidRPr="00C43975" w:rsidRDefault="00EC3651" w:rsidP="00515F47">
            <w:pPr>
              <w:autoSpaceDE w:val="0"/>
              <w:autoSpaceDN w:val="0"/>
              <w:adjustRightInd w:val="0"/>
              <w:spacing w:line="480" w:lineRule="auto"/>
              <w:jc w:val="center"/>
              <w:rPr>
                <w:rFonts w:ascii="Arial" w:hAnsi="Arial" w:cs="Arial"/>
                <w:b w:val="0"/>
                <w:bCs w:val="0"/>
                <w:i/>
              </w:rPr>
            </w:pPr>
            <w:r w:rsidRPr="00C43975">
              <w:rPr>
                <w:rFonts w:ascii="Arial" w:hAnsi="Arial" w:cs="Arial"/>
                <w:b w:val="0"/>
                <w:i/>
                <w:color w:val="000000"/>
              </w:rPr>
              <w:t>Voriconazole</w:t>
            </w:r>
          </w:p>
        </w:tc>
        <w:tc>
          <w:tcPr>
            <w:tcW w:w="1418" w:type="dxa"/>
          </w:tcPr>
          <w:p w14:paraId="6527CACC" w14:textId="77777777" w:rsidR="00EC3651" w:rsidRPr="00C43975" w:rsidRDefault="00EC3651" w:rsidP="00515F47">
            <w:pPr>
              <w:autoSpaceDE w:val="0"/>
              <w:autoSpaceDN w:val="0"/>
              <w:adjustRightInd w:val="0"/>
              <w:spacing w:line="480" w:lineRule="auto"/>
              <w:ind w:left="113"/>
              <w:jc w:val="center"/>
              <w:cnfStyle w:val="000000000000" w:firstRow="0" w:lastRow="0" w:firstColumn="0" w:lastColumn="0" w:oddVBand="0" w:evenVBand="0" w:oddHBand="0" w:evenHBand="0" w:firstRowFirstColumn="0" w:firstRowLastColumn="0" w:lastRowFirstColumn="0" w:lastRowLastColumn="0"/>
              <w:rPr>
                <w:rFonts w:ascii="Arial" w:hAnsi="Arial" w:cs="Arial"/>
                <w:bCs/>
                <w:i/>
              </w:rPr>
            </w:pPr>
            <w:r w:rsidRPr="00C43975">
              <w:rPr>
                <w:rFonts w:ascii="Arial" w:hAnsi="Arial" w:cs="Arial"/>
                <w:bCs/>
                <w:i/>
              </w:rPr>
              <w:t>38 (7.1)</w:t>
            </w:r>
          </w:p>
        </w:tc>
        <w:tc>
          <w:tcPr>
            <w:tcW w:w="1276" w:type="dxa"/>
          </w:tcPr>
          <w:p w14:paraId="429BCDE0" w14:textId="77777777" w:rsidR="00EC3651" w:rsidRPr="00C43975" w:rsidRDefault="00EC3651" w:rsidP="00515F47">
            <w:pPr>
              <w:autoSpaceDE w:val="0"/>
              <w:autoSpaceDN w:val="0"/>
              <w:adjustRightInd w:val="0"/>
              <w:spacing w:line="480" w:lineRule="auto"/>
              <w:ind w:left="113"/>
              <w:jc w:val="center"/>
              <w:cnfStyle w:val="000000000000" w:firstRow="0" w:lastRow="0" w:firstColumn="0" w:lastColumn="0" w:oddVBand="0" w:evenVBand="0" w:oddHBand="0" w:evenHBand="0" w:firstRowFirstColumn="0" w:firstRowLastColumn="0" w:lastRowFirstColumn="0" w:lastRowLastColumn="0"/>
              <w:rPr>
                <w:rFonts w:ascii="Arial" w:hAnsi="Arial" w:cs="Arial"/>
                <w:bCs/>
                <w:i/>
              </w:rPr>
            </w:pPr>
            <w:r w:rsidRPr="00C43975">
              <w:rPr>
                <w:rFonts w:ascii="Arial" w:hAnsi="Arial" w:cs="Arial"/>
                <w:bCs/>
                <w:i/>
              </w:rPr>
              <w:t>10 (5.5)</w:t>
            </w:r>
          </w:p>
        </w:tc>
        <w:tc>
          <w:tcPr>
            <w:tcW w:w="1275" w:type="dxa"/>
            <w:gridSpan w:val="2"/>
          </w:tcPr>
          <w:p w14:paraId="6E35D513" w14:textId="77777777" w:rsidR="00EC3651" w:rsidRPr="00C43975" w:rsidRDefault="00EC3651" w:rsidP="00515F47">
            <w:pPr>
              <w:autoSpaceDE w:val="0"/>
              <w:autoSpaceDN w:val="0"/>
              <w:adjustRightInd w:val="0"/>
              <w:spacing w:line="480" w:lineRule="auto"/>
              <w:ind w:left="113"/>
              <w:jc w:val="center"/>
              <w:cnfStyle w:val="000000000000" w:firstRow="0" w:lastRow="0" w:firstColumn="0" w:lastColumn="0" w:oddVBand="0" w:evenVBand="0" w:oddHBand="0" w:evenHBand="0" w:firstRowFirstColumn="0" w:firstRowLastColumn="0" w:lastRowFirstColumn="0" w:lastRowLastColumn="0"/>
              <w:rPr>
                <w:rFonts w:ascii="Arial" w:hAnsi="Arial" w:cs="Arial"/>
                <w:bCs/>
                <w:i/>
              </w:rPr>
            </w:pPr>
            <w:r w:rsidRPr="00C43975">
              <w:rPr>
                <w:rFonts w:ascii="Arial" w:hAnsi="Arial" w:cs="Arial"/>
                <w:bCs/>
                <w:i/>
              </w:rPr>
              <w:t>11 (13.7)</w:t>
            </w:r>
          </w:p>
        </w:tc>
        <w:tc>
          <w:tcPr>
            <w:tcW w:w="1276" w:type="dxa"/>
          </w:tcPr>
          <w:p w14:paraId="223C3DC7" w14:textId="77777777" w:rsidR="00EC3651" w:rsidRPr="00C43975" w:rsidRDefault="00EC3651" w:rsidP="00515F47">
            <w:pPr>
              <w:autoSpaceDE w:val="0"/>
              <w:autoSpaceDN w:val="0"/>
              <w:adjustRightInd w:val="0"/>
              <w:spacing w:line="480" w:lineRule="auto"/>
              <w:ind w:left="113"/>
              <w:jc w:val="center"/>
              <w:cnfStyle w:val="000000000000" w:firstRow="0" w:lastRow="0" w:firstColumn="0" w:lastColumn="0" w:oddVBand="0" w:evenVBand="0" w:oddHBand="0" w:evenHBand="0" w:firstRowFirstColumn="0" w:firstRowLastColumn="0" w:lastRowFirstColumn="0" w:lastRowLastColumn="0"/>
              <w:rPr>
                <w:rFonts w:ascii="Arial" w:hAnsi="Arial" w:cs="Arial"/>
                <w:bCs/>
                <w:i/>
              </w:rPr>
            </w:pPr>
            <w:r w:rsidRPr="00C43975">
              <w:rPr>
                <w:rFonts w:ascii="Arial" w:hAnsi="Arial" w:cs="Arial"/>
                <w:bCs/>
                <w:i/>
              </w:rPr>
              <w:t>0</w:t>
            </w:r>
          </w:p>
        </w:tc>
        <w:tc>
          <w:tcPr>
            <w:tcW w:w="1276" w:type="dxa"/>
            <w:gridSpan w:val="2"/>
          </w:tcPr>
          <w:p w14:paraId="7C1AC924" w14:textId="77777777" w:rsidR="00EC3651" w:rsidRPr="00C43975" w:rsidRDefault="00EC3651" w:rsidP="00515F47">
            <w:pPr>
              <w:autoSpaceDE w:val="0"/>
              <w:autoSpaceDN w:val="0"/>
              <w:adjustRightInd w:val="0"/>
              <w:spacing w:line="480" w:lineRule="auto"/>
              <w:ind w:left="113"/>
              <w:jc w:val="center"/>
              <w:cnfStyle w:val="000000000000" w:firstRow="0" w:lastRow="0" w:firstColumn="0" w:lastColumn="0" w:oddVBand="0" w:evenVBand="0" w:oddHBand="0" w:evenHBand="0" w:firstRowFirstColumn="0" w:firstRowLastColumn="0" w:lastRowFirstColumn="0" w:lastRowLastColumn="0"/>
              <w:rPr>
                <w:rFonts w:ascii="Arial" w:hAnsi="Arial" w:cs="Arial"/>
                <w:bCs/>
                <w:i/>
              </w:rPr>
            </w:pPr>
            <w:r w:rsidRPr="00C43975">
              <w:rPr>
                <w:rFonts w:ascii="Arial" w:hAnsi="Arial" w:cs="Arial"/>
                <w:bCs/>
                <w:i/>
              </w:rPr>
              <w:t>9 (6.9)</w:t>
            </w:r>
          </w:p>
        </w:tc>
        <w:tc>
          <w:tcPr>
            <w:tcW w:w="1559" w:type="dxa"/>
            <w:gridSpan w:val="2"/>
          </w:tcPr>
          <w:p w14:paraId="2AA35FB8" w14:textId="77777777" w:rsidR="00EC3651" w:rsidRPr="00C43975" w:rsidRDefault="00EC3651" w:rsidP="00515F47">
            <w:pPr>
              <w:autoSpaceDE w:val="0"/>
              <w:autoSpaceDN w:val="0"/>
              <w:adjustRightInd w:val="0"/>
              <w:spacing w:line="480" w:lineRule="auto"/>
              <w:ind w:left="113"/>
              <w:jc w:val="center"/>
              <w:cnfStyle w:val="000000000000" w:firstRow="0" w:lastRow="0" w:firstColumn="0" w:lastColumn="0" w:oddVBand="0" w:evenVBand="0" w:oddHBand="0" w:evenHBand="0" w:firstRowFirstColumn="0" w:firstRowLastColumn="0" w:lastRowFirstColumn="0" w:lastRowLastColumn="0"/>
              <w:rPr>
                <w:rFonts w:ascii="Arial" w:hAnsi="Arial" w:cs="Arial"/>
                <w:bCs/>
                <w:i/>
              </w:rPr>
            </w:pPr>
            <w:r w:rsidRPr="00C43975">
              <w:rPr>
                <w:rFonts w:ascii="Arial" w:hAnsi="Arial" w:cs="Arial"/>
                <w:bCs/>
                <w:i/>
              </w:rPr>
              <w:t>7 (15.9)</w:t>
            </w:r>
          </w:p>
        </w:tc>
      </w:tr>
      <w:tr w:rsidR="00EC3651" w:rsidRPr="00C43975" w14:paraId="0F2C694E" w14:textId="77777777" w:rsidTr="00515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6C8F948F" w14:textId="77777777" w:rsidR="00EC3651" w:rsidRPr="00C43975" w:rsidRDefault="00EC3651" w:rsidP="00515F47">
            <w:pPr>
              <w:autoSpaceDE w:val="0"/>
              <w:autoSpaceDN w:val="0"/>
              <w:adjustRightInd w:val="0"/>
              <w:spacing w:line="480" w:lineRule="auto"/>
              <w:jc w:val="center"/>
              <w:rPr>
                <w:rFonts w:ascii="Arial" w:hAnsi="Arial" w:cs="Arial"/>
                <w:b w:val="0"/>
                <w:bCs w:val="0"/>
                <w:i/>
              </w:rPr>
            </w:pPr>
            <w:proofErr w:type="spellStart"/>
            <w:r w:rsidRPr="00C43975">
              <w:rPr>
                <w:rFonts w:ascii="Arial" w:hAnsi="Arial" w:cs="Arial"/>
                <w:b w:val="0"/>
                <w:i/>
                <w:color w:val="000000"/>
              </w:rPr>
              <w:t>Posaconazole</w:t>
            </w:r>
            <w:proofErr w:type="spellEnd"/>
          </w:p>
        </w:tc>
        <w:tc>
          <w:tcPr>
            <w:tcW w:w="1418" w:type="dxa"/>
          </w:tcPr>
          <w:p w14:paraId="5B433632" w14:textId="77777777" w:rsidR="00EC3651" w:rsidRPr="00C43975" w:rsidRDefault="00EC3651" w:rsidP="00515F47">
            <w:pPr>
              <w:autoSpaceDE w:val="0"/>
              <w:autoSpaceDN w:val="0"/>
              <w:adjustRightInd w:val="0"/>
              <w:spacing w:line="480" w:lineRule="auto"/>
              <w:ind w:left="113"/>
              <w:jc w:val="center"/>
              <w:cnfStyle w:val="000000100000" w:firstRow="0" w:lastRow="0" w:firstColumn="0" w:lastColumn="0" w:oddVBand="0" w:evenVBand="0" w:oddHBand="1" w:evenHBand="0" w:firstRowFirstColumn="0" w:firstRowLastColumn="0" w:lastRowFirstColumn="0" w:lastRowLastColumn="0"/>
              <w:rPr>
                <w:rFonts w:ascii="Arial" w:hAnsi="Arial" w:cs="Arial"/>
                <w:bCs/>
                <w:i/>
              </w:rPr>
            </w:pPr>
            <w:r w:rsidRPr="00C43975">
              <w:rPr>
                <w:rFonts w:ascii="Arial" w:hAnsi="Arial" w:cs="Arial"/>
                <w:bCs/>
                <w:i/>
              </w:rPr>
              <w:t>19 (3.5)</w:t>
            </w:r>
          </w:p>
        </w:tc>
        <w:tc>
          <w:tcPr>
            <w:tcW w:w="1276" w:type="dxa"/>
          </w:tcPr>
          <w:p w14:paraId="3C830CEF" w14:textId="77777777" w:rsidR="00EC3651" w:rsidRPr="00C43975" w:rsidRDefault="00EC3651" w:rsidP="00515F47">
            <w:pPr>
              <w:autoSpaceDE w:val="0"/>
              <w:autoSpaceDN w:val="0"/>
              <w:adjustRightInd w:val="0"/>
              <w:spacing w:line="480" w:lineRule="auto"/>
              <w:ind w:left="113"/>
              <w:jc w:val="center"/>
              <w:cnfStyle w:val="000000100000" w:firstRow="0" w:lastRow="0" w:firstColumn="0" w:lastColumn="0" w:oddVBand="0" w:evenVBand="0" w:oddHBand="1" w:evenHBand="0" w:firstRowFirstColumn="0" w:firstRowLastColumn="0" w:lastRowFirstColumn="0" w:lastRowLastColumn="0"/>
              <w:rPr>
                <w:rFonts w:ascii="Arial" w:hAnsi="Arial" w:cs="Arial"/>
                <w:bCs/>
                <w:i/>
              </w:rPr>
            </w:pPr>
            <w:r w:rsidRPr="00C43975">
              <w:rPr>
                <w:rFonts w:ascii="Arial" w:hAnsi="Arial" w:cs="Arial"/>
                <w:bCs/>
                <w:i/>
              </w:rPr>
              <w:t>10 (5.5)</w:t>
            </w:r>
          </w:p>
        </w:tc>
        <w:tc>
          <w:tcPr>
            <w:tcW w:w="1275" w:type="dxa"/>
            <w:gridSpan w:val="2"/>
          </w:tcPr>
          <w:p w14:paraId="0A93EE77" w14:textId="77777777" w:rsidR="00EC3651" w:rsidRPr="00C43975" w:rsidRDefault="00EC3651" w:rsidP="00515F47">
            <w:pPr>
              <w:autoSpaceDE w:val="0"/>
              <w:autoSpaceDN w:val="0"/>
              <w:adjustRightInd w:val="0"/>
              <w:spacing w:line="480" w:lineRule="auto"/>
              <w:ind w:left="113"/>
              <w:jc w:val="center"/>
              <w:cnfStyle w:val="000000100000" w:firstRow="0" w:lastRow="0" w:firstColumn="0" w:lastColumn="0" w:oddVBand="0" w:evenVBand="0" w:oddHBand="1" w:evenHBand="0" w:firstRowFirstColumn="0" w:firstRowLastColumn="0" w:lastRowFirstColumn="0" w:lastRowLastColumn="0"/>
              <w:rPr>
                <w:rFonts w:ascii="Arial" w:hAnsi="Arial" w:cs="Arial"/>
                <w:bCs/>
                <w:i/>
              </w:rPr>
            </w:pPr>
            <w:r w:rsidRPr="00C43975">
              <w:rPr>
                <w:rFonts w:ascii="Arial" w:hAnsi="Arial" w:cs="Arial"/>
                <w:bCs/>
                <w:i/>
              </w:rPr>
              <w:t>2 (2.5)</w:t>
            </w:r>
          </w:p>
        </w:tc>
        <w:tc>
          <w:tcPr>
            <w:tcW w:w="1418" w:type="dxa"/>
            <w:gridSpan w:val="2"/>
          </w:tcPr>
          <w:p w14:paraId="68300333" w14:textId="77777777" w:rsidR="00EC3651" w:rsidRPr="00C43975" w:rsidRDefault="00EC3651" w:rsidP="00515F47">
            <w:pPr>
              <w:autoSpaceDE w:val="0"/>
              <w:autoSpaceDN w:val="0"/>
              <w:adjustRightInd w:val="0"/>
              <w:spacing w:line="480" w:lineRule="auto"/>
              <w:ind w:left="113"/>
              <w:jc w:val="center"/>
              <w:cnfStyle w:val="000000100000" w:firstRow="0" w:lastRow="0" w:firstColumn="0" w:lastColumn="0" w:oddVBand="0" w:evenVBand="0" w:oddHBand="1" w:evenHBand="0" w:firstRowFirstColumn="0" w:firstRowLastColumn="0" w:lastRowFirstColumn="0" w:lastRowLastColumn="0"/>
              <w:rPr>
                <w:rFonts w:ascii="Arial" w:hAnsi="Arial" w:cs="Arial"/>
                <w:bCs/>
                <w:i/>
              </w:rPr>
            </w:pPr>
            <w:r w:rsidRPr="00C43975">
              <w:rPr>
                <w:rFonts w:ascii="Arial" w:hAnsi="Arial" w:cs="Arial"/>
                <w:bCs/>
                <w:i/>
              </w:rPr>
              <w:t>2 (2.6)</w:t>
            </w:r>
          </w:p>
        </w:tc>
        <w:tc>
          <w:tcPr>
            <w:tcW w:w="1134" w:type="dxa"/>
          </w:tcPr>
          <w:p w14:paraId="14F7AFAB" w14:textId="77777777" w:rsidR="00EC3651" w:rsidRPr="00C43975" w:rsidRDefault="00EC3651" w:rsidP="00515F47">
            <w:pPr>
              <w:autoSpaceDE w:val="0"/>
              <w:autoSpaceDN w:val="0"/>
              <w:adjustRightInd w:val="0"/>
              <w:spacing w:line="480" w:lineRule="auto"/>
              <w:ind w:left="113"/>
              <w:jc w:val="center"/>
              <w:cnfStyle w:val="000000100000" w:firstRow="0" w:lastRow="0" w:firstColumn="0" w:lastColumn="0" w:oddVBand="0" w:evenVBand="0" w:oddHBand="1" w:evenHBand="0" w:firstRowFirstColumn="0" w:firstRowLastColumn="0" w:lastRowFirstColumn="0" w:lastRowLastColumn="0"/>
              <w:rPr>
                <w:rFonts w:ascii="Arial" w:hAnsi="Arial" w:cs="Arial"/>
                <w:bCs/>
                <w:i/>
              </w:rPr>
            </w:pPr>
            <w:r w:rsidRPr="00C43975">
              <w:rPr>
                <w:rFonts w:ascii="Arial" w:hAnsi="Arial" w:cs="Arial"/>
                <w:bCs/>
                <w:i/>
              </w:rPr>
              <w:t>0</w:t>
            </w:r>
          </w:p>
        </w:tc>
        <w:tc>
          <w:tcPr>
            <w:tcW w:w="1559" w:type="dxa"/>
            <w:gridSpan w:val="2"/>
          </w:tcPr>
          <w:p w14:paraId="7D1AFB6C" w14:textId="77777777" w:rsidR="00EC3651" w:rsidRPr="00C43975" w:rsidRDefault="00EC3651" w:rsidP="00515F47">
            <w:pPr>
              <w:autoSpaceDE w:val="0"/>
              <w:autoSpaceDN w:val="0"/>
              <w:adjustRightInd w:val="0"/>
              <w:spacing w:line="480" w:lineRule="auto"/>
              <w:ind w:left="113"/>
              <w:jc w:val="center"/>
              <w:cnfStyle w:val="000000100000" w:firstRow="0" w:lastRow="0" w:firstColumn="0" w:lastColumn="0" w:oddVBand="0" w:evenVBand="0" w:oddHBand="1" w:evenHBand="0" w:firstRowFirstColumn="0" w:firstRowLastColumn="0" w:lastRowFirstColumn="0" w:lastRowLastColumn="0"/>
              <w:rPr>
                <w:rFonts w:ascii="Arial" w:hAnsi="Arial" w:cs="Arial"/>
                <w:bCs/>
                <w:i/>
              </w:rPr>
            </w:pPr>
            <w:r w:rsidRPr="00C43975">
              <w:rPr>
                <w:rFonts w:ascii="Arial" w:hAnsi="Arial" w:cs="Arial"/>
                <w:bCs/>
                <w:i/>
              </w:rPr>
              <w:t>4 (9.1)</w:t>
            </w:r>
          </w:p>
        </w:tc>
      </w:tr>
      <w:tr w:rsidR="00EC3651" w:rsidRPr="00C43975" w14:paraId="1A2ED18D" w14:textId="77777777" w:rsidTr="00515F47">
        <w:tc>
          <w:tcPr>
            <w:cnfStyle w:val="001000000000" w:firstRow="0" w:lastRow="0" w:firstColumn="1" w:lastColumn="0" w:oddVBand="0" w:evenVBand="0" w:oddHBand="0" w:evenHBand="0" w:firstRowFirstColumn="0" w:firstRowLastColumn="0" w:lastRowFirstColumn="0" w:lastRowLastColumn="0"/>
            <w:tcW w:w="2977" w:type="dxa"/>
          </w:tcPr>
          <w:p w14:paraId="35D08D9C" w14:textId="77777777" w:rsidR="00EC3651" w:rsidRPr="00C43975" w:rsidRDefault="00EC3651" w:rsidP="00515F47">
            <w:pPr>
              <w:autoSpaceDE w:val="0"/>
              <w:autoSpaceDN w:val="0"/>
              <w:adjustRightInd w:val="0"/>
              <w:spacing w:line="480" w:lineRule="auto"/>
              <w:jc w:val="center"/>
              <w:rPr>
                <w:rFonts w:ascii="Arial" w:hAnsi="Arial" w:cs="Arial"/>
                <w:b w:val="0"/>
                <w:bCs w:val="0"/>
                <w:i/>
              </w:rPr>
            </w:pPr>
            <w:r w:rsidRPr="00C43975">
              <w:rPr>
                <w:rFonts w:ascii="Arial" w:hAnsi="Arial" w:cs="Arial"/>
                <w:b w:val="0"/>
                <w:i/>
                <w:color w:val="000000"/>
              </w:rPr>
              <w:t>Itraconazole</w:t>
            </w:r>
          </w:p>
        </w:tc>
        <w:tc>
          <w:tcPr>
            <w:tcW w:w="1418" w:type="dxa"/>
          </w:tcPr>
          <w:p w14:paraId="1CD55CF6" w14:textId="77777777" w:rsidR="00EC3651" w:rsidRPr="00C43975" w:rsidRDefault="00EC3651" w:rsidP="00515F47">
            <w:pPr>
              <w:autoSpaceDE w:val="0"/>
              <w:autoSpaceDN w:val="0"/>
              <w:adjustRightInd w:val="0"/>
              <w:spacing w:line="480" w:lineRule="auto"/>
              <w:ind w:left="113"/>
              <w:jc w:val="center"/>
              <w:cnfStyle w:val="000000000000" w:firstRow="0" w:lastRow="0" w:firstColumn="0" w:lastColumn="0" w:oddVBand="0" w:evenVBand="0" w:oddHBand="0" w:evenHBand="0" w:firstRowFirstColumn="0" w:firstRowLastColumn="0" w:lastRowFirstColumn="0" w:lastRowLastColumn="0"/>
              <w:rPr>
                <w:rFonts w:ascii="Arial" w:hAnsi="Arial" w:cs="Arial"/>
                <w:bCs/>
                <w:i/>
              </w:rPr>
            </w:pPr>
            <w:r w:rsidRPr="00C43975">
              <w:rPr>
                <w:rFonts w:ascii="Arial" w:hAnsi="Arial" w:cs="Arial"/>
                <w:bCs/>
                <w:i/>
              </w:rPr>
              <w:t>39 (7.3)</w:t>
            </w:r>
          </w:p>
        </w:tc>
        <w:tc>
          <w:tcPr>
            <w:tcW w:w="1276" w:type="dxa"/>
          </w:tcPr>
          <w:p w14:paraId="405C0130" w14:textId="77777777" w:rsidR="00EC3651" w:rsidRPr="00C43975" w:rsidRDefault="00EC3651" w:rsidP="00515F47">
            <w:pPr>
              <w:autoSpaceDE w:val="0"/>
              <w:autoSpaceDN w:val="0"/>
              <w:adjustRightInd w:val="0"/>
              <w:spacing w:line="480" w:lineRule="auto"/>
              <w:ind w:left="113"/>
              <w:jc w:val="center"/>
              <w:cnfStyle w:val="000000000000" w:firstRow="0" w:lastRow="0" w:firstColumn="0" w:lastColumn="0" w:oddVBand="0" w:evenVBand="0" w:oddHBand="0" w:evenHBand="0" w:firstRowFirstColumn="0" w:firstRowLastColumn="0" w:lastRowFirstColumn="0" w:lastRowLastColumn="0"/>
              <w:rPr>
                <w:rFonts w:ascii="Arial" w:hAnsi="Arial" w:cs="Arial"/>
                <w:bCs/>
                <w:i/>
              </w:rPr>
            </w:pPr>
            <w:r w:rsidRPr="00C43975">
              <w:rPr>
                <w:rFonts w:ascii="Arial" w:hAnsi="Arial" w:cs="Arial"/>
                <w:bCs/>
                <w:i/>
              </w:rPr>
              <w:t>6 (3.3)</w:t>
            </w:r>
          </w:p>
        </w:tc>
        <w:tc>
          <w:tcPr>
            <w:tcW w:w="1275" w:type="dxa"/>
            <w:gridSpan w:val="2"/>
          </w:tcPr>
          <w:p w14:paraId="24A674A4" w14:textId="77777777" w:rsidR="00EC3651" w:rsidRPr="00C43975" w:rsidRDefault="00EC3651" w:rsidP="00515F47">
            <w:pPr>
              <w:autoSpaceDE w:val="0"/>
              <w:autoSpaceDN w:val="0"/>
              <w:adjustRightInd w:val="0"/>
              <w:spacing w:line="480" w:lineRule="auto"/>
              <w:ind w:left="113"/>
              <w:jc w:val="center"/>
              <w:cnfStyle w:val="000000000000" w:firstRow="0" w:lastRow="0" w:firstColumn="0" w:lastColumn="0" w:oddVBand="0" w:evenVBand="0" w:oddHBand="0" w:evenHBand="0" w:firstRowFirstColumn="0" w:firstRowLastColumn="0" w:lastRowFirstColumn="0" w:lastRowLastColumn="0"/>
              <w:rPr>
                <w:rFonts w:ascii="Arial" w:hAnsi="Arial" w:cs="Arial"/>
                <w:bCs/>
                <w:i/>
              </w:rPr>
            </w:pPr>
            <w:r w:rsidRPr="00C43975">
              <w:rPr>
                <w:rFonts w:ascii="Arial" w:hAnsi="Arial" w:cs="Arial"/>
                <w:bCs/>
                <w:i/>
              </w:rPr>
              <w:t>2 (2.5)</w:t>
            </w:r>
          </w:p>
        </w:tc>
        <w:tc>
          <w:tcPr>
            <w:tcW w:w="1418" w:type="dxa"/>
            <w:gridSpan w:val="2"/>
          </w:tcPr>
          <w:p w14:paraId="20D58821" w14:textId="77777777" w:rsidR="00EC3651" w:rsidRPr="00C43975" w:rsidRDefault="00EC3651" w:rsidP="00515F47">
            <w:pPr>
              <w:autoSpaceDE w:val="0"/>
              <w:autoSpaceDN w:val="0"/>
              <w:adjustRightInd w:val="0"/>
              <w:spacing w:line="480" w:lineRule="auto"/>
              <w:ind w:left="113"/>
              <w:jc w:val="center"/>
              <w:cnfStyle w:val="000000000000" w:firstRow="0" w:lastRow="0" w:firstColumn="0" w:lastColumn="0" w:oddVBand="0" w:evenVBand="0" w:oddHBand="0" w:evenHBand="0" w:firstRowFirstColumn="0" w:firstRowLastColumn="0" w:lastRowFirstColumn="0" w:lastRowLastColumn="0"/>
              <w:rPr>
                <w:rFonts w:ascii="Arial" w:hAnsi="Arial" w:cs="Arial"/>
                <w:bCs/>
                <w:i/>
              </w:rPr>
            </w:pPr>
            <w:r w:rsidRPr="00C43975">
              <w:rPr>
                <w:rFonts w:ascii="Arial" w:hAnsi="Arial" w:cs="Arial"/>
                <w:bCs/>
                <w:i/>
              </w:rPr>
              <w:t>2 (2.6)</w:t>
            </w:r>
          </w:p>
        </w:tc>
        <w:tc>
          <w:tcPr>
            <w:tcW w:w="1134" w:type="dxa"/>
          </w:tcPr>
          <w:p w14:paraId="3AD41794" w14:textId="77777777" w:rsidR="00EC3651" w:rsidRPr="00C43975" w:rsidRDefault="00EC3651" w:rsidP="00515F47">
            <w:pPr>
              <w:autoSpaceDE w:val="0"/>
              <w:autoSpaceDN w:val="0"/>
              <w:adjustRightInd w:val="0"/>
              <w:spacing w:line="480" w:lineRule="auto"/>
              <w:ind w:left="113"/>
              <w:jc w:val="center"/>
              <w:cnfStyle w:val="000000000000" w:firstRow="0" w:lastRow="0" w:firstColumn="0" w:lastColumn="0" w:oddVBand="0" w:evenVBand="0" w:oddHBand="0" w:evenHBand="0" w:firstRowFirstColumn="0" w:firstRowLastColumn="0" w:lastRowFirstColumn="0" w:lastRowLastColumn="0"/>
              <w:rPr>
                <w:rFonts w:ascii="Arial" w:hAnsi="Arial" w:cs="Arial"/>
                <w:bCs/>
                <w:i/>
              </w:rPr>
            </w:pPr>
            <w:r w:rsidRPr="00C43975">
              <w:rPr>
                <w:rFonts w:ascii="Arial" w:hAnsi="Arial" w:cs="Arial"/>
                <w:bCs/>
                <w:i/>
              </w:rPr>
              <w:t>0</w:t>
            </w:r>
          </w:p>
        </w:tc>
        <w:tc>
          <w:tcPr>
            <w:tcW w:w="1559" w:type="dxa"/>
            <w:gridSpan w:val="2"/>
          </w:tcPr>
          <w:p w14:paraId="75996E71" w14:textId="77777777" w:rsidR="00EC3651" w:rsidRPr="00C43975" w:rsidRDefault="00EC3651" w:rsidP="00515F47">
            <w:pPr>
              <w:autoSpaceDE w:val="0"/>
              <w:autoSpaceDN w:val="0"/>
              <w:adjustRightInd w:val="0"/>
              <w:spacing w:line="480" w:lineRule="auto"/>
              <w:ind w:left="113"/>
              <w:jc w:val="center"/>
              <w:cnfStyle w:val="000000000000" w:firstRow="0" w:lastRow="0" w:firstColumn="0" w:lastColumn="0" w:oddVBand="0" w:evenVBand="0" w:oddHBand="0" w:evenHBand="0" w:firstRowFirstColumn="0" w:firstRowLastColumn="0" w:lastRowFirstColumn="0" w:lastRowLastColumn="0"/>
              <w:rPr>
                <w:rFonts w:ascii="Arial" w:hAnsi="Arial" w:cs="Arial"/>
                <w:bCs/>
                <w:i/>
              </w:rPr>
            </w:pPr>
            <w:r w:rsidRPr="00C43975">
              <w:rPr>
                <w:rFonts w:ascii="Arial" w:hAnsi="Arial" w:cs="Arial"/>
                <w:bCs/>
                <w:i/>
              </w:rPr>
              <w:t>0</w:t>
            </w:r>
          </w:p>
        </w:tc>
      </w:tr>
      <w:tr w:rsidR="00EC3651" w:rsidRPr="00C43975" w14:paraId="7069FF3C" w14:textId="77777777" w:rsidTr="00515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1129C24D" w14:textId="77777777" w:rsidR="00EC3651" w:rsidRPr="00C43975" w:rsidRDefault="00EC3651" w:rsidP="00515F47">
            <w:pPr>
              <w:autoSpaceDE w:val="0"/>
              <w:autoSpaceDN w:val="0"/>
              <w:adjustRightInd w:val="0"/>
              <w:spacing w:line="480" w:lineRule="auto"/>
              <w:jc w:val="both"/>
              <w:rPr>
                <w:rFonts w:ascii="Arial" w:hAnsi="Arial" w:cs="Arial"/>
                <w:b w:val="0"/>
                <w:bCs w:val="0"/>
              </w:rPr>
            </w:pPr>
            <w:r w:rsidRPr="00C43975">
              <w:rPr>
                <w:rFonts w:ascii="Arial" w:hAnsi="Arial" w:cs="Arial"/>
                <w:b w:val="0"/>
                <w:bCs w:val="0"/>
                <w:color w:val="000000"/>
              </w:rPr>
              <w:t xml:space="preserve">Echinocandins </w:t>
            </w:r>
            <w:r w:rsidRPr="00C43975">
              <w:rPr>
                <w:rFonts w:ascii="Arial" w:hAnsi="Arial" w:cs="Arial"/>
                <w:b w:val="0"/>
                <w:color w:val="000000"/>
              </w:rPr>
              <w:t>n(%)</w:t>
            </w:r>
          </w:p>
        </w:tc>
        <w:tc>
          <w:tcPr>
            <w:tcW w:w="1418" w:type="dxa"/>
          </w:tcPr>
          <w:p w14:paraId="0A0FC0AB"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bCs/>
              </w:rPr>
              <w:t>50(9.3)</w:t>
            </w:r>
          </w:p>
        </w:tc>
        <w:tc>
          <w:tcPr>
            <w:tcW w:w="1276" w:type="dxa"/>
          </w:tcPr>
          <w:p w14:paraId="195F188B"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bCs/>
              </w:rPr>
              <w:t>44 (24.2)</w:t>
            </w:r>
          </w:p>
        </w:tc>
        <w:tc>
          <w:tcPr>
            <w:tcW w:w="1275" w:type="dxa"/>
            <w:gridSpan w:val="2"/>
          </w:tcPr>
          <w:p w14:paraId="703D5DB7"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bCs/>
              </w:rPr>
              <w:t>16 (20)</w:t>
            </w:r>
          </w:p>
        </w:tc>
        <w:tc>
          <w:tcPr>
            <w:tcW w:w="1418" w:type="dxa"/>
            <w:gridSpan w:val="2"/>
          </w:tcPr>
          <w:p w14:paraId="7D4131C8"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bCs/>
              </w:rPr>
              <w:t>0</w:t>
            </w:r>
          </w:p>
        </w:tc>
        <w:tc>
          <w:tcPr>
            <w:tcW w:w="1134" w:type="dxa"/>
          </w:tcPr>
          <w:p w14:paraId="491FD30C"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bCs/>
              </w:rPr>
              <w:t>11 (8.5)</w:t>
            </w:r>
          </w:p>
        </w:tc>
        <w:tc>
          <w:tcPr>
            <w:tcW w:w="1559" w:type="dxa"/>
            <w:gridSpan w:val="2"/>
          </w:tcPr>
          <w:p w14:paraId="64F043E8"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bCs/>
              </w:rPr>
              <w:t>4 (9.1)</w:t>
            </w:r>
          </w:p>
        </w:tc>
      </w:tr>
      <w:tr w:rsidR="00EC3651" w:rsidRPr="00C43975" w14:paraId="545903C8" w14:textId="77777777" w:rsidTr="00515F47">
        <w:tc>
          <w:tcPr>
            <w:cnfStyle w:val="001000000000" w:firstRow="0" w:lastRow="0" w:firstColumn="1" w:lastColumn="0" w:oddVBand="0" w:evenVBand="0" w:oddHBand="0" w:evenHBand="0" w:firstRowFirstColumn="0" w:firstRowLastColumn="0" w:lastRowFirstColumn="0" w:lastRowLastColumn="0"/>
            <w:tcW w:w="2977" w:type="dxa"/>
          </w:tcPr>
          <w:p w14:paraId="2D71867A" w14:textId="77777777" w:rsidR="00EC3651" w:rsidRPr="00C43975" w:rsidRDefault="00EC3651" w:rsidP="00515F47">
            <w:pPr>
              <w:autoSpaceDE w:val="0"/>
              <w:autoSpaceDN w:val="0"/>
              <w:adjustRightInd w:val="0"/>
              <w:spacing w:line="480" w:lineRule="auto"/>
              <w:jc w:val="center"/>
              <w:rPr>
                <w:rFonts w:ascii="Arial" w:hAnsi="Arial" w:cs="Arial"/>
                <w:b w:val="0"/>
                <w:bCs w:val="0"/>
                <w:i/>
              </w:rPr>
            </w:pPr>
            <w:proofErr w:type="spellStart"/>
            <w:r w:rsidRPr="00C43975">
              <w:rPr>
                <w:rFonts w:ascii="Arial" w:hAnsi="Arial" w:cs="Arial"/>
                <w:b w:val="0"/>
                <w:i/>
                <w:color w:val="000000"/>
              </w:rPr>
              <w:t>Caspofungin</w:t>
            </w:r>
            <w:proofErr w:type="spellEnd"/>
          </w:p>
        </w:tc>
        <w:tc>
          <w:tcPr>
            <w:tcW w:w="1418" w:type="dxa"/>
          </w:tcPr>
          <w:p w14:paraId="7740BC86" w14:textId="77777777" w:rsidR="00EC3651" w:rsidRPr="00C43975" w:rsidRDefault="00EC3651" w:rsidP="00515F47">
            <w:pPr>
              <w:autoSpaceDE w:val="0"/>
              <w:autoSpaceDN w:val="0"/>
              <w:adjustRightInd w:val="0"/>
              <w:spacing w:line="480" w:lineRule="auto"/>
              <w:ind w:left="113"/>
              <w:jc w:val="center"/>
              <w:cnfStyle w:val="000000000000" w:firstRow="0" w:lastRow="0" w:firstColumn="0" w:lastColumn="0" w:oddVBand="0" w:evenVBand="0" w:oddHBand="0" w:evenHBand="0" w:firstRowFirstColumn="0" w:firstRowLastColumn="0" w:lastRowFirstColumn="0" w:lastRowLastColumn="0"/>
              <w:rPr>
                <w:rFonts w:ascii="Arial" w:hAnsi="Arial" w:cs="Arial"/>
                <w:bCs/>
                <w:i/>
              </w:rPr>
            </w:pPr>
            <w:r w:rsidRPr="00C43975">
              <w:rPr>
                <w:rFonts w:ascii="Arial" w:hAnsi="Arial" w:cs="Arial"/>
                <w:bCs/>
                <w:i/>
              </w:rPr>
              <w:t>34 (6.4)</w:t>
            </w:r>
          </w:p>
        </w:tc>
        <w:tc>
          <w:tcPr>
            <w:tcW w:w="1276" w:type="dxa"/>
          </w:tcPr>
          <w:p w14:paraId="098D6874" w14:textId="77777777" w:rsidR="00EC3651" w:rsidRPr="00C43975" w:rsidRDefault="00EC3651" w:rsidP="00515F47">
            <w:pPr>
              <w:autoSpaceDE w:val="0"/>
              <w:autoSpaceDN w:val="0"/>
              <w:adjustRightInd w:val="0"/>
              <w:spacing w:line="480" w:lineRule="auto"/>
              <w:ind w:left="113"/>
              <w:jc w:val="center"/>
              <w:cnfStyle w:val="000000000000" w:firstRow="0" w:lastRow="0" w:firstColumn="0" w:lastColumn="0" w:oddVBand="0" w:evenVBand="0" w:oddHBand="0" w:evenHBand="0" w:firstRowFirstColumn="0" w:firstRowLastColumn="0" w:lastRowFirstColumn="0" w:lastRowLastColumn="0"/>
              <w:rPr>
                <w:rFonts w:ascii="Arial" w:hAnsi="Arial" w:cs="Arial"/>
                <w:bCs/>
                <w:i/>
              </w:rPr>
            </w:pPr>
            <w:r w:rsidRPr="00C43975">
              <w:rPr>
                <w:rFonts w:ascii="Arial" w:hAnsi="Arial" w:cs="Arial"/>
                <w:bCs/>
                <w:i/>
              </w:rPr>
              <w:t>21 (11.5)</w:t>
            </w:r>
          </w:p>
        </w:tc>
        <w:tc>
          <w:tcPr>
            <w:tcW w:w="1275" w:type="dxa"/>
            <w:gridSpan w:val="2"/>
          </w:tcPr>
          <w:p w14:paraId="10ECE2B7" w14:textId="77777777" w:rsidR="00EC3651" w:rsidRPr="00C43975" w:rsidRDefault="00EC3651" w:rsidP="00515F47">
            <w:pPr>
              <w:autoSpaceDE w:val="0"/>
              <w:autoSpaceDN w:val="0"/>
              <w:adjustRightInd w:val="0"/>
              <w:spacing w:line="480" w:lineRule="auto"/>
              <w:ind w:left="113"/>
              <w:jc w:val="center"/>
              <w:cnfStyle w:val="000000000000" w:firstRow="0" w:lastRow="0" w:firstColumn="0" w:lastColumn="0" w:oddVBand="0" w:evenVBand="0" w:oddHBand="0" w:evenHBand="0" w:firstRowFirstColumn="0" w:firstRowLastColumn="0" w:lastRowFirstColumn="0" w:lastRowLastColumn="0"/>
              <w:rPr>
                <w:rFonts w:ascii="Arial" w:hAnsi="Arial" w:cs="Arial"/>
                <w:bCs/>
                <w:i/>
              </w:rPr>
            </w:pPr>
            <w:r w:rsidRPr="00C43975">
              <w:rPr>
                <w:rFonts w:ascii="Arial" w:hAnsi="Arial" w:cs="Arial"/>
                <w:bCs/>
                <w:i/>
              </w:rPr>
              <w:t>5 (6.2)</w:t>
            </w:r>
          </w:p>
        </w:tc>
        <w:tc>
          <w:tcPr>
            <w:tcW w:w="1418" w:type="dxa"/>
            <w:gridSpan w:val="2"/>
          </w:tcPr>
          <w:p w14:paraId="6AC23F46" w14:textId="77777777" w:rsidR="00EC3651" w:rsidRPr="00C43975" w:rsidRDefault="00EC3651" w:rsidP="00515F47">
            <w:pPr>
              <w:autoSpaceDE w:val="0"/>
              <w:autoSpaceDN w:val="0"/>
              <w:adjustRightInd w:val="0"/>
              <w:spacing w:line="480" w:lineRule="auto"/>
              <w:ind w:left="113"/>
              <w:jc w:val="center"/>
              <w:cnfStyle w:val="000000000000" w:firstRow="0" w:lastRow="0" w:firstColumn="0" w:lastColumn="0" w:oddVBand="0" w:evenVBand="0" w:oddHBand="0" w:evenHBand="0" w:firstRowFirstColumn="0" w:firstRowLastColumn="0" w:lastRowFirstColumn="0" w:lastRowLastColumn="0"/>
              <w:rPr>
                <w:rFonts w:ascii="Arial" w:hAnsi="Arial" w:cs="Arial"/>
                <w:bCs/>
                <w:i/>
              </w:rPr>
            </w:pPr>
            <w:r w:rsidRPr="00C43975">
              <w:rPr>
                <w:rFonts w:ascii="Arial" w:hAnsi="Arial" w:cs="Arial"/>
                <w:bCs/>
                <w:i/>
              </w:rPr>
              <w:t>0</w:t>
            </w:r>
          </w:p>
        </w:tc>
        <w:tc>
          <w:tcPr>
            <w:tcW w:w="1134" w:type="dxa"/>
          </w:tcPr>
          <w:p w14:paraId="3902547F" w14:textId="77777777" w:rsidR="00EC3651" w:rsidRPr="00C43975" w:rsidRDefault="00EC3651" w:rsidP="00515F47">
            <w:pPr>
              <w:autoSpaceDE w:val="0"/>
              <w:autoSpaceDN w:val="0"/>
              <w:adjustRightInd w:val="0"/>
              <w:spacing w:line="480" w:lineRule="auto"/>
              <w:ind w:left="113"/>
              <w:jc w:val="center"/>
              <w:cnfStyle w:val="000000000000" w:firstRow="0" w:lastRow="0" w:firstColumn="0" w:lastColumn="0" w:oddVBand="0" w:evenVBand="0" w:oddHBand="0" w:evenHBand="0" w:firstRowFirstColumn="0" w:firstRowLastColumn="0" w:lastRowFirstColumn="0" w:lastRowLastColumn="0"/>
              <w:rPr>
                <w:rFonts w:ascii="Arial" w:hAnsi="Arial" w:cs="Arial"/>
                <w:bCs/>
                <w:i/>
              </w:rPr>
            </w:pPr>
            <w:r w:rsidRPr="00C43975">
              <w:rPr>
                <w:rFonts w:ascii="Arial" w:hAnsi="Arial" w:cs="Arial"/>
                <w:bCs/>
                <w:i/>
              </w:rPr>
              <w:t>4 (3.1)</w:t>
            </w:r>
          </w:p>
        </w:tc>
        <w:tc>
          <w:tcPr>
            <w:tcW w:w="1559" w:type="dxa"/>
            <w:gridSpan w:val="2"/>
          </w:tcPr>
          <w:p w14:paraId="29704D7A" w14:textId="77777777" w:rsidR="00EC3651" w:rsidRPr="00C43975" w:rsidRDefault="00EC3651" w:rsidP="00515F47">
            <w:pPr>
              <w:autoSpaceDE w:val="0"/>
              <w:autoSpaceDN w:val="0"/>
              <w:adjustRightInd w:val="0"/>
              <w:spacing w:line="480" w:lineRule="auto"/>
              <w:ind w:left="113"/>
              <w:jc w:val="center"/>
              <w:cnfStyle w:val="000000000000" w:firstRow="0" w:lastRow="0" w:firstColumn="0" w:lastColumn="0" w:oddVBand="0" w:evenVBand="0" w:oddHBand="0" w:evenHBand="0" w:firstRowFirstColumn="0" w:firstRowLastColumn="0" w:lastRowFirstColumn="0" w:lastRowLastColumn="0"/>
              <w:rPr>
                <w:rFonts w:ascii="Arial" w:hAnsi="Arial" w:cs="Arial"/>
                <w:bCs/>
                <w:i/>
              </w:rPr>
            </w:pPr>
            <w:r w:rsidRPr="00C43975">
              <w:rPr>
                <w:rFonts w:ascii="Arial" w:hAnsi="Arial" w:cs="Arial"/>
                <w:bCs/>
                <w:i/>
              </w:rPr>
              <w:t>4 (9.1)</w:t>
            </w:r>
          </w:p>
        </w:tc>
      </w:tr>
      <w:tr w:rsidR="00EC3651" w:rsidRPr="00C43975" w14:paraId="287462F0" w14:textId="77777777" w:rsidTr="00515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75F2EDEA" w14:textId="77777777" w:rsidR="00EC3651" w:rsidRPr="00C43975" w:rsidRDefault="00EC3651" w:rsidP="00515F47">
            <w:pPr>
              <w:autoSpaceDE w:val="0"/>
              <w:autoSpaceDN w:val="0"/>
              <w:adjustRightInd w:val="0"/>
              <w:spacing w:line="480" w:lineRule="auto"/>
              <w:jc w:val="center"/>
              <w:rPr>
                <w:rFonts w:ascii="Arial" w:hAnsi="Arial" w:cs="Arial"/>
                <w:b w:val="0"/>
                <w:i/>
                <w:color w:val="000000"/>
              </w:rPr>
            </w:pPr>
            <w:r w:rsidRPr="00C43975">
              <w:rPr>
                <w:rFonts w:ascii="Arial" w:hAnsi="Arial" w:cs="Arial"/>
                <w:b w:val="0"/>
                <w:i/>
                <w:color w:val="000000"/>
              </w:rPr>
              <w:t>Micafungin</w:t>
            </w:r>
          </w:p>
        </w:tc>
        <w:tc>
          <w:tcPr>
            <w:tcW w:w="1418" w:type="dxa"/>
          </w:tcPr>
          <w:p w14:paraId="039E172F" w14:textId="77777777" w:rsidR="00EC3651" w:rsidRPr="00C43975" w:rsidRDefault="00EC3651" w:rsidP="00515F47">
            <w:pPr>
              <w:autoSpaceDE w:val="0"/>
              <w:autoSpaceDN w:val="0"/>
              <w:adjustRightInd w:val="0"/>
              <w:spacing w:line="480" w:lineRule="auto"/>
              <w:ind w:left="113"/>
              <w:jc w:val="center"/>
              <w:cnfStyle w:val="000000100000" w:firstRow="0" w:lastRow="0" w:firstColumn="0" w:lastColumn="0" w:oddVBand="0" w:evenVBand="0" w:oddHBand="1" w:evenHBand="0" w:firstRowFirstColumn="0" w:firstRowLastColumn="0" w:lastRowFirstColumn="0" w:lastRowLastColumn="0"/>
              <w:rPr>
                <w:rFonts w:ascii="Arial" w:hAnsi="Arial" w:cs="Arial"/>
                <w:bCs/>
                <w:i/>
              </w:rPr>
            </w:pPr>
            <w:r w:rsidRPr="00C43975">
              <w:rPr>
                <w:rFonts w:ascii="Arial" w:hAnsi="Arial" w:cs="Arial"/>
                <w:bCs/>
                <w:i/>
              </w:rPr>
              <w:t>15 (2.8)</w:t>
            </w:r>
          </w:p>
        </w:tc>
        <w:tc>
          <w:tcPr>
            <w:tcW w:w="1276" w:type="dxa"/>
          </w:tcPr>
          <w:p w14:paraId="62EC0C36" w14:textId="77777777" w:rsidR="00EC3651" w:rsidRPr="00C43975" w:rsidRDefault="00EC3651" w:rsidP="00515F47">
            <w:pPr>
              <w:autoSpaceDE w:val="0"/>
              <w:autoSpaceDN w:val="0"/>
              <w:adjustRightInd w:val="0"/>
              <w:spacing w:line="480" w:lineRule="auto"/>
              <w:ind w:left="113"/>
              <w:jc w:val="center"/>
              <w:cnfStyle w:val="000000100000" w:firstRow="0" w:lastRow="0" w:firstColumn="0" w:lastColumn="0" w:oddVBand="0" w:evenVBand="0" w:oddHBand="1" w:evenHBand="0" w:firstRowFirstColumn="0" w:firstRowLastColumn="0" w:lastRowFirstColumn="0" w:lastRowLastColumn="0"/>
              <w:rPr>
                <w:rFonts w:ascii="Arial" w:hAnsi="Arial" w:cs="Arial"/>
                <w:bCs/>
                <w:i/>
              </w:rPr>
            </w:pPr>
            <w:r w:rsidRPr="00C43975">
              <w:rPr>
                <w:rFonts w:ascii="Arial" w:hAnsi="Arial" w:cs="Arial"/>
                <w:bCs/>
                <w:i/>
              </w:rPr>
              <w:t>21 (11.5)</w:t>
            </w:r>
          </w:p>
        </w:tc>
        <w:tc>
          <w:tcPr>
            <w:tcW w:w="1275" w:type="dxa"/>
            <w:gridSpan w:val="2"/>
          </w:tcPr>
          <w:p w14:paraId="149D5EEB" w14:textId="77777777" w:rsidR="00EC3651" w:rsidRPr="00C43975" w:rsidRDefault="00EC3651" w:rsidP="00515F47">
            <w:pPr>
              <w:autoSpaceDE w:val="0"/>
              <w:autoSpaceDN w:val="0"/>
              <w:adjustRightInd w:val="0"/>
              <w:spacing w:line="480" w:lineRule="auto"/>
              <w:ind w:left="113"/>
              <w:jc w:val="center"/>
              <w:cnfStyle w:val="000000100000" w:firstRow="0" w:lastRow="0" w:firstColumn="0" w:lastColumn="0" w:oddVBand="0" w:evenVBand="0" w:oddHBand="1" w:evenHBand="0" w:firstRowFirstColumn="0" w:firstRowLastColumn="0" w:lastRowFirstColumn="0" w:lastRowLastColumn="0"/>
              <w:rPr>
                <w:rFonts w:ascii="Arial" w:hAnsi="Arial" w:cs="Arial"/>
                <w:bCs/>
                <w:i/>
              </w:rPr>
            </w:pPr>
            <w:r w:rsidRPr="00C43975">
              <w:rPr>
                <w:rFonts w:ascii="Arial" w:hAnsi="Arial" w:cs="Arial"/>
                <w:bCs/>
                <w:i/>
              </w:rPr>
              <w:t>11 (13.7)</w:t>
            </w:r>
          </w:p>
        </w:tc>
        <w:tc>
          <w:tcPr>
            <w:tcW w:w="1418" w:type="dxa"/>
            <w:gridSpan w:val="2"/>
          </w:tcPr>
          <w:p w14:paraId="744F150A" w14:textId="77777777" w:rsidR="00EC3651" w:rsidRPr="00C43975" w:rsidRDefault="00EC3651" w:rsidP="00515F47">
            <w:pPr>
              <w:autoSpaceDE w:val="0"/>
              <w:autoSpaceDN w:val="0"/>
              <w:adjustRightInd w:val="0"/>
              <w:spacing w:line="480" w:lineRule="auto"/>
              <w:ind w:left="113"/>
              <w:jc w:val="center"/>
              <w:cnfStyle w:val="000000100000" w:firstRow="0" w:lastRow="0" w:firstColumn="0" w:lastColumn="0" w:oddVBand="0" w:evenVBand="0" w:oddHBand="1" w:evenHBand="0" w:firstRowFirstColumn="0" w:firstRowLastColumn="0" w:lastRowFirstColumn="0" w:lastRowLastColumn="0"/>
              <w:rPr>
                <w:rFonts w:ascii="Arial" w:hAnsi="Arial" w:cs="Arial"/>
                <w:bCs/>
                <w:i/>
              </w:rPr>
            </w:pPr>
            <w:r w:rsidRPr="00C43975">
              <w:rPr>
                <w:rFonts w:ascii="Arial" w:hAnsi="Arial" w:cs="Arial"/>
                <w:bCs/>
                <w:i/>
              </w:rPr>
              <w:t>0</w:t>
            </w:r>
          </w:p>
        </w:tc>
        <w:tc>
          <w:tcPr>
            <w:tcW w:w="1134" w:type="dxa"/>
          </w:tcPr>
          <w:p w14:paraId="18E71F44" w14:textId="77777777" w:rsidR="00EC3651" w:rsidRPr="00C43975" w:rsidRDefault="00EC3651" w:rsidP="00515F47">
            <w:pPr>
              <w:autoSpaceDE w:val="0"/>
              <w:autoSpaceDN w:val="0"/>
              <w:adjustRightInd w:val="0"/>
              <w:spacing w:line="480" w:lineRule="auto"/>
              <w:ind w:left="113"/>
              <w:jc w:val="center"/>
              <w:cnfStyle w:val="000000100000" w:firstRow="0" w:lastRow="0" w:firstColumn="0" w:lastColumn="0" w:oddVBand="0" w:evenVBand="0" w:oddHBand="1" w:evenHBand="0" w:firstRowFirstColumn="0" w:firstRowLastColumn="0" w:lastRowFirstColumn="0" w:lastRowLastColumn="0"/>
              <w:rPr>
                <w:rFonts w:ascii="Arial" w:hAnsi="Arial" w:cs="Arial"/>
                <w:bCs/>
                <w:i/>
              </w:rPr>
            </w:pPr>
            <w:r w:rsidRPr="00C43975">
              <w:rPr>
                <w:rFonts w:ascii="Arial" w:hAnsi="Arial" w:cs="Arial"/>
                <w:bCs/>
                <w:i/>
              </w:rPr>
              <w:t>7 (5.4)</w:t>
            </w:r>
          </w:p>
        </w:tc>
        <w:tc>
          <w:tcPr>
            <w:tcW w:w="1559" w:type="dxa"/>
            <w:gridSpan w:val="2"/>
          </w:tcPr>
          <w:p w14:paraId="75A72647" w14:textId="77777777" w:rsidR="00EC3651" w:rsidRPr="00C43975" w:rsidRDefault="00EC3651" w:rsidP="00515F47">
            <w:pPr>
              <w:autoSpaceDE w:val="0"/>
              <w:autoSpaceDN w:val="0"/>
              <w:adjustRightInd w:val="0"/>
              <w:spacing w:line="480" w:lineRule="auto"/>
              <w:ind w:left="113"/>
              <w:jc w:val="center"/>
              <w:cnfStyle w:val="000000100000" w:firstRow="0" w:lastRow="0" w:firstColumn="0" w:lastColumn="0" w:oddVBand="0" w:evenVBand="0" w:oddHBand="1" w:evenHBand="0" w:firstRowFirstColumn="0" w:firstRowLastColumn="0" w:lastRowFirstColumn="0" w:lastRowLastColumn="0"/>
              <w:rPr>
                <w:rFonts w:ascii="Arial" w:hAnsi="Arial" w:cs="Arial"/>
                <w:bCs/>
                <w:i/>
              </w:rPr>
            </w:pPr>
            <w:r w:rsidRPr="00C43975">
              <w:rPr>
                <w:rFonts w:ascii="Arial" w:hAnsi="Arial" w:cs="Arial"/>
                <w:bCs/>
                <w:i/>
              </w:rPr>
              <w:t>0</w:t>
            </w:r>
          </w:p>
        </w:tc>
      </w:tr>
      <w:tr w:rsidR="00EC3651" w:rsidRPr="00C43975" w14:paraId="0591F42C" w14:textId="77777777" w:rsidTr="00515F47">
        <w:tc>
          <w:tcPr>
            <w:cnfStyle w:val="001000000000" w:firstRow="0" w:lastRow="0" w:firstColumn="1" w:lastColumn="0" w:oddVBand="0" w:evenVBand="0" w:oddHBand="0" w:evenHBand="0" w:firstRowFirstColumn="0" w:firstRowLastColumn="0" w:lastRowFirstColumn="0" w:lastRowLastColumn="0"/>
            <w:tcW w:w="2977" w:type="dxa"/>
          </w:tcPr>
          <w:p w14:paraId="14044F75" w14:textId="77777777" w:rsidR="00EC3651" w:rsidRPr="00C43975" w:rsidRDefault="00EC3651" w:rsidP="00515F47">
            <w:pPr>
              <w:autoSpaceDE w:val="0"/>
              <w:autoSpaceDN w:val="0"/>
              <w:adjustRightInd w:val="0"/>
              <w:spacing w:line="480" w:lineRule="auto"/>
              <w:jc w:val="center"/>
              <w:rPr>
                <w:rFonts w:ascii="Arial" w:hAnsi="Arial" w:cs="Arial"/>
                <w:b w:val="0"/>
                <w:bCs w:val="0"/>
                <w:i/>
              </w:rPr>
            </w:pPr>
            <w:r w:rsidRPr="00C43975">
              <w:rPr>
                <w:rFonts w:ascii="Arial" w:hAnsi="Arial" w:cs="Arial"/>
                <w:b w:val="0"/>
                <w:i/>
                <w:color w:val="000000"/>
              </w:rPr>
              <w:t>Anidulafungin</w:t>
            </w:r>
          </w:p>
        </w:tc>
        <w:tc>
          <w:tcPr>
            <w:tcW w:w="1418" w:type="dxa"/>
          </w:tcPr>
          <w:p w14:paraId="0468ECD0" w14:textId="77777777" w:rsidR="00EC3651" w:rsidRPr="00C43975" w:rsidRDefault="00EC3651" w:rsidP="00515F47">
            <w:pPr>
              <w:autoSpaceDE w:val="0"/>
              <w:autoSpaceDN w:val="0"/>
              <w:adjustRightInd w:val="0"/>
              <w:spacing w:line="480" w:lineRule="auto"/>
              <w:ind w:left="113"/>
              <w:jc w:val="center"/>
              <w:cnfStyle w:val="000000000000" w:firstRow="0" w:lastRow="0" w:firstColumn="0" w:lastColumn="0" w:oddVBand="0" w:evenVBand="0" w:oddHBand="0" w:evenHBand="0" w:firstRowFirstColumn="0" w:firstRowLastColumn="0" w:lastRowFirstColumn="0" w:lastRowLastColumn="0"/>
              <w:rPr>
                <w:rFonts w:ascii="Arial" w:hAnsi="Arial" w:cs="Arial"/>
                <w:bCs/>
                <w:i/>
              </w:rPr>
            </w:pPr>
            <w:r w:rsidRPr="00C43975">
              <w:rPr>
                <w:rFonts w:ascii="Arial" w:hAnsi="Arial" w:cs="Arial"/>
                <w:bCs/>
                <w:i/>
              </w:rPr>
              <w:t>1 (0.4)</w:t>
            </w:r>
          </w:p>
        </w:tc>
        <w:tc>
          <w:tcPr>
            <w:tcW w:w="1276" w:type="dxa"/>
          </w:tcPr>
          <w:p w14:paraId="4851889B" w14:textId="77777777" w:rsidR="00EC3651" w:rsidRPr="00C43975" w:rsidRDefault="00EC3651" w:rsidP="00515F47">
            <w:pPr>
              <w:autoSpaceDE w:val="0"/>
              <w:autoSpaceDN w:val="0"/>
              <w:adjustRightInd w:val="0"/>
              <w:spacing w:line="480" w:lineRule="auto"/>
              <w:ind w:left="113"/>
              <w:jc w:val="center"/>
              <w:cnfStyle w:val="000000000000" w:firstRow="0" w:lastRow="0" w:firstColumn="0" w:lastColumn="0" w:oddVBand="0" w:evenVBand="0" w:oddHBand="0" w:evenHBand="0" w:firstRowFirstColumn="0" w:firstRowLastColumn="0" w:lastRowFirstColumn="0" w:lastRowLastColumn="0"/>
              <w:rPr>
                <w:rFonts w:ascii="Arial" w:hAnsi="Arial" w:cs="Arial"/>
                <w:bCs/>
                <w:i/>
              </w:rPr>
            </w:pPr>
            <w:r w:rsidRPr="00C43975">
              <w:rPr>
                <w:rFonts w:ascii="Arial" w:hAnsi="Arial" w:cs="Arial"/>
                <w:bCs/>
                <w:i/>
              </w:rPr>
              <w:t>2 (1.1)</w:t>
            </w:r>
          </w:p>
        </w:tc>
        <w:tc>
          <w:tcPr>
            <w:tcW w:w="1275" w:type="dxa"/>
            <w:gridSpan w:val="2"/>
          </w:tcPr>
          <w:p w14:paraId="7AF2801E" w14:textId="77777777" w:rsidR="00EC3651" w:rsidRPr="00C43975" w:rsidRDefault="00EC3651" w:rsidP="00515F47">
            <w:pPr>
              <w:autoSpaceDE w:val="0"/>
              <w:autoSpaceDN w:val="0"/>
              <w:adjustRightInd w:val="0"/>
              <w:spacing w:line="480" w:lineRule="auto"/>
              <w:ind w:left="113"/>
              <w:jc w:val="center"/>
              <w:cnfStyle w:val="000000000000" w:firstRow="0" w:lastRow="0" w:firstColumn="0" w:lastColumn="0" w:oddVBand="0" w:evenVBand="0" w:oddHBand="0" w:evenHBand="0" w:firstRowFirstColumn="0" w:firstRowLastColumn="0" w:lastRowFirstColumn="0" w:lastRowLastColumn="0"/>
              <w:rPr>
                <w:rFonts w:ascii="Arial" w:hAnsi="Arial" w:cs="Arial"/>
                <w:bCs/>
                <w:i/>
              </w:rPr>
            </w:pPr>
            <w:r w:rsidRPr="00C43975">
              <w:rPr>
                <w:rFonts w:ascii="Arial" w:hAnsi="Arial" w:cs="Arial"/>
                <w:bCs/>
                <w:i/>
              </w:rPr>
              <w:t>0</w:t>
            </w:r>
          </w:p>
        </w:tc>
        <w:tc>
          <w:tcPr>
            <w:tcW w:w="1418" w:type="dxa"/>
            <w:gridSpan w:val="2"/>
          </w:tcPr>
          <w:p w14:paraId="4429E89F" w14:textId="77777777" w:rsidR="00EC3651" w:rsidRPr="00C43975" w:rsidRDefault="00EC3651" w:rsidP="00515F47">
            <w:pPr>
              <w:autoSpaceDE w:val="0"/>
              <w:autoSpaceDN w:val="0"/>
              <w:adjustRightInd w:val="0"/>
              <w:spacing w:line="480" w:lineRule="auto"/>
              <w:ind w:left="113"/>
              <w:jc w:val="center"/>
              <w:cnfStyle w:val="000000000000" w:firstRow="0" w:lastRow="0" w:firstColumn="0" w:lastColumn="0" w:oddVBand="0" w:evenVBand="0" w:oddHBand="0" w:evenHBand="0" w:firstRowFirstColumn="0" w:firstRowLastColumn="0" w:lastRowFirstColumn="0" w:lastRowLastColumn="0"/>
              <w:rPr>
                <w:rFonts w:ascii="Arial" w:hAnsi="Arial" w:cs="Arial"/>
                <w:bCs/>
                <w:i/>
              </w:rPr>
            </w:pPr>
            <w:r w:rsidRPr="00C43975">
              <w:rPr>
                <w:rFonts w:ascii="Arial" w:hAnsi="Arial" w:cs="Arial"/>
                <w:bCs/>
                <w:i/>
              </w:rPr>
              <w:t>0</w:t>
            </w:r>
          </w:p>
        </w:tc>
        <w:tc>
          <w:tcPr>
            <w:tcW w:w="1134" w:type="dxa"/>
          </w:tcPr>
          <w:p w14:paraId="16CE00FE" w14:textId="77777777" w:rsidR="00EC3651" w:rsidRPr="00C43975" w:rsidRDefault="00EC3651" w:rsidP="00515F47">
            <w:pPr>
              <w:autoSpaceDE w:val="0"/>
              <w:autoSpaceDN w:val="0"/>
              <w:adjustRightInd w:val="0"/>
              <w:spacing w:line="480" w:lineRule="auto"/>
              <w:ind w:left="113"/>
              <w:jc w:val="center"/>
              <w:cnfStyle w:val="000000000000" w:firstRow="0" w:lastRow="0" w:firstColumn="0" w:lastColumn="0" w:oddVBand="0" w:evenVBand="0" w:oddHBand="0" w:evenHBand="0" w:firstRowFirstColumn="0" w:firstRowLastColumn="0" w:lastRowFirstColumn="0" w:lastRowLastColumn="0"/>
              <w:rPr>
                <w:rFonts w:ascii="Arial" w:hAnsi="Arial" w:cs="Arial"/>
                <w:bCs/>
                <w:i/>
              </w:rPr>
            </w:pPr>
            <w:r w:rsidRPr="00C43975">
              <w:rPr>
                <w:rFonts w:ascii="Arial" w:hAnsi="Arial" w:cs="Arial"/>
                <w:bCs/>
                <w:i/>
              </w:rPr>
              <w:t>0</w:t>
            </w:r>
          </w:p>
        </w:tc>
        <w:tc>
          <w:tcPr>
            <w:tcW w:w="1559" w:type="dxa"/>
            <w:gridSpan w:val="2"/>
          </w:tcPr>
          <w:p w14:paraId="7808D2F5" w14:textId="77777777" w:rsidR="00EC3651" w:rsidRPr="00C43975" w:rsidRDefault="00EC3651" w:rsidP="00515F47">
            <w:pPr>
              <w:autoSpaceDE w:val="0"/>
              <w:autoSpaceDN w:val="0"/>
              <w:adjustRightInd w:val="0"/>
              <w:spacing w:line="480" w:lineRule="auto"/>
              <w:ind w:left="113"/>
              <w:jc w:val="center"/>
              <w:cnfStyle w:val="000000000000" w:firstRow="0" w:lastRow="0" w:firstColumn="0" w:lastColumn="0" w:oddVBand="0" w:evenVBand="0" w:oddHBand="0" w:evenHBand="0" w:firstRowFirstColumn="0" w:firstRowLastColumn="0" w:lastRowFirstColumn="0" w:lastRowLastColumn="0"/>
              <w:rPr>
                <w:rFonts w:ascii="Arial" w:hAnsi="Arial" w:cs="Arial"/>
                <w:bCs/>
                <w:i/>
              </w:rPr>
            </w:pPr>
            <w:r w:rsidRPr="00C43975">
              <w:rPr>
                <w:rFonts w:ascii="Arial" w:hAnsi="Arial" w:cs="Arial"/>
                <w:bCs/>
                <w:i/>
              </w:rPr>
              <w:t>0</w:t>
            </w:r>
          </w:p>
        </w:tc>
      </w:tr>
      <w:tr w:rsidR="00EC3651" w:rsidRPr="00C43975" w14:paraId="38DB923A" w14:textId="77777777" w:rsidTr="00515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4B50F681" w14:textId="77777777" w:rsidR="00EC3651" w:rsidRPr="00C43975" w:rsidRDefault="00EC3651" w:rsidP="00515F47">
            <w:pPr>
              <w:autoSpaceDE w:val="0"/>
              <w:autoSpaceDN w:val="0"/>
              <w:adjustRightInd w:val="0"/>
              <w:spacing w:line="480" w:lineRule="auto"/>
              <w:jc w:val="both"/>
              <w:rPr>
                <w:rFonts w:ascii="Arial" w:hAnsi="Arial" w:cs="Arial"/>
                <w:b w:val="0"/>
                <w:color w:val="000000"/>
              </w:rPr>
            </w:pPr>
            <w:r w:rsidRPr="00C43975">
              <w:rPr>
                <w:rFonts w:ascii="Arial" w:hAnsi="Arial" w:cs="Arial"/>
                <w:b w:val="0"/>
                <w:color w:val="000000"/>
              </w:rPr>
              <w:t>Flucytosine n(%)</w:t>
            </w:r>
          </w:p>
        </w:tc>
        <w:tc>
          <w:tcPr>
            <w:tcW w:w="1418" w:type="dxa"/>
          </w:tcPr>
          <w:p w14:paraId="7C0D8761"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bCs/>
              </w:rPr>
              <w:t>0</w:t>
            </w:r>
          </w:p>
        </w:tc>
        <w:tc>
          <w:tcPr>
            <w:tcW w:w="1276" w:type="dxa"/>
          </w:tcPr>
          <w:p w14:paraId="2E0F903F"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bCs/>
              </w:rPr>
              <w:t>0</w:t>
            </w:r>
          </w:p>
        </w:tc>
        <w:tc>
          <w:tcPr>
            <w:tcW w:w="1275" w:type="dxa"/>
            <w:gridSpan w:val="2"/>
          </w:tcPr>
          <w:p w14:paraId="261D8C0B"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bCs/>
              </w:rPr>
              <w:t>0</w:t>
            </w:r>
          </w:p>
        </w:tc>
        <w:tc>
          <w:tcPr>
            <w:tcW w:w="1418" w:type="dxa"/>
            <w:gridSpan w:val="2"/>
          </w:tcPr>
          <w:p w14:paraId="56923C97"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bCs/>
              </w:rPr>
              <w:t>0</w:t>
            </w:r>
          </w:p>
        </w:tc>
        <w:tc>
          <w:tcPr>
            <w:tcW w:w="1134" w:type="dxa"/>
          </w:tcPr>
          <w:p w14:paraId="432B4858"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bCs/>
              </w:rPr>
              <w:t>0</w:t>
            </w:r>
          </w:p>
        </w:tc>
        <w:tc>
          <w:tcPr>
            <w:tcW w:w="1559" w:type="dxa"/>
            <w:gridSpan w:val="2"/>
          </w:tcPr>
          <w:p w14:paraId="6E83297D" w14:textId="77777777" w:rsidR="00EC3651" w:rsidRPr="00C43975" w:rsidRDefault="00EC3651" w:rsidP="00515F47">
            <w:pPr>
              <w:autoSpaceDE w:val="0"/>
              <w:autoSpaceDN w:val="0"/>
              <w:adjustRightInd w:val="0"/>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43975">
              <w:rPr>
                <w:rFonts w:ascii="Arial" w:hAnsi="Arial" w:cs="Arial"/>
                <w:bCs/>
              </w:rPr>
              <w:t>1 (2.3)</w:t>
            </w:r>
          </w:p>
        </w:tc>
      </w:tr>
      <w:tr w:rsidR="00EC3651" w:rsidRPr="00C43975" w14:paraId="27EBA8B8" w14:textId="77777777" w:rsidTr="00515F47">
        <w:tc>
          <w:tcPr>
            <w:cnfStyle w:val="001000000000" w:firstRow="0" w:lastRow="0" w:firstColumn="1" w:lastColumn="0" w:oddVBand="0" w:evenVBand="0" w:oddHBand="0" w:evenHBand="0" w:firstRowFirstColumn="0" w:firstRowLastColumn="0" w:lastRowFirstColumn="0" w:lastRowLastColumn="0"/>
            <w:tcW w:w="2977" w:type="dxa"/>
          </w:tcPr>
          <w:p w14:paraId="5A85919C" w14:textId="77777777" w:rsidR="00EC3651" w:rsidRPr="00C43975" w:rsidRDefault="00EC3651" w:rsidP="00515F47">
            <w:pPr>
              <w:autoSpaceDE w:val="0"/>
              <w:autoSpaceDN w:val="0"/>
              <w:adjustRightInd w:val="0"/>
              <w:spacing w:line="480" w:lineRule="auto"/>
              <w:jc w:val="both"/>
              <w:rPr>
                <w:rFonts w:ascii="Arial" w:hAnsi="Arial" w:cs="Arial"/>
                <w:bCs w:val="0"/>
                <w:color w:val="000000"/>
              </w:rPr>
            </w:pPr>
            <w:proofErr w:type="gramStart"/>
            <w:r w:rsidRPr="00C43975">
              <w:rPr>
                <w:rFonts w:ascii="Arial" w:hAnsi="Arial" w:cs="Arial"/>
                <w:b w:val="0"/>
                <w:color w:val="000000"/>
              </w:rPr>
              <w:t>Other</w:t>
            </w:r>
            <w:proofErr w:type="gramEnd"/>
            <w:r w:rsidRPr="00C43975">
              <w:rPr>
                <w:rFonts w:ascii="Arial" w:hAnsi="Arial" w:cs="Arial"/>
                <w:b w:val="0"/>
                <w:color w:val="000000"/>
              </w:rPr>
              <w:t xml:space="preserve"> n(%)</w:t>
            </w:r>
          </w:p>
          <w:p w14:paraId="51300602" w14:textId="77777777" w:rsidR="00EC3651" w:rsidRPr="00C43975" w:rsidRDefault="00EC3651" w:rsidP="00515F47">
            <w:pPr>
              <w:autoSpaceDE w:val="0"/>
              <w:autoSpaceDN w:val="0"/>
              <w:adjustRightInd w:val="0"/>
              <w:spacing w:line="480" w:lineRule="auto"/>
              <w:jc w:val="both"/>
              <w:rPr>
                <w:rFonts w:ascii="Arial" w:hAnsi="Arial" w:cs="Arial"/>
                <w:b w:val="0"/>
                <w:bCs w:val="0"/>
              </w:rPr>
            </w:pPr>
            <w:r w:rsidRPr="00C43975">
              <w:rPr>
                <w:rFonts w:ascii="Arial" w:hAnsi="Arial" w:cs="Arial"/>
                <w:b w:val="0"/>
                <w:bCs w:val="0"/>
              </w:rPr>
              <w:t xml:space="preserve">Missing data </w:t>
            </w:r>
            <w:r w:rsidRPr="00C43975">
              <w:rPr>
                <w:rFonts w:ascii="Arial" w:hAnsi="Arial" w:cs="Arial"/>
                <w:b w:val="0"/>
                <w:color w:val="000000"/>
              </w:rPr>
              <w:t>n(%)</w:t>
            </w:r>
          </w:p>
        </w:tc>
        <w:tc>
          <w:tcPr>
            <w:tcW w:w="1418" w:type="dxa"/>
          </w:tcPr>
          <w:p w14:paraId="3A6349A0"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C43975">
              <w:rPr>
                <w:rFonts w:ascii="Arial" w:hAnsi="Arial" w:cs="Arial"/>
                <w:bCs/>
              </w:rPr>
              <w:t>1 (0.4)</w:t>
            </w:r>
          </w:p>
          <w:p w14:paraId="0E0C633C"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C43975">
              <w:rPr>
                <w:rFonts w:ascii="Arial" w:hAnsi="Arial" w:cs="Arial"/>
                <w:bCs/>
              </w:rPr>
              <w:t>0</w:t>
            </w:r>
          </w:p>
        </w:tc>
        <w:tc>
          <w:tcPr>
            <w:tcW w:w="1276" w:type="dxa"/>
          </w:tcPr>
          <w:p w14:paraId="0C479BB0"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C43975">
              <w:rPr>
                <w:rFonts w:ascii="Arial" w:hAnsi="Arial" w:cs="Arial"/>
                <w:bCs/>
              </w:rPr>
              <w:t>1 (0.5)</w:t>
            </w:r>
          </w:p>
          <w:p w14:paraId="322C6CD4"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C43975">
              <w:rPr>
                <w:rFonts w:ascii="Arial" w:hAnsi="Arial" w:cs="Arial"/>
                <w:bCs/>
              </w:rPr>
              <w:t>7 (3.8)</w:t>
            </w:r>
          </w:p>
        </w:tc>
        <w:tc>
          <w:tcPr>
            <w:tcW w:w="1275" w:type="dxa"/>
            <w:gridSpan w:val="2"/>
          </w:tcPr>
          <w:p w14:paraId="6D57DC33"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C43975">
              <w:rPr>
                <w:rFonts w:ascii="Arial" w:hAnsi="Arial" w:cs="Arial"/>
                <w:bCs/>
              </w:rPr>
              <w:t>0</w:t>
            </w:r>
          </w:p>
          <w:p w14:paraId="5EA792E7"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C43975">
              <w:rPr>
                <w:rFonts w:ascii="Arial" w:hAnsi="Arial" w:cs="Arial"/>
                <w:bCs/>
              </w:rPr>
              <w:t>0</w:t>
            </w:r>
          </w:p>
        </w:tc>
        <w:tc>
          <w:tcPr>
            <w:tcW w:w="1418" w:type="dxa"/>
            <w:gridSpan w:val="2"/>
          </w:tcPr>
          <w:p w14:paraId="5DBB83DA"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C43975">
              <w:rPr>
                <w:rFonts w:ascii="Arial" w:hAnsi="Arial" w:cs="Arial"/>
                <w:bCs/>
              </w:rPr>
              <w:t>0</w:t>
            </w:r>
          </w:p>
          <w:p w14:paraId="7DBE3D86"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C43975">
              <w:rPr>
                <w:rFonts w:ascii="Arial" w:hAnsi="Arial" w:cs="Arial"/>
                <w:bCs/>
              </w:rPr>
              <w:t>0</w:t>
            </w:r>
          </w:p>
        </w:tc>
        <w:tc>
          <w:tcPr>
            <w:tcW w:w="1134" w:type="dxa"/>
          </w:tcPr>
          <w:p w14:paraId="064B3D23"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C43975">
              <w:rPr>
                <w:rFonts w:ascii="Arial" w:hAnsi="Arial" w:cs="Arial"/>
                <w:bCs/>
              </w:rPr>
              <w:t>0</w:t>
            </w:r>
          </w:p>
          <w:p w14:paraId="0F751A25"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C43975">
              <w:rPr>
                <w:rFonts w:ascii="Arial" w:hAnsi="Arial" w:cs="Arial"/>
                <w:bCs/>
              </w:rPr>
              <w:t>2 (1.5)</w:t>
            </w:r>
          </w:p>
        </w:tc>
        <w:tc>
          <w:tcPr>
            <w:tcW w:w="1559" w:type="dxa"/>
            <w:gridSpan w:val="2"/>
          </w:tcPr>
          <w:p w14:paraId="1A78BA49"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C43975">
              <w:rPr>
                <w:rFonts w:ascii="Arial" w:hAnsi="Arial" w:cs="Arial"/>
                <w:bCs/>
              </w:rPr>
              <w:t>0</w:t>
            </w:r>
          </w:p>
          <w:p w14:paraId="248F48E1" w14:textId="77777777" w:rsidR="00EC3651" w:rsidRPr="00C43975" w:rsidRDefault="00EC3651" w:rsidP="00515F47">
            <w:pPr>
              <w:autoSpaceDE w:val="0"/>
              <w:autoSpaceDN w:val="0"/>
              <w:adjustRightInd w:val="0"/>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C43975">
              <w:rPr>
                <w:rFonts w:ascii="Arial" w:hAnsi="Arial" w:cs="Arial"/>
                <w:bCs/>
              </w:rPr>
              <w:t>0</w:t>
            </w:r>
          </w:p>
        </w:tc>
      </w:tr>
    </w:tbl>
    <w:p w14:paraId="16B4718A" w14:textId="77777777" w:rsidR="00EC3651" w:rsidRPr="00C43975" w:rsidRDefault="00EC3651" w:rsidP="00EC3651">
      <w:pPr>
        <w:spacing w:line="480" w:lineRule="auto"/>
        <w:rPr>
          <w:rFonts w:ascii="Arial" w:hAnsi="Arial" w:cs="Arial"/>
        </w:rPr>
      </w:pPr>
    </w:p>
    <w:p w14:paraId="237474AE" w14:textId="3A951AFA" w:rsidR="00EC3651" w:rsidRDefault="00EC3651" w:rsidP="00EC3651">
      <w:pPr>
        <w:spacing w:line="480" w:lineRule="auto"/>
        <w:rPr>
          <w:rFonts w:ascii="Arial" w:hAnsi="Arial" w:cs="Arial"/>
        </w:rPr>
      </w:pPr>
      <w:r w:rsidRPr="00C43975">
        <w:rPr>
          <w:rFonts w:ascii="Arial" w:hAnsi="Arial" w:cs="Arial"/>
        </w:rPr>
        <w:t xml:space="preserve">HIC, High Income Country. LMIC, Low Middle Income Country. High risk for invasive fungal infection was considered when the neonate was extreme preterm or the children had an underlying malignancy or immunodeficiency. Amphotericin B includes all formulations. </w:t>
      </w:r>
    </w:p>
    <w:p w14:paraId="0538AA3D" w14:textId="77777777" w:rsidR="00EC3651" w:rsidRDefault="00EC3651">
      <w:pPr>
        <w:spacing w:after="160" w:line="259" w:lineRule="auto"/>
        <w:rPr>
          <w:rFonts w:ascii="Arial" w:hAnsi="Arial" w:cs="Arial"/>
        </w:rPr>
      </w:pPr>
      <w:r>
        <w:rPr>
          <w:rFonts w:ascii="Arial" w:hAnsi="Arial" w:cs="Arial"/>
        </w:rPr>
        <w:br w:type="page"/>
      </w:r>
    </w:p>
    <w:p w14:paraId="597A5D32" w14:textId="77777777" w:rsidR="00EC3651" w:rsidRPr="00C43975" w:rsidRDefault="00EC3651" w:rsidP="00EC3651">
      <w:pPr>
        <w:spacing w:line="480" w:lineRule="auto"/>
        <w:rPr>
          <w:rFonts w:ascii="Arial" w:hAnsi="Arial" w:cs="Arial"/>
        </w:rPr>
      </w:pPr>
      <w:r w:rsidRPr="00C43975">
        <w:rPr>
          <w:rFonts w:ascii="Arial" w:hAnsi="Arial" w:cs="Arial"/>
          <w:b/>
        </w:rPr>
        <w:lastRenderedPageBreak/>
        <w:t>Figures</w:t>
      </w:r>
    </w:p>
    <w:p w14:paraId="46563E00" w14:textId="77777777" w:rsidR="00EC3651" w:rsidRPr="00C43975" w:rsidRDefault="00EC3651" w:rsidP="00EC3651">
      <w:pPr>
        <w:autoSpaceDE w:val="0"/>
        <w:autoSpaceDN w:val="0"/>
        <w:adjustRightInd w:val="0"/>
        <w:spacing w:line="480" w:lineRule="auto"/>
        <w:rPr>
          <w:rFonts w:ascii="Arial" w:hAnsi="Arial" w:cs="Arial"/>
          <w:b/>
        </w:rPr>
      </w:pPr>
    </w:p>
    <w:p w14:paraId="759562FC" w14:textId="77777777" w:rsidR="00EC3651" w:rsidRPr="00C43975" w:rsidRDefault="00EC3651" w:rsidP="00EC3651">
      <w:pPr>
        <w:autoSpaceDE w:val="0"/>
        <w:autoSpaceDN w:val="0"/>
        <w:adjustRightInd w:val="0"/>
        <w:spacing w:line="480" w:lineRule="auto"/>
        <w:rPr>
          <w:rFonts w:ascii="Arial" w:hAnsi="Arial" w:cs="Arial"/>
          <w:b/>
        </w:rPr>
      </w:pPr>
      <w:r w:rsidRPr="00C43975">
        <w:rPr>
          <w:rFonts w:ascii="Arial" w:hAnsi="Arial" w:cs="Arial"/>
          <w:b/>
        </w:rPr>
        <w:t xml:space="preserve">Figure 1 </w:t>
      </w:r>
    </w:p>
    <w:p w14:paraId="7F034758" w14:textId="77777777" w:rsidR="00EC3651" w:rsidRPr="00C43975" w:rsidRDefault="00EC3651" w:rsidP="00EC3651">
      <w:pPr>
        <w:autoSpaceDE w:val="0"/>
        <w:autoSpaceDN w:val="0"/>
        <w:adjustRightInd w:val="0"/>
        <w:spacing w:line="480" w:lineRule="auto"/>
        <w:rPr>
          <w:rFonts w:ascii="Arial" w:hAnsi="Arial" w:cs="Arial"/>
        </w:rPr>
      </w:pPr>
      <w:r w:rsidRPr="00C43975">
        <w:rPr>
          <w:rFonts w:ascii="Arial" w:hAnsi="Arial" w:cs="Arial"/>
          <w:noProof/>
        </w:rPr>
        <w:t xml:space="preserve"> </w:t>
      </w:r>
      <w:r w:rsidRPr="00C43975">
        <w:rPr>
          <w:rFonts w:ascii="Arial" w:hAnsi="Arial" w:cs="Arial"/>
          <w:noProof/>
        </w:rPr>
        <w:drawing>
          <wp:inline distT="0" distB="0" distL="0" distR="0" wp14:anchorId="66EF2897" wp14:editId="7FF52023">
            <wp:extent cx="5731510" cy="2934335"/>
            <wp:effectExtent l="12700" t="12700" r="8890"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934335"/>
                    </a:xfrm>
                    <a:prstGeom prst="rect">
                      <a:avLst/>
                    </a:prstGeom>
                    <a:ln>
                      <a:solidFill>
                        <a:schemeClr val="bg1">
                          <a:lumMod val="50000"/>
                        </a:schemeClr>
                      </a:solidFill>
                    </a:ln>
                  </pic:spPr>
                </pic:pic>
              </a:graphicData>
            </a:graphic>
          </wp:inline>
        </w:drawing>
      </w:r>
      <w:r w:rsidRPr="00C43975" w:rsidDel="00A54372">
        <w:rPr>
          <w:rFonts w:ascii="Arial" w:hAnsi="Arial" w:cs="Arial"/>
          <w:noProof/>
        </w:rPr>
        <w:t xml:space="preserve"> </w:t>
      </w:r>
    </w:p>
    <w:p w14:paraId="3BD4E717" w14:textId="77777777" w:rsidR="00EC3651" w:rsidRPr="00C43975" w:rsidRDefault="00EC3651" w:rsidP="00EC3651">
      <w:pPr>
        <w:autoSpaceDE w:val="0"/>
        <w:autoSpaceDN w:val="0"/>
        <w:adjustRightInd w:val="0"/>
        <w:spacing w:line="480" w:lineRule="auto"/>
        <w:rPr>
          <w:rFonts w:ascii="Arial" w:hAnsi="Arial" w:cs="Arial"/>
        </w:rPr>
      </w:pPr>
    </w:p>
    <w:p w14:paraId="71B23B63" w14:textId="77777777" w:rsidR="00EC3651" w:rsidRPr="00C43975" w:rsidRDefault="00EC3651" w:rsidP="00EC3651">
      <w:pPr>
        <w:autoSpaceDE w:val="0"/>
        <w:autoSpaceDN w:val="0"/>
        <w:adjustRightInd w:val="0"/>
        <w:spacing w:line="480" w:lineRule="auto"/>
        <w:rPr>
          <w:rFonts w:ascii="Arial" w:hAnsi="Arial" w:cs="Arial"/>
        </w:rPr>
      </w:pPr>
    </w:p>
    <w:p w14:paraId="5D9D4398" w14:textId="77777777" w:rsidR="00EC3651" w:rsidRPr="00C43975" w:rsidRDefault="00EC3651" w:rsidP="00EC3651">
      <w:pPr>
        <w:autoSpaceDE w:val="0"/>
        <w:autoSpaceDN w:val="0"/>
        <w:adjustRightInd w:val="0"/>
        <w:spacing w:line="480" w:lineRule="auto"/>
        <w:rPr>
          <w:rFonts w:ascii="Arial" w:hAnsi="Arial" w:cs="Arial"/>
        </w:rPr>
      </w:pPr>
    </w:p>
    <w:p w14:paraId="7536F728" w14:textId="77777777" w:rsidR="00EC3651" w:rsidRDefault="00EC3651" w:rsidP="00EC3651">
      <w:pPr>
        <w:autoSpaceDE w:val="0"/>
        <w:autoSpaceDN w:val="0"/>
        <w:adjustRightInd w:val="0"/>
        <w:spacing w:line="480" w:lineRule="auto"/>
        <w:rPr>
          <w:rFonts w:ascii="Arial" w:hAnsi="Arial" w:cs="Arial"/>
        </w:rPr>
      </w:pPr>
    </w:p>
    <w:p w14:paraId="58B4AAAC" w14:textId="77777777" w:rsidR="00EC3651" w:rsidRDefault="00EC3651" w:rsidP="00EC3651">
      <w:pPr>
        <w:rPr>
          <w:rFonts w:ascii="Arial" w:hAnsi="Arial" w:cs="Arial"/>
          <w:b/>
        </w:rPr>
      </w:pPr>
      <w:r>
        <w:rPr>
          <w:rFonts w:ascii="Arial" w:hAnsi="Arial" w:cs="Arial"/>
          <w:b/>
        </w:rPr>
        <w:br w:type="page"/>
      </w:r>
    </w:p>
    <w:p w14:paraId="26046D1D" w14:textId="77777777" w:rsidR="00EC3651" w:rsidRPr="00C43975" w:rsidRDefault="00EC3651" w:rsidP="00EC3651">
      <w:pPr>
        <w:autoSpaceDE w:val="0"/>
        <w:autoSpaceDN w:val="0"/>
        <w:adjustRightInd w:val="0"/>
        <w:spacing w:line="480" w:lineRule="auto"/>
        <w:rPr>
          <w:rFonts w:ascii="Arial" w:hAnsi="Arial" w:cs="Arial"/>
          <w:b/>
        </w:rPr>
      </w:pPr>
      <w:r w:rsidRPr="00C43975">
        <w:rPr>
          <w:rFonts w:ascii="Arial" w:hAnsi="Arial" w:cs="Arial"/>
          <w:b/>
        </w:rPr>
        <w:lastRenderedPageBreak/>
        <w:t>Figure 2</w:t>
      </w:r>
    </w:p>
    <w:p w14:paraId="12DAC934" w14:textId="77777777" w:rsidR="00EC3651" w:rsidRPr="00C43975" w:rsidRDefault="00EC3651" w:rsidP="00EC3651">
      <w:pPr>
        <w:autoSpaceDE w:val="0"/>
        <w:autoSpaceDN w:val="0"/>
        <w:adjustRightInd w:val="0"/>
        <w:spacing w:line="480" w:lineRule="auto"/>
        <w:rPr>
          <w:rFonts w:ascii="Arial" w:hAnsi="Arial" w:cs="Arial"/>
          <w:b/>
        </w:rPr>
      </w:pPr>
    </w:p>
    <w:p w14:paraId="6E65974B" w14:textId="77777777" w:rsidR="00EC3651" w:rsidRPr="00C43975" w:rsidRDefault="00EC3651" w:rsidP="00EC3651">
      <w:pPr>
        <w:autoSpaceDE w:val="0"/>
        <w:autoSpaceDN w:val="0"/>
        <w:adjustRightInd w:val="0"/>
        <w:spacing w:line="480" w:lineRule="auto"/>
        <w:rPr>
          <w:rFonts w:ascii="Arial" w:hAnsi="Arial" w:cs="Arial"/>
        </w:rPr>
      </w:pPr>
      <w:r w:rsidRPr="00C43975">
        <w:rPr>
          <w:rFonts w:ascii="Arial" w:hAnsi="Arial" w:cs="Arial"/>
          <w:noProof/>
          <w:lang w:eastAsia="en-GB"/>
        </w:rPr>
        <w:drawing>
          <wp:inline distT="0" distB="0" distL="0" distR="0" wp14:anchorId="79DEE582" wp14:editId="7717A3BC">
            <wp:extent cx="5731510" cy="4565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4565650"/>
                    </a:xfrm>
                    <a:prstGeom prst="rect">
                      <a:avLst/>
                    </a:prstGeom>
                  </pic:spPr>
                </pic:pic>
              </a:graphicData>
            </a:graphic>
          </wp:inline>
        </w:drawing>
      </w:r>
    </w:p>
    <w:p w14:paraId="4A6A1C6B" w14:textId="77777777" w:rsidR="00EC3651" w:rsidRPr="00C43975" w:rsidRDefault="00EC3651" w:rsidP="00EC3651">
      <w:pPr>
        <w:autoSpaceDE w:val="0"/>
        <w:autoSpaceDN w:val="0"/>
        <w:adjustRightInd w:val="0"/>
        <w:spacing w:line="480" w:lineRule="auto"/>
        <w:rPr>
          <w:rFonts w:ascii="Arial" w:hAnsi="Arial" w:cs="Arial"/>
        </w:rPr>
      </w:pPr>
    </w:p>
    <w:p w14:paraId="63D11E98" w14:textId="77777777" w:rsidR="00EC3651" w:rsidRDefault="00EC3651" w:rsidP="00EC3651"/>
    <w:p w14:paraId="688F925F" w14:textId="77777777" w:rsidR="00EC3651" w:rsidRDefault="00EC3651" w:rsidP="00EC3651"/>
    <w:p w14:paraId="74AD61FD" w14:textId="77777777" w:rsidR="00EC3651" w:rsidRPr="00C43975" w:rsidRDefault="00EC3651" w:rsidP="00EC3651">
      <w:pPr>
        <w:spacing w:line="480" w:lineRule="auto"/>
        <w:rPr>
          <w:rFonts w:ascii="Arial" w:hAnsi="Arial" w:cs="Arial"/>
        </w:rPr>
      </w:pPr>
    </w:p>
    <w:p w14:paraId="45ACFDDE" w14:textId="77777777" w:rsidR="00EC3651" w:rsidRPr="00C43975" w:rsidRDefault="00EC3651" w:rsidP="00EC3651">
      <w:pPr>
        <w:spacing w:line="480" w:lineRule="auto"/>
        <w:rPr>
          <w:rFonts w:ascii="Arial" w:hAnsi="Arial" w:cs="Arial"/>
          <w:b/>
        </w:rPr>
      </w:pPr>
    </w:p>
    <w:p w14:paraId="18941281" w14:textId="77777777" w:rsidR="00EC3651" w:rsidRPr="00C43975" w:rsidRDefault="00EC3651" w:rsidP="00EC3651">
      <w:pPr>
        <w:spacing w:line="480" w:lineRule="auto"/>
        <w:rPr>
          <w:rFonts w:ascii="Arial" w:hAnsi="Arial" w:cs="Arial"/>
          <w:b/>
        </w:rPr>
      </w:pPr>
    </w:p>
    <w:p w14:paraId="0396A513" w14:textId="77777777" w:rsidR="00EC3651" w:rsidRPr="00C43975" w:rsidRDefault="00EC3651" w:rsidP="00EC3651">
      <w:pPr>
        <w:spacing w:after="160" w:line="480" w:lineRule="auto"/>
        <w:rPr>
          <w:rFonts w:ascii="Arial" w:hAnsi="Arial" w:cs="Arial"/>
          <w:b/>
        </w:rPr>
      </w:pPr>
    </w:p>
    <w:p w14:paraId="6210E91D" w14:textId="77777777" w:rsidR="00EF3D53" w:rsidRPr="00C43975" w:rsidRDefault="00EF3D53" w:rsidP="00EF3D53">
      <w:pPr>
        <w:autoSpaceDE w:val="0"/>
        <w:autoSpaceDN w:val="0"/>
        <w:adjustRightInd w:val="0"/>
        <w:spacing w:line="480" w:lineRule="auto"/>
        <w:rPr>
          <w:rFonts w:ascii="Arial" w:hAnsi="Arial" w:cs="Arial"/>
        </w:rPr>
      </w:pPr>
    </w:p>
    <w:p w14:paraId="0A084530" w14:textId="77777777" w:rsidR="00EF3D53" w:rsidRPr="00C43975" w:rsidRDefault="00EF3D53" w:rsidP="00EF3D53">
      <w:pPr>
        <w:autoSpaceDE w:val="0"/>
        <w:autoSpaceDN w:val="0"/>
        <w:adjustRightInd w:val="0"/>
        <w:spacing w:line="480" w:lineRule="auto"/>
        <w:rPr>
          <w:rFonts w:ascii="Arial" w:hAnsi="Arial" w:cs="Arial"/>
        </w:rPr>
      </w:pPr>
    </w:p>
    <w:p w14:paraId="2F552C42" w14:textId="06818BF4" w:rsidR="003F02C4" w:rsidRPr="00C43975" w:rsidRDefault="003F02C4" w:rsidP="00C43975">
      <w:pPr>
        <w:spacing w:after="160" w:line="480" w:lineRule="auto"/>
        <w:rPr>
          <w:rFonts w:ascii="Arial" w:hAnsi="Arial" w:cs="Arial"/>
        </w:rPr>
      </w:pPr>
      <w:bookmarkStart w:id="0" w:name="_GoBack"/>
      <w:bookmarkEnd w:id="0"/>
    </w:p>
    <w:sectPr w:rsidR="003F02C4" w:rsidRPr="00C43975" w:rsidSect="00EC3651">
      <w:footerReference w:type="even" r:id="rId11"/>
      <w:footerReference w:type="default" r:id="rId12"/>
      <w:pgSz w:w="11906" w:h="16838"/>
      <w:pgMar w:top="1440" w:right="1440" w:bottom="1440" w:left="1440" w:header="708" w:footer="708"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370B81" w16cex:dateUtc="2020-04-07T13:24:00Z"/>
  <w16cex:commentExtensible w16cex:durableId="224B33E5" w16cex:dateUtc="2020-04-22T19:2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069F5D" w14:textId="77777777" w:rsidR="00774DB4" w:rsidRDefault="00774DB4" w:rsidP="00545465">
      <w:r>
        <w:separator/>
      </w:r>
    </w:p>
  </w:endnote>
  <w:endnote w:type="continuationSeparator" w:id="0">
    <w:p w14:paraId="70DE4133" w14:textId="77777777" w:rsidR="00774DB4" w:rsidRDefault="00774DB4" w:rsidP="00545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ScalaLancetPro">
    <w:altName w:val="Yu Gothic"/>
    <w:panose1 w:val="020B0604020202020204"/>
    <w:charset w:val="8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63767951"/>
      <w:docPartObj>
        <w:docPartGallery w:val="Page Numbers (Bottom of Page)"/>
        <w:docPartUnique/>
      </w:docPartObj>
    </w:sdtPr>
    <w:sdtEndPr>
      <w:rPr>
        <w:rStyle w:val="PageNumber"/>
      </w:rPr>
    </w:sdtEndPr>
    <w:sdtContent>
      <w:p w14:paraId="07B6193A" w14:textId="4389E8E7" w:rsidR="0065639D" w:rsidRDefault="0065639D" w:rsidP="003A72A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9583355" w14:textId="77777777" w:rsidR="0065639D" w:rsidRDefault="0065639D" w:rsidP="006563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26646371"/>
      <w:docPartObj>
        <w:docPartGallery w:val="Page Numbers (Bottom of Page)"/>
        <w:docPartUnique/>
      </w:docPartObj>
    </w:sdtPr>
    <w:sdtEndPr>
      <w:rPr>
        <w:rStyle w:val="PageNumber"/>
      </w:rPr>
    </w:sdtEndPr>
    <w:sdtContent>
      <w:p w14:paraId="7203955A" w14:textId="3EF1C60E" w:rsidR="0065639D" w:rsidRDefault="0065639D" w:rsidP="003A72A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1FC8B63A" w14:textId="77777777" w:rsidR="0065639D" w:rsidRDefault="0065639D" w:rsidP="0065639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1CC1F6" w14:textId="77777777" w:rsidR="00774DB4" w:rsidRDefault="00774DB4" w:rsidP="00545465">
      <w:r>
        <w:separator/>
      </w:r>
    </w:p>
  </w:footnote>
  <w:footnote w:type="continuationSeparator" w:id="0">
    <w:p w14:paraId="6F83CE39" w14:textId="77777777" w:rsidR="00774DB4" w:rsidRDefault="00774DB4" w:rsidP="005454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2C6838"/>
    <w:multiLevelType w:val="hybridMultilevel"/>
    <w:tmpl w:val="97229660"/>
    <w:lvl w:ilvl="0" w:tplc="8C7843D6">
      <w:start w:val="1"/>
      <w:numFmt w:val="decimal"/>
      <w:lvlText w:val="%1."/>
      <w:lvlJc w:val="left"/>
      <w:pPr>
        <w:ind w:left="720" w:hanging="360"/>
      </w:pPr>
      <w:rPr>
        <w:rFonts w:asciiTheme="minorHAnsi" w:eastAsia="Times New Roman" w:hAnsiTheme="minorHAnsi" w:cstheme="minorHAnsi"/>
        <w:color w:val="20202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C743BA"/>
    <w:multiLevelType w:val="hybridMultilevel"/>
    <w:tmpl w:val="97229660"/>
    <w:lvl w:ilvl="0" w:tplc="8C7843D6">
      <w:start w:val="1"/>
      <w:numFmt w:val="decimal"/>
      <w:lvlText w:val="%1."/>
      <w:lvlJc w:val="left"/>
      <w:pPr>
        <w:ind w:left="720" w:hanging="360"/>
      </w:pPr>
      <w:rPr>
        <w:rFonts w:asciiTheme="minorHAnsi" w:eastAsia="Times New Roman" w:hAnsiTheme="minorHAnsi" w:cstheme="minorHAnsi"/>
        <w:color w:val="20202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A22D0D"/>
    <w:multiLevelType w:val="hybridMultilevel"/>
    <w:tmpl w:val="A4222B46"/>
    <w:lvl w:ilvl="0" w:tplc="88F81A4E">
      <w:start w:val="7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995AE9"/>
    <w:multiLevelType w:val="hybridMultilevel"/>
    <w:tmpl w:val="ACA81E30"/>
    <w:lvl w:ilvl="0" w:tplc="66461366">
      <w:start w:val="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Lancet&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0D29ED"/>
    <w:rsid w:val="000011E2"/>
    <w:rsid w:val="00002C80"/>
    <w:rsid w:val="000043C7"/>
    <w:rsid w:val="0000711C"/>
    <w:rsid w:val="00014439"/>
    <w:rsid w:val="00017BF6"/>
    <w:rsid w:val="00020543"/>
    <w:rsid w:val="00025449"/>
    <w:rsid w:val="00031707"/>
    <w:rsid w:val="00031759"/>
    <w:rsid w:val="00035167"/>
    <w:rsid w:val="0003750E"/>
    <w:rsid w:val="000410DA"/>
    <w:rsid w:val="00053529"/>
    <w:rsid w:val="00063F26"/>
    <w:rsid w:val="00076CE6"/>
    <w:rsid w:val="00081249"/>
    <w:rsid w:val="000814E6"/>
    <w:rsid w:val="000821CA"/>
    <w:rsid w:val="00083AB1"/>
    <w:rsid w:val="00085DD6"/>
    <w:rsid w:val="0009073D"/>
    <w:rsid w:val="00093679"/>
    <w:rsid w:val="00093CAC"/>
    <w:rsid w:val="000956C7"/>
    <w:rsid w:val="00095AB9"/>
    <w:rsid w:val="000A6C9A"/>
    <w:rsid w:val="000A7BD5"/>
    <w:rsid w:val="000A7C2D"/>
    <w:rsid w:val="000B2DDC"/>
    <w:rsid w:val="000C4D2F"/>
    <w:rsid w:val="000D1947"/>
    <w:rsid w:val="000D1D4D"/>
    <w:rsid w:val="000D29ED"/>
    <w:rsid w:val="000E1E6C"/>
    <w:rsid w:val="000E2582"/>
    <w:rsid w:val="000F2836"/>
    <w:rsid w:val="000F4F3A"/>
    <w:rsid w:val="000F7C95"/>
    <w:rsid w:val="00101BA2"/>
    <w:rsid w:val="00106447"/>
    <w:rsid w:val="00107A51"/>
    <w:rsid w:val="0011148C"/>
    <w:rsid w:val="00114CEA"/>
    <w:rsid w:val="00120631"/>
    <w:rsid w:val="0012425D"/>
    <w:rsid w:val="00127AE4"/>
    <w:rsid w:val="001317DF"/>
    <w:rsid w:val="00134934"/>
    <w:rsid w:val="001575CA"/>
    <w:rsid w:val="00157698"/>
    <w:rsid w:val="00160E55"/>
    <w:rsid w:val="00166977"/>
    <w:rsid w:val="0017444B"/>
    <w:rsid w:val="00175594"/>
    <w:rsid w:val="001762F5"/>
    <w:rsid w:val="00177319"/>
    <w:rsid w:val="0018067A"/>
    <w:rsid w:val="00181F6E"/>
    <w:rsid w:val="00184BFA"/>
    <w:rsid w:val="001879B3"/>
    <w:rsid w:val="00197EB9"/>
    <w:rsid w:val="001A2852"/>
    <w:rsid w:val="001B0D77"/>
    <w:rsid w:val="001B4008"/>
    <w:rsid w:val="001C1C00"/>
    <w:rsid w:val="001C2265"/>
    <w:rsid w:val="001C5371"/>
    <w:rsid w:val="001C6720"/>
    <w:rsid w:val="001C6FE5"/>
    <w:rsid w:val="001E0E76"/>
    <w:rsid w:val="001E6153"/>
    <w:rsid w:val="001E7195"/>
    <w:rsid w:val="001F3691"/>
    <w:rsid w:val="00200E95"/>
    <w:rsid w:val="00207BFA"/>
    <w:rsid w:val="002157E8"/>
    <w:rsid w:val="002210F1"/>
    <w:rsid w:val="0022563B"/>
    <w:rsid w:val="00226D9D"/>
    <w:rsid w:val="00230DE9"/>
    <w:rsid w:val="00235AA3"/>
    <w:rsid w:val="00237A8C"/>
    <w:rsid w:val="00237B9D"/>
    <w:rsid w:val="00241453"/>
    <w:rsid w:val="00251F85"/>
    <w:rsid w:val="00254BBD"/>
    <w:rsid w:val="00256587"/>
    <w:rsid w:val="00257D4C"/>
    <w:rsid w:val="00261D55"/>
    <w:rsid w:val="00275365"/>
    <w:rsid w:val="00277959"/>
    <w:rsid w:val="00283A47"/>
    <w:rsid w:val="002869D0"/>
    <w:rsid w:val="00291F14"/>
    <w:rsid w:val="002963E8"/>
    <w:rsid w:val="002A2B03"/>
    <w:rsid w:val="002A70CC"/>
    <w:rsid w:val="002B0528"/>
    <w:rsid w:val="002B34EB"/>
    <w:rsid w:val="002B463F"/>
    <w:rsid w:val="002C1656"/>
    <w:rsid w:val="002C365A"/>
    <w:rsid w:val="002D6FB9"/>
    <w:rsid w:val="002D7478"/>
    <w:rsid w:val="002E6EC1"/>
    <w:rsid w:val="003016F8"/>
    <w:rsid w:val="00304114"/>
    <w:rsid w:val="00306F42"/>
    <w:rsid w:val="00307414"/>
    <w:rsid w:val="003132D5"/>
    <w:rsid w:val="0032212C"/>
    <w:rsid w:val="003363FE"/>
    <w:rsid w:val="00336A67"/>
    <w:rsid w:val="0033702F"/>
    <w:rsid w:val="00340572"/>
    <w:rsid w:val="003457F4"/>
    <w:rsid w:val="00345AAD"/>
    <w:rsid w:val="00351C57"/>
    <w:rsid w:val="003531FE"/>
    <w:rsid w:val="0035433C"/>
    <w:rsid w:val="003569F2"/>
    <w:rsid w:val="0036299A"/>
    <w:rsid w:val="0036363E"/>
    <w:rsid w:val="0036428E"/>
    <w:rsid w:val="00376B4D"/>
    <w:rsid w:val="003A1D9B"/>
    <w:rsid w:val="003A66B5"/>
    <w:rsid w:val="003A69AD"/>
    <w:rsid w:val="003C4ABA"/>
    <w:rsid w:val="003D120C"/>
    <w:rsid w:val="003D48E5"/>
    <w:rsid w:val="003D6380"/>
    <w:rsid w:val="003D7B17"/>
    <w:rsid w:val="003E2265"/>
    <w:rsid w:val="003E32DD"/>
    <w:rsid w:val="003E37DC"/>
    <w:rsid w:val="003E5647"/>
    <w:rsid w:val="003E68A0"/>
    <w:rsid w:val="003F02C4"/>
    <w:rsid w:val="003F28D1"/>
    <w:rsid w:val="003F2CBC"/>
    <w:rsid w:val="003F3412"/>
    <w:rsid w:val="003F3A93"/>
    <w:rsid w:val="003F3BDB"/>
    <w:rsid w:val="003F4549"/>
    <w:rsid w:val="003F7433"/>
    <w:rsid w:val="00401015"/>
    <w:rsid w:val="004036C6"/>
    <w:rsid w:val="004122D9"/>
    <w:rsid w:val="00424D4A"/>
    <w:rsid w:val="00426F66"/>
    <w:rsid w:val="00435701"/>
    <w:rsid w:val="00437917"/>
    <w:rsid w:val="004379D3"/>
    <w:rsid w:val="004415DB"/>
    <w:rsid w:val="00443401"/>
    <w:rsid w:val="00444C62"/>
    <w:rsid w:val="00451C2E"/>
    <w:rsid w:val="00462518"/>
    <w:rsid w:val="00464F0E"/>
    <w:rsid w:val="00490807"/>
    <w:rsid w:val="004931D0"/>
    <w:rsid w:val="00493F57"/>
    <w:rsid w:val="004941EF"/>
    <w:rsid w:val="004A0010"/>
    <w:rsid w:val="004A3460"/>
    <w:rsid w:val="004A59CB"/>
    <w:rsid w:val="004B27C9"/>
    <w:rsid w:val="004C3310"/>
    <w:rsid w:val="004C6BD2"/>
    <w:rsid w:val="004C7FD5"/>
    <w:rsid w:val="004D0B8F"/>
    <w:rsid w:val="004D52F2"/>
    <w:rsid w:val="004D6CD8"/>
    <w:rsid w:val="004F02CC"/>
    <w:rsid w:val="004F3A72"/>
    <w:rsid w:val="004F5E4A"/>
    <w:rsid w:val="004F6FA0"/>
    <w:rsid w:val="005018FA"/>
    <w:rsid w:val="00506077"/>
    <w:rsid w:val="00510778"/>
    <w:rsid w:val="00510B11"/>
    <w:rsid w:val="00510B6D"/>
    <w:rsid w:val="00513B0E"/>
    <w:rsid w:val="005168D3"/>
    <w:rsid w:val="00520267"/>
    <w:rsid w:val="00523125"/>
    <w:rsid w:val="00524319"/>
    <w:rsid w:val="005255BA"/>
    <w:rsid w:val="0053541C"/>
    <w:rsid w:val="005366A6"/>
    <w:rsid w:val="00536DB0"/>
    <w:rsid w:val="00542267"/>
    <w:rsid w:val="00545465"/>
    <w:rsid w:val="00546E18"/>
    <w:rsid w:val="00547126"/>
    <w:rsid w:val="00554811"/>
    <w:rsid w:val="0056109D"/>
    <w:rsid w:val="005809D9"/>
    <w:rsid w:val="00582577"/>
    <w:rsid w:val="00582834"/>
    <w:rsid w:val="00582C72"/>
    <w:rsid w:val="00582FFA"/>
    <w:rsid w:val="00586056"/>
    <w:rsid w:val="00586A76"/>
    <w:rsid w:val="00591574"/>
    <w:rsid w:val="00594D6D"/>
    <w:rsid w:val="00597648"/>
    <w:rsid w:val="00597A68"/>
    <w:rsid w:val="005A2FB7"/>
    <w:rsid w:val="005A492E"/>
    <w:rsid w:val="005A4EE3"/>
    <w:rsid w:val="005B270D"/>
    <w:rsid w:val="005B3EFD"/>
    <w:rsid w:val="005C6A15"/>
    <w:rsid w:val="005C7A5D"/>
    <w:rsid w:val="005D2CE9"/>
    <w:rsid w:val="005E4412"/>
    <w:rsid w:val="005E5B3E"/>
    <w:rsid w:val="005F1D3D"/>
    <w:rsid w:val="005F33E1"/>
    <w:rsid w:val="006051C9"/>
    <w:rsid w:val="00607948"/>
    <w:rsid w:val="00610C08"/>
    <w:rsid w:val="006138F9"/>
    <w:rsid w:val="006140F4"/>
    <w:rsid w:val="00617ACA"/>
    <w:rsid w:val="0062465B"/>
    <w:rsid w:val="006309C2"/>
    <w:rsid w:val="00635194"/>
    <w:rsid w:val="00637B1F"/>
    <w:rsid w:val="006441EC"/>
    <w:rsid w:val="0064569F"/>
    <w:rsid w:val="006464DA"/>
    <w:rsid w:val="00647B48"/>
    <w:rsid w:val="00651531"/>
    <w:rsid w:val="00654802"/>
    <w:rsid w:val="0065639D"/>
    <w:rsid w:val="00656B52"/>
    <w:rsid w:val="006618DB"/>
    <w:rsid w:val="00665E3F"/>
    <w:rsid w:val="0067290C"/>
    <w:rsid w:val="00676E84"/>
    <w:rsid w:val="006815EB"/>
    <w:rsid w:val="00683AE9"/>
    <w:rsid w:val="00691882"/>
    <w:rsid w:val="006A448F"/>
    <w:rsid w:val="006A56A6"/>
    <w:rsid w:val="006B4C9A"/>
    <w:rsid w:val="006B4CEB"/>
    <w:rsid w:val="006B6534"/>
    <w:rsid w:val="006B74E3"/>
    <w:rsid w:val="006B76AF"/>
    <w:rsid w:val="006C10CB"/>
    <w:rsid w:val="006C25FF"/>
    <w:rsid w:val="006D070F"/>
    <w:rsid w:val="006D401C"/>
    <w:rsid w:val="006D42CF"/>
    <w:rsid w:val="006E4219"/>
    <w:rsid w:val="006F4F26"/>
    <w:rsid w:val="006F532E"/>
    <w:rsid w:val="007045AF"/>
    <w:rsid w:val="00712FB6"/>
    <w:rsid w:val="007150C5"/>
    <w:rsid w:val="00716C2A"/>
    <w:rsid w:val="00720D2F"/>
    <w:rsid w:val="0073583D"/>
    <w:rsid w:val="00737B16"/>
    <w:rsid w:val="00740E00"/>
    <w:rsid w:val="007461A3"/>
    <w:rsid w:val="0076011F"/>
    <w:rsid w:val="0076264E"/>
    <w:rsid w:val="00763687"/>
    <w:rsid w:val="00772487"/>
    <w:rsid w:val="00772EF8"/>
    <w:rsid w:val="00774DB4"/>
    <w:rsid w:val="007838E8"/>
    <w:rsid w:val="007931CC"/>
    <w:rsid w:val="00797CCB"/>
    <w:rsid w:val="007A2CB4"/>
    <w:rsid w:val="007C6065"/>
    <w:rsid w:val="007C776C"/>
    <w:rsid w:val="007D2BC6"/>
    <w:rsid w:val="007D46C7"/>
    <w:rsid w:val="007D5CB7"/>
    <w:rsid w:val="007D6B8B"/>
    <w:rsid w:val="007F5A2B"/>
    <w:rsid w:val="0080308E"/>
    <w:rsid w:val="0081098F"/>
    <w:rsid w:val="00812B52"/>
    <w:rsid w:val="00823030"/>
    <w:rsid w:val="0082346D"/>
    <w:rsid w:val="00824156"/>
    <w:rsid w:val="008250D1"/>
    <w:rsid w:val="008260B2"/>
    <w:rsid w:val="00831E96"/>
    <w:rsid w:val="00841AD9"/>
    <w:rsid w:val="008645E4"/>
    <w:rsid w:val="00865144"/>
    <w:rsid w:val="00870FD3"/>
    <w:rsid w:val="008761AA"/>
    <w:rsid w:val="00876E71"/>
    <w:rsid w:val="00886EAA"/>
    <w:rsid w:val="00890577"/>
    <w:rsid w:val="00896866"/>
    <w:rsid w:val="008A058B"/>
    <w:rsid w:val="008A1564"/>
    <w:rsid w:val="008B5302"/>
    <w:rsid w:val="008C528D"/>
    <w:rsid w:val="008D1DD0"/>
    <w:rsid w:val="008D27AB"/>
    <w:rsid w:val="008D40F3"/>
    <w:rsid w:val="008D567C"/>
    <w:rsid w:val="008D5CC9"/>
    <w:rsid w:val="008E40EE"/>
    <w:rsid w:val="008E5A47"/>
    <w:rsid w:val="0090024A"/>
    <w:rsid w:val="009027A2"/>
    <w:rsid w:val="00905AEC"/>
    <w:rsid w:val="009108E4"/>
    <w:rsid w:val="00911DD7"/>
    <w:rsid w:val="00916F73"/>
    <w:rsid w:val="00920DA0"/>
    <w:rsid w:val="0094182F"/>
    <w:rsid w:val="00942725"/>
    <w:rsid w:val="00955E00"/>
    <w:rsid w:val="00961ECA"/>
    <w:rsid w:val="00965AAA"/>
    <w:rsid w:val="00971C21"/>
    <w:rsid w:val="00973654"/>
    <w:rsid w:val="00982D6C"/>
    <w:rsid w:val="0098311D"/>
    <w:rsid w:val="009865E9"/>
    <w:rsid w:val="00987637"/>
    <w:rsid w:val="0099467C"/>
    <w:rsid w:val="009A0894"/>
    <w:rsid w:val="009A5F90"/>
    <w:rsid w:val="009B5540"/>
    <w:rsid w:val="009B6A6D"/>
    <w:rsid w:val="009C0938"/>
    <w:rsid w:val="009C0EF5"/>
    <w:rsid w:val="009D57E6"/>
    <w:rsid w:val="009F5998"/>
    <w:rsid w:val="00A002A8"/>
    <w:rsid w:val="00A05056"/>
    <w:rsid w:val="00A05D59"/>
    <w:rsid w:val="00A12564"/>
    <w:rsid w:val="00A12BEB"/>
    <w:rsid w:val="00A14C59"/>
    <w:rsid w:val="00A24715"/>
    <w:rsid w:val="00A254F4"/>
    <w:rsid w:val="00A31717"/>
    <w:rsid w:val="00A347D9"/>
    <w:rsid w:val="00A35B99"/>
    <w:rsid w:val="00A373C2"/>
    <w:rsid w:val="00A377F4"/>
    <w:rsid w:val="00A41C41"/>
    <w:rsid w:val="00A472C2"/>
    <w:rsid w:val="00A47AA6"/>
    <w:rsid w:val="00A47E0E"/>
    <w:rsid w:val="00A50DA4"/>
    <w:rsid w:val="00A51D9D"/>
    <w:rsid w:val="00A54277"/>
    <w:rsid w:val="00A54372"/>
    <w:rsid w:val="00A6184B"/>
    <w:rsid w:val="00A70F9B"/>
    <w:rsid w:val="00A75F19"/>
    <w:rsid w:val="00A80D0B"/>
    <w:rsid w:val="00A82CB2"/>
    <w:rsid w:val="00A87B86"/>
    <w:rsid w:val="00A94262"/>
    <w:rsid w:val="00A96334"/>
    <w:rsid w:val="00AA1A37"/>
    <w:rsid w:val="00AA1F98"/>
    <w:rsid w:val="00AA25B4"/>
    <w:rsid w:val="00AB42C1"/>
    <w:rsid w:val="00AB787C"/>
    <w:rsid w:val="00AC316E"/>
    <w:rsid w:val="00AC5D20"/>
    <w:rsid w:val="00AC7D06"/>
    <w:rsid w:val="00AD1DB7"/>
    <w:rsid w:val="00AD1DE2"/>
    <w:rsid w:val="00AD496A"/>
    <w:rsid w:val="00AD6ED8"/>
    <w:rsid w:val="00AD7FBF"/>
    <w:rsid w:val="00AE7596"/>
    <w:rsid w:val="00AF0841"/>
    <w:rsid w:val="00B016C5"/>
    <w:rsid w:val="00B15D6D"/>
    <w:rsid w:val="00B3374F"/>
    <w:rsid w:val="00B369BC"/>
    <w:rsid w:val="00B4052D"/>
    <w:rsid w:val="00B40A11"/>
    <w:rsid w:val="00B4143F"/>
    <w:rsid w:val="00B45683"/>
    <w:rsid w:val="00B4755A"/>
    <w:rsid w:val="00B51B91"/>
    <w:rsid w:val="00B5277E"/>
    <w:rsid w:val="00B61252"/>
    <w:rsid w:val="00B618D2"/>
    <w:rsid w:val="00B62D41"/>
    <w:rsid w:val="00B65658"/>
    <w:rsid w:val="00B665CA"/>
    <w:rsid w:val="00B67804"/>
    <w:rsid w:val="00B736ED"/>
    <w:rsid w:val="00B75A9A"/>
    <w:rsid w:val="00B80C28"/>
    <w:rsid w:val="00B82151"/>
    <w:rsid w:val="00B82C53"/>
    <w:rsid w:val="00B86AB6"/>
    <w:rsid w:val="00B96399"/>
    <w:rsid w:val="00BA0DE0"/>
    <w:rsid w:val="00BA3BBB"/>
    <w:rsid w:val="00BA50C9"/>
    <w:rsid w:val="00BA79F9"/>
    <w:rsid w:val="00BB033D"/>
    <w:rsid w:val="00BB1A83"/>
    <w:rsid w:val="00BC146C"/>
    <w:rsid w:val="00BC2759"/>
    <w:rsid w:val="00BC582B"/>
    <w:rsid w:val="00BF20E9"/>
    <w:rsid w:val="00BF6099"/>
    <w:rsid w:val="00BF7173"/>
    <w:rsid w:val="00BF72AE"/>
    <w:rsid w:val="00C05A67"/>
    <w:rsid w:val="00C05C01"/>
    <w:rsid w:val="00C10513"/>
    <w:rsid w:val="00C12EE0"/>
    <w:rsid w:val="00C13661"/>
    <w:rsid w:val="00C15C68"/>
    <w:rsid w:val="00C2279E"/>
    <w:rsid w:val="00C259B4"/>
    <w:rsid w:val="00C31207"/>
    <w:rsid w:val="00C43875"/>
    <w:rsid w:val="00C43975"/>
    <w:rsid w:val="00C46E20"/>
    <w:rsid w:val="00C51BAB"/>
    <w:rsid w:val="00C579E5"/>
    <w:rsid w:val="00C82AD1"/>
    <w:rsid w:val="00C82D6E"/>
    <w:rsid w:val="00C87D46"/>
    <w:rsid w:val="00CB27A8"/>
    <w:rsid w:val="00CB715C"/>
    <w:rsid w:val="00CC1A22"/>
    <w:rsid w:val="00CC48E7"/>
    <w:rsid w:val="00CD4BA8"/>
    <w:rsid w:val="00CE1E3F"/>
    <w:rsid w:val="00CE46B7"/>
    <w:rsid w:val="00CE6503"/>
    <w:rsid w:val="00CE6BDB"/>
    <w:rsid w:val="00CE7D13"/>
    <w:rsid w:val="00CF170D"/>
    <w:rsid w:val="00CF1D39"/>
    <w:rsid w:val="00CF32EA"/>
    <w:rsid w:val="00CF64A8"/>
    <w:rsid w:val="00CF66EE"/>
    <w:rsid w:val="00CF6BAE"/>
    <w:rsid w:val="00D031D1"/>
    <w:rsid w:val="00D05325"/>
    <w:rsid w:val="00D2453C"/>
    <w:rsid w:val="00D262E9"/>
    <w:rsid w:val="00D27C57"/>
    <w:rsid w:val="00D3250E"/>
    <w:rsid w:val="00D40DA8"/>
    <w:rsid w:val="00D43674"/>
    <w:rsid w:val="00D454CB"/>
    <w:rsid w:val="00D55A28"/>
    <w:rsid w:val="00D62232"/>
    <w:rsid w:val="00D83046"/>
    <w:rsid w:val="00D85098"/>
    <w:rsid w:val="00D95077"/>
    <w:rsid w:val="00DA5FB3"/>
    <w:rsid w:val="00DB1D75"/>
    <w:rsid w:val="00DC7BF9"/>
    <w:rsid w:val="00DD0450"/>
    <w:rsid w:val="00DD14AB"/>
    <w:rsid w:val="00DD2265"/>
    <w:rsid w:val="00DD317C"/>
    <w:rsid w:val="00DD4E92"/>
    <w:rsid w:val="00DE22DA"/>
    <w:rsid w:val="00DE28F7"/>
    <w:rsid w:val="00DE6028"/>
    <w:rsid w:val="00DF2C87"/>
    <w:rsid w:val="00DF3DF6"/>
    <w:rsid w:val="00E12578"/>
    <w:rsid w:val="00E13F82"/>
    <w:rsid w:val="00E2050F"/>
    <w:rsid w:val="00E20A1F"/>
    <w:rsid w:val="00E20B3A"/>
    <w:rsid w:val="00E24F8B"/>
    <w:rsid w:val="00E3354D"/>
    <w:rsid w:val="00E364B9"/>
    <w:rsid w:val="00E428C2"/>
    <w:rsid w:val="00E4411D"/>
    <w:rsid w:val="00E47E48"/>
    <w:rsid w:val="00E51D07"/>
    <w:rsid w:val="00E7020B"/>
    <w:rsid w:val="00E70E45"/>
    <w:rsid w:val="00E7382A"/>
    <w:rsid w:val="00E7499C"/>
    <w:rsid w:val="00E805E0"/>
    <w:rsid w:val="00E8074C"/>
    <w:rsid w:val="00E82BA7"/>
    <w:rsid w:val="00E84091"/>
    <w:rsid w:val="00E85DB1"/>
    <w:rsid w:val="00E876FA"/>
    <w:rsid w:val="00E90053"/>
    <w:rsid w:val="00E91796"/>
    <w:rsid w:val="00E95181"/>
    <w:rsid w:val="00E964CB"/>
    <w:rsid w:val="00EA1A29"/>
    <w:rsid w:val="00EA54DE"/>
    <w:rsid w:val="00EC04ED"/>
    <w:rsid w:val="00EC088B"/>
    <w:rsid w:val="00EC3651"/>
    <w:rsid w:val="00EC4A06"/>
    <w:rsid w:val="00EE275F"/>
    <w:rsid w:val="00EE329E"/>
    <w:rsid w:val="00EE38EE"/>
    <w:rsid w:val="00EF1721"/>
    <w:rsid w:val="00EF28C6"/>
    <w:rsid w:val="00EF3D53"/>
    <w:rsid w:val="00EF3EDB"/>
    <w:rsid w:val="00F1193C"/>
    <w:rsid w:val="00F121B8"/>
    <w:rsid w:val="00F17A9D"/>
    <w:rsid w:val="00F22BF8"/>
    <w:rsid w:val="00F33E92"/>
    <w:rsid w:val="00F34C59"/>
    <w:rsid w:val="00F4525D"/>
    <w:rsid w:val="00F46BF8"/>
    <w:rsid w:val="00F53C62"/>
    <w:rsid w:val="00F56388"/>
    <w:rsid w:val="00F6539C"/>
    <w:rsid w:val="00F72B37"/>
    <w:rsid w:val="00F73317"/>
    <w:rsid w:val="00F80E5D"/>
    <w:rsid w:val="00F8186E"/>
    <w:rsid w:val="00F877C6"/>
    <w:rsid w:val="00F9065F"/>
    <w:rsid w:val="00F90D9F"/>
    <w:rsid w:val="00FA2A64"/>
    <w:rsid w:val="00FA39FD"/>
    <w:rsid w:val="00FB5485"/>
    <w:rsid w:val="00FC0A61"/>
    <w:rsid w:val="00FC37FA"/>
    <w:rsid w:val="00FD2A71"/>
    <w:rsid w:val="00FD5FAA"/>
    <w:rsid w:val="00FE456B"/>
    <w:rsid w:val="00FF0733"/>
    <w:rsid w:val="00FF66ED"/>
    <w:rsid w:val="00FF7229"/>
    <w:rsid w:val="0126B02B"/>
    <w:rsid w:val="02A3EAE6"/>
    <w:rsid w:val="045F6595"/>
    <w:rsid w:val="081EE36E"/>
    <w:rsid w:val="0D1F0933"/>
    <w:rsid w:val="0F212A2E"/>
    <w:rsid w:val="17BF0549"/>
    <w:rsid w:val="198C2B09"/>
    <w:rsid w:val="1C4769EA"/>
    <w:rsid w:val="20035E30"/>
    <w:rsid w:val="2698E3B8"/>
    <w:rsid w:val="275B8DBA"/>
    <w:rsid w:val="2D606B07"/>
    <w:rsid w:val="2E49EFA5"/>
    <w:rsid w:val="301A1D8F"/>
    <w:rsid w:val="30FD451A"/>
    <w:rsid w:val="34E3CE6D"/>
    <w:rsid w:val="4D085AB4"/>
    <w:rsid w:val="51427C45"/>
    <w:rsid w:val="53FE4DE2"/>
    <w:rsid w:val="54CB428F"/>
    <w:rsid w:val="553B2897"/>
    <w:rsid w:val="58F73B02"/>
    <w:rsid w:val="59F11675"/>
    <w:rsid w:val="5F73D9A5"/>
    <w:rsid w:val="60078C92"/>
    <w:rsid w:val="616F0546"/>
    <w:rsid w:val="659F2059"/>
    <w:rsid w:val="6ADEB4EB"/>
    <w:rsid w:val="6D89E5EE"/>
    <w:rsid w:val="70152324"/>
    <w:rsid w:val="72C6EC5F"/>
    <w:rsid w:val="77BC8F68"/>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5E3B85"/>
  <w15:chartTrackingRefBased/>
  <w15:docId w15:val="{05410752-1079-4F82-9128-945732E33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5A67"/>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291F14"/>
    <w:pPr>
      <w:spacing w:before="100" w:beforeAutospacing="1" w:after="100" w:afterAutospacing="1"/>
      <w:outlineLvl w:val="0"/>
    </w:pPr>
    <w:rPr>
      <w:b/>
      <w:bCs/>
      <w:kern w:val="36"/>
      <w:sz w:val="48"/>
      <w:szCs w:val="48"/>
      <w:lang w:eastAsia="en-GB"/>
    </w:rPr>
  </w:style>
  <w:style w:type="paragraph" w:styleId="Heading5">
    <w:name w:val="heading 5"/>
    <w:basedOn w:val="Normal"/>
    <w:next w:val="Normal"/>
    <w:link w:val="Heading5Char"/>
    <w:uiPriority w:val="9"/>
    <w:unhideWhenUsed/>
    <w:qFormat/>
    <w:rsid w:val="005809D9"/>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6C2A"/>
    <w:rPr>
      <w:color w:val="0000FF"/>
      <w:u w:val="single"/>
    </w:rPr>
  </w:style>
  <w:style w:type="character" w:customStyle="1" w:styleId="jrnl">
    <w:name w:val="jrnl"/>
    <w:basedOn w:val="DefaultParagraphFont"/>
    <w:rsid w:val="00716C2A"/>
  </w:style>
  <w:style w:type="paragraph" w:styleId="ListParagraph">
    <w:name w:val="List Paragraph"/>
    <w:basedOn w:val="Normal"/>
    <w:uiPriority w:val="34"/>
    <w:qFormat/>
    <w:rsid w:val="003132D5"/>
    <w:pPr>
      <w:spacing w:after="160" w:line="259" w:lineRule="auto"/>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175594"/>
  </w:style>
  <w:style w:type="paragraph" w:customStyle="1" w:styleId="Default">
    <w:name w:val="Default"/>
    <w:rsid w:val="00462518"/>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NormalWeb">
    <w:name w:val="Normal (Web)"/>
    <w:basedOn w:val="Normal"/>
    <w:uiPriority w:val="99"/>
    <w:unhideWhenUsed/>
    <w:rsid w:val="00B65658"/>
    <w:pPr>
      <w:spacing w:before="100" w:beforeAutospacing="1" w:after="100" w:afterAutospacing="1"/>
    </w:pPr>
  </w:style>
  <w:style w:type="character" w:styleId="CommentReference">
    <w:name w:val="annotation reference"/>
    <w:basedOn w:val="DefaultParagraphFont"/>
    <w:uiPriority w:val="99"/>
    <w:semiHidden/>
    <w:unhideWhenUsed/>
    <w:rsid w:val="00E47E48"/>
    <w:rPr>
      <w:sz w:val="16"/>
      <w:szCs w:val="16"/>
    </w:rPr>
  </w:style>
  <w:style w:type="paragraph" w:styleId="CommentText">
    <w:name w:val="annotation text"/>
    <w:basedOn w:val="Normal"/>
    <w:link w:val="CommentTextChar"/>
    <w:uiPriority w:val="99"/>
    <w:semiHidden/>
    <w:unhideWhenUsed/>
    <w:rsid w:val="00E47E48"/>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E47E48"/>
    <w:rPr>
      <w:sz w:val="20"/>
      <w:szCs w:val="20"/>
    </w:rPr>
  </w:style>
  <w:style w:type="paragraph" w:styleId="CommentSubject">
    <w:name w:val="annotation subject"/>
    <w:basedOn w:val="CommentText"/>
    <w:next w:val="CommentText"/>
    <w:link w:val="CommentSubjectChar"/>
    <w:uiPriority w:val="99"/>
    <w:semiHidden/>
    <w:unhideWhenUsed/>
    <w:rsid w:val="00E47E48"/>
    <w:rPr>
      <w:b/>
      <w:bCs/>
    </w:rPr>
  </w:style>
  <w:style w:type="character" w:customStyle="1" w:styleId="CommentSubjectChar">
    <w:name w:val="Comment Subject Char"/>
    <w:basedOn w:val="CommentTextChar"/>
    <w:link w:val="CommentSubject"/>
    <w:uiPriority w:val="99"/>
    <w:semiHidden/>
    <w:rsid w:val="00E47E48"/>
    <w:rPr>
      <w:b/>
      <w:bCs/>
      <w:sz w:val="20"/>
      <w:szCs w:val="20"/>
    </w:rPr>
  </w:style>
  <w:style w:type="paragraph" w:styleId="BalloonText">
    <w:name w:val="Balloon Text"/>
    <w:basedOn w:val="Normal"/>
    <w:link w:val="BalloonTextChar"/>
    <w:uiPriority w:val="99"/>
    <w:semiHidden/>
    <w:unhideWhenUsed/>
    <w:rsid w:val="00E47E48"/>
    <w:rPr>
      <w:rFonts w:eastAsiaTheme="minorHAnsi"/>
      <w:sz w:val="18"/>
      <w:szCs w:val="18"/>
    </w:rPr>
  </w:style>
  <w:style w:type="character" w:customStyle="1" w:styleId="BalloonTextChar">
    <w:name w:val="Balloon Text Char"/>
    <w:basedOn w:val="DefaultParagraphFont"/>
    <w:link w:val="BalloonText"/>
    <w:uiPriority w:val="99"/>
    <w:semiHidden/>
    <w:rsid w:val="00E47E48"/>
    <w:rPr>
      <w:rFonts w:ascii="Times New Roman" w:hAnsi="Times New Roman" w:cs="Times New Roman"/>
      <w:sz w:val="18"/>
      <w:szCs w:val="18"/>
    </w:rPr>
  </w:style>
  <w:style w:type="paragraph" w:styleId="Header">
    <w:name w:val="header"/>
    <w:basedOn w:val="Normal"/>
    <w:link w:val="HeaderChar"/>
    <w:uiPriority w:val="99"/>
    <w:unhideWhenUsed/>
    <w:rsid w:val="00545465"/>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545465"/>
  </w:style>
  <w:style w:type="paragraph" w:styleId="Footer">
    <w:name w:val="footer"/>
    <w:basedOn w:val="Normal"/>
    <w:link w:val="FooterChar"/>
    <w:uiPriority w:val="99"/>
    <w:unhideWhenUsed/>
    <w:rsid w:val="00545465"/>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545465"/>
  </w:style>
  <w:style w:type="table" w:styleId="TableGrid">
    <w:name w:val="Table Grid"/>
    <w:basedOn w:val="TableNormal"/>
    <w:uiPriority w:val="39"/>
    <w:rsid w:val="00345AA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3">
    <w:name w:val="List Table 1 Light Accent 3"/>
    <w:basedOn w:val="TableNormal"/>
    <w:uiPriority w:val="46"/>
    <w:rsid w:val="00345AAD"/>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4">
    <w:name w:val="Plain Table 4"/>
    <w:basedOn w:val="TableNormal"/>
    <w:uiPriority w:val="44"/>
    <w:rsid w:val="00345AA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lainText">
    <w:name w:val="Plain Text"/>
    <w:basedOn w:val="Normal"/>
    <w:link w:val="PlainTextChar"/>
    <w:uiPriority w:val="99"/>
    <w:unhideWhenUsed/>
    <w:rsid w:val="00C82AD1"/>
    <w:rPr>
      <w:rFonts w:ascii="Calibri" w:eastAsia="Cambria" w:hAnsi="Calibri"/>
      <w:sz w:val="22"/>
      <w:szCs w:val="21"/>
      <w:lang w:val="de-CH" w:eastAsia="x-none"/>
    </w:rPr>
  </w:style>
  <w:style w:type="character" w:customStyle="1" w:styleId="PlainTextChar">
    <w:name w:val="Plain Text Char"/>
    <w:basedOn w:val="DefaultParagraphFont"/>
    <w:link w:val="PlainText"/>
    <w:uiPriority w:val="99"/>
    <w:rsid w:val="00C82AD1"/>
    <w:rPr>
      <w:rFonts w:ascii="Calibri" w:eastAsia="Cambria" w:hAnsi="Calibri" w:cs="Times New Roman"/>
      <w:szCs w:val="21"/>
      <w:lang w:val="de-CH" w:eastAsia="x-none"/>
    </w:rPr>
  </w:style>
  <w:style w:type="character" w:customStyle="1" w:styleId="Heading1Char">
    <w:name w:val="Heading 1 Char"/>
    <w:basedOn w:val="DefaultParagraphFont"/>
    <w:link w:val="Heading1"/>
    <w:uiPriority w:val="9"/>
    <w:rsid w:val="00291F14"/>
    <w:rPr>
      <w:rFonts w:ascii="Times New Roman" w:eastAsia="Times New Roman" w:hAnsi="Times New Roman" w:cs="Times New Roman"/>
      <w:b/>
      <w:bCs/>
      <w:kern w:val="36"/>
      <w:sz w:val="48"/>
      <w:szCs w:val="48"/>
      <w:lang w:eastAsia="en-GB"/>
    </w:rPr>
  </w:style>
  <w:style w:type="character" w:customStyle="1" w:styleId="Heading5Char">
    <w:name w:val="Heading 5 Char"/>
    <w:basedOn w:val="DefaultParagraphFont"/>
    <w:link w:val="Heading5"/>
    <w:uiPriority w:val="9"/>
    <w:rsid w:val="005809D9"/>
    <w:rPr>
      <w:rFonts w:asciiTheme="majorHAnsi" w:eastAsiaTheme="majorEastAsia" w:hAnsiTheme="majorHAnsi" w:cstheme="majorBidi"/>
      <w:color w:val="2E74B5" w:themeColor="accent1" w:themeShade="BF"/>
      <w:sz w:val="24"/>
      <w:szCs w:val="24"/>
    </w:rPr>
  </w:style>
  <w:style w:type="paragraph" w:styleId="Revision">
    <w:name w:val="Revision"/>
    <w:hidden/>
    <w:uiPriority w:val="99"/>
    <w:semiHidden/>
    <w:rsid w:val="003363FE"/>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23125"/>
    <w:rPr>
      <w:i/>
      <w:iCs/>
    </w:rPr>
  </w:style>
  <w:style w:type="character" w:styleId="PageNumber">
    <w:name w:val="page number"/>
    <w:basedOn w:val="DefaultParagraphFont"/>
    <w:uiPriority w:val="99"/>
    <w:semiHidden/>
    <w:unhideWhenUsed/>
    <w:rsid w:val="006563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38564">
      <w:bodyDiv w:val="1"/>
      <w:marLeft w:val="0"/>
      <w:marRight w:val="0"/>
      <w:marTop w:val="0"/>
      <w:marBottom w:val="0"/>
      <w:divBdr>
        <w:top w:val="none" w:sz="0" w:space="0" w:color="auto"/>
        <w:left w:val="none" w:sz="0" w:space="0" w:color="auto"/>
        <w:bottom w:val="none" w:sz="0" w:space="0" w:color="auto"/>
        <w:right w:val="none" w:sz="0" w:space="0" w:color="auto"/>
      </w:divBdr>
      <w:divsChild>
        <w:div w:id="1735154724">
          <w:marLeft w:val="0"/>
          <w:marRight w:val="0"/>
          <w:marTop w:val="0"/>
          <w:marBottom w:val="0"/>
          <w:divBdr>
            <w:top w:val="none" w:sz="0" w:space="0" w:color="auto"/>
            <w:left w:val="none" w:sz="0" w:space="0" w:color="auto"/>
            <w:bottom w:val="none" w:sz="0" w:space="0" w:color="auto"/>
            <w:right w:val="none" w:sz="0" w:space="0" w:color="auto"/>
          </w:divBdr>
          <w:divsChild>
            <w:div w:id="1402144751">
              <w:marLeft w:val="0"/>
              <w:marRight w:val="0"/>
              <w:marTop w:val="0"/>
              <w:marBottom w:val="0"/>
              <w:divBdr>
                <w:top w:val="none" w:sz="0" w:space="0" w:color="auto"/>
                <w:left w:val="none" w:sz="0" w:space="0" w:color="auto"/>
                <w:bottom w:val="none" w:sz="0" w:space="0" w:color="auto"/>
                <w:right w:val="none" w:sz="0" w:space="0" w:color="auto"/>
              </w:divBdr>
              <w:divsChild>
                <w:div w:id="9204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4811">
      <w:bodyDiv w:val="1"/>
      <w:marLeft w:val="0"/>
      <w:marRight w:val="0"/>
      <w:marTop w:val="0"/>
      <w:marBottom w:val="0"/>
      <w:divBdr>
        <w:top w:val="none" w:sz="0" w:space="0" w:color="auto"/>
        <w:left w:val="none" w:sz="0" w:space="0" w:color="auto"/>
        <w:bottom w:val="none" w:sz="0" w:space="0" w:color="auto"/>
        <w:right w:val="none" w:sz="0" w:space="0" w:color="auto"/>
      </w:divBdr>
    </w:div>
    <w:div w:id="173151055">
      <w:bodyDiv w:val="1"/>
      <w:marLeft w:val="0"/>
      <w:marRight w:val="0"/>
      <w:marTop w:val="0"/>
      <w:marBottom w:val="0"/>
      <w:divBdr>
        <w:top w:val="none" w:sz="0" w:space="0" w:color="auto"/>
        <w:left w:val="none" w:sz="0" w:space="0" w:color="auto"/>
        <w:bottom w:val="none" w:sz="0" w:space="0" w:color="auto"/>
        <w:right w:val="none" w:sz="0" w:space="0" w:color="auto"/>
      </w:divBdr>
    </w:div>
    <w:div w:id="206720914">
      <w:bodyDiv w:val="1"/>
      <w:marLeft w:val="0"/>
      <w:marRight w:val="0"/>
      <w:marTop w:val="0"/>
      <w:marBottom w:val="0"/>
      <w:divBdr>
        <w:top w:val="none" w:sz="0" w:space="0" w:color="auto"/>
        <w:left w:val="none" w:sz="0" w:space="0" w:color="auto"/>
        <w:bottom w:val="none" w:sz="0" w:space="0" w:color="auto"/>
        <w:right w:val="none" w:sz="0" w:space="0" w:color="auto"/>
      </w:divBdr>
      <w:divsChild>
        <w:div w:id="1993021652">
          <w:marLeft w:val="0"/>
          <w:marRight w:val="0"/>
          <w:marTop w:val="0"/>
          <w:marBottom w:val="0"/>
          <w:divBdr>
            <w:top w:val="none" w:sz="0" w:space="0" w:color="auto"/>
            <w:left w:val="none" w:sz="0" w:space="0" w:color="auto"/>
            <w:bottom w:val="none" w:sz="0" w:space="0" w:color="auto"/>
            <w:right w:val="none" w:sz="0" w:space="0" w:color="auto"/>
          </w:divBdr>
          <w:divsChild>
            <w:div w:id="1222473676">
              <w:marLeft w:val="0"/>
              <w:marRight w:val="0"/>
              <w:marTop w:val="0"/>
              <w:marBottom w:val="0"/>
              <w:divBdr>
                <w:top w:val="none" w:sz="0" w:space="0" w:color="auto"/>
                <w:left w:val="none" w:sz="0" w:space="0" w:color="auto"/>
                <w:bottom w:val="none" w:sz="0" w:space="0" w:color="auto"/>
                <w:right w:val="none" w:sz="0" w:space="0" w:color="auto"/>
              </w:divBdr>
              <w:divsChild>
                <w:div w:id="1304430751">
                  <w:marLeft w:val="0"/>
                  <w:marRight w:val="0"/>
                  <w:marTop w:val="0"/>
                  <w:marBottom w:val="0"/>
                  <w:divBdr>
                    <w:top w:val="none" w:sz="0" w:space="0" w:color="auto"/>
                    <w:left w:val="none" w:sz="0" w:space="0" w:color="auto"/>
                    <w:bottom w:val="none" w:sz="0" w:space="0" w:color="auto"/>
                    <w:right w:val="none" w:sz="0" w:space="0" w:color="auto"/>
                  </w:divBdr>
                  <w:divsChild>
                    <w:div w:id="208302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513176">
      <w:bodyDiv w:val="1"/>
      <w:marLeft w:val="0"/>
      <w:marRight w:val="0"/>
      <w:marTop w:val="0"/>
      <w:marBottom w:val="0"/>
      <w:divBdr>
        <w:top w:val="none" w:sz="0" w:space="0" w:color="auto"/>
        <w:left w:val="none" w:sz="0" w:space="0" w:color="auto"/>
        <w:bottom w:val="none" w:sz="0" w:space="0" w:color="auto"/>
        <w:right w:val="none" w:sz="0" w:space="0" w:color="auto"/>
      </w:divBdr>
    </w:div>
    <w:div w:id="463012118">
      <w:bodyDiv w:val="1"/>
      <w:marLeft w:val="0"/>
      <w:marRight w:val="0"/>
      <w:marTop w:val="0"/>
      <w:marBottom w:val="0"/>
      <w:divBdr>
        <w:top w:val="none" w:sz="0" w:space="0" w:color="auto"/>
        <w:left w:val="none" w:sz="0" w:space="0" w:color="auto"/>
        <w:bottom w:val="none" w:sz="0" w:space="0" w:color="auto"/>
        <w:right w:val="none" w:sz="0" w:space="0" w:color="auto"/>
      </w:divBdr>
      <w:divsChild>
        <w:div w:id="372191993">
          <w:marLeft w:val="0"/>
          <w:marRight w:val="0"/>
          <w:marTop w:val="0"/>
          <w:marBottom w:val="0"/>
          <w:divBdr>
            <w:top w:val="none" w:sz="0" w:space="0" w:color="auto"/>
            <w:left w:val="none" w:sz="0" w:space="0" w:color="auto"/>
            <w:bottom w:val="none" w:sz="0" w:space="0" w:color="auto"/>
            <w:right w:val="none" w:sz="0" w:space="0" w:color="auto"/>
          </w:divBdr>
          <w:divsChild>
            <w:div w:id="899441318">
              <w:marLeft w:val="0"/>
              <w:marRight w:val="0"/>
              <w:marTop w:val="0"/>
              <w:marBottom w:val="0"/>
              <w:divBdr>
                <w:top w:val="none" w:sz="0" w:space="0" w:color="auto"/>
                <w:left w:val="none" w:sz="0" w:space="0" w:color="auto"/>
                <w:bottom w:val="none" w:sz="0" w:space="0" w:color="auto"/>
                <w:right w:val="none" w:sz="0" w:space="0" w:color="auto"/>
              </w:divBdr>
              <w:divsChild>
                <w:div w:id="162268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004198">
      <w:bodyDiv w:val="1"/>
      <w:marLeft w:val="0"/>
      <w:marRight w:val="0"/>
      <w:marTop w:val="0"/>
      <w:marBottom w:val="0"/>
      <w:divBdr>
        <w:top w:val="none" w:sz="0" w:space="0" w:color="auto"/>
        <w:left w:val="none" w:sz="0" w:space="0" w:color="auto"/>
        <w:bottom w:val="none" w:sz="0" w:space="0" w:color="auto"/>
        <w:right w:val="none" w:sz="0" w:space="0" w:color="auto"/>
      </w:divBdr>
      <w:divsChild>
        <w:div w:id="2106222628">
          <w:marLeft w:val="0"/>
          <w:marRight w:val="0"/>
          <w:marTop w:val="0"/>
          <w:marBottom w:val="0"/>
          <w:divBdr>
            <w:top w:val="none" w:sz="0" w:space="0" w:color="auto"/>
            <w:left w:val="none" w:sz="0" w:space="0" w:color="auto"/>
            <w:bottom w:val="none" w:sz="0" w:space="0" w:color="auto"/>
            <w:right w:val="none" w:sz="0" w:space="0" w:color="auto"/>
          </w:divBdr>
        </w:div>
        <w:div w:id="1396776676">
          <w:marLeft w:val="0"/>
          <w:marRight w:val="0"/>
          <w:marTop w:val="0"/>
          <w:marBottom w:val="0"/>
          <w:divBdr>
            <w:top w:val="none" w:sz="0" w:space="0" w:color="auto"/>
            <w:left w:val="none" w:sz="0" w:space="0" w:color="auto"/>
            <w:bottom w:val="none" w:sz="0" w:space="0" w:color="auto"/>
            <w:right w:val="none" w:sz="0" w:space="0" w:color="auto"/>
          </w:divBdr>
        </w:div>
        <w:div w:id="461576639">
          <w:marLeft w:val="0"/>
          <w:marRight w:val="0"/>
          <w:marTop w:val="0"/>
          <w:marBottom w:val="0"/>
          <w:divBdr>
            <w:top w:val="none" w:sz="0" w:space="0" w:color="auto"/>
            <w:left w:val="none" w:sz="0" w:space="0" w:color="auto"/>
            <w:bottom w:val="none" w:sz="0" w:space="0" w:color="auto"/>
            <w:right w:val="none" w:sz="0" w:space="0" w:color="auto"/>
          </w:divBdr>
        </w:div>
        <w:div w:id="1106581090">
          <w:marLeft w:val="0"/>
          <w:marRight w:val="0"/>
          <w:marTop w:val="0"/>
          <w:marBottom w:val="0"/>
          <w:divBdr>
            <w:top w:val="none" w:sz="0" w:space="0" w:color="auto"/>
            <w:left w:val="none" w:sz="0" w:space="0" w:color="auto"/>
            <w:bottom w:val="none" w:sz="0" w:space="0" w:color="auto"/>
            <w:right w:val="none" w:sz="0" w:space="0" w:color="auto"/>
          </w:divBdr>
        </w:div>
        <w:div w:id="1060130769">
          <w:marLeft w:val="0"/>
          <w:marRight w:val="0"/>
          <w:marTop w:val="0"/>
          <w:marBottom w:val="0"/>
          <w:divBdr>
            <w:top w:val="none" w:sz="0" w:space="0" w:color="auto"/>
            <w:left w:val="none" w:sz="0" w:space="0" w:color="auto"/>
            <w:bottom w:val="none" w:sz="0" w:space="0" w:color="auto"/>
            <w:right w:val="none" w:sz="0" w:space="0" w:color="auto"/>
          </w:divBdr>
        </w:div>
      </w:divsChild>
    </w:div>
    <w:div w:id="896892838">
      <w:bodyDiv w:val="1"/>
      <w:marLeft w:val="0"/>
      <w:marRight w:val="0"/>
      <w:marTop w:val="0"/>
      <w:marBottom w:val="0"/>
      <w:divBdr>
        <w:top w:val="none" w:sz="0" w:space="0" w:color="auto"/>
        <w:left w:val="none" w:sz="0" w:space="0" w:color="auto"/>
        <w:bottom w:val="none" w:sz="0" w:space="0" w:color="auto"/>
        <w:right w:val="none" w:sz="0" w:space="0" w:color="auto"/>
      </w:divBdr>
    </w:div>
    <w:div w:id="1205677925">
      <w:bodyDiv w:val="1"/>
      <w:marLeft w:val="0"/>
      <w:marRight w:val="0"/>
      <w:marTop w:val="0"/>
      <w:marBottom w:val="0"/>
      <w:divBdr>
        <w:top w:val="none" w:sz="0" w:space="0" w:color="auto"/>
        <w:left w:val="none" w:sz="0" w:space="0" w:color="auto"/>
        <w:bottom w:val="none" w:sz="0" w:space="0" w:color="auto"/>
        <w:right w:val="none" w:sz="0" w:space="0" w:color="auto"/>
      </w:divBdr>
    </w:div>
    <w:div w:id="1377505266">
      <w:bodyDiv w:val="1"/>
      <w:marLeft w:val="0"/>
      <w:marRight w:val="0"/>
      <w:marTop w:val="0"/>
      <w:marBottom w:val="0"/>
      <w:divBdr>
        <w:top w:val="none" w:sz="0" w:space="0" w:color="auto"/>
        <w:left w:val="none" w:sz="0" w:space="0" w:color="auto"/>
        <w:bottom w:val="none" w:sz="0" w:space="0" w:color="auto"/>
        <w:right w:val="none" w:sz="0" w:space="0" w:color="auto"/>
      </w:divBdr>
    </w:div>
    <w:div w:id="1441879803">
      <w:bodyDiv w:val="1"/>
      <w:marLeft w:val="0"/>
      <w:marRight w:val="0"/>
      <w:marTop w:val="0"/>
      <w:marBottom w:val="0"/>
      <w:divBdr>
        <w:top w:val="none" w:sz="0" w:space="0" w:color="auto"/>
        <w:left w:val="none" w:sz="0" w:space="0" w:color="auto"/>
        <w:bottom w:val="none" w:sz="0" w:space="0" w:color="auto"/>
        <w:right w:val="none" w:sz="0" w:space="0" w:color="auto"/>
      </w:divBdr>
    </w:div>
    <w:div w:id="1491679301">
      <w:bodyDiv w:val="1"/>
      <w:marLeft w:val="0"/>
      <w:marRight w:val="0"/>
      <w:marTop w:val="0"/>
      <w:marBottom w:val="0"/>
      <w:divBdr>
        <w:top w:val="none" w:sz="0" w:space="0" w:color="auto"/>
        <w:left w:val="none" w:sz="0" w:space="0" w:color="auto"/>
        <w:bottom w:val="none" w:sz="0" w:space="0" w:color="auto"/>
        <w:right w:val="none" w:sz="0" w:space="0" w:color="auto"/>
      </w:divBdr>
    </w:div>
    <w:div w:id="1856505214">
      <w:bodyDiv w:val="1"/>
      <w:marLeft w:val="0"/>
      <w:marRight w:val="0"/>
      <w:marTop w:val="0"/>
      <w:marBottom w:val="0"/>
      <w:divBdr>
        <w:top w:val="none" w:sz="0" w:space="0" w:color="auto"/>
        <w:left w:val="none" w:sz="0" w:space="0" w:color="auto"/>
        <w:bottom w:val="none" w:sz="0" w:space="0" w:color="auto"/>
        <w:right w:val="none" w:sz="0" w:space="0" w:color="auto"/>
      </w:divBdr>
    </w:div>
    <w:div w:id="2064526405">
      <w:bodyDiv w:val="1"/>
      <w:marLeft w:val="0"/>
      <w:marRight w:val="0"/>
      <w:marTop w:val="0"/>
      <w:marBottom w:val="0"/>
      <w:divBdr>
        <w:top w:val="none" w:sz="0" w:space="0" w:color="auto"/>
        <w:left w:val="none" w:sz="0" w:space="0" w:color="auto"/>
        <w:bottom w:val="none" w:sz="0" w:space="0" w:color="auto"/>
        <w:right w:val="none" w:sz="0" w:space="0" w:color="auto"/>
      </w:divBdr>
    </w:div>
    <w:div w:id="2123257257">
      <w:bodyDiv w:val="1"/>
      <w:marLeft w:val="0"/>
      <w:marRight w:val="0"/>
      <w:marTop w:val="0"/>
      <w:marBottom w:val="0"/>
      <w:divBdr>
        <w:top w:val="none" w:sz="0" w:space="0" w:color="auto"/>
        <w:left w:val="none" w:sz="0" w:space="0" w:color="auto"/>
        <w:bottom w:val="none" w:sz="0" w:space="0" w:color="auto"/>
        <w:right w:val="none" w:sz="0" w:space="0" w:color="auto"/>
      </w:divBdr>
      <w:divsChild>
        <w:div w:id="1826120751">
          <w:marLeft w:val="0"/>
          <w:marRight w:val="0"/>
          <w:marTop w:val="0"/>
          <w:marBottom w:val="0"/>
          <w:divBdr>
            <w:top w:val="none" w:sz="0" w:space="0" w:color="auto"/>
            <w:left w:val="none" w:sz="0" w:space="0" w:color="auto"/>
            <w:bottom w:val="none" w:sz="0" w:space="0" w:color="auto"/>
            <w:right w:val="none" w:sz="0" w:space="0" w:color="auto"/>
          </w:divBdr>
          <w:divsChild>
            <w:div w:id="213662013">
              <w:marLeft w:val="0"/>
              <w:marRight w:val="0"/>
              <w:marTop w:val="0"/>
              <w:marBottom w:val="0"/>
              <w:divBdr>
                <w:top w:val="none" w:sz="0" w:space="0" w:color="auto"/>
                <w:left w:val="none" w:sz="0" w:space="0" w:color="auto"/>
                <w:bottom w:val="none" w:sz="0" w:space="0" w:color="auto"/>
                <w:right w:val="none" w:sz="0" w:space="0" w:color="auto"/>
              </w:divBdr>
              <w:divsChild>
                <w:div w:id="1459951221">
                  <w:marLeft w:val="0"/>
                  <w:marRight w:val="0"/>
                  <w:marTop w:val="0"/>
                  <w:marBottom w:val="0"/>
                  <w:divBdr>
                    <w:top w:val="none" w:sz="0" w:space="0" w:color="auto"/>
                    <w:left w:val="none" w:sz="0" w:space="0" w:color="auto"/>
                    <w:bottom w:val="none" w:sz="0" w:space="0" w:color="auto"/>
                    <w:right w:val="none" w:sz="0" w:space="0" w:color="auto"/>
                  </w:divBdr>
                  <w:divsChild>
                    <w:div w:id="163980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ura.ferrerasantolin@nhs.ne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18/08/relationships/commentsExtensible" Target="commentsExtensi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D8026D-098A-CD4B-BC99-C5CE5FEEC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26</Pages>
  <Words>20561</Words>
  <Characters>120492</Characters>
  <Application>Microsoft Office Word</Application>
  <DocSecurity>0</DocSecurity>
  <Lines>3442</Lines>
  <Paragraphs>1831</Paragraphs>
  <ScaleCrop>false</ScaleCrop>
  <HeadingPairs>
    <vt:vector size="2" baseType="variant">
      <vt:variant>
        <vt:lpstr>Title</vt:lpstr>
      </vt:variant>
      <vt:variant>
        <vt:i4>1</vt:i4>
      </vt:variant>
    </vt:vector>
  </HeadingPairs>
  <TitlesOfParts>
    <vt:vector size="1" baseType="lpstr">
      <vt:lpstr/>
    </vt:vector>
  </TitlesOfParts>
  <Company>St Georges, University of London</Company>
  <LinksUpToDate>false</LinksUpToDate>
  <CharactersWithSpaces>139222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Yingfen Hsia</dc:creator>
  <cp:keywords/>
  <dc:description/>
  <cp:lastModifiedBy>Microsoft Office User</cp:lastModifiedBy>
  <cp:revision>15</cp:revision>
  <dcterms:created xsi:type="dcterms:W3CDTF">2020-05-25T21:27:00Z</dcterms:created>
  <dcterms:modified xsi:type="dcterms:W3CDTF">2020-05-27T13:39:00Z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https://csl.mendeley.com/styles/7806403/vancouver-superscript</vt:lpwstr>
  </property>
  <property fmtid="{D5CDD505-2E9C-101B-9397-08002B2CF9AE}" pid="21" name="Mendeley Recent Style Name 9_1">
    <vt:lpwstr>Vancouver - Elisa Fernandez Cooke, MD, PHD</vt:lpwstr>
  </property>
  <property fmtid="{D5CDD505-2E9C-101B-9397-08002B2CF9AE}" pid="22" name="Mendeley Document_1">
    <vt:lpwstr>True</vt:lpwstr>
  </property>
  <property fmtid="{D5CDD505-2E9C-101B-9397-08002B2CF9AE}" pid="23" name="Mendeley Citation Style_1">
    <vt:lpwstr>https://csl.mendeley.com/styles/7806403/vancouver-superscript</vt:lpwstr>
  </property>
  <property fmtid="{D5CDD505-2E9C-101B-9397-08002B2CF9AE}" pid="24" name="Mendeley Unique User Id_1">
    <vt:lpwstr>dcc800cd-196a-3969-9bf4-56cc375b413a</vt:lpwstr>
  </property>
</Properties>
</file>