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2BA25" w14:textId="77777777" w:rsidR="00EB686F" w:rsidRPr="007E512D" w:rsidRDefault="00EB686F" w:rsidP="00EB686F">
      <w:pPr>
        <w:pStyle w:val="SMHeading"/>
        <w:rPr>
          <w:sz w:val="32"/>
        </w:rPr>
      </w:pPr>
    </w:p>
    <w:p w14:paraId="5A5BFB8D" w14:textId="77777777" w:rsidR="00EB686F" w:rsidRPr="007E512D" w:rsidRDefault="00EB686F" w:rsidP="00EB686F">
      <w:pPr>
        <w:pStyle w:val="SMHeading"/>
        <w:rPr>
          <w:sz w:val="32"/>
        </w:rPr>
      </w:pPr>
    </w:p>
    <w:p w14:paraId="15CE2F76" w14:textId="77777777" w:rsidR="00EB686F" w:rsidRPr="007E512D" w:rsidRDefault="00EB686F" w:rsidP="00EB686F">
      <w:pPr>
        <w:rPr>
          <w:rFonts w:cs="Times New Roman"/>
          <w:sz w:val="32"/>
        </w:rPr>
      </w:pPr>
      <w:r w:rsidRPr="007E512D">
        <w:rPr>
          <w:rFonts w:cs="Times New Roman"/>
          <w:b/>
          <w:sz w:val="32"/>
        </w:rPr>
        <w:t>Supplementary Materials</w:t>
      </w:r>
    </w:p>
    <w:p w14:paraId="21FF702D" w14:textId="77777777" w:rsidR="00EB686F" w:rsidRPr="007E512D" w:rsidRDefault="00EB686F" w:rsidP="00EB686F">
      <w:pPr>
        <w:rPr>
          <w:rFonts w:cs="Times New Roman"/>
          <w:b/>
          <w:sz w:val="32"/>
          <w:szCs w:val="28"/>
        </w:rPr>
      </w:pPr>
    </w:p>
    <w:p w14:paraId="5F7F2B90" w14:textId="77777777" w:rsidR="00EB686F" w:rsidRPr="007E512D" w:rsidRDefault="00EB686F" w:rsidP="00EB686F">
      <w:pPr>
        <w:rPr>
          <w:rFonts w:cs="Times New Roman"/>
          <w:b/>
          <w:szCs w:val="28"/>
        </w:rPr>
      </w:pPr>
    </w:p>
    <w:p w14:paraId="2CB71C83" w14:textId="77777777" w:rsidR="00EB686F" w:rsidRPr="007E512D" w:rsidRDefault="00EB686F" w:rsidP="00EB686F">
      <w:pPr>
        <w:rPr>
          <w:rFonts w:cs="Times New Roman"/>
          <w:b/>
          <w:sz w:val="28"/>
        </w:rPr>
      </w:pPr>
      <w:r w:rsidRPr="007E512D">
        <w:rPr>
          <w:rFonts w:cs="Times New Roman"/>
          <w:b/>
          <w:sz w:val="28"/>
        </w:rPr>
        <w:t>Evaluating Strategies to Improve Rotavirus Vaccine Impact During the Second Year of Life in Malawi</w:t>
      </w:r>
    </w:p>
    <w:p w14:paraId="07CDA855" w14:textId="77777777" w:rsidR="00EB686F" w:rsidRPr="007E512D" w:rsidRDefault="00EB686F" w:rsidP="00EB686F">
      <w:pPr>
        <w:rPr>
          <w:rFonts w:cs="Times New Roman"/>
          <w:sz w:val="32"/>
          <w:szCs w:val="28"/>
        </w:rPr>
      </w:pPr>
    </w:p>
    <w:p w14:paraId="77BF7714" w14:textId="77777777" w:rsidR="00EB686F" w:rsidRPr="007E512D" w:rsidRDefault="00EB686F" w:rsidP="00EB686F">
      <w:pPr>
        <w:rPr>
          <w:rFonts w:cs="Times New Roman"/>
          <w:vertAlign w:val="superscript"/>
        </w:rPr>
      </w:pPr>
      <w:r w:rsidRPr="007E512D">
        <w:rPr>
          <w:rFonts w:cs="Times New Roman"/>
        </w:rPr>
        <w:t>Virginia E. Pitzer, Aisleen Bennett, Naor Bar-Zeev, Khuzwayo C. Jere, Benjamin A. Lopman, Joseph A. Lewnard, Umesh D. Parashar, Nigel A. Cunliffe</w:t>
      </w:r>
    </w:p>
    <w:p w14:paraId="07482EEF" w14:textId="77777777" w:rsidR="00EB686F" w:rsidRPr="007E512D" w:rsidRDefault="00EB686F" w:rsidP="00EB686F">
      <w:pPr>
        <w:rPr>
          <w:rFonts w:cs="Times New Roman"/>
          <w:b/>
          <w:i/>
        </w:rPr>
      </w:pPr>
    </w:p>
    <w:p w14:paraId="773D3341" w14:textId="77777777" w:rsidR="00EB686F" w:rsidRPr="007E512D" w:rsidRDefault="00EB686F" w:rsidP="00EB686F">
      <w:pPr>
        <w:rPr>
          <w:rFonts w:cs="Times New Roman"/>
        </w:rPr>
      </w:pPr>
      <w:r w:rsidRPr="007E512D">
        <w:rPr>
          <w:rFonts w:cs="Times New Roman"/>
        </w:rPr>
        <w:t>Corresponding author: Virginia E. Pitzer</w:t>
      </w:r>
    </w:p>
    <w:p w14:paraId="01E439CE" w14:textId="77777777" w:rsidR="00EB686F" w:rsidRPr="007E512D" w:rsidRDefault="00EB686F" w:rsidP="00EB686F">
      <w:pPr>
        <w:rPr>
          <w:rFonts w:cs="Times New Roman"/>
        </w:rPr>
      </w:pPr>
      <w:r w:rsidRPr="007E512D">
        <w:rPr>
          <w:rFonts w:cs="Times New Roman"/>
        </w:rPr>
        <w:t xml:space="preserve">Email:  </w:t>
      </w:r>
      <w:hyperlink r:id="rId8" w:history="1">
        <w:r w:rsidRPr="007E512D">
          <w:rPr>
            <w:rFonts w:cs="Times New Roman"/>
          </w:rPr>
          <w:t>virginia.pitzer@yale.edu</w:t>
        </w:r>
      </w:hyperlink>
    </w:p>
    <w:p w14:paraId="2B8A4A9C" w14:textId="77777777" w:rsidR="00EB686F" w:rsidRPr="007E512D" w:rsidRDefault="00EB686F" w:rsidP="00EB686F">
      <w:pPr>
        <w:rPr>
          <w:rFonts w:cs="Times New Roman"/>
        </w:rPr>
      </w:pPr>
    </w:p>
    <w:p w14:paraId="735D140B" w14:textId="77777777" w:rsidR="00EB686F" w:rsidRPr="007E512D" w:rsidRDefault="00EB686F" w:rsidP="00EB686F">
      <w:pPr>
        <w:rPr>
          <w:rFonts w:cs="Times New Roman"/>
        </w:rPr>
      </w:pPr>
    </w:p>
    <w:sdt>
      <w:sdtPr>
        <w:rPr>
          <w:rFonts w:ascii="Times New Roman" w:eastAsiaTheme="minorHAnsi" w:hAnsi="Times New Roman" w:cstheme="minorBidi"/>
          <w:b w:val="0"/>
          <w:bCs w:val="0"/>
          <w:kern w:val="0"/>
          <w:sz w:val="24"/>
          <w:szCs w:val="20"/>
        </w:rPr>
        <w:id w:val="1671527613"/>
        <w:docPartObj>
          <w:docPartGallery w:val="Table of Contents"/>
          <w:docPartUnique/>
        </w:docPartObj>
      </w:sdtPr>
      <w:sdtEndPr>
        <w:rPr>
          <w:noProof/>
          <w:sz w:val="22"/>
          <w:szCs w:val="24"/>
        </w:rPr>
      </w:sdtEndPr>
      <w:sdtContent>
        <w:p w14:paraId="54D6E4E1" w14:textId="443F7050" w:rsidR="00EB686F" w:rsidRDefault="00EB686F" w:rsidP="00EB686F">
          <w:pPr>
            <w:pStyle w:val="TOCHeading"/>
            <w:rPr>
              <w:rFonts w:ascii="Times New Roman" w:hAnsi="Times New Roman"/>
            </w:rPr>
          </w:pPr>
          <w:r w:rsidRPr="007E512D">
            <w:rPr>
              <w:rFonts w:ascii="Times New Roman" w:hAnsi="Times New Roman"/>
            </w:rPr>
            <w:t>Table of Contents</w:t>
          </w:r>
        </w:p>
        <w:p w14:paraId="50C48255" w14:textId="77777777" w:rsidR="00067359" w:rsidRPr="00067359" w:rsidRDefault="00067359" w:rsidP="00067359"/>
        <w:p w14:paraId="07995406" w14:textId="2C86A39C" w:rsidR="00067359" w:rsidRPr="00067359" w:rsidRDefault="00067359" w:rsidP="00067359">
          <w:pPr>
            <w:rPr>
              <w:rFonts w:cs="Times New Roman"/>
              <w:b/>
            </w:rPr>
          </w:pPr>
          <w:r w:rsidRPr="00067359">
            <w:rPr>
              <w:rFonts w:cs="Times New Roman"/>
              <w:b/>
            </w:rPr>
            <w:t>Materials and Methods</w:t>
          </w:r>
        </w:p>
        <w:p w14:paraId="6A85E567" w14:textId="2538199D" w:rsidR="00627261" w:rsidRDefault="00EB686F">
          <w:pPr>
            <w:pStyle w:val="TOC1"/>
            <w:tabs>
              <w:tab w:val="right" w:leader="dot" w:pos="9350"/>
            </w:tabs>
            <w:rPr>
              <w:rFonts w:asciiTheme="minorHAnsi" w:eastAsiaTheme="minorEastAsia" w:hAnsiTheme="minorHAnsi" w:cstheme="minorBidi"/>
              <w:noProof/>
              <w:sz w:val="24"/>
              <w:szCs w:val="24"/>
            </w:rPr>
          </w:pPr>
          <w:r w:rsidRPr="007E512D">
            <w:fldChar w:fldCharType="begin"/>
          </w:r>
          <w:r w:rsidRPr="007E512D">
            <w:instrText xml:space="preserve"> TOC \o "1-3" \h \z \u </w:instrText>
          </w:r>
          <w:r w:rsidRPr="007E512D">
            <w:rPr>
              <w:i/>
              <w:iCs/>
              <w:szCs w:val="24"/>
            </w:rPr>
            <w:fldChar w:fldCharType="separate"/>
          </w:r>
          <w:hyperlink w:anchor="_Toc8144395" w:history="1">
            <w:r w:rsidR="00627261" w:rsidRPr="00C66062">
              <w:rPr>
                <w:rStyle w:val="Hyperlink"/>
                <w:noProof/>
              </w:rPr>
              <w:t>Model equations</w:t>
            </w:r>
            <w:r w:rsidR="00627261">
              <w:rPr>
                <w:noProof/>
                <w:webHidden/>
              </w:rPr>
              <w:tab/>
            </w:r>
            <w:r w:rsidR="00627261">
              <w:rPr>
                <w:noProof/>
                <w:webHidden/>
              </w:rPr>
              <w:fldChar w:fldCharType="begin"/>
            </w:r>
            <w:r w:rsidR="00627261">
              <w:rPr>
                <w:noProof/>
                <w:webHidden/>
              </w:rPr>
              <w:instrText xml:space="preserve"> PAGEREF _Toc8144395 \h </w:instrText>
            </w:r>
            <w:r w:rsidR="00627261">
              <w:rPr>
                <w:noProof/>
                <w:webHidden/>
              </w:rPr>
            </w:r>
            <w:r w:rsidR="00627261">
              <w:rPr>
                <w:noProof/>
                <w:webHidden/>
              </w:rPr>
              <w:fldChar w:fldCharType="separate"/>
            </w:r>
            <w:r w:rsidR="002558FA">
              <w:rPr>
                <w:noProof/>
                <w:webHidden/>
              </w:rPr>
              <w:t>3</w:t>
            </w:r>
            <w:r w:rsidR="00627261">
              <w:rPr>
                <w:noProof/>
                <w:webHidden/>
              </w:rPr>
              <w:fldChar w:fldCharType="end"/>
            </w:r>
          </w:hyperlink>
        </w:p>
        <w:p w14:paraId="2DBE862C" w14:textId="0852B98B" w:rsidR="00627261" w:rsidRDefault="002558FA">
          <w:pPr>
            <w:pStyle w:val="TOC1"/>
            <w:tabs>
              <w:tab w:val="right" w:leader="dot" w:pos="9350"/>
            </w:tabs>
            <w:rPr>
              <w:rFonts w:asciiTheme="minorHAnsi" w:eastAsiaTheme="minorEastAsia" w:hAnsiTheme="minorHAnsi" w:cstheme="minorBidi"/>
              <w:noProof/>
              <w:sz w:val="24"/>
              <w:szCs w:val="24"/>
            </w:rPr>
          </w:pPr>
          <w:hyperlink w:anchor="_Toc8144396" w:history="1">
            <w:r w:rsidR="00627261" w:rsidRPr="00C66062">
              <w:rPr>
                <w:rStyle w:val="Hyperlink"/>
                <w:noProof/>
              </w:rPr>
              <w:t>Estimating the proportion of vaccinated individuals who respond to each dose</w:t>
            </w:r>
            <w:r w:rsidR="00627261">
              <w:rPr>
                <w:noProof/>
                <w:webHidden/>
              </w:rPr>
              <w:tab/>
            </w:r>
            <w:r w:rsidR="00627261">
              <w:rPr>
                <w:noProof/>
                <w:webHidden/>
              </w:rPr>
              <w:fldChar w:fldCharType="begin"/>
            </w:r>
            <w:r w:rsidR="00627261">
              <w:rPr>
                <w:noProof/>
                <w:webHidden/>
              </w:rPr>
              <w:instrText xml:space="preserve"> PAGEREF _Toc8144396 \h </w:instrText>
            </w:r>
            <w:r w:rsidR="00627261">
              <w:rPr>
                <w:noProof/>
                <w:webHidden/>
              </w:rPr>
            </w:r>
            <w:r w:rsidR="00627261">
              <w:rPr>
                <w:noProof/>
                <w:webHidden/>
              </w:rPr>
              <w:fldChar w:fldCharType="separate"/>
            </w:r>
            <w:r>
              <w:rPr>
                <w:noProof/>
                <w:webHidden/>
              </w:rPr>
              <w:t>7</w:t>
            </w:r>
            <w:r w:rsidR="00627261">
              <w:rPr>
                <w:noProof/>
                <w:webHidden/>
              </w:rPr>
              <w:fldChar w:fldCharType="end"/>
            </w:r>
          </w:hyperlink>
        </w:p>
        <w:p w14:paraId="012E1317" w14:textId="10789AA6" w:rsidR="00627261" w:rsidRDefault="002558FA">
          <w:pPr>
            <w:pStyle w:val="TOC1"/>
            <w:tabs>
              <w:tab w:val="right" w:leader="dot" w:pos="9350"/>
            </w:tabs>
            <w:rPr>
              <w:rFonts w:asciiTheme="minorHAnsi" w:eastAsiaTheme="minorEastAsia" w:hAnsiTheme="minorHAnsi" w:cstheme="minorBidi"/>
              <w:noProof/>
              <w:sz w:val="24"/>
              <w:szCs w:val="24"/>
            </w:rPr>
          </w:pPr>
          <w:hyperlink w:anchor="_Toc8144397" w:history="1">
            <w:r w:rsidR="00627261" w:rsidRPr="00C66062">
              <w:rPr>
                <w:rStyle w:val="Hyperlink"/>
                <w:noProof/>
              </w:rPr>
              <w:t>Model fitting</w:t>
            </w:r>
            <w:r w:rsidR="00627261">
              <w:rPr>
                <w:noProof/>
                <w:webHidden/>
              </w:rPr>
              <w:tab/>
            </w:r>
            <w:r w:rsidR="00627261">
              <w:rPr>
                <w:noProof/>
                <w:webHidden/>
              </w:rPr>
              <w:fldChar w:fldCharType="begin"/>
            </w:r>
            <w:r w:rsidR="00627261">
              <w:rPr>
                <w:noProof/>
                <w:webHidden/>
              </w:rPr>
              <w:instrText xml:space="preserve"> PAGEREF _Toc8144397 \h </w:instrText>
            </w:r>
            <w:r w:rsidR="00627261">
              <w:rPr>
                <w:noProof/>
                <w:webHidden/>
              </w:rPr>
            </w:r>
            <w:r w:rsidR="00627261">
              <w:rPr>
                <w:noProof/>
                <w:webHidden/>
              </w:rPr>
              <w:fldChar w:fldCharType="separate"/>
            </w:r>
            <w:r>
              <w:rPr>
                <w:noProof/>
                <w:webHidden/>
              </w:rPr>
              <w:t>9</w:t>
            </w:r>
            <w:r w:rsidR="00627261">
              <w:rPr>
                <w:noProof/>
                <w:webHidden/>
              </w:rPr>
              <w:fldChar w:fldCharType="end"/>
            </w:r>
          </w:hyperlink>
        </w:p>
        <w:p w14:paraId="5F9F094F" w14:textId="6B05EFD1" w:rsidR="00627261" w:rsidRDefault="002558FA">
          <w:pPr>
            <w:pStyle w:val="TOC1"/>
            <w:tabs>
              <w:tab w:val="right" w:leader="dot" w:pos="9350"/>
            </w:tabs>
            <w:rPr>
              <w:rFonts w:asciiTheme="minorHAnsi" w:eastAsiaTheme="minorEastAsia" w:hAnsiTheme="minorHAnsi" w:cstheme="minorBidi"/>
              <w:noProof/>
              <w:sz w:val="24"/>
              <w:szCs w:val="24"/>
            </w:rPr>
          </w:pPr>
          <w:hyperlink w:anchor="_Toc8144398" w:history="1">
            <w:r w:rsidR="00627261" w:rsidRPr="00C66062">
              <w:rPr>
                <w:rStyle w:val="Hyperlink"/>
                <w:noProof/>
              </w:rPr>
              <w:t>Estimating the duration of vaccine protection for the waning immunity model</w:t>
            </w:r>
            <w:r w:rsidR="00627261">
              <w:rPr>
                <w:noProof/>
                <w:webHidden/>
              </w:rPr>
              <w:tab/>
            </w:r>
            <w:r w:rsidR="00627261">
              <w:rPr>
                <w:noProof/>
                <w:webHidden/>
              </w:rPr>
              <w:fldChar w:fldCharType="begin"/>
            </w:r>
            <w:r w:rsidR="00627261">
              <w:rPr>
                <w:noProof/>
                <w:webHidden/>
              </w:rPr>
              <w:instrText xml:space="preserve"> PAGEREF _Toc8144398 \h </w:instrText>
            </w:r>
            <w:r w:rsidR="00627261">
              <w:rPr>
                <w:noProof/>
                <w:webHidden/>
              </w:rPr>
            </w:r>
            <w:r w:rsidR="00627261">
              <w:rPr>
                <w:noProof/>
                <w:webHidden/>
              </w:rPr>
              <w:fldChar w:fldCharType="separate"/>
            </w:r>
            <w:r>
              <w:rPr>
                <w:noProof/>
                <w:webHidden/>
              </w:rPr>
              <w:t>10</w:t>
            </w:r>
            <w:r w:rsidR="00627261">
              <w:rPr>
                <w:noProof/>
                <w:webHidden/>
              </w:rPr>
              <w:fldChar w:fldCharType="end"/>
            </w:r>
          </w:hyperlink>
        </w:p>
        <w:p w14:paraId="7334FF21" w14:textId="452BDA80" w:rsidR="00627261" w:rsidRDefault="002558FA">
          <w:pPr>
            <w:pStyle w:val="TOC1"/>
            <w:tabs>
              <w:tab w:val="right" w:leader="dot" w:pos="9350"/>
            </w:tabs>
            <w:rPr>
              <w:rFonts w:asciiTheme="minorHAnsi" w:eastAsiaTheme="minorEastAsia" w:hAnsiTheme="minorHAnsi" w:cstheme="minorBidi"/>
              <w:noProof/>
              <w:sz w:val="24"/>
              <w:szCs w:val="24"/>
            </w:rPr>
          </w:pPr>
          <w:hyperlink w:anchor="_Toc8144399" w:history="1">
            <w:r w:rsidR="00627261" w:rsidRPr="00C66062">
              <w:rPr>
                <w:rStyle w:val="Hyperlink"/>
                <w:noProof/>
              </w:rPr>
              <w:t>External validation of model predictions</w:t>
            </w:r>
            <w:r w:rsidR="00627261">
              <w:rPr>
                <w:noProof/>
                <w:webHidden/>
              </w:rPr>
              <w:tab/>
            </w:r>
            <w:r w:rsidR="00627261">
              <w:rPr>
                <w:noProof/>
                <w:webHidden/>
              </w:rPr>
              <w:fldChar w:fldCharType="begin"/>
            </w:r>
            <w:r w:rsidR="00627261">
              <w:rPr>
                <w:noProof/>
                <w:webHidden/>
              </w:rPr>
              <w:instrText xml:space="preserve"> PAGEREF _Toc8144399 \h </w:instrText>
            </w:r>
            <w:r w:rsidR="00627261">
              <w:rPr>
                <w:noProof/>
                <w:webHidden/>
              </w:rPr>
            </w:r>
            <w:r w:rsidR="00627261">
              <w:rPr>
                <w:noProof/>
                <w:webHidden/>
              </w:rPr>
              <w:fldChar w:fldCharType="separate"/>
            </w:r>
            <w:r>
              <w:rPr>
                <w:noProof/>
                <w:webHidden/>
              </w:rPr>
              <w:t>11</w:t>
            </w:r>
            <w:r w:rsidR="00627261">
              <w:rPr>
                <w:noProof/>
                <w:webHidden/>
              </w:rPr>
              <w:fldChar w:fldCharType="end"/>
            </w:r>
          </w:hyperlink>
        </w:p>
        <w:p w14:paraId="532C7BB7" w14:textId="09A3ABEE" w:rsidR="00627261" w:rsidRDefault="002558FA">
          <w:pPr>
            <w:pStyle w:val="TOC1"/>
            <w:tabs>
              <w:tab w:val="right" w:leader="dot" w:pos="9350"/>
            </w:tabs>
            <w:rPr>
              <w:rFonts w:asciiTheme="minorHAnsi" w:eastAsiaTheme="minorEastAsia" w:hAnsiTheme="minorHAnsi" w:cstheme="minorBidi"/>
              <w:noProof/>
              <w:sz w:val="24"/>
              <w:szCs w:val="24"/>
            </w:rPr>
          </w:pPr>
          <w:hyperlink w:anchor="_Toc8144400" w:history="1">
            <w:r w:rsidR="00627261" w:rsidRPr="00C66062">
              <w:rPr>
                <w:rStyle w:val="Hyperlink"/>
                <w:noProof/>
              </w:rPr>
              <w:t>Estimating the model-predicted direct and indirect protection</w:t>
            </w:r>
            <w:r w:rsidR="00627261">
              <w:rPr>
                <w:noProof/>
                <w:webHidden/>
              </w:rPr>
              <w:tab/>
            </w:r>
            <w:r w:rsidR="00627261">
              <w:rPr>
                <w:noProof/>
                <w:webHidden/>
              </w:rPr>
              <w:fldChar w:fldCharType="begin"/>
            </w:r>
            <w:r w:rsidR="00627261">
              <w:rPr>
                <w:noProof/>
                <w:webHidden/>
              </w:rPr>
              <w:instrText xml:space="preserve"> PAGEREF _Toc8144400 \h </w:instrText>
            </w:r>
            <w:r w:rsidR="00627261">
              <w:rPr>
                <w:noProof/>
                <w:webHidden/>
              </w:rPr>
            </w:r>
            <w:r w:rsidR="00627261">
              <w:rPr>
                <w:noProof/>
                <w:webHidden/>
              </w:rPr>
              <w:fldChar w:fldCharType="separate"/>
            </w:r>
            <w:r>
              <w:rPr>
                <w:noProof/>
                <w:webHidden/>
              </w:rPr>
              <w:t>11</w:t>
            </w:r>
            <w:r w:rsidR="00627261">
              <w:rPr>
                <w:noProof/>
                <w:webHidden/>
              </w:rPr>
              <w:fldChar w:fldCharType="end"/>
            </w:r>
          </w:hyperlink>
        </w:p>
        <w:p w14:paraId="6C92F684" w14:textId="27E3173F" w:rsidR="00627261" w:rsidRDefault="002558FA">
          <w:pPr>
            <w:pStyle w:val="TOC1"/>
            <w:tabs>
              <w:tab w:val="right" w:leader="dot" w:pos="9350"/>
            </w:tabs>
            <w:rPr>
              <w:rFonts w:asciiTheme="minorHAnsi" w:eastAsiaTheme="minorEastAsia" w:hAnsiTheme="minorHAnsi" w:cstheme="minorBidi"/>
              <w:noProof/>
              <w:sz w:val="24"/>
              <w:szCs w:val="24"/>
            </w:rPr>
          </w:pPr>
          <w:hyperlink w:anchor="_Toc8144401" w:history="1">
            <w:r w:rsidR="00627261" w:rsidRPr="00C66062">
              <w:rPr>
                <w:rStyle w:val="Hyperlink"/>
                <w:noProof/>
              </w:rPr>
              <w:t>Variation in the model-predicted vaccine effectiveness over time</w:t>
            </w:r>
            <w:r w:rsidR="00627261">
              <w:rPr>
                <w:noProof/>
                <w:webHidden/>
              </w:rPr>
              <w:tab/>
            </w:r>
            <w:r w:rsidR="00627261">
              <w:rPr>
                <w:noProof/>
                <w:webHidden/>
              </w:rPr>
              <w:fldChar w:fldCharType="begin"/>
            </w:r>
            <w:r w:rsidR="00627261">
              <w:rPr>
                <w:noProof/>
                <w:webHidden/>
              </w:rPr>
              <w:instrText xml:space="preserve"> PAGEREF _Toc8144401 \h </w:instrText>
            </w:r>
            <w:r w:rsidR="00627261">
              <w:rPr>
                <w:noProof/>
                <w:webHidden/>
              </w:rPr>
            </w:r>
            <w:r w:rsidR="00627261">
              <w:rPr>
                <w:noProof/>
                <w:webHidden/>
              </w:rPr>
              <w:fldChar w:fldCharType="separate"/>
            </w:r>
            <w:r>
              <w:rPr>
                <w:noProof/>
                <w:webHidden/>
              </w:rPr>
              <w:t>13</w:t>
            </w:r>
            <w:r w:rsidR="00627261">
              <w:rPr>
                <w:noProof/>
                <w:webHidden/>
              </w:rPr>
              <w:fldChar w:fldCharType="end"/>
            </w:r>
          </w:hyperlink>
        </w:p>
        <w:p w14:paraId="5D081A64" w14:textId="6001EAB8" w:rsidR="00627261" w:rsidRDefault="002558FA">
          <w:pPr>
            <w:pStyle w:val="TOC1"/>
            <w:tabs>
              <w:tab w:val="right" w:leader="dot" w:pos="9350"/>
            </w:tabs>
            <w:rPr>
              <w:rFonts w:asciiTheme="minorHAnsi" w:eastAsiaTheme="minorEastAsia" w:hAnsiTheme="minorHAnsi" w:cstheme="minorBidi"/>
              <w:noProof/>
              <w:sz w:val="24"/>
              <w:szCs w:val="24"/>
            </w:rPr>
          </w:pPr>
          <w:hyperlink w:anchor="_Toc8144402" w:history="1">
            <w:r w:rsidR="00627261" w:rsidRPr="00C66062">
              <w:rPr>
                <w:rStyle w:val="Hyperlink"/>
                <w:noProof/>
              </w:rPr>
              <w:t>Theoretical vaccine effectiveness</w:t>
            </w:r>
            <w:r w:rsidR="00627261">
              <w:rPr>
                <w:noProof/>
                <w:webHidden/>
              </w:rPr>
              <w:tab/>
            </w:r>
            <w:r w:rsidR="00627261">
              <w:rPr>
                <w:noProof/>
                <w:webHidden/>
              </w:rPr>
              <w:fldChar w:fldCharType="begin"/>
            </w:r>
            <w:r w:rsidR="00627261">
              <w:rPr>
                <w:noProof/>
                <w:webHidden/>
              </w:rPr>
              <w:instrText xml:space="preserve"> PAGEREF _Toc8144402 \h </w:instrText>
            </w:r>
            <w:r w:rsidR="00627261">
              <w:rPr>
                <w:noProof/>
                <w:webHidden/>
              </w:rPr>
            </w:r>
            <w:r w:rsidR="00627261">
              <w:rPr>
                <w:noProof/>
                <w:webHidden/>
              </w:rPr>
              <w:fldChar w:fldCharType="separate"/>
            </w:r>
            <w:r>
              <w:rPr>
                <w:noProof/>
                <w:webHidden/>
              </w:rPr>
              <w:t>13</w:t>
            </w:r>
            <w:r w:rsidR="00627261">
              <w:rPr>
                <w:noProof/>
                <w:webHidden/>
              </w:rPr>
              <w:fldChar w:fldCharType="end"/>
            </w:r>
          </w:hyperlink>
        </w:p>
        <w:p w14:paraId="1AE952A9" w14:textId="5DA4B8C4" w:rsidR="00627261" w:rsidRDefault="002558FA">
          <w:pPr>
            <w:pStyle w:val="TOC1"/>
            <w:tabs>
              <w:tab w:val="right" w:leader="dot" w:pos="9350"/>
            </w:tabs>
            <w:rPr>
              <w:rFonts w:asciiTheme="minorHAnsi" w:eastAsiaTheme="minorEastAsia" w:hAnsiTheme="minorHAnsi" w:cstheme="minorBidi"/>
              <w:noProof/>
              <w:sz w:val="24"/>
              <w:szCs w:val="24"/>
            </w:rPr>
          </w:pPr>
          <w:hyperlink w:anchor="_Toc8144403" w:history="1">
            <w:r w:rsidR="00627261" w:rsidRPr="00C66062">
              <w:rPr>
                <w:rStyle w:val="Hyperlink"/>
                <w:noProof/>
              </w:rPr>
              <w:t>Sensitivity analyses</w:t>
            </w:r>
            <w:r w:rsidR="00627261">
              <w:rPr>
                <w:noProof/>
                <w:webHidden/>
              </w:rPr>
              <w:tab/>
            </w:r>
            <w:r w:rsidR="00627261">
              <w:rPr>
                <w:noProof/>
                <w:webHidden/>
              </w:rPr>
              <w:fldChar w:fldCharType="begin"/>
            </w:r>
            <w:r w:rsidR="00627261">
              <w:rPr>
                <w:noProof/>
                <w:webHidden/>
              </w:rPr>
              <w:instrText xml:space="preserve"> PAGEREF _Toc8144403 \h </w:instrText>
            </w:r>
            <w:r w:rsidR="00627261">
              <w:rPr>
                <w:noProof/>
                <w:webHidden/>
              </w:rPr>
            </w:r>
            <w:r w:rsidR="00627261">
              <w:rPr>
                <w:noProof/>
                <w:webHidden/>
              </w:rPr>
              <w:fldChar w:fldCharType="separate"/>
            </w:r>
            <w:r>
              <w:rPr>
                <w:noProof/>
                <w:webHidden/>
              </w:rPr>
              <w:t>14</w:t>
            </w:r>
            <w:r w:rsidR="00627261">
              <w:rPr>
                <w:noProof/>
                <w:webHidden/>
              </w:rPr>
              <w:fldChar w:fldCharType="end"/>
            </w:r>
          </w:hyperlink>
        </w:p>
        <w:p w14:paraId="4D221365" w14:textId="374B9AFE" w:rsidR="00EB686F" w:rsidRPr="007E512D" w:rsidRDefault="00EB686F" w:rsidP="00EB686F">
          <w:pPr>
            <w:rPr>
              <w:rFonts w:cs="Times New Roman"/>
            </w:rPr>
          </w:pPr>
          <w:r w:rsidRPr="007E512D">
            <w:rPr>
              <w:rFonts w:cs="Times New Roman"/>
              <w:b/>
              <w:bCs/>
              <w:noProof/>
            </w:rPr>
            <w:fldChar w:fldCharType="end"/>
          </w:r>
        </w:p>
      </w:sdtContent>
    </w:sdt>
    <w:p w14:paraId="2F4ED811" w14:textId="77777777" w:rsidR="00EB686F" w:rsidRPr="007E512D" w:rsidRDefault="00EB686F" w:rsidP="00EB686F">
      <w:pPr>
        <w:rPr>
          <w:rFonts w:cs="Times New Roman"/>
        </w:rPr>
      </w:pPr>
    </w:p>
    <w:p w14:paraId="7EC3DDDD" w14:textId="77777777" w:rsidR="00EB686F" w:rsidRPr="007E512D" w:rsidRDefault="00EB686F" w:rsidP="00EB686F">
      <w:pPr>
        <w:ind w:left="720"/>
        <w:rPr>
          <w:rFonts w:cs="Times New Roman"/>
        </w:rPr>
      </w:pPr>
      <w:r w:rsidRPr="007E512D">
        <w:rPr>
          <w:rFonts w:cs="Times New Roman"/>
        </w:rPr>
        <w:br/>
      </w:r>
    </w:p>
    <w:p w14:paraId="3B235162" w14:textId="77777777" w:rsidR="00EB686F" w:rsidRPr="007E512D" w:rsidRDefault="00EB686F" w:rsidP="00EB686F">
      <w:pPr>
        <w:pStyle w:val="SMHeading"/>
      </w:pPr>
    </w:p>
    <w:p w14:paraId="54F5FE3B" w14:textId="77777777" w:rsidR="00EB686F" w:rsidRPr="007E512D" w:rsidRDefault="00EB686F" w:rsidP="00EB686F">
      <w:pPr>
        <w:pStyle w:val="SMHeading"/>
      </w:pPr>
    </w:p>
    <w:p w14:paraId="7C271145" w14:textId="77777777" w:rsidR="00EB686F" w:rsidRPr="007E512D" w:rsidRDefault="00EB686F" w:rsidP="00EB686F">
      <w:pPr>
        <w:pStyle w:val="SMHeading"/>
      </w:pPr>
    </w:p>
    <w:p w14:paraId="01CE7D3B" w14:textId="77777777" w:rsidR="00EB686F" w:rsidRPr="007E512D" w:rsidRDefault="00EB686F" w:rsidP="00EB686F">
      <w:pPr>
        <w:pStyle w:val="SMText"/>
        <w:ind w:firstLine="0"/>
      </w:pPr>
    </w:p>
    <w:p w14:paraId="69A6E8F8" w14:textId="77777777" w:rsidR="00EB686F" w:rsidRPr="007E512D" w:rsidRDefault="00EB686F" w:rsidP="00EB686F">
      <w:pPr>
        <w:rPr>
          <w:rFonts w:eastAsia="Times New Roman" w:cs="Times New Roman"/>
          <w:b/>
          <w:szCs w:val="20"/>
        </w:rPr>
      </w:pPr>
      <w:r w:rsidRPr="007E512D">
        <w:rPr>
          <w:rFonts w:cs="Times New Roman"/>
          <w:b/>
        </w:rPr>
        <w:br w:type="page"/>
      </w:r>
    </w:p>
    <w:p w14:paraId="43445633" w14:textId="77777777" w:rsidR="00EB686F" w:rsidRPr="007E512D" w:rsidRDefault="00EB686F" w:rsidP="00754D9F">
      <w:pPr>
        <w:pStyle w:val="SMSubheading"/>
        <w:spacing w:after="120"/>
        <w:rPr>
          <w:szCs w:val="22"/>
          <w:u w:val="none"/>
        </w:rPr>
      </w:pPr>
      <w:r w:rsidRPr="007E512D">
        <w:rPr>
          <w:b/>
          <w:u w:val="none"/>
        </w:rPr>
        <w:lastRenderedPageBreak/>
        <w:t>List of figures</w:t>
      </w:r>
    </w:p>
    <w:p w14:paraId="3048A878" w14:textId="10CC48EF" w:rsidR="00AA7127" w:rsidRDefault="00EB686F">
      <w:pPr>
        <w:pStyle w:val="TableofFigures"/>
        <w:tabs>
          <w:tab w:val="right" w:leader="dot" w:pos="9350"/>
        </w:tabs>
        <w:rPr>
          <w:rFonts w:asciiTheme="minorHAnsi" w:eastAsiaTheme="minorEastAsia" w:hAnsiTheme="minorHAnsi" w:cstheme="minorBidi"/>
          <w:noProof/>
          <w:sz w:val="24"/>
          <w:szCs w:val="24"/>
        </w:rPr>
      </w:pPr>
      <w:r w:rsidRPr="007E512D">
        <w:rPr>
          <w:szCs w:val="22"/>
        </w:rPr>
        <w:fldChar w:fldCharType="begin"/>
      </w:r>
      <w:r w:rsidRPr="007E512D">
        <w:rPr>
          <w:szCs w:val="22"/>
        </w:rPr>
        <w:instrText xml:space="preserve"> TOC \h \z \c "Fig. S" </w:instrText>
      </w:r>
      <w:r w:rsidRPr="007E512D">
        <w:rPr>
          <w:szCs w:val="22"/>
        </w:rPr>
        <w:fldChar w:fldCharType="separate"/>
      </w:r>
      <w:hyperlink w:anchor="_Toc9935776" w:history="1">
        <w:r w:rsidR="00AA7127" w:rsidRPr="008069CC">
          <w:rPr>
            <w:rStyle w:val="Hyperlink"/>
            <w:noProof/>
          </w:rPr>
          <w:t>Fig. S1. Diagram of compartmental models for vaccination with and without waning of vaccine-induced immunity.</w:t>
        </w:r>
        <w:r w:rsidR="00AA7127">
          <w:rPr>
            <w:noProof/>
            <w:webHidden/>
          </w:rPr>
          <w:tab/>
        </w:r>
        <w:r w:rsidR="00AA7127">
          <w:rPr>
            <w:noProof/>
            <w:webHidden/>
          </w:rPr>
          <w:fldChar w:fldCharType="begin"/>
        </w:r>
        <w:r w:rsidR="00AA7127">
          <w:rPr>
            <w:noProof/>
            <w:webHidden/>
          </w:rPr>
          <w:instrText xml:space="preserve"> PAGEREF _Toc9935776 \h </w:instrText>
        </w:r>
        <w:r w:rsidR="00AA7127">
          <w:rPr>
            <w:noProof/>
            <w:webHidden/>
          </w:rPr>
        </w:r>
        <w:r w:rsidR="00AA7127">
          <w:rPr>
            <w:noProof/>
            <w:webHidden/>
          </w:rPr>
          <w:fldChar w:fldCharType="separate"/>
        </w:r>
        <w:r w:rsidR="002558FA">
          <w:rPr>
            <w:noProof/>
            <w:webHidden/>
          </w:rPr>
          <w:t>16</w:t>
        </w:r>
        <w:r w:rsidR="00AA7127">
          <w:rPr>
            <w:noProof/>
            <w:webHidden/>
          </w:rPr>
          <w:fldChar w:fldCharType="end"/>
        </w:r>
      </w:hyperlink>
    </w:p>
    <w:p w14:paraId="6E73D3EA" w14:textId="671C6BD1"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77" w:history="1">
        <w:r w:rsidR="00AA7127" w:rsidRPr="008069CC">
          <w:rPr>
            <w:rStyle w:val="Hyperlink"/>
            <w:noProof/>
          </w:rPr>
          <w:t>Fig. S2. Vaccine coverage through time among rotavirus-negative diarrheal cases.</w:t>
        </w:r>
        <w:r w:rsidR="00AA7127">
          <w:rPr>
            <w:noProof/>
            <w:webHidden/>
          </w:rPr>
          <w:tab/>
        </w:r>
        <w:r w:rsidR="00AA7127">
          <w:rPr>
            <w:noProof/>
            <w:webHidden/>
          </w:rPr>
          <w:fldChar w:fldCharType="begin"/>
        </w:r>
        <w:r w:rsidR="00AA7127">
          <w:rPr>
            <w:noProof/>
            <w:webHidden/>
          </w:rPr>
          <w:instrText xml:space="preserve"> PAGEREF _Toc9935777 \h </w:instrText>
        </w:r>
        <w:r w:rsidR="00AA7127">
          <w:rPr>
            <w:noProof/>
            <w:webHidden/>
          </w:rPr>
        </w:r>
        <w:r w:rsidR="00AA7127">
          <w:rPr>
            <w:noProof/>
            <w:webHidden/>
          </w:rPr>
          <w:fldChar w:fldCharType="separate"/>
        </w:r>
        <w:r>
          <w:rPr>
            <w:noProof/>
            <w:webHidden/>
          </w:rPr>
          <w:t>17</w:t>
        </w:r>
        <w:r w:rsidR="00AA7127">
          <w:rPr>
            <w:noProof/>
            <w:webHidden/>
          </w:rPr>
          <w:fldChar w:fldCharType="end"/>
        </w:r>
      </w:hyperlink>
    </w:p>
    <w:p w14:paraId="6C95AD6B" w14:textId="5230E179"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78" w:history="1">
        <w:r w:rsidR="00AA7127" w:rsidRPr="008069CC">
          <w:rPr>
            <w:rStyle w:val="Hyperlink"/>
            <w:noProof/>
          </w:rPr>
          <w:t>Fig. S3. Observed and model-predicted vaccine impact by age group and year since vaccine introduction.</w:t>
        </w:r>
        <w:r w:rsidR="00AA7127">
          <w:rPr>
            <w:noProof/>
            <w:webHidden/>
          </w:rPr>
          <w:tab/>
        </w:r>
        <w:r w:rsidR="00AA7127">
          <w:rPr>
            <w:noProof/>
            <w:webHidden/>
          </w:rPr>
          <w:fldChar w:fldCharType="begin"/>
        </w:r>
        <w:r w:rsidR="00AA7127">
          <w:rPr>
            <w:noProof/>
            <w:webHidden/>
          </w:rPr>
          <w:instrText xml:space="preserve"> PAGEREF _Toc9935778 \h </w:instrText>
        </w:r>
        <w:r w:rsidR="00AA7127">
          <w:rPr>
            <w:noProof/>
            <w:webHidden/>
          </w:rPr>
        </w:r>
        <w:r w:rsidR="00AA7127">
          <w:rPr>
            <w:noProof/>
            <w:webHidden/>
          </w:rPr>
          <w:fldChar w:fldCharType="separate"/>
        </w:r>
        <w:r>
          <w:rPr>
            <w:noProof/>
            <w:webHidden/>
          </w:rPr>
          <w:t>18</w:t>
        </w:r>
        <w:r w:rsidR="00AA7127">
          <w:rPr>
            <w:noProof/>
            <w:webHidden/>
          </w:rPr>
          <w:fldChar w:fldCharType="end"/>
        </w:r>
      </w:hyperlink>
    </w:p>
    <w:p w14:paraId="452AD3FD" w14:textId="0BE73EE3"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79" w:history="1">
        <w:r w:rsidR="00AA7127" w:rsidRPr="008069CC">
          <w:rPr>
            <w:rStyle w:val="Hyperlink"/>
            <w:noProof/>
          </w:rPr>
          <w:t>Fig. S4. Observed and predicted vaccine impact by age and vaccination status.</w:t>
        </w:r>
        <w:r w:rsidR="00AA7127">
          <w:rPr>
            <w:noProof/>
            <w:webHidden/>
          </w:rPr>
          <w:tab/>
        </w:r>
        <w:r w:rsidR="00AA7127">
          <w:rPr>
            <w:noProof/>
            <w:webHidden/>
          </w:rPr>
          <w:fldChar w:fldCharType="begin"/>
        </w:r>
        <w:r w:rsidR="00AA7127">
          <w:rPr>
            <w:noProof/>
            <w:webHidden/>
          </w:rPr>
          <w:instrText xml:space="preserve"> PAGEREF _Toc9935779 \h </w:instrText>
        </w:r>
        <w:r w:rsidR="00AA7127">
          <w:rPr>
            <w:noProof/>
            <w:webHidden/>
          </w:rPr>
        </w:r>
        <w:r w:rsidR="00AA7127">
          <w:rPr>
            <w:noProof/>
            <w:webHidden/>
          </w:rPr>
          <w:fldChar w:fldCharType="separate"/>
        </w:r>
        <w:r>
          <w:rPr>
            <w:noProof/>
            <w:webHidden/>
          </w:rPr>
          <w:t>19</w:t>
        </w:r>
        <w:r w:rsidR="00AA7127">
          <w:rPr>
            <w:noProof/>
            <w:webHidden/>
          </w:rPr>
          <w:fldChar w:fldCharType="end"/>
        </w:r>
      </w:hyperlink>
    </w:p>
    <w:p w14:paraId="17135CF7" w14:textId="40EAB2B8"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0" w:history="1">
        <w:r w:rsidR="00AA7127" w:rsidRPr="008069CC">
          <w:rPr>
            <w:rStyle w:val="Hyperlink"/>
            <w:noProof/>
          </w:rPr>
          <w:t>Fig. S5. Relationship between the proportion of infants who respond to each vaccine dose, the basic reproductive number (</w:t>
        </w:r>
        <w:r w:rsidR="00AA7127" w:rsidRPr="008069CC">
          <w:rPr>
            <w:rStyle w:val="Hyperlink"/>
            <w:i/>
            <w:noProof/>
          </w:rPr>
          <w:t>R</w:t>
        </w:r>
        <w:r w:rsidR="00AA7127" w:rsidRPr="008069CC">
          <w:rPr>
            <w:rStyle w:val="Hyperlink"/>
            <w:noProof/>
            <w:vertAlign w:val="subscript"/>
          </w:rPr>
          <w:t>0</w:t>
        </w:r>
        <w:r w:rsidR="00AA7127" w:rsidRPr="008069CC">
          <w:rPr>
            <w:rStyle w:val="Hyperlink"/>
            <w:noProof/>
          </w:rPr>
          <w:t>), and vaccine effectiveness estimates for Model 1.</w:t>
        </w:r>
        <w:r w:rsidR="00AA7127">
          <w:rPr>
            <w:noProof/>
            <w:webHidden/>
          </w:rPr>
          <w:tab/>
        </w:r>
        <w:r w:rsidR="00AA7127">
          <w:rPr>
            <w:noProof/>
            <w:webHidden/>
          </w:rPr>
          <w:fldChar w:fldCharType="begin"/>
        </w:r>
        <w:r w:rsidR="00AA7127">
          <w:rPr>
            <w:noProof/>
            <w:webHidden/>
          </w:rPr>
          <w:instrText xml:space="preserve"> PAGEREF _Toc9935780 \h </w:instrText>
        </w:r>
        <w:r w:rsidR="00AA7127">
          <w:rPr>
            <w:noProof/>
            <w:webHidden/>
          </w:rPr>
        </w:r>
        <w:r w:rsidR="00AA7127">
          <w:rPr>
            <w:noProof/>
            <w:webHidden/>
          </w:rPr>
          <w:fldChar w:fldCharType="separate"/>
        </w:r>
        <w:r>
          <w:rPr>
            <w:noProof/>
            <w:webHidden/>
          </w:rPr>
          <w:t>20</w:t>
        </w:r>
        <w:r w:rsidR="00AA7127">
          <w:rPr>
            <w:noProof/>
            <w:webHidden/>
          </w:rPr>
          <w:fldChar w:fldCharType="end"/>
        </w:r>
      </w:hyperlink>
    </w:p>
    <w:p w14:paraId="5CE23137" w14:textId="039C941D"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1" w:history="1">
        <w:r w:rsidR="00AA7127" w:rsidRPr="008069CC">
          <w:rPr>
            <w:rStyle w:val="Hyperlink"/>
            <w:noProof/>
          </w:rPr>
          <w:t>Fig. S6. Relationship between the proportion of infants who respond to each vaccine dose and the predicted vaccine effectiveness assuming heterogeneity in vaccine response.</w:t>
        </w:r>
        <w:r w:rsidR="00AA7127">
          <w:rPr>
            <w:noProof/>
            <w:webHidden/>
          </w:rPr>
          <w:tab/>
        </w:r>
        <w:r w:rsidR="00AA7127">
          <w:rPr>
            <w:noProof/>
            <w:webHidden/>
          </w:rPr>
          <w:fldChar w:fldCharType="begin"/>
        </w:r>
        <w:r w:rsidR="00AA7127">
          <w:rPr>
            <w:noProof/>
            <w:webHidden/>
          </w:rPr>
          <w:instrText xml:space="preserve"> PAGEREF _Toc9935781 \h </w:instrText>
        </w:r>
        <w:r w:rsidR="00AA7127">
          <w:rPr>
            <w:noProof/>
            <w:webHidden/>
          </w:rPr>
        </w:r>
        <w:r w:rsidR="00AA7127">
          <w:rPr>
            <w:noProof/>
            <w:webHidden/>
          </w:rPr>
          <w:fldChar w:fldCharType="separate"/>
        </w:r>
        <w:r>
          <w:rPr>
            <w:noProof/>
            <w:webHidden/>
          </w:rPr>
          <w:t>21</w:t>
        </w:r>
        <w:r w:rsidR="00AA7127">
          <w:rPr>
            <w:noProof/>
            <w:webHidden/>
          </w:rPr>
          <w:fldChar w:fldCharType="end"/>
        </w:r>
      </w:hyperlink>
    </w:p>
    <w:p w14:paraId="6C8701BD" w14:textId="534C13FC"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2" w:history="1">
        <w:r w:rsidR="00AA7127" w:rsidRPr="008069CC">
          <w:rPr>
            <w:rStyle w:val="Hyperlink"/>
            <w:noProof/>
          </w:rPr>
          <w:t>Fig. S7. Relationship between the proportion of infants who respond to each vaccine dose, the basic reproductive number (</w:t>
        </w:r>
        <w:r w:rsidR="00AA7127" w:rsidRPr="008069CC">
          <w:rPr>
            <w:rStyle w:val="Hyperlink"/>
            <w:i/>
            <w:noProof/>
          </w:rPr>
          <w:t>R</w:t>
        </w:r>
        <w:r w:rsidR="00AA7127" w:rsidRPr="008069CC">
          <w:rPr>
            <w:rStyle w:val="Hyperlink"/>
            <w:noProof/>
            <w:vertAlign w:val="subscript"/>
          </w:rPr>
          <w:t>0</w:t>
        </w:r>
        <w:r w:rsidR="00AA7127" w:rsidRPr="008069CC">
          <w:rPr>
            <w:rStyle w:val="Hyperlink"/>
            <w:noProof/>
          </w:rPr>
          <w:t>), and the model-predicted indirect effect.</w:t>
        </w:r>
        <w:r w:rsidR="00AA7127">
          <w:rPr>
            <w:noProof/>
            <w:webHidden/>
          </w:rPr>
          <w:tab/>
        </w:r>
        <w:r w:rsidR="00AA7127">
          <w:rPr>
            <w:noProof/>
            <w:webHidden/>
          </w:rPr>
          <w:fldChar w:fldCharType="begin"/>
        </w:r>
        <w:r w:rsidR="00AA7127">
          <w:rPr>
            <w:noProof/>
            <w:webHidden/>
          </w:rPr>
          <w:instrText xml:space="preserve"> PAGEREF _Toc9935782 \h </w:instrText>
        </w:r>
        <w:r w:rsidR="00AA7127">
          <w:rPr>
            <w:noProof/>
            <w:webHidden/>
          </w:rPr>
        </w:r>
        <w:r w:rsidR="00AA7127">
          <w:rPr>
            <w:noProof/>
            <w:webHidden/>
          </w:rPr>
          <w:fldChar w:fldCharType="separate"/>
        </w:r>
        <w:r>
          <w:rPr>
            <w:noProof/>
            <w:webHidden/>
          </w:rPr>
          <w:t>22</w:t>
        </w:r>
        <w:r w:rsidR="00AA7127">
          <w:rPr>
            <w:noProof/>
            <w:webHidden/>
          </w:rPr>
          <w:fldChar w:fldCharType="end"/>
        </w:r>
      </w:hyperlink>
    </w:p>
    <w:p w14:paraId="125AAC0B" w14:textId="3F8884E0"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3" w:history="1">
        <w:r w:rsidR="00AA7127" w:rsidRPr="008069CC">
          <w:rPr>
            <w:rStyle w:val="Hyperlink"/>
            <w:noProof/>
          </w:rPr>
          <w:t>Fig. S8. Proportion of the population with natural or vaccine-induced immunity by age.</w:t>
        </w:r>
        <w:r w:rsidR="00AA7127">
          <w:rPr>
            <w:noProof/>
            <w:webHidden/>
          </w:rPr>
          <w:tab/>
        </w:r>
        <w:r w:rsidR="00AA7127">
          <w:rPr>
            <w:noProof/>
            <w:webHidden/>
          </w:rPr>
          <w:fldChar w:fldCharType="begin"/>
        </w:r>
        <w:r w:rsidR="00AA7127">
          <w:rPr>
            <w:noProof/>
            <w:webHidden/>
          </w:rPr>
          <w:instrText xml:space="preserve"> PAGEREF _Toc9935783 \h </w:instrText>
        </w:r>
        <w:r w:rsidR="00AA7127">
          <w:rPr>
            <w:noProof/>
            <w:webHidden/>
          </w:rPr>
        </w:r>
        <w:r w:rsidR="00AA7127">
          <w:rPr>
            <w:noProof/>
            <w:webHidden/>
          </w:rPr>
          <w:fldChar w:fldCharType="separate"/>
        </w:r>
        <w:r>
          <w:rPr>
            <w:noProof/>
            <w:webHidden/>
          </w:rPr>
          <w:t>23</w:t>
        </w:r>
        <w:r w:rsidR="00AA7127">
          <w:rPr>
            <w:noProof/>
            <w:webHidden/>
          </w:rPr>
          <w:fldChar w:fldCharType="end"/>
        </w:r>
      </w:hyperlink>
    </w:p>
    <w:p w14:paraId="3B86E98E" w14:textId="06F04D39"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4" w:history="1">
        <w:r w:rsidR="00AA7127" w:rsidRPr="008069CC">
          <w:rPr>
            <w:rStyle w:val="Hyperlink"/>
            <w:noProof/>
          </w:rPr>
          <w:t>Fig. S9. Proportion of the population with natural or vaccine-induced immunity by age for the period from January 2018 to December 2019.</w:t>
        </w:r>
        <w:r w:rsidR="00AA7127">
          <w:rPr>
            <w:noProof/>
            <w:webHidden/>
          </w:rPr>
          <w:tab/>
        </w:r>
        <w:r w:rsidR="00AA7127">
          <w:rPr>
            <w:noProof/>
            <w:webHidden/>
          </w:rPr>
          <w:fldChar w:fldCharType="begin"/>
        </w:r>
        <w:r w:rsidR="00AA7127">
          <w:rPr>
            <w:noProof/>
            <w:webHidden/>
          </w:rPr>
          <w:instrText xml:space="preserve"> PAGEREF _Toc9935784 \h </w:instrText>
        </w:r>
        <w:r w:rsidR="00AA7127">
          <w:rPr>
            <w:noProof/>
            <w:webHidden/>
          </w:rPr>
        </w:r>
        <w:r w:rsidR="00AA7127">
          <w:rPr>
            <w:noProof/>
            <w:webHidden/>
          </w:rPr>
          <w:fldChar w:fldCharType="separate"/>
        </w:r>
        <w:r>
          <w:rPr>
            <w:noProof/>
            <w:webHidden/>
          </w:rPr>
          <w:t>24</w:t>
        </w:r>
        <w:r w:rsidR="00AA7127">
          <w:rPr>
            <w:noProof/>
            <w:webHidden/>
          </w:rPr>
          <w:fldChar w:fldCharType="end"/>
        </w:r>
      </w:hyperlink>
    </w:p>
    <w:p w14:paraId="41BAB1F8" w14:textId="6A423830"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5" w:history="1">
        <w:r w:rsidR="00AA7127" w:rsidRPr="008069CC">
          <w:rPr>
            <w:rStyle w:val="Hyperlink"/>
            <w:noProof/>
          </w:rPr>
          <w:t>Fig. S10. Model-predicted vaccine effectiveness with and without the addition of a third dose of rotavirus vaccine administered at 9 months of age.</w:t>
        </w:r>
        <w:r w:rsidR="00AA7127">
          <w:rPr>
            <w:noProof/>
            <w:webHidden/>
          </w:rPr>
          <w:tab/>
        </w:r>
        <w:r w:rsidR="00AA7127">
          <w:rPr>
            <w:noProof/>
            <w:webHidden/>
          </w:rPr>
          <w:fldChar w:fldCharType="begin"/>
        </w:r>
        <w:r w:rsidR="00AA7127">
          <w:rPr>
            <w:noProof/>
            <w:webHidden/>
          </w:rPr>
          <w:instrText xml:space="preserve"> PAGEREF _Toc9935785 \h </w:instrText>
        </w:r>
        <w:r w:rsidR="00AA7127">
          <w:rPr>
            <w:noProof/>
            <w:webHidden/>
          </w:rPr>
        </w:r>
        <w:r w:rsidR="00AA7127">
          <w:rPr>
            <w:noProof/>
            <w:webHidden/>
          </w:rPr>
          <w:fldChar w:fldCharType="separate"/>
        </w:r>
        <w:r>
          <w:rPr>
            <w:noProof/>
            <w:webHidden/>
          </w:rPr>
          <w:t>25</w:t>
        </w:r>
        <w:r w:rsidR="00AA7127">
          <w:rPr>
            <w:noProof/>
            <w:webHidden/>
          </w:rPr>
          <w:fldChar w:fldCharType="end"/>
        </w:r>
      </w:hyperlink>
    </w:p>
    <w:p w14:paraId="324A5894" w14:textId="08CF78FF"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6" w:history="1">
        <w:r w:rsidR="00AA7127" w:rsidRPr="008069CC">
          <w:rPr>
            <w:rStyle w:val="Hyperlink"/>
            <w:noProof/>
          </w:rPr>
          <w:t>Fig. S11. Predicted impact of strategies to improve the proportion of infants responding to vaccination and to reduce the transmission rate of rotavirus.</w:t>
        </w:r>
        <w:r w:rsidR="00AA7127">
          <w:rPr>
            <w:noProof/>
            <w:webHidden/>
          </w:rPr>
          <w:tab/>
        </w:r>
        <w:r w:rsidR="00AA7127">
          <w:rPr>
            <w:noProof/>
            <w:webHidden/>
          </w:rPr>
          <w:fldChar w:fldCharType="begin"/>
        </w:r>
        <w:r w:rsidR="00AA7127">
          <w:rPr>
            <w:noProof/>
            <w:webHidden/>
          </w:rPr>
          <w:instrText xml:space="preserve"> PAGEREF _Toc9935786 \h </w:instrText>
        </w:r>
        <w:r w:rsidR="00AA7127">
          <w:rPr>
            <w:noProof/>
            <w:webHidden/>
          </w:rPr>
        </w:r>
        <w:r w:rsidR="00AA7127">
          <w:rPr>
            <w:noProof/>
            <w:webHidden/>
          </w:rPr>
          <w:fldChar w:fldCharType="separate"/>
        </w:r>
        <w:r>
          <w:rPr>
            <w:noProof/>
            <w:webHidden/>
          </w:rPr>
          <w:t>26</w:t>
        </w:r>
        <w:r w:rsidR="00AA7127">
          <w:rPr>
            <w:noProof/>
            <w:webHidden/>
          </w:rPr>
          <w:fldChar w:fldCharType="end"/>
        </w:r>
      </w:hyperlink>
    </w:p>
    <w:p w14:paraId="6934E54D" w14:textId="2B2254B1"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7" w:history="1">
        <w:r w:rsidR="00AA7127" w:rsidRPr="008069CC">
          <w:rPr>
            <w:rStyle w:val="Hyperlink"/>
            <w:noProof/>
          </w:rPr>
          <w:t>Fig. S12. Variation in the average number of rotavirus-negative cases through time for the pre- and post-vaccination surveillance periods.</w:t>
        </w:r>
        <w:r w:rsidR="00AA7127">
          <w:rPr>
            <w:noProof/>
            <w:webHidden/>
          </w:rPr>
          <w:tab/>
        </w:r>
        <w:r w:rsidR="00AA7127">
          <w:rPr>
            <w:noProof/>
            <w:webHidden/>
          </w:rPr>
          <w:fldChar w:fldCharType="begin"/>
        </w:r>
        <w:r w:rsidR="00AA7127">
          <w:rPr>
            <w:noProof/>
            <w:webHidden/>
          </w:rPr>
          <w:instrText xml:space="preserve"> PAGEREF _Toc9935787 \h </w:instrText>
        </w:r>
        <w:r w:rsidR="00AA7127">
          <w:rPr>
            <w:noProof/>
            <w:webHidden/>
          </w:rPr>
        </w:r>
        <w:r w:rsidR="00AA7127">
          <w:rPr>
            <w:noProof/>
            <w:webHidden/>
          </w:rPr>
          <w:fldChar w:fldCharType="separate"/>
        </w:r>
        <w:r>
          <w:rPr>
            <w:noProof/>
            <w:webHidden/>
          </w:rPr>
          <w:t>27</w:t>
        </w:r>
        <w:r w:rsidR="00AA7127">
          <w:rPr>
            <w:noProof/>
            <w:webHidden/>
          </w:rPr>
          <w:fldChar w:fldCharType="end"/>
        </w:r>
      </w:hyperlink>
    </w:p>
    <w:p w14:paraId="2D4DBC60" w14:textId="2D680680"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8" w:history="1">
        <w:r w:rsidR="00AA7127" w:rsidRPr="008069CC">
          <w:rPr>
            <w:rStyle w:val="Hyperlink"/>
            <w:noProof/>
          </w:rPr>
          <w:t>Fig. S13. Prior and posterior distributions of model parameters estimated by fitting to the pre-vaccination data.</w:t>
        </w:r>
        <w:r w:rsidR="00AA7127">
          <w:rPr>
            <w:noProof/>
            <w:webHidden/>
          </w:rPr>
          <w:tab/>
        </w:r>
        <w:r w:rsidR="00AA7127">
          <w:rPr>
            <w:noProof/>
            <w:webHidden/>
          </w:rPr>
          <w:fldChar w:fldCharType="begin"/>
        </w:r>
        <w:r w:rsidR="00AA7127">
          <w:rPr>
            <w:noProof/>
            <w:webHidden/>
          </w:rPr>
          <w:instrText xml:space="preserve"> PAGEREF _Toc9935788 \h </w:instrText>
        </w:r>
        <w:r w:rsidR="00AA7127">
          <w:rPr>
            <w:noProof/>
            <w:webHidden/>
          </w:rPr>
        </w:r>
        <w:r w:rsidR="00AA7127">
          <w:rPr>
            <w:noProof/>
            <w:webHidden/>
          </w:rPr>
          <w:fldChar w:fldCharType="separate"/>
        </w:r>
        <w:r>
          <w:rPr>
            <w:noProof/>
            <w:webHidden/>
          </w:rPr>
          <w:t>28</w:t>
        </w:r>
        <w:r w:rsidR="00AA7127">
          <w:rPr>
            <w:noProof/>
            <w:webHidden/>
          </w:rPr>
          <w:fldChar w:fldCharType="end"/>
        </w:r>
      </w:hyperlink>
    </w:p>
    <w:p w14:paraId="1A407CF4" w14:textId="21D412A1"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89" w:history="1">
        <w:r w:rsidR="00AA7127" w:rsidRPr="008069CC">
          <w:rPr>
            <w:rStyle w:val="Hyperlink"/>
            <w:noProof/>
          </w:rPr>
          <w:t>Fig. S14. Trace plots and posterior distributions of estimated vaccination parameters.</w:t>
        </w:r>
        <w:r w:rsidR="00AA7127">
          <w:rPr>
            <w:noProof/>
            <w:webHidden/>
          </w:rPr>
          <w:tab/>
        </w:r>
        <w:r w:rsidR="00AA7127">
          <w:rPr>
            <w:noProof/>
            <w:webHidden/>
          </w:rPr>
          <w:fldChar w:fldCharType="begin"/>
        </w:r>
        <w:r w:rsidR="00AA7127">
          <w:rPr>
            <w:noProof/>
            <w:webHidden/>
          </w:rPr>
          <w:instrText xml:space="preserve"> PAGEREF _Toc9935789 \h </w:instrText>
        </w:r>
        <w:r w:rsidR="00AA7127">
          <w:rPr>
            <w:noProof/>
            <w:webHidden/>
          </w:rPr>
        </w:r>
        <w:r w:rsidR="00AA7127">
          <w:rPr>
            <w:noProof/>
            <w:webHidden/>
          </w:rPr>
          <w:fldChar w:fldCharType="separate"/>
        </w:r>
        <w:r>
          <w:rPr>
            <w:noProof/>
            <w:webHidden/>
          </w:rPr>
          <w:t>29</w:t>
        </w:r>
        <w:r w:rsidR="00AA7127">
          <w:rPr>
            <w:noProof/>
            <w:webHidden/>
          </w:rPr>
          <w:fldChar w:fldCharType="end"/>
        </w:r>
      </w:hyperlink>
    </w:p>
    <w:p w14:paraId="37065A75" w14:textId="7DEFDB8E"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90" w:history="1">
        <w:r w:rsidR="00AA7127" w:rsidRPr="008069CC">
          <w:rPr>
            <w:rStyle w:val="Hyperlink"/>
            <w:noProof/>
          </w:rPr>
          <w:t>Fig. S15. Posterior distributions of estimated vaccination parameters for Models 1 and 2 fitted to the post-vaccination data.</w:t>
        </w:r>
        <w:r w:rsidR="00AA7127">
          <w:rPr>
            <w:noProof/>
            <w:webHidden/>
          </w:rPr>
          <w:tab/>
        </w:r>
        <w:r w:rsidR="00AA7127">
          <w:rPr>
            <w:noProof/>
            <w:webHidden/>
          </w:rPr>
          <w:fldChar w:fldCharType="begin"/>
        </w:r>
        <w:r w:rsidR="00AA7127">
          <w:rPr>
            <w:noProof/>
            <w:webHidden/>
          </w:rPr>
          <w:instrText xml:space="preserve"> PAGEREF _Toc9935790 \h </w:instrText>
        </w:r>
        <w:r w:rsidR="00AA7127">
          <w:rPr>
            <w:noProof/>
            <w:webHidden/>
          </w:rPr>
        </w:r>
        <w:r w:rsidR="00AA7127">
          <w:rPr>
            <w:noProof/>
            <w:webHidden/>
          </w:rPr>
          <w:fldChar w:fldCharType="separate"/>
        </w:r>
        <w:r>
          <w:rPr>
            <w:noProof/>
            <w:webHidden/>
          </w:rPr>
          <w:t>30</w:t>
        </w:r>
        <w:r w:rsidR="00AA7127">
          <w:rPr>
            <w:noProof/>
            <w:webHidden/>
          </w:rPr>
          <w:fldChar w:fldCharType="end"/>
        </w:r>
      </w:hyperlink>
    </w:p>
    <w:p w14:paraId="09C90EBA" w14:textId="6602EDF5"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91" w:history="1">
        <w:r w:rsidR="00AA7127" w:rsidRPr="008069CC">
          <w:rPr>
            <w:rStyle w:val="Hyperlink"/>
            <w:noProof/>
          </w:rPr>
          <w:t>Fig. S16. Relationship between the relative infectiousness of subsequent infections and the estimated basic reproductive number (</w:t>
        </w:r>
        <w:r w:rsidR="00AA7127" w:rsidRPr="008069CC">
          <w:rPr>
            <w:rStyle w:val="Hyperlink"/>
            <w:i/>
            <w:noProof/>
          </w:rPr>
          <w:t>R</w:t>
        </w:r>
        <w:r w:rsidR="00AA7127" w:rsidRPr="008069CC">
          <w:rPr>
            <w:rStyle w:val="Hyperlink"/>
            <w:noProof/>
            <w:vertAlign w:val="subscript"/>
          </w:rPr>
          <w:t>0</w:t>
        </w:r>
        <w:r w:rsidR="00AA7127" w:rsidRPr="008069CC">
          <w:rPr>
            <w:rStyle w:val="Hyperlink"/>
            <w:noProof/>
          </w:rPr>
          <w:t>).</w:t>
        </w:r>
        <w:r w:rsidR="00AA7127">
          <w:rPr>
            <w:noProof/>
            <w:webHidden/>
          </w:rPr>
          <w:tab/>
        </w:r>
        <w:r w:rsidR="00AA7127">
          <w:rPr>
            <w:noProof/>
            <w:webHidden/>
          </w:rPr>
          <w:fldChar w:fldCharType="begin"/>
        </w:r>
        <w:r w:rsidR="00AA7127">
          <w:rPr>
            <w:noProof/>
            <w:webHidden/>
          </w:rPr>
          <w:instrText xml:space="preserve"> PAGEREF _Toc9935791 \h </w:instrText>
        </w:r>
        <w:r w:rsidR="00AA7127">
          <w:rPr>
            <w:noProof/>
            <w:webHidden/>
          </w:rPr>
        </w:r>
        <w:r w:rsidR="00AA7127">
          <w:rPr>
            <w:noProof/>
            <w:webHidden/>
          </w:rPr>
          <w:fldChar w:fldCharType="separate"/>
        </w:r>
        <w:r>
          <w:rPr>
            <w:noProof/>
            <w:webHidden/>
          </w:rPr>
          <w:t>31</w:t>
        </w:r>
        <w:r w:rsidR="00AA7127">
          <w:rPr>
            <w:noProof/>
            <w:webHidden/>
          </w:rPr>
          <w:fldChar w:fldCharType="end"/>
        </w:r>
      </w:hyperlink>
    </w:p>
    <w:p w14:paraId="0146AF58" w14:textId="7068605F"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92" w:history="1">
        <w:r w:rsidR="00AA7127" w:rsidRPr="008069CC">
          <w:rPr>
            <w:rStyle w:val="Hyperlink"/>
            <w:noProof/>
          </w:rPr>
          <w:t>Fig. S17. Model-predicted overall vaccine impact and vaccine effectiveness for different assumptions regarding the relative infectiousness of subsequent infections.</w:t>
        </w:r>
        <w:r w:rsidR="00AA7127">
          <w:rPr>
            <w:noProof/>
            <w:webHidden/>
          </w:rPr>
          <w:tab/>
        </w:r>
        <w:r w:rsidR="00AA7127">
          <w:rPr>
            <w:noProof/>
            <w:webHidden/>
          </w:rPr>
          <w:fldChar w:fldCharType="begin"/>
        </w:r>
        <w:r w:rsidR="00AA7127">
          <w:rPr>
            <w:noProof/>
            <w:webHidden/>
          </w:rPr>
          <w:instrText xml:space="preserve"> PAGEREF _Toc9935792 \h </w:instrText>
        </w:r>
        <w:r w:rsidR="00AA7127">
          <w:rPr>
            <w:noProof/>
            <w:webHidden/>
          </w:rPr>
        </w:r>
        <w:r w:rsidR="00AA7127">
          <w:rPr>
            <w:noProof/>
            <w:webHidden/>
          </w:rPr>
          <w:fldChar w:fldCharType="separate"/>
        </w:r>
        <w:r>
          <w:rPr>
            <w:noProof/>
            <w:webHidden/>
          </w:rPr>
          <w:t>32</w:t>
        </w:r>
        <w:r w:rsidR="00AA7127">
          <w:rPr>
            <w:noProof/>
            <w:webHidden/>
          </w:rPr>
          <w:fldChar w:fldCharType="end"/>
        </w:r>
      </w:hyperlink>
    </w:p>
    <w:p w14:paraId="0FC1782C" w14:textId="70B41F9F" w:rsidR="00AA7127" w:rsidRDefault="002558FA">
      <w:pPr>
        <w:pStyle w:val="TableofFigures"/>
        <w:tabs>
          <w:tab w:val="right" w:leader="dot" w:pos="9350"/>
        </w:tabs>
        <w:rPr>
          <w:rFonts w:asciiTheme="minorHAnsi" w:eastAsiaTheme="minorEastAsia" w:hAnsiTheme="minorHAnsi" w:cstheme="minorBidi"/>
          <w:noProof/>
          <w:sz w:val="24"/>
          <w:szCs w:val="24"/>
        </w:rPr>
      </w:pPr>
      <w:hyperlink w:anchor="_Toc9935793" w:history="1">
        <w:r w:rsidR="00AA7127" w:rsidRPr="008069CC">
          <w:rPr>
            <w:rStyle w:val="Hyperlink"/>
            <w:noProof/>
          </w:rPr>
          <w:t>Fig. S18. Model-predicted overall vaccine impact and vaccine effectiveness for short-lived complete immunity following infection.</w:t>
        </w:r>
        <w:r w:rsidR="00AA7127">
          <w:rPr>
            <w:noProof/>
            <w:webHidden/>
          </w:rPr>
          <w:tab/>
        </w:r>
        <w:r w:rsidR="00AA7127">
          <w:rPr>
            <w:noProof/>
            <w:webHidden/>
          </w:rPr>
          <w:fldChar w:fldCharType="begin"/>
        </w:r>
        <w:r w:rsidR="00AA7127">
          <w:rPr>
            <w:noProof/>
            <w:webHidden/>
          </w:rPr>
          <w:instrText xml:space="preserve"> PAGEREF _Toc9935793 \h </w:instrText>
        </w:r>
        <w:r w:rsidR="00AA7127">
          <w:rPr>
            <w:noProof/>
            <w:webHidden/>
          </w:rPr>
        </w:r>
        <w:r w:rsidR="00AA7127">
          <w:rPr>
            <w:noProof/>
            <w:webHidden/>
          </w:rPr>
          <w:fldChar w:fldCharType="separate"/>
        </w:r>
        <w:r>
          <w:rPr>
            <w:noProof/>
            <w:webHidden/>
          </w:rPr>
          <w:t>33</w:t>
        </w:r>
        <w:r w:rsidR="00AA7127">
          <w:rPr>
            <w:noProof/>
            <w:webHidden/>
          </w:rPr>
          <w:fldChar w:fldCharType="end"/>
        </w:r>
      </w:hyperlink>
    </w:p>
    <w:p w14:paraId="36195286" w14:textId="3CF157F8" w:rsidR="00EB686F" w:rsidRPr="007E512D" w:rsidRDefault="00EB686F" w:rsidP="00754D9F">
      <w:pPr>
        <w:pStyle w:val="SMSubheading"/>
        <w:spacing w:after="120"/>
        <w:rPr>
          <w:b/>
          <w:u w:val="none"/>
        </w:rPr>
      </w:pPr>
      <w:r w:rsidRPr="007E512D">
        <w:rPr>
          <w:szCs w:val="22"/>
          <w:u w:val="none"/>
        </w:rPr>
        <w:fldChar w:fldCharType="end"/>
      </w:r>
    </w:p>
    <w:p w14:paraId="147C1974" w14:textId="77777777" w:rsidR="0047060D" w:rsidRDefault="0047060D" w:rsidP="00754D9F">
      <w:pPr>
        <w:spacing w:after="120"/>
        <w:rPr>
          <w:rFonts w:cs="Times New Roman"/>
          <w:b/>
        </w:rPr>
      </w:pPr>
    </w:p>
    <w:p w14:paraId="047FBFF1" w14:textId="37856B8F" w:rsidR="00EB686F" w:rsidRPr="007E512D" w:rsidRDefault="0047060D" w:rsidP="00754D9F">
      <w:pPr>
        <w:spacing w:after="120"/>
        <w:rPr>
          <w:rFonts w:cs="Times New Roman"/>
          <w:b/>
        </w:rPr>
      </w:pPr>
      <w:r>
        <w:rPr>
          <w:rFonts w:cs="Times New Roman"/>
          <w:b/>
        </w:rPr>
        <w:t>List of tables</w:t>
      </w:r>
    </w:p>
    <w:p w14:paraId="2016D88C" w14:textId="048ABDA4" w:rsidR="00BA0AD2" w:rsidRDefault="00EB686F">
      <w:pPr>
        <w:pStyle w:val="TableofFigures"/>
        <w:tabs>
          <w:tab w:val="right" w:leader="dot" w:pos="9350"/>
        </w:tabs>
        <w:rPr>
          <w:rFonts w:asciiTheme="minorHAnsi" w:eastAsiaTheme="minorEastAsia" w:hAnsiTheme="minorHAnsi" w:cstheme="minorBidi"/>
          <w:noProof/>
          <w:sz w:val="24"/>
          <w:szCs w:val="24"/>
        </w:rPr>
      </w:pPr>
      <w:r w:rsidRPr="007E512D">
        <w:fldChar w:fldCharType="begin"/>
      </w:r>
      <w:r w:rsidRPr="007E512D">
        <w:instrText xml:space="preserve"> TOC \h \z \c "Table S" </w:instrText>
      </w:r>
      <w:r w:rsidRPr="007E512D">
        <w:fldChar w:fldCharType="separate"/>
      </w:r>
      <w:hyperlink w:anchor="_Toc9936183" w:history="1">
        <w:r w:rsidR="00BA0AD2" w:rsidRPr="0054054B">
          <w:rPr>
            <w:rStyle w:val="Hyperlink"/>
            <w:noProof/>
          </w:rPr>
          <w:t>Table S1. Fixed and estimated parameter values.</w:t>
        </w:r>
        <w:r w:rsidR="00BA0AD2">
          <w:rPr>
            <w:noProof/>
            <w:webHidden/>
          </w:rPr>
          <w:tab/>
        </w:r>
        <w:r w:rsidR="00BA0AD2">
          <w:rPr>
            <w:noProof/>
            <w:webHidden/>
          </w:rPr>
          <w:fldChar w:fldCharType="begin"/>
        </w:r>
        <w:r w:rsidR="00BA0AD2">
          <w:rPr>
            <w:noProof/>
            <w:webHidden/>
          </w:rPr>
          <w:instrText xml:space="preserve"> PAGEREF _Toc9936183 \h </w:instrText>
        </w:r>
        <w:r w:rsidR="00BA0AD2">
          <w:rPr>
            <w:noProof/>
            <w:webHidden/>
          </w:rPr>
        </w:r>
        <w:r w:rsidR="00BA0AD2">
          <w:rPr>
            <w:noProof/>
            <w:webHidden/>
          </w:rPr>
          <w:fldChar w:fldCharType="separate"/>
        </w:r>
        <w:r w:rsidR="002558FA">
          <w:rPr>
            <w:noProof/>
            <w:webHidden/>
          </w:rPr>
          <w:t>34</w:t>
        </w:r>
        <w:r w:rsidR="00BA0AD2">
          <w:rPr>
            <w:noProof/>
            <w:webHidden/>
          </w:rPr>
          <w:fldChar w:fldCharType="end"/>
        </w:r>
      </w:hyperlink>
    </w:p>
    <w:p w14:paraId="277E3180" w14:textId="02B1EE38" w:rsidR="00BA0AD2" w:rsidRDefault="002558FA">
      <w:pPr>
        <w:pStyle w:val="TableofFigures"/>
        <w:tabs>
          <w:tab w:val="right" w:leader="dot" w:pos="9350"/>
        </w:tabs>
        <w:rPr>
          <w:rFonts w:asciiTheme="minorHAnsi" w:eastAsiaTheme="minorEastAsia" w:hAnsiTheme="minorHAnsi" w:cstheme="minorBidi"/>
          <w:noProof/>
          <w:sz w:val="24"/>
          <w:szCs w:val="24"/>
        </w:rPr>
      </w:pPr>
      <w:hyperlink w:anchor="_Toc9936184" w:history="1">
        <w:r w:rsidR="00BA0AD2" w:rsidRPr="0054054B">
          <w:rPr>
            <w:rStyle w:val="Hyperlink"/>
            <w:noProof/>
          </w:rPr>
          <w:t>Table S2. Estimated basic reproductive number for different values of the relative infectiousness of subsequent infections and duration of complete immunity.</w:t>
        </w:r>
        <w:r w:rsidR="00BA0AD2">
          <w:rPr>
            <w:noProof/>
            <w:webHidden/>
          </w:rPr>
          <w:tab/>
        </w:r>
        <w:r w:rsidR="00BA0AD2">
          <w:rPr>
            <w:noProof/>
            <w:webHidden/>
          </w:rPr>
          <w:fldChar w:fldCharType="begin"/>
        </w:r>
        <w:r w:rsidR="00BA0AD2">
          <w:rPr>
            <w:noProof/>
            <w:webHidden/>
          </w:rPr>
          <w:instrText xml:space="preserve"> PAGEREF _Toc9936184 \h </w:instrText>
        </w:r>
        <w:r w:rsidR="00BA0AD2">
          <w:rPr>
            <w:noProof/>
            <w:webHidden/>
          </w:rPr>
        </w:r>
        <w:r w:rsidR="00BA0AD2">
          <w:rPr>
            <w:noProof/>
            <w:webHidden/>
          </w:rPr>
          <w:fldChar w:fldCharType="separate"/>
        </w:r>
        <w:r>
          <w:rPr>
            <w:noProof/>
            <w:webHidden/>
          </w:rPr>
          <w:t>35</w:t>
        </w:r>
        <w:r w:rsidR="00BA0AD2">
          <w:rPr>
            <w:noProof/>
            <w:webHidden/>
          </w:rPr>
          <w:fldChar w:fldCharType="end"/>
        </w:r>
      </w:hyperlink>
    </w:p>
    <w:p w14:paraId="2F3DCFA5" w14:textId="1D2E3F8C" w:rsidR="00BA0AD2" w:rsidRDefault="002558FA">
      <w:pPr>
        <w:pStyle w:val="TableofFigures"/>
        <w:tabs>
          <w:tab w:val="right" w:leader="dot" w:pos="9350"/>
        </w:tabs>
        <w:rPr>
          <w:rFonts w:asciiTheme="minorHAnsi" w:eastAsiaTheme="minorEastAsia" w:hAnsiTheme="minorHAnsi" w:cstheme="minorBidi"/>
          <w:noProof/>
          <w:sz w:val="24"/>
          <w:szCs w:val="24"/>
        </w:rPr>
      </w:pPr>
      <w:hyperlink w:anchor="_Toc9936185" w:history="1">
        <w:r w:rsidR="00BA0AD2" w:rsidRPr="0054054B">
          <w:rPr>
            <w:rStyle w:val="Hyperlink"/>
            <w:noProof/>
          </w:rPr>
          <w:t>Table S3. Comparison of model fits to the post-vaccination data.</w:t>
        </w:r>
        <w:r w:rsidR="00BA0AD2">
          <w:rPr>
            <w:noProof/>
            <w:webHidden/>
          </w:rPr>
          <w:tab/>
        </w:r>
        <w:r w:rsidR="00BA0AD2">
          <w:rPr>
            <w:noProof/>
            <w:webHidden/>
          </w:rPr>
          <w:fldChar w:fldCharType="begin"/>
        </w:r>
        <w:r w:rsidR="00BA0AD2">
          <w:rPr>
            <w:noProof/>
            <w:webHidden/>
          </w:rPr>
          <w:instrText xml:space="preserve"> PAGEREF _Toc9936185 \h </w:instrText>
        </w:r>
        <w:r w:rsidR="00BA0AD2">
          <w:rPr>
            <w:noProof/>
            <w:webHidden/>
          </w:rPr>
        </w:r>
        <w:r w:rsidR="00BA0AD2">
          <w:rPr>
            <w:noProof/>
            <w:webHidden/>
          </w:rPr>
          <w:fldChar w:fldCharType="separate"/>
        </w:r>
        <w:r>
          <w:rPr>
            <w:noProof/>
            <w:webHidden/>
          </w:rPr>
          <w:t>36</w:t>
        </w:r>
        <w:r w:rsidR="00BA0AD2">
          <w:rPr>
            <w:noProof/>
            <w:webHidden/>
          </w:rPr>
          <w:fldChar w:fldCharType="end"/>
        </w:r>
      </w:hyperlink>
    </w:p>
    <w:p w14:paraId="7153C61A" w14:textId="06DF4C31" w:rsidR="00BA0AD2" w:rsidRDefault="002558FA">
      <w:pPr>
        <w:pStyle w:val="TableofFigures"/>
        <w:tabs>
          <w:tab w:val="right" w:leader="dot" w:pos="9350"/>
        </w:tabs>
        <w:rPr>
          <w:rFonts w:asciiTheme="minorHAnsi" w:eastAsiaTheme="minorEastAsia" w:hAnsiTheme="minorHAnsi" w:cstheme="minorBidi"/>
          <w:noProof/>
          <w:sz w:val="24"/>
          <w:szCs w:val="24"/>
        </w:rPr>
      </w:pPr>
      <w:hyperlink w:anchor="_Toc9936186" w:history="1">
        <w:r w:rsidR="00BA0AD2" w:rsidRPr="0054054B">
          <w:rPr>
            <w:rStyle w:val="Hyperlink"/>
            <w:noProof/>
          </w:rPr>
          <w:t>Table S4. Model-predicted indirect vaccine effectiveness.</w:t>
        </w:r>
        <w:r w:rsidR="00BA0AD2">
          <w:rPr>
            <w:noProof/>
            <w:webHidden/>
          </w:rPr>
          <w:tab/>
        </w:r>
        <w:r w:rsidR="00BA0AD2">
          <w:rPr>
            <w:noProof/>
            <w:webHidden/>
          </w:rPr>
          <w:fldChar w:fldCharType="begin"/>
        </w:r>
        <w:r w:rsidR="00BA0AD2">
          <w:rPr>
            <w:noProof/>
            <w:webHidden/>
          </w:rPr>
          <w:instrText xml:space="preserve"> PAGEREF _Toc9936186 \h </w:instrText>
        </w:r>
        <w:r w:rsidR="00BA0AD2">
          <w:rPr>
            <w:noProof/>
            <w:webHidden/>
          </w:rPr>
        </w:r>
        <w:r w:rsidR="00BA0AD2">
          <w:rPr>
            <w:noProof/>
            <w:webHidden/>
          </w:rPr>
          <w:fldChar w:fldCharType="separate"/>
        </w:r>
        <w:r>
          <w:rPr>
            <w:noProof/>
            <w:webHidden/>
          </w:rPr>
          <w:t>37</w:t>
        </w:r>
        <w:r w:rsidR="00BA0AD2">
          <w:rPr>
            <w:noProof/>
            <w:webHidden/>
          </w:rPr>
          <w:fldChar w:fldCharType="end"/>
        </w:r>
      </w:hyperlink>
    </w:p>
    <w:p w14:paraId="35E3D97E" w14:textId="5F19E458" w:rsidR="00BA0AD2" w:rsidRDefault="002558FA">
      <w:pPr>
        <w:pStyle w:val="TableofFigures"/>
        <w:tabs>
          <w:tab w:val="right" w:leader="dot" w:pos="9350"/>
        </w:tabs>
        <w:rPr>
          <w:rFonts w:asciiTheme="minorHAnsi" w:eastAsiaTheme="minorEastAsia" w:hAnsiTheme="minorHAnsi" w:cstheme="minorBidi"/>
          <w:noProof/>
          <w:sz w:val="24"/>
          <w:szCs w:val="24"/>
        </w:rPr>
      </w:pPr>
      <w:hyperlink w:anchor="_Toc9936187" w:history="1">
        <w:r w:rsidR="00BA0AD2" w:rsidRPr="0054054B">
          <w:rPr>
            <w:rStyle w:val="Hyperlink"/>
            <w:noProof/>
          </w:rPr>
          <w:t>Table S5. Model-predicted vaccine impact with and without indirect effects.</w:t>
        </w:r>
        <w:r w:rsidR="00BA0AD2">
          <w:rPr>
            <w:noProof/>
            <w:webHidden/>
          </w:rPr>
          <w:tab/>
        </w:r>
        <w:r w:rsidR="00BA0AD2">
          <w:rPr>
            <w:noProof/>
            <w:webHidden/>
          </w:rPr>
          <w:fldChar w:fldCharType="begin"/>
        </w:r>
        <w:r w:rsidR="00BA0AD2">
          <w:rPr>
            <w:noProof/>
            <w:webHidden/>
          </w:rPr>
          <w:instrText xml:space="preserve"> PAGEREF _Toc9936187 \h </w:instrText>
        </w:r>
        <w:r w:rsidR="00BA0AD2">
          <w:rPr>
            <w:noProof/>
            <w:webHidden/>
          </w:rPr>
        </w:r>
        <w:r w:rsidR="00BA0AD2">
          <w:rPr>
            <w:noProof/>
            <w:webHidden/>
          </w:rPr>
          <w:fldChar w:fldCharType="separate"/>
        </w:r>
        <w:r>
          <w:rPr>
            <w:noProof/>
            <w:webHidden/>
          </w:rPr>
          <w:t>38</w:t>
        </w:r>
        <w:r w:rsidR="00BA0AD2">
          <w:rPr>
            <w:noProof/>
            <w:webHidden/>
          </w:rPr>
          <w:fldChar w:fldCharType="end"/>
        </w:r>
      </w:hyperlink>
    </w:p>
    <w:p w14:paraId="3337FD0F" w14:textId="7B819E72" w:rsidR="00EB686F" w:rsidRPr="007E512D" w:rsidRDefault="00EB686F" w:rsidP="0047060D">
      <w:pPr>
        <w:rPr>
          <w:rFonts w:cs="Times New Roman"/>
          <w:b/>
        </w:rPr>
      </w:pPr>
      <w:r w:rsidRPr="007E512D">
        <w:rPr>
          <w:rFonts w:cs="Times New Roman"/>
        </w:rPr>
        <w:fldChar w:fldCharType="end"/>
      </w:r>
      <w:r w:rsidRPr="007E512D">
        <w:rPr>
          <w:rFonts w:cs="Times New Roman"/>
          <w:b/>
        </w:rPr>
        <w:br w:type="page"/>
      </w:r>
    </w:p>
    <w:p w14:paraId="0E84491A" w14:textId="5B87C148" w:rsidR="00193A2A" w:rsidRDefault="00193A2A" w:rsidP="00EB686F">
      <w:pPr>
        <w:pStyle w:val="SMHeading"/>
      </w:pPr>
      <w:bookmarkStart w:id="0" w:name="_Toc8144395"/>
      <w:r>
        <w:lastRenderedPageBreak/>
        <w:t>Materials and Methods</w:t>
      </w:r>
    </w:p>
    <w:p w14:paraId="05F3F0FC" w14:textId="27D41708" w:rsidR="00EB686F" w:rsidRPr="007E512D" w:rsidRDefault="00EB686F" w:rsidP="00EB686F">
      <w:pPr>
        <w:pStyle w:val="SMHeading"/>
      </w:pPr>
      <w:r w:rsidRPr="007E512D">
        <w:t>Model equations</w:t>
      </w:r>
      <w:bookmarkEnd w:id="0"/>
    </w:p>
    <w:p w14:paraId="7A70A06D" w14:textId="77777777" w:rsidR="00EB686F" w:rsidRPr="007E512D" w:rsidRDefault="00EB686F" w:rsidP="00EB686F">
      <w:pPr>
        <w:rPr>
          <w:rFonts w:cs="Times New Roman"/>
        </w:rPr>
      </w:pPr>
    </w:p>
    <w:p w14:paraId="4DC76E3B" w14:textId="77777777" w:rsidR="00EB686F" w:rsidRPr="007E512D" w:rsidRDefault="00EB686F" w:rsidP="00EB686F">
      <w:pPr>
        <w:rPr>
          <w:rFonts w:cs="Times New Roman"/>
        </w:rPr>
      </w:pPr>
      <w:r w:rsidRPr="007E512D">
        <w:rPr>
          <w:rFonts w:cs="Times New Roman"/>
        </w:rPr>
        <w:t>The differential equations describing the model for the unvaccinated states are as follows:</w:t>
      </w:r>
    </w:p>
    <w:p w14:paraId="76DCB85A" w14:textId="77777777" w:rsidR="00EB686F" w:rsidRPr="007E512D" w:rsidRDefault="002F3CBE" w:rsidP="00EB686F">
      <w:pPr>
        <w:pStyle w:val="MTDisplayEquation"/>
        <w:jc w:val="center"/>
        <w:rPr>
          <w:rFonts w:ascii="Times New Roman" w:hAnsi="Times New Roman" w:cs="Times New Roman"/>
        </w:rPr>
      </w:pPr>
      <w:r w:rsidRPr="00A028D9">
        <w:rPr>
          <w:rFonts w:ascii="Times New Roman" w:hAnsi="Times New Roman" w:cs="Times New Roman"/>
          <w:noProof/>
          <w:position w:val="-22"/>
        </w:rPr>
        <w:object w:dxaOrig="5940" w:dyaOrig="660" w14:anchorId="42DC8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 style="width:297.25pt;height:33.5pt;mso-width-percent:0;mso-height-percent:0;mso-width-percent:0;mso-height-percent:0" o:ole="">
            <v:imagedata r:id="rId9" o:title=""/>
          </v:shape>
          <o:OLEObject Type="Embed" ProgID="Equation.DSMT4" ShapeID="_x0000_i1071" DrawAspect="Content" ObjectID="_1626440106" r:id="rId10"/>
        </w:object>
      </w:r>
    </w:p>
    <w:p w14:paraId="0C995C9E"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22"/>
        </w:rPr>
        <w:object w:dxaOrig="5960" w:dyaOrig="660" w14:anchorId="3939F235">
          <v:shape id="_x0000_i1070" type="#_x0000_t75" alt="" style="width:298pt;height:33.5pt;mso-width-percent:0;mso-height-percent:0;mso-width-percent:0;mso-height-percent:0" o:ole="">
            <v:imagedata r:id="rId11" o:title=""/>
          </v:shape>
          <o:OLEObject Type="Embed" ProgID="Equation.DSMT4" ShapeID="_x0000_i1070" DrawAspect="Content" ObjectID="_1626440107" r:id="rId12"/>
        </w:object>
      </w:r>
    </w:p>
    <w:p w14:paraId="7282E00E"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22"/>
        </w:rPr>
        <w:object w:dxaOrig="5480" w:dyaOrig="660" w14:anchorId="2FDCFD30">
          <v:shape id="_x0000_i1069" type="#_x0000_t75" alt="" style="width:272.3pt;height:33.5pt;mso-width-percent:0;mso-height-percent:0;mso-width-percent:0;mso-height-percent:0" o:ole="">
            <v:imagedata r:id="rId13" o:title=""/>
          </v:shape>
          <o:OLEObject Type="Embed" ProgID="Equation.DSMT4" ShapeID="_x0000_i1069" DrawAspect="Content" ObjectID="_1626440108" r:id="rId14"/>
        </w:object>
      </w:r>
    </w:p>
    <w:p w14:paraId="21DA5DF1"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22"/>
        </w:rPr>
        <w:object w:dxaOrig="5300" w:dyaOrig="660" w14:anchorId="13F6EBE2">
          <v:shape id="_x0000_i1068" type="#_x0000_t75" alt="" style="width:265.9pt;height:33.5pt;mso-width-percent:0;mso-height-percent:0;mso-width-percent:0;mso-height-percent:0" o:ole="">
            <v:imagedata r:id="rId15" o:title=""/>
          </v:shape>
          <o:OLEObject Type="Embed" ProgID="Equation.DSMT4" ShapeID="_x0000_i1068" DrawAspect="Content" ObjectID="_1626440109" r:id="rId16"/>
        </w:object>
      </w:r>
    </w:p>
    <w:p w14:paraId="5152ACE8"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22"/>
        </w:rPr>
        <w:object w:dxaOrig="5780" w:dyaOrig="660" w14:anchorId="7095F7E1">
          <v:shape id="_x0000_i1067" type="#_x0000_t75" alt="" style="width:289.45pt;height:33.5pt;mso-width-percent:0;mso-height-percent:0;mso-width-percent:0;mso-height-percent:0" o:ole="">
            <v:imagedata r:id="rId17" o:title=""/>
          </v:shape>
          <o:OLEObject Type="Embed" ProgID="Equation.DSMT4" ShapeID="_x0000_i1067" DrawAspect="Content" ObjectID="_1626440110" r:id="rId18"/>
        </w:object>
      </w:r>
    </w:p>
    <w:p w14:paraId="6BC02F9F"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22"/>
        </w:rPr>
        <w:object w:dxaOrig="5860" w:dyaOrig="660" w14:anchorId="33F5C73E">
          <v:shape id="_x0000_i1066" type="#_x0000_t75" alt="" style="width:293pt;height:33.5pt;mso-width-percent:0;mso-height-percent:0;mso-width-percent:0;mso-height-percent:0" o:ole="">
            <v:imagedata r:id="rId19" o:title=""/>
          </v:shape>
          <o:OLEObject Type="Embed" ProgID="Equation.DSMT4" ShapeID="_x0000_i1066" DrawAspect="Content" ObjectID="_1626440111" r:id="rId20"/>
        </w:object>
      </w:r>
    </w:p>
    <w:p w14:paraId="46EFE3D1"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22"/>
        </w:rPr>
        <w:object w:dxaOrig="5520" w:dyaOrig="660" w14:anchorId="29B7F4E8">
          <v:shape id="_x0000_i1065" type="#_x0000_t75" alt="" style="width:276.6pt;height:33.5pt;mso-width-percent:0;mso-height-percent:0;mso-width-percent:0;mso-height-percent:0" o:ole="">
            <v:imagedata r:id="rId21" o:title=""/>
          </v:shape>
          <o:OLEObject Type="Embed" ProgID="Equation.DSMT4" ShapeID="_x0000_i1065" DrawAspect="Content" ObjectID="_1626440112" r:id="rId22"/>
        </w:object>
      </w:r>
    </w:p>
    <w:p w14:paraId="7C03A8E8"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22"/>
        </w:rPr>
        <w:object w:dxaOrig="7060" w:dyaOrig="660" w14:anchorId="7EE3C9F4">
          <v:shape id="_x0000_i1064" type="#_x0000_t75" alt="" style="width:355.7pt;height:33.5pt;mso-width-percent:0;mso-height-percent:0;mso-width-percent:0;mso-height-percent:0" o:ole="">
            <v:imagedata r:id="rId23" o:title=""/>
          </v:shape>
          <o:OLEObject Type="Embed" ProgID="Equation.DSMT4" ShapeID="_x0000_i1064" DrawAspect="Content" ObjectID="_1626440113" r:id="rId24"/>
        </w:object>
      </w:r>
    </w:p>
    <w:p w14:paraId="3373C045"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22"/>
        </w:rPr>
        <w:object w:dxaOrig="6260" w:dyaOrig="660" w14:anchorId="6A25A6DB">
          <v:shape id="_x0000_i1063" type="#_x0000_t75" alt="" style="width:313.65pt;height:33.5pt;mso-width-percent:0;mso-height-percent:0;mso-width-percent:0;mso-height-percent:0" o:ole="">
            <v:imagedata r:id="rId25" o:title=""/>
          </v:shape>
          <o:OLEObject Type="Embed" ProgID="Equation.DSMT4" ShapeID="_x0000_i1063" DrawAspect="Content" ObjectID="_1626440114" r:id="rId26"/>
        </w:object>
      </w:r>
    </w:p>
    <w:p w14:paraId="7AA3F7CC"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22"/>
        </w:rPr>
        <w:object w:dxaOrig="5860" w:dyaOrig="660" w14:anchorId="79768C94">
          <v:shape id="_x0000_i1062" type="#_x0000_t75" alt="" style="width:293pt;height:33.5pt;mso-width-percent:0;mso-height-percent:0;mso-width-percent:0;mso-height-percent:0" o:ole="">
            <v:imagedata r:id="rId27" o:title=""/>
          </v:shape>
          <o:OLEObject Type="Embed" ProgID="Equation.DSMT4" ShapeID="_x0000_i1062" DrawAspect="Content" ObjectID="_1626440115" r:id="rId28"/>
        </w:object>
      </w:r>
    </w:p>
    <w:p w14:paraId="6E40C29A" w14:textId="5FA95560" w:rsidR="00EB686F" w:rsidRDefault="00EB686F" w:rsidP="00EB686F">
      <w:pPr>
        <w:rPr>
          <w:rFonts w:cs="Times New Roman"/>
          <w:b/>
        </w:rPr>
      </w:pPr>
      <w:r w:rsidRPr="007E512D">
        <w:rPr>
          <w:rFonts w:cs="Times New Roman"/>
          <w:szCs w:val="22"/>
        </w:rPr>
        <w:t xml:space="preserve">where </w:t>
      </w:r>
      <w:r w:rsidRPr="007E512D">
        <w:rPr>
          <w:rFonts w:cs="Times New Roman"/>
          <w:i/>
          <w:szCs w:val="22"/>
        </w:rPr>
        <w:t>M</w:t>
      </w:r>
      <w:r w:rsidRPr="007E512D">
        <w:rPr>
          <w:rFonts w:cs="Times New Roman"/>
          <w:i/>
          <w:szCs w:val="22"/>
          <w:vertAlign w:val="subscript"/>
        </w:rPr>
        <w:t>m,a</w:t>
      </w:r>
      <w:r w:rsidRPr="007E512D">
        <w:rPr>
          <w:rFonts w:cs="Times New Roman"/>
          <w:i/>
          <w:szCs w:val="22"/>
        </w:rPr>
        <w:t xml:space="preserve"> </w:t>
      </w:r>
      <w:r w:rsidRPr="007E512D">
        <w:rPr>
          <w:rFonts w:cs="Times New Roman"/>
          <w:szCs w:val="22"/>
        </w:rPr>
        <w:t xml:space="preserve">is the number of individuals of age </w:t>
      </w:r>
      <w:r w:rsidRPr="007E512D">
        <w:rPr>
          <w:rFonts w:cs="Times New Roman"/>
          <w:i/>
          <w:szCs w:val="22"/>
        </w:rPr>
        <w:t xml:space="preserve">a </w:t>
      </w:r>
      <w:r w:rsidRPr="007E512D">
        <w:rPr>
          <w:rFonts w:cs="Times New Roman"/>
          <w:szCs w:val="22"/>
        </w:rPr>
        <w:t xml:space="preserve">with maternal immunity (for </w:t>
      </w:r>
      <w:r w:rsidRPr="007E512D">
        <w:rPr>
          <w:rFonts w:cs="Times New Roman"/>
          <w:i/>
          <w:szCs w:val="22"/>
        </w:rPr>
        <w:t>m</w:t>
      </w:r>
      <w:r w:rsidRPr="007E512D">
        <w:rPr>
          <w:rFonts w:cs="Times New Roman"/>
          <w:szCs w:val="22"/>
        </w:rPr>
        <w:t xml:space="preserve">=1,…,6), </w:t>
      </w:r>
      <w:r w:rsidRPr="007E512D">
        <w:rPr>
          <w:rFonts w:cs="Times New Roman"/>
          <w:i/>
          <w:szCs w:val="22"/>
        </w:rPr>
        <w:t>B</w:t>
      </w:r>
      <w:r w:rsidRPr="007E512D">
        <w:rPr>
          <w:rFonts w:cs="Times New Roman"/>
          <w:i/>
          <w:szCs w:val="22"/>
          <w:vertAlign w:val="subscript"/>
        </w:rPr>
        <w:t xml:space="preserve">m,a </w:t>
      </w:r>
      <w:r w:rsidRPr="007E512D">
        <w:rPr>
          <w:rFonts w:cs="Times New Roman"/>
          <w:szCs w:val="22"/>
        </w:rPr>
        <w:t xml:space="preserve">is the number of new births per week (=0 for </w:t>
      </w:r>
      <w:r w:rsidRPr="007E512D">
        <w:rPr>
          <w:rFonts w:cs="Times New Roman"/>
          <w:i/>
          <w:szCs w:val="22"/>
        </w:rPr>
        <w:t>m</w:t>
      </w:r>
      <w:r w:rsidRPr="007E512D">
        <w:rPr>
          <w:rFonts w:cs="Times New Roman"/>
          <w:szCs w:val="22"/>
        </w:rPr>
        <w:t xml:space="preserve">&gt;1 and </w:t>
      </w:r>
      <w:r w:rsidRPr="007E512D">
        <w:rPr>
          <w:rFonts w:cs="Times New Roman"/>
          <w:i/>
          <w:szCs w:val="22"/>
        </w:rPr>
        <w:t>a</w:t>
      </w:r>
      <w:r w:rsidRPr="007E512D">
        <w:rPr>
          <w:rFonts w:cs="Times New Roman"/>
          <w:szCs w:val="22"/>
        </w:rPr>
        <w:t xml:space="preserve">&gt;0), </w:t>
      </w:r>
      <w:r w:rsidRPr="007E512D">
        <w:rPr>
          <w:rFonts w:cs="Times New Roman"/>
          <w:i/>
          <w:szCs w:val="22"/>
        </w:rPr>
        <w:sym w:font="Symbol" w:char="F077"/>
      </w:r>
      <w:r w:rsidRPr="007E512D">
        <w:rPr>
          <w:rFonts w:cs="Times New Roman"/>
          <w:i/>
          <w:szCs w:val="22"/>
          <w:vertAlign w:val="subscript"/>
        </w:rPr>
        <w:t>M</w:t>
      </w:r>
      <w:r w:rsidRPr="007E512D">
        <w:rPr>
          <w:rFonts w:cs="Times New Roman"/>
          <w:i/>
          <w:szCs w:val="22"/>
        </w:rPr>
        <w:t xml:space="preserve"> </w:t>
      </w:r>
      <w:r w:rsidRPr="007E512D">
        <w:rPr>
          <w:rFonts w:cs="Times New Roman"/>
          <w:szCs w:val="22"/>
        </w:rPr>
        <w:t xml:space="preserve">is the rate of waning of maternally-derived immunity, </w:t>
      </w:r>
      <w:r w:rsidRPr="007E512D">
        <w:rPr>
          <w:rFonts w:cs="Times New Roman"/>
          <w:i/>
          <w:szCs w:val="22"/>
        </w:rPr>
        <w:t>u</w:t>
      </w:r>
      <w:r w:rsidRPr="007E512D">
        <w:rPr>
          <w:rFonts w:cs="Times New Roman"/>
          <w:i/>
          <w:szCs w:val="22"/>
          <w:vertAlign w:val="subscript"/>
        </w:rPr>
        <w:t>a</w:t>
      </w:r>
      <w:r w:rsidRPr="007E512D">
        <w:rPr>
          <w:rFonts w:cs="Times New Roman"/>
          <w:i/>
          <w:szCs w:val="22"/>
        </w:rPr>
        <w:t xml:space="preserve"> </w:t>
      </w:r>
      <w:r w:rsidRPr="007E512D">
        <w:rPr>
          <w:rFonts w:cs="Times New Roman"/>
          <w:szCs w:val="22"/>
        </w:rPr>
        <w:t xml:space="preserve">is the rate of aging out of age group </w:t>
      </w:r>
      <w:r w:rsidRPr="007E512D">
        <w:rPr>
          <w:rFonts w:cs="Times New Roman"/>
          <w:i/>
          <w:szCs w:val="22"/>
        </w:rPr>
        <w:t>a</w:t>
      </w:r>
      <w:r w:rsidRPr="007E512D">
        <w:rPr>
          <w:rFonts w:cs="Times New Roman"/>
          <w:szCs w:val="22"/>
        </w:rPr>
        <w:t xml:space="preserve">, </w:t>
      </w:r>
      <w:r w:rsidRPr="007E512D">
        <w:rPr>
          <w:rFonts w:cs="Times New Roman"/>
          <w:i/>
          <w:szCs w:val="22"/>
        </w:rPr>
        <w:sym w:font="Symbol" w:char="F06D"/>
      </w:r>
      <w:r w:rsidRPr="007E512D">
        <w:rPr>
          <w:rFonts w:cs="Times New Roman"/>
          <w:szCs w:val="22"/>
        </w:rPr>
        <w:t xml:space="preserve"> is the natural mortality rate, </w:t>
      </w:r>
      <w:r w:rsidRPr="007E512D">
        <w:rPr>
          <w:rFonts w:cs="Times New Roman"/>
          <w:i/>
          <w:szCs w:val="22"/>
        </w:rPr>
        <w:t>v</w:t>
      </w:r>
      <w:r w:rsidRPr="007E512D">
        <w:rPr>
          <w:rFonts w:cs="Times New Roman"/>
          <w:szCs w:val="22"/>
          <w:vertAlign w:val="subscript"/>
        </w:rPr>
        <w:t>1,</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is the proportion of individuals of age </w:t>
      </w:r>
      <w:r w:rsidRPr="007E512D">
        <w:rPr>
          <w:rFonts w:cs="Times New Roman"/>
          <w:i/>
          <w:szCs w:val="22"/>
        </w:rPr>
        <w:t>a</w:t>
      </w:r>
      <w:r w:rsidRPr="007E512D">
        <w:rPr>
          <w:rFonts w:cs="Times New Roman"/>
          <w:szCs w:val="22"/>
        </w:rPr>
        <w:t xml:space="preserve"> receiving their first dose of rotavirus vaccine at time </w:t>
      </w:r>
      <w:r w:rsidRPr="007E512D">
        <w:rPr>
          <w:rFonts w:cs="Times New Roman"/>
          <w:i/>
          <w:szCs w:val="22"/>
        </w:rPr>
        <w:t xml:space="preserve">t </w:t>
      </w:r>
      <w:r w:rsidRPr="007E512D">
        <w:rPr>
          <w:rFonts w:cs="Times New Roman"/>
          <w:szCs w:val="22"/>
        </w:rPr>
        <w:t xml:space="preserve">(=0 for all </w:t>
      </w:r>
      <w:r w:rsidRPr="007E512D">
        <w:rPr>
          <w:rFonts w:cs="Times New Roman"/>
          <w:i/>
          <w:szCs w:val="22"/>
        </w:rPr>
        <w:t>a</w:t>
      </w:r>
      <w:r w:rsidRPr="007E512D">
        <w:rPr>
          <w:rFonts w:cs="Times New Roman"/>
          <w:szCs w:val="22"/>
        </w:rPr>
        <w:sym w:font="Symbol" w:char="F0B9"/>
      </w:r>
      <w:r w:rsidRPr="007E512D">
        <w:rPr>
          <w:rFonts w:cs="Times New Roman"/>
          <w:szCs w:val="22"/>
        </w:rPr>
        <w:t xml:space="preserve">2), </w:t>
      </w:r>
      <w:r w:rsidRPr="007E512D">
        <w:rPr>
          <w:rFonts w:cs="Times New Roman"/>
          <w:i/>
          <w:szCs w:val="22"/>
        </w:rPr>
        <w:t>S</w:t>
      </w:r>
      <w:r w:rsidRPr="007E512D">
        <w:rPr>
          <w:rFonts w:cs="Times New Roman"/>
          <w:i/>
          <w:szCs w:val="22"/>
          <w:vertAlign w:val="subscript"/>
        </w:rPr>
        <w:t>i</w:t>
      </w:r>
      <w:r w:rsidRPr="007E512D">
        <w:rPr>
          <w:rFonts w:cs="Times New Roman"/>
          <w:szCs w:val="22"/>
          <w:vertAlign w:val="subscript"/>
        </w:rPr>
        <w:t>,</w:t>
      </w:r>
      <w:r w:rsidRPr="007E512D">
        <w:rPr>
          <w:rFonts w:cs="Times New Roman"/>
          <w:i/>
          <w:szCs w:val="22"/>
          <w:vertAlign w:val="subscript"/>
        </w:rPr>
        <w:t>a</w:t>
      </w:r>
      <w:r w:rsidRPr="007E512D">
        <w:rPr>
          <w:rFonts w:cs="Times New Roman"/>
          <w:szCs w:val="22"/>
        </w:rPr>
        <w:t xml:space="preserve"> is the number of susceptible individuals who have experienced </w:t>
      </w:r>
      <w:r w:rsidRPr="007E512D">
        <w:rPr>
          <w:rFonts w:cs="Times New Roman"/>
          <w:i/>
          <w:szCs w:val="22"/>
        </w:rPr>
        <w:t>i</w:t>
      </w:r>
      <w:r w:rsidRPr="007E512D">
        <w:rPr>
          <w:rFonts w:cs="Times New Roman"/>
          <w:szCs w:val="22"/>
        </w:rPr>
        <w:t xml:space="preserve"> previous infections, </w:t>
      </w:r>
      <w:r w:rsidRPr="007E512D">
        <w:rPr>
          <w:rFonts w:cs="Times New Roman"/>
          <w:i/>
          <w:szCs w:val="22"/>
        </w:rPr>
        <w:sym w:font="Symbol" w:char="F06C"/>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is the force of infection on age group </w:t>
      </w:r>
      <w:r w:rsidRPr="007E512D">
        <w:rPr>
          <w:rFonts w:cs="Times New Roman"/>
          <w:i/>
          <w:szCs w:val="22"/>
        </w:rPr>
        <w:t>a</w:t>
      </w:r>
      <w:r w:rsidRPr="007E512D">
        <w:rPr>
          <w:rFonts w:cs="Times New Roman"/>
          <w:szCs w:val="22"/>
        </w:rPr>
        <w:t xml:space="preserve"> at time </w:t>
      </w:r>
      <w:r w:rsidRPr="007E512D">
        <w:rPr>
          <w:rFonts w:cs="Times New Roman"/>
          <w:i/>
          <w:szCs w:val="22"/>
        </w:rPr>
        <w:t xml:space="preserve">t </w:t>
      </w:r>
      <w:r w:rsidRPr="007E512D">
        <w:rPr>
          <w:rFonts w:cs="Times New Roman"/>
          <w:szCs w:val="22"/>
        </w:rPr>
        <w:t xml:space="preserve">(defined below), </w:t>
      </w:r>
      <w:r w:rsidRPr="007E512D">
        <w:rPr>
          <w:rFonts w:cs="Times New Roman"/>
          <w:i/>
          <w:szCs w:val="22"/>
        </w:rPr>
        <w:t>I</w:t>
      </w:r>
      <w:r w:rsidRPr="007E512D">
        <w:rPr>
          <w:rFonts w:cs="Times New Roman"/>
          <w:i/>
          <w:szCs w:val="22"/>
          <w:vertAlign w:val="subscript"/>
        </w:rPr>
        <w:t>i,a</w:t>
      </w:r>
      <w:r w:rsidRPr="007E512D">
        <w:rPr>
          <w:rFonts w:cs="Times New Roman"/>
          <w:szCs w:val="22"/>
          <w:vertAlign w:val="subscript"/>
        </w:rPr>
        <w:t xml:space="preserve"> </w:t>
      </w:r>
      <w:r w:rsidRPr="007E512D">
        <w:rPr>
          <w:rFonts w:cs="Times New Roman"/>
          <w:szCs w:val="22"/>
        </w:rPr>
        <w:t xml:space="preserve">is the number of infectious individuals experiencing their </w:t>
      </w:r>
      <w:r w:rsidRPr="007E512D">
        <w:rPr>
          <w:rFonts w:cs="Times New Roman"/>
          <w:i/>
          <w:szCs w:val="22"/>
        </w:rPr>
        <w:t>i</w:t>
      </w:r>
      <w:r w:rsidRPr="007E512D">
        <w:rPr>
          <w:rFonts w:cs="Times New Roman"/>
          <w:szCs w:val="22"/>
          <w:vertAlign w:val="superscript"/>
        </w:rPr>
        <w:t>th</w:t>
      </w:r>
      <w:r w:rsidRPr="007E512D">
        <w:rPr>
          <w:rFonts w:cs="Times New Roman"/>
          <w:szCs w:val="22"/>
        </w:rPr>
        <w:t xml:space="preserve"> infection,</w:t>
      </w:r>
      <w:r w:rsidRPr="007E512D">
        <w:rPr>
          <w:rFonts w:cs="Times New Roman"/>
          <w:i/>
          <w:szCs w:val="22"/>
        </w:rPr>
        <w:t xml:space="preserve"> </w:t>
      </w:r>
      <w:r w:rsidRPr="007E512D">
        <w:rPr>
          <w:rFonts w:cs="Times New Roman"/>
          <w:i/>
          <w:szCs w:val="22"/>
        </w:rPr>
        <w:sym w:font="Symbol" w:char="F067"/>
      </w:r>
      <w:r w:rsidRPr="007E512D">
        <w:rPr>
          <w:rFonts w:cs="Times New Roman"/>
          <w:i/>
          <w:szCs w:val="22"/>
          <w:vertAlign w:val="subscript"/>
        </w:rPr>
        <w:t>i</w:t>
      </w:r>
      <w:r w:rsidRPr="007E512D">
        <w:rPr>
          <w:rFonts w:cs="Times New Roman"/>
          <w:i/>
          <w:szCs w:val="22"/>
        </w:rPr>
        <w:t xml:space="preserve"> </w:t>
      </w:r>
      <w:r w:rsidRPr="007E512D">
        <w:rPr>
          <w:rFonts w:cs="Times New Roman"/>
          <w:szCs w:val="22"/>
        </w:rPr>
        <w:t xml:space="preserve">is the rate of recovery from infectiousness following </w:t>
      </w:r>
      <w:r w:rsidRPr="007E512D">
        <w:rPr>
          <w:rFonts w:cs="Times New Roman"/>
          <w:i/>
          <w:szCs w:val="22"/>
        </w:rPr>
        <w:t xml:space="preserve">i </w:t>
      </w:r>
      <w:r w:rsidRPr="007E512D">
        <w:rPr>
          <w:rFonts w:cs="Times New Roman"/>
          <w:szCs w:val="22"/>
        </w:rPr>
        <w:t xml:space="preserve">infections, </w:t>
      </w:r>
      <w:r w:rsidRPr="007E512D">
        <w:rPr>
          <w:rFonts w:cs="Times New Roman"/>
          <w:i/>
          <w:szCs w:val="22"/>
        </w:rPr>
        <w:t>R</w:t>
      </w:r>
      <w:r w:rsidRPr="007E512D">
        <w:rPr>
          <w:rFonts w:cs="Times New Roman"/>
          <w:i/>
          <w:szCs w:val="22"/>
          <w:vertAlign w:val="subscript"/>
        </w:rPr>
        <w:t>i,a</w:t>
      </w:r>
      <w:r w:rsidRPr="007E512D">
        <w:rPr>
          <w:rFonts w:cs="Times New Roman"/>
          <w:szCs w:val="22"/>
        </w:rPr>
        <w:t xml:space="preserve"> is the number of recovered and temporarily immune individuals who have experienced </w:t>
      </w:r>
      <w:r w:rsidRPr="007E512D">
        <w:rPr>
          <w:rFonts w:cs="Times New Roman"/>
          <w:i/>
          <w:szCs w:val="22"/>
        </w:rPr>
        <w:t>i</w:t>
      </w:r>
      <w:r w:rsidRPr="007E512D">
        <w:rPr>
          <w:rFonts w:cs="Times New Roman"/>
          <w:szCs w:val="22"/>
        </w:rPr>
        <w:t xml:space="preserve"> previous infections, </w:t>
      </w:r>
      <w:r w:rsidRPr="007E512D">
        <w:rPr>
          <w:rFonts w:cs="Times New Roman"/>
          <w:i/>
          <w:szCs w:val="22"/>
        </w:rPr>
        <w:sym w:font="Symbol" w:char="F077"/>
      </w:r>
      <w:r w:rsidRPr="007E512D">
        <w:rPr>
          <w:rFonts w:cs="Times New Roman"/>
          <w:szCs w:val="22"/>
        </w:rPr>
        <w:t xml:space="preserve"> is the rate of waning complete immunity following infection, and </w:t>
      </w:r>
      <w:r w:rsidRPr="007E512D">
        <w:rPr>
          <w:rFonts w:cs="Times New Roman"/>
          <w:i/>
          <w:szCs w:val="22"/>
        </w:rPr>
        <w:sym w:font="Symbol" w:char="F073"/>
      </w:r>
      <w:r w:rsidRPr="007E512D">
        <w:rPr>
          <w:rFonts w:cs="Times New Roman"/>
          <w:i/>
          <w:szCs w:val="22"/>
          <w:vertAlign w:val="subscript"/>
        </w:rPr>
        <w:t>i</w:t>
      </w:r>
      <w:r w:rsidRPr="007E512D">
        <w:rPr>
          <w:rFonts w:cs="Times New Roman"/>
          <w:i/>
          <w:szCs w:val="22"/>
        </w:rPr>
        <w:t xml:space="preserve"> </w:t>
      </w:r>
      <w:r w:rsidRPr="007E512D">
        <w:rPr>
          <w:rFonts w:cs="Times New Roman"/>
          <w:szCs w:val="22"/>
        </w:rPr>
        <w:t xml:space="preserve">is the relative risk of reinfection following </w:t>
      </w:r>
      <w:r w:rsidRPr="007E512D">
        <w:rPr>
          <w:rFonts w:cs="Times New Roman"/>
          <w:i/>
          <w:szCs w:val="22"/>
        </w:rPr>
        <w:t xml:space="preserve">i </w:t>
      </w:r>
      <w:r w:rsidRPr="007E512D">
        <w:rPr>
          <w:rFonts w:cs="Times New Roman"/>
          <w:szCs w:val="22"/>
        </w:rPr>
        <w:t>previous infections. We divide</w:t>
      </w:r>
      <w:r w:rsidR="00446D88">
        <w:rPr>
          <w:rFonts w:cs="Times New Roman"/>
          <w:szCs w:val="22"/>
        </w:rPr>
        <w:t>d</w:t>
      </w:r>
      <w:r w:rsidRPr="007E512D">
        <w:rPr>
          <w:rFonts w:cs="Times New Roman"/>
          <w:szCs w:val="22"/>
        </w:rPr>
        <w:t xml:space="preserve"> the maternally immune class (</w:t>
      </w:r>
      <w:r w:rsidRPr="007E512D">
        <w:rPr>
          <w:rFonts w:cs="Times New Roman"/>
          <w:i/>
          <w:szCs w:val="22"/>
        </w:rPr>
        <w:t>M</w:t>
      </w:r>
      <w:r w:rsidRPr="007E512D">
        <w:rPr>
          <w:rFonts w:cs="Times New Roman"/>
          <w:szCs w:val="22"/>
        </w:rPr>
        <w:t>) into six sub-states (</w:t>
      </w:r>
      <w:r w:rsidRPr="007E512D">
        <w:rPr>
          <w:rFonts w:cs="Times New Roman"/>
          <w:i/>
          <w:szCs w:val="22"/>
        </w:rPr>
        <w:t>m</w:t>
      </w:r>
      <w:r w:rsidRPr="007E512D">
        <w:rPr>
          <w:rFonts w:cs="Times New Roman"/>
          <w:szCs w:val="22"/>
          <w:vertAlign w:val="subscript"/>
        </w:rPr>
        <w:t>1-6</w:t>
      </w:r>
      <w:r w:rsidRPr="007E512D">
        <w:rPr>
          <w:rFonts w:cs="Times New Roman"/>
          <w:szCs w:val="22"/>
        </w:rPr>
        <w:t>) and assume</w:t>
      </w:r>
      <w:r w:rsidR="00636FEF">
        <w:rPr>
          <w:rFonts w:cs="Times New Roman"/>
          <w:szCs w:val="22"/>
        </w:rPr>
        <w:t>d</w:t>
      </w:r>
      <w:r w:rsidRPr="007E512D">
        <w:rPr>
          <w:rFonts w:cs="Times New Roman"/>
          <w:szCs w:val="22"/>
        </w:rPr>
        <w:t xml:space="preserve"> the rate of transition through each sub-state is 6</w:t>
      </w:r>
      <w:r w:rsidRPr="007E512D">
        <w:rPr>
          <w:rFonts w:cs="Times New Roman"/>
          <w:i/>
          <w:szCs w:val="22"/>
        </w:rPr>
        <w:sym w:font="Symbol" w:char="F077"/>
      </w:r>
      <w:r w:rsidRPr="007E512D">
        <w:rPr>
          <w:rFonts w:cs="Times New Roman"/>
          <w:i/>
          <w:szCs w:val="22"/>
          <w:vertAlign w:val="subscript"/>
        </w:rPr>
        <w:t>m</w:t>
      </w:r>
      <w:r w:rsidRPr="007E512D">
        <w:rPr>
          <w:rFonts w:cs="Times New Roman"/>
          <w:szCs w:val="22"/>
        </w:rPr>
        <w:t>=1 month</w:t>
      </w:r>
      <w:r w:rsidRPr="007E512D">
        <w:rPr>
          <w:rFonts w:cs="Times New Roman"/>
          <w:szCs w:val="22"/>
          <w:vertAlign w:val="superscript"/>
        </w:rPr>
        <w:t>-1</w:t>
      </w:r>
      <w:r w:rsidRPr="007E512D">
        <w:rPr>
          <w:rFonts w:cs="Times New Roman"/>
          <w:szCs w:val="22"/>
        </w:rPr>
        <w:t xml:space="preserve"> in order to account for non-exponential waning of maternal immunity </w:t>
      </w:r>
      <w:r w:rsidRPr="007E512D">
        <w:rPr>
          <w:rFonts w:cs="Times New Roman"/>
          <w:szCs w:val="22"/>
        </w:rPr>
        <w:fldChar w:fldCharType="begin" w:fldLock="1"/>
      </w:r>
      <w:r w:rsidRPr="007E512D">
        <w:rPr>
          <w:rFonts w:cs="Times New Roman"/>
          <w:szCs w:val="22"/>
        </w:rPr>
        <w:instrText>ADDIN CSL_CITATION {"citationItems":[{"id":"ITEM-1","itemData":{"DOI":"10.1098/rsif.2011.0062","ISSN":"1742-5662","PMID":"21508015","abstract":"Rotavirus is a major cause of mortality in developing countries, and yet the dynamics of rotavirus in such settings are poorly understood. Rotavirus is typically less seasonal in the tropics, although recent observational studies have challenged the universality of this pattern. While numerous studies have examined the association between environmental factors and rotavirus incidence, here we explore the role of intrinsic factors. By fitting a mathematical model of rotavirus transmission dynamics to published age distributions of cases from 15 countries, we obtain estimates of local transmission rates. Model-predicted patterns of seasonal incidence based solely on differences in birth rates and transmission rates are significantly correlated with those observed (Spearman's ρ = 0.65, p &lt; 0.05). We then examine seasonal patterns of rotavirus predicted across a range of different birth rates and transmission rates and explore how vaccination may impact these patterns. Our results suggest that the relative lack of rotavirus seasonality observed in many tropical countries may be due to the high birth rates and transmission rates typical of developing countries rather than being driven primarily by environmental conditions. While vaccination is expected to decrease the overall burden of disease, it may increase the degree of seasonal variation in the incidence of rotavirus in some settings.","author":[{"dropping-particle":"","family":"Pitzer","given":"Virginia E","non-dropping-particle":"","parse-names":false,"suffix":""},{"dropping-particle":"","family":"Viboud","given":"Cécile","non-dropping-particle":"","parse-names":false,"suffix":""},{"dropping-particle":"","family":"Lopman","given":"Ben A","non-dropping-particle":"","parse-names":false,"suffix":""},{"dropping-particle":"","family":"Patel","given":"Manish M","non-dropping-particle":"","parse-names":false,"suffix":""},{"dropping-particle":"","family":"Parashar","given":"Umesh D","non-dropping-particle":"","parse-names":false,"suffix":""},{"dropping-particle":"","family":"Grenfell","given":"Bryan T","non-dropping-particle":"","parse-names":false,"suffix":""}],"container-title":"Journal of the Royal Society, Interface / the Royal Society","id":"ITEM-1","issue":"64","issued":{"date-parts":[["2011","11","7"]]},"page":"1584-93","title":"Influence of birth rates and transmission rates on the global seasonality of rotavirus incidence.","type":"article-journal","volume":"8"},"uris":["http://www.mendeley.com/documents/?uuid=6fa085c6-e787-468c-a837-32b77d7039dc"]}],"mendeley":{"formattedCitation":"&lt;i&gt;(37)&lt;/i&gt;","plainTextFormattedCitation":"(37)","previouslyFormattedCitation":"&lt;i&gt;(38)&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(37)</w:t>
      </w:r>
      <w:r w:rsidRPr="007E512D">
        <w:rPr>
          <w:rFonts w:cs="Times New Roman"/>
          <w:szCs w:val="22"/>
        </w:rPr>
        <w:fldChar w:fldCharType="end"/>
      </w:r>
      <w:r w:rsidRPr="007E512D">
        <w:rPr>
          <w:rFonts w:cs="Times New Roman"/>
          <w:szCs w:val="22"/>
        </w:rPr>
        <w:t>. We differentiate</w:t>
      </w:r>
      <w:r w:rsidR="00446D88">
        <w:rPr>
          <w:rFonts w:cs="Times New Roman"/>
          <w:szCs w:val="22"/>
        </w:rPr>
        <w:t>d</w:t>
      </w:r>
      <w:r w:rsidRPr="007E512D">
        <w:rPr>
          <w:rFonts w:cs="Times New Roman"/>
          <w:szCs w:val="22"/>
        </w:rPr>
        <w:t xml:space="preserve"> among </w:t>
      </w:r>
      <w:r w:rsidRPr="007E512D">
        <w:rPr>
          <w:rFonts w:cs="Times New Roman"/>
          <w:i/>
          <w:szCs w:val="22"/>
        </w:rPr>
        <w:t xml:space="preserve">i </w:t>
      </w:r>
      <w:r w:rsidRPr="007E512D">
        <w:rPr>
          <w:rFonts w:cs="Times New Roman"/>
          <w:szCs w:val="22"/>
        </w:rPr>
        <w:t xml:space="preserve">=1, 2, or 3 or more previous infections. The model parameters are described in </w:t>
      </w:r>
      <w:r w:rsidR="00CA17B0">
        <w:rPr>
          <w:rFonts w:cs="Times New Roman"/>
          <w:b/>
          <w:szCs w:val="22"/>
        </w:rPr>
        <w:t>t</w:t>
      </w:r>
      <w:r w:rsidRPr="007E512D">
        <w:rPr>
          <w:rFonts w:cs="Times New Roman"/>
          <w:b/>
          <w:szCs w:val="22"/>
        </w:rPr>
        <w:t>able S1</w:t>
      </w:r>
      <w:r w:rsidRPr="007E512D">
        <w:rPr>
          <w:rFonts w:cs="Times New Roman"/>
          <w:szCs w:val="22"/>
        </w:rPr>
        <w:t>.</w:t>
      </w:r>
    </w:p>
    <w:p w14:paraId="38FDC266" w14:textId="77777777" w:rsidR="006259CB" w:rsidRPr="007E512D" w:rsidRDefault="006259CB" w:rsidP="00EB686F">
      <w:pPr>
        <w:rPr>
          <w:rFonts w:cs="Times New Roman"/>
          <w:b/>
        </w:rPr>
      </w:pPr>
    </w:p>
    <w:p w14:paraId="15A733D7" w14:textId="77777777" w:rsidR="00EB686F" w:rsidRDefault="00EB686F" w:rsidP="00EB686F">
      <w:pPr>
        <w:spacing w:after="120"/>
        <w:rPr>
          <w:rFonts w:cs="Times New Roman"/>
          <w:szCs w:val="22"/>
        </w:rPr>
      </w:pPr>
      <w:r w:rsidRPr="007E512D">
        <w:rPr>
          <w:rFonts w:cs="Times New Roman"/>
          <w:szCs w:val="22"/>
        </w:rPr>
        <w:t xml:space="preserve">The force of infection at time </w:t>
      </w:r>
      <w:r w:rsidRPr="007E512D">
        <w:rPr>
          <w:rFonts w:cs="Times New Roman"/>
          <w:i/>
          <w:szCs w:val="22"/>
        </w:rPr>
        <w:t>t</w:t>
      </w:r>
      <w:r w:rsidRPr="007E512D">
        <w:rPr>
          <w:rFonts w:cs="Times New Roman"/>
          <w:szCs w:val="22"/>
        </w:rPr>
        <w:t xml:space="preserve">, </w:t>
      </w:r>
      <w:r w:rsidRPr="007E512D">
        <w:rPr>
          <w:rFonts w:cs="Times New Roman"/>
          <w:i/>
          <w:szCs w:val="22"/>
        </w:rPr>
        <w:sym w:font="Symbol" w:char="F06C"/>
      </w:r>
      <w:r w:rsidRPr="007E512D">
        <w:rPr>
          <w:rFonts w:cs="Times New Roman"/>
          <w:szCs w:val="22"/>
        </w:rPr>
        <w:t>(</w:t>
      </w:r>
      <w:r w:rsidRPr="007E512D">
        <w:rPr>
          <w:rFonts w:cs="Times New Roman"/>
          <w:i/>
          <w:szCs w:val="22"/>
        </w:rPr>
        <w:t>t</w:t>
      </w:r>
      <w:r w:rsidRPr="007E512D">
        <w:rPr>
          <w:rFonts w:cs="Times New Roman"/>
          <w:szCs w:val="22"/>
        </w:rPr>
        <w:t>), is proportional to the number of currently infectious individuals in the population:</w:t>
      </w:r>
    </w:p>
    <w:p w14:paraId="4A7C8E28" w14:textId="1524B2CD" w:rsidR="00EB686F" w:rsidRPr="007E512D" w:rsidRDefault="002558FA" w:rsidP="002558FA">
      <w:pPr>
        <w:spacing w:after="120"/>
        <w:jc w:val="center"/>
        <w:rPr>
          <w:rFonts w:cs="Times New Roman"/>
          <w:szCs w:val="22"/>
        </w:rPr>
      </w:pPr>
      <w:r>
        <w:rPr>
          <w:rFonts w:cs="Times New Roman"/>
          <w:i/>
          <w:szCs w:val="22"/>
        </w:rPr>
        <w:sym w:font="Symbol" w:char="F06C"/>
      </w:r>
      <w:r>
        <w:rPr>
          <w:rFonts w:cs="Times New Roman"/>
          <w:szCs w:val="22"/>
        </w:rPr>
        <w:t>(</w:t>
      </w:r>
      <w:r>
        <w:rPr>
          <w:rFonts w:cs="Times New Roman"/>
          <w:i/>
          <w:szCs w:val="22"/>
        </w:rPr>
        <w:t>t</w:t>
      </w:r>
      <w:r>
        <w:rPr>
          <w:rFonts w:cs="Times New Roman"/>
          <w:szCs w:val="22"/>
        </w:rPr>
        <w:t xml:space="preserve">) = </w:t>
      </w:r>
      <w:r>
        <w:rPr>
          <w:rFonts w:cs="Times New Roman"/>
          <w:i/>
          <w:szCs w:val="22"/>
        </w:rPr>
        <w:sym w:font="Symbol" w:char="F062"/>
      </w:r>
      <w:r>
        <w:rPr>
          <w:rFonts w:cs="Times New Roman"/>
          <w:szCs w:val="22"/>
          <w:vertAlign w:val="subscript"/>
        </w:rPr>
        <w:t>0</w:t>
      </w:r>
      <w:r>
        <w:rPr>
          <w:rFonts w:cs="Times New Roman"/>
          <w:szCs w:val="22"/>
        </w:rPr>
        <w:t xml:space="preserve"> (1 + </w:t>
      </w:r>
      <w:r>
        <w:rPr>
          <w:rFonts w:cs="Times New Roman"/>
          <w:i/>
          <w:szCs w:val="22"/>
        </w:rPr>
        <w:t>b</w:t>
      </w:r>
      <w:r>
        <w:rPr>
          <w:rFonts w:cs="Times New Roman"/>
          <w:szCs w:val="22"/>
        </w:rPr>
        <w:t xml:space="preserve"> cos(2</w:t>
      </w:r>
      <w:r>
        <w:rPr>
          <w:rFonts w:cs="Times New Roman"/>
          <w:i/>
          <w:szCs w:val="22"/>
        </w:rPr>
        <w:sym w:font="Symbol" w:char="F070"/>
      </w:r>
      <w:r>
        <w:rPr>
          <w:rFonts w:cs="Times New Roman"/>
          <w:i/>
          <w:szCs w:val="22"/>
        </w:rPr>
        <w:t xml:space="preserve"> </w:t>
      </w:r>
      <w:r>
        <w:rPr>
          <w:rFonts w:cs="Times New Roman"/>
          <w:szCs w:val="22"/>
        </w:rPr>
        <w:t>(</w:t>
      </w:r>
      <w:r>
        <w:rPr>
          <w:rFonts w:cs="Times New Roman"/>
          <w:i/>
          <w:szCs w:val="22"/>
        </w:rPr>
        <w:t>t</w:t>
      </w:r>
      <w:r>
        <w:rPr>
          <w:rFonts w:cs="Times New Roman"/>
          <w:szCs w:val="22"/>
        </w:rPr>
        <w:t xml:space="preserve"> - </w:t>
      </w:r>
      <w:r w:rsidRPr="002558FA">
        <w:rPr>
          <w:rFonts w:cs="Times New Roman"/>
          <w:i/>
          <w:szCs w:val="22"/>
        </w:rPr>
        <w:sym w:font="Symbol" w:char="F066"/>
      </w:r>
      <w:r>
        <w:rPr>
          <w:rFonts w:cs="Times New Roman"/>
          <w:szCs w:val="22"/>
        </w:rPr>
        <w:t>))) (</w:t>
      </w:r>
      <w:r>
        <w:rPr>
          <w:rFonts w:cs="Times New Roman"/>
          <w:i/>
          <w:szCs w:val="22"/>
        </w:rPr>
        <w:t>I</w:t>
      </w:r>
      <w:r>
        <w:rPr>
          <w:rFonts w:cs="Times New Roman"/>
          <w:szCs w:val="22"/>
          <w:vertAlign w:val="subscript"/>
        </w:rPr>
        <w:t>1</w:t>
      </w:r>
      <w:r>
        <w:rPr>
          <w:rFonts w:cs="Times New Roman"/>
          <w:szCs w:val="22"/>
        </w:rPr>
        <w:t xml:space="preserve"> + </w:t>
      </w:r>
      <w:r>
        <w:rPr>
          <w:rFonts w:cs="Times New Roman"/>
          <w:i/>
          <w:szCs w:val="22"/>
        </w:rPr>
        <w:sym w:font="Symbol" w:char="F072"/>
      </w:r>
      <w:r>
        <w:rPr>
          <w:rFonts w:cs="Times New Roman"/>
          <w:szCs w:val="22"/>
          <w:vertAlign w:val="subscript"/>
        </w:rPr>
        <w:t xml:space="preserve">1 </w:t>
      </w:r>
      <w:r>
        <w:rPr>
          <w:rFonts w:cs="Times New Roman"/>
          <w:i/>
          <w:szCs w:val="22"/>
        </w:rPr>
        <w:t>I</w:t>
      </w:r>
      <w:r>
        <w:rPr>
          <w:rFonts w:cs="Times New Roman"/>
          <w:szCs w:val="22"/>
          <w:vertAlign w:val="subscript"/>
        </w:rPr>
        <w:t xml:space="preserve">2 </w:t>
      </w:r>
      <w:r>
        <w:rPr>
          <w:rFonts w:cs="Times New Roman"/>
          <w:szCs w:val="22"/>
        </w:rPr>
        <w:t xml:space="preserve">+ </w:t>
      </w:r>
      <w:r>
        <w:rPr>
          <w:rFonts w:cs="Times New Roman"/>
          <w:i/>
          <w:szCs w:val="22"/>
        </w:rPr>
        <w:sym w:font="Symbol" w:char="F072"/>
      </w:r>
      <w:r>
        <w:rPr>
          <w:rFonts w:cs="Times New Roman"/>
          <w:szCs w:val="22"/>
          <w:vertAlign w:val="subscript"/>
        </w:rPr>
        <w:t xml:space="preserve">2 </w:t>
      </w:r>
      <w:r>
        <w:rPr>
          <w:rFonts w:cs="Times New Roman"/>
          <w:i/>
          <w:szCs w:val="22"/>
        </w:rPr>
        <w:t>I</w:t>
      </w:r>
      <w:r>
        <w:rPr>
          <w:rFonts w:cs="Times New Roman"/>
          <w:szCs w:val="22"/>
          <w:vertAlign w:val="subscript"/>
        </w:rPr>
        <w:sym w:font="Symbol" w:char="F0B3"/>
      </w:r>
      <w:r>
        <w:rPr>
          <w:rFonts w:cs="Times New Roman"/>
          <w:szCs w:val="22"/>
          <w:vertAlign w:val="subscript"/>
        </w:rPr>
        <w:t>3</w:t>
      </w:r>
      <w:r>
        <w:rPr>
          <w:rFonts w:cs="Times New Roman"/>
          <w:szCs w:val="22"/>
        </w:rPr>
        <w:t>),</w:t>
      </w:r>
    </w:p>
    <w:p w14:paraId="27666036" w14:textId="2F28F96D" w:rsidR="00EB686F" w:rsidRPr="007E512D" w:rsidRDefault="00EB686F" w:rsidP="00EB686F">
      <w:pPr>
        <w:rPr>
          <w:rFonts w:cs="Times New Roman"/>
          <w:szCs w:val="22"/>
        </w:rPr>
      </w:pPr>
      <w:r w:rsidRPr="007E512D">
        <w:rPr>
          <w:rFonts w:cs="Times New Roman"/>
          <w:szCs w:val="22"/>
        </w:rPr>
        <w:lastRenderedPageBreak/>
        <w:t xml:space="preserve">where </w:t>
      </w:r>
      <w:r w:rsidRPr="007E512D">
        <w:rPr>
          <w:rFonts w:cs="Times New Roman"/>
          <w:i/>
          <w:szCs w:val="22"/>
        </w:rPr>
        <w:sym w:font="Symbol" w:char="F072"/>
      </w:r>
      <w:r w:rsidRPr="007E512D">
        <w:rPr>
          <w:rFonts w:cs="Times New Roman"/>
          <w:i/>
          <w:szCs w:val="22"/>
          <w:vertAlign w:val="subscript"/>
        </w:rPr>
        <w:t>i</w:t>
      </w:r>
      <w:r w:rsidRPr="007E512D">
        <w:rPr>
          <w:rFonts w:cs="Times New Roman"/>
          <w:i/>
          <w:szCs w:val="22"/>
        </w:rPr>
        <w:t xml:space="preserve"> </w:t>
      </w:r>
      <w:r w:rsidRPr="007E512D">
        <w:rPr>
          <w:rFonts w:cs="Times New Roman"/>
          <w:szCs w:val="22"/>
        </w:rPr>
        <w:t xml:space="preserve">is the relative infectiousness following </w:t>
      </w:r>
      <w:r w:rsidRPr="007E512D">
        <w:rPr>
          <w:rFonts w:cs="Times New Roman"/>
          <w:i/>
          <w:szCs w:val="22"/>
        </w:rPr>
        <w:t>i</w:t>
      </w:r>
      <w:r w:rsidRPr="007E512D">
        <w:rPr>
          <w:rFonts w:cs="Times New Roman"/>
          <w:szCs w:val="22"/>
        </w:rPr>
        <w:t xml:space="preserve"> previous infections. We assume</w:t>
      </w:r>
      <w:r w:rsidR="005B1EA5">
        <w:rPr>
          <w:rFonts w:cs="Times New Roman"/>
          <w:szCs w:val="22"/>
        </w:rPr>
        <w:t>d</w:t>
      </w:r>
      <w:r w:rsidRPr="007E512D">
        <w:rPr>
          <w:rFonts w:cs="Times New Roman"/>
          <w:szCs w:val="22"/>
        </w:rPr>
        <w:t xml:space="preserve"> the rate of transmission between susceptible and infectious individuals varies seasonally with mean </w:t>
      </w:r>
      <w:r w:rsidRPr="007E512D">
        <w:rPr>
          <w:rFonts w:cs="Times New Roman"/>
          <w:i/>
          <w:szCs w:val="22"/>
        </w:rPr>
        <w:sym w:font="Symbol" w:char="F062"/>
      </w:r>
      <w:r w:rsidRPr="007E512D">
        <w:rPr>
          <w:rFonts w:cs="Times New Roman"/>
          <w:szCs w:val="22"/>
          <w:vertAlign w:val="subscript"/>
        </w:rPr>
        <w:t>0</w:t>
      </w:r>
      <w:r w:rsidRPr="007E512D">
        <w:rPr>
          <w:rFonts w:cs="Times New Roman"/>
          <w:szCs w:val="22"/>
        </w:rPr>
        <w:t xml:space="preserve">, seasonal amplitude </w:t>
      </w:r>
      <w:r w:rsidRPr="007E512D">
        <w:rPr>
          <w:rFonts w:cs="Times New Roman"/>
          <w:i/>
          <w:szCs w:val="22"/>
        </w:rPr>
        <w:t>b</w:t>
      </w:r>
      <w:r w:rsidRPr="007E512D">
        <w:rPr>
          <w:rFonts w:cs="Times New Roman"/>
          <w:szCs w:val="22"/>
        </w:rPr>
        <w:t xml:space="preserve">, and seasonal offset </w:t>
      </w:r>
      <w:r w:rsidRPr="007E512D">
        <w:rPr>
          <w:rFonts w:cs="Times New Roman"/>
          <w:i/>
          <w:szCs w:val="22"/>
        </w:rPr>
        <w:sym w:font="Symbol" w:char="F066"/>
      </w:r>
      <w:r w:rsidRPr="007E512D">
        <w:rPr>
          <w:rFonts w:cs="Times New Roman"/>
          <w:szCs w:val="22"/>
        </w:rPr>
        <w:t>, which we estimate</w:t>
      </w:r>
      <w:r w:rsidR="00124285">
        <w:rPr>
          <w:rFonts w:cs="Times New Roman"/>
          <w:szCs w:val="22"/>
        </w:rPr>
        <w:t>d</w:t>
      </w:r>
      <w:r w:rsidRPr="007E512D">
        <w:rPr>
          <w:rFonts w:cs="Times New Roman"/>
          <w:szCs w:val="22"/>
        </w:rPr>
        <w:t xml:space="preserve"> by fitting our model to the observed incidence of </w:t>
      </w:r>
      <w:r w:rsidR="00E64A8C" w:rsidRPr="007E512D">
        <w:rPr>
          <w:rFonts w:cs="Times New Roman"/>
        </w:rPr>
        <w:t>rotavirus-associate</w:t>
      </w:r>
      <w:r w:rsidR="00E64A8C">
        <w:rPr>
          <w:rFonts w:cs="Times New Roman"/>
        </w:rPr>
        <w:t>d</w:t>
      </w:r>
      <w:r w:rsidR="00E64A8C" w:rsidRPr="007E512D">
        <w:rPr>
          <w:rFonts w:cs="Times New Roman"/>
        </w:rPr>
        <w:t xml:space="preserve"> gastroenteritis (</w:t>
      </w:r>
      <w:r w:rsidRPr="007E512D">
        <w:rPr>
          <w:rFonts w:cs="Times New Roman"/>
          <w:szCs w:val="22"/>
        </w:rPr>
        <w:t>RVGE</w:t>
      </w:r>
      <w:r w:rsidR="00E64A8C">
        <w:rPr>
          <w:rFonts w:cs="Times New Roman"/>
          <w:szCs w:val="22"/>
        </w:rPr>
        <w:t>)</w:t>
      </w:r>
      <w:r w:rsidRPr="007E512D">
        <w:rPr>
          <w:rFonts w:cs="Times New Roman"/>
          <w:szCs w:val="22"/>
        </w:rPr>
        <w:t>. We assume</w:t>
      </w:r>
      <w:r w:rsidR="00EC171A">
        <w:rPr>
          <w:rFonts w:cs="Times New Roman"/>
          <w:szCs w:val="22"/>
        </w:rPr>
        <w:t>d</w:t>
      </w:r>
      <w:r w:rsidRPr="007E512D">
        <w:rPr>
          <w:rFonts w:cs="Times New Roman"/>
          <w:szCs w:val="22"/>
        </w:rPr>
        <w:t xml:space="preserve"> homogeneous mixing in the population, such that the force of infection at time </w:t>
      </w:r>
      <w:r w:rsidRPr="007E512D">
        <w:rPr>
          <w:rFonts w:cs="Times New Roman"/>
          <w:i/>
          <w:szCs w:val="22"/>
        </w:rPr>
        <w:t>t</w:t>
      </w:r>
      <w:r w:rsidRPr="007E512D">
        <w:rPr>
          <w:rFonts w:cs="Times New Roman"/>
          <w:szCs w:val="22"/>
        </w:rPr>
        <w:t xml:space="preserve"> is the same for all age groups </w:t>
      </w:r>
      <w:r w:rsidRPr="007E512D">
        <w:rPr>
          <w:rFonts w:cs="Times New Roman"/>
          <w:i/>
          <w:szCs w:val="22"/>
        </w:rPr>
        <w:t>a</w:t>
      </w:r>
      <w:r w:rsidRPr="007E512D">
        <w:rPr>
          <w:rFonts w:cs="Times New Roman"/>
          <w:szCs w:val="22"/>
        </w:rPr>
        <w:t xml:space="preserve">. </w:t>
      </w:r>
    </w:p>
    <w:p w14:paraId="1D85BCA1" w14:textId="77777777" w:rsidR="00EB686F" w:rsidRPr="007E512D" w:rsidRDefault="00EB686F" w:rsidP="00EB686F">
      <w:pPr>
        <w:rPr>
          <w:rFonts w:cs="Times New Roman"/>
          <w:szCs w:val="22"/>
        </w:rPr>
      </w:pPr>
    </w:p>
    <w:p w14:paraId="2EA22B21" w14:textId="7E3D1E76" w:rsidR="00EB686F" w:rsidRPr="007E512D" w:rsidRDefault="00EB686F" w:rsidP="00EB686F">
      <w:pPr>
        <w:rPr>
          <w:rFonts w:cs="Times New Roman"/>
          <w:szCs w:val="22"/>
        </w:rPr>
      </w:pPr>
      <w:r w:rsidRPr="007E512D">
        <w:rPr>
          <w:rFonts w:cs="Times New Roman"/>
          <w:szCs w:val="22"/>
        </w:rPr>
        <w:t>For Models 1 and 2, we assume</w:t>
      </w:r>
      <w:r w:rsidR="00162302">
        <w:rPr>
          <w:rFonts w:cs="Times New Roman"/>
          <w:szCs w:val="22"/>
        </w:rPr>
        <w:t>d</w:t>
      </w:r>
      <w:r w:rsidRPr="007E512D">
        <w:rPr>
          <w:rFonts w:cs="Times New Roman"/>
          <w:szCs w:val="22"/>
        </w:rPr>
        <w:t xml:space="preserve"> vaccination mimics natural immunity (</w:t>
      </w:r>
      <w:r w:rsidR="00144060">
        <w:rPr>
          <w:rFonts w:cs="Times New Roman"/>
          <w:b/>
          <w:szCs w:val="22"/>
        </w:rPr>
        <w:t>fig.</w:t>
      </w:r>
      <w:r w:rsidR="00144060" w:rsidRPr="007E512D">
        <w:rPr>
          <w:rFonts w:cs="Times New Roman"/>
          <w:b/>
          <w:szCs w:val="22"/>
        </w:rPr>
        <w:t xml:space="preserve"> </w:t>
      </w:r>
      <w:r w:rsidRPr="007E512D">
        <w:rPr>
          <w:rFonts w:cs="Times New Roman"/>
          <w:b/>
          <w:szCs w:val="22"/>
        </w:rPr>
        <w:t>S1A</w:t>
      </w:r>
      <w:r w:rsidRPr="007E512D">
        <w:rPr>
          <w:rFonts w:cs="Times New Roman"/>
          <w:szCs w:val="22"/>
        </w:rPr>
        <w:t>). The equations describing the vaccinated compartments are as follows:</w:t>
      </w:r>
    </w:p>
    <w:p w14:paraId="1E5D6523" w14:textId="77777777" w:rsidR="00EB686F" w:rsidRPr="007E512D" w:rsidRDefault="00EB686F" w:rsidP="00EB686F">
      <w:pPr>
        <w:rPr>
          <w:rFonts w:cs="Times New Roman"/>
          <w:szCs w:val="22"/>
        </w:rPr>
      </w:pPr>
    </w:p>
    <w:p w14:paraId="7FFDA283" w14:textId="77777777" w:rsidR="00EB686F" w:rsidRPr="007E512D" w:rsidRDefault="002F3CBE" w:rsidP="00EB686F">
      <w:pPr>
        <w:pStyle w:val="MTDisplayEquation"/>
        <w:jc w:val="center"/>
        <w:rPr>
          <w:rFonts w:ascii="Times New Roman" w:hAnsi="Times New Roman" w:cs="Times New Roman"/>
        </w:rPr>
      </w:pPr>
      <w:r w:rsidRPr="00A028D9">
        <w:rPr>
          <w:rFonts w:ascii="Times New Roman" w:hAnsi="Times New Roman" w:cs="Times New Roman"/>
          <w:noProof/>
          <w:position w:val="-48"/>
        </w:rPr>
        <w:object w:dxaOrig="5760" w:dyaOrig="1080" w14:anchorId="78112465">
          <v:shape id="_x0000_i1061" type="#_x0000_t75" alt="" style="width:4in;height:56.3pt;mso-width-percent:0;mso-height-percent:0;mso-width-percent:0;mso-height-percent:0" o:ole="">
            <v:imagedata r:id="rId29" o:title=""/>
          </v:shape>
          <o:OLEObject Type="Embed" ProgID="Equation.DSMT4" ShapeID="_x0000_i1061" DrawAspect="Content" ObjectID="_1626440116" r:id="rId30"/>
        </w:object>
      </w:r>
    </w:p>
    <w:p w14:paraId="405081A3" w14:textId="77777777" w:rsidR="00EB686F" w:rsidRPr="007E512D" w:rsidRDefault="00EB686F" w:rsidP="00EB686F">
      <w:pPr>
        <w:rPr>
          <w:rFonts w:cs="Times New Roman"/>
        </w:rPr>
      </w:pPr>
    </w:p>
    <w:p w14:paraId="6B8A2267"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6520" w:dyaOrig="1080" w14:anchorId="0F847B46">
          <v:shape id="_x0000_i1060" type="#_x0000_t75" alt="" style="width:325.05pt;height:56.3pt;mso-width-percent:0;mso-height-percent:0;mso-width-percent:0;mso-height-percent:0" o:ole="">
            <v:imagedata r:id="rId31" o:title=""/>
          </v:shape>
          <o:OLEObject Type="Embed" ProgID="Equation.DSMT4" ShapeID="_x0000_i1060" DrawAspect="Content" ObjectID="_1626440117" r:id="rId32"/>
        </w:object>
      </w:r>
    </w:p>
    <w:p w14:paraId="2D56C19B" w14:textId="77777777" w:rsidR="00EB686F" w:rsidRPr="007E512D" w:rsidRDefault="00EB686F" w:rsidP="00EB686F">
      <w:pPr>
        <w:rPr>
          <w:rFonts w:cs="Times New Roman"/>
        </w:rPr>
      </w:pPr>
    </w:p>
    <w:p w14:paraId="744E1845"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6020" w:dyaOrig="1080" w14:anchorId="7FF9A060">
          <v:shape id="_x0000_i1059" type="#_x0000_t75" alt="" style="width:301.55pt;height:56.3pt;mso-width-percent:0;mso-height-percent:0;mso-width-percent:0;mso-height-percent:0" o:ole="">
            <v:imagedata r:id="rId33" o:title=""/>
          </v:shape>
          <o:OLEObject Type="Embed" ProgID="Equation.DSMT4" ShapeID="_x0000_i1059" DrawAspect="Content" ObjectID="_1626440118" r:id="rId34"/>
        </w:object>
      </w:r>
    </w:p>
    <w:p w14:paraId="7305FB69" w14:textId="77777777" w:rsidR="00EB686F" w:rsidRPr="007E512D" w:rsidRDefault="00EB686F" w:rsidP="00EB686F">
      <w:pPr>
        <w:rPr>
          <w:rFonts w:cs="Times New Roman"/>
        </w:rPr>
      </w:pPr>
    </w:p>
    <w:p w14:paraId="478ADE29"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56"/>
        </w:rPr>
        <w:object w:dxaOrig="5820" w:dyaOrig="1500" w14:anchorId="5759FB85">
          <v:shape id="_x0000_i1058" type="#_x0000_t75" alt="" style="width:291.55pt;height:75.55pt;mso-width-percent:0;mso-height-percent:0;mso-width-percent:0;mso-height-percent:0" o:ole="">
            <v:imagedata r:id="rId35" o:title=""/>
          </v:shape>
          <o:OLEObject Type="Embed" ProgID="Equation.DSMT4" ShapeID="_x0000_i1058" DrawAspect="Content" ObjectID="_1626440119" r:id="rId36"/>
        </w:object>
      </w:r>
    </w:p>
    <w:p w14:paraId="35799DD7" w14:textId="77777777" w:rsidR="00EB686F" w:rsidRPr="007E512D" w:rsidRDefault="00EB686F" w:rsidP="00EB686F">
      <w:pPr>
        <w:rPr>
          <w:rFonts w:cs="Times New Roman"/>
        </w:rPr>
      </w:pPr>
    </w:p>
    <w:p w14:paraId="15A91DDF"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6380" w:dyaOrig="1080" w14:anchorId="2768B381">
          <v:shape id="_x0000_i1057" type="#_x0000_t75" alt="" style="width:319.35pt;height:56.3pt;mso-width-percent:0;mso-height-percent:0;mso-width-percent:0;mso-height-percent:0" o:ole="">
            <v:imagedata r:id="rId37" o:title=""/>
          </v:shape>
          <o:OLEObject Type="Embed" ProgID="Equation.DSMT4" ShapeID="_x0000_i1057" DrawAspect="Content" ObjectID="_1626440120" r:id="rId38"/>
        </w:object>
      </w:r>
    </w:p>
    <w:p w14:paraId="13EBA28C" w14:textId="77777777" w:rsidR="00EB686F" w:rsidRPr="007E512D" w:rsidRDefault="00EB686F" w:rsidP="00EB686F">
      <w:pPr>
        <w:rPr>
          <w:rFonts w:cs="Times New Roman"/>
        </w:rPr>
      </w:pPr>
    </w:p>
    <w:p w14:paraId="51C7809E"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56"/>
        </w:rPr>
        <w:object w:dxaOrig="5280" w:dyaOrig="1500" w14:anchorId="4870AE24">
          <v:shape id="_x0000_i1056" type="#_x0000_t75" alt="" style="width:261.6pt;height:75.55pt;mso-width-percent:0;mso-height-percent:0;mso-width-percent:0;mso-height-percent:0" o:ole="">
            <v:imagedata r:id="rId39" o:title=""/>
          </v:shape>
          <o:OLEObject Type="Embed" ProgID="Equation.DSMT4" ShapeID="_x0000_i1056" DrawAspect="Content" ObjectID="_1626440121" r:id="rId40"/>
        </w:object>
      </w:r>
    </w:p>
    <w:p w14:paraId="6D9E0A3B" w14:textId="77777777" w:rsidR="00EB686F" w:rsidRPr="007E512D" w:rsidRDefault="00EB686F" w:rsidP="00EB686F">
      <w:pPr>
        <w:rPr>
          <w:rFonts w:cs="Times New Roman"/>
        </w:rPr>
      </w:pPr>
    </w:p>
    <w:p w14:paraId="62FB7BA8"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56"/>
        </w:rPr>
        <w:object w:dxaOrig="5680" w:dyaOrig="1500" w14:anchorId="2F5E64C0">
          <v:shape id="_x0000_i1055" type="#_x0000_t75" alt="" style="width:282.3pt;height:75.55pt;mso-width-percent:0;mso-height-percent:0;mso-width-percent:0;mso-height-percent:0" o:ole="">
            <v:imagedata r:id="rId41" o:title=""/>
          </v:shape>
          <o:OLEObject Type="Embed" ProgID="Equation.DSMT4" ShapeID="_x0000_i1055" DrawAspect="Content" ObjectID="_1626440122" r:id="rId42"/>
        </w:object>
      </w:r>
    </w:p>
    <w:p w14:paraId="64C3D08B" w14:textId="77777777" w:rsidR="00EB686F" w:rsidRPr="007E512D" w:rsidRDefault="00EB686F" w:rsidP="00EB686F">
      <w:pPr>
        <w:rPr>
          <w:rFonts w:cs="Times New Roman"/>
        </w:rPr>
      </w:pPr>
    </w:p>
    <w:p w14:paraId="47244FA5"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6280" w:dyaOrig="1080" w14:anchorId="03D9A0E9">
          <v:shape id="_x0000_i1054" type="#_x0000_t75" alt="" style="width:313.65pt;height:56.3pt;mso-width-percent:0;mso-height-percent:0;mso-width-percent:0;mso-height-percent:0" o:ole="">
            <v:imagedata r:id="rId43" o:title=""/>
          </v:shape>
          <o:OLEObject Type="Embed" ProgID="Equation.DSMT4" ShapeID="_x0000_i1054" DrawAspect="Content" ObjectID="_1626440123" r:id="rId44"/>
        </w:object>
      </w:r>
    </w:p>
    <w:p w14:paraId="57103D0A" w14:textId="77777777" w:rsidR="00EB686F" w:rsidRPr="007E512D" w:rsidRDefault="00EB686F" w:rsidP="00EB686F">
      <w:pPr>
        <w:rPr>
          <w:rFonts w:cs="Times New Roman"/>
        </w:rPr>
      </w:pPr>
    </w:p>
    <w:p w14:paraId="25028924"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56"/>
        </w:rPr>
        <w:object w:dxaOrig="5340" w:dyaOrig="1500" w14:anchorId="3B40C3FB">
          <v:shape id="_x0000_i1053" type="#_x0000_t75" alt="" style="width:265.2pt;height:75.55pt;mso-width-percent:0;mso-height-percent:0;mso-width-percent:0;mso-height-percent:0" o:ole="">
            <v:imagedata r:id="rId45" o:title=""/>
          </v:shape>
          <o:OLEObject Type="Embed" ProgID="Equation.DSMT4" ShapeID="_x0000_i1053" DrawAspect="Content" ObjectID="_1626440124" r:id="rId46"/>
        </w:object>
      </w:r>
    </w:p>
    <w:p w14:paraId="6D54021E" w14:textId="77777777" w:rsidR="00EB686F" w:rsidRPr="007E512D" w:rsidRDefault="00EB686F" w:rsidP="00EB686F">
      <w:pPr>
        <w:rPr>
          <w:rFonts w:cs="Times New Roman"/>
        </w:rPr>
      </w:pPr>
    </w:p>
    <w:p w14:paraId="4AE22325"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56"/>
        </w:rPr>
        <w:object w:dxaOrig="5940" w:dyaOrig="1500" w14:anchorId="37638E52">
          <v:shape id="_x0000_i1052" type="#_x0000_t75" alt="" style="width:297.25pt;height:75.55pt;mso-width-percent:0;mso-height-percent:0;mso-width-percent:0;mso-height-percent:0" o:ole="">
            <v:imagedata r:id="rId47" o:title=""/>
          </v:shape>
          <o:OLEObject Type="Embed" ProgID="Equation.DSMT4" ShapeID="_x0000_i1052" DrawAspect="Content" ObjectID="_1626440125" r:id="rId48"/>
        </w:object>
      </w:r>
    </w:p>
    <w:p w14:paraId="606B3228" w14:textId="77777777" w:rsidR="00EB686F" w:rsidRPr="007E512D" w:rsidRDefault="00EB686F" w:rsidP="00EB686F">
      <w:pPr>
        <w:rPr>
          <w:rFonts w:cs="Times New Roman"/>
          <w:szCs w:val="22"/>
        </w:rPr>
      </w:pPr>
    </w:p>
    <w:p w14:paraId="0B702212" w14:textId="09C685DD" w:rsidR="00EB686F" w:rsidRPr="007E512D" w:rsidRDefault="00EB686F" w:rsidP="00EB686F">
      <w:pPr>
        <w:rPr>
          <w:rFonts w:cs="Times New Roman"/>
          <w:szCs w:val="22"/>
        </w:rPr>
      </w:pPr>
      <w:r w:rsidRPr="007E512D">
        <w:rPr>
          <w:rFonts w:cs="Times New Roman"/>
          <w:szCs w:val="22"/>
        </w:rPr>
        <w:t xml:space="preserve">where </w:t>
      </w:r>
      <w:r w:rsidRPr="007E512D">
        <w:rPr>
          <w:rFonts w:cs="Times New Roman"/>
          <w:i/>
          <w:szCs w:val="22"/>
        </w:rPr>
        <w:t>s</w:t>
      </w:r>
      <w:r w:rsidRPr="007E512D">
        <w:rPr>
          <w:rFonts w:cs="Times New Roman"/>
          <w:szCs w:val="22"/>
          <w:vertAlign w:val="subscript"/>
        </w:rPr>
        <w:t>1</w:t>
      </w:r>
      <w:r w:rsidRPr="007E512D">
        <w:rPr>
          <w:rFonts w:cs="Times New Roman"/>
          <w:szCs w:val="22"/>
        </w:rPr>
        <w:t xml:space="preserve">, </w:t>
      </w:r>
      <w:r w:rsidRPr="007E512D">
        <w:rPr>
          <w:rFonts w:cs="Times New Roman"/>
          <w:i/>
          <w:szCs w:val="22"/>
        </w:rPr>
        <w:t>s</w:t>
      </w:r>
      <w:r w:rsidRPr="007E512D">
        <w:rPr>
          <w:rFonts w:cs="Times New Roman"/>
          <w:szCs w:val="22"/>
          <w:vertAlign w:val="subscript"/>
        </w:rPr>
        <w:t>2</w:t>
      </w:r>
      <w:r w:rsidRPr="007E512D">
        <w:rPr>
          <w:rFonts w:cs="Times New Roman"/>
          <w:szCs w:val="22"/>
        </w:rPr>
        <w:t xml:space="preserve">, and </w:t>
      </w:r>
      <w:r w:rsidRPr="007E512D">
        <w:rPr>
          <w:rFonts w:cs="Times New Roman"/>
          <w:i/>
          <w:szCs w:val="22"/>
        </w:rPr>
        <w:t>s</w:t>
      </w:r>
      <w:r w:rsidRPr="007E512D">
        <w:rPr>
          <w:rFonts w:cs="Times New Roman"/>
          <w:szCs w:val="22"/>
          <w:vertAlign w:val="subscript"/>
        </w:rPr>
        <w:t>3</w:t>
      </w:r>
      <w:r w:rsidRPr="007E512D">
        <w:rPr>
          <w:rFonts w:cs="Times New Roman"/>
          <w:szCs w:val="22"/>
        </w:rPr>
        <w:t xml:space="preserve"> are the proportion of vaccinated individuals who respond to each dose of the vaccines, as described below. Individuals in the model received the first dose of the vaccine upon aging into the 2-month age group, </w:t>
      </w:r>
      <w:r w:rsidR="00957960">
        <w:rPr>
          <w:rFonts w:cs="Times New Roman"/>
          <w:szCs w:val="22"/>
        </w:rPr>
        <w:t>whereas</w:t>
      </w:r>
      <w:r w:rsidR="00957960" w:rsidRPr="007E512D">
        <w:rPr>
          <w:rFonts w:cs="Times New Roman"/>
          <w:szCs w:val="22"/>
        </w:rPr>
        <w:t xml:space="preserve"> </w:t>
      </w:r>
      <w:r w:rsidRPr="007E512D">
        <w:rPr>
          <w:rFonts w:cs="Times New Roman"/>
          <w:szCs w:val="22"/>
        </w:rPr>
        <w:t>the second dose was administered upon aging into the 3-month age group, roughly consistent with the 6- and 10-week schedule in Malawi.</w:t>
      </w:r>
      <w:r w:rsidR="006259CB" w:rsidRPr="006259CB">
        <w:rPr>
          <w:rFonts w:cs="Times New Roman"/>
          <w:szCs w:val="22"/>
        </w:rPr>
        <w:t xml:space="preserve"> </w:t>
      </w:r>
      <w:r w:rsidR="006259CB">
        <w:rPr>
          <w:rFonts w:cs="Times New Roman"/>
          <w:szCs w:val="22"/>
        </w:rPr>
        <w:t xml:space="preserve">Note that the vaccinated compartments in Models 1 and 2 are identical to the unvaccinated compartments; </w:t>
      </w:r>
      <w:r w:rsidR="00475064">
        <w:rPr>
          <w:rFonts w:cs="Times New Roman"/>
          <w:szCs w:val="22"/>
        </w:rPr>
        <w:t>all non-vaccine parameters are the same. T</w:t>
      </w:r>
      <w:r w:rsidR="006259CB">
        <w:rPr>
          <w:rFonts w:cs="Times New Roman"/>
          <w:szCs w:val="22"/>
        </w:rPr>
        <w:t>he only reason for separating these out was so that we could keep track of cases among vaccinated versus unvaccinated individuals in order to calculate the vaccine effectiveness.</w:t>
      </w:r>
    </w:p>
    <w:p w14:paraId="67D7B17A" w14:textId="77777777" w:rsidR="00EB686F" w:rsidRPr="007E512D" w:rsidRDefault="00EB686F" w:rsidP="00EB686F">
      <w:pPr>
        <w:rPr>
          <w:rFonts w:cs="Times New Roman"/>
          <w:szCs w:val="22"/>
        </w:rPr>
      </w:pPr>
    </w:p>
    <w:p w14:paraId="3D9BBF0F" w14:textId="200A1F77" w:rsidR="00EB686F" w:rsidRPr="007E512D" w:rsidRDefault="00EB686F" w:rsidP="00EB686F">
      <w:pPr>
        <w:rPr>
          <w:rFonts w:cs="Times New Roman"/>
          <w:szCs w:val="22"/>
        </w:rPr>
      </w:pPr>
      <w:r w:rsidRPr="007E512D">
        <w:rPr>
          <w:rFonts w:cs="Times New Roman"/>
          <w:szCs w:val="22"/>
        </w:rPr>
        <w:t>For Models 3 and 4 with waning of vaccine-induced immunity (</w:t>
      </w:r>
      <w:r w:rsidR="00853B91">
        <w:rPr>
          <w:rFonts w:cs="Times New Roman"/>
          <w:b/>
          <w:szCs w:val="22"/>
        </w:rPr>
        <w:t>fig.</w:t>
      </w:r>
      <w:r w:rsidR="00853B91" w:rsidRPr="007E512D">
        <w:rPr>
          <w:rFonts w:cs="Times New Roman"/>
          <w:b/>
          <w:szCs w:val="22"/>
        </w:rPr>
        <w:t xml:space="preserve"> </w:t>
      </w:r>
      <w:r w:rsidRPr="007E512D">
        <w:rPr>
          <w:rFonts w:cs="Times New Roman"/>
          <w:b/>
          <w:szCs w:val="22"/>
        </w:rPr>
        <w:t>S1B</w:t>
      </w:r>
      <w:r w:rsidRPr="007E512D">
        <w:rPr>
          <w:rFonts w:cs="Times New Roman"/>
          <w:szCs w:val="22"/>
        </w:rPr>
        <w:t>), the equations describing the vaccinated compartments are:</w:t>
      </w:r>
    </w:p>
    <w:p w14:paraId="1AFD70E7" w14:textId="77777777" w:rsidR="00EB686F" w:rsidRPr="007E512D" w:rsidRDefault="00EB686F" w:rsidP="00EB686F">
      <w:pPr>
        <w:rPr>
          <w:rFonts w:cs="Times New Roman"/>
          <w:szCs w:val="22"/>
        </w:rPr>
      </w:pPr>
    </w:p>
    <w:p w14:paraId="07E10837"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5760" w:dyaOrig="1080" w14:anchorId="20F23755">
          <v:shape id="_x0000_i1051" type="#_x0000_t75" alt="" style="width:4in;height:56.3pt;mso-width-percent:0;mso-height-percent:0;mso-width-percent:0;mso-height-percent:0" o:ole="">
            <v:imagedata r:id="rId49" o:title=""/>
          </v:shape>
          <o:OLEObject Type="Embed" ProgID="Equation.DSMT4" ShapeID="_x0000_i1051" DrawAspect="Content" ObjectID="_1626440126" r:id="rId50"/>
        </w:object>
      </w:r>
    </w:p>
    <w:p w14:paraId="5F04E598" w14:textId="77777777" w:rsidR="00EB686F" w:rsidRPr="007E512D" w:rsidRDefault="00EB686F" w:rsidP="00EB686F">
      <w:pPr>
        <w:rPr>
          <w:rFonts w:cs="Times New Roman"/>
        </w:rPr>
      </w:pPr>
    </w:p>
    <w:p w14:paraId="59E8DA39"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7520" w:dyaOrig="1080" w14:anchorId="25D2435E">
          <v:shape id="_x0000_i1050" type="#_x0000_t75" alt="" style="width:374.25pt;height:56.3pt;mso-width-percent:0;mso-height-percent:0;mso-width-percent:0;mso-height-percent:0" o:ole="">
            <v:imagedata r:id="rId51" o:title=""/>
          </v:shape>
          <o:OLEObject Type="Embed" ProgID="Equation.DSMT4" ShapeID="_x0000_i1050" DrawAspect="Content" ObjectID="_1626440127" r:id="rId52"/>
        </w:object>
      </w:r>
    </w:p>
    <w:p w14:paraId="5508AD06" w14:textId="77777777" w:rsidR="00EB686F" w:rsidRPr="007E512D" w:rsidRDefault="00EB686F" w:rsidP="00EB686F">
      <w:pPr>
        <w:rPr>
          <w:rFonts w:cs="Times New Roman"/>
        </w:rPr>
      </w:pPr>
    </w:p>
    <w:p w14:paraId="48E2A3BC"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5920" w:dyaOrig="1080" w14:anchorId="61EBB6FC">
          <v:shape id="_x0000_i1049" type="#_x0000_t75" alt="" style="width:295.85pt;height:56.3pt;mso-width-percent:0;mso-height-percent:0;mso-width-percent:0;mso-height-percent:0" o:ole="">
            <v:imagedata r:id="rId53" o:title=""/>
          </v:shape>
          <o:OLEObject Type="Embed" ProgID="Equation.DSMT4" ShapeID="_x0000_i1049" DrawAspect="Content" ObjectID="_1626440128" r:id="rId54"/>
        </w:object>
      </w:r>
    </w:p>
    <w:p w14:paraId="39B033FF" w14:textId="77777777" w:rsidR="00EB686F" w:rsidRPr="007E512D" w:rsidRDefault="00EB686F" w:rsidP="00EB686F">
      <w:pPr>
        <w:rPr>
          <w:rFonts w:cs="Times New Roman"/>
        </w:rPr>
      </w:pPr>
    </w:p>
    <w:p w14:paraId="37C7892A"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lastRenderedPageBreak/>
        <w:tab/>
      </w:r>
      <w:r w:rsidR="002F3CBE" w:rsidRPr="00A028D9">
        <w:rPr>
          <w:rFonts w:ascii="Times New Roman" w:hAnsi="Times New Roman" w:cs="Times New Roman"/>
          <w:noProof/>
          <w:position w:val="-48"/>
        </w:rPr>
        <w:object w:dxaOrig="6020" w:dyaOrig="1080" w14:anchorId="5BD49EE7">
          <v:shape id="_x0000_i1048" type="#_x0000_t75" alt="" style="width:301.55pt;height:56.3pt;mso-width-percent:0;mso-height-percent:0;mso-width-percent:0;mso-height-percent:0" o:ole="">
            <v:imagedata r:id="rId55" o:title=""/>
          </v:shape>
          <o:OLEObject Type="Embed" ProgID="Equation.DSMT4" ShapeID="_x0000_i1048" DrawAspect="Content" ObjectID="_1626440129" r:id="rId56"/>
        </w:object>
      </w:r>
    </w:p>
    <w:p w14:paraId="7CE5EDB1" w14:textId="77777777" w:rsidR="00EB686F" w:rsidRPr="007E512D" w:rsidRDefault="00EB686F" w:rsidP="00EB686F">
      <w:pPr>
        <w:rPr>
          <w:rFonts w:cs="Times New Roman"/>
        </w:rPr>
      </w:pPr>
    </w:p>
    <w:p w14:paraId="1BDC8C8C"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5920" w:dyaOrig="1080" w14:anchorId="15D360D2">
          <v:shape id="_x0000_i1047" type="#_x0000_t75" alt="" style="width:295.85pt;height:56.3pt;mso-width-percent:0;mso-height-percent:0;mso-width-percent:0;mso-height-percent:0" o:ole="">
            <v:imagedata r:id="rId57" o:title=""/>
          </v:shape>
          <o:OLEObject Type="Embed" ProgID="Equation.DSMT4" ShapeID="_x0000_i1047" DrawAspect="Content" ObjectID="_1626440130" r:id="rId58"/>
        </w:object>
      </w:r>
    </w:p>
    <w:p w14:paraId="7708AA67" w14:textId="77777777" w:rsidR="00EB686F" w:rsidRPr="007E512D" w:rsidRDefault="00EB686F" w:rsidP="00EB686F">
      <w:pPr>
        <w:rPr>
          <w:rFonts w:cs="Times New Roman"/>
        </w:rPr>
      </w:pPr>
    </w:p>
    <w:p w14:paraId="227E1F91"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7580" w:dyaOrig="1080" w14:anchorId="4C95AA44">
          <v:shape id="_x0000_i1046" type="#_x0000_t75" alt="" style="width:380.65pt;height:56.3pt;mso-width-percent:0;mso-height-percent:0;mso-width-percent:0;mso-height-percent:0" o:ole="">
            <v:imagedata r:id="rId59" o:title=""/>
          </v:shape>
          <o:OLEObject Type="Embed" ProgID="Equation.DSMT4" ShapeID="_x0000_i1046" DrawAspect="Content" ObjectID="_1626440131" r:id="rId60"/>
        </w:object>
      </w:r>
    </w:p>
    <w:p w14:paraId="5B8DB1C0" w14:textId="77777777" w:rsidR="00EB686F" w:rsidRPr="007E512D" w:rsidRDefault="00EB686F" w:rsidP="00EB686F">
      <w:pPr>
        <w:rPr>
          <w:rFonts w:cs="Times New Roman"/>
        </w:rPr>
      </w:pPr>
    </w:p>
    <w:p w14:paraId="65E8F5CE"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7180" w:dyaOrig="1080" w14:anchorId="03C9B55D">
          <v:shape id="_x0000_i1045" type="#_x0000_t75" alt="" style="width:359.3pt;height:56.3pt;mso-width-percent:0;mso-height-percent:0;mso-width-percent:0;mso-height-percent:0" o:ole="">
            <v:imagedata r:id="rId61" o:title=""/>
          </v:shape>
          <o:OLEObject Type="Embed" ProgID="Equation.DSMT4" ShapeID="_x0000_i1045" DrawAspect="Content" ObjectID="_1626440132" r:id="rId62"/>
        </w:object>
      </w:r>
    </w:p>
    <w:p w14:paraId="352ABE9F" w14:textId="77777777" w:rsidR="00EB686F" w:rsidRPr="007E512D" w:rsidRDefault="00EB686F" w:rsidP="00EB686F">
      <w:pPr>
        <w:rPr>
          <w:rFonts w:cs="Times New Roman"/>
        </w:rPr>
      </w:pPr>
    </w:p>
    <w:p w14:paraId="43DFAAFC"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7480" w:dyaOrig="1080" w14:anchorId="7845046B">
          <v:shape id="_x0000_i1044" type="#_x0000_t75" alt="" style="width:372.1pt;height:56.3pt;mso-width-percent:0;mso-height-percent:0;mso-width-percent:0;mso-height-percent:0" o:ole="">
            <v:imagedata r:id="rId63" o:title=""/>
          </v:shape>
          <o:OLEObject Type="Embed" ProgID="Equation.DSMT4" ShapeID="_x0000_i1044" DrawAspect="Content" ObjectID="_1626440133" r:id="rId64"/>
        </w:object>
      </w:r>
    </w:p>
    <w:p w14:paraId="76AF5B7D" w14:textId="77777777" w:rsidR="00EB686F" w:rsidRPr="007E512D" w:rsidRDefault="00EB686F" w:rsidP="00EB686F">
      <w:pPr>
        <w:rPr>
          <w:rFonts w:cs="Times New Roman"/>
        </w:rPr>
      </w:pPr>
    </w:p>
    <w:p w14:paraId="4055B15D"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6140" w:dyaOrig="1080" w14:anchorId="4F4902DA">
          <v:shape id="_x0000_i1043" type="#_x0000_t75" alt="" style="width:307.25pt;height:56.3pt;mso-width-percent:0;mso-height-percent:0;mso-width-percent:0;mso-height-percent:0" o:ole="">
            <v:imagedata r:id="rId65" o:title=""/>
          </v:shape>
          <o:OLEObject Type="Embed" ProgID="Equation.DSMT4" ShapeID="_x0000_i1043" DrawAspect="Content" ObjectID="_1626440134" r:id="rId66"/>
        </w:object>
      </w:r>
    </w:p>
    <w:p w14:paraId="32820671" w14:textId="77777777" w:rsidR="00EB686F" w:rsidRPr="007E512D" w:rsidRDefault="00EB686F" w:rsidP="00EB686F">
      <w:pPr>
        <w:rPr>
          <w:rFonts w:cs="Times New Roman"/>
        </w:rPr>
      </w:pPr>
    </w:p>
    <w:p w14:paraId="413DE5BB"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56"/>
        </w:rPr>
        <w:object w:dxaOrig="6240" w:dyaOrig="1500" w14:anchorId="73225087">
          <v:shape id="_x0000_i1042" type="#_x0000_t75" alt="" style="width:312.95pt;height:75.55pt;mso-width-percent:0;mso-height-percent:0;mso-width-percent:0;mso-height-percent:0" o:ole="">
            <v:imagedata r:id="rId67" o:title=""/>
          </v:shape>
          <o:OLEObject Type="Embed" ProgID="Equation.DSMT4" ShapeID="_x0000_i1042" DrawAspect="Content" ObjectID="_1626440135" r:id="rId68"/>
        </w:object>
      </w:r>
    </w:p>
    <w:p w14:paraId="7EA3181D" w14:textId="77777777" w:rsidR="00EB686F" w:rsidRPr="007E512D" w:rsidRDefault="00EB686F" w:rsidP="00EB686F">
      <w:pPr>
        <w:rPr>
          <w:rFonts w:cs="Times New Roman"/>
        </w:rPr>
      </w:pPr>
    </w:p>
    <w:p w14:paraId="51E100ED"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7100" w:dyaOrig="1080" w14:anchorId="52042D10">
          <v:shape id="_x0000_i1041" type="#_x0000_t75" alt="" style="width:353.6pt;height:56.3pt;mso-width-percent:0;mso-height-percent:0;mso-width-percent:0;mso-height-percent:0" o:ole="">
            <v:imagedata r:id="rId69" o:title=""/>
          </v:shape>
          <o:OLEObject Type="Embed" ProgID="Equation.DSMT4" ShapeID="_x0000_i1041" DrawAspect="Content" ObjectID="_1626440136" r:id="rId70"/>
        </w:object>
      </w:r>
    </w:p>
    <w:p w14:paraId="3FED6F9F" w14:textId="77777777" w:rsidR="00EB686F" w:rsidRPr="007E512D" w:rsidRDefault="00EB686F" w:rsidP="00EB686F">
      <w:pPr>
        <w:rPr>
          <w:rFonts w:cs="Times New Roman"/>
        </w:rPr>
      </w:pPr>
    </w:p>
    <w:p w14:paraId="12DFF357"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48"/>
        </w:rPr>
        <w:object w:dxaOrig="6880" w:dyaOrig="1080" w14:anchorId="209E1A57">
          <v:shape id="_x0000_i1040" type="#_x0000_t75" alt="" style="width:346.45pt;height:56.3pt;mso-width-percent:0;mso-height-percent:0;mso-width-percent:0;mso-height-percent:0" o:ole="">
            <v:imagedata r:id="rId71" o:title=""/>
          </v:shape>
          <o:OLEObject Type="Embed" ProgID="Equation.DSMT4" ShapeID="_x0000_i1040" DrawAspect="Content" ObjectID="_1626440137" r:id="rId72"/>
        </w:object>
      </w:r>
    </w:p>
    <w:p w14:paraId="34871C82" w14:textId="77777777" w:rsidR="00EB686F" w:rsidRPr="007E512D" w:rsidRDefault="00EB686F" w:rsidP="00EB686F">
      <w:pPr>
        <w:rPr>
          <w:rFonts w:cs="Times New Roman"/>
        </w:rPr>
      </w:pPr>
    </w:p>
    <w:p w14:paraId="3E5D8124"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lastRenderedPageBreak/>
        <w:tab/>
      </w:r>
      <w:r w:rsidR="002F3CBE" w:rsidRPr="00A028D9">
        <w:rPr>
          <w:rFonts w:ascii="Times New Roman" w:hAnsi="Times New Roman" w:cs="Times New Roman"/>
          <w:noProof/>
          <w:position w:val="-48"/>
        </w:rPr>
        <w:object w:dxaOrig="6480" w:dyaOrig="1080" w14:anchorId="3161EC2A">
          <v:shape id="_x0000_i1039" type="#_x0000_t75" alt="" style="width:324.35pt;height:56.3pt;mso-width-percent:0;mso-height-percent:0;mso-width-percent:0;mso-height-percent:0" o:ole="">
            <v:imagedata r:id="rId73" o:title=""/>
          </v:shape>
          <o:OLEObject Type="Embed" ProgID="Equation.DSMT4" ShapeID="_x0000_i1039" DrawAspect="Content" ObjectID="_1626440138" r:id="rId74"/>
        </w:object>
      </w:r>
    </w:p>
    <w:p w14:paraId="24301AB8" w14:textId="77777777" w:rsidR="00EB686F" w:rsidRPr="007E512D" w:rsidRDefault="00EB686F" w:rsidP="00EB686F">
      <w:pPr>
        <w:rPr>
          <w:rFonts w:cs="Times New Roman"/>
        </w:rPr>
      </w:pPr>
    </w:p>
    <w:p w14:paraId="647DDA1C" w14:textId="77777777" w:rsidR="00EB686F" w:rsidRDefault="00EB686F" w:rsidP="00EB686F">
      <w:pPr>
        <w:rPr>
          <w:rFonts w:cs="Times New Roman"/>
          <w:szCs w:val="22"/>
        </w:rPr>
      </w:pPr>
      <w:r w:rsidRPr="007E512D">
        <w:rPr>
          <w:rFonts w:cs="Times New Roman"/>
          <w:szCs w:val="22"/>
        </w:rPr>
        <w:t xml:space="preserve">where </w:t>
      </w:r>
      <w:r w:rsidRPr="007E512D">
        <w:rPr>
          <w:rFonts w:cs="Times New Roman"/>
          <w:i/>
          <w:szCs w:val="22"/>
        </w:rPr>
        <w:t>V</w:t>
      </w:r>
      <w:r w:rsidRPr="007E512D">
        <w:rPr>
          <w:rFonts w:cs="Times New Roman"/>
          <w:i/>
          <w:szCs w:val="22"/>
          <w:vertAlign w:val="subscript"/>
        </w:rPr>
        <w:t>i</w:t>
      </w:r>
      <w:r w:rsidRPr="007E512D">
        <w:rPr>
          <w:rFonts w:cs="Times New Roman"/>
          <w:szCs w:val="22"/>
          <w:vertAlign w:val="subscript"/>
        </w:rPr>
        <w:t>,</w:t>
      </w:r>
      <w:r w:rsidRPr="007E512D">
        <w:rPr>
          <w:rFonts w:cs="Times New Roman"/>
          <w:i/>
          <w:szCs w:val="22"/>
          <w:vertAlign w:val="subscript"/>
        </w:rPr>
        <w:t>a</w:t>
      </w:r>
      <w:r w:rsidRPr="007E512D">
        <w:rPr>
          <w:rFonts w:cs="Times New Roman"/>
          <w:i/>
          <w:szCs w:val="22"/>
        </w:rPr>
        <w:t xml:space="preserve"> </w:t>
      </w:r>
      <w:r w:rsidRPr="007E512D">
        <w:rPr>
          <w:rFonts w:cs="Times New Roman"/>
          <w:szCs w:val="22"/>
        </w:rPr>
        <w:t xml:space="preserve">is the number of vaccinated and protected individuals of age </w:t>
      </w:r>
      <w:r w:rsidRPr="007E512D">
        <w:rPr>
          <w:rFonts w:cs="Times New Roman"/>
          <w:i/>
          <w:szCs w:val="22"/>
        </w:rPr>
        <w:t xml:space="preserve">a </w:t>
      </w:r>
      <w:r w:rsidRPr="007E512D">
        <w:rPr>
          <w:rFonts w:cs="Times New Roman"/>
          <w:szCs w:val="22"/>
        </w:rPr>
        <w:t xml:space="preserve">who have experienced </w:t>
      </w:r>
      <w:r w:rsidRPr="007E512D">
        <w:rPr>
          <w:rFonts w:cs="Times New Roman"/>
          <w:i/>
          <w:szCs w:val="22"/>
        </w:rPr>
        <w:t>i</w:t>
      </w:r>
      <w:r w:rsidRPr="007E512D">
        <w:rPr>
          <w:rFonts w:cs="Times New Roman"/>
          <w:szCs w:val="22"/>
        </w:rPr>
        <w:t xml:space="preserve"> previous natural infections or “successful” vaccine doses. For the full model including vaccination, the force of infection is given by:</w:t>
      </w:r>
    </w:p>
    <w:p w14:paraId="4526A148" w14:textId="77777777" w:rsidR="002558FA" w:rsidRPr="007E512D" w:rsidRDefault="002558FA" w:rsidP="00EB686F">
      <w:pPr>
        <w:rPr>
          <w:rFonts w:cs="Times New Roman"/>
          <w:szCs w:val="22"/>
        </w:rPr>
      </w:pPr>
    </w:p>
    <w:p w14:paraId="4B255922" w14:textId="301C290D" w:rsidR="00EB686F" w:rsidRPr="007E512D" w:rsidRDefault="002558FA" w:rsidP="002558FA">
      <w:pPr>
        <w:jc w:val="center"/>
        <w:rPr>
          <w:rFonts w:cs="Times New Roman"/>
          <w:szCs w:val="22"/>
        </w:rPr>
      </w:pPr>
      <w:r>
        <w:rPr>
          <w:rFonts w:cs="Times New Roman"/>
          <w:i/>
          <w:szCs w:val="22"/>
        </w:rPr>
        <w:sym w:font="Symbol" w:char="F06C"/>
      </w:r>
      <w:r>
        <w:rPr>
          <w:rFonts w:cs="Times New Roman"/>
          <w:i/>
          <w:szCs w:val="22"/>
          <w:vertAlign w:val="subscript"/>
        </w:rPr>
        <w:t>a</w:t>
      </w:r>
      <w:r>
        <w:rPr>
          <w:rFonts w:cs="Times New Roman"/>
          <w:szCs w:val="22"/>
        </w:rPr>
        <w:t>(</w:t>
      </w:r>
      <w:r>
        <w:rPr>
          <w:rFonts w:cs="Times New Roman"/>
          <w:i/>
          <w:szCs w:val="22"/>
        </w:rPr>
        <w:t>t</w:t>
      </w:r>
      <w:r>
        <w:rPr>
          <w:rFonts w:cs="Times New Roman"/>
          <w:szCs w:val="22"/>
        </w:rPr>
        <w:t xml:space="preserve">) = </w:t>
      </w:r>
      <w:r>
        <w:rPr>
          <w:rFonts w:cs="Times New Roman"/>
          <w:i/>
          <w:szCs w:val="22"/>
        </w:rPr>
        <w:sym w:font="Symbol" w:char="F06C"/>
      </w:r>
      <w:r>
        <w:rPr>
          <w:rFonts w:cs="Times New Roman"/>
          <w:szCs w:val="22"/>
        </w:rPr>
        <w:t>(</w:t>
      </w:r>
      <w:r>
        <w:rPr>
          <w:rFonts w:cs="Times New Roman"/>
          <w:i/>
          <w:szCs w:val="22"/>
        </w:rPr>
        <w:t>t</w:t>
      </w:r>
      <w:r>
        <w:rPr>
          <w:rFonts w:cs="Times New Roman"/>
          <w:szCs w:val="22"/>
        </w:rPr>
        <w:t xml:space="preserve">) = </w:t>
      </w:r>
      <w:r>
        <w:rPr>
          <w:rFonts w:cs="Times New Roman"/>
          <w:i/>
          <w:szCs w:val="22"/>
        </w:rPr>
        <w:sym w:font="Symbol" w:char="F062"/>
      </w:r>
      <w:r>
        <w:rPr>
          <w:rFonts w:cs="Times New Roman"/>
          <w:szCs w:val="22"/>
          <w:vertAlign w:val="subscript"/>
        </w:rPr>
        <w:t>0</w:t>
      </w:r>
      <w:r>
        <w:rPr>
          <w:rFonts w:cs="Times New Roman"/>
          <w:szCs w:val="22"/>
        </w:rPr>
        <w:t xml:space="preserve"> (1 + </w:t>
      </w:r>
      <w:r>
        <w:rPr>
          <w:rFonts w:cs="Times New Roman"/>
          <w:i/>
          <w:szCs w:val="22"/>
        </w:rPr>
        <w:t>b</w:t>
      </w:r>
      <w:r>
        <w:rPr>
          <w:rFonts w:cs="Times New Roman"/>
          <w:szCs w:val="22"/>
        </w:rPr>
        <w:t xml:space="preserve"> cos(2</w:t>
      </w:r>
      <w:r>
        <w:rPr>
          <w:rFonts w:cs="Times New Roman"/>
          <w:i/>
          <w:szCs w:val="22"/>
        </w:rPr>
        <w:sym w:font="Symbol" w:char="F070"/>
      </w:r>
      <w:r>
        <w:rPr>
          <w:rFonts w:cs="Times New Roman"/>
          <w:i/>
          <w:szCs w:val="22"/>
        </w:rPr>
        <w:t xml:space="preserve"> </w:t>
      </w:r>
      <w:r>
        <w:rPr>
          <w:rFonts w:cs="Times New Roman"/>
          <w:szCs w:val="22"/>
        </w:rPr>
        <w:t>(</w:t>
      </w:r>
      <w:r>
        <w:rPr>
          <w:rFonts w:cs="Times New Roman"/>
          <w:i/>
          <w:szCs w:val="22"/>
        </w:rPr>
        <w:t>t</w:t>
      </w:r>
      <w:r>
        <w:rPr>
          <w:rFonts w:cs="Times New Roman"/>
          <w:szCs w:val="22"/>
        </w:rPr>
        <w:t xml:space="preserve"> - </w:t>
      </w:r>
      <w:r w:rsidRPr="002558FA">
        <w:rPr>
          <w:rFonts w:cs="Times New Roman"/>
          <w:i/>
          <w:szCs w:val="22"/>
        </w:rPr>
        <w:sym w:font="Symbol" w:char="F066"/>
      </w:r>
      <w:r>
        <w:rPr>
          <w:rFonts w:cs="Times New Roman"/>
          <w:szCs w:val="22"/>
        </w:rPr>
        <w:t>))) (</w:t>
      </w:r>
      <w:r>
        <w:rPr>
          <w:rFonts w:cs="Times New Roman"/>
          <w:i/>
          <w:szCs w:val="22"/>
        </w:rPr>
        <w:t>I</w:t>
      </w:r>
      <w:r>
        <w:rPr>
          <w:rFonts w:cs="Times New Roman"/>
          <w:szCs w:val="22"/>
          <w:vertAlign w:val="subscript"/>
        </w:rPr>
        <w:t>1</w:t>
      </w:r>
      <w:r>
        <w:rPr>
          <w:rFonts w:cs="Times New Roman"/>
          <w:szCs w:val="22"/>
        </w:rPr>
        <w:t xml:space="preserve"> + </w:t>
      </w:r>
      <w:r>
        <w:rPr>
          <w:rFonts w:cs="Times New Roman"/>
          <w:i/>
          <w:szCs w:val="22"/>
        </w:rPr>
        <w:t>I</w:t>
      </w:r>
      <w:r>
        <w:rPr>
          <w:rFonts w:cs="Times New Roman"/>
          <w:szCs w:val="22"/>
          <w:vertAlign w:val="subscript"/>
        </w:rPr>
        <w:t>1</w:t>
      </w:r>
      <w:r>
        <w:rPr>
          <w:rFonts w:cs="Times New Roman"/>
          <w:szCs w:val="22"/>
        </w:rPr>
        <w:t xml:space="preserve"> + </w:t>
      </w:r>
      <w:r>
        <w:rPr>
          <w:rFonts w:cs="Times New Roman"/>
          <w:i/>
          <w:szCs w:val="22"/>
        </w:rPr>
        <w:sym w:font="Symbol" w:char="F072"/>
      </w:r>
      <w:r>
        <w:rPr>
          <w:rFonts w:cs="Times New Roman"/>
          <w:szCs w:val="22"/>
          <w:vertAlign w:val="subscript"/>
        </w:rPr>
        <w:t xml:space="preserve">1 </w:t>
      </w:r>
      <w:r>
        <w:rPr>
          <w:rFonts w:cs="Times New Roman"/>
          <w:i/>
          <w:szCs w:val="22"/>
        </w:rPr>
        <w:t>I</w:t>
      </w:r>
      <w:r>
        <w:rPr>
          <w:rFonts w:cs="Times New Roman"/>
          <w:szCs w:val="22"/>
          <w:vertAlign w:val="subscript"/>
        </w:rPr>
        <w:t>2</w:t>
      </w:r>
      <w:r w:rsidRPr="002558FA">
        <w:rPr>
          <w:rFonts w:cs="Times New Roman"/>
          <w:szCs w:val="22"/>
        </w:rPr>
        <w:t xml:space="preserve"> </w:t>
      </w:r>
      <w:r>
        <w:rPr>
          <w:rFonts w:cs="Times New Roman"/>
          <w:szCs w:val="22"/>
        </w:rPr>
        <w:t xml:space="preserve">+ </w:t>
      </w:r>
      <w:r>
        <w:rPr>
          <w:rFonts w:cs="Times New Roman"/>
          <w:i/>
          <w:szCs w:val="22"/>
        </w:rPr>
        <w:sym w:font="Symbol" w:char="F072"/>
      </w:r>
      <w:r>
        <w:rPr>
          <w:rFonts w:cs="Times New Roman"/>
          <w:szCs w:val="22"/>
          <w:vertAlign w:val="subscript"/>
        </w:rPr>
        <w:t xml:space="preserve">1 </w:t>
      </w:r>
      <w:r>
        <w:rPr>
          <w:rFonts w:cs="Times New Roman"/>
          <w:i/>
          <w:szCs w:val="22"/>
        </w:rPr>
        <w:t>Iv</w:t>
      </w:r>
      <w:r>
        <w:rPr>
          <w:rFonts w:cs="Times New Roman"/>
          <w:szCs w:val="22"/>
          <w:vertAlign w:val="subscript"/>
        </w:rPr>
        <w:t>2</w:t>
      </w:r>
      <w:r w:rsidRPr="002558FA">
        <w:rPr>
          <w:rFonts w:cs="Times New Roman"/>
          <w:szCs w:val="22"/>
        </w:rPr>
        <w:t xml:space="preserve"> </w:t>
      </w:r>
      <w:r>
        <w:rPr>
          <w:rFonts w:cs="Times New Roman"/>
          <w:szCs w:val="22"/>
        </w:rPr>
        <w:t xml:space="preserve">+ </w:t>
      </w:r>
      <w:r>
        <w:rPr>
          <w:rFonts w:cs="Times New Roman"/>
          <w:i/>
          <w:szCs w:val="22"/>
        </w:rPr>
        <w:sym w:font="Symbol" w:char="F072"/>
      </w:r>
      <w:r>
        <w:rPr>
          <w:rFonts w:cs="Times New Roman"/>
          <w:szCs w:val="22"/>
          <w:vertAlign w:val="subscript"/>
        </w:rPr>
        <w:t xml:space="preserve">2 </w:t>
      </w:r>
      <w:r>
        <w:rPr>
          <w:rFonts w:cs="Times New Roman"/>
          <w:i/>
          <w:szCs w:val="22"/>
        </w:rPr>
        <w:t>I</w:t>
      </w:r>
      <w:r>
        <w:rPr>
          <w:rFonts w:cs="Times New Roman"/>
          <w:szCs w:val="22"/>
          <w:vertAlign w:val="subscript"/>
        </w:rPr>
        <w:sym w:font="Symbol" w:char="F0B3"/>
      </w:r>
      <w:r>
        <w:rPr>
          <w:rFonts w:cs="Times New Roman"/>
          <w:szCs w:val="22"/>
          <w:vertAlign w:val="subscript"/>
        </w:rPr>
        <w:t>3</w:t>
      </w:r>
      <w:r w:rsidRPr="002558FA">
        <w:rPr>
          <w:rFonts w:cs="Times New Roman"/>
          <w:szCs w:val="22"/>
        </w:rPr>
        <w:t xml:space="preserve"> </w:t>
      </w:r>
      <w:r>
        <w:rPr>
          <w:rFonts w:cs="Times New Roman"/>
          <w:szCs w:val="22"/>
        </w:rPr>
        <w:t xml:space="preserve">+ </w:t>
      </w:r>
      <w:r>
        <w:rPr>
          <w:rFonts w:cs="Times New Roman"/>
          <w:i/>
          <w:szCs w:val="22"/>
        </w:rPr>
        <w:sym w:font="Symbol" w:char="F072"/>
      </w:r>
      <w:r>
        <w:rPr>
          <w:rFonts w:cs="Times New Roman"/>
          <w:szCs w:val="22"/>
          <w:vertAlign w:val="subscript"/>
        </w:rPr>
        <w:t xml:space="preserve">2 </w:t>
      </w:r>
      <w:r>
        <w:rPr>
          <w:rFonts w:cs="Times New Roman"/>
          <w:i/>
          <w:szCs w:val="22"/>
        </w:rPr>
        <w:t>Iv</w:t>
      </w:r>
      <w:r>
        <w:rPr>
          <w:rFonts w:cs="Times New Roman"/>
          <w:szCs w:val="22"/>
          <w:vertAlign w:val="subscript"/>
        </w:rPr>
        <w:sym w:font="Symbol" w:char="F0B3"/>
      </w:r>
      <w:r>
        <w:rPr>
          <w:rFonts w:cs="Times New Roman"/>
          <w:szCs w:val="22"/>
          <w:vertAlign w:val="subscript"/>
        </w:rPr>
        <w:t>3</w:t>
      </w:r>
      <w:r>
        <w:rPr>
          <w:rFonts w:cs="Times New Roman"/>
          <w:szCs w:val="22"/>
        </w:rPr>
        <w:t>).</w:t>
      </w:r>
    </w:p>
    <w:p w14:paraId="17A930A7" w14:textId="77777777" w:rsidR="00EB686F" w:rsidRPr="007E512D" w:rsidRDefault="00EB686F" w:rsidP="00EB686F">
      <w:pPr>
        <w:rPr>
          <w:rFonts w:cs="Times New Roman"/>
          <w:szCs w:val="22"/>
        </w:rPr>
      </w:pPr>
    </w:p>
    <w:p w14:paraId="50BC3322" w14:textId="77777777" w:rsidR="00EB686F" w:rsidRPr="007E512D" w:rsidRDefault="00EB686F" w:rsidP="00EB686F">
      <w:pPr>
        <w:rPr>
          <w:rFonts w:cs="Times New Roman"/>
          <w:szCs w:val="22"/>
        </w:rPr>
      </w:pPr>
      <w:r w:rsidRPr="007E512D">
        <w:rPr>
          <w:rFonts w:cs="Times New Roman"/>
          <w:szCs w:val="22"/>
        </w:rPr>
        <w:t>We assumed that individuals who were successfully vaccinated while currently infected with rotavirus moved to the next infectious compartment. However, we examined the sensitivity of our results to this assumption and found it had little to no effect on the model simulations, since &lt;2% of individuals in the model were in one of the infected states at the time of vaccine administration in the model.</w:t>
      </w:r>
    </w:p>
    <w:p w14:paraId="5F028F98" w14:textId="77777777" w:rsidR="00EB686F" w:rsidRPr="007E512D" w:rsidRDefault="00EB686F" w:rsidP="00EB686F">
      <w:pPr>
        <w:rPr>
          <w:rFonts w:cs="Times New Roman"/>
          <w:szCs w:val="22"/>
        </w:rPr>
      </w:pPr>
    </w:p>
    <w:p w14:paraId="004B97CF" w14:textId="144AA8A2" w:rsidR="00EB686F" w:rsidRPr="007E512D" w:rsidRDefault="00EB686F" w:rsidP="00EB686F">
      <w:pPr>
        <w:rPr>
          <w:rFonts w:cs="Times New Roman"/>
          <w:szCs w:val="22"/>
        </w:rPr>
      </w:pPr>
      <w:r w:rsidRPr="007E512D">
        <w:rPr>
          <w:rFonts w:cs="Times New Roman"/>
          <w:szCs w:val="22"/>
        </w:rPr>
        <w:t>We divided the population into 42 age groups with 1-month age classes for individuals &lt;2 years of age, 1-year age classes for 2</w:t>
      </w:r>
      <w:r w:rsidR="00113D47">
        <w:rPr>
          <w:rFonts w:cs="Times New Roman"/>
          <w:szCs w:val="22"/>
        </w:rPr>
        <w:t>-</w:t>
      </w:r>
      <w:r w:rsidRPr="007E512D">
        <w:rPr>
          <w:rFonts w:cs="Times New Roman"/>
          <w:szCs w:val="22"/>
        </w:rPr>
        <w:t xml:space="preserve"> to </w:t>
      </w:r>
      <w:r w:rsidR="00113D47" w:rsidRPr="007E512D">
        <w:rPr>
          <w:rFonts w:cs="Times New Roman"/>
          <w:szCs w:val="22"/>
        </w:rPr>
        <w:t>4</w:t>
      </w:r>
      <w:r w:rsidR="00113D47">
        <w:rPr>
          <w:rFonts w:cs="Times New Roman"/>
          <w:szCs w:val="22"/>
        </w:rPr>
        <w:t>-</w:t>
      </w:r>
      <w:r w:rsidR="00113D47" w:rsidRPr="007E512D">
        <w:rPr>
          <w:rFonts w:cs="Times New Roman"/>
          <w:szCs w:val="22"/>
        </w:rPr>
        <w:t>year</w:t>
      </w:r>
      <w:r w:rsidR="00113D47">
        <w:rPr>
          <w:rFonts w:cs="Times New Roman"/>
          <w:szCs w:val="22"/>
        </w:rPr>
        <w:t>-</w:t>
      </w:r>
      <w:r w:rsidRPr="007E512D">
        <w:rPr>
          <w:rFonts w:cs="Times New Roman"/>
          <w:szCs w:val="22"/>
        </w:rPr>
        <w:t>olds, and 5-year age classes for 5</w:t>
      </w:r>
      <w:r w:rsidR="00013258">
        <w:rPr>
          <w:rFonts w:cs="Times New Roman"/>
          <w:szCs w:val="22"/>
        </w:rPr>
        <w:t>-</w:t>
      </w:r>
      <w:r w:rsidRPr="007E512D">
        <w:rPr>
          <w:rFonts w:cs="Times New Roman"/>
          <w:szCs w:val="22"/>
        </w:rPr>
        <w:t xml:space="preserve"> to </w:t>
      </w:r>
      <w:r w:rsidRPr="007E512D">
        <w:rPr>
          <w:rFonts w:cs="Times New Roman"/>
          <w:szCs w:val="22"/>
        </w:rPr>
        <w:sym w:font="Symbol" w:char="F0B3"/>
      </w:r>
      <w:r w:rsidR="00013258" w:rsidRPr="007E512D">
        <w:rPr>
          <w:rFonts w:cs="Times New Roman"/>
          <w:szCs w:val="22"/>
        </w:rPr>
        <w:t>75</w:t>
      </w:r>
      <w:r w:rsidR="00013258">
        <w:rPr>
          <w:rFonts w:cs="Times New Roman"/>
          <w:szCs w:val="22"/>
        </w:rPr>
        <w:t>-</w:t>
      </w:r>
      <w:r w:rsidR="00013258" w:rsidRPr="007E512D">
        <w:rPr>
          <w:rFonts w:cs="Times New Roman"/>
          <w:szCs w:val="22"/>
        </w:rPr>
        <w:t>year</w:t>
      </w:r>
      <w:r w:rsidR="00013258">
        <w:rPr>
          <w:rFonts w:cs="Times New Roman"/>
          <w:szCs w:val="22"/>
        </w:rPr>
        <w:t>-</w:t>
      </w:r>
      <w:r w:rsidRPr="007E512D">
        <w:rPr>
          <w:rFonts w:cs="Times New Roman"/>
          <w:szCs w:val="22"/>
        </w:rPr>
        <w:t>olds. The rate of aging out of each age group (</w:t>
      </w:r>
      <w:r w:rsidRPr="007E512D">
        <w:rPr>
          <w:rFonts w:cs="Times New Roman"/>
          <w:i/>
          <w:szCs w:val="22"/>
        </w:rPr>
        <w:t>u</w:t>
      </w:r>
      <w:r w:rsidRPr="007E512D">
        <w:rPr>
          <w:rFonts w:cs="Times New Roman"/>
          <w:i/>
          <w:szCs w:val="22"/>
          <w:vertAlign w:val="subscript"/>
        </w:rPr>
        <w:t>a</w:t>
      </w:r>
      <w:r w:rsidRPr="007E512D">
        <w:rPr>
          <w:rFonts w:cs="Times New Roman"/>
          <w:szCs w:val="22"/>
        </w:rPr>
        <w:t>) was inversely proportional to the width of the age group.</w:t>
      </w:r>
      <w:r w:rsidRPr="007E512D">
        <w:rPr>
          <w:rFonts w:cs="Times New Roman"/>
          <w:i/>
          <w:szCs w:val="22"/>
        </w:rPr>
        <w:t xml:space="preserve"> </w:t>
      </w:r>
      <w:r w:rsidRPr="007E512D">
        <w:rPr>
          <w:rFonts w:cs="Times New Roman"/>
          <w:szCs w:val="22"/>
        </w:rPr>
        <w:t xml:space="preserve">To ensure our model was consistent with the demographics of the Blantyre population, we simulated the model in the absence of vaccination and compared the total population size and age distribution to the observed population of Blantyre district </w:t>
      </w:r>
      <w:r w:rsidRPr="007E512D">
        <w:rPr>
          <w:rFonts w:cs="Times New Roman"/>
          <w:szCs w:val="22"/>
        </w:rPr>
        <w:fldChar w:fldCharType="begin" w:fldLock="1"/>
      </w:r>
      <w:r w:rsidRPr="007E512D">
        <w:rPr>
          <w:rFonts w:cs="Times New Roman"/>
          <w:szCs w:val="22"/>
        </w:rPr>
        <w:instrText>ADDIN CSL_CITATION {"citationItems":[{"id":"ITEM-1","itemData":{"author":[{"dropping-particle":"","family":"National Statistical Office","given":"","non-dropping-particle":"","parse-names":false,"suffix":""}],"id":"ITEM-1","issued":{"date-parts":[["0"]]},"title":"2008 Population and Housing Census","type":"webpage"},"uris":["http://www.mendeley.com/documents/?uuid=8661372f-cc65-4e36-b64e-cd1720f89326"]}],"mendeley":{"formattedCitation":"&lt;i&gt;(66)&lt;/i&gt;","plainTextFormattedCitation":"(66)","previouslyFormattedCitation":"&lt;i&gt;(67)&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w:t>
      </w:r>
      <w:r w:rsidR="002558FA">
        <w:rPr>
          <w:rFonts w:cs="Times New Roman"/>
          <w:i/>
          <w:noProof/>
          <w:szCs w:val="22"/>
        </w:rPr>
        <w:t>58</w:t>
      </w:r>
      <w:r w:rsidRPr="007E512D">
        <w:rPr>
          <w:rFonts w:cs="Times New Roman"/>
          <w:i/>
          <w:noProof/>
          <w:szCs w:val="22"/>
        </w:rPr>
        <w:t>)</w:t>
      </w:r>
      <w:r w:rsidRPr="007E512D">
        <w:rPr>
          <w:rFonts w:cs="Times New Roman"/>
          <w:szCs w:val="22"/>
        </w:rPr>
        <w:fldChar w:fldCharType="end"/>
      </w:r>
      <w:r w:rsidRPr="007E512D">
        <w:rPr>
          <w:rFonts w:cs="Times New Roman"/>
          <w:szCs w:val="22"/>
        </w:rPr>
        <w:t xml:space="preserve">. We initialized the population with 26,000 individuals distributed across the age groups according to the age distribution in the 2008 Malawi census </w:t>
      </w:r>
      <w:r w:rsidRPr="007E512D">
        <w:rPr>
          <w:rFonts w:cs="Times New Roman"/>
          <w:szCs w:val="22"/>
        </w:rPr>
        <w:fldChar w:fldCharType="begin" w:fldLock="1"/>
      </w:r>
      <w:r w:rsidRPr="007E512D">
        <w:rPr>
          <w:rFonts w:cs="Times New Roman"/>
          <w:szCs w:val="22"/>
        </w:rPr>
        <w:instrText>ADDIN CSL_CITATION {"citationItems":[{"id":"ITEM-1","itemData":{"author":[{"dropping-particle":"","family":"National Statistical Office","given":"","non-dropping-particle":"","parse-names":false,"suffix":""}],"id":"ITEM-1","issued":{"date-parts":[["0"]]},"title":"2008 Population and Housing Census","type":"webpage"},"uris":["http://www.mendeley.com/documents/?uuid=8661372f-cc65-4e36-b64e-cd1720f89326"]}],"mendeley":{"formattedCitation":"&lt;i&gt;(66)&lt;/i&gt;","plainTextFormattedCitation":"(66)","previouslyFormattedCitation":"&lt;i&gt;(67)&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w:t>
      </w:r>
      <w:r w:rsidR="002558FA">
        <w:rPr>
          <w:rFonts w:cs="Times New Roman"/>
          <w:i/>
          <w:noProof/>
          <w:szCs w:val="22"/>
        </w:rPr>
        <w:t>58</w:t>
      </w:r>
      <w:r w:rsidRPr="007E512D">
        <w:rPr>
          <w:rFonts w:cs="Times New Roman"/>
          <w:i/>
          <w:noProof/>
          <w:szCs w:val="22"/>
        </w:rPr>
        <w:t>)</w:t>
      </w:r>
      <w:r w:rsidRPr="007E512D">
        <w:rPr>
          <w:rFonts w:cs="Times New Roman"/>
          <w:szCs w:val="22"/>
        </w:rPr>
        <w:fldChar w:fldCharType="end"/>
      </w:r>
      <w:r w:rsidRPr="007E512D">
        <w:rPr>
          <w:rFonts w:cs="Times New Roman"/>
          <w:szCs w:val="22"/>
        </w:rPr>
        <w:t xml:space="preserve">, with one infectious individual in each age class </w:t>
      </w:r>
      <w:r w:rsidRPr="007E512D">
        <w:rPr>
          <w:rFonts w:cs="Times New Roman"/>
          <w:i/>
          <w:szCs w:val="22"/>
        </w:rPr>
        <w:t>a</w:t>
      </w:r>
      <w:r w:rsidRPr="007E512D">
        <w:rPr>
          <w:rFonts w:cs="Times New Roman"/>
          <w:szCs w:val="22"/>
        </w:rPr>
        <w:t xml:space="preserve">&gt;1 We ran the model for a burn-in period of 30 years prior to evaluating model output and varied the birth rate over the 30-year burn-in period (since 1967) based on a linear interpolation of UN population projections of the crude annual birth rate in Malawi from 1965 to 2040 </w:t>
      </w:r>
      <w:r w:rsidRPr="007E512D">
        <w:rPr>
          <w:rFonts w:cs="Times New Roman"/>
          <w:szCs w:val="22"/>
        </w:rPr>
        <w:fldChar w:fldCharType="begin" w:fldLock="1"/>
      </w:r>
      <w:r w:rsidRPr="007E512D">
        <w:rPr>
          <w:rFonts w:cs="Times New Roman"/>
          <w:szCs w:val="22"/>
        </w:rPr>
        <w:instrText>ADDIN CSL_CITATION {"citationItems":[{"id":"ITEM-1","itemData":{"URL":"https://esa.un.org/unpd/wpp/DataQuery/","author":[{"dropping-particle":"","family":"Division","given":"United Nations DESA/Population","non-dropping-particle":"","parse-names":false,"suffix":""}],"id":"ITEM-1","issued":{"date-parts":[["2017"]]},"title":"World Population Prospects 2017","type":"webpage"},"uris":["http://www.mendeley.com/documents/?uuid=8559c67a-0bad-4835-a562-fb1b3a7d58e1"]}],"mendeley":{"formattedCitation":"&lt;i&gt;(59)&lt;/i&gt;","plainTextFormattedCitation":"(59)","previouslyFormattedCitation":"&lt;i&gt;(60)&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(59)</w:t>
      </w:r>
      <w:r w:rsidRPr="007E512D">
        <w:rPr>
          <w:rFonts w:cs="Times New Roman"/>
          <w:szCs w:val="22"/>
        </w:rPr>
        <w:fldChar w:fldCharType="end"/>
      </w:r>
      <w:r w:rsidRPr="007E512D">
        <w:rPr>
          <w:rFonts w:cs="Times New Roman"/>
          <w:szCs w:val="22"/>
        </w:rPr>
        <w:t xml:space="preserve">. In order to get population growth consistent with the observed population of Blantyre district in 2011 (prior to vaccine introduction), we fixed the crude death rate at 10 per 100,000 per year, and assumed individuals exited the last age group after an average of 25 years. </w:t>
      </w:r>
      <w:r w:rsidRPr="007E512D">
        <w:rPr>
          <w:rFonts w:cs="Times New Roman"/>
          <w:i/>
          <w:szCs w:val="22"/>
        </w:rPr>
        <w:t xml:space="preserve"> </w:t>
      </w:r>
    </w:p>
    <w:p w14:paraId="6F0B8EA7" w14:textId="77777777" w:rsidR="00EB686F" w:rsidRPr="007E512D" w:rsidRDefault="00EB686F" w:rsidP="00EB686F">
      <w:pPr>
        <w:rPr>
          <w:rFonts w:cs="Times New Roman"/>
          <w:i/>
          <w:szCs w:val="22"/>
        </w:rPr>
      </w:pPr>
    </w:p>
    <w:p w14:paraId="296C8E30" w14:textId="3F65EA34" w:rsidR="00EB686F" w:rsidRPr="007E512D" w:rsidRDefault="00EB686F" w:rsidP="00EB686F">
      <w:pPr>
        <w:rPr>
          <w:rFonts w:cs="Times New Roman"/>
          <w:szCs w:val="22"/>
        </w:rPr>
      </w:pPr>
      <w:r w:rsidRPr="007E512D">
        <w:rPr>
          <w:rFonts w:cs="Times New Roman"/>
          <w:szCs w:val="22"/>
        </w:rPr>
        <w:t>Model code was written and implemented in MATLAB v7.14 (Mathworks), and is available from https://github.com/vepitzer/rotavirusMalawi.</w:t>
      </w:r>
    </w:p>
    <w:p w14:paraId="4497907E" w14:textId="77777777" w:rsidR="00EB686F" w:rsidRPr="007E512D" w:rsidRDefault="00EB686F" w:rsidP="00EB686F">
      <w:pPr>
        <w:rPr>
          <w:rFonts w:cs="Times New Roman"/>
          <w:szCs w:val="22"/>
        </w:rPr>
      </w:pPr>
    </w:p>
    <w:p w14:paraId="3D666C96" w14:textId="77777777" w:rsidR="00EB686F" w:rsidRPr="007E512D" w:rsidRDefault="00EB686F" w:rsidP="00EB686F">
      <w:pPr>
        <w:pStyle w:val="SMHeading"/>
      </w:pPr>
      <w:bookmarkStart w:id="1" w:name="_Toc8144396"/>
      <w:r w:rsidRPr="007E512D">
        <w:t>Estimating the proportion of vaccinated individuals who respond to each dose</w:t>
      </w:r>
      <w:bookmarkEnd w:id="1"/>
    </w:p>
    <w:p w14:paraId="1D607AC1" w14:textId="77777777" w:rsidR="00EB686F" w:rsidRPr="007E512D" w:rsidRDefault="00EB686F" w:rsidP="00EB686F">
      <w:pPr>
        <w:rPr>
          <w:rFonts w:cs="Times New Roman"/>
          <w:szCs w:val="22"/>
        </w:rPr>
      </w:pPr>
    </w:p>
    <w:p w14:paraId="195203CD" w14:textId="5685B25E" w:rsidR="00EB686F" w:rsidRPr="007E512D" w:rsidRDefault="00EB686F" w:rsidP="00EB686F">
      <w:pPr>
        <w:rPr>
          <w:rFonts w:cs="Times New Roman"/>
        </w:rPr>
      </w:pPr>
      <w:r w:rsidRPr="007E512D">
        <w:rPr>
          <w:rFonts w:cs="Times New Roman"/>
          <w:szCs w:val="22"/>
        </w:rPr>
        <w:t>We used data on the proportion of infants who seroconverted—defined as an anti-rotavirus IgA antibody</w:t>
      </w:r>
      <w:r w:rsidRPr="007E512D">
        <w:rPr>
          <w:rFonts w:cs="Times New Roman"/>
        </w:rPr>
        <w:t xml:space="preserve"> concentration </w:t>
      </w:r>
      <w:r w:rsidRPr="007E512D">
        <w:rPr>
          <w:rFonts w:cs="Times New Roman"/>
        </w:rPr>
        <w:sym w:font="Symbol" w:char="F0B3"/>
      </w:r>
      <w:r w:rsidRPr="007E512D">
        <w:rPr>
          <w:rFonts w:cs="Times New Roman"/>
        </w:rPr>
        <w:t xml:space="preserve">20 U/mL—during a Rotarix vaccine efficacy trial conducted in Blantyre, Malawi (RIX4414) to inform our estimates of the proportion of infants responding to each dose of the vaccine </w:t>
      </w:r>
      <w:r w:rsidRPr="007E512D">
        <w:rPr>
          <w:rFonts w:cs="Times New Roman"/>
        </w:rPr>
        <w:fldChar w:fldCharType="begin" w:fldLock="1"/>
      </w:r>
      <w:r w:rsidRPr="007E512D">
        <w:rPr>
          <w:rFonts w:cs="Times New Roman"/>
        </w:rPr>
        <w:instrText>ADDIN CSL_CITATION {"citationItems":[{"id":"ITEM-1","itemData":{"author":[{"dropping-particle":"","family":"Madhi","given":"SA","non-dropping-particle":"","parse-names":false,"suffix":""},{"dropping-particle":"","family":"Cunliffe","given":"NA","non-dropping-particle":"","parse-names":false,"suffix":""},{"dropping-particle":"","family":"Steele","given":"D","non-dropping-particle":"","parse-names":false,"suffix":""},{"dropping-particle":"","family":"Witte","given":"Desiree","non-dropping-particle":"","parse-names":false,"suffix":""},{"dropping-particle":"","family":"Kirsten","given":"Mari","non-dropping-particle":"","parse-names":false,"suffix":""},{"dropping-particle":"","family":"Louw","given":"Cheryl","non-dropping-particle":"","parse-names":false,"suffix":""},{"dropping-particle":"","family":"Ngwira","given":"Bagrey","non-dropping-particle":"","parse-names":false,"suffix":""},{"dropping-particle":"","family":"Victor","given":"John C","non-dropping-particle":"","parse-names":false,"suffix":""},{"dropping-particle":"","family":"Gillard","given":"Paul","non-dropping-particle":"","parse-names":false,"suffix":""},{"dropping-particle":"","family":"Cheuvart","given":"Brigitte","non-dropping-particle":"","parse-names":false,"suffix":""},{"dropping-particle":"","family":"Han","given":"Htay Htay","non-dropping-particle":"","parse-names":false,"suffix":""},{"dropping-particle":"","family":"Neuzil","given":"Kathleen M","non-dropping-particle":"","parse-names":false,"suffix":""}],"container-title":"The New England Journal of Medicine","id":"ITEM-1","issue":"4","issued":{"date-parts":[["2010"]]},"page":"289-298","title":"Effect of human rotavirus vaccine on severe diarrhea in African infants","type":"article-journal","volume":"362"},"uris":["http://www.mendeley.com/documents/?uuid=c78c095a-d729-43df-8bab-7103e75e989a"]},{"id":"ITEM-2","itemData":{"DOI":"10.1016/j.vaccine.2011.09.120","author":[{"dropping-particle":"","family":"Cunliffe","given":"Nigel A","non-dropping-particle":"","parse-names":false,"suffix":""},{"dropping-particle":"","family":"Witte","given":"Desiree","non-dropping-particle":"","parse-names":false,"suffix":""},{"dropping-particle":"","family":"Ngwira","given":"Bagrey M","non-dropping-particle":"","parse-names":false,"suffix":""},{"dropping-particle":"","family":"Todd","given":"Stacy","non-dropping-particle":"","parse-names":false,"suffix":""},{"dropping-particle":"","family":"Bostock","given":"Nancy J","non-dropping-particle":"","parse-names":false,"suffix":""},{"dropping-particle":"","family":"Turner","given":"Ann M","non-dropping-particle":"","parse-names":false,"suffix":""},{"dropping-particle":"","family":"Chimpeni","given":"Philips","non-dropping-particle":"","parse-names":false,"suffix":""},{"dropping-particle":"","family":"Victor","given":"John C","non-dropping-particle":"","parse-names":false,"suffix":""},{"dropping-particle":"","family":"Steele","given":"A Duncan","non-dropping-particle":"","parse-names":false,"suffix":""},{"dropping-particle":"","family":"Bouckenooghe","given":"Alain","non-dropping-particle":"","parse-names":false,"suffix":""},{"dropping-particle":"","family":"Neuzil","given":"Kathleen M","non-dropping-particle":"","parse-names":false,"suffix":""}],"container-title":"Vaccine","id":"ITEM-2","issued":{"date-parts":[["2012"]]},"page":"36-43","title":"Efficacy of human rotavirus vaccine against severe gastroenteritis in Malawian children in the first two years of life : A randomized , double-blind , placebo controlled trial","type":"article-journal","volume":"4414"},"uris":["http://www.mendeley.com/documents/?uuid=94287ea9-9335-4e7f-97c2-fb5b0a91eccc"]}],"mendeley":{"formattedCitation":"&lt;i&gt;(10, 34)&lt;/i&gt;","plainTextFormattedCitation":"(10, 34)","previouslyFormattedCitation":"&lt;i&gt;(11, 35)&lt;/i&gt;"},"properties":{"noteIndex":0},"schema":"https://github.com/citation-style-language/schema/raw/master/csl-citation.json"}</w:instrText>
      </w:r>
      <w:r w:rsidRPr="007E512D">
        <w:rPr>
          <w:rFonts w:cs="Times New Roman"/>
        </w:rPr>
        <w:fldChar w:fldCharType="separate"/>
      </w:r>
      <w:r w:rsidRPr="007E512D">
        <w:rPr>
          <w:rFonts w:cs="Times New Roman"/>
          <w:i/>
          <w:noProof/>
        </w:rPr>
        <w:t>(10, 34)</w:t>
      </w:r>
      <w:r w:rsidRPr="007E512D">
        <w:rPr>
          <w:rFonts w:cs="Times New Roman"/>
        </w:rPr>
        <w:fldChar w:fldCharType="end"/>
      </w:r>
      <w:r w:rsidRPr="007E512D">
        <w:rPr>
          <w:rFonts w:cs="Times New Roman"/>
        </w:rPr>
        <w:t xml:space="preserve">. During the trial, serum was drawn from a subset of infants at approximately 18 weeks of age (1 month after the last dose) to assess anti-rotavirus IgA concentrations using an ELISA (GSK Biologicals). The immunogenicity cohort in Malawi consisted of 42 infants in the placebo arm of the trial, 36 infants who received two doses of the vaccine plus a placebo for the third dose, and 49 infants who received three doses of the vaccine </w:t>
      </w:r>
      <w:r w:rsidRPr="007E512D">
        <w:rPr>
          <w:rFonts w:cs="Times New Roman"/>
        </w:rPr>
        <w:fldChar w:fldCharType="begin" w:fldLock="1"/>
      </w:r>
      <w:r w:rsidRPr="007E512D">
        <w:rPr>
          <w:rFonts w:cs="Times New Roman"/>
        </w:rPr>
        <w:instrText>ADDIN CSL_CITATION {"citationItems":[{"id":"ITEM-1","itemData":{"DOI":"10.1016/j.vaccine.2011.09.120","author":[{"dropping-particle":"","family":"Cunliffe","given":"Nigel A","non-dropping-particle":"","parse-names":false,"suffix":""},{"dropping-particle":"","family":"Witte","given":"Desiree","non-dropping-particle":"","parse-names":false,"suffix":""},{"dropping-particle":"","family":"Ngwira","given":"Bagrey M","non-dropping-particle":"","parse-names":false,"suffix":""},{"dropping-particle":"","family":"Todd","given":"Stacy","non-dropping-particle":"","parse-names":false,"suffix":""},{"dropping-particle":"","family":"Bostock","given":"Nancy J","non-dropping-particle":"","parse-names":false,"suffix":""},{"dropping-particle":"","family":"Turner","given":"Ann M","non-dropping-particle":"","parse-names":false,"suffix":""},{"dropping-particle":"","family":"Chimpeni","given":"Philips","non-dropping-particle":"","parse-names":false,"suffix":""},{"dropping-particle":"","family":"Victor","given":"John C","non-dropping-particle":"","parse-names":false,"suffix":""},{"dropping-particle":"","family":"Steele","given":"A Duncan","non-dropping-particle":"","parse-names":false,"suffix":""},{"dropping-particle":"","family":"Bouckenooghe","given":"Alain","non-dropping-particle":"","parse-names":false,"suffix":""},{"dropping-particle":"","family":"Neuzil","given":"Kathleen M","non-dropping-particle":"","parse-names":false,"suffix":""}],"container-title":"Vaccine","id":"ITEM-1","issued":{"date-parts":[["2012"]]},"page":"36-43","title":"Efficacy of human rotavirus vaccine against severe gastroenteritis in Malawian children in the first two years of life : A randomized , double-blind , placebo controlled trial","type":"article-journal","volume":"4414"},"uris":["http://www.mendeley.com/documents/?uuid=94287ea9-9335-4e7f-97c2-fb5b0a91eccc"]}],"mendeley":{"formattedCitation":"&lt;i&gt;(34)&lt;/i&gt;","plainTextFormattedCitation":"(34)","previouslyFormattedCitation":"&lt;i&gt;(35)&lt;/i&gt;"},"properties":{"noteIndex":0},"schema":"https://github.com/citation-style-language/schema/raw/master/csl-citation.json"}</w:instrText>
      </w:r>
      <w:r w:rsidRPr="007E512D">
        <w:rPr>
          <w:rFonts w:cs="Times New Roman"/>
        </w:rPr>
        <w:fldChar w:fldCharType="separate"/>
      </w:r>
      <w:r w:rsidRPr="007E512D">
        <w:rPr>
          <w:rFonts w:cs="Times New Roman"/>
          <w:i/>
          <w:noProof/>
        </w:rPr>
        <w:t>(34)</w:t>
      </w:r>
      <w:r w:rsidRPr="007E512D">
        <w:rPr>
          <w:rFonts w:cs="Times New Roman"/>
        </w:rPr>
        <w:fldChar w:fldCharType="end"/>
      </w:r>
      <w:r w:rsidRPr="007E512D">
        <w:rPr>
          <w:rFonts w:cs="Times New Roman"/>
        </w:rPr>
        <w:t xml:space="preserve">. Among those in the two-dose arm, 17/36 (47.2%, 95% </w:t>
      </w:r>
      <w:r w:rsidR="00AE09DE">
        <w:rPr>
          <w:rFonts w:cs="Times New Roman"/>
        </w:rPr>
        <w:t xml:space="preserve">confidence interval </w:t>
      </w:r>
      <w:r w:rsidR="008C20E3">
        <w:rPr>
          <w:rFonts w:cs="Times New Roman"/>
        </w:rPr>
        <w:t>[</w:t>
      </w:r>
      <w:r w:rsidRPr="007E512D">
        <w:rPr>
          <w:rFonts w:cs="Times New Roman"/>
        </w:rPr>
        <w:t>CI</w:t>
      </w:r>
      <w:r w:rsidR="008C20E3">
        <w:rPr>
          <w:rFonts w:cs="Times New Roman"/>
        </w:rPr>
        <w:t>]</w:t>
      </w:r>
      <w:r w:rsidRPr="007E512D">
        <w:rPr>
          <w:rFonts w:cs="Times New Roman"/>
        </w:rPr>
        <w:t xml:space="preserve">: 30-64%) of infants seroconverted, while in the three-dose arm, 28/49 (57.1%, 95% CI: 42-72%) of infants seroconverted.   </w:t>
      </w:r>
    </w:p>
    <w:p w14:paraId="7A688019" w14:textId="77777777" w:rsidR="00EB686F" w:rsidRPr="007E512D" w:rsidRDefault="00EB686F" w:rsidP="00EB686F">
      <w:pPr>
        <w:rPr>
          <w:rFonts w:cs="Times New Roman"/>
        </w:rPr>
      </w:pPr>
    </w:p>
    <w:p w14:paraId="16073ADE" w14:textId="6218AD9E" w:rsidR="00EB686F" w:rsidRPr="007E512D" w:rsidRDefault="00EB686F" w:rsidP="00EB686F">
      <w:pPr>
        <w:spacing w:after="120"/>
        <w:rPr>
          <w:rFonts w:cs="Times New Roman"/>
        </w:rPr>
      </w:pPr>
      <w:r w:rsidRPr="007E512D">
        <w:rPr>
          <w:rFonts w:cs="Times New Roman"/>
        </w:rPr>
        <w:t>We assumed that seroconversion was equivalent to the protection conferred by two natural infections, which in our base-case</w:t>
      </w:r>
      <w:r w:rsidR="004430EC">
        <w:rPr>
          <w:rFonts w:cs="Times New Roman"/>
        </w:rPr>
        <w:t xml:space="preserve"> (pre-vaccination)</w:t>
      </w:r>
      <w:r w:rsidRPr="007E512D">
        <w:rPr>
          <w:rFonts w:cs="Times New Roman"/>
        </w:rPr>
        <w:t xml:space="preserve"> model would mean the infant was fully protected against moderate-to-severe RVGE. If we assumed that the probability of responding to first and second dose of </w:t>
      </w:r>
      <w:r w:rsidRPr="007E512D">
        <w:rPr>
          <w:rFonts w:cs="Times New Roman"/>
        </w:rPr>
        <w:lastRenderedPageBreak/>
        <w:t>the vaccine (</w:t>
      </w:r>
      <w:r w:rsidRPr="007E512D">
        <w:rPr>
          <w:rFonts w:cs="Times New Roman"/>
          <w:i/>
        </w:rPr>
        <w:t>s</w:t>
      </w:r>
      <w:r w:rsidRPr="007E512D">
        <w:rPr>
          <w:rFonts w:cs="Times New Roman"/>
          <w:vertAlign w:val="subscript"/>
        </w:rPr>
        <w:t>1</w:t>
      </w:r>
      <w:r w:rsidRPr="007E512D">
        <w:rPr>
          <w:rFonts w:cs="Times New Roman"/>
        </w:rPr>
        <w:t xml:space="preserve"> and </w:t>
      </w:r>
      <w:r w:rsidRPr="007E512D">
        <w:rPr>
          <w:rFonts w:cs="Times New Roman"/>
          <w:i/>
        </w:rPr>
        <w:t>s</w:t>
      </w:r>
      <w:r w:rsidRPr="007E512D">
        <w:rPr>
          <w:rFonts w:cs="Times New Roman"/>
          <w:vertAlign w:val="subscript"/>
        </w:rPr>
        <w:t>2</w:t>
      </w:r>
      <w:r w:rsidRPr="007E512D">
        <w:rPr>
          <w:rFonts w:cs="Times New Roman"/>
        </w:rPr>
        <w:t>, respectively) were independent, then the probability of responding to a single dose of the vaccine (and thus receiving partial protection against RVGE) could be estimated from the rate of seroconversion in the two-dose group as follows:</w:t>
      </w:r>
    </w:p>
    <w:p w14:paraId="2E6A0CD3" w14:textId="77777777" w:rsidR="00EB686F" w:rsidRPr="007E512D" w:rsidRDefault="00EB686F" w:rsidP="00EB686F">
      <w:pPr>
        <w:pStyle w:val="MTDisplayEquation"/>
        <w:spacing w:after="120"/>
        <w:rPr>
          <w:rFonts w:ascii="Times New Roman" w:hAnsi="Times New Roman" w:cs="Times New Roman"/>
        </w:rPr>
      </w:pPr>
      <w:r w:rsidRPr="007E512D">
        <w:rPr>
          <w:rFonts w:ascii="Times New Roman" w:hAnsi="Times New Roman" w:cs="Times New Roman"/>
        </w:rPr>
        <w:tab/>
      </w:r>
      <w:r w:rsidRPr="007E512D">
        <w:rPr>
          <w:rFonts w:ascii="Times New Roman" w:hAnsi="Times New Roman" w:cs="Times New Roman"/>
          <w:noProof/>
          <w:position w:val="-12"/>
        </w:rPr>
        <w:drawing>
          <wp:inline distT="0" distB="0" distL="0" distR="0" wp14:anchorId="26B13F08" wp14:editId="78CBE4BA">
            <wp:extent cx="1638300" cy="279400"/>
            <wp:effectExtent l="0" t="0" r="1270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8300" cy="279400"/>
                    </a:xfrm>
                    <a:prstGeom prst="rect">
                      <a:avLst/>
                    </a:prstGeom>
                    <a:noFill/>
                    <a:ln>
                      <a:noFill/>
                    </a:ln>
                  </pic:spPr>
                </pic:pic>
              </a:graphicData>
            </a:graphic>
          </wp:inline>
        </w:drawing>
      </w:r>
    </w:p>
    <w:p w14:paraId="357ABAA4" w14:textId="76321CDA" w:rsidR="00EB686F" w:rsidRPr="007E512D" w:rsidRDefault="00EB686F" w:rsidP="00EB686F">
      <w:pPr>
        <w:rPr>
          <w:rFonts w:cs="Times New Roman"/>
        </w:rPr>
      </w:pPr>
      <w:r w:rsidRPr="007E512D">
        <w:rPr>
          <w:rFonts w:cs="Times New Roman"/>
        </w:rPr>
        <w:t xml:space="preserve">We parameterized uncertainty in the probability of responding to a single dose of the vaccine using a beta distribution with </w:t>
      </w:r>
      <w:r w:rsidRPr="007E512D">
        <w:rPr>
          <w:rFonts w:cs="Times New Roman"/>
          <w:i/>
        </w:rPr>
        <w:sym w:font="Symbol" w:char="F061"/>
      </w:r>
      <w:r w:rsidRPr="007E512D">
        <w:rPr>
          <w:rFonts w:cs="Times New Roman"/>
        </w:rPr>
        <w:t>+</w:t>
      </w:r>
      <w:r w:rsidRPr="007E512D">
        <w:rPr>
          <w:rFonts w:cs="Times New Roman"/>
          <w:i/>
        </w:rPr>
        <w:sym w:font="Symbol" w:char="F062"/>
      </w:r>
      <w:r w:rsidRPr="007E512D">
        <w:rPr>
          <w:rFonts w:cs="Times New Roman"/>
        </w:rPr>
        <w:t xml:space="preserve">=36 individuals, </w:t>
      </w:r>
      <w:r w:rsidR="00FE47A8">
        <w:rPr>
          <w:rFonts w:cs="Times New Roman"/>
        </w:rPr>
        <w:t>that is,</w:t>
      </w:r>
      <w:r w:rsidRPr="007E512D">
        <w:rPr>
          <w:rFonts w:cs="Times New Roman"/>
        </w:rPr>
        <w:t xml:space="preserve"> </w:t>
      </w:r>
      <w:r w:rsidRPr="007E512D">
        <w:rPr>
          <w:rFonts w:cs="Times New Roman"/>
          <w:i/>
        </w:rPr>
        <w:t>s</w:t>
      </w:r>
      <w:r w:rsidRPr="007E512D">
        <w:rPr>
          <w:rFonts w:cs="Times New Roman"/>
          <w:vertAlign w:val="subscript"/>
        </w:rPr>
        <w:t>1</w:t>
      </w:r>
      <w:r w:rsidRPr="007E512D">
        <w:rPr>
          <w:rFonts w:cs="Times New Roman"/>
        </w:rPr>
        <w:t xml:space="preserve">, </w:t>
      </w:r>
      <w:r w:rsidRPr="007E512D">
        <w:rPr>
          <w:rFonts w:cs="Times New Roman"/>
          <w:i/>
        </w:rPr>
        <w:t>s</w:t>
      </w:r>
      <w:r w:rsidRPr="007E512D">
        <w:rPr>
          <w:rFonts w:cs="Times New Roman"/>
          <w:vertAlign w:val="subscript"/>
        </w:rPr>
        <w:t>2</w:t>
      </w:r>
      <w:r w:rsidRPr="007E512D">
        <w:rPr>
          <w:rFonts w:cs="Times New Roman"/>
        </w:rPr>
        <w:t xml:space="preserve"> ~</w:t>
      </w:r>
      <w:r w:rsidRPr="007E512D">
        <w:rPr>
          <w:rFonts w:cs="Times New Roman"/>
          <w:i/>
        </w:rPr>
        <w:t xml:space="preserve"> </w:t>
      </w:r>
      <w:r w:rsidRPr="007E512D">
        <w:rPr>
          <w:rFonts w:cs="Times New Roman"/>
        </w:rPr>
        <w:t xml:space="preserve">Beta(24.7,11.3). </w:t>
      </w:r>
    </w:p>
    <w:p w14:paraId="40570410" w14:textId="77777777" w:rsidR="00EB686F" w:rsidRPr="007E512D" w:rsidRDefault="00EB686F" w:rsidP="00EB686F">
      <w:pPr>
        <w:rPr>
          <w:rFonts w:cs="Times New Roman"/>
        </w:rPr>
      </w:pPr>
    </w:p>
    <w:p w14:paraId="6543B586" w14:textId="7B89D30C" w:rsidR="00EB686F" w:rsidRPr="007E512D" w:rsidRDefault="00EB686F" w:rsidP="00EB686F">
      <w:pPr>
        <w:spacing w:after="120"/>
        <w:rPr>
          <w:rFonts w:cs="Times New Roman"/>
        </w:rPr>
      </w:pPr>
      <w:r w:rsidRPr="007E512D">
        <w:rPr>
          <w:rFonts w:cs="Times New Roman"/>
        </w:rPr>
        <w:t>We assumed the probability of responding to a third dose of the vaccine (</w:t>
      </w:r>
      <w:r w:rsidRPr="007E512D">
        <w:rPr>
          <w:rFonts w:cs="Times New Roman"/>
          <w:i/>
        </w:rPr>
        <w:t>s</w:t>
      </w:r>
      <w:r w:rsidRPr="007E512D">
        <w:rPr>
          <w:rFonts w:cs="Times New Roman"/>
          <w:vertAlign w:val="subscript"/>
        </w:rPr>
        <w:t>3</w:t>
      </w:r>
      <w:r w:rsidRPr="007E512D">
        <w:rPr>
          <w:rFonts w:cs="Times New Roman"/>
        </w:rPr>
        <w:t xml:space="preserve">) at 9 months of age was the same as the probability of responding to previous doses </w:t>
      </w:r>
      <w:r w:rsidR="00FE47A8">
        <w:rPr>
          <w:rFonts w:cs="Times New Roman"/>
        </w:rPr>
        <w:t>(</w:t>
      </w:r>
      <w:r w:rsidRPr="007E512D">
        <w:rPr>
          <w:rFonts w:cs="Times New Roman"/>
          <w:i/>
        </w:rPr>
        <w:t>s</w:t>
      </w:r>
      <w:r w:rsidRPr="007E512D">
        <w:rPr>
          <w:rFonts w:cs="Times New Roman"/>
          <w:vertAlign w:val="subscript"/>
        </w:rPr>
        <w:t>3</w:t>
      </w:r>
      <w:r w:rsidRPr="007E512D">
        <w:rPr>
          <w:rFonts w:cs="Times New Roman"/>
        </w:rPr>
        <w:t>=</w:t>
      </w:r>
      <w:r w:rsidRPr="007E512D">
        <w:rPr>
          <w:rFonts w:cs="Times New Roman"/>
          <w:i/>
        </w:rPr>
        <w:t>s</w:t>
      </w:r>
      <w:r w:rsidRPr="007E512D">
        <w:rPr>
          <w:rFonts w:cs="Times New Roman"/>
          <w:vertAlign w:val="subscript"/>
        </w:rPr>
        <w:t>1</w:t>
      </w:r>
      <w:r w:rsidRPr="007E512D">
        <w:rPr>
          <w:rFonts w:cs="Times New Roman"/>
        </w:rPr>
        <w:t>=</w:t>
      </w:r>
      <w:r w:rsidRPr="007E512D">
        <w:rPr>
          <w:rFonts w:cs="Times New Roman"/>
          <w:i/>
        </w:rPr>
        <w:t>s</w:t>
      </w:r>
      <w:r w:rsidRPr="007E512D">
        <w:rPr>
          <w:rFonts w:cs="Times New Roman"/>
          <w:vertAlign w:val="subscript"/>
        </w:rPr>
        <w:t>2</w:t>
      </w:r>
      <w:r w:rsidRPr="007E512D">
        <w:rPr>
          <w:rFonts w:cs="Times New Roman"/>
        </w:rPr>
        <w:t>). However, note that if we assume that the probability of responding to a third dose at 14 weeks of age (as administered in the Malawi trial) is the same as the probability of responding to the first two doses, the expected proportion of infants who seroconvert to at least two doses in the three-dose arm should be:</w:t>
      </w:r>
    </w:p>
    <w:p w14:paraId="7197BC1B" w14:textId="2BA2C048" w:rsidR="00EB686F" w:rsidRPr="007E512D" w:rsidRDefault="00EB686F" w:rsidP="00EB686F">
      <w:pPr>
        <w:pStyle w:val="MTDisplayEquation"/>
        <w:spacing w:after="120"/>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12"/>
        </w:rPr>
        <w:object w:dxaOrig="2260" w:dyaOrig="400" w14:anchorId="323ED7DC">
          <v:shape id="_x0000_i1038" type="#_x0000_t75" alt="" style="width:113.35pt;height:22.1pt;mso-width-percent:0;mso-height-percent:0;mso-width-percent:0;mso-height-percent:0" o:ole="">
            <v:imagedata r:id="rId76" o:title=""/>
          </v:shape>
          <o:OLEObject Type="Embed" ProgID="Equation.DSMT4" ShapeID="_x0000_i1038" DrawAspect="Content" ObjectID="_1626440139" r:id="rId77"/>
        </w:object>
      </w:r>
      <w:r w:rsidRPr="007E512D">
        <w:rPr>
          <w:rFonts w:ascii="Times New Roman" w:hAnsi="Times New Roman" w:cs="Times New Roman"/>
        </w:rPr>
        <w:t>,</w:t>
      </w:r>
    </w:p>
    <w:p w14:paraId="65183D42"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rPr>
        <w:t>which is significantly greater than the observed proportion who seroconverted in the trial.</w:t>
      </w:r>
    </w:p>
    <w:p w14:paraId="6DF30B14" w14:textId="77777777" w:rsidR="00EB686F" w:rsidRPr="007E512D" w:rsidRDefault="00EB686F" w:rsidP="00EB686F">
      <w:pPr>
        <w:outlineLvl w:val="0"/>
        <w:rPr>
          <w:rFonts w:cs="Times New Roman"/>
          <w:b/>
          <w:i/>
        </w:rPr>
      </w:pPr>
    </w:p>
    <w:p w14:paraId="1FFCF302" w14:textId="77777777" w:rsidR="00EB686F" w:rsidRPr="007E512D" w:rsidRDefault="00EB686F" w:rsidP="00EB686F">
      <w:pPr>
        <w:rPr>
          <w:rFonts w:cs="Times New Roman"/>
          <w:b/>
          <w:i/>
        </w:rPr>
      </w:pPr>
      <w:r w:rsidRPr="007E512D">
        <w:rPr>
          <w:rFonts w:cs="Times New Roman"/>
          <w:b/>
          <w:i/>
        </w:rPr>
        <w:t xml:space="preserve">Heterogeneity in vaccine response. </w:t>
      </w:r>
      <w:r w:rsidRPr="007E512D">
        <w:rPr>
          <w:rFonts w:cs="Times New Roman"/>
        </w:rPr>
        <w:t xml:space="preserve">If instead we assumed that those who fail to respond to the first dose of the vaccine may be less likely to respond to the second dose of the vaccine because there may be some infants who are “non-responders” due factors such as malnutrition, environmental enteropathy or genetic resistance </w:t>
      </w:r>
      <w:r w:rsidRPr="007E512D">
        <w:rPr>
          <w:rFonts w:cs="Times New Roman"/>
        </w:rPr>
        <w:fldChar w:fldCharType="begin" w:fldLock="1"/>
      </w:r>
      <w:r w:rsidRPr="007E512D">
        <w:rPr>
          <w:rFonts w:cs="Times New Roman"/>
        </w:rPr>
        <w:instrText>ADDIN CSL_CITATION {"citationItems":[{"id":"ITEM-1","itemData":{"DOI":"10.1086/605035","ISSN":"1537-6613","PMID":"19817613","abstract":"Rotavirus vaccines hold promise to decrease the burden of severe diarrhea in the poorest countries, where 85% of deaths due to rotavirus occur. However, the potency of live oral vaccines is lower in these challenging settings than in middle- and upper-income countries. Many hypotheses have been suggested to explain these differences that could provide clues to improve the ultimate success of these novel vaccines. Although introduction today of even moderately effective vaccines will decrease the morbidity and mortality associated with rotavirus in low-income settings, research is urgently needed to understand why these differences in efficacy occur and what could be done to improve vaccine performance to maximize the life-saving benefits of vaccination.","author":[{"dropping-particle":"","family":"Patel","given":"Manish M","non-dropping-particle":"","parse-names":false,"suffix":""},{"dropping-particle":"","family":"Shane","given":"Andi L","non-dropping-particle":"","parse-names":false,"suffix":""},{"dropping-particle":"","family":"Parashar","given":"Umesh D","non-dropping-particle":"","parse-names":false,"suffix":""},{"dropping-particle":"","family":"Jiang","given":"Baoming","non-dropping-particle":"","parse-names":false,"suffix":""},{"dropping-particle":"","family":"Gentsch","given":"Jon R","non-dropping-particle":"","parse-names":false,"suffix":""},{"dropping-particle":"","family":"Glass","given":"Roger I","non-dropping-particle":"","parse-names":false,"suffix":""}],"container-title":"The Journal of infectious diseases","id":"ITEM-1","issued":{"date-parts":[["2009","11","1"]]},"page":"S39-48","title":"Oral rotavirus vaccines: how well will they work where they are needed most?","type":"article-journal","volume":"200 Suppl"},"uris":["http://www.mendeley.com/documents/?uuid=312da27c-bf0e-4648-9b30-e5d4b5de07d1"]},{"id":"ITEM-2","itemData":{"DOI":"10.1093/cid/civ873","ISBN":"1537-6591 (Electronic)\r1058-4838 (Linking)","ISSN":"15376591","PMID":"26508510","abstract":"Background. Norovirus and rotavirus are prominent enteric viruses responsible for severe acute gastroenteritis disease burden around the world. Both viruses recognize and bind to histo-blood group antigens, which are expressed by the fucosyltransferase 2 (FUT2) gene. Individuals with a functional FUT2 gene are termed “secretors.” FUT2 polymorphisms may influence viral binding patterns and, therefore, may influence host susceptibility to infection by these viruses.Methods. We performed a systematic review of the published literature on this topic. Data were abstracted and compiled for descriptive analyses and metaanalyses. We estimated pooled odds ratios (ORs) for infection using random-effects models.Results. We found that secretors were 9.9 times (95% confidence interval [CI], 3.9–24.8) as likely to be infected with genogroup II.4 noroviruses and 2.2 times as likely to be infected with genogroup II non-4 noroviruses (95% CI, 1.2–4.2) compared with nonsecretors. Secretors were also 26.6 times more susceptible to infections from P[8]-type rotaviruses compared with nonsecretors (95% CI, 8.3–85.0).Conclusions. Our analyses indicate that host genetic susceptibility to norovirus and rotavirus infection may be strain specific. As strain distribution and the proportion of genetic phenotypes vary in different countries, future studies should focus on differences in susceptibility among various ethnicities. Knowledge of innate susceptibility to rotavirus and norovirus can lead to improved understanding of both vaccine performance and individual risk of disease.","author":[{"dropping-particle":"","family":"Kambhampati","given":"Anita","non-dropping-particle":"","parse-names":false,"suffix":""},{"dropping-particle":"","family":"Payne","given":"Daniel C.","non-dropping-particle":"","parse-names":false,"suffix":""},{"dropping-particle":"","family":"Costantini","given":"Veronica","non-dropping-particle":"","parse-names":false,"suffix":""},{"dropping-particle":"","family":"Lopman","given":"Benjamin A.","non-dropping-particle":"","parse-names":false,"suffix":""}],"container-title":"Clinical Infectious Diseases","id":"ITEM-2","issue":"1","issued":{"date-parts":[["2016"]]},"page":"11-18","title":"Host Genetic Susceptibility to Enteric Viruses: A Systematic Review and Metaanalysis","type":"article-journal","volume":"62"},"uris":["http://www.mendeley.com/documents/?uuid=6ae9e5e5-6d6b-46a9-871e-e4c0b965c25d"]}],"mendeley":{"formattedCitation":"&lt;i&gt;(67, 68)&lt;/i&gt;","plainTextFormattedCitation":"(67, 68)","previouslyFormattedCitation":"&lt;i&gt;(68, 69)&lt;/i&gt;"},"properties":{"noteIndex":0},"schema":"https://github.com/citation-style-language/schema/raw/master/csl-citation.json"}</w:instrText>
      </w:r>
      <w:r w:rsidRPr="007E512D">
        <w:rPr>
          <w:rFonts w:cs="Times New Roman"/>
        </w:rPr>
        <w:fldChar w:fldCharType="separate"/>
      </w:r>
      <w:r w:rsidRPr="007E512D">
        <w:rPr>
          <w:rFonts w:cs="Times New Roman"/>
          <w:i/>
          <w:noProof/>
        </w:rPr>
        <w:t>(67, 68)</w:t>
      </w:r>
      <w:r w:rsidRPr="007E512D">
        <w:rPr>
          <w:rFonts w:cs="Times New Roman"/>
        </w:rPr>
        <w:fldChar w:fldCharType="end"/>
      </w:r>
      <w:r w:rsidRPr="007E512D">
        <w:rPr>
          <w:rFonts w:cs="Times New Roman"/>
        </w:rPr>
        <w:t>, then we could estimate the probability of being a responder (</w:t>
      </w:r>
      <w:r w:rsidRPr="007E512D">
        <w:rPr>
          <w:rFonts w:cs="Times New Roman"/>
          <w:i/>
        </w:rPr>
        <w:t>m</w:t>
      </w:r>
      <w:r w:rsidRPr="007E512D">
        <w:rPr>
          <w:rFonts w:cs="Times New Roman"/>
        </w:rPr>
        <w:t>) versus non-responder (</w:t>
      </w:r>
      <w:r w:rsidRPr="007E512D">
        <w:rPr>
          <w:rFonts w:cs="Times New Roman"/>
          <w:i/>
        </w:rPr>
        <w:t>n=</w:t>
      </w:r>
      <w:r w:rsidRPr="007E512D">
        <w:rPr>
          <w:rFonts w:cs="Times New Roman"/>
        </w:rPr>
        <w:t>1-</w:t>
      </w:r>
      <w:r w:rsidRPr="007E512D">
        <w:rPr>
          <w:rFonts w:cs="Times New Roman"/>
          <w:i/>
        </w:rPr>
        <w:t>m</w:t>
      </w:r>
      <w:r w:rsidRPr="007E512D">
        <w:rPr>
          <w:rFonts w:cs="Times New Roman"/>
        </w:rPr>
        <w:t>) and the probability of responding among responders (</w:t>
      </w:r>
      <w:r w:rsidRPr="007E512D">
        <w:rPr>
          <w:rFonts w:cs="Times New Roman"/>
          <w:i/>
        </w:rPr>
        <w:t>p</w:t>
      </w:r>
      <w:r w:rsidRPr="007E512D">
        <w:rPr>
          <w:rFonts w:cs="Times New Roman"/>
        </w:rPr>
        <w:t>) versus the probability of failing to respond among responders (</w:t>
      </w:r>
      <w:r w:rsidRPr="007E512D">
        <w:rPr>
          <w:rFonts w:cs="Times New Roman"/>
          <w:i/>
        </w:rPr>
        <w:t>q</w:t>
      </w:r>
      <w:r w:rsidRPr="007E512D">
        <w:rPr>
          <w:rFonts w:cs="Times New Roman"/>
        </w:rPr>
        <w:t>=1-</w:t>
      </w:r>
      <w:r w:rsidRPr="007E512D">
        <w:rPr>
          <w:rFonts w:cs="Times New Roman"/>
          <w:i/>
        </w:rPr>
        <w:t>p</w:t>
      </w:r>
      <w:r w:rsidRPr="007E512D">
        <w:rPr>
          <w:rFonts w:cs="Times New Roman"/>
        </w:rPr>
        <w:t>) using the data on the proportion who seroconverted in both the two- and three-dose groups, as follows:</w:t>
      </w:r>
    </w:p>
    <w:p w14:paraId="46034734" w14:textId="77777777" w:rsidR="00EB686F" w:rsidRPr="007E512D" w:rsidRDefault="00EB686F" w:rsidP="00EB686F">
      <w:pPr>
        <w:spacing w:after="120"/>
        <w:jc w:val="center"/>
        <w:rPr>
          <w:rFonts w:cs="Times New Roman"/>
        </w:rPr>
      </w:pPr>
      <w:r w:rsidRPr="007E512D">
        <w:rPr>
          <w:rFonts w:cs="Times New Roman"/>
        </w:rPr>
        <w:t xml:space="preserve">Pr(seroconversion|2 doses) = </w:t>
      </w:r>
      <w:r w:rsidRPr="007E512D">
        <w:rPr>
          <w:rFonts w:cs="Times New Roman"/>
          <w:i/>
        </w:rPr>
        <w:t>p</w:t>
      </w:r>
      <w:r w:rsidRPr="007E512D">
        <w:rPr>
          <w:rFonts w:cs="Times New Roman"/>
          <w:vertAlign w:val="superscript"/>
        </w:rPr>
        <w:t>2</w:t>
      </w:r>
      <w:r w:rsidRPr="007E512D">
        <w:rPr>
          <w:rFonts w:cs="Times New Roman"/>
          <w:i/>
        </w:rPr>
        <w:t xml:space="preserve">m </w:t>
      </w:r>
      <w:r w:rsidRPr="007E512D">
        <w:rPr>
          <w:rFonts w:cs="Times New Roman"/>
        </w:rPr>
        <w:t>= 0.472</w:t>
      </w:r>
    </w:p>
    <w:p w14:paraId="06CF6791" w14:textId="77777777" w:rsidR="00EB686F" w:rsidRPr="007E512D" w:rsidRDefault="00EB686F" w:rsidP="00EB686F">
      <w:pPr>
        <w:spacing w:after="120"/>
        <w:jc w:val="center"/>
        <w:rPr>
          <w:rFonts w:cs="Times New Roman"/>
        </w:rPr>
      </w:pPr>
      <w:r w:rsidRPr="007E512D">
        <w:rPr>
          <w:rFonts w:cs="Times New Roman"/>
        </w:rPr>
        <w:t>Pr(seroconversion|3 doses) = (3</w:t>
      </w:r>
      <w:r w:rsidRPr="007E512D">
        <w:rPr>
          <w:rFonts w:cs="Times New Roman"/>
          <w:i/>
        </w:rPr>
        <w:t>p</w:t>
      </w:r>
      <w:r w:rsidRPr="007E512D">
        <w:rPr>
          <w:rFonts w:cs="Times New Roman"/>
          <w:vertAlign w:val="superscript"/>
        </w:rPr>
        <w:t>2</w:t>
      </w:r>
      <w:r w:rsidRPr="007E512D">
        <w:rPr>
          <w:rFonts w:cs="Times New Roman"/>
          <w:i/>
        </w:rPr>
        <w:t xml:space="preserve">q </w:t>
      </w:r>
      <w:r w:rsidRPr="007E512D">
        <w:rPr>
          <w:rFonts w:cs="Times New Roman"/>
        </w:rPr>
        <w:t xml:space="preserve">+ </w:t>
      </w:r>
      <w:r w:rsidRPr="007E512D">
        <w:rPr>
          <w:rFonts w:cs="Times New Roman"/>
          <w:i/>
        </w:rPr>
        <w:t>p</w:t>
      </w:r>
      <w:r w:rsidRPr="007E512D">
        <w:rPr>
          <w:rFonts w:cs="Times New Roman"/>
          <w:vertAlign w:val="superscript"/>
        </w:rPr>
        <w:t>3</w:t>
      </w:r>
      <w:r w:rsidRPr="007E512D">
        <w:rPr>
          <w:rFonts w:cs="Times New Roman"/>
        </w:rPr>
        <w:t>)</w:t>
      </w:r>
      <w:r w:rsidRPr="007E512D">
        <w:rPr>
          <w:rFonts w:cs="Times New Roman"/>
          <w:i/>
        </w:rPr>
        <w:t>m</w:t>
      </w:r>
      <w:r w:rsidRPr="007E512D">
        <w:rPr>
          <w:rFonts w:cs="Times New Roman"/>
        </w:rPr>
        <w:t xml:space="preserve"> = 0.571</w:t>
      </w:r>
    </w:p>
    <w:p w14:paraId="5DC4D8B3" w14:textId="77777777" w:rsidR="00EB686F" w:rsidRPr="007E512D" w:rsidRDefault="00EB686F" w:rsidP="00EB686F">
      <w:pPr>
        <w:pStyle w:val="MTDisplayEquation"/>
        <w:spacing w:after="120"/>
        <w:rPr>
          <w:rFonts w:ascii="Times New Roman" w:hAnsi="Times New Roman" w:cs="Times New Roman"/>
        </w:rPr>
      </w:pPr>
      <w:r w:rsidRPr="007E512D">
        <w:rPr>
          <w:rFonts w:ascii="Times New Roman" w:hAnsi="Times New Roman" w:cs="Times New Roman"/>
        </w:rPr>
        <w:tab/>
      </w:r>
      <w:r w:rsidRPr="007E512D">
        <w:rPr>
          <w:rFonts w:ascii="Times New Roman" w:hAnsi="Times New Roman" w:cs="Times New Roman"/>
          <w:noProof/>
          <w:position w:val="-28"/>
        </w:rPr>
        <w:drawing>
          <wp:inline distT="0" distB="0" distL="0" distR="0" wp14:anchorId="4112B712" wp14:editId="0605FEFD">
            <wp:extent cx="1727200"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7200" cy="457200"/>
                    </a:xfrm>
                    <a:prstGeom prst="rect">
                      <a:avLst/>
                    </a:prstGeom>
                    <a:noFill/>
                    <a:ln>
                      <a:noFill/>
                    </a:ln>
                  </pic:spPr>
                </pic:pic>
              </a:graphicData>
            </a:graphic>
          </wp:inline>
        </w:drawing>
      </w:r>
    </w:p>
    <w:p w14:paraId="63BA3F9D" w14:textId="77777777" w:rsidR="00EB686F" w:rsidRPr="007E512D" w:rsidRDefault="00EB686F" w:rsidP="00EB686F">
      <w:pPr>
        <w:pStyle w:val="MTDisplayEquation"/>
        <w:spacing w:after="120"/>
        <w:rPr>
          <w:rFonts w:ascii="Times New Roman" w:hAnsi="Times New Roman" w:cs="Times New Roman"/>
        </w:rPr>
      </w:pPr>
      <w:r w:rsidRPr="007E512D">
        <w:rPr>
          <w:rFonts w:ascii="Times New Roman" w:hAnsi="Times New Roman" w:cs="Times New Roman"/>
        </w:rPr>
        <w:tab/>
      </w:r>
      <w:r w:rsidRPr="007E512D">
        <w:rPr>
          <w:rFonts w:ascii="Times New Roman" w:hAnsi="Times New Roman" w:cs="Times New Roman"/>
          <w:noProof/>
          <w:position w:val="-28"/>
        </w:rPr>
        <w:drawing>
          <wp:inline distT="0" distB="0" distL="0" distR="0" wp14:anchorId="2F13F465" wp14:editId="2B93A148">
            <wp:extent cx="1435100" cy="4572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5100" cy="457200"/>
                    </a:xfrm>
                    <a:prstGeom prst="rect">
                      <a:avLst/>
                    </a:prstGeom>
                    <a:noFill/>
                    <a:ln>
                      <a:noFill/>
                    </a:ln>
                  </pic:spPr>
                </pic:pic>
              </a:graphicData>
            </a:graphic>
          </wp:inline>
        </w:drawing>
      </w:r>
    </w:p>
    <w:p w14:paraId="7B275C26" w14:textId="77777777" w:rsidR="00EB686F" w:rsidRPr="007E512D" w:rsidRDefault="00EB686F" w:rsidP="00EB686F">
      <w:pPr>
        <w:pStyle w:val="MTDisplayEquation"/>
        <w:spacing w:after="120"/>
        <w:rPr>
          <w:rFonts w:ascii="Times New Roman" w:hAnsi="Times New Roman" w:cs="Times New Roman"/>
        </w:rPr>
      </w:pPr>
      <w:r w:rsidRPr="007E512D">
        <w:rPr>
          <w:rFonts w:ascii="Times New Roman" w:hAnsi="Times New Roman" w:cs="Times New Roman"/>
        </w:rPr>
        <w:tab/>
      </w:r>
      <w:r w:rsidRPr="007E512D">
        <w:rPr>
          <w:rFonts w:ascii="Times New Roman" w:hAnsi="Times New Roman" w:cs="Times New Roman"/>
          <w:noProof/>
          <w:position w:val="-10"/>
        </w:rPr>
        <w:drawing>
          <wp:inline distT="0" distB="0" distL="0" distR="0" wp14:anchorId="599F11C9" wp14:editId="467A2290">
            <wp:extent cx="812800" cy="190500"/>
            <wp:effectExtent l="0" t="0" r="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2800" cy="190500"/>
                    </a:xfrm>
                    <a:prstGeom prst="rect">
                      <a:avLst/>
                    </a:prstGeom>
                    <a:noFill/>
                    <a:ln>
                      <a:noFill/>
                    </a:ln>
                  </pic:spPr>
                </pic:pic>
              </a:graphicData>
            </a:graphic>
          </wp:inline>
        </w:drawing>
      </w:r>
    </w:p>
    <w:p w14:paraId="30071026" w14:textId="77777777" w:rsidR="00EB686F" w:rsidRPr="007E512D" w:rsidRDefault="00EB686F" w:rsidP="00EB686F">
      <w:pPr>
        <w:pStyle w:val="MTDisplayEquation"/>
        <w:spacing w:after="120"/>
        <w:rPr>
          <w:rFonts w:ascii="Times New Roman" w:hAnsi="Times New Roman" w:cs="Times New Roman"/>
        </w:rPr>
      </w:pPr>
      <w:r w:rsidRPr="007E512D">
        <w:rPr>
          <w:rFonts w:ascii="Times New Roman" w:hAnsi="Times New Roman" w:cs="Times New Roman"/>
        </w:rPr>
        <w:tab/>
      </w:r>
      <w:r w:rsidRPr="007E512D">
        <w:rPr>
          <w:rFonts w:ascii="Times New Roman" w:hAnsi="Times New Roman" w:cs="Times New Roman"/>
          <w:noProof/>
          <w:position w:val="-10"/>
        </w:rPr>
        <w:drawing>
          <wp:inline distT="0" distB="0" distL="0" distR="0" wp14:anchorId="568CC048" wp14:editId="70B97F6B">
            <wp:extent cx="635000" cy="190500"/>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000" cy="190500"/>
                    </a:xfrm>
                    <a:prstGeom prst="rect">
                      <a:avLst/>
                    </a:prstGeom>
                    <a:noFill/>
                    <a:ln>
                      <a:noFill/>
                    </a:ln>
                  </pic:spPr>
                </pic:pic>
              </a:graphicData>
            </a:graphic>
          </wp:inline>
        </w:drawing>
      </w:r>
    </w:p>
    <w:p w14:paraId="1A033C7A" w14:textId="77777777" w:rsidR="00EB686F" w:rsidRPr="007E512D" w:rsidRDefault="00EB686F" w:rsidP="00EB686F">
      <w:pPr>
        <w:pStyle w:val="MTDisplayEquation"/>
        <w:spacing w:after="120"/>
        <w:rPr>
          <w:rFonts w:ascii="Times New Roman" w:hAnsi="Times New Roman" w:cs="Times New Roman"/>
        </w:rPr>
      </w:pPr>
      <w:r w:rsidRPr="007E512D">
        <w:rPr>
          <w:rFonts w:ascii="Times New Roman" w:hAnsi="Times New Roman" w:cs="Times New Roman"/>
        </w:rPr>
        <w:tab/>
      </w:r>
      <w:r w:rsidRPr="007E512D">
        <w:rPr>
          <w:rFonts w:ascii="Times New Roman" w:hAnsi="Times New Roman" w:cs="Times New Roman"/>
          <w:noProof/>
          <w:position w:val="-24"/>
        </w:rPr>
        <w:drawing>
          <wp:inline distT="0" distB="0" distL="0" distR="0" wp14:anchorId="175A0FFA" wp14:editId="7523B712">
            <wp:extent cx="1219200" cy="419100"/>
            <wp:effectExtent l="0" t="0" r="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14:paraId="0933D06B" w14:textId="77777777" w:rsidR="00EB686F" w:rsidRPr="007E512D" w:rsidRDefault="00EB686F" w:rsidP="00EB686F">
      <w:pPr>
        <w:spacing w:after="120"/>
        <w:rPr>
          <w:rFonts w:cs="Times New Roman"/>
        </w:rPr>
      </w:pPr>
      <w:r w:rsidRPr="007E512D">
        <w:rPr>
          <w:rFonts w:cs="Times New Roman"/>
        </w:rPr>
        <w:t>Therefore, the probability of responding to the first dose of the vaccine was equal to the probability of responding among responders times the probability of being a responder:</w:t>
      </w:r>
    </w:p>
    <w:p w14:paraId="23CF3FE9" w14:textId="77777777" w:rsidR="00EB686F" w:rsidRPr="007E512D" w:rsidRDefault="00EB686F" w:rsidP="00EB686F">
      <w:pPr>
        <w:spacing w:after="120"/>
        <w:jc w:val="center"/>
        <w:rPr>
          <w:rFonts w:cs="Times New Roman"/>
        </w:rPr>
      </w:pPr>
      <w:r w:rsidRPr="007E512D">
        <w:rPr>
          <w:rFonts w:cs="Times New Roman"/>
          <w:i/>
        </w:rPr>
        <w:t>s</w:t>
      </w:r>
      <w:r w:rsidRPr="007E512D">
        <w:rPr>
          <w:rFonts w:cs="Times New Roman"/>
          <w:vertAlign w:val="subscript"/>
        </w:rPr>
        <w:t>1</w:t>
      </w:r>
      <w:r w:rsidRPr="007E512D">
        <w:rPr>
          <w:rFonts w:cs="Times New Roman"/>
        </w:rPr>
        <w:t xml:space="preserve"> = </w:t>
      </w:r>
      <w:r w:rsidRPr="007E512D">
        <w:rPr>
          <w:rFonts w:cs="Times New Roman"/>
          <w:i/>
        </w:rPr>
        <w:t>pm</w:t>
      </w:r>
      <w:r w:rsidRPr="007E512D">
        <w:rPr>
          <w:rFonts w:cs="Times New Roman"/>
        </w:rPr>
        <w:t xml:space="preserve"> = 0.527,</w:t>
      </w:r>
    </w:p>
    <w:p w14:paraId="60D39978" w14:textId="77777777" w:rsidR="00EB686F" w:rsidRPr="007E512D" w:rsidRDefault="00EB686F" w:rsidP="00EB686F">
      <w:pPr>
        <w:spacing w:after="120"/>
        <w:rPr>
          <w:rFonts w:cs="Times New Roman"/>
        </w:rPr>
      </w:pPr>
      <w:r w:rsidRPr="007E512D">
        <w:rPr>
          <w:rFonts w:cs="Times New Roman"/>
        </w:rPr>
        <w:t xml:space="preserve">and the probability of responding to the second dose of the vaccine among those who responded to the first dose was simply the probability of responding among responders: </w:t>
      </w:r>
    </w:p>
    <w:p w14:paraId="30B389E7" w14:textId="77777777" w:rsidR="00EB686F" w:rsidRPr="007E512D" w:rsidRDefault="00EB686F" w:rsidP="00EB686F">
      <w:pPr>
        <w:spacing w:after="120"/>
        <w:jc w:val="center"/>
        <w:rPr>
          <w:rFonts w:cs="Times New Roman"/>
        </w:rPr>
      </w:pPr>
      <w:r w:rsidRPr="007E512D">
        <w:rPr>
          <w:rFonts w:cs="Times New Roman"/>
          <w:i/>
        </w:rPr>
        <w:t>s</w:t>
      </w:r>
      <w:r w:rsidRPr="007E512D">
        <w:rPr>
          <w:rFonts w:cs="Times New Roman"/>
          <w:vertAlign w:val="subscript"/>
        </w:rPr>
        <w:t>2</w:t>
      </w:r>
      <w:r w:rsidRPr="007E512D">
        <w:rPr>
          <w:rFonts w:cs="Times New Roman"/>
        </w:rPr>
        <w:t xml:space="preserve"> = </w:t>
      </w:r>
      <w:r w:rsidRPr="007E512D">
        <w:rPr>
          <w:rFonts w:cs="Times New Roman"/>
          <w:i/>
        </w:rPr>
        <w:t>p</w:t>
      </w:r>
      <w:r w:rsidRPr="007E512D">
        <w:rPr>
          <w:rFonts w:cs="Times New Roman"/>
        </w:rPr>
        <w:t xml:space="preserve"> = 0.895.</w:t>
      </w:r>
    </w:p>
    <w:p w14:paraId="72BE3FAD" w14:textId="77777777" w:rsidR="00EB686F" w:rsidRPr="007E512D" w:rsidRDefault="00EB686F" w:rsidP="00EB686F">
      <w:pPr>
        <w:spacing w:after="120"/>
        <w:rPr>
          <w:rFonts w:cs="Times New Roman"/>
        </w:rPr>
      </w:pPr>
      <w:r w:rsidRPr="007E512D">
        <w:rPr>
          <w:rFonts w:cs="Times New Roman"/>
        </w:rPr>
        <w:lastRenderedPageBreak/>
        <w:t>Among those who failed to respond to the first dose of the vaccine, the probability of responding to the second dose of the vaccine (</w:t>
      </w:r>
      <w:r w:rsidRPr="007E512D">
        <w:rPr>
          <w:rFonts w:cs="Times New Roman"/>
          <w:i/>
        </w:rPr>
        <w:t>s</w:t>
      </w:r>
      <w:r w:rsidRPr="007E512D">
        <w:rPr>
          <w:rFonts w:cs="Times New Roman"/>
          <w:vertAlign w:val="subscript"/>
        </w:rPr>
        <w:t>2</w:t>
      </w:r>
      <w:r w:rsidRPr="007E512D">
        <w:rPr>
          <w:rFonts w:cs="Times New Roman"/>
          <w:i/>
          <w:vertAlign w:val="subscript"/>
        </w:rPr>
        <w:t>n</w:t>
      </w:r>
      <w:r w:rsidRPr="007E512D">
        <w:rPr>
          <w:rFonts w:cs="Times New Roman"/>
        </w:rPr>
        <w:t>) was:</w:t>
      </w:r>
    </w:p>
    <w:p w14:paraId="079DCB1C" w14:textId="77777777" w:rsidR="00EB686F" w:rsidRPr="007E512D" w:rsidRDefault="00EB686F" w:rsidP="00EB686F">
      <w:pPr>
        <w:pStyle w:val="MTDisplayEquation"/>
        <w:spacing w:after="120"/>
        <w:jc w:val="center"/>
        <w:rPr>
          <w:rFonts w:ascii="Times New Roman" w:hAnsi="Times New Roman" w:cs="Times New Roman"/>
        </w:rPr>
      </w:pPr>
      <w:r w:rsidRPr="007E512D">
        <w:rPr>
          <w:rFonts w:ascii="Times New Roman" w:hAnsi="Times New Roman" w:cs="Times New Roman"/>
          <w:noProof/>
          <w:position w:val="-28"/>
        </w:rPr>
        <w:drawing>
          <wp:inline distT="0" distB="0" distL="0" distR="0" wp14:anchorId="763311CA" wp14:editId="203E7416">
            <wp:extent cx="4572000" cy="457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457200"/>
                    </a:xfrm>
                    <a:prstGeom prst="rect">
                      <a:avLst/>
                    </a:prstGeom>
                    <a:noFill/>
                    <a:ln>
                      <a:noFill/>
                    </a:ln>
                  </pic:spPr>
                </pic:pic>
              </a:graphicData>
            </a:graphic>
          </wp:inline>
        </w:drawing>
      </w:r>
    </w:p>
    <w:p w14:paraId="4B859D01" w14:textId="77777777" w:rsidR="00EB686F" w:rsidRPr="007E512D" w:rsidRDefault="00EB686F" w:rsidP="00EB686F">
      <w:pPr>
        <w:pStyle w:val="MTDisplayEquation"/>
        <w:spacing w:after="120"/>
        <w:rPr>
          <w:rFonts w:ascii="Times New Roman" w:hAnsi="Times New Roman" w:cs="Times New Roman"/>
          <w:color w:val="0000FF"/>
        </w:rPr>
      </w:pPr>
      <w:r w:rsidRPr="007E512D">
        <w:rPr>
          <w:rFonts w:ascii="Times New Roman" w:hAnsi="Times New Roman" w:cs="Times New Roman"/>
          <w:color w:val="0000FF"/>
        </w:rPr>
        <w:tab/>
      </w:r>
      <w:r w:rsidR="002F3CBE" w:rsidRPr="00A028D9">
        <w:rPr>
          <w:rFonts w:ascii="Times New Roman" w:hAnsi="Times New Roman" w:cs="Times New Roman"/>
          <w:noProof/>
          <w:position w:val="-30"/>
        </w:rPr>
        <w:object w:dxaOrig="3080" w:dyaOrig="720" w14:anchorId="7AA4D6B8">
          <v:shape id="_x0000_i1037" type="#_x0000_t75" alt="" style="width:154pt;height:37.05pt;mso-width-percent:0;mso-height-percent:0;mso-width-percent:0;mso-height-percent:0" o:ole="">
            <v:imagedata r:id="rId84" o:title=""/>
          </v:shape>
          <o:OLEObject Type="Embed" ProgID="Equation.DSMT4" ShapeID="_x0000_i1037" DrawAspect="Content" ObjectID="_1626440140" r:id="rId85"/>
        </w:object>
      </w:r>
      <w:r w:rsidRPr="007E512D">
        <w:rPr>
          <w:rFonts w:ascii="Times New Roman" w:hAnsi="Times New Roman" w:cs="Times New Roman"/>
        </w:rPr>
        <w:t>.</w:t>
      </w:r>
    </w:p>
    <w:p w14:paraId="5FE5132B" w14:textId="77777777" w:rsidR="00EB686F" w:rsidRPr="007E512D" w:rsidRDefault="00EB686F" w:rsidP="00EB686F">
      <w:pPr>
        <w:jc w:val="center"/>
        <w:rPr>
          <w:rFonts w:cs="Times New Roman"/>
        </w:rPr>
      </w:pPr>
    </w:p>
    <w:p w14:paraId="721D305C" w14:textId="77777777" w:rsidR="00EB686F" w:rsidRPr="007E512D" w:rsidRDefault="00EB686F" w:rsidP="00EB686F">
      <w:pPr>
        <w:spacing w:after="120"/>
        <w:rPr>
          <w:rFonts w:cs="Times New Roman"/>
        </w:rPr>
      </w:pPr>
      <w:r w:rsidRPr="007E512D">
        <w:rPr>
          <w:rFonts w:cs="Times New Roman"/>
        </w:rPr>
        <w:t xml:space="preserve">Again, we parameterized uncertainty in the probability of responding to the first and second dose of the vaccine using a beta distribution with </w:t>
      </w:r>
      <w:r w:rsidRPr="007E512D">
        <w:rPr>
          <w:rFonts w:cs="Times New Roman"/>
          <w:i/>
        </w:rPr>
        <w:sym w:font="Symbol" w:char="F061"/>
      </w:r>
      <w:r w:rsidRPr="007E512D">
        <w:rPr>
          <w:rFonts w:cs="Times New Roman"/>
        </w:rPr>
        <w:t>+</w:t>
      </w:r>
      <w:r w:rsidRPr="007E512D">
        <w:rPr>
          <w:rFonts w:cs="Times New Roman"/>
          <w:i/>
        </w:rPr>
        <w:sym w:font="Symbol" w:char="F062"/>
      </w:r>
      <w:r w:rsidRPr="007E512D">
        <w:rPr>
          <w:rFonts w:cs="Times New Roman"/>
        </w:rPr>
        <w:t xml:space="preserve">=36 individuals: </w:t>
      </w:r>
    </w:p>
    <w:p w14:paraId="64D52E29" w14:textId="77777777" w:rsidR="00EB686F" w:rsidRPr="007E512D" w:rsidRDefault="00EB686F" w:rsidP="00EB686F">
      <w:pPr>
        <w:spacing w:after="120"/>
        <w:ind w:firstLine="720"/>
        <w:jc w:val="center"/>
        <w:rPr>
          <w:rFonts w:cs="Times New Roman"/>
        </w:rPr>
      </w:pPr>
      <w:r w:rsidRPr="007E512D">
        <w:rPr>
          <w:rFonts w:cs="Times New Roman"/>
          <w:i/>
        </w:rPr>
        <w:t>s</w:t>
      </w:r>
      <w:r w:rsidRPr="007E512D">
        <w:rPr>
          <w:rFonts w:cs="Times New Roman"/>
          <w:vertAlign w:val="subscript"/>
        </w:rPr>
        <w:t>1</w:t>
      </w:r>
      <w:r w:rsidRPr="007E512D">
        <w:rPr>
          <w:rFonts w:cs="Times New Roman"/>
        </w:rPr>
        <w:t xml:space="preserve"> ~ Beta(19,17),</w:t>
      </w:r>
    </w:p>
    <w:p w14:paraId="6158B4BB" w14:textId="77777777" w:rsidR="00EB686F" w:rsidRPr="007E512D" w:rsidRDefault="00EB686F" w:rsidP="00EB686F">
      <w:pPr>
        <w:spacing w:after="120"/>
        <w:ind w:firstLine="720"/>
        <w:jc w:val="center"/>
        <w:rPr>
          <w:rFonts w:cs="Times New Roman"/>
        </w:rPr>
      </w:pPr>
      <w:r w:rsidRPr="007E512D">
        <w:rPr>
          <w:rFonts w:cs="Times New Roman"/>
          <w:i/>
        </w:rPr>
        <w:t>s</w:t>
      </w:r>
      <w:r w:rsidRPr="007E512D">
        <w:rPr>
          <w:rFonts w:cs="Times New Roman"/>
          <w:vertAlign w:val="subscript"/>
        </w:rPr>
        <w:t>2</w:t>
      </w:r>
      <w:r w:rsidRPr="007E512D">
        <w:rPr>
          <w:rFonts w:cs="Times New Roman"/>
        </w:rPr>
        <w:t xml:space="preserve"> ~ Beta(32.2,3.8).</w:t>
      </w:r>
    </w:p>
    <w:p w14:paraId="231A61F9" w14:textId="77777777" w:rsidR="00EB686F" w:rsidRPr="007E512D" w:rsidRDefault="00EB686F" w:rsidP="00EB686F">
      <w:pPr>
        <w:rPr>
          <w:rFonts w:cs="Times New Roman"/>
        </w:rPr>
      </w:pPr>
    </w:p>
    <w:p w14:paraId="462D407C" w14:textId="77777777" w:rsidR="00EB686F" w:rsidRPr="007E512D" w:rsidRDefault="00EB686F" w:rsidP="00EB686F">
      <w:pPr>
        <w:spacing w:after="120"/>
        <w:rPr>
          <w:rFonts w:cs="Times New Roman"/>
          <w:szCs w:val="22"/>
        </w:rPr>
      </w:pPr>
      <w:r w:rsidRPr="007E512D">
        <w:rPr>
          <w:rFonts w:cs="Times New Roman"/>
        </w:rPr>
        <w:t>We assumed the probability of responding to a third dose of the vaccine (</w:t>
      </w:r>
      <w:r w:rsidRPr="007E512D">
        <w:rPr>
          <w:rFonts w:cs="Times New Roman"/>
          <w:i/>
        </w:rPr>
        <w:t>s</w:t>
      </w:r>
      <w:r w:rsidRPr="007E512D">
        <w:rPr>
          <w:rFonts w:cs="Times New Roman"/>
          <w:vertAlign w:val="subscript"/>
        </w:rPr>
        <w:t>3</w:t>
      </w:r>
      <w:r w:rsidRPr="007E512D">
        <w:rPr>
          <w:rFonts w:cs="Times New Roman"/>
        </w:rPr>
        <w:t>) at 9 months of age was equal to the probability of responding to the second dose among those who responded to at least one previous dose (</w:t>
      </w:r>
      <w:r w:rsidRPr="007E512D">
        <w:rPr>
          <w:rFonts w:cs="Times New Roman"/>
          <w:i/>
        </w:rPr>
        <w:t>s</w:t>
      </w:r>
      <w:r w:rsidRPr="007E512D">
        <w:rPr>
          <w:rFonts w:cs="Times New Roman"/>
          <w:vertAlign w:val="subscript"/>
        </w:rPr>
        <w:t>3</w:t>
      </w:r>
      <w:r w:rsidRPr="007E512D">
        <w:rPr>
          <w:rFonts w:cs="Times New Roman"/>
        </w:rPr>
        <w:t>=</w:t>
      </w:r>
      <w:r w:rsidRPr="007E512D">
        <w:rPr>
          <w:rFonts w:cs="Times New Roman"/>
          <w:i/>
        </w:rPr>
        <w:t>s</w:t>
      </w:r>
      <w:r w:rsidRPr="007E512D">
        <w:rPr>
          <w:rFonts w:cs="Times New Roman"/>
          <w:vertAlign w:val="subscript"/>
        </w:rPr>
        <w:t>2</w:t>
      </w:r>
      <w:r w:rsidRPr="007E512D">
        <w:rPr>
          <w:rFonts w:cs="Times New Roman"/>
        </w:rPr>
        <w:t xml:space="preserve">). Among those who failed to respond to either the first or second dose of the vaccine, we calculated the probability of responding </w:t>
      </w:r>
      <w:r w:rsidRPr="007E512D">
        <w:rPr>
          <w:rFonts w:cs="Times New Roman"/>
          <w:szCs w:val="22"/>
        </w:rPr>
        <w:t>to the third dose to be:</w:t>
      </w:r>
    </w:p>
    <w:p w14:paraId="510FA345" w14:textId="77777777" w:rsidR="00EB686F" w:rsidRPr="007E512D" w:rsidRDefault="00EB686F" w:rsidP="00EB686F">
      <w:pPr>
        <w:pStyle w:val="MTDisplayEquation"/>
        <w:spacing w:after="120"/>
        <w:rPr>
          <w:rFonts w:ascii="Times New Roman" w:hAnsi="Times New Roman" w:cs="Times New Roman"/>
          <w:color w:val="0000FF"/>
          <w:szCs w:val="22"/>
        </w:rPr>
      </w:pPr>
      <w:r w:rsidRPr="007E512D">
        <w:rPr>
          <w:rFonts w:ascii="Times New Roman" w:hAnsi="Times New Roman" w:cs="Times New Roman"/>
          <w:color w:val="0000FF"/>
          <w:szCs w:val="22"/>
        </w:rPr>
        <w:tab/>
      </w:r>
      <w:r w:rsidR="002F3CBE" w:rsidRPr="00A028D9">
        <w:rPr>
          <w:rFonts w:ascii="Times New Roman" w:hAnsi="Times New Roman" w:cs="Times New Roman"/>
          <w:noProof/>
          <w:position w:val="-32"/>
          <w:szCs w:val="22"/>
        </w:rPr>
        <w:object w:dxaOrig="2200" w:dyaOrig="760" w14:anchorId="60939D09">
          <v:shape id="_x0000_i1036" type="#_x0000_t75" alt="" style="width:109.05pt;height:37.05pt;mso-width-percent:0;mso-height-percent:0;mso-width-percent:0;mso-height-percent:0" o:ole="">
            <v:imagedata r:id="rId86" o:title=""/>
          </v:shape>
          <o:OLEObject Type="Embed" ProgID="Equation.DSMT4" ShapeID="_x0000_i1036" DrawAspect="Content" ObjectID="_1626440141" r:id="rId87"/>
        </w:object>
      </w:r>
      <w:r w:rsidRPr="007E512D">
        <w:rPr>
          <w:rFonts w:ascii="Times New Roman" w:hAnsi="Times New Roman" w:cs="Times New Roman"/>
          <w:szCs w:val="22"/>
        </w:rPr>
        <w:t>.</w:t>
      </w:r>
    </w:p>
    <w:p w14:paraId="5FF7802E" w14:textId="77777777" w:rsidR="00EB686F" w:rsidRPr="007E512D" w:rsidRDefault="00EB686F" w:rsidP="00EB686F">
      <w:pPr>
        <w:rPr>
          <w:rFonts w:cs="Times New Roman"/>
          <w:szCs w:val="22"/>
        </w:rPr>
      </w:pPr>
    </w:p>
    <w:p w14:paraId="34FD570D" w14:textId="77777777" w:rsidR="00EB686F" w:rsidRPr="007E512D" w:rsidRDefault="00EB686F" w:rsidP="009A6E73">
      <w:pPr>
        <w:pStyle w:val="SMHeading"/>
      </w:pPr>
      <w:bookmarkStart w:id="2" w:name="_Toc8144397"/>
      <w:r w:rsidRPr="007E512D">
        <w:t>Model fitting</w:t>
      </w:r>
      <w:bookmarkEnd w:id="2"/>
    </w:p>
    <w:p w14:paraId="76016E9A" w14:textId="77777777" w:rsidR="00EB686F" w:rsidRPr="007E512D" w:rsidRDefault="00EB686F" w:rsidP="00EB686F">
      <w:pPr>
        <w:rPr>
          <w:rFonts w:cs="Times New Roman"/>
          <w:b/>
          <w:i/>
          <w:szCs w:val="22"/>
        </w:rPr>
      </w:pPr>
    </w:p>
    <w:p w14:paraId="2FFD04D4" w14:textId="77777777" w:rsidR="00EB686F" w:rsidRPr="007E512D" w:rsidRDefault="00EB686F" w:rsidP="00EB686F">
      <w:pPr>
        <w:spacing w:after="120"/>
        <w:rPr>
          <w:rFonts w:cs="Times New Roman"/>
          <w:szCs w:val="22"/>
        </w:rPr>
      </w:pPr>
      <w:r w:rsidRPr="007E512D">
        <w:rPr>
          <w:rFonts w:cs="Times New Roman"/>
          <w:szCs w:val="22"/>
        </w:rPr>
        <w:t xml:space="preserve">To relate the model-predicted incidence of rotavirus infection in the population (all individuals in Blantyre district) to the observed incidence of RVGE (confirmed cases of RVGE among inpatients and outpatients at Queen Elizabeth Central Hospital [QECH]), we assumed that only a fraction </w:t>
      </w:r>
      <w:r w:rsidRPr="007E512D">
        <w:rPr>
          <w:rFonts w:cs="Times New Roman"/>
          <w:i/>
          <w:szCs w:val="22"/>
        </w:rPr>
        <w:t>h</w:t>
      </w:r>
      <w:r w:rsidRPr="007E512D">
        <w:rPr>
          <w:rFonts w:cs="Times New Roman"/>
          <w:szCs w:val="22"/>
        </w:rPr>
        <w:t xml:space="preserve"> of individuals with moderate-to-severe RVGE in Blantyre would present to QECH, have a stool sample collected, and test positive for rotavirus. Furthermore, we assumed that the observed number of cases of age </w:t>
      </w:r>
      <w:r w:rsidRPr="007E512D">
        <w:rPr>
          <w:rFonts w:cs="Times New Roman"/>
          <w:i/>
          <w:szCs w:val="22"/>
        </w:rPr>
        <w:t>a</w:t>
      </w:r>
      <w:r w:rsidRPr="007E512D">
        <w:rPr>
          <w:rFonts w:cs="Times New Roman"/>
          <w:szCs w:val="22"/>
        </w:rPr>
        <w:t xml:space="preserve"> in week </w:t>
      </w:r>
      <w:r w:rsidRPr="007E512D">
        <w:rPr>
          <w:rFonts w:cs="Times New Roman"/>
          <w:i/>
          <w:szCs w:val="22"/>
        </w:rPr>
        <w:t>t</w:t>
      </w:r>
      <w:r w:rsidRPr="007E512D">
        <w:rPr>
          <w:rFonts w:cs="Times New Roman"/>
          <w:szCs w:val="22"/>
        </w:rPr>
        <w:t xml:space="preserve"> (denoted </w:t>
      </w:r>
      <w:r w:rsidRPr="007E512D">
        <w:rPr>
          <w:rFonts w:cs="Times New Roman"/>
          <w:i/>
          <w:szCs w:val="22"/>
        </w:rPr>
        <w:t>Y</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was Poisson distributed with a mean equal to the age-specific number of model-predicted incident cases of moderate-to-severe RVGE in week </w:t>
      </w:r>
      <w:r w:rsidRPr="007E512D">
        <w:rPr>
          <w:rFonts w:cs="Times New Roman"/>
          <w:i/>
          <w:szCs w:val="22"/>
        </w:rPr>
        <w:t>t</w:t>
      </w:r>
      <w:r w:rsidRPr="007E512D">
        <w:rPr>
          <w:rFonts w:cs="Times New Roman"/>
          <w:szCs w:val="22"/>
        </w:rPr>
        <w:t xml:space="preserve">, </w:t>
      </w:r>
      <w:r w:rsidRPr="007E512D">
        <w:rPr>
          <w:rFonts w:cs="Times New Roman"/>
          <w:i/>
          <w:szCs w:val="22"/>
        </w:rPr>
        <w:t>D</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times the estimated mean reporting fraction, </w:t>
      </w:r>
      <w:r w:rsidRPr="007E512D">
        <w:rPr>
          <w:rFonts w:cs="Times New Roman"/>
          <w:i/>
          <w:szCs w:val="22"/>
        </w:rPr>
        <w:t>h</w:t>
      </w:r>
      <w:r w:rsidRPr="007E512D">
        <w:rPr>
          <w:rFonts w:cs="Times New Roman"/>
          <w:szCs w:val="22"/>
        </w:rPr>
        <w:t>,</w:t>
      </w:r>
      <w:r w:rsidRPr="007E512D">
        <w:rPr>
          <w:rFonts w:cs="Times New Roman"/>
          <w:i/>
          <w:szCs w:val="22"/>
        </w:rPr>
        <w:t xml:space="preserve"> </w:t>
      </w:r>
      <w:r w:rsidRPr="007E512D">
        <w:rPr>
          <w:rFonts w:cs="Times New Roman"/>
          <w:szCs w:val="22"/>
        </w:rPr>
        <w:t xml:space="preserve">and the relative reporting effort, </w:t>
      </w:r>
      <w:r w:rsidRPr="007E512D">
        <w:rPr>
          <w:rFonts w:cs="Times New Roman"/>
          <w:i/>
          <w:szCs w:val="22"/>
        </w:rPr>
        <w:t>z</w:t>
      </w:r>
      <w:r w:rsidRPr="007E512D">
        <w:rPr>
          <w:rFonts w:cs="Times New Roman"/>
          <w:szCs w:val="22"/>
        </w:rPr>
        <w:t>(</w:t>
      </w:r>
      <w:r w:rsidRPr="007E512D">
        <w:rPr>
          <w:rFonts w:cs="Times New Roman"/>
          <w:i/>
          <w:szCs w:val="22"/>
        </w:rPr>
        <w:t>t</w:t>
      </w:r>
      <w:r w:rsidRPr="007E512D">
        <w:rPr>
          <w:rFonts w:cs="Times New Roman"/>
          <w:szCs w:val="22"/>
        </w:rPr>
        <w:t>):</w:t>
      </w:r>
    </w:p>
    <w:p w14:paraId="18AF0EA9" w14:textId="77777777" w:rsidR="00EB686F" w:rsidRPr="007E512D" w:rsidRDefault="00EB686F" w:rsidP="00EB686F">
      <w:pPr>
        <w:pStyle w:val="MTDisplayEquation"/>
        <w:spacing w:line="360" w:lineRule="auto"/>
        <w:rPr>
          <w:rFonts w:ascii="Times New Roman" w:hAnsi="Times New Roman" w:cs="Times New Roman"/>
        </w:rPr>
      </w:pPr>
      <w:r w:rsidRPr="007E512D">
        <w:rPr>
          <w:rFonts w:ascii="Times New Roman" w:hAnsi="Times New Roman" w:cs="Times New Roman"/>
          <w:szCs w:val="22"/>
        </w:rPr>
        <w:tab/>
      </w:r>
      <w:r w:rsidR="002F3CBE" w:rsidRPr="00A028D9">
        <w:rPr>
          <w:rFonts w:ascii="Times New Roman" w:hAnsi="Times New Roman" w:cs="Times New Roman"/>
          <w:noProof/>
          <w:position w:val="-16"/>
        </w:rPr>
        <w:object w:dxaOrig="2700" w:dyaOrig="440" w14:anchorId="1A85FCE0">
          <v:shape id="_x0000_i1035" type="#_x0000_t75" alt="" style="width:136.15pt;height:22.1pt;mso-width-percent:0;mso-height-percent:0;mso-width-percent:0;mso-height-percent:0" o:ole="">
            <v:imagedata r:id="rId88" o:title=""/>
          </v:shape>
          <o:OLEObject Type="Embed" ProgID="Equation.DSMT4" ShapeID="_x0000_i1035" DrawAspect="Content" ObjectID="_1626440142" r:id="rId89"/>
        </w:object>
      </w:r>
      <w:r w:rsidRPr="007E512D">
        <w:rPr>
          <w:rFonts w:ascii="Times New Roman" w:hAnsi="Times New Roman" w:cs="Times New Roman"/>
        </w:rPr>
        <w:t>,</w:t>
      </w:r>
    </w:p>
    <w:p w14:paraId="76063213" w14:textId="69CA4F6D" w:rsidR="002558FA" w:rsidRDefault="00EB686F" w:rsidP="00EB686F">
      <w:pPr>
        <w:spacing w:after="120"/>
        <w:rPr>
          <w:rFonts w:cs="Times New Roman"/>
          <w:szCs w:val="22"/>
        </w:rPr>
      </w:pPr>
      <w:r w:rsidRPr="007E512D">
        <w:rPr>
          <w:rFonts w:cs="Times New Roman"/>
          <w:szCs w:val="22"/>
        </w:rPr>
        <w:t>where the number of new cases of moderate-to-severe RVGE in each time step is given by:</w:t>
      </w:r>
    </w:p>
    <w:p w14:paraId="3133DFF2" w14:textId="5B4C8B70" w:rsidR="00EB686F" w:rsidRPr="002558FA" w:rsidRDefault="002558FA" w:rsidP="002558FA">
      <w:pPr>
        <w:spacing w:after="120"/>
        <w:jc w:val="center"/>
        <w:rPr>
          <w:rFonts w:cs="Times New Roman"/>
          <w:szCs w:val="22"/>
          <w:vertAlign w:val="subscript"/>
        </w:rPr>
      </w:pPr>
      <w:r>
        <w:rPr>
          <w:rFonts w:cs="Times New Roman"/>
          <w:i/>
          <w:szCs w:val="22"/>
        </w:rPr>
        <w:t>D</w:t>
      </w:r>
      <w:r>
        <w:rPr>
          <w:rFonts w:cs="Times New Roman"/>
          <w:i/>
          <w:szCs w:val="22"/>
          <w:vertAlign w:val="subscript"/>
        </w:rPr>
        <w:t>a</w:t>
      </w:r>
      <w:r>
        <w:rPr>
          <w:rFonts w:cs="Times New Roman"/>
          <w:szCs w:val="22"/>
        </w:rPr>
        <w:t>(</w:t>
      </w:r>
      <w:r>
        <w:rPr>
          <w:rFonts w:cs="Times New Roman"/>
          <w:i/>
          <w:szCs w:val="22"/>
        </w:rPr>
        <w:t>t</w:t>
      </w:r>
      <w:r>
        <w:rPr>
          <w:rFonts w:cs="Times New Roman"/>
          <w:szCs w:val="22"/>
        </w:rPr>
        <w:t xml:space="preserve">) = </w:t>
      </w:r>
      <w:r>
        <w:rPr>
          <w:rFonts w:cs="Times New Roman"/>
          <w:i/>
          <w:szCs w:val="22"/>
        </w:rPr>
        <w:t>d</w:t>
      </w:r>
      <w:r>
        <w:rPr>
          <w:rFonts w:cs="Times New Roman"/>
          <w:szCs w:val="22"/>
          <w:vertAlign w:val="subscript"/>
        </w:rPr>
        <w:t xml:space="preserve">1 </w:t>
      </w:r>
      <w:r>
        <w:rPr>
          <w:rFonts w:cs="Times New Roman"/>
          <w:i/>
          <w:szCs w:val="22"/>
        </w:rPr>
        <w:sym w:font="Symbol" w:char="F06C"/>
      </w:r>
      <w:r>
        <w:rPr>
          <w:rFonts w:cs="Times New Roman"/>
          <w:i/>
          <w:szCs w:val="22"/>
          <w:vertAlign w:val="subscript"/>
        </w:rPr>
        <w:t>a</w:t>
      </w:r>
      <w:r>
        <w:rPr>
          <w:rFonts w:cs="Times New Roman"/>
          <w:szCs w:val="22"/>
        </w:rPr>
        <w:t>(</w:t>
      </w:r>
      <w:r>
        <w:rPr>
          <w:rFonts w:cs="Times New Roman"/>
          <w:i/>
          <w:szCs w:val="22"/>
        </w:rPr>
        <w:t>t</w:t>
      </w:r>
      <w:r>
        <w:rPr>
          <w:rFonts w:cs="Times New Roman"/>
          <w:szCs w:val="22"/>
        </w:rPr>
        <w:t xml:space="preserve">) </w:t>
      </w:r>
      <w:r>
        <w:rPr>
          <w:rFonts w:cs="Times New Roman"/>
          <w:i/>
          <w:szCs w:val="22"/>
        </w:rPr>
        <w:t>S</w:t>
      </w:r>
      <w:r>
        <w:rPr>
          <w:rFonts w:cs="Times New Roman"/>
          <w:szCs w:val="22"/>
          <w:vertAlign w:val="subscript"/>
        </w:rPr>
        <w:t>0,</w:t>
      </w:r>
      <w:r>
        <w:rPr>
          <w:rFonts w:cs="Times New Roman"/>
          <w:i/>
          <w:szCs w:val="22"/>
          <w:vertAlign w:val="subscript"/>
        </w:rPr>
        <w:t>a</w:t>
      </w:r>
      <w:r>
        <w:rPr>
          <w:rFonts w:cs="Times New Roman"/>
          <w:szCs w:val="22"/>
        </w:rPr>
        <w:t>(</w:t>
      </w:r>
      <w:r>
        <w:rPr>
          <w:rFonts w:cs="Times New Roman"/>
          <w:i/>
          <w:szCs w:val="22"/>
        </w:rPr>
        <w:t>t</w:t>
      </w:r>
      <w:r>
        <w:rPr>
          <w:rFonts w:cs="Times New Roman"/>
          <w:szCs w:val="22"/>
        </w:rPr>
        <w:t xml:space="preserve">) + </w:t>
      </w:r>
      <w:r>
        <w:rPr>
          <w:rFonts w:cs="Times New Roman"/>
          <w:i/>
          <w:szCs w:val="22"/>
        </w:rPr>
        <w:t>d</w:t>
      </w:r>
      <w:r>
        <w:rPr>
          <w:rFonts w:cs="Times New Roman"/>
          <w:szCs w:val="22"/>
          <w:vertAlign w:val="subscript"/>
        </w:rPr>
        <w:t xml:space="preserve">2 </w:t>
      </w:r>
      <w:r>
        <w:rPr>
          <w:rFonts w:cs="Times New Roman"/>
          <w:i/>
          <w:szCs w:val="22"/>
        </w:rPr>
        <w:sym w:font="Symbol" w:char="F073"/>
      </w:r>
      <w:r>
        <w:rPr>
          <w:rFonts w:cs="Times New Roman"/>
          <w:szCs w:val="22"/>
          <w:vertAlign w:val="subscript"/>
        </w:rPr>
        <w:t xml:space="preserve">1 </w:t>
      </w:r>
      <w:r>
        <w:rPr>
          <w:rFonts w:cs="Times New Roman"/>
          <w:i/>
          <w:szCs w:val="22"/>
        </w:rPr>
        <w:sym w:font="Symbol" w:char="F06C"/>
      </w:r>
      <w:r>
        <w:rPr>
          <w:rFonts w:cs="Times New Roman"/>
          <w:i/>
          <w:szCs w:val="22"/>
          <w:vertAlign w:val="subscript"/>
        </w:rPr>
        <w:t>a</w:t>
      </w:r>
      <w:r>
        <w:rPr>
          <w:rFonts w:cs="Times New Roman"/>
          <w:szCs w:val="22"/>
        </w:rPr>
        <w:t>(</w:t>
      </w:r>
      <w:r>
        <w:rPr>
          <w:rFonts w:cs="Times New Roman"/>
          <w:i/>
          <w:szCs w:val="22"/>
        </w:rPr>
        <w:t>t</w:t>
      </w:r>
      <w:r>
        <w:rPr>
          <w:rFonts w:cs="Times New Roman"/>
          <w:szCs w:val="22"/>
        </w:rPr>
        <w:t xml:space="preserve">) </w:t>
      </w:r>
      <w:r>
        <w:rPr>
          <w:rFonts w:cs="Times New Roman"/>
          <w:i/>
          <w:szCs w:val="22"/>
        </w:rPr>
        <w:t>S</w:t>
      </w:r>
      <w:r>
        <w:rPr>
          <w:rFonts w:cs="Times New Roman"/>
          <w:szCs w:val="22"/>
          <w:vertAlign w:val="subscript"/>
        </w:rPr>
        <w:t>1,</w:t>
      </w:r>
      <w:r>
        <w:rPr>
          <w:rFonts w:cs="Times New Roman"/>
          <w:i/>
          <w:szCs w:val="22"/>
          <w:vertAlign w:val="subscript"/>
        </w:rPr>
        <w:t>a</w:t>
      </w:r>
      <w:r>
        <w:rPr>
          <w:rFonts w:cs="Times New Roman"/>
          <w:szCs w:val="22"/>
        </w:rPr>
        <w:t>(</w:t>
      </w:r>
      <w:r>
        <w:rPr>
          <w:rFonts w:cs="Times New Roman"/>
          <w:i/>
          <w:szCs w:val="22"/>
        </w:rPr>
        <w:t>t</w:t>
      </w:r>
      <w:r>
        <w:rPr>
          <w:rFonts w:cs="Times New Roman"/>
          <w:szCs w:val="22"/>
        </w:rPr>
        <w:t xml:space="preserve">). </w:t>
      </w:r>
      <w:r>
        <w:rPr>
          <w:rFonts w:cs="Times New Roman"/>
          <w:szCs w:val="22"/>
          <w:vertAlign w:val="subscript"/>
        </w:rPr>
        <w:t xml:space="preserve"> </w:t>
      </w:r>
    </w:p>
    <w:p w14:paraId="2E232686" w14:textId="77777777" w:rsidR="00EB686F" w:rsidRPr="007E512D" w:rsidRDefault="00EB686F" w:rsidP="00EB686F">
      <w:pPr>
        <w:rPr>
          <w:rFonts w:cs="Times New Roman"/>
          <w:szCs w:val="22"/>
        </w:rPr>
      </w:pPr>
    </w:p>
    <w:p w14:paraId="1589B3D4" w14:textId="550D72E0" w:rsidR="00EB686F" w:rsidRPr="007E512D" w:rsidRDefault="00EB686F" w:rsidP="00EB686F">
      <w:pPr>
        <w:rPr>
          <w:rFonts w:cs="Times New Roman"/>
          <w:szCs w:val="22"/>
        </w:rPr>
      </w:pPr>
      <w:r w:rsidRPr="007E512D">
        <w:rPr>
          <w:rFonts w:cs="Times New Roman"/>
          <w:szCs w:val="22"/>
        </w:rPr>
        <w:t>As the rotavirus testing effort varied through time, we allowed the reporting to vary proportional to the 2-year (105-week) moving average of the number of rotavirus-negative cases at QECH (</w:t>
      </w:r>
      <w:r w:rsidR="00AE09DE">
        <w:rPr>
          <w:rFonts w:cs="Times New Roman"/>
          <w:b/>
          <w:szCs w:val="22"/>
        </w:rPr>
        <w:t>fig.</w:t>
      </w:r>
      <w:r w:rsidR="00AE09DE" w:rsidRPr="007E512D">
        <w:rPr>
          <w:rFonts w:cs="Times New Roman"/>
          <w:b/>
          <w:szCs w:val="22"/>
        </w:rPr>
        <w:t xml:space="preserve"> </w:t>
      </w:r>
      <w:r w:rsidR="00AA5E6E" w:rsidRPr="007E512D">
        <w:rPr>
          <w:rFonts w:cs="Times New Roman"/>
          <w:b/>
          <w:szCs w:val="22"/>
        </w:rPr>
        <w:t>S</w:t>
      </w:r>
      <w:r w:rsidR="00AA5E6E">
        <w:rPr>
          <w:rFonts w:cs="Times New Roman"/>
          <w:b/>
          <w:szCs w:val="22"/>
        </w:rPr>
        <w:t>12</w:t>
      </w:r>
      <w:r w:rsidRPr="007E512D">
        <w:rPr>
          <w:rFonts w:cs="Times New Roman"/>
          <w:szCs w:val="22"/>
        </w:rPr>
        <w:t xml:space="preserve">). We calculated the relative reporting effort, </w:t>
      </w:r>
      <w:r w:rsidRPr="007E512D">
        <w:rPr>
          <w:rFonts w:cs="Times New Roman"/>
          <w:i/>
          <w:szCs w:val="22"/>
        </w:rPr>
        <w:t>z</w:t>
      </w:r>
      <w:r w:rsidRPr="007E512D">
        <w:rPr>
          <w:rFonts w:cs="Times New Roman"/>
          <w:szCs w:val="22"/>
        </w:rPr>
        <w:t>(</w:t>
      </w:r>
      <w:r w:rsidRPr="007E512D">
        <w:rPr>
          <w:rFonts w:cs="Times New Roman"/>
          <w:i/>
          <w:szCs w:val="22"/>
        </w:rPr>
        <w:t>t</w:t>
      </w:r>
      <w:r w:rsidRPr="007E512D">
        <w:rPr>
          <w:rFonts w:cs="Times New Roman"/>
          <w:szCs w:val="22"/>
        </w:rPr>
        <w:t xml:space="preserve">), by dividing the moving average of the number of rotavirus-negative cases each week by the mean number of rotavirus-negative cases over the entire fitting period (such </w:t>
      </w:r>
      <w:r w:rsidR="00013258">
        <w:rPr>
          <w:rFonts w:cs="Times New Roman"/>
          <w:szCs w:val="22"/>
        </w:rPr>
        <w:t>th</w:t>
      </w:r>
      <w:r w:rsidRPr="007E512D">
        <w:rPr>
          <w:rFonts w:cs="Times New Roman"/>
          <w:szCs w:val="22"/>
        </w:rPr>
        <w:t xml:space="preserve">at the mean of </w:t>
      </w:r>
      <w:r w:rsidRPr="007E512D">
        <w:rPr>
          <w:rFonts w:cs="Times New Roman"/>
          <w:i/>
          <w:szCs w:val="22"/>
        </w:rPr>
        <w:t>z</w:t>
      </w:r>
      <w:r w:rsidRPr="007E512D">
        <w:rPr>
          <w:rFonts w:cs="Times New Roman"/>
          <w:szCs w:val="22"/>
        </w:rPr>
        <w:t>(</w:t>
      </w:r>
      <w:r w:rsidRPr="007E512D">
        <w:rPr>
          <w:rFonts w:cs="Times New Roman"/>
          <w:i/>
          <w:szCs w:val="22"/>
        </w:rPr>
        <w:t>t</w:t>
      </w:r>
      <w:r w:rsidRPr="007E512D">
        <w:rPr>
          <w:rFonts w:cs="Times New Roman"/>
          <w:szCs w:val="22"/>
        </w:rPr>
        <w:t xml:space="preserve">) is equal to 1), and estimated the mean reporting fraction </w:t>
      </w:r>
      <w:r w:rsidRPr="007E512D">
        <w:rPr>
          <w:rFonts w:cs="Times New Roman"/>
          <w:i/>
          <w:szCs w:val="22"/>
        </w:rPr>
        <w:t xml:space="preserve">h </w:t>
      </w:r>
      <w:r w:rsidRPr="007E512D">
        <w:rPr>
          <w:rFonts w:cs="Times New Roman"/>
          <w:szCs w:val="22"/>
        </w:rPr>
        <w:t xml:space="preserve">for the entire pre-vaccination time period between July 1997 and December 2009. Note that the product </w:t>
      </w:r>
      <w:r w:rsidRPr="007E512D">
        <w:rPr>
          <w:rFonts w:cs="Times New Roman"/>
          <w:i/>
          <w:szCs w:val="22"/>
        </w:rPr>
        <w:t>z</w:t>
      </w:r>
      <w:r w:rsidRPr="007E512D">
        <w:rPr>
          <w:rFonts w:cs="Times New Roman"/>
          <w:szCs w:val="22"/>
        </w:rPr>
        <w:t>(</w:t>
      </w:r>
      <w:r w:rsidRPr="007E512D">
        <w:rPr>
          <w:rFonts w:cs="Times New Roman"/>
          <w:i/>
          <w:szCs w:val="22"/>
        </w:rPr>
        <w:t>t</w:t>
      </w:r>
      <w:r w:rsidRPr="007E512D">
        <w:rPr>
          <w:rFonts w:cs="Times New Roman"/>
          <w:szCs w:val="22"/>
        </w:rPr>
        <w:t>)*</w:t>
      </w:r>
      <w:r w:rsidRPr="007E512D">
        <w:rPr>
          <w:rFonts w:cs="Times New Roman"/>
          <w:i/>
          <w:szCs w:val="22"/>
        </w:rPr>
        <w:t>h</w:t>
      </w:r>
      <w:r w:rsidRPr="007E512D">
        <w:rPr>
          <w:rFonts w:cs="Times New Roman"/>
          <w:szCs w:val="22"/>
        </w:rPr>
        <w:t xml:space="preserve"> implicitly </w:t>
      </w:r>
      <w:r w:rsidRPr="007E512D">
        <w:rPr>
          <w:rFonts w:cs="Times New Roman"/>
          <w:szCs w:val="22"/>
        </w:rPr>
        <w:lastRenderedPageBreak/>
        <w:t xml:space="preserve">controls for variation in healthcare-seeking behavior among the population of Blantyre, as well as variation in testing effort associated with hospital and study staffing issues. </w:t>
      </w:r>
    </w:p>
    <w:p w14:paraId="5EC49AFD" w14:textId="77777777" w:rsidR="00EB686F" w:rsidRPr="007E512D" w:rsidRDefault="00EB686F" w:rsidP="00EB686F">
      <w:pPr>
        <w:rPr>
          <w:rFonts w:cs="Times New Roman"/>
          <w:szCs w:val="22"/>
        </w:rPr>
      </w:pPr>
    </w:p>
    <w:p w14:paraId="1A189E00" w14:textId="160E8BB6" w:rsidR="00EB686F" w:rsidRPr="007E512D" w:rsidRDefault="00EB686F" w:rsidP="00EB686F">
      <w:pPr>
        <w:rPr>
          <w:rFonts w:cs="Times New Roman"/>
          <w:szCs w:val="22"/>
        </w:rPr>
      </w:pPr>
      <w:r w:rsidRPr="007E512D">
        <w:rPr>
          <w:rFonts w:cs="Times New Roman"/>
          <w:szCs w:val="22"/>
        </w:rPr>
        <w:t>We initially fitted the model to the pre-vaccination incidence of RVGE cases between 1997 and 2009 via maximum a posteriori (MAP) estimation, and used these estimates as starting conditions for Markov chain Monte Carlo (MCMC) sampling of parameter posterior distributions. We ran two chains with 11,000 iterations each, and discarded the first 1,000 iterations. In total, we estimated four parameters, including the mean transmission rate (</w:t>
      </w:r>
      <w:r w:rsidRPr="007E512D">
        <w:rPr>
          <w:rFonts w:cs="Times New Roman"/>
          <w:i/>
          <w:szCs w:val="22"/>
        </w:rPr>
        <w:sym w:font="Symbol" w:char="F062"/>
      </w:r>
      <w:r w:rsidRPr="007E512D">
        <w:rPr>
          <w:rFonts w:cs="Times New Roman"/>
          <w:szCs w:val="22"/>
          <w:vertAlign w:val="subscript"/>
        </w:rPr>
        <w:t>0</w:t>
      </w:r>
      <w:r w:rsidRPr="007E512D">
        <w:rPr>
          <w:rFonts w:cs="Times New Roman"/>
          <w:szCs w:val="22"/>
        </w:rPr>
        <w:t>), seasonal amplitude (</w:t>
      </w:r>
      <w:r w:rsidRPr="007E512D">
        <w:rPr>
          <w:rFonts w:cs="Times New Roman"/>
          <w:i/>
          <w:szCs w:val="22"/>
        </w:rPr>
        <w:t>b</w:t>
      </w:r>
      <w:r w:rsidRPr="007E512D">
        <w:rPr>
          <w:rFonts w:cs="Times New Roman"/>
          <w:szCs w:val="22"/>
        </w:rPr>
        <w:t>), and seasonal offset (</w:t>
      </w:r>
      <w:r w:rsidRPr="007E512D">
        <w:rPr>
          <w:rFonts w:cs="Times New Roman"/>
          <w:i/>
          <w:szCs w:val="22"/>
        </w:rPr>
        <w:sym w:font="Symbol" w:char="F066"/>
      </w:r>
      <w:r w:rsidRPr="007E512D">
        <w:rPr>
          <w:rFonts w:cs="Times New Roman"/>
          <w:szCs w:val="22"/>
        </w:rPr>
        <w:t>), and mean reporting fraction (</w:t>
      </w:r>
      <w:r w:rsidRPr="007E512D">
        <w:rPr>
          <w:rFonts w:cs="Times New Roman"/>
          <w:i/>
          <w:szCs w:val="22"/>
        </w:rPr>
        <w:t>h</w:t>
      </w:r>
      <w:r w:rsidRPr="007E512D">
        <w:rPr>
          <w:rFonts w:cs="Times New Roman"/>
          <w:szCs w:val="22"/>
        </w:rPr>
        <w:t xml:space="preserve">). We assumed uniform prior distributions for all model parameters. </w:t>
      </w:r>
      <w:r w:rsidR="00896F22" w:rsidRPr="007E512D">
        <w:rPr>
          <w:rFonts w:cs="Times New Roman"/>
          <w:szCs w:val="22"/>
        </w:rPr>
        <w:t xml:space="preserve">The prior and posterior distributions of the estimated model parameters are shown in </w:t>
      </w:r>
      <w:r w:rsidR="00896F22" w:rsidRPr="00AA5E6E">
        <w:rPr>
          <w:rFonts w:cs="Times New Roman"/>
          <w:b/>
          <w:szCs w:val="22"/>
        </w:rPr>
        <w:t>fig. S</w:t>
      </w:r>
      <w:r w:rsidR="00AA5E6E" w:rsidRPr="00AA5E6E">
        <w:rPr>
          <w:rFonts w:cs="Times New Roman"/>
          <w:b/>
          <w:szCs w:val="22"/>
        </w:rPr>
        <w:t>13</w:t>
      </w:r>
      <w:r w:rsidR="00896F22" w:rsidRPr="007E512D">
        <w:rPr>
          <w:rFonts w:cs="Times New Roman"/>
          <w:szCs w:val="22"/>
        </w:rPr>
        <w:t xml:space="preserve">. </w:t>
      </w:r>
    </w:p>
    <w:p w14:paraId="14BDF1D6" w14:textId="7AECC4E7" w:rsidR="00EB686F" w:rsidRPr="007E512D" w:rsidRDefault="00EB686F" w:rsidP="00EB686F">
      <w:pPr>
        <w:rPr>
          <w:rFonts w:cs="Times New Roman"/>
          <w:b/>
        </w:rPr>
      </w:pPr>
    </w:p>
    <w:p w14:paraId="55F36240" w14:textId="77777777" w:rsidR="00EB686F" w:rsidRPr="007E512D" w:rsidRDefault="00EB686F" w:rsidP="00EB686F">
      <w:pPr>
        <w:pStyle w:val="SMHeading"/>
      </w:pPr>
      <w:bookmarkStart w:id="3" w:name="_Toc8144398"/>
      <w:r w:rsidRPr="007E512D">
        <w:t>Estimating the duration of vaccine protection for the waning immunity model</w:t>
      </w:r>
      <w:bookmarkEnd w:id="3"/>
    </w:p>
    <w:p w14:paraId="750D2456" w14:textId="77777777" w:rsidR="00EB686F" w:rsidRPr="007E512D" w:rsidRDefault="00EB686F" w:rsidP="00EB686F">
      <w:pPr>
        <w:rPr>
          <w:rFonts w:cs="Times New Roman"/>
          <w:b/>
          <w:szCs w:val="22"/>
        </w:rPr>
      </w:pPr>
    </w:p>
    <w:p w14:paraId="1437F773" w14:textId="212C2003" w:rsidR="00EB686F" w:rsidRPr="007E512D" w:rsidRDefault="00EB686F" w:rsidP="00EB686F">
      <w:pPr>
        <w:rPr>
          <w:rFonts w:cs="Times New Roman"/>
        </w:rPr>
      </w:pPr>
      <w:r w:rsidRPr="007E512D">
        <w:rPr>
          <w:rFonts w:cs="Times New Roman"/>
          <w:szCs w:val="22"/>
        </w:rPr>
        <w:t xml:space="preserve">For Models 1 and 2, we did not use the post-vaccination data for model fitting, as we wanted to reserve the data from 2012-2017 as out-of-sample “test data” against which we could validate the dynamic models </w:t>
      </w:r>
      <w:r w:rsidRPr="007E512D">
        <w:rPr>
          <w:rFonts w:cs="Times New Roman"/>
          <w:szCs w:val="22"/>
        </w:rPr>
        <w:fldChar w:fldCharType="begin" w:fldLock="1"/>
      </w:r>
      <w:r w:rsidRPr="007E512D">
        <w:rPr>
          <w:rFonts w:cs="Times New Roman"/>
          <w:szCs w:val="22"/>
        </w:rPr>
        <w:instrText>ADDIN CSL_CITATION {"citationItems":[{"id":"ITEM-1","itemData":{"DOI":"10.1007/s40273-015-0335-2","ISBN":"1179-2027\r1170-7690","ISSN":"11792027","PMID":"26477039","abstract":"BACKGROUND Incremental cost-effectiveness and cost-utility analyses [health economic evaluations (HEEs)] of vaccines are routinely considered in decision making on immunization in various industrialized countries. While guidelines advocating more standardization of such HEEs (mainly for curative drugs) exist, several immunization-specific aspects (e.g. indirect effects or discounting approach) are still a subject of debate within the scientific community. OBJECTIVE The objective of this study was to develop a consensus framework for HEEs of vaccines to support the development of national guidelines in Europe. METHODS A systematic literature review was conducted to identify prevailing issues related to HEEs of vaccines. Furthermore, European experts in the field of health economics and immunization decision making were nominated and asked to select relevant aspects for discussion. Based on this, a workshop was held with these experts. Aspects on 'mathematical modelling', 'health economics' and 'decision making' were debated in group-work sessions (GWS) to formulate recommendations and/or-if applicable-to state 'pros' and 'contras'. RESULTS A total of 13 different aspects were identified for modelling and HEE: model selection, time horizon of models, natural disease history, measures of vaccine-induced protection, duration of vaccine-induced protection, indirect effects apart from herd protection, target population, model calibration and validation, handling uncertainty, discounting, health-related quality of life, cost components, and perspectives. For decision making, there were four aspects regarding the purpose and the integration of HEEs of vaccines in decision making as well as the variation of parameters within uncertainty analyses and the reporting of results from HEEs. For each aspect, background information and an expert consensus were formulated. CONCLUSIONS There was consensus that when HEEs are used to prioritize healthcare funding, this should be done in a consistent way across all interventions, including vaccines. However, proper evaluation of vaccines implies using tools that are not commonly used for therapeutic drugs. Due to the complexity of and uncertainties around vaccination, transparency in the documentation of HEEs and during subsequent decision making is essential.","author":[{"dropping-particle":"","family":"Ultsch","given":"Bernhard","non-dropping-particle":"","parse-names":false,"suffix":""},{"dropping-particle":"","family":"Damm","given":"Oliver","non-dropping-particle":"","parse-names":false,"suffix":""},{"dropping-particle":"","family":"Beutels","given":"Philippe","non-dropping-particle":"","parse-names":false,"suffix":""},{"dropping-particle":"","family":"Bilcke","given":"Joke","non-dropping-particle":"","parse-names":false,"suffix":""},{"dropping-particle":"","family":"Brüggenjürgen","given":"Bernd","non-dropping-particle":"","parse-names":false,"suffix":""},{"dropping-particle":"","family":"Gerber-Grote","given":"Andreas","non-dropping-particle":"","parse-names":false,"suffix":""},{"dropping-particle":"","family":"Greiner","given":"Wolfgang","non-dropping-particle":"","parse-names":false,"suffix":""},{"dropping-particle":"","family":"Hanquet","given":"Germaine","non-dropping-particle":"","parse-names":false,"suffix":""},{"dropping-particle":"","family":"Hutubessy","given":"Raymond","non-dropping-particle":"","parse-names":false,"suffix":""},{"dropping-particle":"","family":"Jit","given":"Mark","non-dropping-particle":"","parse-names":false,"suffix":""},{"dropping-particle":"","family":"Knol","given":"Mirjam","non-dropping-particle":"","parse-names":false,"suffix":""},{"dropping-particle":"","family":"Kries","given":"Rüdiger","non-dropping-particle":"von","parse-names":false,"suffix":""},{"dropping-particle":"","family":"Kuhlmann","given":"Alexander","non-dropping-particle":"","parse-names":false,"suffix":""},{"dropping-particle":"","family":"Levy-Bruhl","given":"Daniel","non-dropping-particle":"","parse-names":false,"suffix":""},{"dropping-particle":"","family":"Perleth","given":"Matthias","non-dropping-particle":"","parse-names":false,"suffix":""},{"dropping-particle":"","family":"Postma","given":"Maarten","non-dropping-particle":"","parse-names":false,"suffix":""},{"dropping-particle":"","family":"Salo","given":"Heini","non-dropping-particle":"","parse-names":false,"suffix":""},{"dropping-particle":"","family":"Siebert","given":"Uwe","non-dropping-particle":"","parse-names":false,"suffix":""},{"dropping-particle":"","family":"Wasem","given":"Jürgen","non-dropping-particle":"","parse-names":false,"suffix":""},{"dropping-particle":"","family":"Wichmann","given":"Ole","non-dropping-particle":"","parse-names":false,"suffix":""}],"container-title":"PharmacoEconomics","id":"ITEM-1","issue":"3","issued":{"date-parts":[["2016"]]},"page":"227-244","title":"Methods for Health Economic Evaluation of Vaccines and Immunization Decision Frameworks: A Consensus Framework from a European Vaccine Economics Community","type":"article-journal","volume":"34"},"uris":["http://www.mendeley.com/documents/?uuid=2983c3f7-fc8c-4f22-9805-451d3ac6d699"]}],"mendeley":{"formattedCitation":"&lt;i&gt;(69)&lt;/i&gt;","plainTextFormattedCitation":"(69)","previouslyFormattedCitation":"&lt;i&gt;(70)&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(69)</w:t>
      </w:r>
      <w:r w:rsidRPr="007E512D">
        <w:rPr>
          <w:rFonts w:cs="Times New Roman"/>
          <w:szCs w:val="22"/>
        </w:rPr>
        <w:fldChar w:fldCharType="end"/>
      </w:r>
      <w:r w:rsidRPr="007E512D">
        <w:rPr>
          <w:rFonts w:cs="Times New Roman"/>
          <w:szCs w:val="22"/>
        </w:rPr>
        <w:t>. However, for the models in which we assume that vaccinated individuals are completely protected from infection for a period of time then return to their previous level of susceptibility (Models 3 and 4), we estimated the duration of vaccine-induced immunity by fitting the model-predicted incidence of RVGE cases seeking care to the observed weekly data on rotavirus-positive acute gastroenteritis cases at QECH for the period from January 2012 to August 2017. Vaccine coverage was based on the observed coverage among rotavirus-negative controls in the case-control study. We again assumed that the observed number of cases in each week (</w:t>
      </w:r>
      <w:r w:rsidRPr="007E512D">
        <w:rPr>
          <w:rFonts w:cs="Times New Roman"/>
          <w:i/>
          <w:szCs w:val="22"/>
        </w:rPr>
        <w:t>Y</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w:t>
      </w:r>
      <w:r w:rsidRPr="007E512D">
        <w:rPr>
          <w:rFonts w:cs="Times New Roman"/>
          <w:i/>
          <w:szCs w:val="22"/>
        </w:rPr>
        <w:t xml:space="preserve"> </w:t>
      </w:r>
      <w:r w:rsidRPr="007E512D">
        <w:rPr>
          <w:rFonts w:cs="Times New Roman"/>
          <w:szCs w:val="22"/>
        </w:rPr>
        <w:t>was Poisson distributed with a mean equal to the model-predicted number of RVGE cases in each age group (</w:t>
      </w:r>
      <w:r w:rsidRPr="007E512D">
        <w:rPr>
          <w:rFonts w:cs="Times New Roman"/>
          <w:i/>
          <w:szCs w:val="22"/>
        </w:rPr>
        <w:t>D</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times the reporting fraction, which we fixed based on the mean reporting fraction </w:t>
      </w:r>
      <w:r w:rsidRPr="007E512D">
        <w:rPr>
          <w:rFonts w:cs="Times New Roman"/>
          <w:i/>
          <w:szCs w:val="22"/>
        </w:rPr>
        <w:t xml:space="preserve">h </w:t>
      </w:r>
      <w:r w:rsidRPr="007E512D">
        <w:rPr>
          <w:rFonts w:cs="Times New Roman"/>
          <w:szCs w:val="22"/>
        </w:rPr>
        <w:t>estimated for the pre-vaccination period times the relative weekly reporting rate as given by the moving average of the</w:t>
      </w:r>
      <w:r w:rsidRPr="007E512D">
        <w:rPr>
          <w:rFonts w:cs="Times New Roman"/>
        </w:rPr>
        <w:t xml:space="preserve"> number of rotavirus-negative cases (</w:t>
      </w:r>
      <w:r w:rsidRPr="007E512D">
        <w:rPr>
          <w:rFonts w:cs="Times New Roman"/>
          <w:i/>
        </w:rPr>
        <w:t>z</w:t>
      </w:r>
      <w:r w:rsidRPr="007E512D">
        <w:rPr>
          <w:rFonts w:cs="Times New Roman"/>
          <w:i/>
          <w:vertAlign w:val="subscript"/>
        </w:rPr>
        <w:t>A</w:t>
      </w:r>
      <w:r w:rsidRPr="007E512D">
        <w:rPr>
          <w:rFonts w:cs="Times New Roman"/>
        </w:rPr>
        <w:t>(</w:t>
      </w:r>
      <w:r w:rsidRPr="007E512D">
        <w:rPr>
          <w:rFonts w:cs="Times New Roman"/>
          <w:i/>
        </w:rPr>
        <w:t>t</w:t>
      </w:r>
      <w:r w:rsidRPr="007E512D">
        <w:rPr>
          <w:rFonts w:cs="Times New Roman"/>
        </w:rPr>
        <w:t>)). We fitted the model to cases among vaccinated versus unvaccinated individuals separately, with the data aggregated into three age groups (0-11 months, 12-23 months, and 2-4 years of age) to calculate the likelihood.</w:t>
      </w:r>
    </w:p>
    <w:p w14:paraId="421CA229" w14:textId="77777777" w:rsidR="00EB686F" w:rsidRPr="007E512D" w:rsidRDefault="00EB686F" w:rsidP="00EB686F">
      <w:pPr>
        <w:rPr>
          <w:rFonts w:cs="Times New Roman"/>
        </w:rPr>
      </w:pPr>
    </w:p>
    <w:p w14:paraId="5F85DF40" w14:textId="74ACE3E8" w:rsidR="00EB686F" w:rsidRPr="007E512D" w:rsidRDefault="00EB686F" w:rsidP="00EB686F">
      <w:pPr>
        <w:rPr>
          <w:rFonts w:cs="Times New Roman"/>
        </w:rPr>
      </w:pPr>
      <w:r w:rsidRPr="007E512D">
        <w:rPr>
          <w:rFonts w:cs="Times New Roman"/>
        </w:rPr>
        <w:t>We fixed the transmission rate (</w:t>
      </w:r>
      <w:r w:rsidRPr="007E512D">
        <w:rPr>
          <w:rFonts w:cs="Times New Roman"/>
          <w:i/>
        </w:rPr>
        <w:sym w:font="Symbol" w:char="F062"/>
      </w:r>
      <w:r w:rsidRPr="007E512D">
        <w:rPr>
          <w:rFonts w:cs="Times New Roman"/>
          <w:vertAlign w:val="subscript"/>
        </w:rPr>
        <w:t>0</w:t>
      </w:r>
      <w:r w:rsidRPr="007E512D">
        <w:rPr>
          <w:rFonts w:cs="Times New Roman"/>
        </w:rPr>
        <w:t>), seasonality parameters (</w:t>
      </w:r>
      <w:r w:rsidRPr="007E512D">
        <w:rPr>
          <w:rFonts w:cs="Times New Roman"/>
          <w:i/>
        </w:rPr>
        <w:t xml:space="preserve">b, </w:t>
      </w:r>
      <w:r w:rsidRPr="007E512D">
        <w:rPr>
          <w:rFonts w:cs="Times New Roman"/>
          <w:i/>
        </w:rPr>
        <w:sym w:font="Symbol" w:char="F066"/>
      </w:r>
      <w:r w:rsidRPr="007E512D">
        <w:rPr>
          <w:rFonts w:cs="Times New Roman"/>
        </w:rPr>
        <w:t>), and mean reporting fraction (</w:t>
      </w:r>
      <w:r w:rsidRPr="007E512D">
        <w:rPr>
          <w:rFonts w:cs="Times New Roman"/>
          <w:i/>
        </w:rPr>
        <w:t>h</w:t>
      </w:r>
      <w:r w:rsidRPr="007E512D">
        <w:rPr>
          <w:rFonts w:cs="Times New Roman"/>
        </w:rPr>
        <w:t>) at their maximum a posteriori estimates for the pre-vaccination period. We then estimated the duration of vaccine-induced immunity (1/</w:t>
      </w:r>
      <w:r w:rsidRPr="007E512D">
        <w:rPr>
          <w:rFonts w:cs="Times New Roman"/>
          <w:i/>
        </w:rPr>
        <w:sym w:font="Symbol" w:char="F077"/>
      </w:r>
      <w:r w:rsidRPr="007E512D">
        <w:rPr>
          <w:rFonts w:cs="Times New Roman"/>
          <w:i/>
          <w:vertAlign w:val="subscript"/>
        </w:rPr>
        <w:t>V</w:t>
      </w:r>
      <w:r w:rsidRPr="007E512D">
        <w:rPr>
          <w:rFonts w:cs="Times New Roman"/>
        </w:rPr>
        <w:t>) in two ways: (1) by maximum a posteriori estimation (to obtain the MAP estimate and arrive at good starting conditions to facilitate convergence of the MCMC chains), and (2) via MCMC using a Metropolis-Hastings algorithm. We also estimated the proportion of infants who respond to each dose using informative priors (</w:t>
      </w:r>
      <w:r w:rsidRPr="007E512D">
        <w:rPr>
          <w:rFonts w:cs="Times New Roman"/>
          <w:i/>
        </w:rPr>
        <w:t>s</w:t>
      </w:r>
      <w:r w:rsidRPr="007E512D">
        <w:rPr>
          <w:rFonts w:cs="Times New Roman"/>
          <w:vertAlign w:val="subscript"/>
        </w:rPr>
        <w:t>1</w:t>
      </w:r>
      <w:r w:rsidRPr="007E512D">
        <w:rPr>
          <w:rFonts w:cs="Times New Roman"/>
        </w:rPr>
        <w:t xml:space="preserve">, </w:t>
      </w:r>
      <w:r w:rsidRPr="007E512D">
        <w:rPr>
          <w:rFonts w:cs="Times New Roman"/>
          <w:i/>
        </w:rPr>
        <w:t>s</w:t>
      </w:r>
      <w:r w:rsidRPr="007E512D">
        <w:rPr>
          <w:rFonts w:cs="Times New Roman"/>
          <w:vertAlign w:val="subscript"/>
        </w:rPr>
        <w:t>2</w:t>
      </w:r>
      <w:r w:rsidRPr="007E512D">
        <w:rPr>
          <w:rFonts w:cs="Times New Roman"/>
        </w:rPr>
        <w:t xml:space="preserve"> ~</w:t>
      </w:r>
      <w:r w:rsidRPr="007E512D">
        <w:rPr>
          <w:rFonts w:cs="Times New Roman"/>
          <w:i/>
        </w:rPr>
        <w:t xml:space="preserve"> </w:t>
      </w:r>
      <w:r w:rsidRPr="007E512D">
        <w:rPr>
          <w:rFonts w:cs="Times New Roman"/>
        </w:rPr>
        <w:t xml:space="preserve">Beta(24.7,11.3) for Model 3 and </w:t>
      </w:r>
      <w:r w:rsidRPr="007E512D">
        <w:rPr>
          <w:rFonts w:cs="Times New Roman"/>
          <w:i/>
        </w:rPr>
        <w:t>s</w:t>
      </w:r>
      <w:r w:rsidRPr="007E512D">
        <w:rPr>
          <w:rFonts w:cs="Times New Roman"/>
          <w:vertAlign w:val="subscript"/>
        </w:rPr>
        <w:t>1</w:t>
      </w:r>
      <w:r w:rsidRPr="007E512D">
        <w:rPr>
          <w:rFonts w:cs="Times New Roman"/>
        </w:rPr>
        <w:t xml:space="preserve"> ~ Beta(19,17), </w:t>
      </w:r>
      <w:r w:rsidRPr="007E512D">
        <w:rPr>
          <w:rFonts w:cs="Times New Roman"/>
          <w:i/>
        </w:rPr>
        <w:t>s</w:t>
      </w:r>
      <w:r w:rsidRPr="007E512D">
        <w:rPr>
          <w:rFonts w:cs="Times New Roman"/>
          <w:vertAlign w:val="subscript"/>
        </w:rPr>
        <w:t>2</w:t>
      </w:r>
      <w:r w:rsidRPr="007E512D">
        <w:rPr>
          <w:rFonts w:cs="Times New Roman"/>
        </w:rPr>
        <w:t xml:space="preserve"> ~ Beta(32.2,3.8) for Model 4). We used an uninformative prior distribution for the duration of vaccine-induced immunity (1/</w:t>
      </w:r>
      <w:r w:rsidRPr="007E512D">
        <w:rPr>
          <w:rFonts w:cs="Times New Roman"/>
          <w:i/>
        </w:rPr>
        <w:sym w:font="Symbol" w:char="F077"/>
      </w:r>
      <w:r w:rsidRPr="007E512D">
        <w:rPr>
          <w:rFonts w:cs="Times New Roman"/>
          <w:i/>
          <w:vertAlign w:val="subscript"/>
        </w:rPr>
        <w:t>V</w:t>
      </w:r>
      <w:r w:rsidRPr="007E512D">
        <w:rPr>
          <w:rFonts w:cs="Times New Roman"/>
        </w:rPr>
        <w:t xml:space="preserve"> ~ Uniform[0,100 years]), and ran two chains for 5500 iterations, discarding the first 500 iterations as the “burn-in” period (which took approximately 6 days to run on a MacBook Pro with 2.6 GHz Intel i7 core processor). We verified that the two chains converged by visual inspection and by calculating the Gelman-Rubin diagnostic </w:t>
      </w:r>
      <w:r w:rsidRPr="007E512D">
        <w:rPr>
          <w:rFonts w:cs="Times New Roman"/>
        </w:rPr>
        <w:fldChar w:fldCharType="begin" w:fldLock="1"/>
      </w:r>
      <w:r w:rsidRPr="007E512D">
        <w:rPr>
          <w:rFonts w:cs="Times New Roman"/>
        </w:rPr>
        <w:instrText>ADDIN CSL_CITATION {"citationItems":[{"id":"ITEM-1","itemData":{"author":[{"dropping-particle":"","family":"Gelman","given":"Andrew","non-dropping-particle":"","parse-names":false,"suffix":""},{"dropping-particle":"","family":"Rubin","given":"Donald B.","non-dropping-particle":"","parse-names":false,"suffix":""}],"container-title":"Statistical Science","id":"ITEM-1","issue":"4","issued":{"date-parts":[["1992"]]},"page":"457-511","title":"Inference from Iterative Simulation Using Multiple Sequences","type":"article-journal","volume":"7"},"uris":["http://www.mendeley.com/documents/?uuid=46ec924f-3e45-440b-8312-0ca23abc45a9"]}],"mendeley":{"formattedCitation":"&lt;i&gt;(70)&lt;/i&gt;","plainTextFormattedCitation":"(70)","previouslyFormattedCitation":"&lt;i&gt;(71)&lt;/i&gt;"},"properties":{"noteIndex":0},"schema":"https://github.com/citation-style-language/schema/raw/master/csl-citation.json"}</w:instrText>
      </w:r>
      <w:r w:rsidRPr="007E512D">
        <w:rPr>
          <w:rFonts w:cs="Times New Roman"/>
        </w:rPr>
        <w:fldChar w:fldCharType="separate"/>
      </w:r>
      <w:r w:rsidRPr="007E512D">
        <w:rPr>
          <w:rFonts w:cs="Times New Roman"/>
          <w:i/>
          <w:noProof/>
        </w:rPr>
        <w:t>(70)</w:t>
      </w:r>
      <w:r w:rsidRPr="007E512D">
        <w:rPr>
          <w:rFonts w:cs="Times New Roman"/>
        </w:rPr>
        <w:fldChar w:fldCharType="end"/>
      </w:r>
      <w:r w:rsidRPr="007E512D">
        <w:rPr>
          <w:rFonts w:cs="Times New Roman"/>
        </w:rPr>
        <w:t xml:space="preserve">, which in all cases was ~1. </w:t>
      </w:r>
      <w:r w:rsidR="00213654" w:rsidRPr="007E512D">
        <w:rPr>
          <w:rFonts w:cs="Times New Roman"/>
        </w:rPr>
        <w:t xml:space="preserve">Trace plots and the posterior distributions of model parameter are shown in </w:t>
      </w:r>
      <w:r w:rsidR="00213654" w:rsidRPr="00AA5E6E">
        <w:rPr>
          <w:rFonts w:cs="Times New Roman"/>
          <w:b/>
        </w:rPr>
        <w:t>fig. S</w:t>
      </w:r>
      <w:r w:rsidR="00AA5E6E">
        <w:rPr>
          <w:rFonts w:cs="Times New Roman"/>
          <w:b/>
        </w:rPr>
        <w:t>14</w:t>
      </w:r>
      <w:r w:rsidR="00213654" w:rsidRPr="007E512D">
        <w:rPr>
          <w:rFonts w:cs="Times New Roman"/>
        </w:rPr>
        <w:t xml:space="preserve">. </w:t>
      </w:r>
    </w:p>
    <w:p w14:paraId="2DD28AB8" w14:textId="77777777" w:rsidR="00EB686F" w:rsidRPr="007E512D" w:rsidRDefault="00EB686F" w:rsidP="00EB686F">
      <w:pPr>
        <w:rPr>
          <w:rFonts w:cs="Times New Roman"/>
        </w:rPr>
      </w:pPr>
    </w:p>
    <w:p w14:paraId="012080FA" w14:textId="77777777" w:rsidR="00EB686F" w:rsidRPr="007E512D" w:rsidRDefault="00EB686F" w:rsidP="00EB686F">
      <w:pPr>
        <w:rPr>
          <w:rFonts w:cs="Times New Roman"/>
        </w:rPr>
      </w:pPr>
      <w:r w:rsidRPr="007E512D">
        <w:rPr>
          <w:rFonts w:cs="Times New Roman"/>
        </w:rPr>
        <w:t xml:space="preserve">When simulating the model-predicted vaccine impact and effectiveness for the model with waning immunity, we sampled 1,000 values from the joint posterior distribution of the </w:t>
      </w:r>
      <w:r w:rsidRPr="007E512D">
        <w:rPr>
          <w:rFonts w:cs="Times New Roman"/>
          <w:szCs w:val="22"/>
        </w:rPr>
        <w:t>estimated vaccination parameters (as well as the separate joint distribution for the pre-vaccination transmission model parameters) by selecting every tenth value from both chains.</w:t>
      </w:r>
    </w:p>
    <w:p w14:paraId="62360668" w14:textId="0DEFDFEC" w:rsidR="00EB686F" w:rsidRPr="007E512D" w:rsidRDefault="00EB686F" w:rsidP="00EB686F">
      <w:pPr>
        <w:rPr>
          <w:rFonts w:cs="Times New Roman"/>
          <w:szCs w:val="22"/>
        </w:rPr>
      </w:pPr>
    </w:p>
    <w:p w14:paraId="4DA0BA18" w14:textId="190CF436" w:rsidR="00EB686F" w:rsidRPr="007E512D" w:rsidRDefault="00EB686F" w:rsidP="00EB686F">
      <w:pPr>
        <w:rPr>
          <w:rFonts w:cs="Times New Roman"/>
        </w:rPr>
      </w:pPr>
      <w:r w:rsidRPr="007E512D">
        <w:rPr>
          <w:rFonts w:cs="Times New Roman"/>
          <w:szCs w:val="22"/>
        </w:rPr>
        <w:t xml:space="preserve">As an additional analysis, we also tried fitting Models 1 and 2 to the post-vaccination data. Again, we fitted the models to data on the observed number of RVGE cases among vaccinated versus unvaccinated individuals at QECH from January 2012 to August 2017 in </w:t>
      </w:r>
      <w:r w:rsidRPr="007E512D">
        <w:rPr>
          <w:rFonts w:cs="Times New Roman"/>
        </w:rPr>
        <w:t xml:space="preserve">three age groups (0-11 months, 12-23 months, </w:t>
      </w:r>
      <w:r w:rsidRPr="007E512D">
        <w:rPr>
          <w:rFonts w:cs="Times New Roman"/>
        </w:rPr>
        <w:lastRenderedPageBreak/>
        <w:t>and 2-4 years of age)</w:t>
      </w:r>
      <w:r w:rsidRPr="007E512D">
        <w:rPr>
          <w:rFonts w:cs="Times New Roman"/>
          <w:szCs w:val="22"/>
        </w:rPr>
        <w:t xml:space="preserve">, with vaccine coverage based on the observed coverage among rotavirus-negative controls. </w:t>
      </w:r>
      <w:r w:rsidRPr="007E512D">
        <w:rPr>
          <w:rFonts w:cs="Times New Roman"/>
        </w:rPr>
        <w:t xml:space="preserve">We estimated the proportion of infants who respond to each dose using informative priors: </w:t>
      </w:r>
      <w:r w:rsidRPr="007E512D">
        <w:rPr>
          <w:rFonts w:cs="Times New Roman"/>
          <w:i/>
        </w:rPr>
        <w:t>s</w:t>
      </w:r>
      <w:r w:rsidRPr="007E512D">
        <w:rPr>
          <w:rFonts w:cs="Times New Roman"/>
          <w:vertAlign w:val="subscript"/>
        </w:rPr>
        <w:t>1</w:t>
      </w:r>
      <w:r w:rsidRPr="007E512D">
        <w:rPr>
          <w:rFonts w:cs="Times New Roman"/>
        </w:rPr>
        <w:t xml:space="preserve">, </w:t>
      </w:r>
      <w:r w:rsidRPr="007E512D">
        <w:rPr>
          <w:rFonts w:cs="Times New Roman"/>
          <w:i/>
        </w:rPr>
        <w:t>s</w:t>
      </w:r>
      <w:r w:rsidRPr="007E512D">
        <w:rPr>
          <w:rFonts w:cs="Times New Roman"/>
          <w:vertAlign w:val="subscript"/>
        </w:rPr>
        <w:t>2</w:t>
      </w:r>
      <w:r w:rsidRPr="007E512D">
        <w:rPr>
          <w:rFonts w:cs="Times New Roman"/>
        </w:rPr>
        <w:t xml:space="preserve"> ~</w:t>
      </w:r>
      <w:r w:rsidRPr="007E512D">
        <w:rPr>
          <w:rFonts w:cs="Times New Roman"/>
          <w:i/>
        </w:rPr>
        <w:t xml:space="preserve"> </w:t>
      </w:r>
      <w:r w:rsidRPr="007E512D">
        <w:rPr>
          <w:rFonts w:cs="Times New Roman"/>
        </w:rPr>
        <w:t xml:space="preserve">Beta(24.7,11.3) for Model 1 and </w:t>
      </w:r>
      <w:r w:rsidRPr="007E512D">
        <w:rPr>
          <w:rFonts w:cs="Times New Roman"/>
          <w:i/>
        </w:rPr>
        <w:t>s</w:t>
      </w:r>
      <w:r w:rsidRPr="007E512D">
        <w:rPr>
          <w:rFonts w:cs="Times New Roman"/>
          <w:vertAlign w:val="subscript"/>
        </w:rPr>
        <w:t>1</w:t>
      </w:r>
      <w:r w:rsidRPr="007E512D">
        <w:rPr>
          <w:rFonts w:cs="Times New Roman"/>
        </w:rPr>
        <w:t xml:space="preserve"> ~ Beta(19,17), </w:t>
      </w:r>
      <w:r w:rsidRPr="007E512D">
        <w:rPr>
          <w:rFonts w:cs="Times New Roman"/>
          <w:i/>
        </w:rPr>
        <w:t>s</w:t>
      </w:r>
      <w:r w:rsidRPr="007E512D">
        <w:rPr>
          <w:rFonts w:cs="Times New Roman"/>
          <w:vertAlign w:val="subscript"/>
        </w:rPr>
        <w:t>2</w:t>
      </w:r>
      <w:r w:rsidRPr="007E512D">
        <w:rPr>
          <w:rFonts w:cs="Times New Roman"/>
        </w:rPr>
        <w:t xml:space="preserve"> ~ Beta(32.2,3.8) for Model 2. While the fitted models had higher posterior likelihoods (</w:t>
      </w:r>
      <w:r w:rsidR="00E96E9C">
        <w:rPr>
          <w:rFonts w:cs="Times New Roman"/>
          <w:b/>
        </w:rPr>
        <w:t>t</w:t>
      </w:r>
      <w:r w:rsidRPr="007E512D">
        <w:rPr>
          <w:rFonts w:cs="Times New Roman"/>
          <w:b/>
        </w:rPr>
        <w:t xml:space="preserve">able </w:t>
      </w:r>
      <w:r w:rsidR="00AA5E6E" w:rsidRPr="007E512D">
        <w:rPr>
          <w:rFonts w:cs="Times New Roman"/>
          <w:b/>
        </w:rPr>
        <w:t>S</w:t>
      </w:r>
      <w:r w:rsidR="00AA5E6E">
        <w:rPr>
          <w:rFonts w:cs="Times New Roman"/>
          <w:b/>
        </w:rPr>
        <w:t>3</w:t>
      </w:r>
      <w:r w:rsidRPr="007E512D">
        <w:rPr>
          <w:rFonts w:cs="Times New Roman"/>
        </w:rPr>
        <w:t>), the estimated probabilities of responding to each dose (or the first dose for Model 2) were low, and the model-predicted vaccine effectiveness estimates during the first year of life were considerably lower than the observed vaccine effectiveness among 4-</w:t>
      </w:r>
      <w:r w:rsidR="005F579A">
        <w:rPr>
          <w:rFonts w:cs="Times New Roman"/>
        </w:rPr>
        <w:t xml:space="preserve"> to </w:t>
      </w:r>
      <w:r w:rsidR="00F422BC" w:rsidRPr="007E512D">
        <w:rPr>
          <w:rFonts w:cs="Times New Roman"/>
        </w:rPr>
        <w:t>11</w:t>
      </w:r>
      <w:r w:rsidR="00F422BC">
        <w:rPr>
          <w:rFonts w:cs="Times New Roman"/>
        </w:rPr>
        <w:t>-</w:t>
      </w:r>
      <w:r w:rsidR="00F422BC" w:rsidRPr="007E512D">
        <w:rPr>
          <w:rFonts w:cs="Times New Roman"/>
        </w:rPr>
        <w:t>month</w:t>
      </w:r>
      <w:r w:rsidR="00F422BC">
        <w:rPr>
          <w:rFonts w:cs="Times New Roman"/>
        </w:rPr>
        <w:t>-</w:t>
      </w:r>
      <w:r w:rsidRPr="007E512D">
        <w:rPr>
          <w:rFonts w:cs="Times New Roman"/>
        </w:rPr>
        <w:t>olds (</w:t>
      </w:r>
      <w:r w:rsidR="00E96E9C">
        <w:rPr>
          <w:rFonts w:cs="Times New Roman"/>
          <w:b/>
        </w:rPr>
        <w:t>fig.</w:t>
      </w:r>
      <w:r w:rsidR="00E96E9C" w:rsidRPr="007E512D">
        <w:rPr>
          <w:rFonts w:cs="Times New Roman"/>
          <w:b/>
        </w:rPr>
        <w:t xml:space="preserve"> </w:t>
      </w:r>
      <w:r w:rsidR="00AA5E6E" w:rsidRPr="007E512D">
        <w:rPr>
          <w:rFonts w:cs="Times New Roman"/>
          <w:b/>
        </w:rPr>
        <w:t>S</w:t>
      </w:r>
      <w:r w:rsidR="00AA5E6E">
        <w:rPr>
          <w:rFonts w:cs="Times New Roman"/>
          <w:b/>
        </w:rPr>
        <w:t>15</w:t>
      </w:r>
      <w:r w:rsidRPr="007E512D">
        <w:rPr>
          <w:rFonts w:cs="Times New Roman"/>
        </w:rPr>
        <w:t>).</w:t>
      </w:r>
    </w:p>
    <w:p w14:paraId="50DF85B4" w14:textId="605C87DB" w:rsidR="00EB686F" w:rsidRPr="007E512D" w:rsidRDefault="00EB686F" w:rsidP="00EB686F">
      <w:pPr>
        <w:rPr>
          <w:rFonts w:cs="Times New Roman"/>
        </w:rPr>
      </w:pPr>
    </w:p>
    <w:p w14:paraId="4901C97C" w14:textId="77777777" w:rsidR="00EB686F" w:rsidRPr="007E512D" w:rsidRDefault="00EB686F" w:rsidP="00EB686F">
      <w:pPr>
        <w:pStyle w:val="SMHeading"/>
      </w:pPr>
      <w:bookmarkStart w:id="4" w:name="_Toc8144399"/>
      <w:r w:rsidRPr="007E512D">
        <w:t>External validation of model predictions</w:t>
      </w:r>
      <w:bookmarkEnd w:id="4"/>
    </w:p>
    <w:p w14:paraId="649B6D24" w14:textId="77777777" w:rsidR="00EB686F" w:rsidRPr="007E512D" w:rsidRDefault="00EB686F" w:rsidP="00EB686F">
      <w:pPr>
        <w:rPr>
          <w:rFonts w:cs="Times New Roman"/>
          <w:b/>
          <w:i/>
          <w:szCs w:val="22"/>
        </w:rPr>
      </w:pPr>
    </w:p>
    <w:p w14:paraId="39B6E8C7" w14:textId="5231B94F" w:rsidR="00EB686F" w:rsidRPr="007E512D" w:rsidRDefault="00EB686F" w:rsidP="00EB686F">
      <w:pPr>
        <w:rPr>
          <w:rFonts w:cs="Times New Roman"/>
          <w:szCs w:val="22"/>
        </w:rPr>
      </w:pPr>
      <w:r w:rsidRPr="007E512D">
        <w:rPr>
          <w:rFonts w:cs="Times New Roman"/>
          <w:szCs w:val="22"/>
        </w:rPr>
        <w:t>We validated our model by comparing model predictions for the estimated overall vaccine impact, vaccine effectiveness, and indirect effect to the observed vaccine effects. We measured vaccine impact in terms of the percent reduction in incidence of RVGE cases predicted by the model compared to the incidence predicted in the absence of vaccination for each year (January-December) post-vaccination (</w:t>
      </w:r>
      <w:r w:rsidRPr="007E512D">
        <w:rPr>
          <w:rFonts w:cs="Times New Roman"/>
          <w:b/>
          <w:szCs w:val="22"/>
        </w:rPr>
        <w:t>Table 2</w:t>
      </w:r>
      <w:r w:rsidR="00067359">
        <w:rPr>
          <w:rFonts w:cs="Times New Roman"/>
          <w:b/>
          <w:szCs w:val="22"/>
        </w:rPr>
        <w:t xml:space="preserve">, </w:t>
      </w:r>
      <w:r w:rsidR="00E96E9C">
        <w:rPr>
          <w:rFonts w:cs="Times New Roman"/>
          <w:b/>
          <w:szCs w:val="22"/>
        </w:rPr>
        <w:t xml:space="preserve">fig. </w:t>
      </w:r>
      <w:r w:rsidR="00067359">
        <w:rPr>
          <w:rFonts w:cs="Times New Roman"/>
          <w:b/>
          <w:szCs w:val="22"/>
        </w:rPr>
        <w:t>S3</w:t>
      </w:r>
      <w:r w:rsidRPr="007E512D">
        <w:rPr>
          <w:rFonts w:cs="Times New Roman"/>
          <w:szCs w:val="22"/>
        </w:rPr>
        <w:t xml:space="preserve">). </w:t>
      </w:r>
    </w:p>
    <w:p w14:paraId="390CE6F2" w14:textId="77777777" w:rsidR="00EB686F" w:rsidRPr="007E512D" w:rsidRDefault="00EB686F" w:rsidP="00EB686F">
      <w:pPr>
        <w:rPr>
          <w:rFonts w:cs="Times New Roman"/>
          <w:szCs w:val="22"/>
        </w:rPr>
      </w:pPr>
    </w:p>
    <w:p w14:paraId="3F04A4C9" w14:textId="0E7D613F" w:rsidR="00EB686F" w:rsidRPr="007E512D" w:rsidRDefault="00EB686F" w:rsidP="00EB686F">
      <w:pPr>
        <w:spacing w:after="120"/>
        <w:rPr>
          <w:rFonts w:cs="Times New Roman"/>
          <w:szCs w:val="22"/>
        </w:rPr>
      </w:pPr>
      <w:r w:rsidRPr="007E512D">
        <w:rPr>
          <w:rFonts w:cs="Times New Roman"/>
          <w:szCs w:val="22"/>
        </w:rPr>
        <w:t>To account for the enhanced surveillance that was instituted beginning in January 2012, we calculated the 105-week moving average of the number of rotavirus-negative cases per week. We did this for all cases &lt;5 years of age and by age group (0-11 months, 12-23 months, and 2-4 years of age) (</w:t>
      </w:r>
      <w:r w:rsidR="00E96E9C">
        <w:rPr>
          <w:rFonts w:cs="Times New Roman"/>
          <w:b/>
          <w:szCs w:val="22"/>
        </w:rPr>
        <w:t>fig.</w:t>
      </w:r>
      <w:r w:rsidR="00E96E9C" w:rsidRPr="007E512D">
        <w:rPr>
          <w:rFonts w:cs="Times New Roman"/>
          <w:b/>
          <w:szCs w:val="22"/>
        </w:rPr>
        <w:t xml:space="preserve"> </w:t>
      </w:r>
      <w:r w:rsidR="00201344" w:rsidRPr="007E512D">
        <w:rPr>
          <w:rFonts w:cs="Times New Roman"/>
          <w:b/>
          <w:szCs w:val="22"/>
        </w:rPr>
        <w:t>S</w:t>
      </w:r>
      <w:r w:rsidR="00201344">
        <w:rPr>
          <w:rFonts w:cs="Times New Roman"/>
          <w:b/>
          <w:szCs w:val="22"/>
        </w:rPr>
        <w:t>12</w:t>
      </w:r>
      <w:r w:rsidRPr="007E512D">
        <w:rPr>
          <w:rFonts w:cs="Times New Roman"/>
          <w:szCs w:val="22"/>
        </w:rPr>
        <w:t xml:space="preserve">). We then calculated a scaling factor, </w:t>
      </w:r>
      <w:r w:rsidRPr="007E512D">
        <w:rPr>
          <w:rFonts w:cs="Times New Roman"/>
          <w:i/>
          <w:szCs w:val="22"/>
        </w:rPr>
        <w:t>z</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equal to the moving average of the number of rotavirus-negative cases in age group </w:t>
      </w:r>
      <w:r w:rsidRPr="007E512D">
        <w:rPr>
          <w:rFonts w:cs="Times New Roman"/>
          <w:i/>
          <w:szCs w:val="22"/>
        </w:rPr>
        <w:t xml:space="preserve">A </w:t>
      </w:r>
      <w:r w:rsidRPr="007E512D">
        <w:rPr>
          <w:rFonts w:cs="Times New Roman"/>
          <w:szCs w:val="22"/>
        </w:rPr>
        <w:t xml:space="preserve">in week </w:t>
      </w:r>
      <w:r w:rsidRPr="007E512D">
        <w:rPr>
          <w:rFonts w:cs="Times New Roman"/>
          <w:i/>
          <w:szCs w:val="22"/>
        </w:rPr>
        <w:t>t</w:t>
      </w:r>
      <w:r w:rsidRPr="007E512D">
        <w:rPr>
          <w:rFonts w:cs="Times New Roman"/>
          <w:szCs w:val="22"/>
        </w:rPr>
        <w:t xml:space="preserve"> divided by average number of rotavirus-negative cases per week during the pre-vaccination period (which corresponds to the estimated mean reporting fraction, </w:t>
      </w:r>
      <w:r w:rsidRPr="007E512D">
        <w:rPr>
          <w:rFonts w:cs="Times New Roman"/>
          <w:i/>
          <w:szCs w:val="22"/>
        </w:rPr>
        <w:t>h</w:t>
      </w:r>
      <w:r w:rsidRPr="007E512D">
        <w:rPr>
          <w:rFonts w:cs="Times New Roman"/>
          <w:szCs w:val="22"/>
        </w:rPr>
        <w:t xml:space="preserve">). We multiplied the model-predicted incident cases of RVGE in week </w:t>
      </w:r>
      <w:r w:rsidRPr="007E512D">
        <w:rPr>
          <w:rFonts w:cs="Times New Roman"/>
          <w:i/>
          <w:szCs w:val="22"/>
        </w:rPr>
        <w:t>t</w:t>
      </w:r>
      <w:r w:rsidRPr="007E512D">
        <w:rPr>
          <w:rFonts w:cs="Times New Roman"/>
          <w:szCs w:val="22"/>
        </w:rPr>
        <w:t xml:space="preserve"> (</w:t>
      </w:r>
      <w:r w:rsidRPr="007E512D">
        <w:rPr>
          <w:rFonts w:cs="Times New Roman"/>
          <w:i/>
          <w:szCs w:val="22"/>
        </w:rPr>
        <w:t>D</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by this scaling factor to obtain the mean predicted number of cases for the vaccine evaluation period, as follows:</w:t>
      </w:r>
    </w:p>
    <w:p w14:paraId="303288D0" w14:textId="77777777" w:rsidR="00EB686F" w:rsidRPr="007E512D" w:rsidRDefault="00EB686F" w:rsidP="00EB686F">
      <w:pPr>
        <w:pStyle w:val="MTDisplayEquation"/>
        <w:spacing w:after="120"/>
        <w:rPr>
          <w:rFonts w:ascii="Times New Roman" w:hAnsi="Times New Roman" w:cs="Times New Roman"/>
          <w:color w:val="0070C0"/>
          <w:szCs w:val="22"/>
        </w:rPr>
      </w:pPr>
      <w:r w:rsidRPr="007E512D">
        <w:rPr>
          <w:rFonts w:ascii="Times New Roman" w:hAnsi="Times New Roman" w:cs="Times New Roman"/>
          <w:szCs w:val="22"/>
        </w:rPr>
        <w:tab/>
      </w:r>
      <w:r w:rsidR="002F3CBE" w:rsidRPr="00A028D9">
        <w:rPr>
          <w:rFonts w:ascii="Times New Roman" w:hAnsi="Times New Roman" w:cs="Times New Roman"/>
          <w:noProof/>
          <w:position w:val="-12"/>
          <w:szCs w:val="22"/>
        </w:rPr>
        <w:object w:dxaOrig="1980" w:dyaOrig="380" w14:anchorId="70D42FC9">
          <v:shape id="_x0000_i1034" type="#_x0000_t75" alt="" style="width:97.65pt;height:19.95pt;mso-width-percent:0;mso-height-percent:0;mso-width-percent:0;mso-height-percent:0" o:ole="">
            <v:imagedata r:id="rId90" o:title=""/>
          </v:shape>
          <o:OLEObject Type="Embed" ProgID="Equation.DSMT4" ShapeID="_x0000_i1034" DrawAspect="Content" ObjectID="_1626440143" r:id="rId91"/>
        </w:object>
      </w:r>
    </w:p>
    <w:p w14:paraId="1DB76C94" w14:textId="77777777" w:rsidR="00EB686F" w:rsidRPr="007E512D" w:rsidRDefault="00EB686F" w:rsidP="00EB686F">
      <w:pPr>
        <w:rPr>
          <w:rFonts w:cs="Times New Roman"/>
          <w:szCs w:val="22"/>
        </w:rPr>
      </w:pPr>
      <w:r w:rsidRPr="007E512D">
        <w:rPr>
          <w:rFonts w:cs="Times New Roman"/>
          <w:szCs w:val="22"/>
        </w:rPr>
        <w:t xml:space="preserve">where </w:t>
      </w:r>
      <w:r w:rsidRPr="007E512D">
        <w:rPr>
          <w:rFonts w:cs="Times New Roman"/>
          <w:i/>
          <w:szCs w:val="22"/>
        </w:rPr>
        <w:t>H</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is the mean predicted number of reported RVGE cases of age </w:t>
      </w:r>
      <w:r w:rsidRPr="007E512D">
        <w:rPr>
          <w:rFonts w:cs="Times New Roman"/>
          <w:i/>
          <w:szCs w:val="22"/>
        </w:rPr>
        <w:t>a</w:t>
      </w:r>
      <w:r w:rsidRPr="007E512D">
        <w:rPr>
          <w:rFonts w:cs="Times New Roman"/>
          <w:szCs w:val="22"/>
        </w:rPr>
        <w:t xml:space="preserve"> in week </w:t>
      </w:r>
      <w:r w:rsidRPr="007E512D">
        <w:rPr>
          <w:rFonts w:cs="Times New Roman"/>
          <w:i/>
          <w:szCs w:val="22"/>
        </w:rPr>
        <w:t>t</w:t>
      </w:r>
      <w:r w:rsidRPr="007E512D">
        <w:rPr>
          <w:rFonts w:cs="Times New Roman"/>
          <w:szCs w:val="22"/>
        </w:rPr>
        <w:t>.</w:t>
      </w:r>
    </w:p>
    <w:p w14:paraId="20CD3B84" w14:textId="77777777" w:rsidR="00EB686F" w:rsidRPr="007E512D" w:rsidRDefault="00EB686F" w:rsidP="00EB686F">
      <w:pPr>
        <w:rPr>
          <w:rFonts w:cs="Times New Roman"/>
          <w:b/>
          <w:i/>
          <w:szCs w:val="22"/>
        </w:rPr>
      </w:pPr>
    </w:p>
    <w:p w14:paraId="13D86462" w14:textId="77777777" w:rsidR="00EB686F" w:rsidRPr="007E512D" w:rsidRDefault="00EB686F" w:rsidP="00EB686F">
      <w:pPr>
        <w:pStyle w:val="SMHeading"/>
      </w:pPr>
      <w:bookmarkStart w:id="5" w:name="_Toc8144400"/>
      <w:r w:rsidRPr="007E512D">
        <w:t>Estimating the model-predicted direct and indirect protection</w:t>
      </w:r>
      <w:bookmarkEnd w:id="5"/>
    </w:p>
    <w:p w14:paraId="6F8FCFCD" w14:textId="77777777" w:rsidR="00EB686F" w:rsidRPr="007E512D" w:rsidRDefault="00EB686F" w:rsidP="00EB686F">
      <w:pPr>
        <w:rPr>
          <w:rFonts w:cs="Times New Roman"/>
          <w:b/>
          <w:i/>
          <w:szCs w:val="22"/>
        </w:rPr>
      </w:pPr>
    </w:p>
    <w:p w14:paraId="7B23E142" w14:textId="77777777" w:rsidR="00EB686F" w:rsidRPr="007E512D" w:rsidRDefault="00EB686F" w:rsidP="00EB686F">
      <w:pPr>
        <w:rPr>
          <w:rFonts w:cs="Times New Roman"/>
          <w:szCs w:val="22"/>
        </w:rPr>
      </w:pPr>
      <w:r w:rsidRPr="007E512D">
        <w:rPr>
          <w:rFonts w:cs="Times New Roman"/>
          <w:b/>
          <w:i/>
          <w:szCs w:val="22"/>
        </w:rPr>
        <w:t xml:space="preserve">Direct vaccine effectiveness. </w:t>
      </w:r>
      <w:r w:rsidRPr="007E512D">
        <w:rPr>
          <w:rFonts w:cs="Times New Roman"/>
          <w:szCs w:val="22"/>
        </w:rPr>
        <w:t>Consistent with measures of vaccine efficacy from rotavirus vaccine trials and measure of vaccine effectiveness from case-control studies (which estimate an odds ratio as an approximation of the relative risk), we calculated the model-predicted vaccine effectiveness (direct effect) based on the relative incidence of moderate-to-severe RVGE cases among vaccinated versus unvaccinated individuals by year of age, as follows:</w:t>
      </w:r>
    </w:p>
    <w:p w14:paraId="2A858F7F" w14:textId="77777777" w:rsidR="00EB686F" w:rsidRPr="007E512D" w:rsidRDefault="002F3CBE" w:rsidP="00EB686F">
      <w:pPr>
        <w:jc w:val="center"/>
        <w:rPr>
          <w:rFonts w:cs="Times New Roman"/>
          <w:position w:val="-72"/>
        </w:rPr>
      </w:pPr>
      <w:r w:rsidRPr="00216336">
        <w:rPr>
          <w:rFonts w:cs="Times New Roman"/>
          <w:noProof/>
          <w:position w:val="-72"/>
        </w:rPr>
        <w:object w:dxaOrig="3400" w:dyaOrig="1560" w14:anchorId="7888F6B3">
          <v:shape id="_x0000_i1033" type="#_x0000_t75" alt="" style="width:168.95pt;height:77.7pt;mso-width-percent:0;mso-height-percent:0;mso-width-percent:0;mso-height-percent:0" o:ole="">
            <v:imagedata r:id="rId92" o:title=""/>
          </v:shape>
          <o:OLEObject Type="Embed" ProgID="Equation.DSMT4" ShapeID="_x0000_i1033" DrawAspect="Content" ObjectID="_1626440144" r:id="rId93"/>
        </w:object>
      </w:r>
    </w:p>
    <w:p w14:paraId="60DED1FA" w14:textId="77777777" w:rsidR="00EB686F" w:rsidRPr="007E512D" w:rsidRDefault="00EB686F" w:rsidP="00EB686F">
      <w:pPr>
        <w:rPr>
          <w:rFonts w:cs="Times New Roman"/>
          <w:szCs w:val="22"/>
        </w:rPr>
      </w:pPr>
      <w:r w:rsidRPr="007E512D">
        <w:rPr>
          <w:rFonts w:cs="Times New Roman"/>
          <w:szCs w:val="22"/>
        </w:rPr>
        <w:t xml:space="preserve">where </w:t>
      </w:r>
      <w:r w:rsidRPr="007E512D">
        <w:rPr>
          <w:rFonts w:cs="Times New Roman"/>
          <w:i/>
          <w:szCs w:val="22"/>
        </w:rPr>
        <w:t>t</w:t>
      </w:r>
      <w:r w:rsidRPr="007E512D">
        <w:rPr>
          <w:rFonts w:cs="Times New Roman"/>
          <w:i/>
          <w:szCs w:val="22"/>
          <w:vertAlign w:val="subscript"/>
        </w:rPr>
        <w:t>v</w:t>
      </w:r>
      <w:r w:rsidRPr="007E512D">
        <w:rPr>
          <w:rFonts w:cs="Times New Roman"/>
          <w:i/>
          <w:szCs w:val="22"/>
        </w:rPr>
        <w:t xml:space="preserve"> </w:t>
      </w:r>
      <w:r w:rsidRPr="007E512D">
        <w:rPr>
          <w:rFonts w:cs="Times New Roman"/>
          <w:szCs w:val="22"/>
        </w:rPr>
        <w:t xml:space="preserve">is the week of vaccine introduction, </w:t>
      </w:r>
      <w:r w:rsidRPr="007E512D">
        <w:rPr>
          <w:rFonts w:cs="Times New Roman"/>
          <w:i/>
          <w:szCs w:val="22"/>
        </w:rPr>
        <w:t>t</w:t>
      </w:r>
      <w:r w:rsidRPr="007E512D">
        <w:rPr>
          <w:rFonts w:cs="Times New Roman"/>
          <w:i/>
          <w:szCs w:val="22"/>
          <w:vertAlign w:val="subscript"/>
        </w:rPr>
        <w:t>f</w:t>
      </w:r>
      <w:r w:rsidRPr="007E512D">
        <w:rPr>
          <w:rFonts w:cs="Times New Roman"/>
          <w:i/>
          <w:szCs w:val="22"/>
        </w:rPr>
        <w:t xml:space="preserve"> </w:t>
      </w:r>
      <w:r w:rsidRPr="007E512D">
        <w:rPr>
          <w:rFonts w:cs="Times New Roman"/>
          <w:szCs w:val="22"/>
        </w:rPr>
        <w:t xml:space="preserve">is the last week of follow-up, </w:t>
      </w:r>
      <w:r w:rsidRPr="007E512D">
        <w:rPr>
          <w:rFonts w:cs="Times New Roman"/>
          <w:i/>
          <w:szCs w:val="22"/>
        </w:rPr>
        <w:t>H</w:t>
      </w:r>
      <w:r w:rsidRPr="007E512D">
        <w:rPr>
          <w:rFonts w:cs="Times New Roman"/>
          <w:i/>
          <w:szCs w:val="22"/>
          <w:vertAlign w:val="subscript"/>
        </w:rPr>
        <w:t>v,A</w:t>
      </w:r>
      <w:r w:rsidRPr="007E512D">
        <w:rPr>
          <w:rFonts w:cs="Times New Roman"/>
          <w:szCs w:val="22"/>
        </w:rPr>
        <w:t>(</w:t>
      </w:r>
      <w:r w:rsidRPr="007E512D">
        <w:rPr>
          <w:rFonts w:cs="Times New Roman"/>
          <w:i/>
          <w:szCs w:val="22"/>
        </w:rPr>
        <w:t>t</w:t>
      </w:r>
      <w:r w:rsidRPr="007E512D">
        <w:rPr>
          <w:rFonts w:cs="Times New Roman"/>
          <w:szCs w:val="22"/>
        </w:rPr>
        <w:t xml:space="preserve">) and </w:t>
      </w:r>
      <w:r w:rsidRPr="007E512D">
        <w:rPr>
          <w:rFonts w:cs="Times New Roman"/>
          <w:i/>
          <w:szCs w:val="22"/>
        </w:rPr>
        <w:t>H</w:t>
      </w:r>
      <w:r w:rsidRPr="007E512D">
        <w:rPr>
          <w:rFonts w:cs="Times New Roman"/>
          <w:i/>
          <w:szCs w:val="22"/>
          <w:vertAlign w:val="subscript"/>
        </w:rPr>
        <w:t>u,A</w:t>
      </w:r>
      <w:r w:rsidRPr="007E512D">
        <w:rPr>
          <w:rFonts w:cs="Times New Roman"/>
          <w:szCs w:val="22"/>
        </w:rPr>
        <w:t>(</w:t>
      </w:r>
      <w:r w:rsidRPr="007E512D">
        <w:rPr>
          <w:rFonts w:cs="Times New Roman"/>
          <w:i/>
          <w:szCs w:val="22"/>
        </w:rPr>
        <w:t>t</w:t>
      </w:r>
      <w:r w:rsidRPr="007E512D">
        <w:rPr>
          <w:rFonts w:cs="Times New Roman"/>
          <w:szCs w:val="22"/>
        </w:rPr>
        <w:t xml:space="preserve">)  are the model-predicted incidence of reported RVGE cases among vaccinated and unvaccinated individuals </w:t>
      </w:r>
      <w:r w:rsidRPr="007E512D">
        <w:rPr>
          <w:rFonts w:cs="Times New Roman"/>
          <w:i/>
          <w:szCs w:val="22"/>
        </w:rPr>
        <w:t>A</w:t>
      </w:r>
      <w:r w:rsidRPr="007E512D">
        <w:rPr>
          <w:rFonts w:cs="Times New Roman"/>
          <w:szCs w:val="22"/>
        </w:rPr>
        <w:t xml:space="preserve"> years of age in week </w:t>
      </w:r>
      <w:r w:rsidRPr="007E512D">
        <w:rPr>
          <w:rFonts w:cs="Times New Roman"/>
          <w:i/>
          <w:szCs w:val="22"/>
        </w:rPr>
        <w:t>t</w:t>
      </w:r>
      <w:r w:rsidRPr="007E512D">
        <w:rPr>
          <w:rFonts w:cs="Times New Roman"/>
          <w:szCs w:val="22"/>
        </w:rPr>
        <w:t xml:space="preserve">, respectively, and </w:t>
      </w:r>
      <w:r w:rsidRPr="007E512D">
        <w:rPr>
          <w:rFonts w:cs="Times New Roman"/>
          <w:i/>
          <w:szCs w:val="22"/>
        </w:rPr>
        <w:t>V</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and </w:t>
      </w:r>
      <w:r w:rsidRPr="007E512D">
        <w:rPr>
          <w:rFonts w:cs="Times New Roman"/>
          <w:i/>
          <w:szCs w:val="22"/>
        </w:rPr>
        <w:t>U</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are the total number of vaccinated and unvaccinated individuals </w:t>
      </w:r>
      <w:r w:rsidRPr="007E512D">
        <w:rPr>
          <w:rFonts w:cs="Times New Roman"/>
          <w:i/>
          <w:szCs w:val="22"/>
        </w:rPr>
        <w:t>A</w:t>
      </w:r>
      <w:r w:rsidRPr="007E512D">
        <w:rPr>
          <w:rFonts w:cs="Times New Roman"/>
          <w:szCs w:val="22"/>
        </w:rPr>
        <w:t xml:space="preserve"> years of age in week </w:t>
      </w:r>
      <w:r w:rsidRPr="007E512D">
        <w:rPr>
          <w:rFonts w:cs="Times New Roman"/>
          <w:i/>
          <w:szCs w:val="22"/>
        </w:rPr>
        <w:t>t</w:t>
      </w:r>
      <w:r w:rsidRPr="007E512D">
        <w:rPr>
          <w:rFonts w:cs="Times New Roman"/>
          <w:szCs w:val="22"/>
        </w:rPr>
        <w:t xml:space="preserve"> in the model (and hence the sum is the person-time contribution to the vaccinated and unvaccinated states, respectively).</w:t>
      </w:r>
    </w:p>
    <w:p w14:paraId="5F2A51AA" w14:textId="77777777" w:rsidR="00EB686F" w:rsidRPr="007E512D" w:rsidRDefault="00EB686F" w:rsidP="00EB686F">
      <w:pPr>
        <w:rPr>
          <w:rFonts w:cs="Times New Roman"/>
          <w:szCs w:val="22"/>
        </w:rPr>
      </w:pPr>
    </w:p>
    <w:p w14:paraId="758BCB89" w14:textId="7B08591E" w:rsidR="00EB686F" w:rsidRPr="007E512D" w:rsidRDefault="00EB686F" w:rsidP="00EB686F">
      <w:pPr>
        <w:rPr>
          <w:rFonts w:cs="Times New Roman"/>
          <w:szCs w:val="22"/>
        </w:rPr>
      </w:pPr>
      <w:r w:rsidRPr="007E512D">
        <w:rPr>
          <w:rFonts w:cs="Times New Roman"/>
          <w:szCs w:val="22"/>
        </w:rPr>
        <w:lastRenderedPageBreak/>
        <w:t>To better understand why the predicted VE estimates varied for the different models and from the observed VE estimates, we plotted the model predictions for the number of cases broken down by cases among vaccinated versus unvaccinated individuals (</w:t>
      </w:r>
      <w:r w:rsidR="00BC4D45">
        <w:rPr>
          <w:rFonts w:cs="Times New Roman"/>
          <w:b/>
          <w:szCs w:val="22"/>
        </w:rPr>
        <w:t>fig.</w:t>
      </w:r>
      <w:r w:rsidRPr="007E512D">
        <w:rPr>
          <w:rFonts w:cs="Times New Roman"/>
          <w:b/>
          <w:szCs w:val="22"/>
        </w:rPr>
        <w:t xml:space="preserve"> S</w:t>
      </w:r>
      <w:r w:rsidR="00F00AD5">
        <w:rPr>
          <w:rFonts w:cs="Times New Roman"/>
          <w:b/>
          <w:szCs w:val="22"/>
        </w:rPr>
        <w:t>4</w:t>
      </w:r>
      <w:r w:rsidRPr="007E512D">
        <w:rPr>
          <w:rFonts w:cs="Times New Roman"/>
          <w:szCs w:val="22"/>
        </w:rPr>
        <w:t>). All four models predicted a similar incidence of RVGE among unvaccinated individual, which was slightly less than the observed incidence, particularly among 12-</w:t>
      </w:r>
      <w:r w:rsidR="002F7A3E">
        <w:rPr>
          <w:rFonts w:cs="Times New Roman"/>
          <w:szCs w:val="22"/>
        </w:rPr>
        <w:t xml:space="preserve"> to </w:t>
      </w:r>
      <w:r w:rsidRPr="007E512D">
        <w:rPr>
          <w:rFonts w:cs="Times New Roman"/>
          <w:szCs w:val="22"/>
        </w:rPr>
        <w:t>23-month-olds in 2013. However, model predictions varied for the mean incidence among vaccinated individuals. Models 3 and 4 generally predicted higher incidence among vaccinated individuals, and hence estimates of the vaccine effectiveness for these models tended to be lower.</w:t>
      </w:r>
    </w:p>
    <w:p w14:paraId="0F0C2C60" w14:textId="77777777" w:rsidR="00EB686F" w:rsidRPr="007E512D" w:rsidRDefault="00EB686F" w:rsidP="00EB686F">
      <w:pPr>
        <w:rPr>
          <w:rFonts w:cs="Times New Roman"/>
          <w:szCs w:val="22"/>
        </w:rPr>
      </w:pPr>
    </w:p>
    <w:p w14:paraId="6047BDBC" w14:textId="326C27EC" w:rsidR="00EB686F" w:rsidRPr="007E512D" w:rsidRDefault="00EB686F" w:rsidP="00EB686F">
      <w:pPr>
        <w:rPr>
          <w:rFonts w:cs="Times New Roman"/>
          <w:szCs w:val="22"/>
        </w:rPr>
      </w:pPr>
      <w:r w:rsidRPr="007E512D">
        <w:rPr>
          <w:rFonts w:cs="Times New Roman"/>
          <w:b/>
          <w:i/>
          <w:szCs w:val="22"/>
        </w:rPr>
        <w:t xml:space="preserve">Indirect effect. </w:t>
      </w:r>
      <w:r w:rsidRPr="007E512D">
        <w:rPr>
          <w:rFonts w:cs="Times New Roman"/>
          <w:szCs w:val="22"/>
        </w:rPr>
        <w:t>We calculated the model-predicted indirect effect in each age group (</w:t>
      </w:r>
      <w:r w:rsidR="00BC4D45">
        <w:rPr>
          <w:rFonts w:cs="Times New Roman"/>
          <w:b/>
          <w:szCs w:val="22"/>
        </w:rPr>
        <w:t>t</w:t>
      </w:r>
      <w:r w:rsidRPr="007E512D">
        <w:rPr>
          <w:rFonts w:cs="Times New Roman"/>
          <w:b/>
          <w:szCs w:val="22"/>
        </w:rPr>
        <w:t xml:space="preserve">able </w:t>
      </w:r>
      <w:r w:rsidR="00201344" w:rsidRPr="007E512D">
        <w:rPr>
          <w:rFonts w:cs="Times New Roman"/>
          <w:b/>
          <w:szCs w:val="22"/>
        </w:rPr>
        <w:t>S</w:t>
      </w:r>
      <w:r w:rsidR="00201344">
        <w:rPr>
          <w:rFonts w:cs="Times New Roman"/>
          <w:b/>
          <w:szCs w:val="22"/>
        </w:rPr>
        <w:t>4</w:t>
      </w:r>
      <w:r w:rsidRPr="007E512D">
        <w:rPr>
          <w:rFonts w:cs="Times New Roman"/>
          <w:szCs w:val="22"/>
        </w:rPr>
        <w:t xml:space="preserve">) as one minus the relative risk of reported RVGE among unvaccinated children compared to the model-predicted risk in the absence of vaccination, as follows: </w:t>
      </w:r>
    </w:p>
    <w:p w14:paraId="3B46CFBB" w14:textId="77777777" w:rsidR="00EB686F" w:rsidRPr="007E512D" w:rsidRDefault="00EB686F" w:rsidP="00EB686F">
      <w:pPr>
        <w:pStyle w:val="MTDisplayEquation"/>
        <w:rPr>
          <w:rFonts w:ascii="Times New Roman" w:hAnsi="Times New Roman" w:cs="Times New Roman"/>
        </w:rPr>
      </w:pPr>
      <w:r w:rsidRPr="007E512D">
        <w:rPr>
          <w:rFonts w:ascii="Times New Roman" w:hAnsi="Times New Roman" w:cs="Times New Roman"/>
          <w:szCs w:val="22"/>
        </w:rPr>
        <w:tab/>
      </w:r>
      <w:r w:rsidR="002F3CBE" w:rsidRPr="00A028D9">
        <w:rPr>
          <w:rFonts w:ascii="Times New Roman" w:hAnsi="Times New Roman" w:cs="Times New Roman"/>
          <w:noProof/>
          <w:position w:val="-72"/>
        </w:rPr>
        <w:object w:dxaOrig="3480" w:dyaOrig="1560" w14:anchorId="507751B8">
          <v:shape id="_x0000_i1032" type="#_x0000_t75" alt="" style="width:174.65pt;height:77.7pt;mso-width-percent:0;mso-height-percent:0;mso-width-percent:0;mso-height-percent:0" o:ole="">
            <v:imagedata r:id="rId94" o:title=""/>
          </v:shape>
          <o:OLEObject Type="Embed" ProgID="Equation.DSMT4" ShapeID="_x0000_i1032" DrawAspect="Content" ObjectID="_1626440145" r:id="rId95"/>
        </w:object>
      </w:r>
    </w:p>
    <w:p w14:paraId="269C0B22" w14:textId="7A2C15DC" w:rsidR="00EB686F" w:rsidRPr="007E512D" w:rsidRDefault="00EB686F" w:rsidP="00EB686F">
      <w:pPr>
        <w:rPr>
          <w:rFonts w:cs="Times New Roman"/>
          <w:szCs w:val="22"/>
        </w:rPr>
      </w:pPr>
      <w:r w:rsidRPr="007E512D">
        <w:rPr>
          <w:rFonts w:cs="Times New Roman"/>
          <w:szCs w:val="22"/>
        </w:rPr>
        <w:t xml:space="preserve">where </w:t>
      </w:r>
      <w:r w:rsidRPr="007E512D">
        <w:rPr>
          <w:rFonts w:cs="Times New Roman"/>
          <w:i/>
          <w:szCs w:val="22"/>
        </w:rPr>
        <w:t>H</w:t>
      </w:r>
      <w:r w:rsidRPr="007E512D">
        <w:rPr>
          <w:rFonts w:cs="Times New Roman"/>
          <w:i/>
          <w:szCs w:val="22"/>
          <w:vertAlign w:val="subscript"/>
        </w:rPr>
        <w:t>novacc,A</w:t>
      </w:r>
      <w:r w:rsidRPr="007E512D">
        <w:rPr>
          <w:rFonts w:cs="Times New Roman"/>
          <w:szCs w:val="22"/>
        </w:rPr>
        <w:t>(</w:t>
      </w:r>
      <w:r w:rsidRPr="007E512D">
        <w:rPr>
          <w:rFonts w:cs="Times New Roman"/>
          <w:i/>
          <w:szCs w:val="22"/>
        </w:rPr>
        <w:t>t</w:t>
      </w:r>
      <w:r w:rsidRPr="007E512D">
        <w:rPr>
          <w:rFonts w:cs="Times New Roman"/>
          <w:szCs w:val="22"/>
        </w:rPr>
        <w:t xml:space="preserve">) is the model-predicted incidence of reported RVGE cases among children in age group </w:t>
      </w:r>
      <w:r w:rsidRPr="007E512D">
        <w:rPr>
          <w:rFonts w:cs="Times New Roman"/>
          <w:i/>
          <w:szCs w:val="22"/>
        </w:rPr>
        <w:t>A</w:t>
      </w:r>
      <w:r w:rsidRPr="007E512D">
        <w:rPr>
          <w:rFonts w:cs="Times New Roman"/>
          <w:szCs w:val="22"/>
        </w:rPr>
        <w:t xml:space="preserve"> in week </w:t>
      </w:r>
      <w:r w:rsidRPr="007E512D">
        <w:rPr>
          <w:rFonts w:cs="Times New Roman"/>
          <w:i/>
          <w:szCs w:val="22"/>
        </w:rPr>
        <w:t>t</w:t>
      </w:r>
      <w:r w:rsidRPr="007E512D">
        <w:rPr>
          <w:rFonts w:cs="Times New Roman"/>
          <w:szCs w:val="22"/>
        </w:rPr>
        <w:t xml:space="preserve"> in the absence of vaccination, </w:t>
      </w:r>
      <w:r w:rsidR="00FE47A8">
        <w:rPr>
          <w:rFonts w:cs="Times New Roman"/>
          <w:szCs w:val="22"/>
        </w:rPr>
        <w:t>that is,</w:t>
      </w:r>
      <w:r w:rsidRPr="007E512D">
        <w:rPr>
          <w:rFonts w:cs="Times New Roman"/>
          <w:szCs w:val="22"/>
        </w:rPr>
        <w:t xml:space="preserve"> when vaccine coverage is set to zero and </w:t>
      </w:r>
      <w:r w:rsidRPr="007E512D">
        <w:rPr>
          <w:rFonts w:cs="Times New Roman"/>
          <w:i/>
          <w:szCs w:val="22"/>
        </w:rPr>
        <w:t>N</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is the total number of individuals of in age group </w:t>
      </w:r>
      <w:r w:rsidRPr="007E512D">
        <w:rPr>
          <w:rFonts w:cs="Times New Roman"/>
          <w:i/>
          <w:szCs w:val="22"/>
        </w:rPr>
        <w:t xml:space="preserve">A </w:t>
      </w:r>
      <w:r w:rsidRPr="007E512D">
        <w:rPr>
          <w:rFonts w:cs="Times New Roman"/>
          <w:szCs w:val="22"/>
        </w:rPr>
        <w:t xml:space="preserve">in the population during week </w:t>
      </w:r>
      <w:r w:rsidRPr="007E512D">
        <w:rPr>
          <w:rFonts w:cs="Times New Roman"/>
          <w:i/>
          <w:szCs w:val="22"/>
        </w:rPr>
        <w:t xml:space="preserve">t </w:t>
      </w:r>
      <w:r w:rsidRPr="007E512D">
        <w:rPr>
          <w:rFonts w:cs="Times New Roman"/>
          <w:szCs w:val="22"/>
        </w:rPr>
        <w:t xml:space="preserve">in the model. The other variables are as defined in the main text: </w:t>
      </w:r>
      <w:r w:rsidRPr="007E512D">
        <w:rPr>
          <w:rFonts w:cs="Times New Roman"/>
          <w:i/>
          <w:szCs w:val="22"/>
        </w:rPr>
        <w:t>t</w:t>
      </w:r>
      <w:r w:rsidRPr="007E512D">
        <w:rPr>
          <w:rFonts w:cs="Times New Roman"/>
          <w:i/>
          <w:szCs w:val="22"/>
          <w:vertAlign w:val="subscript"/>
        </w:rPr>
        <w:t>v</w:t>
      </w:r>
      <w:r w:rsidRPr="007E512D">
        <w:rPr>
          <w:rFonts w:cs="Times New Roman"/>
          <w:i/>
          <w:szCs w:val="22"/>
        </w:rPr>
        <w:t xml:space="preserve"> </w:t>
      </w:r>
      <w:r w:rsidRPr="007E512D">
        <w:rPr>
          <w:rFonts w:cs="Times New Roman"/>
          <w:szCs w:val="22"/>
        </w:rPr>
        <w:t xml:space="preserve">is the week of vaccine introduction, </w:t>
      </w:r>
      <w:r w:rsidRPr="007E512D">
        <w:rPr>
          <w:rFonts w:cs="Times New Roman"/>
          <w:i/>
          <w:szCs w:val="22"/>
        </w:rPr>
        <w:t>t</w:t>
      </w:r>
      <w:r w:rsidRPr="007E512D">
        <w:rPr>
          <w:rFonts w:cs="Times New Roman"/>
          <w:i/>
          <w:szCs w:val="22"/>
          <w:vertAlign w:val="subscript"/>
        </w:rPr>
        <w:t>f</w:t>
      </w:r>
      <w:r w:rsidRPr="007E512D">
        <w:rPr>
          <w:rFonts w:cs="Times New Roman"/>
          <w:i/>
          <w:szCs w:val="22"/>
        </w:rPr>
        <w:t xml:space="preserve"> </w:t>
      </w:r>
      <w:r w:rsidRPr="007E512D">
        <w:rPr>
          <w:rFonts w:cs="Times New Roman"/>
          <w:szCs w:val="22"/>
        </w:rPr>
        <w:t xml:space="preserve">is the last week of follow-up, </w:t>
      </w:r>
      <w:r w:rsidRPr="007E512D">
        <w:rPr>
          <w:rFonts w:cs="Times New Roman"/>
          <w:i/>
          <w:szCs w:val="22"/>
        </w:rPr>
        <w:t>H</w:t>
      </w:r>
      <w:r w:rsidRPr="007E512D">
        <w:rPr>
          <w:rFonts w:cs="Times New Roman"/>
          <w:i/>
          <w:szCs w:val="22"/>
          <w:vertAlign w:val="subscript"/>
        </w:rPr>
        <w:t>u,A</w:t>
      </w:r>
      <w:r w:rsidRPr="007E512D">
        <w:rPr>
          <w:rFonts w:cs="Times New Roman"/>
          <w:szCs w:val="22"/>
        </w:rPr>
        <w:t>(</w:t>
      </w:r>
      <w:r w:rsidRPr="007E512D">
        <w:rPr>
          <w:rFonts w:cs="Times New Roman"/>
          <w:i/>
          <w:szCs w:val="22"/>
        </w:rPr>
        <w:t>t</w:t>
      </w:r>
      <w:r w:rsidRPr="007E512D">
        <w:rPr>
          <w:rFonts w:cs="Times New Roman"/>
          <w:szCs w:val="22"/>
        </w:rPr>
        <w:t xml:space="preserve">) is the model-predicted incidence of reported RVGE cases among unvaccinated individuals in age group </w:t>
      </w:r>
      <w:r w:rsidRPr="007E512D">
        <w:rPr>
          <w:rFonts w:cs="Times New Roman"/>
          <w:i/>
          <w:szCs w:val="22"/>
        </w:rPr>
        <w:t>A</w:t>
      </w:r>
      <w:r w:rsidRPr="007E512D">
        <w:rPr>
          <w:rFonts w:cs="Times New Roman"/>
          <w:szCs w:val="22"/>
        </w:rPr>
        <w:t xml:space="preserve"> in week </w:t>
      </w:r>
      <w:r w:rsidRPr="007E512D">
        <w:rPr>
          <w:rFonts w:cs="Times New Roman"/>
          <w:i/>
          <w:szCs w:val="22"/>
        </w:rPr>
        <w:t>t</w:t>
      </w:r>
      <w:r w:rsidRPr="007E512D">
        <w:rPr>
          <w:rFonts w:cs="Times New Roman"/>
          <w:szCs w:val="22"/>
        </w:rPr>
        <w:t xml:space="preserve">, and </w:t>
      </w:r>
      <w:r w:rsidRPr="007E512D">
        <w:rPr>
          <w:rFonts w:cs="Times New Roman"/>
          <w:i/>
          <w:szCs w:val="22"/>
        </w:rPr>
        <w:t>U</w:t>
      </w:r>
      <w:r w:rsidRPr="007E512D">
        <w:rPr>
          <w:rFonts w:cs="Times New Roman"/>
          <w:i/>
          <w:szCs w:val="22"/>
          <w:vertAlign w:val="subscript"/>
        </w:rPr>
        <w:t>A</w:t>
      </w:r>
      <w:r w:rsidRPr="007E512D">
        <w:rPr>
          <w:rFonts w:cs="Times New Roman"/>
          <w:szCs w:val="22"/>
        </w:rPr>
        <w:t>(</w:t>
      </w:r>
      <w:r w:rsidRPr="007E512D">
        <w:rPr>
          <w:rFonts w:cs="Times New Roman"/>
          <w:i/>
          <w:szCs w:val="22"/>
        </w:rPr>
        <w:t>t</w:t>
      </w:r>
      <w:r w:rsidRPr="007E512D">
        <w:rPr>
          <w:rFonts w:cs="Times New Roman"/>
          <w:szCs w:val="22"/>
        </w:rPr>
        <w:t xml:space="preserve">) is the total number of unvaccinated individuals in age group </w:t>
      </w:r>
      <w:r w:rsidRPr="007E512D">
        <w:rPr>
          <w:rFonts w:cs="Times New Roman"/>
          <w:i/>
          <w:szCs w:val="22"/>
        </w:rPr>
        <w:t>A</w:t>
      </w:r>
      <w:r w:rsidRPr="007E512D">
        <w:rPr>
          <w:rFonts w:cs="Times New Roman"/>
          <w:szCs w:val="22"/>
        </w:rPr>
        <w:t xml:space="preserve"> in week </w:t>
      </w:r>
      <w:r w:rsidRPr="007E512D">
        <w:rPr>
          <w:rFonts w:cs="Times New Roman"/>
          <w:i/>
          <w:szCs w:val="22"/>
        </w:rPr>
        <w:t>t</w:t>
      </w:r>
      <w:r w:rsidRPr="007E512D">
        <w:rPr>
          <w:rFonts w:cs="Times New Roman"/>
          <w:szCs w:val="22"/>
        </w:rPr>
        <w:t xml:space="preserve"> in the model.</w:t>
      </w:r>
    </w:p>
    <w:p w14:paraId="4B63D4CB" w14:textId="77777777" w:rsidR="00EB686F" w:rsidRPr="007E512D" w:rsidRDefault="00EB686F" w:rsidP="00EB686F">
      <w:pPr>
        <w:rPr>
          <w:rFonts w:cs="Times New Roman"/>
          <w:szCs w:val="22"/>
        </w:rPr>
      </w:pPr>
    </w:p>
    <w:p w14:paraId="4FE7477D" w14:textId="77777777" w:rsidR="00EB686F" w:rsidRPr="007E512D" w:rsidRDefault="00EB686F" w:rsidP="00EB686F">
      <w:pPr>
        <w:rPr>
          <w:rFonts w:cs="Times New Roman"/>
          <w:szCs w:val="22"/>
        </w:rPr>
      </w:pPr>
      <w:r w:rsidRPr="007E512D">
        <w:rPr>
          <w:rFonts w:cs="Times New Roman"/>
          <w:szCs w:val="22"/>
        </w:rPr>
        <w:t xml:space="preserve">To calculate a single measure of the indirect effect predicted by the model across all age groups for the post-vaccination follow-up period, we first calculated the indirect effect at time </w:t>
      </w:r>
      <w:r w:rsidRPr="007E512D">
        <w:rPr>
          <w:rFonts w:cs="Times New Roman"/>
          <w:i/>
          <w:szCs w:val="22"/>
        </w:rPr>
        <w:t>t</w:t>
      </w:r>
      <w:r w:rsidRPr="007E512D">
        <w:rPr>
          <w:rFonts w:cs="Times New Roman"/>
          <w:szCs w:val="22"/>
        </w:rPr>
        <w:t xml:space="preserve"> by weighting the relative incidence rate among unvaccinated individuals by the proportion of cases occurring at each age </w:t>
      </w:r>
      <w:r w:rsidRPr="007E512D">
        <w:rPr>
          <w:rFonts w:cs="Times New Roman"/>
          <w:i/>
          <w:szCs w:val="22"/>
        </w:rPr>
        <w:t>a</w:t>
      </w:r>
      <w:r w:rsidRPr="007E512D">
        <w:rPr>
          <w:rFonts w:cs="Times New Roman"/>
          <w:szCs w:val="22"/>
        </w:rPr>
        <w:t xml:space="preserve"> in the presence and absence of vaccination:</w:t>
      </w:r>
    </w:p>
    <w:p w14:paraId="76AE54C8" w14:textId="77777777" w:rsidR="00EB686F" w:rsidRPr="007E512D" w:rsidRDefault="00EB686F" w:rsidP="00EB686F">
      <w:pPr>
        <w:pStyle w:val="MTDisplayEquation"/>
        <w:rPr>
          <w:rFonts w:ascii="Times New Roman" w:hAnsi="Times New Roman" w:cs="Times New Roman"/>
          <w:szCs w:val="22"/>
        </w:rPr>
      </w:pPr>
      <w:r w:rsidRPr="007E512D">
        <w:rPr>
          <w:rFonts w:ascii="Times New Roman" w:hAnsi="Times New Roman" w:cs="Times New Roman"/>
          <w:szCs w:val="22"/>
        </w:rPr>
        <w:tab/>
      </w:r>
      <w:r w:rsidR="002F3CBE" w:rsidRPr="00A028D9">
        <w:rPr>
          <w:rFonts w:ascii="Times New Roman" w:hAnsi="Times New Roman" w:cs="Times New Roman"/>
          <w:noProof/>
          <w:position w:val="-76"/>
        </w:rPr>
        <w:object w:dxaOrig="5580" w:dyaOrig="1640" w14:anchorId="4A48B5A5">
          <v:shape id="_x0000_i1031" type="#_x0000_t75" alt="" style="width:280.85pt;height:82pt;mso-width-percent:0;mso-height-percent:0;mso-width-percent:0;mso-height-percent:0" o:ole="">
            <v:imagedata r:id="rId96" o:title=""/>
          </v:shape>
          <o:OLEObject Type="Embed" ProgID="Equation.DSMT4" ShapeID="_x0000_i1031" DrawAspect="Content" ObjectID="_1626440146" r:id="rId97"/>
        </w:object>
      </w:r>
      <w:r w:rsidRPr="007E512D">
        <w:rPr>
          <w:rFonts w:ascii="Times New Roman" w:hAnsi="Times New Roman" w:cs="Times New Roman"/>
        </w:rPr>
        <w:t>.</w:t>
      </w:r>
    </w:p>
    <w:p w14:paraId="18F77CB6" w14:textId="77777777" w:rsidR="00EB686F" w:rsidRPr="007E512D" w:rsidRDefault="00EB686F" w:rsidP="00EB686F">
      <w:pPr>
        <w:rPr>
          <w:rFonts w:cs="Times New Roman"/>
          <w:szCs w:val="22"/>
        </w:rPr>
      </w:pPr>
      <w:r w:rsidRPr="007E512D">
        <w:rPr>
          <w:rFonts w:cs="Times New Roman"/>
          <w:szCs w:val="22"/>
        </w:rPr>
        <w:t xml:space="preserve">We then took a weighted average of the indirect protection predicted at each time </w:t>
      </w:r>
      <w:r w:rsidRPr="007E512D">
        <w:rPr>
          <w:rFonts w:cs="Times New Roman"/>
          <w:i/>
          <w:szCs w:val="22"/>
        </w:rPr>
        <w:t>t</w:t>
      </w:r>
      <w:r w:rsidRPr="007E512D">
        <w:rPr>
          <w:rFonts w:cs="Times New Roman"/>
          <w:szCs w:val="22"/>
        </w:rPr>
        <w:t xml:space="preserve"> post-vaccination (beginning January 2013), with the weights determined by the proportion of cases predicted to occur among unvaccinated individuals in week </w:t>
      </w:r>
      <w:r w:rsidRPr="007E512D">
        <w:rPr>
          <w:rFonts w:cs="Times New Roman"/>
          <w:i/>
          <w:szCs w:val="22"/>
        </w:rPr>
        <w:t>t</w:t>
      </w:r>
      <w:r w:rsidRPr="007E512D">
        <w:rPr>
          <w:rFonts w:cs="Times New Roman"/>
          <w:szCs w:val="22"/>
        </w:rPr>
        <w:t>:</w:t>
      </w:r>
    </w:p>
    <w:p w14:paraId="697815ED" w14:textId="77777777" w:rsidR="00EB686F" w:rsidRPr="007E512D" w:rsidRDefault="00EB686F" w:rsidP="00EB686F">
      <w:pPr>
        <w:pStyle w:val="MTDisplayEquation"/>
        <w:rPr>
          <w:rFonts w:ascii="Times New Roman" w:hAnsi="Times New Roman" w:cs="Times New Roman"/>
          <w:sz w:val="24"/>
        </w:rPr>
      </w:pPr>
      <w:r w:rsidRPr="007E512D">
        <w:rPr>
          <w:rFonts w:ascii="Times New Roman" w:hAnsi="Times New Roman" w:cs="Times New Roman"/>
          <w:szCs w:val="22"/>
        </w:rPr>
        <w:tab/>
      </w:r>
      <w:r w:rsidR="002F3CBE" w:rsidRPr="00A028D9">
        <w:rPr>
          <w:rFonts w:ascii="Times New Roman" w:hAnsi="Times New Roman" w:cs="Times New Roman"/>
          <w:noProof/>
          <w:position w:val="-30"/>
        </w:rPr>
        <w:object w:dxaOrig="4020" w:dyaOrig="740" w14:anchorId="430CDF1D">
          <v:shape id="_x0000_i1030" type="#_x0000_t75" alt="" style="width:201.75pt;height:37.05pt;mso-width-percent:0;mso-height-percent:0;mso-width-percent:0;mso-height-percent:0" o:ole="">
            <v:imagedata r:id="rId98" o:title=""/>
          </v:shape>
          <o:OLEObject Type="Embed" ProgID="Equation.DSMT4" ShapeID="_x0000_i1030" DrawAspect="Content" ObjectID="_1626440147" r:id="rId99"/>
        </w:object>
      </w:r>
    </w:p>
    <w:p w14:paraId="3EEE0DB3" w14:textId="5247C18C" w:rsidR="00EB686F" w:rsidRPr="007E512D" w:rsidRDefault="00EB686F" w:rsidP="00EB686F">
      <w:pPr>
        <w:rPr>
          <w:rFonts w:cs="Times New Roman"/>
          <w:b/>
        </w:rPr>
      </w:pPr>
    </w:p>
    <w:p w14:paraId="32927928" w14:textId="77777777" w:rsidR="00EB686F" w:rsidRPr="007E512D" w:rsidRDefault="00EB686F" w:rsidP="00EB686F">
      <w:pPr>
        <w:rPr>
          <w:rFonts w:cs="Times New Roman"/>
          <w:szCs w:val="22"/>
        </w:rPr>
      </w:pPr>
    </w:p>
    <w:p w14:paraId="383EB2B2" w14:textId="51FB2E67" w:rsidR="00EB686F" w:rsidRPr="007E512D" w:rsidRDefault="00EB686F" w:rsidP="00EB686F">
      <w:pPr>
        <w:rPr>
          <w:rFonts w:cs="Times New Roman"/>
          <w:szCs w:val="22"/>
        </w:rPr>
      </w:pPr>
      <w:r w:rsidRPr="007E512D">
        <w:rPr>
          <w:rFonts w:cs="Times New Roman"/>
          <w:szCs w:val="22"/>
        </w:rPr>
        <w:t xml:space="preserve">We also estimated the predicted indirect effects by simulating the model while fixing </w:t>
      </w:r>
      <w:r w:rsidRPr="007E512D">
        <w:rPr>
          <w:rFonts w:cs="Times New Roman"/>
          <w:i/>
          <w:szCs w:val="22"/>
        </w:rPr>
        <w:sym w:font="Symbol" w:char="F06C"/>
      </w:r>
      <w:r w:rsidRPr="007E512D">
        <w:rPr>
          <w:rFonts w:cs="Times New Roman"/>
          <w:szCs w:val="22"/>
        </w:rPr>
        <w:t>(t) at the force of infection predicted in the absence of vaccination (</w:t>
      </w:r>
      <w:r w:rsidR="00116A12">
        <w:rPr>
          <w:rFonts w:cs="Times New Roman"/>
          <w:szCs w:val="22"/>
        </w:rPr>
        <w:t>that is,</w:t>
      </w:r>
      <w:r w:rsidRPr="007E512D">
        <w:rPr>
          <w:rFonts w:cs="Times New Roman"/>
          <w:szCs w:val="22"/>
        </w:rPr>
        <w:t xml:space="preserve"> assuming no reduction in transmission following vaccine introduction, such that the impact of vaccination would be through the direct protection alone). We then compared the predicted overall vaccine impact for the </w:t>
      </w:r>
      <w:r w:rsidR="002F42F4">
        <w:rPr>
          <w:rFonts w:cs="Times New Roman"/>
          <w:szCs w:val="22"/>
        </w:rPr>
        <w:t>dynamic</w:t>
      </w:r>
      <w:r w:rsidRPr="007E512D">
        <w:rPr>
          <w:rFonts w:cs="Times New Roman"/>
          <w:szCs w:val="22"/>
        </w:rPr>
        <w:t xml:space="preserve"> model to the </w:t>
      </w:r>
      <w:r w:rsidR="0047060D">
        <w:rPr>
          <w:rFonts w:cs="Times New Roman"/>
          <w:szCs w:val="22"/>
        </w:rPr>
        <w:t xml:space="preserve">impact predicted by the </w:t>
      </w:r>
      <w:r w:rsidRPr="007E512D">
        <w:rPr>
          <w:rFonts w:cs="Times New Roman"/>
          <w:szCs w:val="22"/>
        </w:rPr>
        <w:t>corresponding model with direct protection only (</w:t>
      </w:r>
      <w:r w:rsidR="00FF4CDD">
        <w:rPr>
          <w:rFonts w:cs="Times New Roman"/>
          <w:b/>
          <w:szCs w:val="22"/>
        </w:rPr>
        <w:t>t</w:t>
      </w:r>
      <w:r w:rsidRPr="007E512D">
        <w:rPr>
          <w:rFonts w:cs="Times New Roman"/>
          <w:b/>
          <w:szCs w:val="22"/>
        </w:rPr>
        <w:t xml:space="preserve">able </w:t>
      </w:r>
      <w:r w:rsidR="00201344" w:rsidRPr="007E512D">
        <w:rPr>
          <w:rFonts w:cs="Times New Roman"/>
          <w:b/>
          <w:szCs w:val="22"/>
        </w:rPr>
        <w:t>S</w:t>
      </w:r>
      <w:r w:rsidR="00201344">
        <w:rPr>
          <w:rFonts w:cs="Times New Roman"/>
          <w:b/>
          <w:szCs w:val="22"/>
        </w:rPr>
        <w:t>5</w:t>
      </w:r>
      <w:r w:rsidRPr="007E512D">
        <w:rPr>
          <w:rFonts w:cs="Times New Roman"/>
          <w:szCs w:val="22"/>
        </w:rPr>
        <w:t xml:space="preserve">). This approach is comparable to estimating indirect protection by comparing the observed overall impact of a vaccine to that expected </w:t>
      </w:r>
      <w:r w:rsidRPr="007E512D">
        <w:rPr>
          <w:rFonts w:cs="Times New Roman"/>
          <w:szCs w:val="22"/>
        </w:rPr>
        <w:lastRenderedPageBreak/>
        <w:t xml:space="preserve">from the direct effects of the vaccine alone, which can be estimated by multiplying the vaccine coverage by an estimate of the vaccine efficacy (the “population direct effect” </w:t>
      </w:r>
      <w:r w:rsidRPr="007E512D">
        <w:rPr>
          <w:rFonts w:cs="Times New Roman"/>
          <w:szCs w:val="22"/>
        </w:rPr>
        <w:fldChar w:fldCharType="begin" w:fldLock="1"/>
      </w:r>
      <w:r w:rsidRPr="007E512D">
        <w:rPr>
          <w:rFonts w:cs="Times New Roman"/>
          <w:szCs w:val="22"/>
        </w:rPr>
        <w:instrText>ADDIN CSL_CITATION {"citationItems":[{"id":"ITEM-1","itemData":{"DOI":"10.1371/journal.pone.0042320","ISSN":"1932-6203","PMID":"22912699","abstract":"Early observations from countries that have introduced rotavirus vaccination suggest that there may be indirect protection for unvaccinated individuals, but it is unclear whether these benefits will extend to the long term. Transmission dynamic models have attempted to quantify the indirect protection that might be expected from rotavirus vaccination in developed countries, but results have varied. To better understand the magnitude and sources of variability in model projections, we undertook a comparative analysis of transmission dynamic models for rotavirus. We fit five models to reported rotavirus gastroenteritis (RVGE) data from England and Wales, and evaluated outcomes for short- and long-term vaccination effects. All of our models reproduced the important features of rotavirus epidemics in England and Wales. Models predicted that during the initial year after vaccine introduction, incidence of severe RVGE would be reduced 1.8-2.9 times more than expected from the direct effects of the vaccine alone (28-50% at 90% coverage), but over a 5-year period following vaccine introduction severe RVGE would be reduced only by 1.1-1.7 times more than expected from the direct effects (54-90% at 90% coverage). Projections for the long-term reduction of severe RVGE ranged from a 55% reduction at full coverage to elimination with at least 80% coverage. Our models predicted short-term reductions in the incidence of RVGE that exceeded estimates of the direct effects, consistent with observations from the United States and other countries. Some of the models predicted that the short-term indirect benefits may be offset by a partial shifting of the burden of RVGE to older unvaccinated individuals. Nonetheless, even when such a shift occurs, the overall reduction in severe RVGE is considerable. Discrepancies among model predictions reflect uncertainties about age variation in the risk and reporting of RVGE, and the duration of natural and vaccine-induced immunity, highlighting important questions for future research.","author":[{"dropping-particle":"","family":"Pitzer","given":"Virginia E","non-dropping-particle":"","parse-names":false,"suffix":""},{"dropping-particle":"","family":"Atkins","given":"Katherine E","non-dropping-particle":"","parse-names":false,"suffix":""},{"dropping-particle":"","family":"Blasio","given":"Birgitte Freiesleben","non-dropping-particle":"de","parse-names":false,"suffix":""},{"dropping-particle":"","family":"Effelterre","given":"Thierry","non-dropping-particle":"Van","parse-names":false,"suffix":""},{"dropping-particle":"","family":"Atchison","given":"Christina J","non-dropping-particle":"","parse-names":false,"suffix":""},{"dropping-particle":"","family":"Harris","given":"John P","non-dropping-particle":"","parse-names":false,"suffix":""},{"dropping-particle":"","family":"Shim","given":"Eunha","non-dropping-particle":"","parse-names":false,"suffix":""},{"dropping-particle":"","family":"Galvani","given":"Alison P","non-dropping-particle":"","parse-names":false,"suffix":""},{"dropping-particle":"","family":"Edmunds","given":"W John","non-dropping-particle":"","parse-names":false,"suffix":""},{"dropping-particle":"","family":"Viboud","given":"Cécile","non-dropping-particle":"","parse-names":false,"suffix":""},{"dropping-particle":"","family":"Patel","given":"Manish M","non-dropping-particle":"","parse-names":false,"suffix":""},{"dropping-particle":"","family":"Grenfell","given":"Bryan T","non-dropping-particle":"","parse-names":false,"suffix":""},{"dropping-particle":"","family":"Parashar","given":"Umesh D","non-dropping-particle":"","parse-names":false,"suffix":""},{"dropping-particle":"","family":"Lopman","given":"Ben A","non-dropping-particle":"","parse-names":false,"suffix":""}],"container-title":"PLoS ONE","id":"ITEM-1","issue":"8","issued":{"date-parts":[["2012","1"]]},"page":"e42320","title":"Direct and indirect effects of rotavirus vaccination: comparing predictions from transmission dynamic models.","type":"article-journal","volume":"7"},"uris":["http://www.mendeley.com/documents/?uuid=7c4aa97c-af80-424a-8507-27b073afa1f1"]}],"mendeley":{"formattedCitation":"&lt;i&gt;(27)&lt;/i&gt;","plainTextFormattedCitation":"(27)","previouslyFormattedCitation":"&lt;i&gt;(28)&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(27)</w:t>
      </w:r>
      <w:r w:rsidRPr="007E512D">
        <w:rPr>
          <w:rFonts w:cs="Times New Roman"/>
          <w:szCs w:val="22"/>
        </w:rPr>
        <w:fldChar w:fldCharType="end"/>
      </w:r>
      <w:r w:rsidRPr="007E512D">
        <w:rPr>
          <w:rFonts w:cs="Times New Roman"/>
          <w:szCs w:val="22"/>
        </w:rPr>
        <w:t>), as in Payne et al</w:t>
      </w:r>
      <w:r w:rsidR="00C258B1">
        <w:rPr>
          <w:rFonts w:cs="Times New Roman"/>
          <w:szCs w:val="22"/>
        </w:rPr>
        <w:t>.</w:t>
      </w:r>
      <w:r w:rsidRPr="007E512D">
        <w:rPr>
          <w:rFonts w:cs="Times New Roman"/>
          <w:szCs w:val="22"/>
        </w:rPr>
        <w:t xml:space="preserve"> </w:t>
      </w:r>
      <w:r w:rsidRPr="007E512D">
        <w:rPr>
          <w:rFonts w:cs="Times New Roman"/>
          <w:szCs w:val="22"/>
        </w:rPr>
        <w:fldChar w:fldCharType="begin" w:fldLock="1"/>
      </w:r>
      <w:r w:rsidRPr="007E512D">
        <w:rPr>
          <w:rFonts w:cs="Times New Roman"/>
          <w:szCs w:val="22"/>
        </w:rPr>
        <w:instrText>ADDIN CSL_CITATION {"citationItems":[{"id":"ITEM-1","itemData":{"DOI":"10.1093/cid/cir307","ISSN":"1537-6591","PMID":"21705316","abstract":"BACKGROUND: Routine rotavirus vaccination of US infants began in 2006. We conducted active, population-based surveillance for rotavirus gastroenteritis hospitalizations in 3 US counties to assess vaccine impact. METHODS: Children &lt;36 months old hospitalized with diarrhea and/or vomiting were enrolled from January through June each year during the period 2006-2009 and tested for rotavirus. Age-stratified rates of hospitalization for rotavirus infection were compared with corresponding vaccination coverage among a control group of children with acute respiratory illness. To assess direct and indirect benefits, vaccination coverage rates in the control group were multiplied by vaccine effectiveness estimates to calculate expected reductions in the rate of hospitalization for rotavirus infection. Rotavirus serotypes were compared across years. RESULTS: Compared with 2006, a significant reduction in rates of hospitalization for rotavirus infection (P &lt; .001) was observed in 2008 among all age groups. There was an 87% reduction in the 6-11-month-old age group (coverage, 77%), a 96% reduction in the 12-23-months-old age group (coverage, 46%), and a 92% reduction in the 24-35-month-old age group (coverage, 1%), which exceeded reductions expected on the basis of coverage and vaccine effectiveness estimates. Age-specific rate reductions were nearly equivalent to those expected on the basis of age-specific vaccine coverage in 2009. Predominant strains varied annually: G1P[8] (91%) in 2006; G1P[8] (45%) and G12P[8] (36%) in 2007; G1P[8] (89%) in 2008; and G3P[8] (43%), G2P[4] (34%), and G9P[8] (27%) in 2009. CONCLUSIONS: Rotavirus vaccination has dramatically decreased rates of hospitalization for rotavirus infection among children in these US counties. In 2008, reductions were prominent among both vaccine-eligible age groups and older, largely unvaccinated children; the latter likely resulted from indirect protection. Although rates among age groups eligible for vaccination remained low in 2009, indirect benefits disappeared.","author":[{"dropping-particle":"","family":"Payne","given":"Daniel C","non-dropping-particle":"","parse-names":false,"suffix":""},{"dropping-particle":"","family":"Staat","given":"Mary Allen","non-dropping-particle":"","parse-names":false,"suffix":""},{"dropping-particle":"","family":"Edwards","given":"Kathryn M","non-dropping-particle":"","parse-names":false,"suffix":""},{"dropping-particle":"","family":"Szilagyi","given":"Peter G","non-dropping-particle":"","parse-names":false,"suffix":""},{"dropping-particle":"","family":"Weinberg","given":"Geoffrey A","non-dropping-particle":"","parse-names":false,"suffix":""},{"dropping-particle":"","family":"Hall","given":"Caroline B","non-dropping-particle":"","parse-names":false,"suffix":""},{"dropping-particle":"","family":"Chappell","given":"James","non-dropping-particle":"","parse-names":false,"suffix":""},{"dropping-particle":"","family":"Curns","given":"Aaron T","non-dropping-particle":"","parse-names":false,"suffix":""},{"dropping-particle":"","family":"Wikswo","given":"Mary","non-dropping-particle":"","parse-names":false,"suffix":""},{"dropping-particle":"","family":"Tate","given":"Jacqueline E","non-dropping-particle":"","parse-names":false,"suffix":""},{"dropping-particle":"","family":"Lopman","given":"Benjamin A","non-dropping-particle":"","parse-names":false,"suffix":""},{"dropping-particle":"","family":"Parashar","given":"Umesh D","non-dropping-particle":"","parse-names":false,"suffix":""}],"container-title":"Clinical Infectious Diseases","id":"ITEM-1","issue":"3","issued":{"date-parts":[["2011","8","1"]]},"page":"245-53","title":"Direct and indirect effects of rotavirus vaccination upon childhood hospitalizations in 3 US Counties, 2006-2009.","type":"article-journal","volume":"53"},"uris":["http://www.mendeley.com/documents/?uuid=ac4957de-92b9-4ce0-aba8-51818a5b6263"]}],"mendeley":{"formattedCitation":"&lt;i&gt;(24)&lt;/i&gt;","plainTextFormattedCitation":"(24)","previouslyFormattedCitation":"&lt;i&gt;(25)&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(24)</w:t>
      </w:r>
      <w:r w:rsidRPr="007E512D">
        <w:rPr>
          <w:rFonts w:cs="Times New Roman"/>
          <w:szCs w:val="22"/>
        </w:rPr>
        <w:fldChar w:fldCharType="end"/>
      </w:r>
      <w:r w:rsidRPr="007E512D">
        <w:rPr>
          <w:rFonts w:cs="Times New Roman"/>
          <w:szCs w:val="22"/>
        </w:rPr>
        <w:t xml:space="preserve"> and Pollard et al</w:t>
      </w:r>
      <w:r w:rsidR="00C258B1">
        <w:rPr>
          <w:rFonts w:cs="Times New Roman"/>
          <w:szCs w:val="22"/>
        </w:rPr>
        <w:t>.</w:t>
      </w:r>
      <w:r w:rsidRPr="007E512D">
        <w:rPr>
          <w:rFonts w:cs="Times New Roman"/>
          <w:szCs w:val="22"/>
        </w:rPr>
        <w:t xml:space="preserve"> </w:t>
      </w:r>
      <w:r w:rsidRPr="007E512D">
        <w:rPr>
          <w:rFonts w:cs="Times New Roman"/>
          <w:szCs w:val="22"/>
        </w:rPr>
        <w:fldChar w:fldCharType="begin" w:fldLock="1"/>
      </w:r>
      <w:r w:rsidRPr="007E512D">
        <w:rPr>
          <w:rFonts w:cs="Times New Roman"/>
          <w:szCs w:val="22"/>
        </w:rPr>
        <w:instrText>ADDIN CSL_CITATION {"citationItems":[{"id":"ITEM-1","itemData":{"DOI":"10.1016/j.vaccine.2015.06.064","ISSN":"0264-410X","author":[{"dropping-particle":"","family":"Pollard","given":"Suzanne L","non-dropping-particle":"","parse-names":false,"suffix":""},{"dropping-particle":"","family":"Malpica-llanos","given":"Tanya","non-dropping-particle":"","parse-names":false,"suffix":""},{"dropping-particle":"","family":"Friberg","given":"Ingrid K","non-dropping-particle":"","parse-names":false,"suffix":""},{"dropping-particle":"","family":"Fischer-walker","given":"Christa","non-dropping-particle":"","parse-names":false,"suffix":""},{"dropping-particle":"","family":"Ashraf","given":"Sania","non-dropping-particle":"","parse-names":false,"suffix":""},{"dropping-particle":"","family":"Walker","given":"Neff","non-dropping-particle":"","parse-names":false,"suffix":""}],"container-title":"Vaccine","id":"ITEM-1","issue":"32","issued":{"date-parts":[["2015"]]},"page":"3795-3800","publisher":"Elsevier Ltd","title":"Estimating the herd immunity effect of rotavirus vaccine","type":"article-journal","volume":"33"},"uris":["http://www.mendeley.com/documents/?uuid=caaf9a5a-81f0-46a3-94db-3d07157fbbf4"]}],"mendeley":{"formattedCitation":"&lt;i&gt;(44)&lt;/i&gt;","plainTextFormattedCitation":"(44)","previouslyFormattedCitation":"&lt;i&gt;(45)&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(44)</w:t>
      </w:r>
      <w:r w:rsidRPr="007E512D">
        <w:rPr>
          <w:rFonts w:cs="Times New Roman"/>
          <w:szCs w:val="22"/>
        </w:rPr>
        <w:fldChar w:fldCharType="end"/>
      </w:r>
      <w:r w:rsidRPr="007E512D">
        <w:rPr>
          <w:rFonts w:cs="Times New Roman"/>
          <w:szCs w:val="22"/>
        </w:rPr>
        <w:t>, for example. The slight reduction in overall incidence among &lt;12-month-olds and increase in incidence among 12-</w:t>
      </w:r>
      <w:r w:rsidR="005F579A">
        <w:rPr>
          <w:rFonts w:cs="Times New Roman"/>
          <w:szCs w:val="22"/>
        </w:rPr>
        <w:t xml:space="preserve"> to </w:t>
      </w:r>
      <w:r w:rsidRPr="007E512D">
        <w:rPr>
          <w:rFonts w:cs="Times New Roman"/>
          <w:szCs w:val="22"/>
        </w:rPr>
        <w:t>23-month-olds compared to that expected from the direct effects alone is similar to what has previously been observed and reported by Bennett et al</w:t>
      </w:r>
      <w:r w:rsidR="00C258B1">
        <w:rPr>
          <w:rFonts w:cs="Times New Roman"/>
          <w:szCs w:val="22"/>
        </w:rPr>
        <w:t>.</w:t>
      </w:r>
      <w:r w:rsidRPr="007E512D">
        <w:rPr>
          <w:rFonts w:cs="Times New Roman"/>
          <w:szCs w:val="22"/>
        </w:rPr>
        <w:t xml:space="preserve"> </w:t>
      </w:r>
      <w:r w:rsidRPr="007E512D">
        <w:rPr>
          <w:rFonts w:cs="Times New Roman"/>
          <w:szCs w:val="22"/>
        </w:rPr>
        <w:fldChar w:fldCharType="begin" w:fldLock="1"/>
      </w:r>
      <w:r w:rsidRPr="007E512D">
        <w:rPr>
          <w:rFonts w:cs="Times New Roman"/>
          <w:szCs w:val="22"/>
        </w:rPr>
        <w:instrText>ADDIN CSL_CITATION {"citationItems":[{"id":"ITEM-1","itemData":{"DOI":"10.1016/j.vaccine.2018.04.030","ISSN":"1873-2518 (Electronic)","PMID":"29887320","abstract":"INTRODUCTION: Despite increased use of vaccine in routine immunisation, rotavirus remains a major cause of acute gastroenteritis (AGE) in low-income countries. We describe rotavirus prevalence and hospitalisation in Malawi pre and four years post vaccine introduction; provide updated vaccine effectiveness (VE) estimates; and assess rotavirus vaccine indirect effects. METHODS: Children under five years of age presenting to a referral hospital in Blantyre with AGE were recruited. Stool samples were tested for rotavirus using Enzyme Immunoassay. The change in rotavirus prevalence was evaluated using Poisson regression. Time series analysis was used to further investigate trends in prevalence over time. VE against rotavirus diarrhoea of any severity was estimated using logistic regression. Indirect effects were estimated by evaluating rotavirus prevalence in unvaccinated children over time, and by comparing observed reductions in incidence of rotavirus hospitalisation to those expected based on vaccine coverage and trial efficacy estimates. RESULTS: 2320 children were included. Prevalence of rotavirus in hospitalised infants (&lt;12months) with AGE decreased from 69/139(49.64%) prior to vaccine introduction to 197/607(32.45%) post-vaccine introduction (adjusted RR 0.67[95% CI 0.55, 0.82]). Prevalence in children aged 12-23months demonstrated a less substantial decline: 15/37(40.54%) pre- and 122/352(34.66%) post-vaccine introduction (adjusted RR 0.85, 95% CI 0.57, 1.28). Adjusted VE was 61.89%(95% CI 28.04-79.82), but lower in children aged 12-23months (31.69% [95% CI -139.03 to 80.48]). In hospitalised infants with rotavirus disease, the observed overall effect of the vaccine was 9% greater than expected according to vaccine coverage and efficacy estimates. Rotavirus prevalence among unvaccinated infants declined post-vaccine introduction (RR 0.70[95% CI 0.55-0.80]). CONCLUSIONS: Following rotavirus vaccine introduction in Malawi, prevalence of rotavirus in hospitalised children with AGE has declined significantly, with some evidence of an indirect effect in infants. Despite this, rotavirus remains an important cause of severe diarrhoea in Malawian children, particularly in the second year of life.","author":[{"dropping-particle":"","family":"Bennett","given":"A","non-dropping-particle":"","parse-names":false,"suffix":""},{"dropping-particle":"","family":"Pollock","given":"L","non-dropping-particle":"","parse-names":false,"suffix":""},{"dropping-particle":"","family":"Jere","given":"K C","non-dropping-particle":"","parse-names":false,"suffix":""},{"dropping-particle":"","family":"Pitzer","given":"V E","non-dropping-particle":"","parse-names":false,"suffix":""},{"dropping-particle":"","family":"Parashar","given":"U","non-dropping-particle":"","parse-names":false,"suffix":""},{"dropping-particle":"","family":"Tate","given":"J E","non-dropping-particle":"","parse-names":false,"suffix":""},{"dropping-particle":"","family":"Heyderman","given":"R S","non-dropping-particle":"","parse-names":false,"suffix":""},{"dropping-particle":"","family":"Mwansambo","given":"C","non-dropping-particle":"","parse-names":false,"suffix":""},{"dropping-particle":"","family":"French","given":"N","non-dropping-particle":"","parse-names":false,"suffix":""},{"dropping-particle":"","family":"Nakagomi","given":"O","non-dropping-particle":"","parse-names":false,"suffix":""},{"dropping-particle":"","family":"Iturriza-Gomara","given":"M","non-dropping-particle":"","parse-names":false,"suffix":""},{"dropping-particle":"","family":"Everett","given":"D","non-dropping-particle":"","parse-names":false,"suffix":""},{"dropping-particle":"","family":"Cunliffe","given":"N A","non-dropping-particle":"","parse-names":false,"suffix":""},{"dropping-particle":"","family":"Bar-Zeev","given":"N","non-dropping-particle":"","parse-names":false,"suffix":""}],"container-title":"Vaccine","id":"ITEM-1","issued":{"date-parts":[["2018"]]},"title":"Direct and possible indirect effects of vaccination on rotavirus hospitalisations among children in Malawi four years after programmatic introduction.","type":"article-journal"},"uris":["http://www.mendeley.com/documents/?uuid=db891d9b-291c-4c0a-8eeb-04e8f08fe62a"]}],"mendeley":{"formattedCitation":"&lt;i&gt;(30)&lt;/i&gt;","plainTextFormattedCitation":"(30)","previouslyFormattedCitation":"&lt;i&gt;(31)&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(30)</w:t>
      </w:r>
      <w:r w:rsidRPr="007E512D">
        <w:rPr>
          <w:rFonts w:cs="Times New Roman"/>
          <w:szCs w:val="22"/>
        </w:rPr>
        <w:fldChar w:fldCharType="end"/>
      </w:r>
      <w:r w:rsidRPr="007E512D">
        <w:rPr>
          <w:rFonts w:cs="Times New Roman"/>
          <w:szCs w:val="22"/>
        </w:rPr>
        <w:t>.</w:t>
      </w:r>
    </w:p>
    <w:p w14:paraId="585A3539" w14:textId="77777777" w:rsidR="00EB686F" w:rsidRPr="007E512D" w:rsidRDefault="00EB686F" w:rsidP="00EB686F">
      <w:pPr>
        <w:rPr>
          <w:rFonts w:cs="Times New Roman"/>
          <w:szCs w:val="22"/>
        </w:rPr>
      </w:pPr>
    </w:p>
    <w:p w14:paraId="17B8AE64" w14:textId="72025782" w:rsidR="00EB686F" w:rsidRPr="007E512D" w:rsidRDefault="00EB686F" w:rsidP="00EB686F">
      <w:pPr>
        <w:rPr>
          <w:rFonts w:cs="Times New Roman"/>
          <w:b/>
        </w:rPr>
      </w:pPr>
      <w:r w:rsidRPr="007E512D">
        <w:rPr>
          <w:rFonts w:cs="Times New Roman"/>
          <w:szCs w:val="22"/>
        </w:rPr>
        <w:t>To explore the potential impact of differences in immunogenicity of vaccination and the transmission rate of rotavirus, we examined variation in the model-predicted vaccine effectiveness and indirect effect estimates across a range of different values of the proportion of individuals who respond to each vaccine dose (from 0.4 to 1)</w:t>
      </w:r>
      <w:r w:rsidRPr="007E512D">
        <w:rPr>
          <w:rFonts w:cs="Times New Roman"/>
          <w:i/>
          <w:szCs w:val="22"/>
        </w:rPr>
        <w:t xml:space="preserve"> </w:t>
      </w:r>
      <w:r w:rsidRPr="007E512D">
        <w:rPr>
          <w:rFonts w:cs="Times New Roman"/>
          <w:szCs w:val="22"/>
        </w:rPr>
        <w:t>and</w:t>
      </w:r>
      <w:r w:rsidRPr="007E512D">
        <w:rPr>
          <w:rFonts w:cs="Times New Roman"/>
          <w:i/>
          <w:szCs w:val="22"/>
        </w:rPr>
        <w:t xml:space="preserve"> R</w:t>
      </w:r>
      <w:r w:rsidRPr="007E512D">
        <w:rPr>
          <w:rFonts w:cs="Times New Roman"/>
          <w:szCs w:val="22"/>
          <w:vertAlign w:val="subscript"/>
        </w:rPr>
        <w:t>0</w:t>
      </w:r>
      <w:r w:rsidRPr="007E512D">
        <w:rPr>
          <w:rFonts w:cs="Times New Roman"/>
          <w:szCs w:val="22"/>
        </w:rPr>
        <w:t xml:space="preserve"> (from 25 to 100). Results for the vaccine effectiveness predicted by Model 3 are presented in the main text (</w:t>
      </w:r>
      <w:r w:rsidR="00FB2584" w:rsidRPr="007E512D">
        <w:rPr>
          <w:rFonts w:cs="Times New Roman"/>
          <w:b/>
          <w:szCs w:val="22"/>
        </w:rPr>
        <w:t>Fig</w:t>
      </w:r>
      <w:r w:rsidR="00FB2584">
        <w:rPr>
          <w:rFonts w:cs="Times New Roman"/>
          <w:b/>
          <w:szCs w:val="22"/>
        </w:rPr>
        <w:t>.</w:t>
      </w:r>
      <w:r w:rsidR="00FB2584" w:rsidRPr="007E512D">
        <w:rPr>
          <w:rFonts w:cs="Times New Roman"/>
          <w:b/>
          <w:szCs w:val="22"/>
        </w:rPr>
        <w:t xml:space="preserve"> </w:t>
      </w:r>
      <w:r w:rsidRPr="007E512D">
        <w:rPr>
          <w:rFonts w:cs="Times New Roman"/>
          <w:b/>
          <w:szCs w:val="22"/>
        </w:rPr>
        <w:t>4</w:t>
      </w:r>
      <w:r w:rsidRPr="007E512D">
        <w:rPr>
          <w:rFonts w:cs="Times New Roman"/>
          <w:szCs w:val="22"/>
        </w:rPr>
        <w:t>); results were similar for the other models</w:t>
      </w:r>
      <w:r w:rsidRPr="007E512D">
        <w:rPr>
          <w:rFonts w:cs="Times New Roman"/>
          <w:b/>
          <w:szCs w:val="22"/>
        </w:rPr>
        <w:t xml:space="preserve"> </w:t>
      </w:r>
      <w:r w:rsidRPr="007E512D">
        <w:rPr>
          <w:rFonts w:cs="Times New Roman"/>
          <w:szCs w:val="22"/>
        </w:rPr>
        <w:t>(</w:t>
      </w:r>
      <w:r w:rsidR="00FB2584">
        <w:rPr>
          <w:rFonts w:cs="Times New Roman"/>
          <w:b/>
          <w:szCs w:val="22"/>
        </w:rPr>
        <w:t>fig.</w:t>
      </w:r>
      <w:r w:rsidR="00FB2584" w:rsidRPr="007E512D">
        <w:rPr>
          <w:rFonts w:cs="Times New Roman"/>
          <w:b/>
          <w:szCs w:val="22"/>
        </w:rPr>
        <w:t xml:space="preserve"> </w:t>
      </w:r>
      <w:r w:rsidR="00201344" w:rsidRPr="007E512D">
        <w:rPr>
          <w:rFonts w:cs="Times New Roman"/>
          <w:b/>
          <w:szCs w:val="22"/>
        </w:rPr>
        <w:t>S</w:t>
      </w:r>
      <w:r w:rsidR="00201344">
        <w:rPr>
          <w:rFonts w:cs="Times New Roman"/>
          <w:b/>
          <w:szCs w:val="22"/>
        </w:rPr>
        <w:t>5</w:t>
      </w:r>
      <w:r w:rsidR="006305A9">
        <w:rPr>
          <w:rFonts w:cs="Times New Roman"/>
          <w:b/>
          <w:szCs w:val="22"/>
        </w:rPr>
        <w:t xml:space="preserve"> to fig. </w:t>
      </w:r>
      <w:r w:rsidR="00201344" w:rsidRPr="007E512D">
        <w:rPr>
          <w:rFonts w:cs="Times New Roman"/>
          <w:b/>
          <w:szCs w:val="22"/>
        </w:rPr>
        <w:t>S</w:t>
      </w:r>
      <w:r w:rsidR="00201344">
        <w:rPr>
          <w:rFonts w:cs="Times New Roman"/>
          <w:b/>
          <w:szCs w:val="22"/>
        </w:rPr>
        <w:t>7</w:t>
      </w:r>
      <w:r w:rsidRPr="007E512D">
        <w:rPr>
          <w:rFonts w:cs="Times New Roman"/>
          <w:szCs w:val="22"/>
        </w:rPr>
        <w:t xml:space="preserve">). </w:t>
      </w:r>
    </w:p>
    <w:p w14:paraId="01A14E70" w14:textId="685E4828" w:rsidR="00EB686F" w:rsidRPr="007E512D" w:rsidRDefault="00EB686F" w:rsidP="00EB686F">
      <w:pPr>
        <w:rPr>
          <w:rFonts w:cs="Times New Roman"/>
          <w:b/>
        </w:rPr>
      </w:pPr>
    </w:p>
    <w:p w14:paraId="244AD397" w14:textId="77777777" w:rsidR="00EB686F" w:rsidRPr="007E512D" w:rsidRDefault="00EB686F" w:rsidP="00EB686F">
      <w:pPr>
        <w:pStyle w:val="SMHeading"/>
      </w:pPr>
      <w:bookmarkStart w:id="6" w:name="_Toc8144401"/>
      <w:r w:rsidRPr="007E512D">
        <w:t>Variation in the model-predicted vaccine effectiveness over time</w:t>
      </w:r>
      <w:bookmarkEnd w:id="6"/>
    </w:p>
    <w:p w14:paraId="65A40479" w14:textId="77777777" w:rsidR="00EB686F" w:rsidRPr="007E512D" w:rsidRDefault="00EB686F" w:rsidP="00EB686F">
      <w:pPr>
        <w:rPr>
          <w:rFonts w:cs="Times New Roman"/>
          <w:b/>
          <w:i/>
        </w:rPr>
      </w:pPr>
    </w:p>
    <w:p w14:paraId="604C7946" w14:textId="2D5AA5EC" w:rsidR="00EB686F" w:rsidRPr="00726B8F" w:rsidRDefault="00EB686F" w:rsidP="00EB686F">
      <w:pPr>
        <w:rPr>
          <w:rFonts w:cs="Times New Roman"/>
          <w:szCs w:val="22"/>
        </w:rPr>
      </w:pPr>
      <w:r w:rsidRPr="007E512D">
        <w:rPr>
          <w:rFonts w:cs="Times New Roman"/>
        </w:rPr>
        <w:t>During our analyses, we noticed that the model-predicted vaccine effectiveness, as calculated from the incidence rate ratio of RVGE among vaccinated versus unvaccinated individuals, varied depending on the timeframe of follow-up. To better understand why this occurred, and why we observed lower vaccine effectiveness during the second year of life even in the absence of waning of vaccine-induced immunity, we examined the proportion of both vaccinated and unvaccinated individuals who had experienced 0 (</w:t>
      </w:r>
      <w:r w:rsidR="00C13B08">
        <w:rPr>
          <w:rFonts w:cs="Times New Roman"/>
        </w:rPr>
        <w:t>that is,</w:t>
      </w:r>
      <w:r w:rsidRPr="007E512D">
        <w:rPr>
          <w:rFonts w:cs="Times New Roman"/>
        </w:rPr>
        <w:t xml:space="preserve"> in the </w:t>
      </w:r>
      <w:r w:rsidRPr="007E512D">
        <w:rPr>
          <w:rFonts w:cs="Times New Roman"/>
          <w:i/>
        </w:rPr>
        <w:t>M, S</w:t>
      </w:r>
      <w:r w:rsidRPr="007E512D">
        <w:rPr>
          <w:rFonts w:cs="Times New Roman"/>
          <w:vertAlign w:val="subscript"/>
        </w:rPr>
        <w:t>0</w:t>
      </w:r>
      <w:r w:rsidRPr="007E512D">
        <w:rPr>
          <w:rFonts w:cs="Times New Roman"/>
        </w:rPr>
        <w:t xml:space="preserve">, or </w:t>
      </w:r>
      <w:r w:rsidRPr="007E512D">
        <w:rPr>
          <w:rFonts w:cs="Times New Roman"/>
          <w:i/>
        </w:rPr>
        <w:t>V</w:t>
      </w:r>
      <w:r w:rsidRPr="007E512D">
        <w:rPr>
          <w:rFonts w:cs="Times New Roman"/>
          <w:vertAlign w:val="subscript"/>
        </w:rPr>
        <w:t>0</w:t>
      </w:r>
      <w:r w:rsidRPr="007E512D">
        <w:rPr>
          <w:rFonts w:cs="Times New Roman"/>
          <w:i/>
        </w:rPr>
        <w:t xml:space="preserve"> </w:t>
      </w:r>
      <w:r w:rsidRPr="007E512D">
        <w:rPr>
          <w:rFonts w:cs="Times New Roman"/>
        </w:rPr>
        <w:t xml:space="preserve">state), 1 (in the </w:t>
      </w:r>
      <w:r w:rsidRPr="007E512D">
        <w:rPr>
          <w:rFonts w:cs="Times New Roman"/>
          <w:i/>
        </w:rPr>
        <w:t>I</w:t>
      </w:r>
      <w:r w:rsidRPr="007E512D">
        <w:rPr>
          <w:rFonts w:cs="Times New Roman"/>
          <w:vertAlign w:val="subscript"/>
        </w:rPr>
        <w:t>1</w:t>
      </w:r>
      <w:r w:rsidRPr="007E512D">
        <w:rPr>
          <w:rFonts w:cs="Times New Roman"/>
        </w:rPr>
        <w:t xml:space="preserve">, </w:t>
      </w:r>
      <w:r w:rsidRPr="007E512D">
        <w:rPr>
          <w:rFonts w:cs="Times New Roman"/>
          <w:i/>
        </w:rPr>
        <w:t>R</w:t>
      </w:r>
      <w:r w:rsidRPr="007E512D">
        <w:rPr>
          <w:rFonts w:cs="Times New Roman"/>
          <w:vertAlign w:val="subscript"/>
        </w:rPr>
        <w:t>1</w:t>
      </w:r>
      <w:r w:rsidRPr="007E512D">
        <w:rPr>
          <w:rFonts w:cs="Times New Roman"/>
        </w:rPr>
        <w:t xml:space="preserve">, </w:t>
      </w:r>
      <w:r w:rsidRPr="007E512D">
        <w:rPr>
          <w:rFonts w:cs="Times New Roman"/>
          <w:i/>
        </w:rPr>
        <w:t>S</w:t>
      </w:r>
      <w:r w:rsidRPr="007E512D">
        <w:rPr>
          <w:rFonts w:cs="Times New Roman"/>
          <w:vertAlign w:val="subscript"/>
        </w:rPr>
        <w:t>1</w:t>
      </w:r>
      <w:r w:rsidRPr="007E512D">
        <w:rPr>
          <w:rFonts w:cs="Times New Roman"/>
        </w:rPr>
        <w:t xml:space="preserve">, or </w:t>
      </w:r>
      <w:r w:rsidRPr="007E512D">
        <w:rPr>
          <w:rFonts w:cs="Times New Roman"/>
          <w:i/>
        </w:rPr>
        <w:t>V</w:t>
      </w:r>
      <w:r w:rsidRPr="007E512D">
        <w:rPr>
          <w:rFonts w:cs="Times New Roman"/>
          <w:vertAlign w:val="subscript"/>
        </w:rPr>
        <w:t>1</w:t>
      </w:r>
      <w:r w:rsidRPr="007E512D">
        <w:rPr>
          <w:rFonts w:cs="Times New Roman"/>
        </w:rPr>
        <w:t xml:space="preserve"> states), or </w:t>
      </w:r>
      <w:r w:rsidRPr="007E512D">
        <w:rPr>
          <w:rFonts w:cs="Times New Roman"/>
        </w:rPr>
        <w:sym w:font="Symbol" w:char="F0B3"/>
      </w:r>
      <w:r w:rsidRPr="007E512D">
        <w:rPr>
          <w:rFonts w:cs="Times New Roman"/>
        </w:rPr>
        <w:t xml:space="preserve">2 previous infections (in all subsequent states) by age in the model. For the observed follow-up period (October 2012-June 2016), the proportion of individuals experiencing at least two </w:t>
      </w:r>
      <w:r w:rsidRPr="00726B8F">
        <w:rPr>
          <w:rFonts w:cs="Times New Roman"/>
          <w:szCs w:val="22"/>
        </w:rPr>
        <w:t>previous infections was similar or higher among unvaccinated than among vaccinated individuals by 18 months of age in all models</w:t>
      </w:r>
      <w:r w:rsidR="00726B8F" w:rsidRPr="00726B8F">
        <w:rPr>
          <w:rFonts w:cs="Times New Roman"/>
          <w:szCs w:val="22"/>
        </w:rPr>
        <w:t xml:space="preserve">, even for the models assuming no waning of vaccine-induced immunity </w:t>
      </w:r>
      <w:r w:rsidRPr="00726B8F">
        <w:rPr>
          <w:rFonts w:cs="Times New Roman"/>
          <w:szCs w:val="22"/>
        </w:rPr>
        <w:t>(</w:t>
      </w:r>
      <w:r w:rsidR="00113985">
        <w:rPr>
          <w:rFonts w:cs="Times New Roman"/>
          <w:b/>
          <w:szCs w:val="22"/>
        </w:rPr>
        <w:t>fig.</w:t>
      </w:r>
      <w:r w:rsidR="00113985" w:rsidRPr="00726B8F">
        <w:rPr>
          <w:rFonts w:cs="Times New Roman"/>
          <w:b/>
          <w:szCs w:val="22"/>
        </w:rPr>
        <w:t xml:space="preserve"> </w:t>
      </w:r>
      <w:r w:rsidR="00201344" w:rsidRPr="00726B8F">
        <w:rPr>
          <w:rFonts w:cs="Times New Roman"/>
          <w:b/>
          <w:szCs w:val="22"/>
        </w:rPr>
        <w:t>S</w:t>
      </w:r>
      <w:r w:rsidR="00201344">
        <w:rPr>
          <w:rFonts w:cs="Times New Roman"/>
          <w:b/>
          <w:szCs w:val="22"/>
        </w:rPr>
        <w:t>8</w:t>
      </w:r>
      <w:r w:rsidRPr="00726B8F">
        <w:rPr>
          <w:rFonts w:cs="Times New Roman"/>
          <w:szCs w:val="22"/>
        </w:rPr>
        <w:t xml:space="preserve">). </w:t>
      </w:r>
    </w:p>
    <w:p w14:paraId="70D55662" w14:textId="77777777" w:rsidR="00EB686F" w:rsidRPr="00726B8F" w:rsidRDefault="00EB686F" w:rsidP="00EB686F">
      <w:pPr>
        <w:rPr>
          <w:rFonts w:cs="Times New Roman"/>
          <w:szCs w:val="22"/>
        </w:rPr>
      </w:pPr>
    </w:p>
    <w:p w14:paraId="435FD348" w14:textId="5A3E0DD0" w:rsidR="00EB686F" w:rsidRDefault="00EB686F" w:rsidP="00EB686F">
      <w:pPr>
        <w:rPr>
          <w:rFonts w:cs="Times New Roman"/>
          <w:b/>
        </w:rPr>
      </w:pPr>
      <w:r w:rsidRPr="007E512D">
        <w:rPr>
          <w:rFonts w:cs="Times New Roman"/>
        </w:rPr>
        <w:t>However, for the hypothetical follow-up period for the booster dose (January 2018-December 2019), the proportion protected was always greater among vaccinated versus unvaccinated individuals in Model 1 (</w:t>
      </w:r>
      <w:r w:rsidR="00113985">
        <w:rPr>
          <w:rFonts w:cs="Times New Roman"/>
          <w:b/>
        </w:rPr>
        <w:t>fig.</w:t>
      </w:r>
      <w:r w:rsidR="00113985" w:rsidRPr="007E512D">
        <w:rPr>
          <w:rFonts w:cs="Times New Roman"/>
          <w:b/>
        </w:rPr>
        <w:t xml:space="preserve"> </w:t>
      </w:r>
      <w:r w:rsidR="00201344" w:rsidRPr="007E512D">
        <w:rPr>
          <w:rFonts w:cs="Times New Roman"/>
          <w:b/>
        </w:rPr>
        <w:t>S</w:t>
      </w:r>
      <w:r w:rsidR="00201344">
        <w:rPr>
          <w:rFonts w:cs="Times New Roman"/>
          <w:b/>
        </w:rPr>
        <w:t>9</w:t>
      </w:r>
      <w:r w:rsidRPr="007E512D">
        <w:rPr>
          <w:rFonts w:cs="Times New Roman"/>
        </w:rPr>
        <w:t xml:space="preserve">). </w:t>
      </w:r>
      <w:r w:rsidR="00726B8F">
        <w:rPr>
          <w:rFonts w:cs="Times New Roman"/>
        </w:rPr>
        <w:t>As a result, the model-predicted vaccine effectiveness estimates were similar among 4-</w:t>
      </w:r>
      <w:r w:rsidR="005F579A">
        <w:rPr>
          <w:rFonts w:cs="Times New Roman"/>
        </w:rPr>
        <w:t xml:space="preserve"> to </w:t>
      </w:r>
      <w:r w:rsidR="00726B8F">
        <w:rPr>
          <w:rFonts w:cs="Times New Roman"/>
        </w:rPr>
        <w:t>11-month and 12-</w:t>
      </w:r>
      <w:r w:rsidR="005F579A">
        <w:rPr>
          <w:rFonts w:cs="Times New Roman"/>
        </w:rPr>
        <w:t xml:space="preserve"> to </w:t>
      </w:r>
      <w:r w:rsidR="00726B8F">
        <w:rPr>
          <w:rFonts w:cs="Times New Roman"/>
        </w:rPr>
        <w:t>23-month-olds for the period from</w:t>
      </w:r>
      <w:r w:rsidR="00726B8F" w:rsidRPr="00726B8F">
        <w:rPr>
          <w:rFonts w:cs="Times New Roman"/>
        </w:rPr>
        <w:t xml:space="preserve"> </w:t>
      </w:r>
      <w:r w:rsidR="00726B8F" w:rsidRPr="007E512D">
        <w:rPr>
          <w:rFonts w:cs="Times New Roman"/>
        </w:rPr>
        <w:t>January 2018</w:t>
      </w:r>
      <w:r w:rsidR="00201344">
        <w:rPr>
          <w:rFonts w:cs="Times New Roman"/>
        </w:rPr>
        <w:t xml:space="preserve"> to </w:t>
      </w:r>
      <w:r w:rsidR="00726B8F" w:rsidRPr="007E512D">
        <w:rPr>
          <w:rFonts w:cs="Times New Roman"/>
        </w:rPr>
        <w:t>December 2019</w:t>
      </w:r>
      <w:r w:rsidR="00726B8F">
        <w:rPr>
          <w:rFonts w:cs="Times New Roman"/>
        </w:rPr>
        <w:t xml:space="preserve"> even without the addition of a third dose (</w:t>
      </w:r>
      <w:r w:rsidR="00113985">
        <w:rPr>
          <w:rFonts w:cs="Times New Roman"/>
          <w:b/>
        </w:rPr>
        <w:t xml:space="preserve">fig. </w:t>
      </w:r>
      <w:r w:rsidR="00201344">
        <w:rPr>
          <w:rFonts w:cs="Times New Roman"/>
          <w:b/>
        </w:rPr>
        <w:t>S10</w:t>
      </w:r>
      <w:r w:rsidR="00726B8F">
        <w:rPr>
          <w:rFonts w:cs="Times New Roman"/>
        </w:rPr>
        <w:t xml:space="preserve">). </w:t>
      </w:r>
      <w:r w:rsidRPr="007E512D">
        <w:rPr>
          <w:rFonts w:cs="Times New Roman"/>
        </w:rPr>
        <w:t>We interpreted the reasons for this as two-fold: (1) vaccinated individuals who are only partially protected (</w:t>
      </w:r>
      <w:r w:rsidR="00C13B08">
        <w:rPr>
          <w:rFonts w:cs="Times New Roman"/>
        </w:rPr>
        <w:t>in other words,</w:t>
      </w:r>
      <w:r w:rsidRPr="007E512D">
        <w:rPr>
          <w:rFonts w:cs="Times New Roman"/>
        </w:rPr>
        <w:t xml:space="preserve"> who only responded to one dose and/or whose protection is only temporary) are infected at a reduced rate compared to unvaccinated individuals; and (2) as vaccine coverage increased, unvaccinated person-time disproportionately accumulated early on (when the force of infection, </w:t>
      </w:r>
      <w:r w:rsidRPr="007E512D">
        <w:rPr>
          <w:rFonts w:cs="Times New Roman"/>
          <w:i/>
        </w:rPr>
        <w:sym w:font="Symbol" w:char="F06C"/>
      </w:r>
      <w:r w:rsidRPr="007E512D">
        <w:rPr>
          <w:rFonts w:cs="Times New Roman"/>
        </w:rPr>
        <w:t>(</w:t>
      </w:r>
      <w:r w:rsidRPr="007E512D">
        <w:rPr>
          <w:rFonts w:cs="Times New Roman"/>
          <w:i/>
        </w:rPr>
        <w:t>t</w:t>
      </w:r>
      <w:r w:rsidRPr="007E512D">
        <w:rPr>
          <w:rFonts w:cs="Times New Roman"/>
        </w:rPr>
        <w:t xml:space="preserve">), was still high) compared to the vaccinated person-time, which contributed more later on when </w:t>
      </w:r>
      <w:r w:rsidRPr="007E512D">
        <w:rPr>
          <w:rFonts w:cs="Times New Roman"/>
          <w:i/>
        </w:rPr>
        <w:sym w:font="Symbol" w:char="F06C"/>
      </w:r>
      <w:r w:rsidRPr="007E512D">
        <w:rPr>
          <w:rFonts w:cs="Times New Roman"/>
        </w:rPr>
        <w:t>(</w:t>
      </w:r>
      <w:r w:rsidRPr="007E512D">
        <w:rPr>
          <w:rFonts w:cs="Times New Roman"/>
          <w:i/>
        </w:rPr>
        <w:t>t</w:t>
      </w:r>
      <w:r w:rsidRPr="007E512D">
        <w:rPr>
          <w:rFonts w:cs="Times New Roman"/>
        </w:rPr>
        <w:t>) was reduced due to herd immunity. Once vaccine coverage stabilized (during the period from January 2018</w:t>
      </w:r>
      <w:r w:rsidR="00201344">
        <w:rPr>
          <w:rFonts w:cs="Times New Roman"/>
        </w:rPr>
        <w:t xml:space="preserve"> to </w:t>
      </w:r>
      <w:r w:rsidRPr="007E512D">
        <w:rPr>
          <w:rFonts w:cs="Times New Roman"/>
        </w:rPr>
        <w:t>December 2019), the force of infection was expected to be lower and the same for the unvaccinated and vaccinated person-time, and on average individuals are infected slightly later in life (</w:t>
      </w:r>
      <w:r w:rsidR="00B70067">
        <w:rPr>
          <w:rFonts w:cs="Times New Roman"/>
          <w:b/>
        </w:rPr>
        <w:t>fig.</w:t>
      </w:r>
      <w:r w:rsidR="00B70067" w:rsidRPr="007E512D">
        <w:rPr>
          <w:rFonts w:cs="Times New Roman"/>
          <w:b/>
        </w:rPr>
        <w:t xml:space="preserve"> </w:t>
      </w:r>
      <w:r w:rsidR="00201344" w:rsidRPr="007E512D">
        <w:rPr>
          <w:rFonts w:cs="Times New Roman"/>
          <w:b/>
        </w:rPr>
        <w:t>S</w:t>
      </w:r>
      <w:r w:rsidR="00201344">
        <w:rPr>
          <w:rFonts w:cs="Times New Roman"/>
          <w:b/>
        </w:rPr>
        <w:t>9</w:t>
      </w:r>
      <w:r w:rsidRPr="007E512D">
        <w:rPr>
          <w:rFonts w:cs="Times New Roman"/>
        </w:rPr>
        <w:t>).</w:t>
      </w:r>
    </w:p>
    <w:p w14:paraId="48AB7F0F" w14:textId="7EEE47A3" w:rsidR="00EB686F" w:rsidRPr="007E512D" w:rsidRDefault="00EB686F" w:rsidP="00EB686F">
      <w:pPr>
        <w:rPr>
          <w:rFonts w:cs="Times New Roman"/>
        </w:rPr>
      </w:pPr>
    </w:p>
    <w:p w14:paraId="76364CFF" w14:textId="77777777" w:rsidR="00EB686F" w:rsidRPr="007E512D" w:rsidRDefault="00EB686F" w:rsidP="00EB686F">
      <w:pPr>
        <w:pStyle w:val="SMHeading"/>
      </w:pPr>
      <w:bookmarkStart w:id="7" w:name="_Toc8144402"/>
      <w:r w:rsidRPr="007E512D">
        <w:t>Theoretical vaccine effectiveness</w:t>
      </w:r>
      <w:bookmarkEnd w:id="7"/>
    </w:p>
    <w:p w14:paraId="1C34B7B8" w14:textId="77777777" w:rsidR="00EB686F" w:rsidRPr="007E512D" w:rsidRDefault="00EB686F" w:rsidP="00EB686F">
      <w:pPr>
        <w:rPr>
          <w:rFonts w:cs="Times New Roman"/>
        </w:rPr>
      </w:pPr>
    </w:p>
    <w:p w14:paraId="2D78C2AB" w14:textId="77777777" w:rsidR="00EB686F" w:rsidRPr="007E512D" w:rsidRDefault="00EB686F" w:rsidP="00EB686F">
      <w:pPr>
        <w:rPr>
          <w:rFonts w:cs="Times New Roman"/>
        </w:rPr>
      </w:pPr>
      <w:r w:rsidRPr="007E512D">
        <w:rPr>
          <w:rFonts w:cs="Times New Roman"/>
        </w:rPr>
        <w:t xml:space="preserve">It is possible to calculate the theoretical protection conferred by vaccination over the lifetime of the individual for the models with and without waning of vaccine-induced immunity. In Models 1 and 2, for those who only respond to one dose of the vaccine, the relative incidence of moderate-to-severe RVGE (compared to an unvaccinated individual) is: </w:t>
      </w:r>
    </w:p>
    <w:p w14:paraId="0CD0F623" w14:textId="77777777" w:rsidR="00EB686F" w:rsidRPr="007E512D" w:rsidRDefault="00EB686F" w:rsidP="00EB686F">
      <w:pPr>
        <w:pStyle w:val="MTDisplayEquation"/>
        <w:spacing w:after="120"/>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30"/>
        </w:rPr>
        <w:object w:dxaOrig="2380" w:dyaOrig="720" w14:anchorId="6F0274A0">
          <v:shape id="_x0000_i1029" type="#_x0000_t75" alt="" style="width:119.05pt;height:37.05pt;mso-width-percent:0;mso-height-percent:0;mso-width-percent:0;mso-height-percent:0" o:ole="">
            <v:imagedata r:id="rId100" o:title=""/>
          </v:shape>
          <o:OLEObject Type="Embed" ProgID="Equation.DSMT4" ShapeID="_x0000_i1029" DrawAspect="Content" ObjectID="_1626440148" r:id="rId101"/>
        </w:object>
      </w:r>
    </w:p>
    <w:p w14:paraId="477F524A" w14:textId="77777777" w:rsidR="00EB686F" w:rsidRPr="007E512D" w:rsidRDefault="00EB686F" w:rsidP="00EB686F">
      <w:pPr>
        <w:spacing w:after="120"/>
        <w:rPr>
          <w:rFonts w:cs="Times New Roman"/>
        </w:rPr>
      </w:pPr>
      <w:r w:rsidRPr="007E512D">
        <w:rPr>
          <w:rFonts w:cs="Times New Roman"/>
        </w:rPr>
        <w:lastRenderedPageBreak/>
        <w:t xml:space="preserve">If we assume the risk of infection between doses is negligible, then the relative incidence of moderate-to-severe RVGE among those who respond to two (or more) doses of the vaccine is </w:t>
      </w:r>
      <w:r w:rsidRPr="007E512D">
        <w:rPr>
          <w:rFonts w:cs="Times New Roman"/>
          <w:i/>
        </w:rPr>
        <w:t>RR</w:t>
      </w:r>
      <w:r w:rsidRPr="007E512D">
        <w:rPr>
          <w:rFonts w:cs="Times New Roman"/>
          <w:vertAlign w:val="subscript"/>
        </w:rPr>
        <w:t>2</w:t>
      </w:r>
      <w:r w:rsidRPr="007E512D">
        <w:rPr>
          <w:rFonts w:cs="Times New Roman"/>
        </w:rPr>
        <w:t xml:space="preserve">=0, while the relative incidence among those who do not respond to any vaccine doses is </w:t>
      </w:r>
      <w:r w:rsidRPr="007E512D">
        <w:rPr>
          <w:rFonts w:cs="Times New Roman"/>
          <w:i/>
        </w:rPr>
        <w:t>RR</w:t>
      </w:r>
      <w:r w:rsidRPr="007E512D">
        <w:rPr>
          <w:rFonts w:cs="Times New Roman"/>
          <w:vertAlign w:val="subscript"/>
        </w:rPr>
        <w:t>0</w:t>
      </w:r>
      <w:r w:rsidRPr="007E512D">
        <w:rPr>
          <w:rFonts w:cs="Times New Roman"/>
        </w:rPr>
        <w:t>=1. The proportion of individuals who respond to zero (</w:t>
      </w:r>
      <w:r w:rsidRPr="007E512D">
        <w:rPr>
          <w:rFonts w:cs="Times New Roman"/>
          <w:i/>
        </w:rPr>
        <w:sym w:font="Symbol" w:char="F070"/>
      </w:r>
      <w:r w:rsidRPr="007E512D">
        <w:rPr>
          <w:rFonts w:cs="Times New Roman"/>
          <w:vertAlign w:val="subscript"/>
        </w:rPr>
        <w:t>0</w:t>
      </w:r>
      <w:r w:rsidRPr="007E512D">
        <w:rPr>
          <w:rFonts w:cs="Times New Roman"/>
        </w:rPr>
        <w:t>), one (</w:t>
      </w:r>
      <w:r w:rsidRPr="007E512D">
        <w:rPr>
          <w:rFonts w:cs="Times New Roman"/>
          <w:i/>
        </w:rPr>
        <w:sym w:font="Symbol" w:char="F070"/>
      </w:r>
      <w:r w:rsidRPr="007E512D">
        <w:rPr>
          <w:rFonts w:cs="Times New Roman"/>
          <w:vertAlign w:val="subscript"/>
        </w:rPr>
        <w:t>1</w:t>
      </w:r>
      <w:r w:rsidRPr="007E512D">
        <w:rPr>
          <w:rFonts w:cs="Times New Roman"/>
        </w:rPr>
        <w:t>), or two (</w:t>
      </w:r>
      <w:r w:rsidRPr="007E512D">
        <w:rPr>
          <w:rFonts w:cs="Times New Roman"/>
          <w:i/>
        </w:rPr>
        <w:sym w:font="Symbol" w:char="F070"/>
      </w:r>
      <w:r w:rsidRPr="007E512D">
        <w:rPr>
          <w:rFonts w:cs="Times New Roman"/>
          <w:vertAlign w:val="subscript"/>
        </w:rPr>
        <w:t>2</w:t>
      </w:r>
      <w:r w:rsidRPr="007E512D">
        <w:rPr>
          <w:rFonts w:cs="Times New Roman"/>
        </w:rPr>
        <w:t>) vaccine doses is:</w:t>
      </w:r>
    </w:p>
    <w:p w14:paraId="7A84B5D9" w14:textId="77777777" w:rsidR="00EB686F" w:rsidRPr="007E512D" w:rsidRDefault="002F3CBE" w:rsidP="00EB686F">
      <w:pPr>
        <w:spacing w:after="120"/>
        <w:jc w:val="center"/>
        <w:rPr>
          <w:rFonts w:cs="Times New Roman"/>
        </w:rPr>
      </w:pPr>
      <w:r w:rsidRPr="00A028D9">
        <w:rPr>
          <w:rFonts w:cs="Times New Roman"/>
          <w:noProof/>
          <w:position w:val="-12"/>
        </w:rPr>
        <w:object w:dxaOrig="1900" w:dyaOrig="380" w14:anchorId="4F64B6C0">
          <v:shape id="_x0000_i1028" type="#_x0000_t75" alt="" style="width:96.25pt;height:19.95pt;mso-width-percent:0;mso-height-percent:0;mso-width-percent:0;mso-height-percent:0" o:ole="">
            <v:imagedata r:id="rId102" o:title=""/>
          </v:shape>
          <o:OLEObject Type="Embed" ProgID="Equation.DSMT4" ShapeID="_x0000_i1028" DrawAspect="Content" ObjectID="_1626440149" r:id="rId103"/>
        </w:object>
      </w:r>
    </w:p>
    <w:p w14:paraId="50414549" w14:textId="77777777" w:rsidR="00EB686F" w:rsidRPr="007E512D" w:rsidRDefault="002F3CBE" w:rsidP="00EB686F">
      <w:pPr>
        <w:pStyle w:val="MTDisplayEquation"/>
        <w:spacing w:after="120"/>
        <w:jc w:val="center"/>
        <w:rPr>
          <w:rFonts w:ascii="Times New Roman" w:hAnsi="Times New Roman" w:cs="Times New Roman"/>
        </w:rPr>
      </w:pPr>
      <w:r w:rsidRPr="00A028D9">
        <w:rPr>
          <w:rFonts w:ascii="Times New Roman" w:hAnsi="Times New Roman" w:cs="Times New Roman"/>
          <w:noProof/>
          <w:position w:val="-12"/>
        </w:rPr>
        <w:object w:dxaOrig="2420" w:dyaOrig="380" w14:anchorId="5DAA4199">
          <v:shape id="_x0000_i1027" type="#_x0000_t75" alt="" style="width:119.75pt;height:19.95pt;mso-width-percent:0;mso-height-percent:0;mso-width-percent:0;mso-height-percent:0" o:ole="">
            <v:imagedata r:id="rId104" o:title=""/>
          </v:shape>
          <o:OLEObject Type="Embed" ProgID="Equation.DSMT4" ShapeID="_x0000_i1027" DrawAspect="Content" ObjectID="_1626440150" r:id="rId105"/>
        </w:object>
      </w:r>
    </w:p>
    <w:p w14:paraId="730BDA4F" w14:textId="77777777" w:rsidR="00EB686F" w:rsidRPr="007E512D" w:rsidRDefault="002F3CBE" w:rsidP="00EB686F">
      <w:pPr>
        <w:pStyle w:val="MTDisplayEquation"/>
        <w:spacing w:after="120"/>
        <w:jc w:val="center"/>
        <w:rPr>
          <w:rFonts w:ascii="Times New Roman" w:hAnsi="Times New Roman" w:cs="Times New Roman"/>
        </w:rPr>
      </w:pPr>
      <w:r w:rsidRPr="00A028D9">
        <w:rPr>
          <w:rFonts w:ascii="Times New Roman" w:hAnsi="Times New Roman" w:cs="Times New Roman"/>
          <w:noProof/>
          <w:position w:val="-12"/>
        </w:rPr>
        <w:object w:dxaOrig="860" w:dyaOrig="380" w14:anchorId="4D6AA5F9">
          <v:shape id="_x0000_i1026" type="#_x0000_t75" alt="" style="width:43.5pt;height:19.95pt;mso-width-percent:0;mso-height-percent:0;mso-width-percent:0;mso-height-percent:0" o:ole="">
            <v:imagedata r:id="rId106" o:title=""/>
          </v:shape>
          <o:OLEObject Type="Embed" ProgID="Equation.DSMT4" ShapeID="_x0000_i1026" DrawAspect="Content" ObjectID="_1626440151" r:id="rId107"/>
        </w:object>
      </w:r>
    </w:p>
    <w:p w14:paraId="28C2EBE8" w14:textId="5E5D9B23" w:rsidR="00EB686F" w:rsidRDefault="00EB686F" w:rsidP="00EB686F">
      <w:pPr>
        <w:spacing w:after="120"/>
        <w:rPr>
          <w:rFonts w:cs="Times New Roman"/>
        </w:rPr>
      </w:pPr>
      <w:r w:rsidRPr="007E512D">
        <w:rPr>
          <w:rFonts w:cs="Times New Roman"/>
        </w:rPr>
        <w:t>Therefore, the “true” lifetime VE for the model</w:t>
      </w:r>
      <w:r w:rsidR="009068A8">
        <w:rPr>
          <w:rFonts w:cs="Times New Roman"/>
        </w:rPr>
        <w:t xml:space="preserve"> without waning of immunity</w:t>
      </w:r>
      <w:r w:rsidRPr="007E512D">
        <w:rPr>
          <w:rFonts w:cs="Times New Roman"/>
        </w:rPr>
        <w:t xml:space="preserve"> is:</w:t>
      </w:r>
    </w:p>
    <w:p w14:paraId="58E0E9A3" w14:textId="052BA3F8" w:rsidR="00EB686F" w:rsidRPr="007E512D" w:rsidRDefault="002558FA" w:rsidP="00894C5C">
      <w:pPr>
        <w:spacing w:after="120"/>
        <w:jc w:val="center"/>
        <w:rPr>
          <w:rFonts w:cs="Times New Roman"/>
        </w:rPr>
      </w:pPr>
      <w:r>
        <w:rPr>
          <w:rFonts w:cs="Times New Roman"/>
          <w:i/>
        </w:rPr>
        <w:t>VE</w:t>
      </w:r>
      <w:r>
        <w:rPr>
          <w:rFonts w:cs="Times New Roman"/>
          <w:i/>
          <w:vertAlign w:val="superscript"/>
        </w:rPr>
        <w:t>*</w:t>
      </w:r>
      <w:r>
        <w:rPr>
          <w:rFonts w:cs="Times New Roman"/>
          <w:i/>
          <w:vertAlign w:val="subscript"/>
        </w:rPr>
        <w:t>no waning</w:t>
      </w:r>
      <w:r>
        <w:rPr>
          <w:rFonts w:cs="Times New Roman"/>
        </w:rPr>
        <w:t xml:space="preserve"> = (1 </w:t>
      </w:r>
      <w:r w:rsidR="00894C5C">
        <w:rPr>
          <w:rFonts w:cs="Times New Roman"/>
        </w:rPr>
        <w:t>–</w:t>
      </w:r>
      <w:r>
        <w:rPr>
          <w:rFonts w:cs="Times New Roman"/>
        </w:rPr>
        <w:t xml:space="preserve"> </w:t>
      </w:r>
      <w:r>
        <w:rPr>
          <w:rFonts w:cs="Times New Roman"/>
          <w:i/>
        </w:rPr>
        <w:sym w:font="Symbol" w:char="F070"/>
      </w:r>
      <w:r w:rsidR="00894C5C">
        <w:rPr>
          <w:rFonts w:cs="Times New Roman"/>
          <w:vertAlign w:val="subscript"/>
        </w:rPr>
        <w:t xml:space="preserve"> 0</w:t>
      </w:r>
      <w:r>
        <w:rPr>
          <w:rFonts w:cs="Times New Roman"/>
        </w:rPr>
        <w:t xml:space="preserve"> </w:t>
      </w:r>
      <w:r>
        <w:rPr>
          <w:rFonts w:cs="Times New Roman"/>
          <w:i/>
        </w:rPr>
        <w:t>RR</w:t>
      </w:r>
      <w:r>
        <w:rPr>
          <w:rFonts w:cs="Times New Roman"/>
          <w:vertAlign w:val="subscript"/>
        </w:rPr>
        <w:t>0</w:t>
      </w:r>
      <w:r w:rsidR="00894C5C">
        <w:rPr>
          <w:rFonts w:cs="Times New Roman"/>
          <w:vertAlign w:val="subscript"/>
        </w:rPr>
        <w:t xml:space="preserve"> </w:t>
      </w:r>
      <w:r w:rsidR="00894C5C" w:rsidRPr="00894C5C">
        <w:rPr>
          <w:rFonts w:cs="Times New Roman"/>
        </w:rPr>
        <w:t xml:space="preserve"> </w:t>
      </w:r>
      <w:r w:rsidR="00894C5C">
        <w:rPr>
          <w:rFonts w:cs="Times New Roman"/>
        </w:rPr>
        <w:t xml:space="preserve">– </w:t>
      </w:r>
      <w:r w:rsidR="00894C5C">
        <w:rPr>
          <w:rFonts w:cs="Times New Roman"/>
          <w:i/>
        </w:rPr>
        <w:sym w:font="Symbol" w:char="F070"/>
      </w:r>
      <w:r w:rsidR="00894C5C">
        <w:rPr>
          <w:rFonts w:cs="Times New Roman"/>
          <w:vertAlign w:val="subscript"/>
        </w:rPr>
        <w:t xml:space="preserve"> </w:t>
      </w:r>
      <w:r w:rsidR="00894C5C" w:rsidRPr="00894C5C">
        <w:rPr>
          <w:rFonts w:cs="Times New Roman"/>
          <w:vertAlign w:val="subscript"/>
        </w:rPr>
        <w:t>1</w:t>
      </w:r>
      <w:r w:rsidR="00894C5C">
        <w:rPr>
          <w:rFonts w:cs="Times New Roman"/>
        </w:rPr>
        <w:t xml:space="preserve"> </w:t>
      </w:r>
      <w:r w:rsidR="00894C5C">
        <w:rPr>
          <w:rFonts w:cs="Times New Roman"/>
          <w:i/>
        </w:rPr>
        <w:t>RR</w:t>
      </w:r>
      <w:r w:rsidR="00894C5C">
        <w:rPr>
          <w:rFonts w:cs="Times New Roman"/>
          <w:vertAlign w:val="subscript"/>
        </w:rPr>
        <w:t>1</w:t>
      </w:r>
      <w:r w:rsidR="00894C5C">
        <w:rPr>
          <w:rFonts w:cs="Times New Roman"/>
        </w:rPr>
        <w:t xml:space="preserve"> </w:t>
      </w:r>
      <w:r w:rsidR="00894C5C">
        <w:rPr>
          <w:rFonts w:cs="Times New Roman"/>
        </w:rPr>
        <w:t xml:space="preserve">– </w:t>
      </w:r>
      <w:r w:rsidR="00894C5C">
        <w:rPr>
          <w:rFonts w:cs="Times New Roman"/>
          <w:i/>
        </w:rPr>
        <w:sym w:font="Symbol" w:char="F070"/>
      </w:r>
      <w:r w:rsidR="00894C5C">
        <w:rPr>
          <w:rFonts w:cs="Times New Roman"/>
          <w:vertAlign w:val="subscript"/>
        </w:rPr>
        <w:t xml:space="preserve"> </w:t>
      </w:r>
      <w:r w:rsidR="00894C5C">
        <w:rPr>
          <w:rFonts w:cs="Times New Roman"/>
          <w:vertAlign w:val="subscript"/>
        </w:rPr>
        <w:t>2</w:t>
      </w:r>
      <w:r w:rsidR="00894C5C">
        <w:rPr>
          <w:rFonts w:cs="Times New Roman"/>
        </w:rPr>
        <w:t xml:space="preserve"> </w:t>
      </w:r>
      <w:r w:rsidR="00894C5C">
        <w:rPr>
          <w:rFonts w:cs="Times New Roman"/>
          <w:i/>
        </w:rPr>
        <w:t>RR</w:t>
      </w:r>
      <w:r w:rsidR="00894C5C">
        <w:rPr>
          <w:rFonts w:cs="Times New Roman"/>
          <w:vertAlign w:val="subscript"/>
        </w:rPr>
        <w:t>2</w:t>
      </w:r>
      <w:r w:rsidR="00894C5C">
        <w:rPr>
          <w:rFonts w:cs="Times New Roman"/>
        </w:rPr>
        <w:t>) * 100%</w:t>
      </w:r>
    </w:p>
    <w:p w14:paraId="4770018F" w14:textId="77777777" w:rsidR="00EB686F" w:rsidRPr="007E512D" w:rsidRDefault="00EB686F" w:rsidP="00EB686F">
      <w:pPr>
        <w:rPr>
          <w:rFonts w:cs="Times New Roman"/>
        </w:rPr>
      </w:pPr>
      <w:r w:rsidRPr="007E512D">
        <w:rPr>
          <w:rFonts w:cs="Times New Roman"/>
        </w:rPr>
        <w:t>For Model 1, this equates to a “true” lifetime VE of 80.2%, whereas for Model 2, the “true” VE would be 55.8%.</w:t>
      </w:r>
    </w:p>
    <w:p w14:paraId="2EF8A1A5" w14:textId="77777777" w:rsidR="00EB686F" w:rsidRPr="007E512D" w:rsidRDefault="00EB686F" w:rsidP="00EB686F">
      <w:pPr>
        <w:rPr>
          <w:rFonts w:cs="Times New Roman"/>
        </w:rPr>
      </w:pPr>
    </w:p>
    <w:p w14:paraId="135DF07D" w14:textId="77777777" w:rsidR="00EB686F" w:rsidRPr="007E512D" w:rsidRDefault="00EB686F" w:rsidP="00EB686F">
      <w:pPr>
        <w:spacing w:after="120"/>
        <w:rPr>
          <w:rFonts w:cs="Times New Roman"/>
        </w:rPr>
      </w:pPr>
      <w:r w:rsidRPr="007E512D">
        <w:rPr>
          <w:rFonts w:cs="Times New Roman"/>
        </w:rPr>
        <w:t>For the models assuming waning of vaccine-induced immunity, responding to a single dose of vaccine only provides temporary complete immunity, while responding to two doses of vaccine provides temporary complete immunity plus a benefit equivalent to an additional natural infection. Thus, the “true” lifetime VE is:</w:t>
      </w:r>
    </w:p>
    <w:p w14:paraId="15DFB212" w14:textId="77777777" w:rsidR="00EB686F" w:rsidRPr="007E512D" w:rsidRDefault="00EB686F" w:rsidP="00EB686F">
      <w:pPr>
        <w:pStyle w:val="MTDisplayEquation"/>
        <w:spacing w:after="120"/>
        <w:rPr>
          <w:rFonts w:ascii="Times New Roman" w:hAnsi="Times New Roman" w:cs="Times New Roman"/>
        </w:rPr>
      </w:pPr>
      <w:r w:rsidRPr="007E512D">
        <w:rPr>
          <w:rFonts w:ascii="Times New Roman" w:hAnsi="Times New Roman" w:cs="Times New Roman"/>
        </w:rPr>
        <w:tab/>
      </w:r>
      <w:r w:rsidR="002F3CBE" w:rsidRPr="00A028D9">
        <w:rPr>
          <w:rFonts w:ascii="Times New Roman" w:hAnsi="Times New Roman" w:cs="Times New Roman"/>
          <w:noProof/>
          <w:position w:val="-16"/>
        </w:rPr>
        <w:object w:dxaOrig="4240" w:dyaOrig="440" w14:anchorId="5ABA39D7">
          <v:shape id="_x0000_i1025" type="#_x0000_t75" alt="" style="width:213.85pt;height:22.1pt;mso-width-percent:0;mso-height-percent:0;mso-width-percent:0;mso-height-percent:0" o:ole="">
            <v:imagedata r:id="rId108" o:title=""/>
          </v:shape>
          <o:OLEObject Type="Embed" ProgID="Equation.DSMT4" ShapeID="_x0000_i1025" DrawAspect="Content" ObjectID="_1626440152" r:id="rId109"/>
        </w:object>
      </w:r>
    </w:p>
    <w:p w14:paraId="41BF1B08" w14:textId="2506D739" w:rsidR="00EB686F" w:rsidRPr="007E512D" w:rsidRDefault="000125DA" w:rsidP="00EB686F">
      <w:pPr>
        <w:rPr>
          <w:rFonts w:cs="Times New Roman"/>
        </w:rPr>
      </w:pPr>
      <w:r>
        <w:rPr>
          <w:rFonts w:cs="Times New Roman"/>
        </w:rPr>
        <w:t>T</w:t>
      </w:r>
      <w:r w:rsidR="00EB686F" w:rsidRPr="007E512D">
        <w:rPr>
          <w:rFonts w:cs="Times New Roman"/>
        </w:rPr>
        <w:t>his equates to a “true” lifetime VE of 36.3% for both Models 3 and 4.</w:t>
      </w:r>
    </w:p>
    <w:p w14:paraId="5B7CC81D" w14:textId="77777777" w:rsidR="00EB686F" w:rsidRPr="007E512D" w:rsidRDefault="00EB686F" w:rsidP="00EB686F">
      <w:pPr>
        <w:rPr>
          <w:rFonts w:cs="Times New Roman"/>
        </w:rPr>
      </w:pPr>
    </w:p>
    <w:p w14:paraId="5D15E1F1" w14:textId="77777777" w:rsidR="00EB686F" w:rsidRPr="007E512D" w:rsidRDefault="00EB686F" w:rsidP="00EB686F">
      <w:pPr>
        <w:rPr>
          <w:rFonts w:cs="Times New Roman"/>
        </w:rPr>
      </w:pPr>
      <w:r w:rsidRPr="007E512D">
        <w:rPr>
          <w:rFonts w:cs="Times New Roman"/>
        </w:rPr>
        <w:t xml:space="preserve">Note that our models assume that there is no benefit to delaying rotavirus infections to a later age—in other words, a first rotavirus infection has the same probability of causing moderate-to-severe RVGE whether it is acquired at 6 months of age or 6 years of age. However, the risk and severity of RVGE may be lower among older children regardless of the number of previous infections </w:t>
      </w:r>
      <w:r w:rsidRPr="007E512D">
        <w:rPr>
          <w:rFonts w:cs="Times New Roman"/>
        </w:rPr>
        <w:fldChar w:fldCharType="begin" w:fldLock="1"/>
      </w:r>
      <w:r w:rsidRPr="007E512D">
        <w:rPr>
          <w:rFonts w:cs="Times New Roman"/>
        </w:rPr>
        <w:instrText>ADDIN CSL_CITATION {"citationItems":[{"id":"ITEM-1","itemData":{"DOI":"10.1093/infdis/jix310","ISSN":"0022-1899","abstract":"Background. Observational studies in socioeconomically distinct populations have yielded conflicting conclusions about the strength of naturally acquired immunity against rotavirus gastroenteritis (RVGE), mirroring vaccine underperformance in low-in-come countries. We revisited birth cohort studies to understand naturally acquired protection against rotavirus infection and RVGE. Methods. We reanalyzed data from 200 Mexican and 373 Indian children followed from birth to 2 and 3 years of age, respec-tively. We reassessed protection against RVGE, decomposing the incidence rate into the rate of rotavirus infection and the risk of RVGE given infection, and tested for serum antibody correlates of protection using regression models. Results. Risk for primary, secondary, and subsequent infections to cause RVGE decreased per log-month of age by 28% (95% confidence interval [CI], 12%–41%), 69% (95% CI, 30%–86%), and 64% (95% CI, –186% to 95%), respectively, in Mexico City, and by 10% (95% CI, –1% to 19%), 51% (95% CI, 41%–59%) and 67% (95% CI, 57%–75%), respectively, in Vellore. Elevated serum immunoglobulin A and immunoglobulin G titers were associated with partial protection against rotavirus infection. Associations between older age and reduced risk for RVGE or moderate-to-severe RVGE given infection persisted after controlling for antibody levels. Conclusions. Dissimilar estimates of protection against RVGE may be due in part to age-related, antibody-independent risk for rotavirus infections to cause RVGE.","author":[{"dropping-particle":"","family":"Lewnard","given":"Joseph A","non-dropping-particle":"","parse-names":false,"suffix":""},{"dropping-particle":"","family":"Lopman","given":"Benjamin A","non-dropping-particle":"","parse-names":false,"suffix":""},{"dropping-particle":"","family":"Parashar","given":"Umesh D","non-dropping-particle":"","parse-names":false,"suffix":""},{"dropping-particle":"","family":"Bar-Zeev","given":"Naor","non-dropping-particle":"","parse-names":false,"suffix":""},{"dropping-particle":"","family":"Samuel","given":"Prasanna","non-dropping-particle":"","parse-names":false,"suffix":""},{"dropping-particle":"","family":"Lourdes Guerrero","given":"M","non-dropping-particle":"","parse-names":false,"suffix":""},{"dropping-particle":"","family":"Ruiz-Palacios","given":"Guillermo M","non-dropping-particle":"","parse-names":false,"suffix":""},{"dropping-particle":"","family":"Kang","given":"Gagandeep","non-dropping-particle":"","parse-names":false,"suffix":""},{"dropping-particle":"","family":"Pitzer","given":"Virginia E","non-dropping-particle":"","parse-names":false,"suffix":""}],"container-title":"The Journal of Infectious Diseases The Journal of Infectious Diseases ®","id":"ITEM-1","issue":"September","issued":{"date-parts":[["2017"]]},"page":"317-26","title":"Naturally Acquired Immunity Against Rotavirus Infection and Gastroenteritis in Children: Paired Reanalyses of Birth Cohort Studies","type":"article-journal","volume":"216"},"uris":["http://www.mendeley.com/documents/?uuid=2abd941a-3612-4206-8d7e-1c44533280f2"]}],"mendeley":{"formattedCitation":"&lt;i&gt;(71)&lt;/i&gt;","plainTextFormattedCitation":"(71)","previouslyFormattedCitation":"&lt;i&gt;(72)&lt;/i&gt;"},"properties":{"noteIndex":0},"schema":"https://github.com/citation-style-language/schema/raw/master/csl-citation.json"}</w:instrText>
      </w:r>
      <w:r w:rsidRPr="007E512D">
        <w:rPr>
          <w:rFonts w:cs="Times New Roman"/>
        </w:rPr>
        <w:fldChar w:fldCharType="separate"/>
      </w:r>
      <w:r w:rsidRPr="007E512D">
        <w:rPr>
          <w:rFonts w:cs="Times New Roman"/>
          <w:i/>
          <w:noProof/>
        </w:rPr>
        <w:t>(71)</w:t>
      </w:r>
      <w:r w:rsidRPr="007E512D">
        <w:rPr>
          <w:rFonts w:cs="Times New Roman"/>
        </w:rPr>
        <w:fldChar w:fldCharType="end"/>
      </w:r>
      <w:r w:rsidRPr="007E512D">
        <w:rPr>
          <w:rFonts w:cs="Times New Roman"/>
        </w:rPr>
        <w:t xml:space="preserve">. </w:t>
      </w:r>
    </w:p>
    <w:p w14:paraId="2B89B97D" w14:textId="77777777" w:rsidR="00EB686F" w:rsidRPr="007E512D" w:rsidRDefault="00EB686F" w:rsidP="00EB686F">
      <w:pPr>
        <w:rPr>
          <w:rFonts w:cs="Times New Roman"/>
          <w:b/>
          <w:i/>
          <w:szCs w:val="22"/>
        </w:rPr>
      </w:pPr>
    </w:p>
    <w:p w14:paraId="047123F5" w14:textId="77777777" w:rsidR="00EB686F" w:rsidRPr="007E512D" w:rsidRDefault="00EB686F" w:rsidP="00EB686F">
      <w:pPr>
        <w:pStyle w:val="SMHeading"/>
      </w:pPr>
      <w:bookmarkStart w:id="8" w:name="_Toc8144403"/>
      <w:r w:rsidRPr="007E512D">
        <w:t>Sensitivity analyses</w:t>
      </w:r>
      <w:bookmarkEnd w:id="8"/>
    </w:p>
    <w:p w14:paraId="037D2F58" w14:textId="77777777" w:rsidR="00EB686F" w:rsidRPr="007E512D" w:rsidRDefault="00EB686F" w:rsidP="00EB686F">
      <w:pPr>
        <w:outlineLvl w:val="0"/>
        <w:rPr>
          <w:rFonts w:cs="Times New Roman"/>
          <w:szCs w:val="22"/>
        </w:rPr>
      </w:pPr>
    </w:p>
    <w:p w14:paraId="748E056D" w14:textId="77777777" w:rsidR="00EB686F" w:rsidRPr="007E512D" w:rsidRDefault="00EB686F" w:rsidP="00EB686F">
      <w:pPr>
        <w:rPr>
          <w:rFonts w:cs="Times New Roman"/>
          <w:szCs w:val="22"/>
        </w:rPr>
      </w:pPr>
      <w:r w:rsidRPr="007E512D">
        <w:rPr>
          <w:rFonts w:cs="Times New Roman"/>
          <w:b/>
          <w:i/>
          <w:szCs w:val="22"/>
        </w:rPr>
        <w:t>Relative infectiousness of subclinical infections.</w:t>
      </w:r>
      <w:r w:rsidRPr="007E512D">
        <w:rPr>
          <w:rFonts w:cs="Times New Roman"/>
          <w:szCs w:val="22"/>
        </w:rPr>
        <w:t xml:space="preserve"> The extent to which third and subsequent infections, which are generally subclinical, contribute to transmission is unclear. Models for the transmission dynamics of rotavirus have made varying assumptions, which have been shown to have important repercussions for predictions regarding the indirect protection conferred by vaccination </w:t>
      </w:r>
      <w:r w:rsidRPr="007E512D">
        <w:rPr>
          <w:rFonts w:cs="Times New Roman"/>
          <w:szCs w:val="22"/>
        </w:rPr>
        <w:fldChar w:fldCharType="begin" w:fldLock="1"/>
      </w:r>
      <w:r w:rsidRPr="007E512D">
        <w:rPr>
          <w:rFonts w:cs="Times New Roman"/>
          <w:szCs w:val="22"/>
        </w:rPr>
        <w:instrText>ADDIN CSL_CITATION {"citationItems":[{"id":"ITEM-1","itemData":{"DOI":"10.1371/journal.pone.0042320","ISSN":"1932-6203","PMID":"22912699","abstract":"Early observations from countries that have introduced rotavirus vaccination suggest that there may be indirect protection for unvaccinated individuals, but it is unclear whether these benefits will extend to the long term. Transmission dynamic models have attempted to quantify the indirect protection that might be expected from rotavirus vaccination in developed countries, but results have varied. To better understand the magnitude and sources of variability in model projections, we undertook a comparative analysis of transmission dynamic models for rotavirus. We fit five models to reported rotavirus gastroenteritis (RVGE) data from England and Wales, and evaluated outcomes for short- and long-term vaccination effects. All of our models reproduced the important features of rotavirus epidemics in England and Wales. Models predicted that during the initial year after vaccine introduction, incidence of severe RVGE would be reduced 1.8-2.9 times more than expected from the direct effects of the vaccine alone (28-50% at 90% coverage), but over a 5-year period following vaccine introduction severe RVGE would be reduced only by 1.1-1.7 times more than expected from the direct effects (54-90% at 90% coverage). Projections for the long-term reduction of severe RVGE ranged from a 55% reduction at full coverage to elimination with at least 80% coverage. Our models predicted short-term reductions in the incidence of RVGE that exceeded estimates of the direct effects, consistent with observations from the United States and other countries. Some of the models predicted that the short-term indirect benefits may be offset by a partial shifting of the burden of RVGE to older unvaccinated individuals. Nonetheless, even when such a shift occurs, the overall reduction in severe RVGE is considerable. Discrepancies among model predictions reflect uncertainties about age variation in the risk and reporting of RVGE, and the duration of natural and vaccine-induced immunity, highlighting important questions for future research.","author":[{"dropping-particle":"","family":"Pitzer","given":"Virginia E","non-dropping-particle":"","parse-names":false,"suffix":""},{"dropping-particle":"","family":"Atkins","given":"Katherine E","non-dropping-particle":"","parse-names":false,"suffix":""},{"dropping-particle":"","family":"Blasio","given":"Birgitte Freiesleben","non-dropping-particle":"de","parse-names":false,"suffix":""},{"dropping-particle":"","family":"Effelterre","given":"Thierry","non-dropping-particle":"Van","parse-names":false,"suffix":""},{"dropping-particle":"","family":"Atchison","given":"Christina J","non-dropping-particle":"","parse-names":false,"suffix":""},{"dropping-particle":"","family":"Harris","given":"John P","non-dropping-particle":"","parse-names":false,"suffix":""},{"dropping-particle":"","family":"Shim","given":"Eunha","non-dropping-particle":"","parse-names":false,"suffix":""},{"dropping-particle":"","family":"Galvani","given":"Alison P","non-dropping-particle":"","parse-names":false,"suffix":""},{"dropping-particle":"","family":"Edmunds","given":"W John","non-dropping-particle":"","parse-names":false,"suffix":""},{"dropping-particle":"","family":"Viboud","given":"Cécile","non-dropping-particle":"","parse-names":false,"suffix":""},{"dropping-particle":"","family":"Patel","given":"Manish M","non-dropping-particle":"","parse-names":false,"suffix":""},{"dropping-particle":"","family":"Grenfell","given":"Bryan T","non-dropping-particle":"","parse-names":false,"suffix":""},{"dropping-particle":"","family":"Parashar","given":"Umesh D","non-dropping-particle":"","parse-names":false,"suffix":""},{"dropping-particle":"","family":"Lopman","given":"Ben A","non-dropping-particle":"","parse-names":false,"suffix":""}],"container-title":"PLoS ONE","id":"ITEM-1","issue":"8","issued":{"date-parts":[["2012","1"]]},"page":"e42320","title":"Direct and indirect effects of rotavirus vaccination: comparing predictions from transmission dynamic models.","type":"article-journal","volume":"7"},"uris":["http://www.mendeley.com/documents/?uuid=7c4aa97c-af80-424a-8507-27b073afa1f1"]}],"mendeley":{"formattedCitation":"&lt;i&gt;(27)&lt;/i&gt;","plainTextFormattedCitation":"(27)","previouslyFormattedCitation":"&lt;i&gt;(28)&lt;/i&gt;"},"properties":{"noteIndex":0},"schema":"https://github.com/citation-style-language/schema/raw/master/csl-citation.json"}</w:instrText>
      </w:r>
      <w:r w:rsidRPr="007E512D">
        <w:rPr>
          <w:rFonts w:cs="Times New Roman"/>
          <w:szCs w:val="22"/>
        </w:rPr>
        <w:fldChar w:fldCharType="separate"/>
      </w:r>
      <w:r w:rsidRPr="007E512D">
        <w:rPr>
          <w:rFonts w:cs="Times New Roman"/>
          <w:i/>
          <w:noProof/>
          <w:szCs w:val="22"/>
        </w:rPr>
        <w:t>(27)</w:t>
      </w:r>
      <w:r w:rsidRPr="007E512D">
        <w:rPr>
          <w:rFonts w:cs="Times New Roman"/>
          <w:szCs w:val="22"/>
        </w:rPr>
        <w:fldChar w:fldCharType="end"/>
      </w:r>
      <w:r w:rsidRPr="007E512D">
        <w:rPr>
          <w:rFonts w:cs="Times New Roman"/>
          <w:szCs w:val="22"/>
        </w:rPr>
        <w:t xml:space="preserve">. </w:t>
      </w:r>
    </w:p>
    <w:p w14:paraId="07732B39" w14:textId="77777777" w:rsidR="00EB686F" w:rsidRPr="007E512D" w:rsidRDefault="00EB686F" w:rsidP="00EB686F">
      <w:pPr>
        <w:rPr>
          <w:rFonts w:cs="Times New Roman"/>
          <w:szCs w:val="22"/>
        </w:rPr>
      </w:pPr>
    </w:p>
    <w:p w14:paraId="684DF0A9" w14:textId="6FB835C5" w:rsidR="00EB686F" w:rsidRPr="007E512D" w:rsidRDefault="00EB686F" w:rsidP="00EB686F">
      <w:pPr>
        <w:rPr>
          <w:rFonts w:cs="Times New Roman"/>
        </w:rPr>
      </w:pPr>
      <w:r w:rsidRPr="007E512D">
        <w:rPr>
          <w:rFonts w:cs="Times New Roman"/>
          <w:szCs w:val="22"/>
        </w:rPr>
        <w:t>For our base-case model, we fixed the relative infectiousness of subsequent subclinical infections (</w:t>
      </w:r>
      <w:r w:rsidRPr="007E512D">
        <w:rPr>
          <w:rFonts w:cs="Times New Roman"/>
          <w:i/>
          <w:szCs w:val="22"/>
        </w:rPr>
        <w:sym w:font="Symbol" w:char="F072"/>
      </w:r>
      <w:r w:rsidRPr="007E512D">
        <w:rPr>
          <w:rFonts w:cs="Times New Roman"/>
          <w:szCs w:val="22"/>
          <w:vertAlign w:val="subscript"/>
        </w:rPr>
        <w:t>3</w:t>
      </w:r>
      <w:r w:rsidRPr="007E512D">
        <w:rPr>
          <w:rFonts w:cs="Times New Roman"/>
          <w:szCs w:val="22"/>
        </w:rPr>
        <w:t xml:space="preserve">) at 0.1, as in previous models. As a sensitivity analysis, we varied </w:t>
      </w:r>
      <w:r w:rsidRPr="007E512D">
        <w:rPr>
          <w:rFonts w:cs="Times New Roman"/>
          <w:i/>
          <w:szCs w:val="22"/>
        </w:rPr>
        <w:sym w:font="Symbol" w:char="F072"/>
      </w:r>
      <w:r w:rsidRPr="007E512D">
        <w:rPr>
          <w:rFonts w:cs="Times New Roman"/>
          <w:szCs w:val="22"/>
          <w:vertAlign w:val="subscript"/>
        </w:rPr>
        <w:t>3</w:t>
      </w:r>
      <w:r w:rsidRPr="007E512D">
        <w:rPr>
          <w:rFonts w:cs="Times New Roman"/>
          <w:szCs w:val="22"/>
        </w:rPr>
        <w:t xml:space="preserve"> from 0.2 to 0.5 (in increments of 0.1) and refit the model to the pre-vaccination surveillance data. We found that the best-fit estimates of </w:t>
      </w:r>
      <w:r w:rsidRPr="007E512D">
        <w:rPr>
          <w:rFonts w:cs="Times New Roman"/>
          <w:i/>
          <w:szCs w:val="22"/>
        </w:rPr>
        <w:t>R</w:t>
      </w:r>
      <w:r w:rsidRPr="007E512D">
        <w:rPr>
          <w:rFonts w:cs="Times New Roman"/>
          <w:szCs w:val="22"/>
          <w:vertAlign w:val="subscript"/>
        </w:rPr>
        <w:t>0</w:t>
      </w:r>
      <w:r w:rsidRPr="007E512D">
        <w:rPr>
          <w:rFonts w:cs="Times New Roman"/>
          <w:szCs w:val="22"/>
        </w:rPr>
        <w:t xml:space="preserve"> and </w:t>
      </w:r>
      <w:r w:rsidRPr="007E512D">
        <w:rPr>
          <w:rFonts w:cs="Times New Roman"/>
          <w:i/>
          <w:szCs w:val="22"/>
        </w:rPr>
        <w:sym w:font="Symbol" w:char="F072"/>
      </w:r>
      <w:r w:rsidRPr="007E512D">
        <w:rPr>
          <w:rFonts w:cs="Times New Roman"/>
          <w:szCs w:val="22"/>
          <w:vertAlign w:val="subscript"/>
        </w:rPr>
        <w:t>3</w:t>
      </w:r>
      <w:r w:rsidRPr="007E512D">
        <w:rPr>
          <w:rFonts w:cs="Times New Roman"/>
          <w:szCs w:val="22"/>
        </w:rPr>
        <w:t xml:space="preserve"> were highly correlated (</w:t>
      </w:r>
      <w:r w:rsidR="00682FA6">
        <w:rPr>
          <w:rFonts w:cs="Times New Roman"/>
          <w:b/>
          <w:szCs w:val="22"/>
        </w:rPr>
        <w:t>t</w:t>
      </w:r>
      <w:r w:rsidRPr="007E512D">
        <w:rPr>
          <w:rFonts w:cs="Times New Roman"/>
          <w:b/>
          <w:szCs w:val="22"/>
        </w:rPr>
        <w:t xml:space="preserve">able </w:t>
      </w:r>
      <w:r w:rsidR="00201344" w:rsidRPr="007E512D">
        <w:rPr>
          <w:rFonts w:cs="Times New Roman"/>
          <w:b/>
          <w:szCs w:val="22"/>
        </w:rPr>
        <w:t>S</w:t>
      </w:r>
      <w:r w:rsidR="00201344">
        <w:rPr>
          <w:rFonts w:cs="Times New Roman"/>
          <w:b/>
          <w:szCs w:val="22"/>
        </w:rPr>
        <w:t>2</w:t>
      </w:r>
      <w:r w:rsidRPr="007E512D">
        <w:rPr>
          <w:rFonts w:cs="Times New Roman"/>
          <w:szCs w:val="22"/>
        </w:rPr>
        <w:t>,</w:t>
      </w:r>
      <w:r w:rsidRPr="007E512D">
        <w:rPr>
          <w:rFonts w:cs="Times New Roman"/>
          <w:b/>
          <w:szCs w:val="22"/>
        </w:rPr>
        <w:t xml:space="preserve"> </w:t>
      </w:r>
      <w:r w:rsidR="00682FA6">
        <w:rPr>
          <w:rFonts w:cs="Times New Roman"/>
          <w:b/>
          <w:szCs w:val="22"/>
        </w:rPr>
        <w:t>fig.</w:t>
      </w:r>
      <w:r w:rsidR="00682FA6" w:rsidRPr="007E512D">
        <w:rPr>
          <w:rFonts w:cs="Times New Roman"/>
          <w:b/>
          <w:szCs w:val="22"/>
        </w:rPr>
        <w:t xml:space="preserve"> </w:t>
      </w:r>
      <w:r w:rsidR="00201344" w:rsidRPr="007E512D">
        <w:rPr>
          <w:rFonts w:cs="Times New Roman"/>
          <w:b/>
          <w:szCs w:val="22"/>
        </w:rPr>
        <w:t>S1</w:t>
      </w:r>
      <w:r w:rsidR="00201344">
        <w:rPr>
          <w:rFonts w:cs="Times New Roman"/>
          <w:b/>
          <w:szCs w:val="22"/>
        </w:rPr>
        <w:t>6</w:t>
      </w:r>
      <w:r w:rsidRPr="007E512D">
        <w:rPr>
          <w:rFonts w:cs="Times New Roman"/>
          <w:szCs w:val="22"/>
        </w:rPr>
        <w:t>), which limits our ability to simultaneously estimate both parameters. Nevertheless, model predictions for the overall impact of vaccination and the model-predicted vaccine</w:t>
      </w:r>
      <w:r w:rsidRPr="007E512D">
        <w:rPr>
          <w:rFonts w:cs="Times New Roman"/>
        </w:rPr>
        <w:t xml:space="preserve"> effectiveness were similar regardless of our assumptions about </w:t>
      </w:r>
      <w:r w:rsidRPr="007E512D">
        <w:rPr>
          <w:rFonts w:cs="Times New Roman"/>
          <w:i/>
        </w:rPr>
        <w:sym w:font="Symbol" w:char="F072"/>
      </w:r>
      <w:r w:rsidRPr="007E512D">
        <w:rPr>
          <w:rFonts w:cs="Times New Roman"/>
          <w:vertAlign w:val="subscript"/>
        </w:rPr>
        <w:t>3</w:t>
      </w:r>
      <w:r w:rsidRPr="007E512D">
        <w:rPr>
          <w:rFonts w:cs="Times New Roman"/>
        </w:rPr>
        <w:t xml:space="preserve"> (</w:t>
      </w:r>
      <w:r w:rsidR="00C02A3E">
        <w:rPr>
          <w:rFonts w:cs="Times New Roman"/>
          <w:b/>
        </w:rPr>
        <w:t>fig.</w:t>
      </w:r>
      <w:r w:rsidR="00C02A3E" w:rsidRPr="007E512D">
        <w:rPr>
          <w:rFonts w:cs="Times New Roman"/>
          <w:b/>
        </w:rPr>
        <w:t xml:space="preserve"> </w:t>
      </w:r>
      <w:r w:rsidR="00201344" w:rsidRPr="007E512D">
        <w:rPr>
          <w:rFonts w:cs="Times New Roman"/>
          <w:b/>
        </w:rPr>
        <w:t>S1</w:t>
      </w:r>
      <w:r w:rsidR="00201344">
        <w:rPr>
          <w:rFonts w:cs="Times New Roman"/>
          <w:b/>
        </w:rPr>
        <w:t>7</w:t>
      </w:r>
      <w:r w:rsidRPr="007E512D">
        <w:rPr>
          <w:rFonts w:cs="Times New Roman"/>
        </w:rPr>
        <w:t>).</w:t>
      </w:r>
    </w:p>
    <w:p w14:paraId="11168420" w14:textId="77777777" w:rsidR="00EB686F" w:rsidRPr="007E512D" w:rsidRDefault="00EB686F" w:rsidP="00EB686F">
      <w:pPr>
        <w:rPr>
          <w:rFonts w:cs="Times New Roman"/>
        </w:rPr>
      </w:pPr>
    </w:p>
    <w:p w14:paraId="57215F1A" w14:textId="276640E3" w:rsidR="00EB686F" w:rsidRPr="002B21A7" w:rsidRDefault="00EB686F" w:rsidP="00EB686F">
      <w:pPr>
        <w:rPr>
          <w:rFonts w:cs="Times New Roman"/>
          <w:b/>
          <w:lang w:val="fr-FR"/>
        </w:rPr>
      </w:pPr>
      <w:r w:rsidRPr="007E512D">
        <w:rPr>
          <w:rFonts w:cs="Times New Roman"/>
          <w:b/>
          <w:i/>
        </w:rPr>
        <w:t>Duration of complete immunity following infection.</w:t>
      </w:r>
      <w:r w:rsidRPr="007E512D">
        <w:rPr>
          <w:rFonts w:cs="Times New Roman"/>
          <w:i/>
        </w:rPr>
        <w:t xml:space="preserve"> </w:t>
      </w:r>
      <w:r w:rsidRPr="007E512D">
        <w:rPr>
          <w:rFonts w:cs="Times New Roman"/>
        </w:rPr>
        <w:t>It is also unclear whether and for how long individuals are completely protected from reinfection with rotavirus following natural infection (and vaccination in Models 1 and 2). Such protection is likely short-lived, lasting on the order of weeks to months. Previous models for rotavirus transmission dynamics in high-income countries have assumed that the duration of complete protection is 0</w:t>
      </w:r>
      <w:r w:rsidR="00990C19">
        <w:rPr>
          <w:rFonts w:cs="Times New Roman"/>
        </w:rPr>
        <w:t xml:space="preserve"> to </w:t>
      </w:r>
      <w:r w:rsidRPr="007E512D">
        <w:rPr>
          <w:rFonts w:cs="Times New Roman"/>
        </w:rPr>
        <w:t xml:space="preserve">1 years </w:t>
      </w:r>
      <w:r w:rsidRPr="007E512D">
        <w:rPr>
          <w:rFonts w:cs="Times New Roman"/>
        </w:rPr>
        <w:fldChar w:fldCharType="begin" w:fldLock="1"/>
      </w:r>
      <w:r w:rsidRPr="007E512D">
        <w:rPr>
          <w:rFonts w:cs="Times New Roman"/>
        </w:rPr>
        <w:instrText>ADDIN CSL_CITATION {"citationItems":[{"id":"ITEM-1","itemData":{"DOI":"10.1371/journal.pone.0042320","ISSN":"1932-6203","PMID":"22912699","abstract":"Early observations from countries that have introduced rotavirus vaccination suggest that there may be indirect protection for unvaccinated individuals, but it is unclear whether these benefits will extend to the long term. Transmission dynamic models have attempted to quantify the indirect protection that might be expected from rotavirus vaccination in developed countries, but results have varied. To better understand the magnitude and sources of variability in model projections, we undertook a comparative analysis of transmission dynamic models for rotavirus. We fit five models to reported rotavirus gastroenteritis (RVGE) data from England and Wales, and evaluated outcomes for short- and long-term vaccination effects. All of our models reproduced the important features of rotavirus epidemics in England and Wales. Models predicted that during the initial year after vaccine introduction, incidence of severe RVGE would be reduced 1.8-2.9 times more than expected from the direct effects of the vaccine alone (28-50% at 90% coverage), but over a 5-year period following vaccine introduction severe RVGE would be reduced only by 1.1-1.7 times more than expected from the direct effects (54-90% at 90% coverage). Projections for the long-term reduction of severe RVGE ranged from a 55% reduction at full coverage to elimination with at least 80% coverage. Our models predicted short-term reductions in the incidence of RVGE that exceeded estimates of the direct effects, consistent with observations from the United States and other countries. Some of the models predicted that the short-term indirect benefits may be offset by a partial shifting of the burden of RVGE to older unvaccinated individuals. Nonetheless, even when such a shift occurs, the overall reduction in severe RVGE is considerable. Discrepancies among model predictions reflect uncertainties about age variation in the risk and reporting of RVGE, and the duration of natural and vaccine-induced immunity, highlighting important questions for future research.","author":[{"dropping-particle":"","family":"Pitzer","given":"Virginia E","non-dropping-particle":"","parse-names":false,"suffix":""},{"dropping-particle":"","family":"Atkins","given":"Katherine E","non-dropping-particle":"","parse-names":false,"suffix":""},{"dropping-particle":"","family":"Blasio","given":"Birgitte Freiesleben","non-dropping-particle":"de","parse-names":false,"suffix":""},{"dropping-particle":"","family":"Effelterre","given":"Thierry","non-dropping-particle":"Van","parse-names":false,"suffix":""},{"dropping-particle":"","family":"Atchison","given":"Christina J","non-dropping-particle":"","parse-names":false,"suffix":""},{"dropping-particle":"","family":"Harris","given":"John P","non-dropping-particle":"","parse-names":false,"suffix":""},{"dropping-particle":"","family":"Shim","given":"Eunha","non-dropping-particle":"","parse-names":false,"suffix":""},{"dropping-particle":"","family":"Galvani","given":"Alison P","non-dropping-particle":"","parse-names":false,"suffix":""},{"dropping-particle":"","family":"Edmunds","given":"W John","non-dropping-particle":"","parse-names":false,"suffix":""},{"dropping-particle":"","family":"Viboud","given":"Cécile","non-dropping-particle":"","parse-names":false,"suffix":""},{"dropping-particle":"","family":"Patel","given":"Manish M","non-dropping-particle":"","parse-names":false,"suffix":""},{"dropping-particle":"","family":"Grenfell","given":"Bryan T","non-dropping-particle":"","parse-names":false,"suffix":""},{"dropping-particle":"","family":"Parashar","given":"Umesh D","non-dropping-particle":"","parse-names":false,"suffix":""},{"dropping-particle":"","family":"Lopman","given":"Ben A","non-dropping-particle":"","parse-names":false,"suffix":""}],"container-title":"PLoS ONE","id":"ITEM-1","issue":"8","issued":{"date-parts":[["2012","1"]]},"page":"e42320","title":"Direct and indirect effects of rotavirus vaccination: comparing predictions from transmission dynamic models.","type":"article-journal","volume":"7"},"uris":["http://www.mendeley.com/documents/?uuid=7c4aa97c-af80-424a-8507-27b073afa1f1"]},{"id":"ITEM-2","itemData":{"DOI":"10.1126/science.1172330","ISSN":"1095-9203","PMID":"19608910","abstract":"Historically, annual rotavirus activity in the United States has started in the southwest in late fall and ended in the northeast 3 months later; this trend has diminished in recent years. Traveling waves of infection or local environmental drivers cannot account for these patterns. A transmission model calibrated against epidemiological data shows that spatiotemporal variation in birth rate can explain the timing of rotavirus epidemics. The recent large-scale introduction of rotavirus vaccination provides a natural experiment to further test the impact of susceptible recruitment on disease dynamics. The model predicts a pattern of reduced and lagged epidemics postvaccination, closely matching the observed dynamics. Armed with this validated model, we explore the relative importance of direct and indirect protection, a key issue in determining the worldwide benefits of vaccination.","author":[{"dropping-particle":"","family":"Pitzer","given":"Virginia E","non-dropping-particle":"","parse-names":false,"suffix":""},{"dropping-particle":"","family":"Viboud","given":"Cécile","non-dropping-particle":"","parse-names":false,"suffix":""},{"dropping-particle":"","family":"Simonsen","given":"Lone","non-dropping-particle":"","parse-names":false,"suffix":""},{"dropping-particle":"","family":"Steiner","given":"Claudia","non-dropping-particle":"","parse-names":false,"suffix":""},{"dropping-particle":"","family":"Panozzo","given":"Catherine A","non-dropping-particle":"","parse-names":false,"suffix":""},{"dropping-particle":"","family":"Alonso","given":"Wladimir J","non-dropping-particle":"","parse-names":false,"suffix":""},{"dropping-particle":"","family":"Miller","given":"Mark A","non-dropping-particle":"","parse-names":false,"suffix":""},{"dropping-particle":"","family":"Glass","given":"Roger I","non-dropping-particle":"","parse-names":false,"suffix":""},{"dropping-particle":"","family":"Glasser","given":"John W","non-dropping-particle":"","parse-names":false,"suffix":""},{"dropping-particle":"","family":"Parashar","given":"Umesh D","non-dropping-particle":"","parse-names":false,"suffix":""},{"dropping-particle":"","family":"Grenfell","given":"Bryan T","non-dropping-particle":"","parse-names":false,"suffix":""}],"container-title":"Science","id":"ITEM-2","issue":"5938","issued":{"date-parts":[["2009","7","17"]]},"page":"290-4","title":"Demographic variability, vaccination, and the spatiotemporal dynamics of rotavirus epidemics.","type":"article-journal","volume":"325"},"uris":["http://www.mendeley.com/documents/?uuid=16244d9b-9c6c-46ea-85a7-44ecd3a0c07d"]},{"id":"ITEM-3","itemData":{"DOI":"10.1098/rsif.2011.0062","ISSN":"1742-5662","PMID":"21508015","abstract":"Rotavirus is a major cause of mortality in developing countries, and yet the dynamics of rotavirus in such settings are poorly understood. Rotavirus is typically less seasonal in the tropics, although recent observational studies have challenged the universality of this pattern. While numerous studies have examined the association between environmental factors and rotavirus incidence, here we explore the role of intrinsic factors. By fitting a mathematical model of rotavirus transmission dynamics to published age distributions of cases from 15 countries, we obtain estimates of local transmission rates. Model-predicted patterns of seasonal incidence based solely on differences in birth rates and transmission rates are significantly correlated with those observed (Spearman's ρ = 0.65, p &lt; 0.05). We then examine seasonal patterns of rotavirus predicted across a range of different birth rates and transmission rates and explore how vaccination may impact these patterns. Our results suggest that the relative lack of rotavirus seasonality observed in many tropical countries may be due to the high birth rates and transmission rates typical of developing countries rather than being driven primarily by environmental conditions. While vaccination is expected to decrease the overall burden of disease, it may increase the degree of seasonal variation in the incidence of rotavirus in some settings.","author":[{"dropping-particle":"","family":"Pitzer","given":"Virginia E","non-dropping-particle":"","parse-names":false,"suffix":""},{"dropping-particle":"","family":"Viboud","given":"Cécile","non-dropping-particle":"","parse-names":false,"suffix":""},{"dropping-particle":"","family":"Lopman","given":"Ben A","non-dropping-particle":"","parse-names":false,"suffix":""},{"dropping-particle":"","family":"Patel","given":"Manish M","non-dropping-particle":"","parse-names":false,"suffix":""},{"dropping-particle":"","family":"Parashar","given":"Umesh D","non-dropping-particle":"","parse-names":false,"suffix":""},{"dropping-particle":"","family":"Grenfell","given":"Bryan T","non-dropping-particle":"","parse-names":false,"suffix":""}],"container-title":"Journal of the Royal Society, Interface / the Royal Society","id":"ITEM-3","issue":"64","issued":{"date-parts":[["2011","11","7"]]},"page":"1584-93","title":"Influence of birth rates and transmission rates on the global seasonality of rotavirus incidence.","type":"article-journal","volume":"8"},"uris":["http://www.mendeley.com/documents/?uuid=6fa085c6-e787-468c-a837-32b77d7039dc"]},{"id":"ITEM-4","itemData":{"DOI":"10.1016/j.vaccine.2010.02.060","ISSN":"1873-2518","PMID":"20197142","abstract":"Two rotavirus vaccines are currently recommended for inclusion in routine childhood immunization programmes. We developed a deterministic age-structured model of rotavirus transmission and disease to investigate the population-level effects of vaccination in England and Wales. The model explicitly captures the natural history of infection and uses realistic population mixing patterns. The model accurately reproduces the strong seasonal pattern and age distribution of rotavirus disease observed in England and Wales. We predict vaccination will provide both direct and indirect protection within the population. If coverage levels comparable to other childhood vaccines are achieved, we predict that vaccination will reduce rotavirus disease incidence by 61% resulting in a potential fall in burden on health-care services.","author":[{"dropping-particle":"","family":"Atchison","given":"Christina","non-dropping-particle":"","parse-names":false,"suffix":""},{"dropping-particle":"","family":"Lopman","given":"Ben","non-dropping-particle":"","parse-names":false,"suffix":""},{"dropping-particle":"","family":"Edmunds","given":"William John","non-dropping-particle":"","parse-names":false,"suffix":""}],"container-title":"Vaccine","id":"ITEM-4","issue":"18","issued":{"date-parts":[["2010","4","19"]]},"page":"3118-26","publisher":"Elsevier Ltd","title":"Modelling the seasonality of rotavirus disease and the impact of vaccination in England and Wales.","type":"article-journal","volume":"28"},"uris":["http://www.mendeley.com/documents/?uuid=bd5bf024-5f12-4173-8d37-7d7c4497c062"]},{"id":"ITEM-5","itemData":{"DOI":"10.1017/S0950268809991245","ISSN":"1469-4409","PMID":"20028612","abstract":"Rotavirus (RV) infections progressively confer natural immunity against subsequent infection. Similarly to natural infection, vaccination with a live attenuated vaccine potentially reduces RV transmission and induces herd protection. A mathematical transmission model was developed to project the impact of a vaccination programme on the incidence of RV infection and disease for five countries in the European Union. With vaccination coverage rates of 70%, 90% and 95% the model predicted that, in addition to the direct effect of vaccination, herd protection induced a reduction in RV-related gastroenteritis (GE) incidence of 25%, 22% and 20%, respectively, for RV-GE of any severity, and of 19%, 15%, and 13%, respectively, for moderate-to-severe RV-GE, 5 years after implementation of a vaccination programme.","author":[{"dropping-particle":"","family":"Effelterre","given":"T","non-dropping-particle":"Van","parse-names":false,"suffix":""},{"dropping-particle":"","family":"Soriano-Gabarró","given":"M","non-dropping-particle":"","parse-names":false,"suffix":""},{"dropping-particle":"","family":"Debrus","given":"S","non-dropping-particle":"","parse-names":false,"suffix":""},{"dropping-particle":"","family":"Claire Newbern","given":"E","non-dropping-particle":"","parse-names":false,"suffix":""},{"dropping-particle":"","family":"Gray","given":"J","non-dropping-particle":"","parse-names":false,"suffix":""}],"container-title":"Epidemiology and infection","id":"ITEM-5","issue":"6","issued":{"date-parts":[["2010","6"]]},"page":"884-97","title":"A mathematical model of the indirect effects of rotavirus vaccination.","type":"article-journal","volume":"138"},"uris":["http://www.mendeley.com/documents/?uuid=1b8c4437-cb2d-4de8-aa27-93bfc0173767"]},{"id":"ITEM-6","itemData":{"DOI":"10.1016/j.vaccine.2010.09.070","ISSN":"1873-2518","PMID":"20933563","abstract":"New rotavirus vaccines show promise to reduce the burden of severe diarrhea among children in developing countries. We present an age-specific dynamic rotavirus model to assess the effect of rotavirus vaccination in Kyrgyzstan, a country in Central Asia that is eligible for funds from the GAVI Alliance. A routine rotavirus vaccination program at 95% coverage and 54% effectiveness against severe infection is estimated to lead to a 56% reduction in rotavirus-associated deaths and a 50% reduction in hospital admissions, while outpatient visits and homecare episodes would decrease by 52% compared to baseline levels after 5 years of intervention. A 10% reduction in vaccine efficacy due to incomplete 3-dose regimen is estimated to increase the numbers of severe cases by 6-8%. Herd immunity was found to account for 1% or less of averted cases of severe gastroenteritis, while an extra 7-8% of all rotavirus infections would be avoided due to reduced transmission. Conclusion: Rotavirus vaccines would reduce the burden of rotavirus disease substantially, but the results are sensitive to delay in age-appropriate vaccination.","author":[{"dropping-particle":"","family":"Blasio","given":"Birgitte Freiesleben","non-dropping-particle":"de","parse-names":false,"suffix":""},{"dropping-particle":"","family":"Kasymbekova","given":"Kaliya","non-dropping-particle":"","parse-names":false,"suffix":""},{"dropping-particle":"","family":"Flem","given":"Elmira","non-dropping-particle":"","parse-names":false,"suffix":""}],"container-title":"Vaccine","id":"ITEM-6","issue":"50","issued":{"date-parts":[["2010","11","23"]]},"page":"7923-32","publisher":"Elsevier Ltd","title":"Dynamic model of rotavirus transmission and the impact of rotavirus vaccination in Kyrgyzstan.","type":"article-journal","volume":"28"},"uris":["http://www.mendeley.com/documents/?uuid=de83c38b-72c0-4205-aede-fc5b95356aaa"]}],"mendeley":{"formattedCitation":"&lt;i&gt;(27–29, 37, 72, 73)&lt;/i&gt;","plainTextFormattedCitation":"(27–29, 37, 72, 73)","previouslyFormattedCitation":"&lt;i&gt;(28–30, 38, 73, 74)&lt;/i&gt;"},"properties":{"noteIndex":0},"schema":"https://github.com/citation-style-language/schema/raw/master/csl-citation.json"}</w:instrText>
      </w:r>
      <w:r w:rsidRPr="007E512D">
        <w:rPr>
          <w:rFonts w:cs="Times New Roman"/>
        </w:rPr>
        <w:fldChar w:fldCharType="separate"/>
      </w:r>
      <w:r w:rsidRPr="007E512D">
        <w:rPr>
          <w:rFonts w:cs="Times New Roman"/>
          <w:i/>
          <w:noProof/>
        </w:rPr>
        <w:t>(27–29, 37, 72, 73)</w:t>
      </w:r>
      <w:r w:rsidRPr="007E512D">
        <w:rPr>
          <w:rFonts w:cs="Times New Roman"/>
        </w:rPr>
        <w:fldChar w:fldCharType="end"/>
      </w:r>
      <w:r w:rsidRPr="007E512D">
        <w:rPr>
          <w:rFonts w:cs="Times New Roman"/>
        </w:rPr>
        <w:t xml:space="preserve">. For our base-case model, we </w:t>
      </w:r>
      <w:r w:rsidRPr="007E512D">
        <w:rPr>
          <w:rFonts w:cs="Times New Roman"/>
        </w:rPr>
        <w:lastRenderedPageBreak/>
        <w:t xml:space="preserve">assumed the duration of complete protection is 13 weeks, but as a sensitivity analysis we also explored a scenario in which the duration of complete protection was only 1 week. While assuming a shorter duration of complete immunity following natural infection affected our best-fit estimates of </w:t>
      </w:r>
      <w:r w:rsidRPr="007E512D">
        <w:rPr>
          <w:rFonts w:cs="Times New Roman"/>
          <w:i/>
        </w:rPr>
        <w:t>R</w:t>
      </w:r>
      <w:r w:rsidRPr="007E512D">
        <w:rPr>
          <w:rFonts w:cs="Times New Roman"/>
          <w:vertAlign w:val="subscript"/>
        </w:rPr>
        <w:t>0</w:t>
      </w:r>
      <w:r w:rsidRPr="007E512D">
        <w:rPr>
          <w:rFonts w:cs="Times New Roman"/>
        </w:rPr>
        <w:t xml:space="preserve"> (lowering the estimated </w:t>
      </w:r>
      <w:r w:rsidRPr="007E512D">
        <w:rPr>
          <w:rFonts w:cs="Times New Roman"/>
          <w:i/>
        </w:rPr>
        <w:t>R</w:t>
      </w:r>
      <w:r w:rsidRPr="007E512D">
        <w:rPr>
          <w:rFonts w:cs="Times New Roman"/>
          <w:vertAlign w:val="subscript"/>
        </w:rPr>
        <w:t>0</w:t>
      </w:r>
      <w:r w:rsidRPr="007E512D">
        <w:rPr>
          <w:rFonts w:cs="Times New Roman"/>
        </w:rPr>
        <w:t xml:space="preserve"> for fixed values of </w:t>
      </w:r>
      <w:r w:rsidRPr="007E512D">
        <w:rPr>
          <w:rFonts w:cs="Times New Roman"/>
          <w:i/>
        </w:rPr>
        <w:sym w:font="Symbol" w:char="F072"/>
      </w:r>
      <w:r w:rsidRPr="007E512D">
        <w:rPr>
          <w:rFonts w:cs="Times New Roman"/>
          <w:vertAlign w:val="subscript"/>
        </w:rPr>
        <w:t>3</w:t>
      </w:r>
      <w:r w:rsidRPr="007E512D">
        <w:rPr>
          <w:rFonts w:cs="Times New Roman"/>
        </w:rPr>
        <w:t>) (</w:t>
      </w:r>
      <w:r w:rsidR="00800FCD">
        <w:rPr>
          <w:rFonts w:cs="Times New Roman"/>
          <w:b/>
        </w:rPr>
        <w:t>t</w:t>
      </w:r>
      <w:r w:rsidRPr="007E512D">
        <w:rPr>
          <w:rFonts w:cs="Times New Roman"/>
          <w:b/>
        </w:rPr>
        <w:t xml:space="preserve">able </w:t>
      </w:r>
      <w:r w:rsidR="00201344" w:rsidRPr="007E512D">
        <w:rPr>
          <w:rFonts w:cs="Times New Roman"/>
          <w:b/>
        </w:rPr>
        <w:t>S</w:t>
      </w:r>
      <w:r w:rsidR="00201344">
        <w:rPr>
          <w:rFonts w:cs="Times New Roman"/>
          <w:b/>
        </w:rPr>
        <w:t>2</w:t>
      </w:r>
      <w:r w:rsidRPr="007E512D">
        <w:rPr>
          <w:rFonts w:cs="Times New Roman"/>
        </w:rPr>
        <w:t>), it did not affect the model-predicted vaccine impact or effectiveness (</w:t>
      </w:r>
      <w:r w:rsidR="00800FCD">
        <w:rPr>
          <w:rFonts w:cs="Times New Roman"/>
          <w:b/>
        </w:rPr>
        <w:t>fig.</w:t>
      </w:r>
      <w:r w:rsidR="00800FCD" w:rsidRPr="007E512D">
        <w:rPr>
          <w:rFonts w:cs="Times New Roman"/>
          <w:b/>
        </w:rPr>
        <w:t xml:space="preserve"> </w:t>
      </w:r>
      <w:r w:rsidR="00201344" w:rsidRPr="007E512D">
        <w:rPr>
          <w:rFonts w:cs="Times New Roman"/>
          <w:b/>
        </w:rPr>
        <w:t>S1</w:t>
      </w:r>
      <w:r w:rsidR="00201344">
        <w:rPr>
          <w:rFonts w:cs="Times New Roman"/>
          <w:b/>
        </w:rPr>
        <w:t>8</w:t>
      </w:r>
      <w:r w:rsidRPr="007E512D">
        <w:rPr>
          <w:rFonts w:cs="Times New Roman"/>
        </w:rPr>
        <w:t xml:space="preserve">).   </w:t>
      </w:r>
    </w:p>
    <w:p w14:paraId="364A49DA" w14:textId="77777777" w:rsidR="00EB686F" w:rsidRPr="007E512D" w:rsidRDefault="00EB686F" w:rsidP="00EB686F">
      <w:pPr>
        <w:rPr>
          <w:rFonts w:cs="Times New Roman"/>
          <w:szCs w:val="22"/>
        </w:rPr>
      </w:pPr>
    </w:p>
    <w:p w14:paraId="3E599635" w14:textId="6E51DFBF" w:rsidR="0070755E" w:rsidRDefault="0070755E">
      <w:pPr>
        <w:rPr>
          <w:rFonts w:eastAsia="Times New Roman" w:cs="Times New Roman"/>
          <w:b/>
          <w:bCs/>
          <w:kern w:val="32"/>
        </w:rPr>
      </w:pPr>
      <w:r>
        <w:br w:type="page"/>
      </w:r>
    </w:p>
    <w:p w14:paraId="560198EC" w14:textId="77777777" w:rsidR="00EB686F" w:rsidRPr="007E512D" w:rsidRDefault="00EB686F" w:rsidP="00EB686F">
      <w:pPr>
        <w:pStyle w:val="SMHeading"/>
      </w:pPr>
    </w:p>
    <w:p w14:paraId="42173D45" w14:textId="77777777" w:rsidR="00627261" w:rsidRPr="002728EC" w:rsidRDefault="00627261" w:rsidP="00627261">
      <w:pPr>
        <w:rPr>
          <w:rFonts w:cs="Times New Roman"/>
          <w:szCs w:val="22"/>
        </w:rPr>
      </w:pPr>
      <w:r w:rsidRPr="002728EC">
        <w:rPr>
          <w:rFonts w:cs="Times New Roman"/>
          <w:noProof/>
          <w:szCs w:val="22"/>
        </w:rPr>
        <w:drawing>
          <wp:inline distT="0" distB="0" distL="0" distR="0" wp14:anchorId="69078559" wp14:editId="609388BD">
            <wp:extent cx="5275244" cy="617474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85058" cy="6186227"/>
                    </a:xfrm>
                    <a:prstGeom prst="rect">
                      <a:avLst/>
                    </a:prstGeom>
                  </pic:spPr>
                </pic:pic>
              </a:graphicData>
            </a:graphic>
          </wp:inline>
        </w:drawing>
      </w:r>
    </w:p>
    <w:p w14:paraId="757F2E5E" w14:textId="720CDE48" w:rsidR="00627261" w:rsidRPr="008156F5" w:rsidRDefault="00627261" w:rsidP="00925B62">
      <w:pPr>
        <w:pStyle w:val="SMcaption"/>
        <w:rPr>
          <w:b w:val="0"/>
        </w:rPr>
      </w:pPr>
      <w:bookmarkStart w:id="9" w:name="_Toc536706255"/>
      <w:bookmarkStart w:id="10" w:name="_Toc9935776"/>
      <w:r w:rsidRPr="002728EC">
        <w:t>Fig. S</w:t>
      </w:r>
      <w:r w:rsidR="00AE09DE">
        <w:rPr>
          <w:noProof/>
        </w:rPr>
        <w:fldChar w:fldCharType="begin"/>
      </w:r>
      <w:r w:rsidR="00AE09DE">
        <w:rPr>
          <w:noProof/>
        </w:rPr>
        <w:instrText xml:space="preserve"> SEQ Fig._S \* ARABIC </w:instrText>
      </w:r>
      <w:r w:rsidR="00AE09DE">
        <w:rPr>
          <w:noProof/>
        </w:rPr>
        <w:fldChar w:fldCharType="separate"/>
      </w:r>
      <w:r w:rsidR="002558FA">
        <w:rPr>
          <w:noProof/>
        </w:rPr>
        <w:t>1</w:t>
      </w:r>
      <w:r w:rsidR="00AE09DE">
        <w:rPr>
          <w:noProof/>
        </w:rPr>
        <w:fldChar w:fldCharType="end"/>
      </w:r>
      <w:r w:rsidRPr="002728EC">
        <w:t>. Diagram of compartmental models for vaccination with and without waning of vaccine-induced immunity.</w:t>
      </w:r>
      <w:bookmarkEnd w:id="9"/>
      <w:bookmarkEnd w:id="10"/>
      <w:r w:rsidRPr="002728EC">
        <w:t xml:space="preserve"> </w:t>
      </w:r>
      <w:r w:rsidRPr="008156F5">
        <w:rPr>
          <w:b w:val="0"/>
        </w:rPr>
        <w:t>Boxes represent the various model states (unvaccinated in grey and vaccinated in blue), while the lines represent the movements between model states for (</w:t>
      </w:r>
      <w:r w:rsidRPr="004E5B66">
        <w:t>A</w:t>
      </w:r>
      <w:r w:rsidRPr="008156F5">
        <w:rPr>
          <w:b w:val="0"/>
        </w:rPr>
        <w:t>) Models 1 and 2 (assuming vaccine-induced immunity is comparable to immunity from natural infection) and (</w:t>
      </w:r>
      <w:r w:rsidRPr="004E5B66">
        <w:t>B</w:t>
      </w:r>
      <w:r w:rsidRPr="008156F5">
        <w:rPr>
          <w:b w:val="0"/>
        </w:rPr>
        <w:t>) Models 3 and 4 (assuming waning of vaccine-induced immunity). The blue and turquoise lines represent the movement of individuals who respond to the first and subsequent doses of rotavirus vaccine, respectively, while the red lines represent the movement of individuals who fail to respond to the first dose. The purple lines represent the probability of responding to the second dose among those who failed to respond to the first dose when we assume heterogeneity in vaccine response (Models 2 and 4). Individuals who fail to respond to subsequent doses remain in their respective vaccinated compartments.</w:t>
      </w:r>
      <w:r w:rsidRPr="008156F5">
        <w:rPr>
          <w:b w:val="0"/>
          <w:noProof/>
        </w:rPr>
        <w:t xml:space="preserve"> </w:t>
      </w:r>
    </w:p>
    <w:p w14:paraId="72737A17" w14:textId="77777777" w:rsidR="00627261" w:rsidRPr="002728EC" w:rsidRDefault="00627261" w:rsidP="00627261">
      <w:pPr>
        <w:rPr>
          <w:rFonts w:cs="Times New Roman"/>
          <w:b/>
          <w:szCs w:val="22"/>
        </w:rPr>
      </w:pPr>
      <w:r w:rsidRPr="002728EC">
        <w:rPr>
          <w:rFonts w:cs="Times New Roman"/>
          <w:b/>
          <w:noProof/>
          <w:szCs w:val="22"/>
        </w:rPr>
        <w:lastRenderedPageBreak/>
        <w:drawing>
          <wp:inline distT="0" distB="0" distL="0" distR="0" wp14:anchorId="16F19999" wp14:editId="4D9E3B61">
            <wp:extent cx="4695649" cy="214130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wi_vcov.eps"/>
                    <pic:cNvPicPr/>
                  </pic:nvPicPr>
                  <pic:blipFill>
                    <a:blip r:embed="rId111">
                      <a:extLst>
                        <a:ext uri="{28A0092B-C50C-407E-A947-70E740481C1C}">
                          <a14:useLocalDpi xmlns:a14="http://schemas.microsoft.com/office/drawing/2010/main" val="0"/>
                        </a:ext>
                      </a:extLst>
                    </a:blip>
                    <a:stretch>
                      <a:fillRect/>
                    </a:stretch>
                  </pic:blipFill>
                  <pic:spPr>
                    <a:xfrm>
                      <a:off x="0" y="0"/>
                      <a:ext cx="4695649" cy="2141303"/>
                    </a:xfrm>
                    <a:prstGeom prst="rect">
                      <a:avLst/>
                    </a:prstGeom>
                  </pic:spPr>
                </pic:pic>
              </a:graphicData>
            </a:graphic>
          </wp:inline>
        </w:drawing>
      </w:r>
    </w:p>
    <w:p w14:paraId="0318270B" w14:textId="3345FE6A" w:rsidR="00627261" w:rsidRPr="00DC1E73" w:rsidRDefault="00627261" w:rsidP="00AE1013">
      <w:pPr>
        <w:pStyle w:val="SMcaption"/>
        <w:rPr>
          <w:b w:val="0"/>
        </w:rPr>
      </w:pPr>
      <w:bookmarkStart w:id="11" w:name="_Toc536706256"/>
      <w:bookmarkStart w:id="12" w:name="_Toc9935777"/>
      <w:r w:rsidRPr="002728EC">
        <w:t>Fig. S</w:t>
      </w:r>
      <w:r w:rsidR="00AE09DE">
        <w:rPr>
          <w:noProof/>
        </w:rPr>
        <w:fldChar w:fldCharType="begin"/>
      </w:r>
      <w:r w:rsidR="00AE09DE">
        <w:rPr>
          <w:noProof/>
        </w:rPr>
        <w:instrText xml:space="preserve"> SEQ Fig._S \* ARABIC </w:instrText>
      </w:r>
      <w:r w:rsidR="00AE09DE">
        <w:rPr>
          <w:noProof/>
        </w:rPr>
        <w:fldChar w:fldCharType="separate"/>
      </w:r>
      <w:r w:rsidR="002558FA">
        <w:rPr>
          <w:noProof/>
        </w:rPr>
        <w:t>2</w:t>
      </w:r>
      <w:r w:rsidR="00AE09DE">
        <w:rPr>
          <w:noProof/>
        </w:rPr>
        <w:fldChar w:fldCharType="end"/>
      </w:r>
      <w:r w:rsidRPr="002728EC">
        <w:t xml:space="preserve">. </w:t>
      </w:r>
      <w:r w:rsidR="00F639D0">
        <w:t>V</w:t>
      </w:r>
      <w:r w:rsidRPr="002728EC">
        <w:t>accine coverage through time among rotavirus-negative diarrheal cases.</w:t>
      </w:r>
      <w:bookmarkEnd w:id="11"/>
      <w:bookmarkEnd w:id="12"/>
      <w:r w:rsidRPr="002728EC">
        <w:t xml:space="preserve"> </w:t>
      </w:r>
      <w:r w:rsidRPr="00DC1E73">
        <w:rPr>
          <w:b w:val="0"/>
        </w:rPr>
        <w:t xml:space="preserve">The blue and green markers represent the </w:t>
      </w:r>
      <w:r w:rsidR="00F639D0" w:rsidRPr="00DC1E73">
        <w:rPr>
          <w:b w:val="0"/>
        </w:rPr>
        <w:t xml:space="preserve">observed </w:t>
      </w:r>
      <w:r w:rsidRPr="00DC1E73">
        <w:rPr>
          <w:b w:val="0"/>
        </w:rPr>
        <w:t xml:space="preserve">average monthly vaccine coverage with </w:t>
      </w:r>
      <w:r w:rsidRPr="00DC1E73">
        <w:rPr>
          <w:b w:val="0"/>
        </w:rPr>
        <w:sym w:font="Symbol" w:char="F0B3"/>
      </w:r>
      <w:r w:rsidRPr="00DC1E73">
        <w:rPr>
          <w:b w:val="0"/>
        </w:rPr>
        <w:t xml:space="preserve">1 dose and </w:t>
      </w:r>
      <w:r w:rsidRPr="00DC1E73">
        <w:rPr>
          <w:b w:val="0"/>
        </w:rPr>
        <w:sym w:font="Symbol" w:char="F0B3"/>
      </w:r>
      <w:r w:rsidRPr="00DC1E73">
        <w:rPr>
          <w:b w:val="0"/>
        </w:rPr>
        <w:t>2 doses, respectively, among rotavirus-negative acute gastroenteritis case</w:t>
      </w:r>
      <w:r w:rsidR="00DC1E73">
        <w:rPr>
          <w:b w:val="0"/>
        </w:rPr>
        <w:t>s</w:t>
      </w:r>
      <w:r w:rsidRPr="00DC1E73">
        <w:rPr>
          <w:b w:val="0"/>
        </w:rPr>
        <w:t xml:space="preserve"> presenting to Queen Elizabeth Central Hospital in Blantyre. The solid blue and green lines represent the 27-week moving average of the vaccine coverage with </w:t>
      </w:r>
      <w:r w:rsidRPr="00DC1E73">
        <w:rPr>
          <w:b w:val="0"/>
        </w:rPr>
        <w:sym w:font="Symbol" w:char="F0B3"/>
      </w:r>
      <w:r w:rsidRPr="00DC1E73">
        <w:rPr>
          <w:b w:val="0"/>
        </w:rPr>
        <w:t xml:space="preserve">1 dose and </w:t>
      </w:r>
      <w:r w:rsidRPr="00DC1E73">
        <w:rPr>
          <w:b w:val="0"/>
        </w:rPr>
        <w:sym w:font="Symbol" w:char="F0B3"/>
      </w:r>
      <w:r w:rsidRPr="00DC1E73">
        <w:rPr>
          <w:b w:val="0"/>
        </w:rPr>
        <w:t>2 doses, respectively.</w:t>
      </w:r>
    </w:p>
    <w:p w14:paraId="509E922F" w14:textId="77777777" w:rsidR="00627261" w:rsidRPr="002728EC" w:rsidRDefault="00627261" w:rsidP="00627261">
      <w:pPr>
        <w:rPr>
          <w:rFonts w:cs="Times New Roman"/>
          <w:b/>
          <w:szCs w:val="22"/>
        </w:rPr>
      </w:pPr>
      <w:r w:rsidRPr="002728EC">
        <w:rPr>
          <w:rFonts w:cs="Times New Roman"/>
          <w:b/>
          <w:noProof/>
          <w:szCs w:val="22"/>
        </w:rPr>
        <w:lastRenderedPageBreak/>
        <w:drawing>
          <wp:inline distT="0" distB="0" distL="0" distR="0" wp14:anchorId="4A58C5F0" wp14:editId="4AAE6FE3">
            <wp:extent cx="4090074" cy="5328458"/>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accineimpact_byyr.eps"/>
                    <pic:cNvPicPr/>
                  </pic:nvPicPr>
                  <pic:blipFill>
                    <a:blip r:embed="rId112">
                      <a:extLst>
                        <a:ext uri="{28A0092B-C50C-407E-A947-70E740481C1C}">
                          <a14:useLocalDpi xmlns:a14="http://schemas.microsoft.com/office/drawing/2010/main" val="0"/>
                        </a:ext>
                      </a:extLst>
                    </a:blip>
                    <a:stretch>
                      <a:fillRect/>
                    </a:stretch>
                  </pic:blipFill>
                  <pic:spPr>
                    <a:xfrm>
                      <a:off x="0" y="0"/>
                      <a:ext cx="4097281" cy="5337847"/>
                    </a:xfrm>
                    <a:prstGeom prst="rect">
                      <a:avLst/>
                    </a:prstGeom>
                  </pic:spPr>
                </pic:pic>
              </a:graphicData>
            </a:graphic>
          </wp:inline>
        </w:drawing>
      </w:r>
    </w:p>
    <w:p w14:paraId="31B4ADE0" w14:textId="398417E2" w:rsidR="00627261" w:rsidRPr="0021337F" w:rsidRDefault="00627261" w:rsidP="00AE1013">
      <w:pPr>
        <w:pStyle w:val="SMcaption"/>
      </w:pPr>
      <w:bookmarkStart w:id="13" w:name="_Toc9935778"/>
      <w:r w:rsidRPr="002728EC">
        <w:t>Fig. S</w:t>
      </w:r>
      <w:r w:rsidR="00AE09DE">
        <w:rPr>
          <w:noProof/>
        </w:rPr>
        <w:fldChar w:fldCharType="begin"/>
      </w:r>
      <w:r w:rsidR="00AE09DE">
        <w:rPr>
          <w:noProof/>
        </w:rPr>
        <w:instrText xml:space="preserve"> SEQ Fig._S \* ARABIC </w:instrText>
      </w:r>
      <w:r w:rsidR="00AE09DE">
        <w:rPr>
          <w:noProof/>
        </w:rPr>
        <w:fldChar w:fldCharType="separate"/>
      </w:r>
      <w:r w:rsidR="002558FA">
        <w:rPr>
          <w:noProof/>
        </w:rPr>
        <w:t>3</w:t>
      </w:r>
      <w:r w:rsidR="00AE09DE">
        <w:rPr>
          <w:noProof/>
        </w:rPr>
        <w:fldChar w:fldCharType="end"/>
      </w:r>
      <w:r w:rsidRPr="002728EC">
        <w:t>. Observed and model-predicted vaccine impact by age group and year since vaccine introduction.</w:t>
      </w:r>
      <w:bookmarkEnd w:id="13"/>
      <w:r w:rsidR="0021337F">
        <w:t xml:space="preserve"> </w:t>
      </w:r>
      <w:r w:rsidRPr="00DC1E73">
        <w:rPr>
          <w:b w:val="0"/>
        </w:rPr>
        <w:t>The colored bars show the percent reduction in the incidence of RVGE predicted by each of the four models compared to the incidence predicted in the absence of vaccination, while the black bars show the observed reduction in RVGE incidence. Negative values correspond to an increase in incidence compared to the predicted incidence in the absence of vaccination. The black error bars represent the 95% prediction intervals associated with parameter uncertainty.</w:t>
      </w:r>
      <w:r w:rsidRPr="0021337F">
        <w:t xml:space="preserve">  </w:t>
      </w:r>
    </w:p>
    <w:p w14:paraId="7B7F2770" w14:textId="77777777" w:rsidR="00627261" w:rsidRPr="002728EC" w:rsidRDefault="00627261" w:rsidP="00627261">
      <w:pPr>
        <w:rPr>
          <w:rFonts w:cs="Times New Roman"/>
          <w:szCs w:val="22"/>
        </w:rPr>
      </w:pPr>
      <w:r w:rsidRPr="002728EC">
        <w:rPr>
          <w:rFonts w:cs="Times New Roman"/>
          <w:szCs w:val="22"/>
        </w:rPr>
        <w:br w:type="page"/>
      </w:r>
    </w:p>
    <w:p w14:paraId="5818F550" w14:textId="77777777" w:rsidR="00627261" w:rsidRPr="002728EC" w:rsidRDefault="00627261" w:rsidP="00627261">
      <w:pPr>
        <w:rPr>
          <w:rFonts w:cs="Times New Roman"/>
          <w:szCs w:val="22"/>
        </w:rPr>
      </w:pPr>
      <w:r w:rsidRPr="002728EC">
        <w:rPr>
          <w:rFonts w:cs="Times New Roman"/>
          <w:noProof/>
          <w:szCs w:val="22"/>
        </w:rPr>
        <w:lastRenderedPageBreak/>
        <w:drawing>
          <wp:inline distT="0" distB="0" distL="0" distR="0" wp14:anchorId="2107404B" wp14:editId="2E3A3525">
            <wp:extent cx="5818909" cy="2739284"/>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ostvaccfit_vacstatus.eps"/>
                    <pic:cNvPicPr/>
                  </pic:nvPicPr>
                  <pic:blipFill rotWithShape="1">
                    <a:blip r:embed="rId113">
                      <a:extLst>
                        <a:ext uri="{28A0092B-C50C-407E-A947-70E740481C1C}">
                          <a14:useLocalDpi xmlns:a14="http://schemas.microsoft.com/office/drawing/2010/main" val="0"/>
                        </a:ext>
                      </a:extLst>
                    </a:blip>
                    <a:srcRect l="3031" r="3776"/>
                    <a:stretch/>
                  </pic:blipFill>
                  <pic:spPr bwMode="auto">
                    <a:xfrm>
                      <a:off x="0" y="0"/>
                      <a:ext cx="5847367" cy="2752681"/>
                    </a:xfrm>
                    <a:prstGeom prst="rect">
                      <a:avLst/>
                    </a:prstGeom>
                    <a:ln>
                      <a:noFill/>
                    </a:ln>
                    <a:extLst>
                      <a:ext uri="{53640926-AAD7-44D8-BBD7-CCE9431645EC}">
                        <a14:shadowObscured xmlns:a14="http://schemas.microsoft.com/office/drawing/2010/main"/>
                      </a:ext>
                    </a:extLst>
                  </pic:spPr>
                </pic:pic>
              </a:graphicData>
            </a:graphic>
          </wp:inline>
        </w:drawing>
      </w:r>
    </w:p>
    <w:p w14:paraId="07D6FA8F" w14:textId="375803AA" w:rsidR="0070755E" w:rsidRPr="00DC1E73" w:rsidRDefault="00627261" w:rsidP="00AE1013">
      <w:pPr>
        <w:pStyle w:val="SMcaption"/>
        <w:rPr>
          <w:b w:val="0"/>
        </w:rPr>
      </w:pPr>
      <w:bookmarkStart w:id="14" w:name="_Toc536706261"/>
      <w:bookmarkStart w:id="15" w:name="_Toc9935779"/>
      <w:r w:rsidRPr="002728EC">
        <w:t>Fig. S</w:t>
      </w:r>
      <w:r w:rsidRPr="002728EC">
        <w:rPr>
          <w:noProof/>
        </w:rPr>
        <w:fldChar w:fldCharType="begin"/>
      </w:r>
      <w:r w:rsidRPr="002728EC">
        <w:rPr>
          <w:noProof/>
        </w:rPr>
        <w:instrText xml:space="preserve"> SEQ Fig._S \* ARABIC </w:instrText>
      </w:r>
      <w:r w:rsidRPr="002728EC">
        <w:rPr>
          <w:noProof/>
        </w:rPr>
        <w:fldChar w:fldCharType="separate"/>
      </w:r>
      <w:r w:rsidR="002558FA">
        <w:rPr>
          <w:noProof/>
        </w:rPr>
        <w:t>4</w:t>
      </w:r>
      <w:r w:rsidRPr="002728EC">
        <w:rPr>
          <w:noProof/>
        </w:rPr>
        <w:fldChar w:fldCharType="end"/>
      </w:r>
      <w:r w:rsidRPr="002728EC">
        <w:t>. Observed and predicted vaccine impact by age and vaccination status.</w:t>
      </w:r>
      <w:bookmarkEnd w:id="14"/>
      <w:bookmarkEnd w:id="15"/>
      <w:r w:rsidRPr="002728EC">
        <w:t xml:space="preserve"> </w:t>
      </w:r>
      <w:r w:rsidRPr="00DC1E73">
        <w:rPr>
          <w:b w:val="0"/>
        </w:rPr>
        <w:t>The observed (thin grey lines) and model-predicted (thick colored lines) number of RVGE cases per week are plotted for cases 0</w:t>
      </w:r>
      <w:r w:rsidR="00990C19" w:rsidRPr="00DC1E73">
        <w:rPr>
          <w:b w:val="0"/>
        </w:rPr>
        <w:t xml:space="preserve"> to </w:t>
      </w:r>
      <w:r w:rsidRPr="00DC1E73">
        <w:rPr>
          <w:b w:val="0"/>
        </w:rPr>
        <w:t>11 months (left), 12</w:t>
      </w:r>
      <w:r w:rsidR="00990C19" w:rsidRPr="00DC1E73">
        <w:rPr>
          <w:b w:val="0"/>
        </w:rPr>
        <w:t xml:space="preserve"> to </w:t>
      </w:r>
      <w:r w:rsidRPr="00DC1E73">
        <w:rPr>
          <w:b w:val="0"/>
        </w:rPr>
        <w:t>23 months (middle), and 24</w:t>
      </w:r>
      <w:r w:rsidR="00990C19" w:rsidRPr="00DC1E73">
        <w:rPr>
          <w:b w:val="0"/>
        </w:rPr>
        <w:t xml:space="preserve"> to </w:t>
      </w:r>
      <w:r w:rsidRPr="00DC1E73">
        <w:rPr>
          <w:b w:val="0"/>
        </w:rPr>
        <w:t>59 months (right) for (</w:t>
      </w:r>
      <w:r w:rsidRPr="00444A34">
        <w:t>A</w:t>
      </w:r>
      <w:r w:rsidRPr="00DC1E73">
        <w:rPr>
          <w:b w:val="0"/>
        </w:rPr>
        <w:t>) unvaccinated individuals and (</w:t>
      </w:r>
      <w:r w:rsidRPr="00444A34">
        <w:t>B</w:t>
      </w:r>
      <w:r w:rsidRPr="00DC1E73">
        <w:rPr>
          <w:b w:val="0"/>
        </w:rPr>
        <w:t>) vaccinated individuals. The dashed black line shows to the proportion of the age group that has been vaccinated (according to the right y-axis). The predictions correspond to the models simulated from the maximum a posteriori parameter estimates for each of the four models. Model predictions for cases among unvaccinated individuals were similar for all four models.</w:t>
      </w:r>
    </w:p>
    <w:p w14:paraId="4A9466FE" w14:textId="77777777" w:rsidR="0070755E" w:rsidRDefault="0070755E">
      <w:pPr>
        <w:rPr>
          <w:rFonts w:eastAsia="Times New Roman" w:cs="Times New Roman"/>
          <w:bCs/>
          <w:szCs w:val="20"/>
        </w:rPr>
      </w:pPr>
      <w:r>
        <w:rPr>
          <w:b/>
          <w:bCs/>
        </w:rPr>
        <w:br w:type="page"/>
      </w:r>
    </w:p>
    <w:p w14:paraId="23F5A25A" w14:textId="77777777" w:rsidR="00627261" w:rsidRPr="00C06108" w:rsidRDefault="00627261" w:rsidP="00C06108">
      <w:pPr>
        <w:pStyle w:val="SMcaption"/>
        <w:rPr>
          <w:b w:val="0"/>
          <w:bCs/>
        </w:rPr>
      </w:pPr>
    </w:p>
    <w:p w14:paraId="6004E597" w14:textId="77777777" w:rsidR="0070755E" w:rsidRPr="002728EC" w:rsidRDefault="0070755E" w:rsidP="0070755E">
      <w:pPr>
        <w:rPr>
          <w:rFonts w:cs="Times New Roman"/>
          <w:b/>
          <w:szCs w:val="22"/>
        </w:rPr>
      </w:pPr>
      <w:r w:rsidRPr="002728EC">
        <w:rPr>
          <w:rFonts w:cs="Times New Roman"/>
          <w:b/>
          <w:noProof/>
          <w:szCs w:val="22"/>
        </w:rPr>
        <w:drawing>
          <wp:inline distT="0" distB="0" distL="0" distR="0" wp14:anchorId="133E25AD" wp14:editId="5238234E">
            <wp:extent cx="4639741" cy="3690851"/>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4_bc_rev.eps"/>
                    <pic:cNvPicPr/>
                  </pic:nvPicPr>
                  <pic:blipFill>
                    <a:blip r:embed="rId114">
                      <a:extLst>
                        <a:ext uri="{28A0092B-C50C-407E-A947-70E740481C1C}">
                          <a14:useLocalDpi xmlns:a14="http://schemas.microsoft.com/office/drawing/2010/main" val="0"/>
                        </a:ext>
                      </a:extLst>
                    </a:blip>
                    <a:stretch>
                      <a:fillRect/>
                    </a:stretch>
                  </pic:blipFill>
                  <pic:spPr>
                    <a:xfrm>
                      <a:off x="0" y="0"/>
                      <a:ext cx="4660000" cy="3706967"/>
                    </a:xfrm>
                    <a:prstGeom prst="rect">
                      <a:avLst/>
                    </a:prstGeom>
                  </pic:spPr>
                </pic:pic>
              </a:graphicData>
            </a:graphic>
          </wp:inline>
        </w:drawing>
      </w:r>
    </w:p>
    <w:p w14:paraId="36E8C638" w14:textId="7B68ECD2" w:rsidR="0070755E" w:rsidRPr="001339CB" w:rsidRDefault="006A2179" w:rsidP="00AE1013">
      <w:pPr>
        <w:pStyle w:val="SMcaption"/>
        <w:rPr>
          <w:b w:val="0"/>
        </w:rPr>
      </w:pPr>
      <w:bookmarkStart w:id="16" w:name="_Toc9935780"/>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5</w:t>
      </w:r>
      <w:r w:rsidR="00753C98">
        <w:rPr>
          <w:noProof/>
        </w:rPr>
        <w:fldChar w:fldCharType="end"/>
      </w:r>
      <w:r>
        <w:t xml:space="preserve">. </w:t>
      </w:r>
      <w:r w:rsidR="0070755E" w:rsidRPr="002728EC">
        <w:t>Relationship between the proportion of infants who respond to each vaccine dose, the basic reproductive number (</w:t>
      </w:r>
      <w:r w:rsidR="0070755E" w:rsidRPr="002728EC">
        <w:rPr>
          <w:i/>
        </w:rPr>
        <w:t>R</w:t>
      </w:r>
      <w:r w:rsidR="0070755E" w:rsidRPr="002728EC">
        <w:rPr>
          <w:vertAlign w:val="subscript"/>
        </w:rPr>
        <w:t>0</w:t>
      </w:r>
      <w:r w:rsidR="0070755E" w:rsidRPr="002728EC">
        <w:t>), and vaccine effectiveness estimates for Model 1.</w:t>
      </w:r>
      <w:bookmarkEnd w:id="16"/>
      <w:r w:rsidR="0070755E" w:rsidRPr="002728EC">
        <w:t xml:space="preserve"> </w:t>
      </w:r>
      <w:r w:rsidR="0070755E" w:rsidRPr="001339CB">
        <w:rPr>
          <w:b w:val="0"/>
        </w:rPr>
        <w:t>The model-predicted vaccine effectiveness estimates among (</w:t>
      </w:r>
      <w:r w:rsidR="0070755E" w:rsidRPr="00584576">
        <w:t>A</w:t>
      </w:r>
      <w:r w:rsidR="0070755E" w:rsidRPr="001339CB">
        <w:rPr>
          <w:b w:val="0"/>
        </w:rPr>
        <w:t>) infants 0 to 11 months old and (</w:t>
      </w:r>
      <w:r w:rsidR="0070755E" w:rsidRPr="00584576">
        <w:t>B</w:t>
      </w:r>
      <w:r w:rsidR="0070755E" w:rsidRPr="001339CB">
        <w:rPr>
          <w:b w:val="0"/>
        </w:rPr>
        <w:t>) children 12 to 23 months old is indicated by the color bar for different values of the proportion of infants who respond to the first and second dose in Model 1. The model-predicted vaccine effectiveness estimates among infants (</w:t>
      </w:r>
      <w:r w:rsidR="0070755E" w:rsidRPr="00584576">
        <w:t>C</w:t>
      </w:r>
      <w:r w:rsidR="0070755E" w:rsidRPr="001339CB">
        <w:rPr>
          <w:b w:val="0"/>
        </w:rPr>
        <w:t>) 0 to 11 months old and (</w:t>
      </w:r>
      <w:r w:rsidR="0070755E" w:rsidRPr="00584576">
        <w:t>D</w:t>
      </w:r>
      <w:r w:rsidR="0070755E" w:rsidRPr="001339CB">
        <w:rPr>
          <w:b w:val="0"/>
        </w:rPr>
        <w:t xml:space="preserve">) children 12 to 23 months old is indicated by the color bar for different values of </w:t>
      </w:r>
      <w:r w:rsidR="0070755E" w:rsidRPr="001339CB">
        <w:rPr>
          <w:b w:val="0"/>
          <w:i/>
        </w:rPr>
        <w:t>R</w:t>
      </w:r>
      <w:r w:rsidR="0070755E" w:rsidRPr="001339CB">
        <w:rPr>
          <w:b w:val="0"/>
          <w:vertAlign w:val="subscript"/>
        </w:rPr>
        <w:t>0</w:t>
      </w:r>
      <w:r w:rsidR="0070755E" w:rsidRPr="001339CB">
        <w:rPr>
          <w:b w:val="0"/>
        </w:rPr>
        <w:t xml:space="preserve"> and the proportion of infants who respond to each dose, assuming the proportion who respond to the first and second dose is the same. The black bars represent the 95% credible interval of the estimated parameters for our model fitted to the data from Blantyre, Malawi.</w:t>
      </w:r>
    </w:p>
    <w:p w14:paraId="1B092F8F" w14:textId="77777777" w:rsidR="0070755E" w:rsidRPr="002728EC" w:rsidRDefault="0070755E" w:rsidP="0070755E">
      <w:pPr>
        <w:rPr>
          <w:rFonts w:cs="Times New Roman"/>
          <w:szCs w:val="22"/>
        </w:rPr>
      </w:pPr>
      <w:r w:rsidRPr="002728EC">
        <w:rPr>
          <w:rFonts w:cs="Times New Roman"/>
          <w:szCs w:val="22"/>
        </w:rPr>
        <w:br w:type="page"/>
      </w:r>
    </w:p>
    <w:p w14:paraId="4A7232ED" w14:textId="77777777" w:rsidR="0070755E" w:rsidRPr="002728EC" w:rsidRDefault="0070755E" w:rsidP="0070755E">
      <w:pPr>
        <w:keepNext/>
        <w:rPr>
          <w:rFonts w:cs="Times New Roman"/>
          <w:szCs w:val="22"/>
        </w:rPr>
      </w:pPr>
      <w:r w:rsidRPr="002728EC">
        <w:rPr>
          <w:rFonts w:cs="Times New Roman"/>
          <w:b/>
          <w:noProof/>
          <w:szCs w:val="22"/>
        </w:rPr>
        <w:lastRenderedPageBreak/>
        <w:drawing>
          <wp:inline distT="0" distB="0" distL="0" distR="0" wp14:anchorId="4EAF4FC9" wp14:editId="3694B3CD">
            <wp:extent cx="5426104" cy="2304696"/>
            <wp:effectExtent l="0" t="0" r="9525"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_seroR0_nr.tif"/>
                    <pic:cNvPicPr/>
                  </pic:nvPicPr>
                  <pic:blipFill>
                    <a:blip r:embed="rId115">
                      <a:extLst>
                        <a:ext uri="{28A0092B-C50C-407E-A947-70E740481C1C}">
                          <a14:useLocalDpi xmlns:a14="http://schemas.microsoft.com/office/drawing/2010/main" val="0"/>
                        </a:ext>
                      </a:extLst>
                    </a:blip>
                    <a:stretch>
                      <a:fillRect/>
                    </a:stretch>
                  </pic:blipFill>
                  <pic:spPr>
                    <a:xfrm>
                      <a:off x="0" y="0"/>
                      <a:ext cx="5441974" cy="2311437"/>
                    </a:xfrm>
                    <a:prstGeom prst="rect">
                      <a:avLst/>
                    </a:prstGeom>
                  </pic:spPr>
                </pic:pic>
              </a:graphicData>
            </a:graphic>
          </wp:inline>
        </w:drawing>
      </w:r>
      <w:r w:rsidRPr="002728EC">
        <w:rPr>
          <w:rFonts w:cs="Times New Roman"/>
          <w:b/>
          <w:szCs w:val="22"/>
        </w:rPr>
        <w:t xml:space="preserve"> </w:t>
      </w:r>
    </w:p>
    <w:p w14:paraId="1A188DDC" w14:textId="77777777" w:rsidR="0070755E" w:rsidRPr="002728EC" w:rsidRDefault="0070755E" w:rsidP="0070755E">
      <w:pPr>
        <w:pStyle w:val="SMcaption"/>
      </w:pPr>
    </w:p>
    <w:p w14:paraId="3B06E9A5" w14:textId="74172B2A" w:rsidR="0070755E" w:rsidRPr="001339CB" w:rsidRDefault="006A2179" w:rsidP="00AE1013">
      <w:pPr>
        <w:pStyle w:val="SMcaption"/>
        <w:rPr>
          <w:b w:val="0"/>
        </w:rPr>
      </w:pPr>
      <w:bookmarkStart w:id="17" w:name="_Toc9935781"/>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6</w:t>
      </w:r>
      <w:r w:rsidR="00753C98">
        <w:rPr>
          <w:noProof/>
        </w:rPr>
        <w:fldChar w:fldCharType="end"/>
      </w:r>
      <w:r>
        <w:t xml:space="preserve">. </w:t>
      </w:r>
      <w:r w:rsidR="0070755E" w:rsidRPr="002728EC">
        <w:t>Relationship between the proportion of infants who respond to each vaccine dose and the predicted vaccine effectiveness assuming heterogeneity in vaccine response.</w:t>
      </w:r>
      <w:bookmarkEnd w:id="17"/>
      <w:r w:rsidR="0070755E" w:rsidRPr="002728EC">
        <w:t xml:space="preserve"> </w:t>
      </w:r>
      <w:r w:rsidR="0070755E" w:rsidRPr="001339CB">
        <w:rPr>
          <w:b w:val="0"/>
        </w:rPr>
        <w:t>The model-predicted vaccine effectiveness among (</w:t>
      </w:r>
      <w:r w:rsidR="0070755E" w:rsidRPr="00584576">
        <w:t>A</w:t>
      </w:r>
      <w:r w:rsidR="0070755E" w:rsidRPr="001339CB">
        <w:rPr>
          <w:b w:val="0"/>
        </w:rPr>
        <w:t>) infants 0-11 months old and (</w:t>
      </w:r>
      <w:r w:rsidR="0070755E" w:rsidRPr="00584576">
        <w:t>B</w:t>
      </w:r>
      <w:r w:rsidR="0070755E" w:rsidRPr="001339CB">
        <w:rPr>
          <w:b w:val="0"/>
        </w:rPr>
        <w:t>) children 12-23 months old is indicated by the color bar for different values of the proportion of infants who respond to the first dose and second dose (given they responded to the first dose) in Model 2. The black bars represent the 95% credible interval of the estimated parameters for Model 2, based on the observed rate of seroconversion following vaccination in Blantyre, Malawi.</w:t>
      </w:r>
    </w:p>
    <w:p w14:paraId="4AFDB0A4" w14:textId="016E5148" w:rsidR="003766D7" w:rsidRDefault="003766D7">
      <w:pPr>
        <w:rPr>
          <w:rFonts w:eastAsia="Times New Roman" w:cs="Times New Roman"/>
          <w:bCs/>
          <w:szCs w:val="20"/>
        </w:rPr>
      </w:pPr>
      <w:r>
        <w:rPr>
          <w:b/>
          <w:bCs/>
        </w:rPr>
        <w:br w:type="page"/>
      </w:r>
    </w:p>
    <w:p w14:paraId="0030F87F" w14:textId="77777777" w:rsidR="003766D7" w:rsidRPr="00B856D0" w:rsidRDefault="003766D7" w:rsidP="0070755E">
      <w:pPr>
        <w:pStyle w:val="SMcaption"/>
        <w:rPr>
          <w:b w:val="0"/>
          <w:bCs/>
        </w:rPr>
      </w:pPr>
    </w:p>
    <w:p w14:paraId="789E56DD" w14:textId="77777777" w:rsidR="003766D7" w:rsidRPr="002728EC" w:rsidRDefault="003766D7" w:rsidP="003766D7">
      <w:pPr>
        <w:rPr>
          <w:rFonts w:cs="Times New Roman"/>
          <w:b/>
          <w:szCs w:val="22"/>
        </w:rPr>
      </w:pPr>
      <w:r w:rsidRPr="002728EC">
        <w:rPr>
          <w:rFonts w:cs="Times New Roman"/>
          <w:b/>
          <w:noProof/>
          <w:szCs w:val="22"/>
        </w:rPr>
        <w:drawing>
          <wp:inline distT="0" distB="0" distL="0" distR="0" wp14:anchorId="18C7A647" wp14:editId="3E42B800">
            <wp:extent cx="5445304" cy="406783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E_seroR0.tif"/>
                    <pic:cNvPicPr/>
                  </pic:nvPicPr>
                  <pic:blipFill>
                    <a:blip r:embed="rId116">
                      <a:extLst>
                        <a:ext uri="{28A0092B-C50C-407E-A947-70E740481C1C}">
                          <a14:useLocalDpi xmlns:a14="http://schemas.microsoft.com/office/drawing/2010/main" val="0"/>
                        </a:ext>
                      </a:extLst>
                    </a:blip>
                    <a:stretch>
                      <a:fillRect/>
                    </a:stretch>
                  </pic:blipFill>
                  <pic:spPr>
                    <a:xfrm>
                      <a:off x="0" y="0"/>
                      <a:ext cx="5446348" cy="4068616"/>
                    </a:xfrm>
                    <a:prstGeom prst="rect">
                      <a:avLst/>
                    </a:prstGeom>
                  </pic:spPr>
                </pic:pic>
              </a:graphicData>
            </a:graphic>
          </wp:inline>
        </w:drawing>
      </w:r>
    </w:p>
    <w:p w14:paraId="6D77676D" w14:textId="78D6CCC3" w:rsidR="003766D7" w:rsidRPr="00814D1D" w:rsidRDefault="006A2179" w:rsidP="004E5B66">
      <w:pPr>
        <w:pStyle w:val="SMcaption"/>
      </w:pPr>
      <w:bookmarkStart w:id="18" w:name="_Toc9935782"/>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7</w:t>
      </w:r>
      <w:r w:rsidR="00753C98">
        <w:rPr>
          <w:noProof/>
        </w:rPr>
        <w:fldChar w:fldCharType="end"/>
      </w:r>
      <w:r>
        <w:t xml:space="preserve">. </w:t>
      </w:r>
      <w:r w:rsidR="003766D7" w:rsidRPr="00BE0C3C">
        <w:t>Relationship between the proportion of infants who respond to each vaccine dose, the basic reproductive number (</w:t>
      </w:r>
      <w:r w:rsidR="003766D7" w:rsidRPr="00BE0C3C">
        <w:rPr>
          <w:i/>
        </w:rPr>
        <w:t>R</w:t>
      </w:r>
      <w:r w:rsidR="003766D7" w:rsidRPr="00BE0C3C">
        <w:rPr>
          <w:vertAlign w:val="subscript"/>
        </w:rPr>
        <w:t>0</w:t>
      </w:r>
      <w:r w:rsidR="003766D7" w:rsidRPr="00BE0C3C">
        <w:t>), and the model-predicted indirect effect</w:t>
      </w:r>
      <w:r w:rsidR="003766D7" w:rsidRPr="002728EC">
        <w:t>.</w:t>
      </w:r>
      <w:bookmarkEnd w:id="18"/>
      <w:r w:rsidR="003766D7">
        <w:t xml:space="preserve"> </w:t>
      </w:r>
      <w:r w:rsidR="003766D7" w:rsidRPr="004E5B66">
        <w:rPr>
          <w:b w:val="0"/>
        </w:rPr>
        <w:t>The model-predicted indirect effect among (</w:t>
      </w:r>
      <w:r w:rsidR="003766D7" w:rsidRPr="00584576">
        <w:t>A,C</w:t>
      </w:r>
      <w:r w:rsidR="003766D7" w:rsidRPr="004E5B66">
        <w:rPr>
          <w:b w:val="0"/>
        </w:rPr>
        <w:t>) infants 0-11 months old and (</w:t>
      </w:r>
      <w:r w:rsidR="003766D7" w:rsidRPr="00584576">
        <w:t>B,D</w:t>
      </w:r>
      <w:r w:rsidR="003766D7" w:rsidRPr="004E5B66">
        <w:rPr>
          <w:b w:val="0"/>
        </w:rPr>
        <w:t xml:space="preserve">) children 12-23 months old is indicated by the color bar for different values of </w:t>
      </w:r>
      <w:r w:rsidR="003766D7" w:rsidRPr="004E5B66">
        <w:rPr>
          <w:b w:val="0"/>
          <w:i/>
        </w:rPr>
        <w:t>R</w:t>
      </w:r>
      <w:r w:rsidR="003766D7" w:rsidRPr="004E5B66">
        <w:rPr>
          <w:b w:val="0"/>
          <w:vertAlign w:val="subscript"/>
        </w:rPr>
        <w:t>0</w:t>
      </w:r>
      <w:r w:rsidR="003766D7" w:rsidRPr="004E5B66">
        <w:rPr>
          <w:b w:val="0"/>
        </w:rPr>
        <w:t xml:space="preserve"> and the proportion of infants who respond to each dose, assuming the proportion who respond to the first and second dose is the same. Results for Model 1 are plotted in (</w:t>
      </w:r>
      <w:r w:rsidR="003766D7" w:rsidRPr="00584576">
        <w:t>A-B</w:t>
      </w:r>
      <w:r w:rsidR="003766D7" w:rsidRPr="004E5B66">
        <w:rPr>
          <w:b w:val="0"/>
        </w:rPr>
        <w:t>), while the results for Model 3 are plotted in (</w:t>
      </w:r>
      <w:r w:rsidR="003766D7" w:rsidRPr="00584576">
        <w:t>C-D</w:t>
      </w:r>
      <w:r w:rsidR="003766D7" w:rsidRPr="004E5B66">
        <w:rPr>
          <w:b w:val="0"/>
        </w:rPr>
        <w:t xml:space="preserve">). The black bars represent the 95% credible interval </w:t>
      </w:r>
      <w:r w:rsidR="003766D7" w:rsidRPr="00584576">
        <w:rPr>
          <w:b w:val="0"/>
        </w:rPr>
        <w:t>of the estimated parameters for our model fitted to data from Blantyre, Malawi.</w:t>
      </w:r>
    </w:p>
    <w:p w14:paraId="3AF4030E" w14:textId="77777777" w:rsidR="003766D7" w:rsidRPr="002728EC" w:rsidRDefault="003766D7" w:rsidP="003766D7"/>
    <w:p w14:paraId="3E260D86" w14:textId="5B42C31C" w:rsidR="003766D7" w:rsidRDefault="003766D7">
      <w:pPr>
        <w:rPr>
          <w:rFonts w:eastAsia="Times New Roman" w:cs="Times New Roman"/>
          <w:szCs w:val="22"/>
        </w:rPr>
      </w:pPr>
      <w:r>
        <w:rPr>
          <w:rFonts w:eastAsia="Times New Roman" w:cs="Times New Roman"/>
          <w:szCs w:val="22"/>
        </w:rPr>
        <w:br w:type="page"/>
      </w:r>
    </w:p>
    <w:p w14:paraId="2B43EB68" w14:textId="77777777" w:rsidR="003766D7" w:rsidRPr="002728EC" w:rsidRDefault="003766D7" w:rsidP="003766D7">
      <w:pPr>
        <w:rPr>
          <w:rFonts w:eastAsia="Times New Roman" w:cs="Times New Roman"/>
          <w:szCs w:val="22"/>
        </w:rPr>
      </w:pPr>
    </w:p>
    <w:p w14:paraId="54E19490" w14:textId="77777777" w:rsidR="003766D7" w:rsidRPr="00344D67" w:rsidRDefault="003766D7" w:rsidP="003766D7">
      <w:pPr>
        <w:pStyle w:val="SMcaption"/>
      </w:pPr>
      <w:r w:rsidRPr="00344D67">
        <w:rPr>
          <w:noProof/>
        </w:rPr>
        <w:drawing>
          <wp:inline distT="0" distB="0" distL="0" distR="0" wp14:anchorId="2B6D48E9" wp14:editId="1A92DB2D">
            <wp:extent cx="5918662" cy="3187284"/>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inf_wane_nr.tif"/>
                    <pic:cNvPicPr/>
                  </pic:nvPicPr>
                  <pic:blipFill rotWithShape="1">
                    <a:blip r:embed="rId117">
                      <a:extLst>
                        <a:ext uri="{28A0092B-C50C-407E-A947-70E740481C1C}">
                          <a14:useLocalDpi xmlns:a14="http://schemas.microsoft.com/office/drawing/2010/main" val="0"/>
                        </a:ext>
                      </a:extLst>
                    </a:blip>
                    <a:srcRect l="8716" r="8752"/>
                    <a:stretch/>
                  </pic:blipFill>
                  <pic:spPr bwMode="auto">
                    <a:xfrm>
                      <a:off x="0" y="0"/>
                      <a:ext cx="5958150" cy="3208549"/>
                    </a:xfrm>
                    <a:prstGeom prst="rect">
                      <a:avLst/>
                    </a:prstGeom>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0D2BB5" w14:textId="45651FF7" w:rsidR="003766D7" w:rsidRPr="00CE2CEA" w:rsidRDefault="006A2179" w:rsidP="00AE1013">
      <w:pPr>
        <w:pStyle w:val="SMcaption"/>
        <w:rPr>
          <w:b w:val="0"/>
        </w:rPr>
      </w:pPr>
      <w:bookmarkStart w:id="19" w:name="_Toc9935783"/>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8</w:t>
      </w:r>
      <w:r w:rsidR="00753C98">
        <w:rPr>
          <w:noProof/>
        </w:rPr>
        <w:fldChar w:fldCharType="end"/>
      </w:r>
      <w:r w:rsidR="00AA7127">
        <w:t xml:space="preserve">. </w:t>
      </w:r>
      <w:r w:rsidR="00CC2AB1">
        <w:t>P</w:t>
      </w:r>
      <w:r w:rsidR="00CC2AB1" w:rsidRPr="002728EC">
        <w:t xml:space="preserve">roportion of the population </w:t>
      </w:r>
      <w:r w:rsidR="00CC2AB1">
        <w:t>with natural or vaccine-induced immunity</w:t>
      </w:r>
      <w:r w:rsidR="00CC2AB1" w:rsidRPr="002728EC">
        <w:t xml:space="preserve"> </w:t>
      </w:r>
      <w:r w:rsidR="003766D7" w:rsidRPr="00344D67">
        <w:t>by age.</w:t>
      </w:r>
      <w:bookmarkEnd w:id="19"/>
      <w:r w:rsidR="003766D7" w:rsidRPr="00344D67">
        <w:t xml:space="preserve"> </w:t>
      </w:r>
      <w:r w:rsidR="00CC2AB1" w:rsidRPr="00CE2CEA">
        <w:rPr>
          <w:b w:val="0"/>
        </w:rPr>
        <w:t xml:space="preserve">We examined the effect of vaccination on the proportion of the population experiencing 0, 1, or 2 or more previous infections or “successful” vaccine doses by age for </w:t>
      </w:r>
      <w:r w:rsidR="003766D7" w:rsidRPr="00CE2CEA">
        <w:rPr>
          <w:b w:val="0"/>
        </w:rPr>
        <w:t>(</w:t>
      </w:r>
      <w:r w:rsidR="003766D7" w:rsidRPr="00CE2CEA">
        <w:t>A</w:t>
      </w:r>
      <w:r w:rsidR="003766D7" w:rsidRPr="00CE2CEA">
        <w:rPr>
          <w:b w:val="0"/>
        </w:rPr>
        <w:t>) Model 1, (</w:t>
      </w:r>
      <w:r w:rsidR="003766D7" w:rsidRPr="00CE2CEA">
        <w:t>B</w:t>
      </w:r>
      <w:r w:rsidR="003766D7" w:rsidRPr="00CE2CEA">
        <w:rPr>
          <w:b w:val="0"/>
        </w:rPr>
        <w:t>) Model 2, (</w:t>
      </w:r>
      <w:r w:rsidR="003766D7" w:rsidRPr="00CE2CEA">
        <w:t>C</w:t>
      </w:r>
      <w:r w:rsidR="003766D7" w:rsidRPr="00CE2CEA">
        <w:rPr>
          <w:b w:val="0"/>
        </w:rPr>
        <w:t xml:space="preserve">) Model 3, </w:t>
      </w:r>
      <w:r w:rsidR="00CC2AB1" w:rsidRPr="00CE2CEA">
        <w:rPr>
          <w:b w:val="0"/>
        </w:rPr>
        <w:t xml:space="preserve">and </w:t>
      </w:r>
      <w:r w:rsidR="003766D7" w:rsidRPr="00CE2CEA">
        <w:rPr>
          <w:b w:val="0"/>
        </w:rPr>
        <w:t>(</w:t>
      </w:r>
      <w:r w:rsidR="003766D7" w:rsidRPr="00CE2CEA">
        <w:t>D</w:t>
      </w:r>
      <w:r w:rsidR="003766D7" w:rsidRPr="00CE2CEA">
        <w:rPr>
          <w:b w:val="0"/>
        </w:rPr>
        <w:t>) Model 4. Neither Model 1 nor Model 2 assumes vaccine-induced immunity wanes, yet both models predict the estimated vaccine effectiveness would be lower among 12- to 23-month-olds.</w:t>
      </w:r>
    </w:p>
    <w:p w14:paraId="2D529EF7" w14:textId="2B7D6D92" w:rsidR="003766D7" w:rsidRDefault="003766D7">
      <w:pPr>
        <w:rPr>
          <w:rFonts w:eastAsia="Times New Roman" w:cs="Times New Roman"/>
          <w:b/>
          <w:szCs w:val="20"/>
        </w:rPr>
      </w:pPr>
      <w:r>
        <w:br w:type="page"/>
      </w:r>
    </w:p>
    <w:p w14:paraId="05E1396F" w14:textId="77777777" w:rsidR="003766D7" w:rsidRPr="002728EC" w:rsidRDefault="003766D7" w:rsidP="003766D7">
      <w:pPr>
        <w:pStyle w:val="SMcaption"/>
      </w:pPr>
    </w:p>
    <w:p w14:paraId="55A925E6" w14:textId="77777777" w:rsidR="003766D7" w:rsidRPr="002728EC" w:rsidRDefault="003766D7" w:rsidP="003766D7">
      <w:pPr>
        <w:rPr>
          <w:rFonts w:cs="Times New Roman"/>
          <w:b/>
          <w:szCs w:val="22"/>
        </w:rPr>
      </w:pPr>
      <w:r w:rsidRPr="002728EC">
        <w:rPr>
          <w:rFonts w:cs="Times New Roman"/>
          <w:b/>
          <w:noProof/>
          <w:szCs w:val="22"/>
        </w:rPr>
        <w:drawing>
          <wp:inline distT="0" distB="0" distL="0" distR="0" wp14:anchorId="0EEF2099" wp14:editId="06C2397E">
            <wp:extent cx="4478278" cy="3358709"/>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pinf_nobooster_rev.tif"/>
                    <pic:cNvPicPr/>
                  </pic:nvPicPr>
                  <pic:blipFill>
                    <a:blip r:embed="rId118">
                      <a:extLst>
                        <a:ext uri="{28A0092B-C50C-407E-A947-70E740481C1C}">
                          <a14:useLocalDpi xmlns:a14="http://schemas.microsoft.com/office/drawing/2010/main" val="0"/>
                        </a:ext>
                      </a:extLst>
                    </a:blip>
                    <a:stretch>
                      <a:fillRect/>
                    </a:stretch>
                  </pic:blipFill>
                  <pic:spPr bwMode="auto">
                    <a:xfrm>
                      <a:off x="0" y="0"/>
                      <a:ext cx="4478278" cy="3358709"/>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51FBCEC" w14:textId="0713CC1F" w:rsidR="003766D7" w:rsidRPr="00CE2CEA" w:rsidRDefault="00AA7127" w:rsidP="00AE1013">
      <w:pPr>
        <w:pStyle w:val="SMcaption"/>
        <w:rPr>
          <w:b w:val="0"/>
        </w:rPr>
      </w:pPr>
      <w:bookmarkStart w:id="20" w:name="_Toc9935784"/>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9</w:t>
      </w:r>
      <w:r w:rsidR="00753C98">
        <w:rPr>
          <w:noProof/>
        </w:rPr>
        <w:fldChar w:fldCharType="end"/>
      </w:r>
      <w:r>
        <w:t xml:space="preserve">. </w:t>
      </w:r>
      <w:r w:rsidR="00CC2AB1">
        <w:t>P</w:t>
      </w:r>
      <w:r w:rsidR="003766D7" w:rsidRPr="002728EC">
        <w:t xml:space="preserve">roportion of the population </w:t>
      </w:r>
      <w:r w:rsidR="00CC2AB1">
        <w:t>with natural or vaccine-induced immunity</w:t>
      </w:r>
      <w:r w:rsidR="003766D7" w:rsidRPr="002728EC">
        <w:t xml:space="preserve"> by age for the period from January 2018</w:t>
      </w:r>
      <w:r w:rsidR="00CC2AB1">
        <w:t xml:space="preserve"> to </w:t>
      </w:r>
      <w:r w:rsidR="003766D7" w:rsidRPr="002728EC">
        <w:t>December 2019.</w:t>
      </w:r>
      <w:bookmarkEnd w:id="20"/>
      <w:r w:rsidR="003766D7" w:rsidRPr="002728EC">
        <w:t xml:space="preserve"> </w:t>
      </w:r>
      <w:r w:rsidR="00CC2AB1" w:rsidRPr="00CE2CEA">
        <w:rPr>
          <w:b w:val="0"/>
        </w:rPr>
        <w:t xml:space="preserve">We examined the effect of vaccination on the proportion of the population experiencing 0, 1, or 2 or more previous infections or “successful” vaccine doses by age for the period from January 2018 to December 2019, assuming the current vaccine schedule, for </w:t>
      </w:r>
      <w:r w:rsidR="003766D7" w:rsidRPr="00CE2CEA">
        <w:rPr>
          <w:b w:val="0"/>
        </w:rPr>
        <w:t>(</w:t>
      </w:r>
      <w:r w:rsidR="003766D7" w:rsidRPr="00CE2CEA">
        <w:t>A</w:t>
      </w:r>
      <w:r w:rsidR="003766D7" w:rsidRPr="00CE2CEA">
        <w:rPr>
          <w:b w:val="0"/>
        </w:rPr>
        <w:t>) Model 1 and (</w:t>
      </w:r>
      <w:r w:rsidR="003766D7" w:rsidRPr="00CE2CEA">
        <w:t>B</w:t>
      </w:r>
      <w:r w:rsidR="003766D7" w:rsidRPr="00CE2CEA">
        <w:rPr>
          <w:b w:val="0"/>
        </w:rPr>
        <w:t>) Model 3.</w:t>
      </w:r>
    </w:p>
    <w:p w14:paraId="3D9F97CE" w14:textId="77777777" w:rsidR="003766D7" w:rsidRPr="002728EC" w:rsidRDefault="003766D7" w:rsidP="003766D7">
      <w:pPr>
        <w:rPr>
          <w:rFonts w:cs="Times New Roman"/>
          <w:szCs w:val="22"/>
        </w:rPr>
      </w:pPr>
    </w:p>
    <w:p w14:paraId="2E8F8D28" w14:textId="77777777" w:rsidR="003766D7" w:rsidRDefault="003766D7" w:rsidP="003766D7">
      <w:pPr>
        <w:rPr>
          <w:rFonts w:cs="Times New Roman"/>
          <w:szCs w:val="22"/>
        </w:rPr>
      </w:pPr>
      <w:r>
        <w:rPr>
          <w:rFonts w:cs="Times New Roman"/>
          <w:szCs w:val="22"/>
        </w:rPr>
        <w:br w:type="page"/>
      </w:r>
    </w:p>
    <w:p w14:paraId="542710C5" w14:textId="77777777" w:rsidR="003766D7" w:rsidRPr="002728EC" w:rsidRDefault="003766D7" w:rsidP="003766D7">
      <w:pPr>
        <w:rPr>
          <w:rFonts w:cs="Times New Roman"/>
          <w:szCs w:val="22"/>
        </w:rPr>
      </w:pPr>
    </w:p>
    <w:p w14:paraId="79BB3C37" w14:textId="77777777" w:rsidR="003766D7" w:rsidRPr="002728EC" w:rsidRDefault="003766D7" w:rsidP="003766D7">
      <w:pPr>
        <w:rPr>
          <w:rFonts w:cs="Times New Roman"/>
          <w:b/>
          <w:szCs w:val="22"/>
        </w:rPr>
      </w:pPr>
      <w:r w:rsidRPr="002728EC">
        <w:rPr>
          <w:rFonts w:cs="Times New Roman"/>
          <w:b/>
          <w:noProof/>
          <w:szCs w:val="22"/>
        </w:rPr>
        <w:drawing>
          <wp:inline distT="0" distB="0" distL="0" distR="0" wp14:anchorId="64245B2E" wp14:editId="61CAEDB1">
            <wp:extent cx="3201857" cy="227753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osterVE_rev.tif"/>
                    <pic:cNvPicPr/>
                  </pic:nvPicPr>
                  <pic:blipFill>
                    <a:blip r:embed="rId119">
                      <a:extLst>
                        <a:ext uri="{28A0092B-C50C-407E-A947-70E740481C1C}">
                          <a14:useLocalDpi xmlns:a14="http://schemas.microsoft.com/office/drawing/2010/main" val="0"/>
                        </a:ext>
                      </a:extLst>
                    </a:blip>
                    <a:stretch>
                      <a:fillRect/>
                    </a:stretch>
                  </pic:blipFill>
                  <pic:spPr>
                    <a:xfrm>
                      <a:off x="0" y="0"/>
                      <a:ext cx="3207031" cy="2281215"/>
                    </a:xfrm>
                    <a:prstGeom prst="rect">
                      <a:avLst/>
                    </a:prstGeom>
                  </pic:spPr>
                </pic:pic>
              </a:graphicData>
            </a:graphic>
          </wp:inline>
        </w:drawing>
      </w:r>
    </w:p>
    <w:p w14:paraId="1F020457" w14:textId="1C865C0C" w:rsidR="003766D7" w:rsidRPr="00814D1D" w:rsidRDefault="00AA7127" w:rsidP="00CE2CEA">
      <w:pPr>
        <w:pStyle w:val="SMcaption"/>
      </w:pPr>
      <w:bookmarkStart w:id="21" w:name="_Toc9935785"/>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10</w:t>
      </w:r>
      <w:r w:rsidR="00753C98">
        <w:rPr>
          <w:noProof/>
        </w:rPr>
        <w:fldChar w:fldCharType="end"/>
      </w:r>
      <w:r>
        <w:t xml:space="preserve">. </w:t>
      </w:r>
      <w:r w:rsidR="003766D7" w:rsidRPr="00A4204C">
        <w:t>Model-predicted vaccine effectiveness with and without the addition of a third dose of rotavirus vaccine administered at 9 months of age</w:t>
      </w:r>
      <w:r w:rsidR="003766D7" w:rsidRPr="002728EC">
        <w:t>.</w:t>
      </w:r>
      <w:bookmarkEnd w:id="21"/>
      <w:r w:rsidR="00AE1013">
        <w:rPr>
          <w:b w:val="0"/>
        </w:rPr>
        <w:t xml:space="preserve"> The black, grey, and white bars represent the model-predicted vaccine effectiveness estimates for the four models </w:t>
      </w:r>
      <w:r w:rsidR="00AE1013" w:rsidRPr="00100457">
        <w:rPr>
          <w:b w:val="0"/>
        </w:rPr>
        <w:t xml:space="preserve">for the </w:t>
      </w:r>
      <w:r w:rsidR="00AE1013" w:rsidRPr="00161A1C">
        <w:rPr>
          <w:b w:val="0"/>
        </w:rPr>
        <w:t>two-year follow-up period from January 2018</w:t>
      </w:r>
      <w:r w:rsidR="00AE1013">
        <w:rPr>
          <w:b w:val="0"/>
        </w:rPr>
        <w:t xml:space="preserve"> to </w:t>
      </w:r>
      <w:r w:rsidR="00AE1013" w:rsidRPr="00161A1C">
        <w:rPr>
          <w:b w:val="0"/>
        </w:rPr>
        <w:t>December 2019</w:t>
      </w:r>
      <w:r w:rsidR="00AE1013">
        <w:rPr>
          <w:b w:val="0"/>
        </w:rPr>
        <w:t xml:space="preserve"> following the addition of a third rotavirus dose. Black error bars correspond to the 95% prediction intervals. </w:t>
      </w:r>
      <w:r w:rsidR="003766D7" w:rsidRPr="00CE2CEA">
        <w:rPr>
          <w:b w:val="0"/>
        </w:rPr>
        <w:t xml:space="preserve">Yellow bars represent the model-predicted vaccine effectiveness </w:t>
      </w:r>
      <w:r w:rsidR="00AE1013">
        <w:rPr>
          <w:b w:val="0"/>
        </w:rPr>
        <w:t xml:space="preserve">estimates </w:t>
      </w:r>
      <w:r w:rsidR="003766D7" w:rsidRPr="00CE2CEA">
        <w:rPr>
          <w:b w:val="0"/>
        </w:rPr>
        <w:t xml:space="preserve">for the </w:t>
      </w:r>
      <w:r w:rsidR="00AE1013" w:rsidRPr="00161A1C">
        <w:rPr>
          <w:b w:val="0"/>
        </w:rPr>
        <w:t>two-year follow-up period from January 2018</w:t>
      </w:r>
      <w:r w:rsidR="00AE1013">
        <w:rPr>
          <w:b w:val="0"/>
        </w:rPr>
        <w:t xml:space="preserve"> to </w:t>
      </w:r>
      <w:r w:rsidR="00AE1013" w:rsidRPr="00161A1C">
        <w:rPr>
          <w:b w:val="0"/>
        </w:rPr>
        <w:t>December 2019</w:t>
      </w:r>
      <w:r w:rsidR="00AE1013">
        <w:rPr>
          <w:b w:val="0"/>
        </w:rPr>
        <w:t xml:space="preserve"> </w:t>
      </w:r>
      <w:r w:rsidR="003766D7" w:rsidRPr="00CE2CEA">
        <w:rPr>
          <w:b w:val="0"/>
        </w:rPr>
        <w:t>under the current vaccine schedule.</w:t>
      </w:r>
      <w:r w:rsidR="00AE1013" w:rsidRPr="00AE1013">
        <w:rPr>
          <w:b w:val="0"/>
        </w:rPr>
        <w:t xml:space="preserve"> </w:t>
      </w:r>
    </w:p>
    <w:p w14:paraId="5D56E6B0" w14:textId="77777777" w:rsidR="00627261" w:rsidRPr="002728EC" w:rsidRDefault="00627261" w:rsidP="00627261">
      <w:pPr>
        <w:rPr>
          <w:rFonts w:eastAsia="Times New Roman" w:cs="Times New Roman"/>
          <w:bCs/>
          <w:szCs w:val="22"/>
        </w:rPr>
      </w:pPr>
      <w:r w:rsidRPr="002728EC">
        <w:rPr>
          <w:rFonts w:cs="Times New Roman"/>
          <w:b/>
          <w:szCs w:val="22"/>
        </w:rPr>
        <w:br w:type="page"/>
      </w:r>
    </w:p>
    <w:p w14:paraId="69DCC441" w14:textId="77777777" w:rsidR="00627261" w:rsidRPr="002728EC" w:rsidRDefault="00627261" w:rsidP="00627261">
      <w:pPr>
        <w:pStyle w:val="Caption"/>
        <w:rPr>
          <w:b w:val="0"/>
          <w:sz w:val="22"/>
          <w:szCs w:val="22"/>
        </w:rPr>
      </w:pPr>
    </w:p>
    <w:p w14:paraId="5561D50B" w14:textId="77777777" w:rsidR="00627261" w:rsidRPr="002728EC" w:rsidRDefault="00627261" w:rsidP="00627261">
      <w:pPr>
        <w:pStyle w:val="Caption"/>
        <w:rPr>
          <w:b w:val="0"/>
          <w:sz w:val="22"/>
          <w:szCs w:val="22"/>
        </w:rPr>
      </w:pPr>
      <w:bookmarkStart w:id="22" w:name="_GoBack"/>
      <w:r w:rsidRPr="002728EC">
        <w:rPr>
          <w:b w:val="0"/>
          <w:noProof/>
          <w:sz w:val="22"/>
          <w:szCs w:val="22"/>
        </w:rPr>
        <w:drawing>
          <wp:inline distT="0" distB="0" distL="0" distR="0" wp14:anchorId="0A159341" wp14:editId="62E43592">
            <wp:extent cx="5372540" cy="23909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herimpact.eps"/>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372540" cy="2390971"/>
                    </a:xfrm>
                    <a:prstGeom prst="rect">
                      <a:avLst/>
                    </a:prstGeom>
                  </pic:spPr>
                </pic:pic>
              </a:graphicData>
            </a:graphic>
          </wp:inline>
        </w:drawing>
      </w:r>
      <w:bookmarkEnd w:id="22"/>
      <w:r w:rsidRPr="002728EC">
        <w:rPr>
          <w:b w:val="0"/>
          <w:sz w:val="22"/>
          <w:szCs w:val="22"/>
        </w:rPr>
        <w:t xml:space="preserve"> </w:t>
      </w:r>
    </w:p>
    <w:p w14:paraId="2536E243" w14:textId="77777777" w:rsidR="00627261" w:rsidRPr="002728EC" w:rsidRDefault="00627261" w:rsidP="00627261">
      <w:pPr>
        <w:pStyle w:val="Caption"/>
        <w:rPr>
          <w:sz w:val="22"/>
          <w:szCs w:val="22"/>
        </w:rPr>
      </w:pPr>
    </w:p>
    <w:p w14:paraId="2ECCEED2" w14:textId="0EEBF024" w:rsidR="00627261" w:rsidRPr="00CE2CEA" w:rsidRDefault="00AA7127" w:rsidP="00AE1013">
      <w:pPr>
        <w:pStyle w:val="SMcaption"/>
        <w:rPr>
          <w:b w:val="0"/>
        </w:rPr>
      </w:pPr>
      <w:bookmarkStart w:id="23" w:name="_Toc9935786"/>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11</w:t>
      </w:r>
      <w:r w:rsidR="00753C98">
        <w:rPr>
          <w:noProof/>
        </w:rPr>
        <w:fldChar w:fldCharType="end"/>
      </w:r>
      <w:r>
        <w:t xml:space="preserve">. </w:t>
      </w:r>
      <w:r w:rsidR="00627261" w:rsidRPr="002728EC">
        <w:t>Predicted impact of strategies to improve the proportion of infants responding to vaccination and to reduce the transmission rate of rotavirus.</w:t>
      </w:r>
      <w:bookmarkEnd w:id="23"/>
      <w:r w:rsidR="00627261" w:rsidRPr="002728EC">
        <w:t xml:space="preserve"> </w:t>
      </w:r>
      <w:r w:rsidR="00627261" w:rsidRPr="00CE2CEA">
        <w:rPr>
          <w:b w:val="0"/>
        </w:rPr>
        <w:t>The predicted overall effect (percent reduction in the incidence of RVGE among all children &lt;5 years old relative to the incidence predicted for the status quo vaccination strategy) over the 3-year period from January 2018</w:t>
      </w:r>
      <w:r w:rsidR="00990C19" w:rsidRPr="00CE2CEA">
        <w:rPr>
          <w:b w:val="0"/>
        </w:rPr>
        <w:t xml:space="preserve"> to </w:t>
      </w:r>
      <w:r w:rsidR="00627261" w:rsidRPr="00CE2CEA">
        <w:rPr>
          <w:b w:val="0"/>
        </w:rPr>
        <w:t>December 2020 is plotted for each of the four models for (</w:t>
      </w:r>
      <w:r w:rsidR="00627261" w:rsidRPr="00CE2CEA">
        <w:t>A</w:t>
      </w:r>
      <w:r w:rsidR="00627261" w:rsidRPr="00CE2CEA">
        <w:rPr>
          <w:b w:val="0"/>
        </w:rPr>
        <w:t>) strategies aimed at improving the proportion of infants who respond to each vaccine dose (in Models 1 and 3) or the first vaccine dose (in Models 2 and 4) and (</w:t>
      </w:r>
      <w:r w:rsidR="00627261" w:rsidRPr="00CE2CEA">
        <w:t>B</w:t>
      </w:r>
      <w:r w:rsidR="00627261" w:rsidRPr="00CE2CEA">
        <w:rPr>
          <w:b w:val="0"/>
        </w:rPr>
        <w:t xml:space="preserve">) strategies aimed at reducing the rotavirus transmission rate through non-vaccine interventions. The black lines indicate the impact of an additional dose of rotavirus vaccine at 9 months of age predicted by Model 1 (solid line), Model 2 (dashed line), Model 3 (dotted line), and Model 4 (dash-dotted line), while the asterisks indicate where the predicted impact of each alternative strategy is equivalent to that of an additional dose. </w:t>
      </w:r>
    </w:p>
    <w:p w14:paraId="06F2C3A3" w14:textId="77777777" w:rsidR="00627261" w:rsidRDefault="00627261" w:rsidP="00627261">
      <w:pPr>
        <w:rPr>
          <w:rFonts w:eastAsia="Times New Roman" w:cs="Times New Roman"/>
          <w:bCs/>
          <w:szCs w:val="22"/>
        </w:rPr>
      </w:pPr>
      <w:r>
        <w:rPr>
          <w:b/>
          <w:szCs w:val="22"/>
        </w:rPr>
        <w:br w:type="page"/>
      </w:r>
    </w:p>
    <w:p w14:paraId="086B5A34" w14:textId="77777777" w:rsidR="00627261" w:rsidRPr="002728EC" w:rsidRDefault="00627261" w:rsidP="00627261">
      <w:pPr>
        <w:pStyle w:val="SMcaption"/>
      </w:pPr>
    </w:p>
    <w:p w14:paraId="19703FBB" w14:textId="77777777" w:rsidR="00627261" w:rsidRPr="002728EC" w:rsidRDefault="00627261" w:rsidP="00627261">
      <w:pPr>
        <w:rPr>
          <w:rFonts w:cs="Times New Roman"/>
          <w:b/>
          <w:szCs w:val="22"/>
        </w:rPr>
      </w:pPr>
      <w:r w:rsidRPr="002728EC">
        <w:rPr>
          <w:rFonts w:cs="Times New Roman"/>
          <w:b/>
          <w:noProof/>
          <w:szCs w:val="22"/>
        </w:rPr>
        <w:drawing>
          <wp:inline distT="0" distB="0" distL="0" distR="0" wp14:anchorId="2B5537A0" wp14:editId="7F43CD50">
            <wp:extent cx="5269273" cy="461356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peff_age.eps"/>
                    <pic:cNvPicPr/>
                  </pic:nvPicPr>
                  <pic:blipFill rotWithShape="1">
                    <a:blip r:embed="rId121">
                      <a:extLst>
                        <a:ext uri="{28A0092B-C50C-407E-A947-70E740481C1C}">
                          <a14:useLocalDpi xmlns:a14="http://schemas.microsoft.com/office/drawing/2010/main" val="0"/>
                        </a:ext>
                      </a:extLst>
                    </a:blip>
                    <a:srcRect l="3346" t="3287" r="4094" b="3881"/>
                    <a:stretch/>
                  </pic:blipFill>
                  <pic:spPr bwMode="auto">
                    <a:xfrm>
                      <a:off x="0" y="0"/>
                      <a:ext cx="5278165" cy="4621349"/>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D24B843" w14:textId="2B7E671A" w:rsidR="00627261" w:rsidRPr="00CE2CEA" w:rsidRDefault="00AA7127" w:rsidP="00AE1013">
      <w:pPr>
        <w:pStyle w:val="SMcaption"/>
        <w:rPr>
          <w:b w:val="0"/>
        </w:rPr>
      </w:pPr>
      <w:bookmarkStart w:id="24" w:name="_Toc536706257"/>
      <w:bookmarkStart w:id="25" w:name="_Toc9935787"/>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12</w:t>
      </w:r>
      <w:r w:rsidR="00753C98">
        <w:rPr>
          <w:noProof/>
        </w:rPr>
        <w:fldChar w:fldCharType="end"/>
      </w:r>
      <w:r>
        <w:t xml:space="preserve">. </w:t>
      </w:r>
      <w:r w:rsidR="00627261" w:rsidRPr="002728EC">
        <w:t>Variation in the average number of rotavirus-negative cases through time for the pre- and post-vaccination surveillance periods.</w:t>
      </w:r>
      <w:bookmarkEnd w:id="24"/>
      <w:bookmarkEnd w:id="25"/>
      <w:r w:rsidR="00627261" w:rsidRPr="002728EC">
        <w:t xml:space="preserve"> </w:t>
      </w:r>
      <w:r w:rsidR="00AE1013">
        <w:rPr>
          <w:b w:val="0"/>
        </w:rPr>
        <w:t xml:space="preserve">The </w:t>
      </w:r>
      <w:r w:rsidR="00627261" w:rsidRPr="00CE2CEA">
        <w:rPr>
          <w:b w:val="0"/>
        </w:rPr>
        <w:t>105-week moving average of the number of rotavirus-negative patients presenting to QECH per week</w:t>
      </w:r>
      <w:r w:rsidR="00AE1013">
        <w:rPr>
          <w:b w:val="0"/>
        </w:rPr>
        <w:t xml:space="preserve"> is plotted</w:t>
      </w:r>
      <w:r w:rsidR="00627261" w:rsidRPr="00CE2CEA">
        <w:rPr>
          <w:b w:val="0"/>
        </w:rPr>
        <w:t xml:space="preserve"> for (</w:t>
      </w:r>
      <w:r w:rsidR="00627261" w:rsidRPr="00CE2CEA">
        <w:t>A</w:t>
      </w:r>
      <w:r w:rsidR="00627261" w:rsidRPr="00CE2CEA">
        <w:rPr>
          <w:b w:val="0"/>
        </w:rPr>
        <w:t xml:space="preserve">) all </w:t>
      </w:r>
      <w:r w:rsidR="00990C19" w:rsidRPr="00CE2CEA">
        <w:rPr>
          <w:b w:val="0"/>
        </w:rPr>
        <w:t xml:space="preserve">children &lt;5 years old </w:t>
      </w:r>
      <w:r w:rsidR="00627261" w:rsidRPr="00CE2CEA">
        <w:rPr>
          <w:b w:val="0"/>
        </w:rPr>
        <w:t>and (</w:t>
      </w:r>
      <w:r w:rsidR="00627261" w:rsidRPr="00CE2CEA">
        <w:t>B</w:t>
      </w:r>
      <w:r w:rsidR="00627261" w:rsidRPr="00CE2CEA">
        <w:rPr>
          <w:b w:val="0"/>
        </w:rPr>
        <w:t>) by age group. Relative reporting effort through time, as estimated by the 105-week moving average of the number of rotavirus-negative cases during each time period compared to the average number of rotavirus-negative cases during the pre-vaccination period</w:t>
      </w:r>
      <w:r w:rsidR="00AE1013">
        <w:rPr>
          <w:b w:val="0"/>
        </w:rPr>
        <w:t xml:space="preserve"> is plotted</w:t>
      </w:r>
      <w:r w:rsidR="00627261" w:rsidRPr="00CE2CEA">
        <w:rPr>
          <w:b w:val="0"/>
        </w:rPr>
        <w:t xml:space="preserve"> for (</w:t>
      </w:r>
      <w:r w:rsidR="00627261" w:rsidRPr="00CE2CEA">
        <w:t>C</w:t>
      </w:r>
      <w:r w:rsidR="00627261" w:rsidRPr="00CE2CEA">
        <w:rPr>
          <w:b w:val="0"/>
        </w:rPr>
        <w:t>) all ages and (</w:t>
      </w:r>
      <w:r w:rsidR="00627261" w:rsidRPr="00CE2CEA">
        <w:t>D</w:t>
      </w:r>
      <w:r w:rsidR="00627261" w:rsidRPr="00CE2CEA">
        <w:rPr>
          <w:b w:val="0"/>
        </w:rPr>
        <w:t xml:space="preserve">) by age group. </w:t>
      </w:r>
    </w:p>
    <w:p w14:paraId="533A22BC" w14:textId="77777777" w:rsidR="00213654" w:rsidRPr="007E512D" w:rsidRDefault="00213654" w:rsidP="00213654">
      <w:pPr>
        <w:rPr>
          <w:rFonts w:cs="Times New Roman"/>
          <w:szCs w:val="22"/>
        </w:rPr>
      </w:pPr>
      <w:r w:rsidRPr="007E512D">
        <w:rPr>
          <w:rFonts w:cs="Times New Roman"/>
          <w:noProof/>
          <w:szCs w:val="22"/>
        </w:rPr>
        <w:lastRenderedPageBreak/>
        <w:drawing>
          <wp:inline distT="0" distB="0" distL="0" distR="0" wp14:anchorId="579F011C" wp14:editId="514EE539">
            <wp:extent cx="6046274" cy="3358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posteriordist.eps"/>
                    <pic:cNvPicPr/>
                  </pic:nvPicPr>
                  <pic:blipFill>
                    <a:blip r:embed="rId122">
                      <a:extLst>
                        <a:ext uri="{28A0092B-C50C-407E-A947-70E740481C1C}">
                          <a14:useLocalDpi xmlns:a14="http://schemas.microsoft.com/office/drawing/2010/main" val="0"/>
                        </a:ext>
                      </a:extLst>
                    </a:blip>
                    <a:stretch>
                      <a:fillRect/>
                    </a:stretch>
                  </pic:blipFill>
                  <pic:spPr bwMode="auto">
                    <a:xfrm>
                      <a:off x="0" y="0"/>
                      <a:ext cx="6046274" cy="3358035"/>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4846EE4" w14:textId="68B16F67" w:rsidR="00213654" w:rsidRPr="007E512D" w:rsidRDefault="00AA7127" w:rsidP="00132D5C">
      <w:pPr>
        <w:pStyle w:val="SMcaption"/>
      </w:pPr>
      <w:bookmarkStart w:id="26" w:name="_Toc536706258"/>
      <w:bookmarkStart w:id="27" w:name="_Toc536708756"/>
      <w:bookmarkStart w:id="28" w:name="_Toc9935788"/>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13</w:t>
      </w:r>
      <w:r w:rsidR="00753C98">
        <w:rPr>
          <w:noProof/>
        </w:rPr>
        <w:fldChar w:fldCharType="end"/>
      </w:r>
      <w:r>
        <w:t xml:space="preserve">. </w:t>
      </w:r>
      <w:r w:rsidR="00213654" w:rsidRPr="00F639D0">
        <w:t>Prior</w:t>
      </w:r>
      <w:r w:rsidR="00213654" w:rsidRPr="007E512D">
        <w:t xml:space="preserve"> and posterior distributions of model parameters estimated by fitting to the pre-vaccination data.</w:t>
      </w:r>
      <w:bookmarkEnd w:id="26"/>
      <w:bookmarkEnd w:id="27"/>
      <w:bookmarkEnd w:id="28"/>
      <w:r w:rsidR="00213654" w:rsidRPr="007E512D">
        <w:t xml:space="preserve"> </w:t>
      </w:r>
      <w:r w:rsidR="00213654" w:rsidRPr="005C06D6">
        <w:rPr>
          <w:b w:val="0"/>
        </w:rPr>
        <w:t xml:space="preserve">The blue and </w:t>
      </w:r>
      <w:r w:rsidR="008248EB" w:rsidRPr="005C06D6">
        <w:rPr>
          <w:b w:val="0"/>
        </w:rPr>
        <w:t>green</w:t>
      </w:r>
      <w:r w:rsidR="00213654" w:rsidRPr="005C06D6">
        <w:rPr>
          <w:b w:val="0"/>
        </w:rPr>
        <w:t xml:space="preserve"> bars indicate the number of posterior samples for each of the two MCMC chains, while the red line shows the range of the uniform prior distributions for: (</w:t>
      </w:r>
      <w:r w:rsidR="00213654" w:rsidRPr="005C06D6">
        <w:t>A</w:t>
      </w:r>
      <w:r w:rsidR="00213654" w:rsidRPr="005C06D6">
        <w:rPr>
          <w:b w:val="0"/>
        </w:rPr>
        <w:t>) the basic reproductive number (</w:t>
      </w:r>
      <w:r w:rsidR="00213654" w:rsidRPr="005C06D6">
        <w:rPr>
          <w:b w:val="0"/>
          <w:i/>
        </w:rPr>
        <w:t>R</w:t>
      </w:r>
      <w:r w:rsidR="00213654" w:rsidRPr="005C06D6">
        <w:rPr>
          <w:b w:val="0"/>
          <w:vertAlign w:val="subscript"/>
        </w:rPr>
        <w:t>0</w:t>
      </w:r>
      <w:r w:rsidR="00213654" w:rsidRPr="005C06D6">
        <w:rPr>
          <w:b w:val="0"/>
        </w:rPr>
        <w:t>); (</w:t>
      </w:r>
      <w:r w:rsidR="00213654" w:rsidRPr="005C06D6">
        <w:t>B</w:t>
      </w:r>
      <w:r w:rsidR="00213654" w:rsidRPr="005C06D6">
        <w:rPr>
          <w:b w:val="0"/>
        </w:rPr>
        <w:t>) the amplitude of seasonality in transmission (</w:t>
      </w:r>
      <w:r w:rsidR="00213654" w:rsidRPr="005C06D6">
        <w:rPr>
          <w:b w:val="0"/>
          <w:i/>
        </w:rPr>
        <w:t>b</w:t>
      </w:r>
      <w:r w:rsidR="00213654" w:rsidRPr="005C06D6">
        <w:rPr>
          <w:b w:val="0"/>
        </w:rPr>
        <w:t>); (</w:t>
      </w:r>
      <w:r w:rsidR="00213654" w:rsidRPr="005C06D6">
        <w:t>C</w:t>
      </w:r>
      <w:r w:rsidR="00213654" w:rsidRPr="005C06D6">
        <w:rPr>
          <w:b w:val="0"/>
        </w:rPr>
        <w:t>) the seasonal phase shift parameter (</w:t>
      </w:r>
      <w:r w:rsidR="00213654" w:rsidRPr="005C06D6">
        <w:rPr>
          <w:b w:val="0"/>
          <w:i/>
        </w:rPr>
        <w:sym w:font="Symbol" w:char="F066"/>
      </w:r>
      <w:r w:rsidR="00213654" w:rsidRPr="005C06D6">
        <w:rPr>
          <w:b w:val="0"/>
        </w:rPr>
        <w:t>, which can be interpreted as the week of peak transmission); and (</w:t>
      </w:r>
      <w:r w:rsidR="00213654" w:rsidRPr="005C06D6">
        <w:t>D</w:t>
      </w:r>
      <w:r w:rsidR="00213654" w:rsidRPr="005C06D6">
        <w:rPr>
          <w:b w:val="0"/>
        </w:rPr>
        <w:t>) the mean reporting fraction (</w:t>
      </w:r>
      <w:r w:rsidR="00213654" w:rsidRPr="005C06D6">
        <w:rPr>
          <w:b w:val="0"/>
          <w:i/>
        </w:rPr>
        <w:t>h</w:t>
      </w:r>
      <w:r w:rsidR="00213654" w:rsidRPr="005C06D6">
        <w:rPr>
          <w:b w:val="0"/>
        </w:rPr>
        <w:t>). Note at the prior distribution for the mean reporting fraction was Uniform(0,1), but has been truncated at (0,0.</w:t>
      </w:r>
      <w:r w:rsidR="008248EB" w:rsidRPr="005C06D6">
        <w:rPr>
          <w:b w:val="0"/>
        </w:rPr>
        <w:t>02</w:t>
      </w:r>
      <w:r w:rsidR="00213654" w:rsidRPr="005C06D6">
        <w:rPr>
          <w:b w:val="0"/>
        </w:rPr>
        <w:t>) for clarity.</w:t>
      </w:r>
      <w:r w:rsidR="00213654" w:rsidRPr="007E512D">
        <w:t xml:space="preserve"> </w:t>
      </w:r>
    </w:p>
    <w:p w14:paraId="1F57BCC9" w14:textId="77777777" w:rsidR="00213654" w:rsidRPr="007E512D" w:rsidRDefault="00213654" w:rsidP="00213654">
      <w:pPr>
        <w:rPr>
          <w:rFonts w:cs="Times New Roman"/>
          <w:b/>
        </w:rPr>
      </w:pPr>
      <w:r w:rsidRPr="007E512D">
        <w:rPr>
          <w:rFonts w:cs="Times New Roman"/>
          <w:b/>
          <w:noProof/>
        </w:rPr>
        <w:lastRenderedPageBreak/>
        <w:drawing>
          <wp:inline distT="0" distB="0" distL="0" distR="0" wp14:anchorId="70A9B390" wp14:editId="395A9C6A">
            <wp:extent cx="5928886" cy="44546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e_mcmc_rev.tif"/>
                    <pic:cNvPicPr/>
                  </pic:nvPicPr>
                  <pic:blipFill>
                    <a:blip r:embed="rId123">
                      <a:extLst>
                        <a:ext uri="{28A0092B-C50C-407E-A947-70E740481C1C}">
                          <a14:useLocalDpi xmlns:a14="http://schemas.microsoft.com/office/drawing/2010/main" val="0"/>
                        </a:ext>
                      </a:extLst>
                    </a:blip>
                    <a:stretch>
                      <a:fillRect/>
                    </a:stretch>
                  </pic:blipFill>
                  <pic:spPr bwMode="auto">
                    <a:xfrm>
                      <a:off x="0" y="0"/>
                      <a:ext cx="5928886" cy="4454619"/>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D34E107" w14:textId="052654E1" w:rsidR="00213654" w:rsidRPr="005C06D6" w:rsidRDefault="00AA7127" w:rsidP="00132D5C">
      <w:pPr>
        <w:pStyle w:val="SMcaption"/>
        <w:rPr>
          <w:b w:val="0"/>
        </w:rPr>
      </w:pPr>
      <w:bookmarkStart w:id="29" w:name="_Toc536706259"/>
      <w:bookmarkStart w:id="30" w:name="_Toc536708757"/>
      <w:bookmarkStart w:id="31" w:name="_Toc9935789"/>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14</w:t>
      </w:r>
      <w:r w:rsidR="00753C98">
        <w:rPr>
          <w:noProof/>
        </w:rPr>
        <w:fldChar w:fldCharType="end"/>
      </w:r>
      <w:r>
        <w:t xml:space="preserve">. </w:t>
      </w:r>
      <w:r w:rsidR="00213654" w:rsidRPr="007E512D">
        <w:t>Trace plots and posterior distributions of estimated vaccination parameters.</w:t>
      </w:r>
      <w:bookmarkEnd w:id="29"/>
      <w:bookmarkEnd w:id="30"/>
      <w:bookmarkEnd w:id="31"/>
      <w:r w:rsidR="00213654" w:rsidRPr="007E512D">
        <w:t xml:space="preserve"> </w:t>
      </w:r>
      <w:r w:rsidR="00213654" w:rsidRPr="005C06D6">
        <w:rPr>
          <w:b w:val="0"/>
        </w:rPr>
        <w:t>The blue and green lines represent trace plots of the two chains for the model parameters estimated by fitting the model to the post-vaccination time series of RVGE cases at Queen Elizabeth Central Hospital in Blantyre, Malawi for (</w:t>
      </w:r>
      <w:r w:rsidR="00213654" w:rsidRPr="005C06D6">
        <w:t>A</w:t>
      </w:r>
      <w:r w:rsidR="00213654" w:rsidRPr="005C06D6">
        <w:rPr>
          <w:b w:val="0"/>
        </w:rPr>
        <w:t>) Model 3 and (</w:t>
      </w:r>
      <w:r w:rsidR="00213654" w:rsidRPr="005C06D6">
        <w:t>C</w:t>
      </w:r>
      <w:r w:rsidR="00213654" w:rsidRPr="005C06D6">
        <w:rPr>
          <w:b w:val="0"/>
        </w:rPr>
        <w:t>) Model 4. The dashed black lines mark the end of the burn-in period. The blue and green bars represent histograms of the posterior distributions of the model parameters for the two chains for (</w:t>
      </w:r>
      <w:r w:rsidR="00213654" w:rsidRPr="005C06D6">
        <w:t>B</w:t>
      </w:r>
      <w:r w:rsidR="00213654" w:rsidRPr="005C06D6">
        <w:rPr>
          <w:b w:val="0"/>
        </w:rPr>
        <w:t>) the model with waning of vaccine-induced immunity and (</w:t>
      </w:r>
      <w:r w:rsidR="00213654" w:rsidRPr="005C06D6">
        <w:t>D</w:t>
      </w:r>
      <w:r w:rsidR="00213654" w:rsidRPr="005C06D6">
        <w:rPr>
          <w:b w:val="0"/>
        </w:rPr>
        <w:t>) the model with waning of vaccine-induced immunity and heterogeneity in vaccine response, while the black lines represent the prior distributions for the model parameters.</w:t>
      </w:r>
    </w:p>
    <w:p w14:paraId="64BDD701" w14:textId="77777777" w:rsidR="00627261" w:rsidRPr="002728EC" w:rsidRDefault="00627261" w:rsidP="00627261">
      <w:pPr>
        <w:rPr>
          <w:rFonts w:cs="Times New Roman"/>
          <w:szCs w:val="22"/>
        </w:rPr>
      </w:pPr>
      <w:r w:rsidRPr="002728EC">
        <w:rPr>
          <w:rFonts w:cs="Times New Roman"/>
          <w:szCs w:val="22"/>
        </w:rPr>
        <w:br w:type="page"/>
      </w:r>
    </w:p>
    <w:p w14:paraId="61EE2B16" w14:textId="77777777" w:rsidR="00627261" w:rsidRPr="002728EC" w:rsidRDefault="00627261" w:rsidP="00627261">
      <w:pPr>
        <w:rPr>
          <w:rFonts w:cs="Times New Roman"/>
          <w:b/>
          <w:szCs w:val="22"/>
        </w:rPr>
      </w:pPr>
      <w:r w:rsidRPr="002728EC">
        <w:rPr>
          <w:rFonts w:cs="Times New Roman"/>
          <w:b/>
          <w:noProof/>
          <w:szCs w:val="22"/>
        </w:rPr>
        <w:lastRenderedPageBreak/>
        <w:drawing>
          <wp:inline distT="0" distB="0" distL="0" distR="0" wp14:anchorId="67286E3F" wp14:editId="151A4E37">
            <wp:extent cx="5968939" cy="2535382"/>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vaccfit_basecase.eps"/>
                    <pic:cNvPicPr/>
                  </pic:nvPicPr>
                  <pic:blipFill rotWithShape="1">
                    <a:blip r:embed="rId124">
                      <a:extLst>
                        <a:ext uri="{28A0092B-C50C-407E-A947-70E740481C1C}">
                          <a14:useLocalDpi xmlns:a14="http://schemas.microsoft.com/office/drawing/2010/main" val="0"/>
                        </a:ext>
                      </a:extLst>
                    </a:blip>
                    <a:srcRect l="3578" r="896"/>
                    <a:stretch/>
                  </pic:blipFill>
                  <pic:spPr bwMode="auto">
                    <a:xfrm>
                      <a:off x="0" y="0"/>
                      <a:ext cx="5977051" cy="2538828"/>
                    </a:xfrm>
                    <a:prstGeom prst="rect">
                      <a:avLst/>
                    </a:prstGeom>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F8FD86" w14:textId="01A5079C" w:rsidR="00627261" w:rsidRDefault="00AA7127" w:rsidP="00132D5C">
      <w:pPr>
        <w:pStyle w:val="SMcaption"/>
      </w:pPr>
      <w:bookmarkStart w:id="32" w:name="_Toc536706260"/>
      <w:bookmarkStart w:id="33" w:name="_Toc9935790"/>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15</w:t>
      </w:r>
      <w:r w:rsidR="00753C98">
        <w:rPr>
          <w:noProof/>
        </w:rPr>
        <w:fldChar w:fldCharType="end"/>
      </w:r>
      <w:r>
        <w:t xml:space="preserve">. </w:t>
      </w:r>
      <w:r w:rsidR="00627261" w:rsidRPr="002728EC">
        <w:t>Posterior distributions of estimated vaccination parameters for Models 1 and 2 fitted to the post-vaccination data.</w:t>
      </w:r>
      <w:bookmarkEnd w:id="32"/>
      <w:bookmarkEnd w:id="33"/>
      <w:r w:rsidR="00627261" w:rsidRPr="002728EC">
        <w:t xml:space="preserve"> </w:t>
      </w:r>
      <w:r w:rsidR="00627261" w:rsidRPr="005C06D6">
        <w:rPr>
          <w:b w:val="0"/>
        </w:rPr>
        <w:t>The blue and green bars represent histograms of the posterior distributions of the model parameters for the two chains for (</w:t>
      </w:r>
      <w:r w:rsidR="00627261" w:rsidRPr="005C06D6">
        <w:t>A</w:t>
      </w:r>
      <w:r w:rsidR="00627261" w:rsidRPr="005C06D6">
        <w:rPr>
          <w:b w:val="0"/>
        </w:rPr>
        <w:t>) Model 1 and (</w:t>
      </w:r>
      <w:r w:rsidR="00627261" w:rsidRPr="005C06D6">
        <w:t>B</w:t>
      </w:r>
      <w:r w:rsidR="00627261" w:rsidRPr="005C06D6">
        <w:rPr>
          <w:b w:val="0"/>
        </w:rPr>
        <w:t>) Model 2 fitted to the post-vaccination data. The black lines show the prior distribution for the model parameters. (</w:t>
      </w:r>
      <w:r w:rsidR="00627261" w:rsidRPr="005C06D6">
        <w:t>C</w:t>
      </w:r>
      <w:r w:rsidR="00627261" w:rsidRPr="005C06D6">
        <w:rPr>
          <w:b w:val="0"/>
        </w:rPr>
        <w:t>) Observed (red lines) and model-predicted (grey bars) vaccine effectiveness estimates are plotted for children 4</w:t>
      </w:r>
      <w:r w:rsidR="00990C19" w:rsidRPr="005C06D6">
        <w:rPr>
          <w:b w:val="0"/>
        </w:rPr>
        <w:t xml:space="preserve"> to </w:t>
      </w:r>
      <w:r w:rsidR="00627261" w:rsidRPr="005C06D6">
        <w:rPr>
          <w:b w:val="0"/>
        </w:rPr>
        <w:t>11 months and 12</w:t>
      </w:r>
      <w:r w:rsidR="00990C19" w:rsidRPr="005C06D6">
        <w:rPr>
          <w:b w:val="0"/>
        </w:rPr>
        <w:t xml:space="preserve"> to </w:t>
      </w:r>
      <w:r w:rsidR="00627261" w:rsidRPr="005C06D6">
        <w:rPr>
          <w:b w:val="0"/>
        </w:rPr>
        <w:t>23 months of age under the two fitted model assumptions. The black error bars represent the 95% prediction intervals associated with parameter uncertainty.</w:t>
      </w:r>
      <w:r w:rsidR="00627261" w:rsidRPr="002728EC">
        <w:t xml:space="preserve"> </w:t>
      </w:r>
    </w:p>
    <w:p w14:paraId="5C22CE9A" w14:textId="61C7FFB8" w:rsidR="00627261" w:rsidRDefault="00627261" w:rsidP="00627261">
      <w:pPr>
        <w:rPr>
          <w:rFonts w:eastAsia="Times New Roman" w:cs="Times New Roman"/>
          <w:szCs w:val="22"/>
        </w:rPr>
      </w:pPr>
    </w:p>
    <w:p w14:paraId="41422777" w14:textId="56EDEC87" w:rsidR="00627261" w:rsidRPr="002728EC" w:rsidRDefault="00947DAA" w:rsidP="00627261">
      <w:pPr>
        <w:pStyle w:val="SMcaption"/>
      </w:pPr>
      <w:r>
        <w:br w:type="column"/>
      </w:r>
    </w:p>
    <w:p w14:paraId="21F0E649" w14:textId="77777777" w:rsidR="00627261" w:rsidRPr="002728EC" w:rsidRDefault="00627261" w:rsidP="00627261">
      <w:pPr>
        <w:rPr>
          <w:rFonts w:cs="Times New Roman"/>
          <w:b/>
          <w:szCs w:val="22"/>
        </w:rPr>
      </w:pPr>
      <w:bookmarkStart w:id="34" w:name="_Toc536706268"/>
      <w:r w:rsidRPr="002728EC">
        <w:rPr>
          <w:rFonts w:cs="Times New Roman"/>
          <w:noProof/>
          <w:szCs w:val="22"/>
        </w:rPr>
        <w:drawing>
          <wp:inline distT="0" distB="0" distL="0" distR="0" wp14:anchorId="5B8BAF8F" wp14:editId="18DAEAAD">
            <wp:extent cx="3139869" cy="24760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_vs_relinf.pdf"/>
                    <pic:cNvPicPr/>
                  </pic:nvPicPr>
                  <pic:blipFill rotWithShape="1">
                    <a:blip r:embed="rId125">
                      <a:extLst>
                        <a:ext uri="{28A0092B-C50C-407E-A947-70E740481C1C}">
                          <a14:useLocalDpi xmlns:a14="http://schemas.microsoft.com/office/drawing/2010/main" val="0"/>
                        </a:ext>
                      </a:extLst>
                    </a:blip>
                    <a:srcRect l="23043" t="35598" r="27320" b="34155"/>
                    <a:stretch/>
                  </pic:blipFill>
                  <pic:spPr bwMode="auto">
                    <a:xfrm>
                      <a:off x="0" y="0"/>
                      <a:ext cx="3140238" cy="247636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BDD732" w14:textId="355CA0F3" w:rsidR="00C51AC0" w:rsidRPr="005C06D6" w:rsidRDefault="00AA7127" w:rsidP="00132D5C">
      <w:pPr>
        <w:pStyle w:val="SMcaption"/>
        <w:rPr>
          <w:b w:val="0"/>
        </w:rPr>
      </w:pPr>
      <w:bookmarkStart w:id="35" w:name="_Toc9935791"/>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16</w:t>
      </w:r>
      <w:r w:rsidR="00753C98">
        <w:rPr>
          <w:noProof/>
        </w:rPr>
        <w:fldChar w:fldCharType="end"/>
      </w:r>
      <w:r>
        <w:t xml:space="preserve">. </w:t>
      </w:r>
      <w:r w:rsidR="00627261" w:rsidRPr="002728EC">
        <w:t>Relationship between the relative infectiousness of subsequent infections and the estimate</w:t>
      </w:r>
      <w:r w:rsidR="0047060D">
        <w:t>d</w:t>
      </w:r>
      <w:r w:rsidR="00627261" w:rsidRPr="002728EC">
        <w:t xml:space="preserve"> basic reproductive number (</w:t>
      </w:r>
      <w:r w:rsidR="00627261" w:rsidRPr="002728EC">
        <w:rPr>
          <w:i/>
        </w:rPr>
        <w:t>R</w:t>
      </w:r>
      <w:r w:rsidR="00627261" w:rsidRPr="002728EC">
        <w:rPr>
          <w:vertAlign w:val="subscript"/>
        </w:rPr>
        <w:t>0</w:t>
      </w:r>
      <w:r w:rsidR="00627261" w:rsidRPr="002728EC">
        <w:t>).</w:t>
      </w:r>
      <w:bookmarkEnd w:id="34"/>
      <w:bookmarkEnd w:id="35"/>
      <w:r w:rsidR="00C51AC0">
        <w:t xml:space="preserve"> </w:t>
      </w:r>
      <w:r w:rsidR="00C51AC0" w:rsidRPr="005C06D6">
        <w:rPr>
          <w:b w:val="0"/>
        </w:rPr>
        <w:t>The maximum a posteriori estimate of the basic reproductive number is shown by the solid black line, while the 95% credible interval is represented by the shaded region.</w:t>
      </w:r>
    </w:p>
    <w:p w14:paraId="11327B30" w14:textId="77777777" w:rsidR="00627261" w:rsidRPr="002728EC" w:rsidRDefault="00627261" w:rsidP="00627261">
      <w:pPr>
        <w:rPr>
          <w:rFonts w:eastAsia="Times New Roman" w:cs="Times New Roman"/>
          <w:b/>
          <w:szCs w:val="22"/>
        </w:rPr>
      </w:pPr>
    </w:p>
    <w:p w14:paraId="58AC9F00" w14:textId="77777777" w:rsidR="00627261" w:rsidRPr="002728EC" w:rsidRDefault="00627261" w:rsidP="00627261">
      <w:pPr>
        <w:pStyle w:val="SMcaption"/>
      </w:pPr>
    </w:p>
    <w:p w14:paraId="715CB689" w14:textId="0097D515" w:rsidR="00627261" w:rsidRPr="002728EC" w:rsidRDefault="00947DAA" w:rsidP="00627261">
      <w:pPr>
        <w:rPr>
          <w:rFonts w:cs="Times New Roman"/>
          <w:b/>
          <w:szCs w:val="22"/>
          <w:lang w:val="fr-FR"/>
        </w:rPr>
      </w:pPr>
      <w:r>
        <w:rPr>
          <w:rFonts w:cs="Times New Roman"/>
          <w:b/>
          <w:szCs w:val="22"/>
          <w:lang w:val="fr-FR"/>
        </w:rPr>
        <w:br w:type="column"/>
      </w:r>
    </w:p>
    <w:p w14:paraId="0CD3A96C" w14:textId="77777777" w:rsidR="00627261" w:rsidRPr="002728EC" w:rsidRDefault="00627261" w:rsidP="00627261">
      <w:pPr>
        <w:rPr>
          <w:rFonts w:cs="Times New Roman"/>
          <w:szCs w:val="22"/>
        </w:rPr>
      </w:pPr>
      <w:r w:rsidRPr="002728EC">
        <w:rPr>
          <w:rFonts w:cs="Times New Roman"/>
          <w:noProof/>
          <w:szCs w:val="22"/>
        </w:rPr>
        <w:drawing>
          <wp:inline distT="0" distB="0" distL="0" distR="0" wp14:anchorId="2169ADA4" wp14:editId="6E37284B">
            <wp:extent cx="5442864" cy="1945640"/>
            <wp:effectExtent l="0" t="0" r="0" b="101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linfect_impactVE.eps"/>
                    <pic:cNvPicPr/>
                  </pic:nvPicPr>
                  <pic:blipFill>
                    <a:blip r:embed="rId126">
                      <a:extLst>
                        <a:ext uri="{28A0092B-C50C-407E-A947-70E740481C1C}">
                          <a14:useLocalDpi xmlns:a14="http://schemas.microsoft.com/office/drawing/2010/main" val="0"/>
                        </a:ext>
                      </a:extLst>
                    </a:blip>
                    <a:stretch>
                      <a:fillRect/>
                    </a:stretch>
                  </pic:blipFill>
                  <pic:spPr>
                    <a:xfrm>
                      <a:off x="0" y="0"/>
                      <a:ext cx="5458437" cy="1951207"/>
                    </a:xfrm>
                    <a:prstGeom prst="rect">
                      <a:avLst/>
                    </a:prstGeom>
                  </pic:spPr>
                </pic:pic>
              </a:graphicData>
            </a:graphic>
          </wp:inline>
        </w:drawing>
      </w:r>
    </w:p>
    <w:p w14:paraId="2BFB9938" w14:textId="2143D23C" w:rsidR="00627261" w:rsidRPr="00814D1D" w:rsidRDefault="00AA7127" w:rsidP="004C61A9">
      <w:pPr>
        <w:pStyle w:val="SMcaption"/>
      </w:pPr>
      <w:bookmarkStart w:id="36" w:name="_Toc536706269"/>
      <w:bookmarkStart w:id="37" w:name="_Toc9935792"/>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17</w:t>
      </w:r>
      <w:r w:rsidR="00753C98">
        <w:rPr>
          <w:noProof/>
        </w:rPr>
        <w:fldChar w:fldCharType="end"/>
      </w:r>
      <w:r>
        <w:t xml:space="preserve">. </w:t>
      </w:r>
      <w:r w:rsidR="00627261" w:rsidRPr="00FF6616">
        <w:t>Model-predicted overall vaccine impact and vaccine effectiveness for different assumptions regarding the relative infectiousness of subsequent infections.</w:t>
      </w:r>
      <w:bookmarkEnd w:id="36"/>
      <w:bookmarkEnd w:id="37"/>
      <w:r w:rsidR="00627261" w:rsidRPr="00627261">
        <w:t xml:space="preserve"> </w:t>
      </w:r>
      <w:r w:rsidR="00627261" w:rsidRPr="004C61A9">
        <w:rPr>
          <w:b w:val="0"/>
        </w:rPr>
        <w:t>(</w:t>
      </w:r>
      <w:r w:rsidR="00627261" w:rsidRPr="002C7FE1">
        <w:t>A</w:t>
      </w:r>
      <w:r w:rsidR="00627261" w:rsidRPr="004C61A9">
        <w:rPr>
          <w:b w:val="0"/>
        </w:rPr>
        <w:t>) Predicted overall vaccine impact for Model 1 as measured by the percent reduction in RVGE cases among children &lt;5 years old presenting to QECH compared to the predicted incidence in the absence of vaccination for the first four years following vaccine introduction (2013-2016). (</w:t>
      </w:r>
      <w:r w:rsidR="00627261" w:rsidRPr="002C7FE1">
        <w:t>B</w:t>
      </w:r>
      <w:r w:rsidR="00627261" w:rsidRPr="004C61A9">
        <w:rPr>
          <w:b w:val="0"/>
        </w:rPr>
        <w:t>) The model-predicted vaccine effectiveness for all children &lt;5 years old and for 4-</w:t>
      </w:r>
      <w:r w:rsidR="007A6FC3" w:rsidRPr="004C61A9">
        <w:rPr>
          <w:b w:val="0"/>
        </w:rPr>
        <w:t xml:space="preserve"> to </w:t>
      </w:r>
      <w:r w:rsidR="00627261" w:rsidRPr="004C61A9">
        <w:rPr>
          <w:b w:val="0"/>
        </w:rPr>
        <w:t>11</w:t>
      </w:r>
      <w:r w:rsidR="007A6FC3" w:rsidRPr="004C61A9">
        <w:rPr>
          <w:b w:val="0"/>
        </w:rPr>
        <w:t>-</w:t>
      </w:r>
      <w:r w:rsidR="00627261" w:rsidRPr="004C61A9">
        <w:rPr>
          <w:b w:val="0"/>
        </w:rPr>
        <w:t>month-olds versus 12-</w:t>
      </w:r>
      <w:r w:rsidR="007A6FC3" w:rsidRPr="004C61A9">
        <w:rPr>
          <w:b w:val="0"/>
        </w:rPr>
        <w:t xml:space="preserve"> to </w:t>
      </w:r>
      <w:r w:rsidR="00627261" w:rsidRPr="004C61A9">
        <w:rPr>
          <w:b w:val="0"/>
        </w:rPr>
        <w:t>23</w:t>
      </w:r>
      <w:r w:rsidR="007A6FC3" w:rsidRPr="004C61A9">
        <w:rPr>
          <w:b w:val="0"/>
        </w:rPr>
        <w:t>-</w:t>
      </w:r>
      <w:r w:rsidR="00627261" w:rsidRPr="004C61A9">
        <w:rPr>
          <w:b w:val="0"/>
        </w:rPr>
        <w:t>month-olds for five different values of the relative infectiousness of subsequent infections (</w:t>
      </w:r>
      <w:r w:rsidR="00627261" w:rsidRPr="004C61A9">
        <w:rPr>
          <w:b w:val="0"/>
          <w:i/>
        </w:rPr>
        <w:t>i</w:t>
      </w:r>
      <w:r w:rsidR="00627261" w:rsidRPr="004C61A9">
        <w:rPr>
          <w:b w:val="0"/>
        </w:rPr>
        <w:t>≥3) compared to first infections varying from 0.1 (base-case) to 0.5.</w:t>
      </w:r>
    </w:p>
    <w:p w14:paraId="6E31D4AE" w14:textId="77777777" w:rsidR="00627261" w:rsidRPr="002728EC" w:rsidRDefault="00627261" w:rsidP="00627261">
      <w:pPr>
        <w:pStyle w:val="SMcaption"/>
      </w:pPr>
    </w:p>
    <w:p w14:paraId="08B9012A" w14:textId="5BD63888" w:rsidR="00627261" w:rsidRPr="002728EC" w:rsidRDefault="00947DAA" w:rsidP="00627261">
      <w:pPr>
        <w:pStyle w:val="SMcaption"/>
      </w:pPr>
      <w:r>
        <w:br w:type="column"/>
      </w:r>
    </w:p>
    <w:p w14:paraId="3C6E55BD" w14:textId="77777777" w:rsidR="00627261" w:rsidRPr="002728EC" w:rsidRDefault="00627261" w:rsidP="00627261">
      <w:pPr>
        <w:rPr>
          <w:rFonts w:cs="Times New Roman"/>
          <w:b/>
          <w:szCs w:val="22"/>
        </w:rPr>
      </w:pPr>
      <w:r w:rsidRPr="002728EC">
        <w:rPr>
          <w:rFonts w:cs="Times New Roman"/>
          <w:noProof/>
          <w:szCs w:val="22"/>
        </w:rPr>
        <w:drawing>
          <wp:inline distT="0" distB="0" distL="0" distR="0" wp14:anchorId="5511BC88" wp14:editId="247A8DD7">
            <wp:extent cx="4546600" cy="19355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nsitivity_noimm.eps"/>
                    <pic:cNvPicPr/>
                  </pic:nvPicPr>
                  <pic:blipFill>
                    <a:blip r:embed="rId127">
                      <a:extLst>
                        <a:ext uri="{28A0092B-C50C-407E-A947-70E740481C1C}">
                          <a14:useLocalDpi xmlns:a14="http://schemas.microsoft.com/office/drawing/2010/main" val="0"/>
                        </a:ext>
                      </a:extLst>
                    </a:blip>
                    <a:stretch>
                      <a:fillRect/>
                    </a:stretch>
                  </pic:blipFill>
                  <pic:spPr>
                    <a:xfrm>
                      <a:off x="0" y="0"/>
                      <a:ext cx="4569541" cy="1945366"/>
                    </a:xfrm>
                    <a:prstGeom prst="rect">
                      <a:avLst/>
                    </a:prstGeom>
                  </pic:spPr>
                </pic:pic>
              </a:graphicData>
            </a:graphic>
          </wp:inline>
        </w:drawing>
      </w:r>
    </w:p>
    <w:p w14:paraId="6977483A" w14:textId="5221D4D8" w:rsidR="00627261" w:rsidRPr="00814D1D" w:rsidRDefault="00AA7127" w:rsidP="00880321">
      <w:pPr>
        <w:pStyle w:val="SMcaption"/>
      </w:pPr>
      <w:bookmarkStart w:id="38" w:name="_Toc536706270"/>
      <w:bookmarkStart w:id="39" w:name="_Toc9935793"/>
      <w:r>
        <w:t>Fig. S</w:t>
      </w:r>
      <w:r w:rsidR="00753C98">
        <w:rPr>
          <w:noProof/>
        </w:rPr>
        <w:fldChar w:fldCharType="begin"/>
      </w:r>
      <w:r w:rsidR="00753C98">
        <w:rPr>
          <w:noProof/>
        </w:rPr>
        <w:instrText xml:space="preserve"> SEQ Fig._S \* ARABIC </w:instrText>
      </w:r>
      <w:r w:rsidR="00753C98">
        <w:rPr>
          <w:noProof/>
        </w:rPr>
        <w:fldChar w:fldCharType="separate"/>
      </w:r>
      <w:r w:rsidR="002558FA">
        <w:rPr>
          <w:noProof/>
        </w:rPr>
        <w:t>18</w:t>
      </w:r>
      <w:r w:rsidR="00753C98">
        <w:rPr>
          <w:noProof/>
        </w:rPr>
        <w:fldChar w:fldCharType="end"/>
      </w:r>
      <w:r>
        <w:t xml:space="preserve">. </w:t>
      </w:r>
      <w:r w:rsidR="00627261" w:rsidRPr="00AC7DE4">
        <w:t>Model-predicted overall vaccine impact and vaccine effectiveness for short-lived complete immunity following infection.</w:t>
      </w:r>
      <w:bookmarkEnd w:id="38"/>
      <w:bookmarkEnd w:id="39"/>
      <w:r w:rsidR="00627261" w:rsidRPr="009269EF">
        <w:t xml:space="preserve"> </w:t>
      </w:r>
      <w:r w:rsidR="00627261" w:rsidRPr="00880321">
        <w:rPr>
          <w:b w:val="0"/>
        </w:rPr>
        <w:t>(</w:t>
      </w:r>
      <w:r w:rsidR="00627261" w:rsidRPr="00880321">
        <w:t>A</w:t>
      </w:r>
      <w:r w:rsidR="00627261" w:rsidRPr="00880321">
        <w:rPr>
          <w:b w:val="0"/>
        </w:rPr>
        <w:t>) Predicted overall vaccine impact as measured by the percent reduction in RVGE cases among children &lt;5 years old presenting to QECH compared to the predicted incidence in the absence of vaccination for the first four years following vaccine introduction (2013</w:t>
      </w:r>
      <w:r w:rsidR="00C51AC0" w:rsidRPr="00880321">
        <w:rPr>
          <w:b w:val="0"/>
        </w:rPr>
        <w:t xml:space="preserve"> to </w:t>
      </w:r>
      <w:r w:rsidR="00627261" w:rsidRPr="00880321">
        <w:rPr>
          <w:b w:val="0"/>
        </w:rPr>
        <w:t>2016). (</w:t>
      </w:r>
      <w:r w:rsidR="00627261" w:rsidRPr="00880321">
        <w:t>B</w:t>
      </w:r>
      <w:r w:rsidR="00627261" w:rsidRPr="00880321">
        <w:rPr>
          <w:b w:val="0"/>
        </w:rPr>
        <w:t>) The model predicted vaccine effectiveness for all children &lt;5 years old and for 4-</w:t>
      </w:r>
      <w:r w:rsidR="00883193" w:rsidRPr="00880321">
        <w:rPr>
          <w:b w:val="0"/>
        </w:rPr>
        <w:t xml:space="preserve"> to </w:t>
      </w:r>
      <w:r w:rsidR="0047060D" w:rsidRPr="00880321">
        <w:rPr>
          <w:b w:val="0"/>
        </w:rPr>
        <w:t>11-</w:t>
      </w:r>
      <w:r w:rsidR="00627261" w:rsidRPr="00880321">
        <w:rPr>
          <w:b w:val="0"/>
        </w:rPr>
        <w:t>month-olds versus 12-</w:t>
      </w:r>
      <w:r w:rsidR="00883193" w:rsidRPr="00880321">
        <w:rPr>
          <w:b w:val="0"/>
        </w:rPr>
        <w:t xml:space="preserve"> to</w:t>
      </w:r>
      <w:r w:rsidR="00BF1E02" w:rsidRPr="00880321">
        <w:rPr>
          <w:b w:val="0"/>
        </w:rPr>
        <w:t xml:space="preserve"> </w:t>
      </w:r>
      <w:r w:rsidR="0047060D" w:rsidRPr="00880321">
        <w:rPr>
          <w:b w:val="0"/>
        </w:rPr>
        <w:t>23-</w:t>
      </w:r>
      <w:r w:rsidR="00627261" w:rsidRPr="00880321">
        <w:rPr>
          <w:b w:val="0"/>
        </w:rPr>
        <w:t>month-olds for Model 1 (with average duration of complete immunity equal to 13 weeks)</w:t>
      </w:r>
      <w:r w:rsidR="002E0119" w:rsidRPr="00880321">
        <w:rPr>
          <w:b w:val="0"/>
        </w:rPr>
        <w:t>,</w:t>
      </w:r>
      <w:r w:rsidR="00627261" w:rsidRPr="00880321">
        <w:rPr>
          <w:b w:val="0"/>
        </w:rPr>
        <w:t xml:space="preserve"> and a model in which we assume</w:t>
      </w:r>
      <w:r w:rsidR="0064110A" w:rsidRPr="00880321">
        <w:rPr>
          <w:b w:val="0"/>
        </w:rPr>
        <w:t>d</w:t>
      </w:r>
      <w:r w:rsidR="00627261" w:rsidRPr="00880321">
        <w:rPr>
          <w:b w:val="0"/>
        </w:rPr>
        <w:t xml:space="preserve"> the duration of complete immunity following infection </w:t>
      </w:r>
      <w:r w:rsidR="00824B36" w:rsidRPr="00880321">
        <w:rPr>
          <w:b w:val="0"/>
        </w:rPr>
        <w:t>wa</w:t>
      </w:r>
      <w:r w:rsidR="00627261" w:rsidRPr="00880321">
        <w:rPr>
          <w:b w:val="0"/>
        </w:rPr>
        <w:t>s 1 week.</w:t>
      </w:r>
    </w:p>
    <w:p w14:paraId="201AD621" w14:textId="77777777" w:rsidR="00627261" w:rsidRPr="002728EC" w:rsidRDefault="00627261" w:rsidP="00627261">
      <w:pPr>
        <w:pStyle w:val="SMcaption"/>
      </w:pPr>
    </w:p>
    <w:p w14:paraId="40956989" w14:textId="77777777" w:rsidR="00627261" w:rsidRPr="002728EC" w:rsidRDefault="00627261" w:rsidP="00627261">
      <w:pPr>
        <w:pStyle w:val="SMcaption"/>
      </w:pPr>
    </w:p>
    <w:p w14:paraId="3EFE736D" w14:textId="77777777" w:rsidR="00627261" w:rsidRPr="002728EC" w:rsidRDefault="00627261" w:rsidP="00627261">
      <w:pPr>
        <w:rPr>
          <w:rFonts w:cs="Times New Roman"/>
          <w:szCs w:val="22"/>
        </w:rPr>
      </w:pPr>
      <w:r w:rsidRPr="002728EC">
        <w:rPr>
          <w:rFonts w:cs="Times New Roman"/>
          <w:szCs w:val="22"/>
        </w:rPr>
        <w:br w:type="page"/>
      </w:r>
    </w:p>
    <w:p w14:paraId="2F601A77" w14:textId="26692152" w:rsidR="006259CB" w:rsidRPr="007E512D" w:rsidRDefault="006259CB" w:rsidP="00BA0AD2">
      <w:pPr>
        <w:pStyle w:val="SMcaption"/>
      </w:pPr>
      <w:bookmarkStart w:id="40" w:name="_Toc9936183"/>
      <w:r w:rsidRPr="007E512D">
        <w:lastRenderedPageBreak/>
        <w:t>Table S</w:t>
      </w:r>
      <w:r w:rsidR="00753C98">
        <w:rPr>
          <w:noProof/>
        </w:rPr>
        <w:fldChar w:fldCharType="begin"/>
      </w:r>
      <w:r w:rsidR="00753C98">
        <w:rPr>
          <w:noProof/>
        </w:rPr>
        <w:instrText xml:space="preserve"> SEQ Table_S \* ARABIC </w:instrText>
      </w:r>
      <w:r w:rsidR="00753C98">
        <w:rPr>
          <w:noProof/>
        </w:rPr>
        <w:fldChar w:fldCharType="separate"/>
      </w:r>
      <w:r w:rsidR="002558FA">
        <w:rPr>
          <w:noProof/>
        </w:rPr>
        <w:t>1</w:t>
      </w:r>
      <w:r w:rsidR="00753C98">
        <w:rPr>
          <w:noProof/>
        </w:rPr>
        <w:fldChar w:fldCharType="end"/>
      </w:r>
      <w:r w:rsidRPr="007E512D">
        <w:t>. Fixed and estimated parameter values.</w:t>
      </w:r>
      <w:bookmarkEnd w:id="40"/>
    </w:p>
    <w:p w14:paraId="14E40F8A" w14:textId="77777777" w:rsidR="006259CB" w:rsidRPr="007E512D" w:rsidRDefault="006259CB" w:rsidP="006259CB">
      <w:pPr>
        <w:rPr>
          <w:rFonts w:cs="Times New Roman"/>
        </w:rPr>
      </w:pPr>
    </w:p>
    <w:tbl>
      <w:tblPr>
        <w:tblStyle w:val="GridTable2"/>
        <w:tblW w:w="9558" w:type="dxa"/>
        <w:tblLayout w:type="fixed"/>
        <w:tblLook w:val="04A0" w:firstRow="1" w:lastRow="0" w:firstColumn="1" w:lastColumn="0" w:noHBand="0" w:noVBand="1"/>
      </w:tblPr>
      <w:tblGrid>
        <w:gridCol w:w="1911"/>
        <w:gridCol w:w="1911"/>
        <w:gridCol w:w="1912"/>
        <w:gridCol w:w="1912"/>
        <w:gridCol w:w="1912"/>
      </w:tblGrid>
      <w:tr w:rsidR="006259CB" w:rsidRPr="009A6E73" w14:paraId="1B9AA290" w14:textId="77777777" w:rsidTr="009A6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tcPr>
          <w:p w14:paraId="0C34DF7A" w14:textId="77777777" w:rsidR="006259CB" w:rsidRPr="009A6E73" w:rsidRDefault="006259CB" w:rsidP="00754D9F">
            <w:pPr>
              <w:rPr>
                <w:rFonts w:cs="Times New Roman"/>
                <w:bCs w:val="0"/>
              </w:rPr>
            </w:pPr>
            <w:r w:rsidRPr="009A6E73">
              <w:rPr>
                <w:rFonts w:cs="Times New Roman"/>
                <w:bCs w:val="0"/>
              </w:rPr>
              <w:t>Fixed parameters</w:t>
            </w:r>
          </w:p>
        </w:tc>
        <w:tc>
          <w:tcPr>
            <w:tcW w:w="0" w:type="dxa"/>
            <w:tcBorders>
              <w:top w:val="single" w:sz="4" w:space="0" w:color="auto"/>
              <w:bottom w:val="single" w:sz="4" w:space="0" w:color="auto"/>
            </w:tcBorders>
          </w:tcPr>
          <w:p w14:paraId="636E0397" w14:textId="77777777" w:rsidR="006259CB" w:rsidRPr="009A6E73" w:rsidRDefault="006259CB" w:rsidP="00754D9F">
            <w:pPr>
              <w:cnfStyle w:val="100000000000" w:firstRow="1" w:lastRow="0" w:firstColumn="0" w:lastColumn="0" w:oddVBand="0" w:evenVBand="0" w:oddHBand="0" w:evenHBand="0" w:firstRowFirstColumn="0" w:firstRowLastColumn="0" w:lastRowFirstColumn="0" w:lastRowLastColumn="0"/>
              <w:rPr>
                <w:rFonts w:cs="Times New Roman"/>
                <w:bCs w:val="0"/>
              </w:rPr>
            </w:pPr>
            <w:r w:rsidRPr="009A6E73">
              <w:rPr>
                <w:rFonts w:cs="Times New Roman"/>
                <w:bCs w:val="0"/>
              </w:rPr>
              <w:t>Variable</w:t>
            </w:r>
          </w:p>
        </w:tc>
        <w:tc>
          <w:tcPr>
            <w:tcW w:w="0" w:type="dxa"/>
            <w:gridSpan w:val="2"/>
            <w:tcBorders>
              <w:top w:val="single" w:sz="4" w:space="0" w:color="auto"/>
              <w:bottom w:val="single" w:sz="4" w:space="0" w:color="auto"/>
            </w:tcBorders>
          </w:tcPr>
          <w:p w14:paraId="0E8CA182" w14:textId="77777777" w:rsidR="006259CB" w:rsidRPr="009A6E73" w:rsidRDefault="006259CB" w:rsidP="00754D9F">
            <w:pPr>
              <w:cnfStyle w:val="100000000000" w:firstRow="1" w:lastRow="0" w:firstColumn="0" w:lastColumn="0" w:oddVBand="0" w:evenVBand="0" w:oddHBand="0" w:evenHBand="0" w:firstRowFirstColumn="0" w:firstRowLastColumn="0" w:lastRowFirstColumn="0" w:lastRowLastColumn="0"/>
              <w:rPr>
                <w:rFonts w:cs="Times New Roman"/>
                <w:bCs w:val="0"/>
              </w:rPr>
            </w:pPr>
            <w:r w:rsidRPr="009A6E73">
              <w:rPr>
                <w:rFonts w:cs="Times New Roman"/>
                <w:bCs w:val="0"/>
              </w:rPr>
              <w:t>Value</w:t>
            </w:r>
          </w:p>
        </w:tc>
        <w:tc>
          <w:tcPr>
            <w:tcW w:w="0" w:type="dxa"/>
            <w:tcBorders>
              <w:top w:val="single" w:sz="4" w:space="0" w:color="auto"/>
              <w:bottom w:val="single" w:sz="4" w:space="0" w:color="auto"/>
            </w:tcBorders>
          </w:tcPr>
          <w:p w14:paraId="441CB00C" w14:textId="77777777" w:rsidR="006259CB" w:rsidRPr="009A6E73" w:rsidRDefault="006259CB" w:rsidP="00754D9F">
            <w:pPr>
              <w:cnfStyle w:val="100000000000" w:firstRow="1" w:lastRow="0" w:firstColumn="0" w:lastColumn="0" w:oddVBand="0" w:evenVBand="0" w:oddHBand="0" w:evenHBand="0" w:firstRowFirstColumn="0" w:firstRowLastColumn="0" w:lastRowFirstColumn="0" w:lastRowLastColumn="0"/>
              <w:rPr>
                <w:rFonts w:cs="Times New Roman"/>
                <w:bCs w:val="0"/>
              </w:rPr>
            </w:pPr>
            <w:r w:rsidRPr="009A6E73">
              <w:rPr>
                <w:rFonts w:cs="Times New Roman"/>
                <w:bCs w:val="0"/>
              </w:rPr>
              <w:t>Source</w:t>
            </w:r>
          </w:p>
        </w:tc>
      </w:tr>
      <w:tr w:rsidR="006259CB" w:rsidRPr="009A6E73" w14:paraId="255995C9" w14:textId="77777777" w:rsidTr="009A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right w:val="nil"/>
            </w:tcBorders>
          </w:tcPr>
          <w:p w14:paraId="165B3EDD" w14:textId="77777777" w:rsidR="006259CB" w:rsidRPr="009A6E73" w:rsidRDefault="006259CB" w:rsidP="00754D9F">
            <w:pPr>
              <w:rPr>
                <w:rFonts w:cs="Times New Roman"/>
                <w:b w:val="0"/>
                <w:bCs w:val="0"/>
              </w:rPr>
            </w:pPr>
            <w:r w:rsidRPr="009A6E73">
              <w:rPr>
                <w:rFonts w:cs="Times New Roman"/>
                <w:b w:val="0"/>
                <w:bCs w:val="0"/>
              </w:rPr>
              <w:t>Birth rate</w:t>
            </w:r>
          </w:p>
        </w:tc>
        <w:tc>
          <w:tcPr>
            <w:tcW w:w="0" w:type="dxa"/>
            <w:tcBorders>
              <w:top w:val="single" w:sz="4" w:space="0" w:color="auto"/>
              <w:left w:val="nil"/>
              <w:bottom w:val="nil"/>
              <w:right w:val="nil"/>
            </w:tcBorders>
          </w:tcPr>
          <w:p w14:paraId="458761E0"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i/>
              </w:rPr>
              <w:t>B</w:t>
            </w:r>
            <w:r w:rsidRPr="009A6E73">
              <w:rPr>
                <w:rFonts w:cs="Times New Roman"/>
              </w:rPr>
              <w:t>(</w:t>
            </w:r>
            <w:r w:rsidRPr="009A6E73">
              <w:rPr>
                <w:rFonts w:cs="Times New Roman"/>
                <w:i/>
              </w:rPr>
              <w:t>t</w:t>
            </w:r>
            <w:r w:rsidRPr="009A6E73">
              <w:rPr>
                <w:rFonts w:cs="Times New Roman"/>
              </w:rPr>
              <w:t>)</w:t>
            </w:r>
          </w:p>
        </w:tc>
        <w:tc>
          <w:tcPr>
            <w:tcW w:w="0" w:type="dxa"/>
            <w:gridSpan w:val="2"/>
            <w:tcBorders>
              <w:top w:val="single" w:sz="4" w:space="0" w:color="auto"/>
              <w:left w:val="nil"/>
              <w:bottom w:val="nil"/>
              <w:right w:val="nil"/>
            </w:tcBorders>
          </w:tcPr>
          <w:p w14:paraId="75C2B40D"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0.0366 to 0.0550 year</w:t>
            </w:r>
            <w:r w:rsidRPr="009A6E73">
              <w:rPr>
                <w:rFonts w:cs="Times New Roman"/>
                <w:vertAlign w:val="superscript"/>
              </w:rPr>
              <w:t>-1</w:t>
            </w:r>
            <w:r w:rsidRPr="009A6E73">
              <w:rPr>
                <w:rFonts w:cs="Times New Roman"/>
              </w:rPr>
              <w:t xml:space="preserve"> </w:t>
            </w:r>
          </w:p>
        </w:tc>
        <w:tc>
          <w:tcPr>
            <w:tcW w:w="0" w:type="dxa"/>
            <w:tcBorders>
              <w:top w:val="single" w:sz="4" w:space="0" w:color="auto"/>
              <w:left w:val="nil"/>
              <w:bottom w:val="nil"/>
            </w:tcBorders>
          </w:tcPr>
          <w:p w14:paraId="49824338"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{"citationItems":[{"id":"ITEM-1","itemData":{"URL":"https://esa.un.org/unpd/wpp/DataQuery/","author":[{"dropping-particle":"","family":"Division","given":"United Nations DESA/Population","non-dropping-particle":"","parse-names":false,"suffix":""}],"id":"ITEM-1","issued":{"date-parts":[["2017"]]},"title":"World Population Prospects 2017","type":"webpage"},"uris":["http://www.mendeley.com/documents/?uuid=8559c67a-0bad-4835-a562-fb1b3a7d58e1","http://www.mendeley.com/documents/?uuid=1bd7cc92-f38e-47d9-9469-e41530109be8"]}],"mendeley":{"formattedCitation":"&lt;i&gt;(59)&lt;/i&gt;","plainTextFormattedCitation":"(59)","previouslyFormattedCitation":"&lt;i&gt;(60)&lt;/i&gt;"},"properties":{"noteIndex":0},"schema":"https://github.com/citation-style-language/schema/raw/master/csl-citation.json"}</w:instrText>
            </w:r>
            <w:r w:rsidRPr="009A6E73">
              <w:rPr>
                <w:rFonts w:cs="Times New Roman"/>
              </w:rPr>
              <w:fldChar w:fldCharType="separate"/>
            </w:r>
            <w:r w:rsidRPr="009A6E73">
              <w:rPr>
                <w:rFonts w:cs="Times New Roman"/>
                <w:i/>
                <w:noProof/>
              </w:rPr>
              <w:t>(59)</w:t>
            </w:r>
            <w:r w:rsidRPr="009A6E73">
              <w:rPr>
                <w:rFonts w:cs="Times New Roman"/>
              </w:rPr>
              <w:fldChar w:fldCharType="end"/>
            </w:r>
          </w:p>
        </w:tc>
      </w:tr>
      <w:tr w:rsidR="006259CB" w:rsidRPr="009A6E73" w14:paraId="4146F688" w14:textId="77777777" w:rsidTr="009A6E73">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78D3FCB5" w14:textId="77777777" w:rsidR="006259CB" w:rsidRPr="009A6E73" w:rsidRDefault="006259CB" w:rsidP="00754D9F">
            <w:pPr>
              <w:rPr>
                <w:rFonts w:cs="Times New Roman"/>
                <w:b w:val="0"/>
                <w:bCs w:val="0"/>
              </w:rPr>
            </w:pPr>
            <w:r w:rsidRPr="009A6E73">
              <w:rPr>
                <w:rFonts w:cs="Times New Roman"/>
                <w:b w:val="0"/>
                <w:bCs w:val="0"/>
              </w:rPr>
              <w:t>Duration maternal immunity</w:t>
            </w:r>
          </w:p>
        </w:tc>
        <w:tc>
          <w:tcPr>
            <w:tcW w:w="0" w:type="dxa"/>
            <w:tcBorders>
              <w:top w:val="nil"/>
              <w:left w:val="nil"/>
              <w:bottom w:val="nil"/>
              <w:right w:val="nil"/>
            </w:tcBorders>
          </w:tcPr>
          <w:p w14:paraId="7792B0E6"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i/>
                <w:vertAlign w:val="subscript"/>
              </w:rPr>
            </w:pPr>
            <w:r w:rsidRPr="009A6E73">
              <w:rPr>
                <w:rFonts w:cs="Times New Roman"/>
              </w:rPr>
              <w:t>1/</w:t>
            </w:r>
            <w:r w:rsidRPr="009A6E73">
              <w:rPr>
                <w:rFonts w:cs="Times New Roman"/>
                <w:i/>
              </w:rPr>
              <w:sym w:font="Symbol" w:char="F077"/>
            </w:r>
            <w:r w:rsidRPr="009A6E73">
              <w:rPr>
                <w:rFonts w:cs="Times New Roman"/>
                <w:i/>
                <w:vertAlign w:val="subscript"/>
              </w:rPr>
              <w:t>M</w:t>
            </w:r>
          </w:p>
        </w:tc>
        <w:tc>
          <w:tcPr>
            <w:tcW w:w="0" w:type="dxa"/>
            <w:gridSpan w:val="2"/>
            <w:tcBorders>
              <w:top w:val="nil"/>
              <w:left w:val="nil"/>
              <w:bottom w:val="nil"/>
              <w:right w:val="nil"/>
            </w:tcBorders>
          </w:tcPr>
          <w:p w14:paraId="51995F37"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26 weeks</w:t>
            </w:r>
          </w:p>
        </w:tc>
        <w:tc>
          <w:tcPr>
            <w:tcW w:w="0" w:type="dxa"/>
            <w:tcBorders>
              <w:top w:val="nil"/>
              <w:left w:val="nil"/>
              <w:bottom w:val="nil"/>
            </w:tcBorders>
          </w:tcPr>
          <w:p w14:paraId="03E69DF8"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{"citationItems":[{"id":"ITEM-1","itemData":{"ISSN":"0950-2688","PMID":"2537221","abstract":"From December 1982 to March 1986 a group of 80 children between 0 and 3 years old who lived in the peripheral area of Belém, Brazil, were followed up for episodes of diarrhoea. A total of 441 diarrhoeal episodes were recorded and 36 (8.2%) were associated with rotavirus. This agent was the only pathogen in 50% of rotavirus-related episodes of acute diarrhoea, and strains were characterized by analysis of RNA in polyacrylamide gels. Forty-one belonged to subgroup II (long pattern) and five to subgroup I. Reinfections by rotavirus were noted in 12 children involving either the same or different subgroups. Ten distinct electrophoretypes were detected in the study period and the predominant one had the '1N2L' profile. The cumulative age-specific attack rate for diarrhoea reached 2.8 by the end of the first year of life; a frequency of 2.3 episodes of diarrhoea per child per year was observed throughout the complete investigation. In comparing the age-specific attack rates for diarrhoea between breast-fed and bottle-fed children, a peak at 6 months of age was noted in the former, and at 1 month in the latter. A comparison by Fischer's exact test (P = 0.21) provided no evidence for protection against clinical rotavirus disease by maternal milk. By the same test, however (P = 0.021), we found significant evidence that early rotavirus infections were more likely to be asymptomatic and that infections after 4 months were more likely to be symptomatic. The clinical picture in children with rotavirus-related diarrhoea was more severe than in those suffering from acute diarrhoea due to another agent.","author":[{"dropping-particle":"","family":"Linhares","given":"A C","non-dropping-particle":"","parse-names":false,"suffix":""},{"dropping-particle":"","family":"Gabbay","given":"Y B","non-dropping-particle":"","parse-names":false,"suffix":""},{"dropping-particle":"","family":"Freitas","given":"R B","non-dropping-particle":"","parse-names":false,"suffix":""},{"dropping-particle":"","family":"Rosa","given":"E S","non-dropping-particle":"da","parse-names":false,"suffix":""},{"dropping-particle":"","family":"Mascarenhas","given":"J D","non-dropping-particle":"","parse-names":false,"suffix":""},{"dropping-particle":"","family":"Loureiro","given":"E C","non-dropping-particle":"","parse-names":false,"suffix":""}],"container-title":"Epidemiology and Infection","id":"ITEM-1","issue":"1","issued":{"date-parts":[["1989","2"]]},"page":"129-45","title":"Longitudinal study of rotavirus infections among children from Belém, Brazil.","type":"article-journal","volume":"102"},"uris":["http://www.mendeley.com/documents/?uuid=449baefc-f557-4ecf-bbc2-8c3fc6019415"]},{"id":"ITEM-2","itemData":{"DOI":"10.1098/rsif.2011.0062","ISSN":"1742-5662","PMID":"21508015","abstract":"Rotavirus is a major cause of mortality in developing countries, and yet the dynamics of rotavirus in such settings are poorly understood. Rotavirus is typically less seasonal in the tropics, although recent observational studies have challenged the universality of this pattern. While numerous studies have examined the association between environmental factors and rotavirus incidence, here we explore the role of intrinsic factors. By fitting a mathematical model of rotavirus transmission dynamics to published age distributions of cases from 15 countries, we obtain estimates of local transmission rates. Model-predicted patterns of seasonal incidence based solely on differences in birth rates and transmission rates are significantly correlated with those observed (Spearman's ρ = 0.65, p &lt; 0.05). We then examine seasonal patterns of rotavirus predicted across a range of different birth rates and transmission rates and explore how vaccination may impact these patterns. Our results suggest that the relative lack of rotavirus seasonality observed in many tropical countries may be due to the high birth rates and transmission rates typical of developing countries rather than being driven primarily by environmental conditions. While vaccination is expected to decrease the overall burden of disease, it may increase the degree of seasonal variation in the incidence of rotavirus in some settings.","author":[{"dropping-particle":"","family":"Pitzer","given":"Virginia E","non-dropping-particle":"","parse-names":false,"suffix":""},{"dropping-particle":"","family":"Viboud","given":"Cécile","non-dropping-particle":"","parse-names":false,"suffix":""},{"dropping-particle":"","family":"Lopman","given":"Ben A","non-dropping-particle":"","parse-names":false,"suffix":""},{"dropping-particle":"","family":"Patel","given":"Manish M","non-dropping-particle":"","parse-names":false,"suffix":""},{"dropping-particle":"","family":"Parashar","given":"Umesh D","non-dropping-particle":"","parse-names":false,"suffix":""},{"dropping-particle":"","family":"Grenfell","given":"Bryan T","non-dropping-particle":"","parse-names":false,"suffix":""}],"container-title":"Journal of the Royal Society, Interface / the Royal Society","id":"ITEM-2","issue":"64","issued":{"date-parts":[["2011","11","7"]]},"page":"1584-93","title":"Influence of birth rates and transmission rates on the global seasonality of rotavirus incidence.","type":"article-journal","volume":"8"},"uris":["http://www.mendeley.com/documents/?uuid=6fa085c6-e787-468c-a837-32b77d7039dc"]}],"mendeley":{"formattedCitation":"&lt;i&gt;(37, 60)&lt;/i&gt;","plainTextFormattedCitation":"(37, 60)","previouslyFormattedCitation":"&lt;i&gt;(38, 61)&lt;/i&gt;"},"properties":{"noteIndex":0},"schema":"https://github.com/citation-style-language/schema/raw/master/csl-citation.json"}</w:instrText>
            </w:r>
            <w:r w:rsidRPr="009A6E73">
              <w:rPr>
                <w:rFonts w:cs="Times New Roman"/>
              </w:rPr>
              <w:fldChar w:fldCharType="separate"/>
            </w:r>
            <w:r w:rsidRPr="009A6E73">
              <w:rPr>
                <w:rFonts w:cs="Times New Roman"/>
                <w:i/>
                <w:noProof/>
              </w:rPr>
              <w:t>(37, 60)</w:t>
            </w:r>
            <w:r w:rsidRPr="009A6E73">
              <w:rPr>
                <w:rFonts w:cs="Times New Roman"/>
              </w:rPr>
              <w:fldChar w:fldCharType="end"/>
            </w:r>
          </w:p>
        </w:tc>
      </w:tr>
      <w:tr w:rsidR="006259CB" w:rsidRPr="009A6E73" w14:paraId="63A44D3D" w14:textId="77777777" w:rsidTr="009A6E7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5A6C852A" w14:textId="77777777" w:rsidR="006259CB" w:rsidRPr="009A6E73" w:rsidRDefault="006259CB" w:rsidP="00754D9F">
            <w:pPr>
              <w:rPr>
                <w:rFonts w:cs="Times New Roman"/>
                <w:b w:val="0"/>
                <w:bCs w:val="0"/>
              </w:rPr>
            </w:pPr>
            <w:r w:rsidRPr="009A6E73">
              <w:rPr>
                <w:rFonts w:cs="Times New Roman"/>
                <w:b w:val="0"/>
                <w:bCs w:val="0"/>
              </w:rPr>
              <w:t>Duration of infectiousness</w:t>
            </w:r>
          </w:p>
        </w:tc>
        <w:tc>
          <w:tcPr>
            <w:tcW w:w="0" w:type="dxa"/>
            <w:tcBorders>
              <w:top w:val="nil"/>
              <w:left w:val="nil"/>
              <w:bottom w:val="nil"/>
              <w:right w:val="nil"/>
            </w:tcBorders>
          </w:tcPr>
          <w:p w14:paraId="103D7A39"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gridSpan w:val="2"/>
            <w:tcBorders>
              <w:top w:val="nil"/>
              <w:left w:val="nil"/>
              <w:bottom w:val="nil"/>
              <w:right w:val="nil"/>
            </w:tcBorders>
          </w:tcPr>
          <w:p w14:paraId="218687A5"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Borders>
              <w:top w:val="nil"/>
              <w:left w:val="nil"/>
              <w:bottom w:val="nil"/>
            </w:tcBorders>
          </w:tcPr>
          <w:p w14:paraId="410E7B7D"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p>
        </w:tc>
      </w:tr>
      <w:tr w:rsidR="006259CB" w:rsidRPr="009A6E73" w14:paraId="51FD8107" w14:textId="77777777" w:rsidTr="009A6E73">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31340D67" w14:textId="77777777" w:rsidR="006259CB" w:rsidRPr="009A6E73" w:rsidRDefault="006259CB" w:rsidP="00754D9F">
            <w:pPr>
              <w:rPr>
                <w:rFonts w:cs="Times New Roman"/>
                <w:b w:val="0"/>
                <w:bCs w:val="0"/>
              </w:rPr>
            </w:pPr>
            <w:r w:rsidRPr="009A6E73">
              <w:rPr>
                <w:rFonts w:cs="Times New Roman"/>
                <w:b w:val="0"/>
                <w:bCs w:val="0"/>
              </w:rPr>
              <w:t xml:space="preserve">   First infection</w:t>
            </w:r>
          </w:p>
        </w:tc>
        <w:tc>
          <w:tcPr>
            <w:tcW w:w="0" w:type="dxa"/>
            <w:tcBorders>
              <w:top w:val="nil"/>
              <w:left w:val="nil"/>
              <w:bottom w:val="nil"/>
              <w:right w:val="nil"/>
            </w:tcBorders>
          </w:tcPr>
          <w:p w14:paraId="34F30601"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1/</w:t>
            </w:r>
            <w:r w:rsidRPr="009A6E73">
              <w:rPr>
                <w:rFonts w:cs="Times New Roman"/>
                <w:i/>
              </w:rPr>
              <w:sym w:font="Symbol" w:char="F067"/>
            </w:r>
            <w:r w:rsidRPr="009A6E73">
              <w:rPr>
                <w:rFonts w:cs="Times New Roman"/>
                <w:vertAlign w:val="subscript"/>
              </w:rPr>
              <w:t>1</w:t>
            </w:r>
          </w:p>
        </w:tc>
        <w:tc>
          <w:tcPr>
            <w:tcW w:w="0" w:type="dxa"/>
            <w:gridSpan w:val="2"/>
            <w:tcBorders>
              <w:top w:val="nil"/>
              <w:left w:val="nil"/>
              <w:bottom w:val="nil"/>
              <w:right w:val="nil"/>
            </w:tcBorders>
          </w:tcPr>
          <w:p w14:paraId="6A3A292E"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1 week</w:t>
            </w:r>
          </w:p>
        </w:tc>
        <w:tc>
          <w:tcPr>
            <w:tcW w:w="0" w:type="dxa"/>
            <w:tcBorders>
              <w:top w:val="nil"/>
              <w:left w:val="nil"/>
              <w:bottom w:val="nil"/>
            </w:tcBorders>
          </w:tcPr>
          <w:p w14:paraId="544ABB3A"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{"citationItems":[{"id":"ITEM-1","itemData":{"DOI":"10.1016/0140-6736(91)90945-L","ISBN":"0140-6736 (Print)\\r0140-6736 (Linking)","ISSN":"01406736","PMID":"1703618","abstract":"To improve identification of children excreting rotavirus a method for the amplification of rotavirus RNA by the polymerase chain reaction (PCR) was developed. The assay was compared with a solid-phase enzyme immunoassay in the detection of rotavirus shedding by infants in hospital during the winter peak of rotavirus infections. Forty children were studied in an intermediate care unit after transfer from intensive care units. Only two were admitted primarily because of diarrhoea; the other thirty-eight were admitted for management of various other disorders. Rotavirus shedding was detected by enzyme immunoassay in twenty of the infants, and nine of these (aged 1 week to 8 months) remained in hospital for more than 5 days after the initial detection of rotavirus and could be studied long term. Of 103 faecal samples from the nine infants, 60 (58%) contained rotavirus RNA detected by reverse-transcriptase (RT)/PCR, whereas only 37 (36%) were positive for rotavirus antigen by the immunoassay (??2=10??3, p&lt;0??002). The geometric mean time of rotavirus shedding was 9??5 (range 1-19) days as detected by RT/PCR and 5??7 (range 1-17) days by the immunoassay (p&lt;0??018). In five of the nine children, RT/PCR detected rotavirus shedding for 2-7 days longer than the immunoassay and in four children RT/PCR was positive 1 or more days before rotavirus antigen was detected. Further studies should attempt to find out whether infected infants are capable of spreading wild-type virus during periods when they are not shedding antigen as detectable by enzyme immunoassay. ?? 1991.","author":[{"dropping-particle":"","family":"Wilde","given":"J.","non-dropping-particle":"","parse-names":false,"suffix":""},{"dropping-particle":"","family":"Yolken","given":"R.","non-dropping-particle":"","parse-names":false,"suffix":""},{"dropping-particle":"","family":"Willoughby","given":"R.","non-dropping-particle":"","parse-names":false,"suffix":""},{"dropping-particle":"","family":"Eiden","given":"J.","non-dropping-particle":"","parse-names":false,"suffix":""}],"container-title":"The Lancet","id":"ITEM-1","issue":"8737","issued":{"date-parts":[["1991"]]},"page":"323-326","title":"Improved detection of rotavirus shedding by polymerase chain reaction","type":"article-journal","volume":"337"},"uris":["http://www.mendeley.com/documents/?uuid=a7fb80c0-3ae2-4944-b33b-e68f53ffb71e","http://www.mendeley.com/documents/?uuid=c9b9ad4f-c9bd-499d-9f58-67b89bf04167"]}],"mendeley":{"formattedCitation":"&lt;i&gt;(61)&lt;/i&gt;","plainTextFormattedCitation":"(61)","previouslyFormattedCitation":"&lt;i&gt;(62)&lt;/i&gt;"},"properties":{"noteIndex":0},"schema":"https://github.com/citation-style-language/schema/raw/master/csl-citation.json"}</w:instrText>
            </w:r>
            <w:r w:rsidRPr="009A6E73">
              <w:rPr>
                <w:rFonts w:cs="Times New Roman"/>
              </w:rPr>
              <w:fldChar w:fldCharType="separate"/>
            </w:r>
            <w:r w:rsidRPr="009A6E73">
              <w:rPr>
                <w:rFonts w:cs="Times New Roman"/>
                <w:i/>
                <w:noProof/>
              </w:rPr>
              <w:t>(61)</w:t>
            </w:r>
            <w:r w:rsidRPr="009A6E73">
              <w:rPr>
                <w:rFonts w:cs="Times New Roman"/>
              </w:rPr>
              <w:fldChar w:fldCharType="end"/>
            </w:r>
          </w:p>
        </w:tc>
      </w:tr>
      <w:tr w:rsidR="006259CB" w:rsidRPr="009A6E73" w14:paraId="4DDDC1D3" w14:textId="77777777" w:rsidTr="009A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054BC509" w14:textId="77777777" w:rsidR="006259CB" w:rsidRPr="009A6E73" w:rsidRDefault="006259CB" w:rsidP="00754D9F">
            <w:pPr>
              <w:rPr>
                <w:rFonts w:cs="Times New Roman"/>
                <w:b w:val="0"/>
                <w:bCs w:val="0"/>
              </w:rPr>
            </w:pPr>
            <w:r w:rsidRPr="009A6E73">
              <w:rPr>
                <w:rFonts w:cs="Times New Roman"/>
                <w:b w:val="0"/>
                <w:bCs w:val="0"/>
              </w:rPr>
              <w:t xml:space="preserve">   Subsequent infections</w:t>
            </w:r>
          </w:p>
        </w:tc>
        <w:tc>
          <w:tcPr>
            <w:tcW w:w="0" w:type="dxa"/>
            <w:tcBorders>
              <w:top w:val="nil"/>
              <w:left w:val="nil"/>
              <w:bottom w:val="nil"/>
              <w:right w:val="nil"/>
            </w:tcBorders>
          </w:tcPr>
          <w:p w14:paraId="46D2956E"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1/</w:t>
            </w:r>
            <w:r w:rsidRPr="009A6E73">
              <w:rPr>
                <w:rFonts w:cs="Times New Roman"/>
                <w:i/>
              </w:rPr>
              <w:sym w:font="Symbol" w:char="F067"/>
            </w:r>
            <w:r w:rsidRPr="009A6E73">
              <w:rPr>
                <w:rFonts w:cs="Times New Roman"/>
                <w:vertAlign w:val="subscript"/>
              </w:rPr>
              <w:t>2</w:t>
            </w:r>
          </w:p>
        </w:tc>
        <w:tc>
          <w:tcPr>
            <w:tcW w:w="0" w:type="dxa"/>
            <w:gridSpan w:val="2"/>
            <w:tcBorders>
              <w:top w:val="nil"/>
              <w:left w:val="nil"/>
              <w:bottom w:val="nil"/>
              <w:right w:val="nil"/>
            </w:tcBorders>
          </w:tcPr>
          <w:p w14:paraId="17BB686B"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0.5 week</w:t>
            </w:r>
          </w:p>
        </w:tc>
        <w:tc>
          <w:tcPr>
            <w:tcW w:w="0" w:type="dxa"/>
            <w:tcBorders>
              <w:top w:val="nil"/>
              <w:left w:val="nil"/>
              <w:bottom w:val="nil"/>
            </w:tcBorders>
          </w:tcPr>
          <w:p w14:paraId="0BA180FB"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{"citationItems":[{"id":"ITEM-1","itemData":{"DOI":"10.1093/infdis/154.5.871","ISBN":"0022-1899 (Print)\\r0022-1899 (Linking)","ISSN":"15376613","PMID":"3021869","abstract":"An unpassaged, safety-tested strain (CJN) of human rotavirus from a stool specimen of a hospitalized child was administered orally to 62 adult volunteers for determination of the dose required to produce infection with or without illness. Subjects ingested doses ranging from 9 X 10(-3) to 9 X 10(4) focus-forming units in buffered salt solution after consumption of 50 ml of 4% NaHCO3. The amount of virus in the inoculum required to cause infection (shedding of virus, seroconversion, or both) in study subjects was comparable to the minimum detectable in cultures of primary monkey kidney cells. Seventeen of 30 infected subjects became ill with doses equivalent to that required for infection. Although the preinoculation titers of serum neutralizing antibody to the challenge virus in study subjects ranged from less than 1:2 to 1:1,600, the concentration of serum antibody could not be correlated with protection from infection or illness in subjects given an infectious dose of virus.","author":[{"dropping-particle":"","family":"Ward","given":"Richard L.","non-dropping-particle":"","parse-names":false,"suffix":""},{"dropping-particle":"","family":"Bernstein","given":"David I.","non-dropping-particle":"","parse-names":false,"suffix":""},{"dropping-particle":"","family":"Young","given":"Elizabeth C.","non-dropping-particle":"","parse-names":false,"suffix":""},{"dropping-particle":"","family":"Sherwood","given":"James R.","non-dropping-particle":"","parse-names":false,"suffix":""},{"dropping-particle":"","family":"Knowlton","given":"Douglas R.","non-dropping-particle":"","parse-names":false,"suffix":""},{"dropping-particle":"","family":"Schiff","given":"Gilbert M.","non-dropping-particle":"","parse-names":false,"suffix":""}],"container-title":"Journal of Infectious Diseases","id":"ITEM-1","issue":"5","issued":{"date-parts":[["1986"]]},"page":"871-880","title":"Human rotavirus studies in volunteers: Determination of infectious dose and serological response to infection","type":"article-journal","volume":"154"},"uris":["http://www.mendeley.com/documents/?uuid=2faeea50-ef47-4a16-bc6a-edfd3415d53d","http://www.mendeley.com/documents/?uuid=71d71f8f-5dd4-4fee-8c1a-3303ed6af868"]},{"id":"ITEM-2","itemData":{"DOI":"10.1016/S1473-3099(04)00928-4","ISSN":"1473-3099","PMID":"14871633","abstract":"Rotavirus has been recognised for 30 years as the most common cause of infectious gastroenteritis in infants and young children. By contrast, the role of rotavirus as a pathogen in adults has long been underappreciated. Spread by faecal-oral transmission, rotavirus infection in adults typically manifests with nausea, malaise, headache, abdominal cramping, diarrhoea, and fever. Infection can also be symptomless. Rotavirus infection in immunocompromised adults can have a variable course from symptomless to severe and sustained infection. Common epidemiological settings for rotavirus infection among adults include endemic disease, epidemic outbreak, travel-related infection, and disease resulting from child-to-adult transmission. Limited diagnostic and therapeutic alternatives are available for adults with suspected rotavirus infection. Because symptoms are generally self-limiting, supportive care is the rule. Clinicians caring for adults with gastroenteritis should consider rotavirus in the differential diagnosis. In this review we intend to familiarise clinicians who primarily provide care for adult patients with the salient features of rotavirus pathophysiology, clinical presentation, epidemiology, treatment, and prevention.","author":[{"dropping-particle":"","family":"Anderson","given":"Evan J","non-dropping-particle":"","parse-names":false,"suffix":""},{"dropping-particle":"","family":"Weber","given":"Stephen G","non-dropping-particle":"","parse-names":false,"suffix":""}],"container-title":"The Lancet infectious diseases","id":"ITEM-2","issue":"2","issued":{"date-parts":[["2004"]]},"page":"91-99","title":"Rotavirus infection in adults.","type":"article-journal","volume":"4"},"uris":["http://www.mendeley.com/documents/?uuid=c4e468ee-06ee-4bf0-bb9d-98974893f37a"]}],"mendeley":{"formattedCitation":"&lt;i&gt;(62, 63)&lt;/i&gt;","plainTextFormattedCitation":"(62, 63)","previouslyFormattedCitation":"&lt;i&gt;(63, 64)&lt;/i&gt;"},"properties":{"noteIndex":0},"schema":"https://github.com/citation-style-language/schema/raw/master/csl-citation.json"}</w:instrText>
            </w:r>
            <w:r w:rsidRPr="009A6E73">
              <w:rPr>
                <w:rFonts w:cs="Times New Roman"/>
              </w:rPr>
              <w:fldChar w:fldCharType="separate"/>
            </w:r>
            <w:r w:rsidRPr="009A6E73">
              <w:rPr>
                <w:rFonts w:cs="Times New Roman"/>
                <w:i/>
                <w:noProof/>
              </w:rPr>
              <w:t>(62, 63)</w:t>
            </w:r>
            <w:r w:rsidRPr="009A6E73">
              <w:rPr>
                <w:rFonts w:cs="Times New Roman"/>
              </w:rPr>
              <w:fldChar w:fldCharType="end"/>
            </w:r>
          </w:p>
        </w:tc>
      </w:tr>
      <w:tr w:rsidR="006259CB" w:rsidRPr="009A6E73" w14:paraId="15BE3DBB" w14:textId="77777777" w:rsidTr="009A6E73">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4F618EAC" w14:textId="77777777" w:rsidR="006259CB" w:rsidRPr="009A6E73" w:rsidRDefault="006259CB" w:rsidP="00754D9F">
            <w:pPr>
              <w:rPr>
                <w:rFonts w:cs="Times New Roman"/>
                <w:b w:val="0"/>
                <w:bCs w:val="0"/>
              </w:rPr>
            </w:pPr>
            <w:r w:rsidRPr="009A6E73">
              <w:rPr>
                <w:rFonts w:cs="Times New Roman"/>
                <w:b w:val="0"/>
                <w:bCs w:val="0"/>
              </w:rPr>
              <w:t xml:space="preserve">Duration of temporary immunity </w:t>
            </w:r>
          </w:p>
        </w:tc>
        <w:tc>
          <w:tcPr>
            <w:tcW w:w="0" w:type="dxa"/>
            <w:tcBorders>
              <w:top w:val="nil"/>
              <w:left w:val="nil"/>
              <w:bottom w:val="nil"/>
              <w:right w:val="nil"/>
            </w:tcBorders>
          </w:tcPr>
          <w:p w14:paraId="6CAB4036"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i/>
              </w:rPr>
            </w:pPr>
            <w:r w:rsidRPr="009A6E73">
              <w:rPr>
                <w:rFonts w:cs="Times New Roman"/>
              </w:rPr>
              <w:t>1/</w:t>
            </w:r>
            <w:r w:rsidRPr="009A6E73">
              <w:rPr>
                <w:rFonts w:cs="Times New Roman"/>
                <w:i/>
              </w:rPr>
              <w:sym w:font="Symbol" w:char="F077"/>
            </w:r>
          </w:p>
        </w:tc>
        <w:tc>
          <w:tcPr>
            <w:tcW w:w="0" w:type="dxa"/>
            <w:gridSpan w:val="2"/>
            <w:tcBorders>
              <w:top w:val="nil"/>
              <w:left w:val="nil"/>
              <w:bottom w:val="nil"/>
              <w:right w:val="nil"/>
            </w:tcBorders>
          </w:tcPr>
          <w:p w14:paraId="00CB4EC2"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13 weeks</w:t>
            </w:r>
          </w:p>
        </w:tc>
        <w:tc>
          <w:tcPr>
            <w:tcW w:w="0" w:type="dxa"/>
            <w:tcBorders>
              <w:top w:val="nil"/>
              <w:left w:val="nil"/>
              <w:bottom w:val="nil"/>
            </w:tcBorders>
          </w:tcPr>
          <w:p w14:paraId="129914C3"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{"citationItems":[{"id":"ITEM-1","itemData":{"DOI":"10.1098/rsif.2008.0115","ISSN":"1742-5689","PMID":"18477541","abstract":"Repeated measures data for rotavirus infection in children within 14 day care centres (DCCs) in the Oxfordshire area, UK, are used to explore aspects of rotavirus transmission and immunity. A biologically realistic model for the transmission of infection is presented as a set of probability models suitable for application to the data. Two transition events are modelled separately: incidence and recovery. The complexity of the underlying mechanistic model is reflected in the choice of the fixed variables in the probability models. Parameter estimation was carried out using a Bayesian Markov chain Monte Carlo method. We use the parameter estimates obtained to build a profile of the natural history of rotavirus reinfection in an individual child. We infer that rotavirus transmission in children in DCCs is dependent on the DCC prevalence, with symptomatic infection of longer duration, but no more infectious per day of infectious period, than asymptomatic infection. There was evidence that a recent previous infection reduces the risk of disease and, to a lesser extent, reinfection, but not duration of infection. The results provide evidence that partial immunity to rotavirus infection develops over several time scales.","author":[{"dropping-particle":"","family":"White","given":"L J","non-dropping-particle":"","parse-names":false,"suffix":""},{"dropping-particle":"","family":"Buttery","given":"J","non-dropping-particle":"","parse-names":false,"suffix":""},{"dropping-particle":"","family":"Cooper","given":"B","non-dropping-particle":"","parse-names":false,"suffix":""},{"dropping-particle":"","family":"Nokes","given":"D J","non-dropping-particle":"","parse-names":false,"suffix":""},{"dropping-particle":"","family":"Medley","given":"G F","non-dropping-particle":"","parse-names":false,"suffix":""}],"container-title":"Journal of the Royal Society, Interface / the Royal Society","id":"ITEM-1","issue":"29","issued":{"date-parts":[["2008","12","6"]]},"page":"1481-90","title":"Rotavirus within day care centres in Oxfordshire, UK: characterization of partial immunity.","type":"article-journal","volume":"5"},"uris":["http://www.mendeley.com/documents/?uuid=4a80671a-630b-4484-aa52-4bc30789fe1b"]}],"mendeley":{"formattedCitation":"&lt;i&gt;(64)&lt;/i&gt;","plainTextFormattedCitation":"(64)","previouslyFormattedCitation":"&lt;i&gt;(65)&lt;/i&gt;"},"properties":{"noteIndex":0},"schema":"https://github.com/citation-style-language/schema/raw/master/csl-citation.json"}</w:instrText>
            </w:r>
            <w:r w:rsidRPr="009A6E73">
              <w:rPr>
                <w:rFonts w:cs="Times New Roman"/>
              </w:rPr>
              <w:fldChar w:fldCharType="separate"/>
            </w:r>
            <w:r w:rsidRPr="009A6E73">
              <w:rPr>
                <w:rFonts w:cs="Times New Roman"/>
                <w:i/>
                <w:noProof/>
              </w:rPr>
              <w:t>(64)</w:t>
            </w:r>
            <w:r w:rsidRPr="009A6E73">
              <w:rPr>
                <w:rFonts w:cs="Times New Roman"/>
              </w:rPr>
              <w:fldChar w:fldCharType="end"/>
            </w:r>
            <w:r w:rsidRPr="009A6E73">
              <w:rPr>
                <w:rFonts w:cs="Times New Roman"/>
              </w:rPr>
              <w:t>, assumption</w:t>
            </w:r>
          </w:p>
        </w:tc>
      </w:tr>
      <w:tr w:rsidR="006259CB" w:rsidRPr="009A6E73" w14:paraId="73C6E270" w14:textId="77777777" w:rsidTr="009A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3E52F973" w14:textId="77777777" w:rsidR="006259CB" w:rsidRPr="009A6E73" w:rsidRDefault="006259CB" w:rsidP="00754D9F">
            <w:pPr>
              <w:rPr>
                <w:rFonts w:cs="Times New Roman"/>
                <w:b w:val="0"/>
                <w:bCs w:val="0"/>
              </w:rPr>
            </w:pPr>
            <w:r w:rsidRPr="009A6E73">
              <w:rPr>
                <w:rFonts w:cs="Times New Roman"/>
                <w:b w:val="0"/>
                <w:bCs w:val="0"/>
              </w:rPr>
              <w:t>Relative risk of reinfection</w:t>
            </w:r>
          </w:p>
        </w:tc>
        <w:tc>
          <w:tcPr>
            <w:tcW w:w="0" w:type="dxa"/>
            <w:tcBorders>
              <w:top w:val="nil"/>
              <w:left w:val="nil"/>
              <w:bottom w:val="nil"/>
              <w:right w:val="nil"/>
            </w:tcBorders>
          </w:tcPr>
          <w:p w14:paraId="1038900D"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gridSpan w:val="2"/>
            <w:tcBorders>
              <w:top w:val="nil"/>
              <w:left w:val="nil"/>
              <w:bottom w:val="nil"/>
              <w:right w:val="nil"/>
            </w:tcBorders>
          </w:tcPr>
          <w:p w14:paraId="64FB07A8"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Borders>
              <w:top w:val="nil"/>
              <w:left w:val="nil"/>
              <w:bottom w:val="nil"/>
            </w:tcBorders>
          </w:tcPr>
          <w:p w14:paraId="0D619612"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p>
        </w:tc>
      </w:tr>
      <w:tr w:rsidR="006259CB" w:rsidRPr="009A6E73" w14:paraId="2D90CFE0" w14:textId="77777777" w:rsidTr="009A6E73">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2FE9E1D8" w14:textId="77777777" w:rsidR="006259CB" w:rsidRPr="009A6E73" w:rsidRDefault="006259CB" w:rsidP="00754D9F">
            <w:pPr>
              <w:rPr>
                <w:rFonts w:cs="Times New Roman"/>
                <w:b w:val="0"/>
                <w:bCs w:val="0"/>
              </w:rPr>
            </w:pPr>
            <w:r w:rsidRPr="009A6E73">
              <w:rPr>
                <w:rFonts w:cs="Times New Roman"/>
                <w:b w:val="0"/>
                <w:bCs w:val="0"/>
              </w:rPr>
              <w:t xml:space="preserve">   Following first infection</w:t>
            </w:r>
          </w:p>
        </w:tc>
        <w:tc>
          <w:tcPr>
            <w:tcW w:w="0" w:type="dxa"/>
            <w:tcBorders>
              <w:top w:val="nil"/>
              <w:left w:val="nil"/>
              <w:bottom w:val="nil"/>
              <w:right w:val="nil"/>
            </w:tcBorders>
          </w:tcPr>
          <w:p w14:paraId="3A89D863"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i/>
              </w:rPr>
              <w:sym w:font="Symbol" w:char="F073"/>
            </w:r>
            <w:r w:rsidRPr="009A6E73">
              <w:rPr>
                <w:rFonts w:cs="Times New Roman"/>
                <w:vertAlign w:val="subscript"/>
              </w:rPr>
              <w:t>1</w:t>
            </w:r>
          </w:p>
        </w:tc>
        <w:tc>
          <w:tcPr>
            <w:tcW w:w="0" w:type="dxa"/>
            <w:gridSpan w:val="2"/>
            <w:tcBorders>
              <w:top w:val="nil"/>
              <w:left w:val="nil"/>
              <w:bottom w:val="nil"/>
              <w:right w:val="nil"/>
            </w:tcBorders>
          </w:tcPr>
          <w:p w14:paraId="553F1B4A"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0.62</w:t>
            </w:r>
          </w:p>
        </w:tc>
        <w:tc>
          <w:tcPr>
            <w:tcW w:w="0" w:type="dxa"/>
            <w:tcBorders>
              <w:top w:val="nil"/>
              <w:left w:val="nil"/>
              <w:bottom w:val="nil"/>
            </w:tcBorders>
          </w:tcPr>
          <w:p w14:paraId="7106D11A"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author":[{"dropping-particle":"","family":"Velázquez","given":"FR","non-dropping-particle":"","parse-names":false,"suffix":""},{"dropping-particle":"","family":"Matson","given":"DO","non-dropping-particle":"","parse-names":false,"suffix":""},{"dropping-particle":"","family":"Calva","given":"Juan J","non-dropping-particle":"","parse-names":false,"suffix":""},{"dropping-particle":"","family":"Guerrero","given":"M Lourdes","non-dropping-particle":"","parse-names":false,"suffix":""},{"dropping-particle":"","family":"Morrow","given":"Ardythe L","non-dropping-particle":"","parse-names":false,"suffix":""},{"dropping-particle":"","family":"Carter-Campbell","given":"Shelly","non-dropping-particle":"","parse-names":false,"suffix":""},{"dropping-particle":"","family":"Glass","given":"Roger I","non-dropping-particle":"","parse-names":false,"suffix":""},{"dropping-particle":"","family":"Estes","given":"Mary K","non-dropping-particle":"","parse-names":false,"suffix":""},{"dropping-particle":"","family":"Pickering","given":"Larry K","non-dropping-particle":"","parse-names":false,"suffix":""},{"dropping-particle":"","family":"Ruiz-Palacios","given":"Guillermo M","non-dropping-particle":"","parse-names":false,"suffix":""}],"container-title":"The New England Journal of Medicine","id":"ITEM-1","issue":"14","issued":{"date-parts":[["1996"]]},"page":"1022-1028","title":"Rotavirus infection in infants as protection against subsequent infections","type":"article-journal","volume":"335"},"uris":["http://www.mendeley.com/documents/?uuid=4ebce270-6d05-40e4-9747-c4538e676224"]},{"id":"ITEM-2","itemData":{"DOI":"10.1056/NEJMoa1006261","ISSN":"1533-4406","PMID":"21793745","abstract":"BACKGROUND: More than 500,000 deaths are attributed to rotavirus gastroenteritis annually worldwide, with the highest mortality in India. Two successive, naturally occurring rotavirus infections have been shown to confer complete protection against moderate or severe gastroenteritis during subsequent infections in a birth cohort in Mexico. We studied the protective effect of rotavirus infection on subsequent infection and disease in a birth cohort in India (where the efficacy of oral vaccines in general has been lower than expected).\n\nMETHODS: We recruited children at birth in urban slums in Vellore; they were followed for 3 years after birth, with home visits twice weekly. Stool samples were collected every 2 weeks, as well as on alternate days during diarrheal episodes, and were tested by means of enzyme-linked immunosorbent assay and polymerase-chain-reaction assay. Serum samples were obtained every 6 months and evaluated for seroconversion, defined as an increase in the IgG antibody level by a factor of 4 or in the IgA antibody level by a factor of 3.\n\nRESULTS: Of 452 recruited children, 373 completed 3 years of follow-up. Rotavirus infection generally occurred early in life, with 56% of children infected by 6 months of age. Levels of reinfection were high, with only approximately 30% of all infections identified being primary. Protection against moderate or severe disease increased with the order of infection but was only 79% after three infections. With G1P[8], the most common viral strain, there was no evidence of homotypic protection.\n\nCONCLUSIONS: Early infection and frequent reinfection in a locale with high viral diversity resulted in lower protection than has been reported elsewhere, providing a possible explanation why rotavirus vaccines have had lower-than-expected efficacy in Asia and Africa. (Funded by the Wellcome Trust.).","author":[{"dropping-particle":"","family":"Gladstone","given":"Beryl P","non-dropping-particle":"","parse-names":false,"suffix":""},{"dropping-particle":"","family":"Ramani","given":"Sasirekha","non-dropping-particle":"","parse-names":false,"suffix":""},{"dropping-particle":"","family":"Mukhopadhya","given":"Indrani","non-dropping-particle":"","parse-names":false,"suffix":""},{"dropping-particle":"","family":"Muliyil","given":"Jayaprakash","non-dropping-particle":"","parse-names":false,"suffix":""},{"dropping-particle":"","family":"Sarkar","given":"Rajiv","non-dropping-particle":"","parse-names":false,"suffix":""},{"dropping-particle":"","family":"Rehman","given":"Andrea M","non-dropping-particle":"","parse-names":false,"suffix":""},{"dropping-particle":"","family":"Jaffar","given":"Shabbar","non-dropping-particle":"","parse-names":false,"suffix":""},{"dropping-particle":"","family":"Gomara","given":"Miren Iturriza","non-dropping-particle":"","parse-names":false,"suffix":""},{"dropping-particle":"","family":"Gray","given":"James J","non-dropping-particle":"","parse-names":false,"suffix":""},{"dropping-particle":"","family":"Brown","given":"David W G","non-dropping-particle":"","parse-names":false,"suffix":""},{"dropping-particle":"","family":"Desselberger","given":"Ulrich","non-dropping-particle":"","parse-names":false,"suffix":""},{"dropping-particle":"","family":"Crawford","given":"Sue E","non-dropping-particle":"","parse-names":false,"suffix":""},{"dropping-particle":"","family":"John","given":"Jacob","non-dropping-particle":"","parse-names":false,"suffix":""},{"dropping-particle":"","family":"Babji","given":"Sudhir","non-dropping-particle":"","parse-names":false,"suffix":""},{"dropping-particle":"","family":"Estes","given":"Mary K","non-dropping-particle":"","parse-names":false,"suffix":""},{"dropping-particle":"","family":"Kang","given":"Gagandeep","non-dropping-particle":"","parse-names":false,"suffix":""}],"container-title":"The New England journal of medicine","id":"ITEM-2","issue":"4","issued":{"date-parts":[["2011","7","28"]]},"page":"337-46","title":"Protective effect of natural rotavirus infection in an Indian birth cohort.","type":"article-journal","volume":"365"},"uris":["http://www.mendeley.com/documents/?uuid=0ae53682-c19f-46bc-8805-546b41b5d953"]}],"mendeley":{"formattedCitation":"&lt;i&gt;(41, 42)&lt;/i&gt;","plainTextFormattedCitation":"(41, 42)","previouslyFormattedCitation":"&lt;i&gt;(42, 43)&lt;/i&gt;"},"properties":{"noteIndex":0},"schema":"https://github.com/citation-style-language/schema/raw/master/csl-citation.json"}</w:instrText>
            </w:r>
            <w:r w:rsidRPr="009A6E73">
              <w:rPr>
                <w:rFonts w:cs="Times New Roman"/>
              </w:rPr>
              <w:fldChar w:fldCharType="separate"/>
            </w:r>
            <w:r w:rsidRPr="009A6E73">
              <w:rPr>
                <w:rFonts w:cs="Times New Roman"/>
                <w:i/>
                <w:noProof/>
              </w:rPr>
              <w:t>(41, 42)</w:t>
            </w:r>
            <w:r w:rsidRPr="009A6E73">
              <w:rPr>
                <w:rFonts w:cs="Times New Roman"/>
              </w:rPr>
              <w:fldChar w:fldCharType="end"/>
            </w:r>
          </w:p>
        </w:tc>
      </w:tr>
      <w:tr w:rsidR="006259CB" w:rsidRPr="009A6E73" w14:paraId="5071C3C1" w14:textId="77777777" w:rsidTr="009A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2783A0EA" w14:textId="77777777" w:rsidR="006259CB" w:rsidRPr="009A6E73" w:rsidRDefault="006259CB" w:rsidP="00754D9F">
            <w:pPr>
              <w:rPr>
                <w:rFonts w:cs="Times New Roman"/>
                <w:b w:val="0"/>
                <w:bCs w:val="0"/>
              </w:rPr>
            </w:pPr>
            <w:r w:rsidRPr="009A6E73">
              <w:rPr>
                <w:rFonts w:cs="Times New Roman"/>
                <w:b w:val="0"/>
                <w:bCs w:val="0"/>
              </w:rPr>
              <w:t xml:space="preserve">   Following second infection</w:t>
            </w:r>
          </w:p>
        </w:tc>
        <w:tc>
          <w:tcPr>
            <w:tcW w:w="0" w:type="dxa"/>
            <w:tcBorders>
              <w:top w:val="nil"/>
              <w:left w:val="nil"/>
              <w:bottom w:val="nil"/>
              <w:right w:val="nil"/>
            </w:tcBorders>
          </w:tcPr>
          <w:p w14:paraId="7FC0F0FE"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i/>
              </w:rPr>
              <w:sym w:font="Symbol" w:char="F073"/>
            </w:r>
            <w:r w:rsidRPr="009A6E73">
              <w:rPr>
                <w:rFonts w:cs="Times New Roman"/>
                <w:vertAlign w:val="subscript"/>
              </w:rPr>
              <w:t>2</w:t>
            </w:r>
          </w:p>
        </w:tc>
        <w:tc>
          <w:tcPr>
            <w:tcW w:w="0" w:type="dxa"/>
            <w:gridSpan w:val="2"/>
            <w:tcBorders>
              <w:top w:val="nil"/>
              <w:left w:val="nil"/>
              <w:bottom w:val="nil"/>
              <w:right w:val="nil"/>
            </w:tcBorders>
          </w:tcPr>
          <w:p w14:paraId="27EA4520"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0.35</w:t>
            </w:r>
          </w:p>
        </w:tc>
        <w:tc>
          <w:tcPr>
            <w:tcW w:w="0" w:type="dxa"/>
            <w:tcBorders>
              <w:top w:val="nil"/>
              <w:left w:val="nil"/>
              <w:bottom w:val="nil"/>
            </w:tcBorders>
          </w:tcPr>
          <w:p w14:paraId="616A920C"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author":[{"dropping-particle":"","family":"Velázquez","given":"FR","non-dropping-particle":"","parse-names":false,"suffix":""},{"dropping-particle":"","family":"Matson","given":"DO","non-dropping-particle":"","parse-names":false,"suffix":""},{"dropping-particle":"","family":"Calva","given":"Juan J","non-dropping-particle":"","parse-names":false,"suffix":""},{"dropping-particle":"","family":"Guerrero","given":"M Lourdes","non-dropping-particle":"","parse-names":false,"suffix":""},{"dropping-particle":"","family":"Morrow","given":"Ardythe L","non-dropping-particle":"","parse-names":false,"suffix":""},{"dropping-particle":"","family":"Carter-Campbell","given":"Shelly","non-dropping-particle":"","parse-names":false,"suffix":""},{"dropping-particle":"","family":"Glass","given":"Roger I","non-dropping-particle":"","parse-names":false,"suffix":""},{"dropping-particle":"","family":"Estes","given":"Mary K","non-dropping-particle":"","parse-names":false,"suffix":""},{"dropping-particle":"","family":"Pickering","given":"Larry K","non-dropping-particle":"","parse-names":false,"suffix":""},{"dropping-particle":"","family":"Ruiz-Palacios","given":"Guillermo M","non-dropping-particle":"","parse-names":false,"suffix":""}],"container-title":"The New England Journal of Medicine","id":"ITEM-1","issue":"14","issued":{"date-parts":[["1996"]]},"page":"1022-1028","title":"Rotavirus infection in infants as protection against subsequent infections","type":"article-journal","volume":"335"},"uris":["http://www.mendeley.com/documents/?uuid=4ebce270-6d05-40e4-9747-c4538e676224"]},{"id":"ITEM-2","itemData":{"DOI":"10.1056/NEJMoa1006261","ISSN":"1533-4406","PMID":"21793745","abstract":"BACKGROUND: More than 500,000 deaths are attributed to rotavirus gastroenteritis annually worldwide, with the highest mortality in India. Two successive, naturally occurring rotavirus infections have been shown to confer complete protection against moderate or severe gastroenteritis during subsequent infections in a birth cohort in Mexico. We studied the protective effect of rotavirus infection on subsequent infection and disease in a birth cohort in India (where the efficacy of oral vaccines in general has been lower than expected).\n\nMETHODS: We recruited children at birth in urban slums in Vellore; they were followed for 3 years after birth, with home visits twice weekly. Stool samples were collected every 2 weeks, as well as on alternate days during diarrheal episodes, and were tested by means of enzyme-linked immunosorbent assay and polymerase-chain-reaction assay. Serum samples were obtained every 6 months and evaluated for seroconversion, defined as an increase in the IgG antibody level by a factor of 4 or in the IgA antibody level by a factor of 3.\n\nRESULTS: Of 452 recruited children, 373 completed 3 years of follow-up. Rotavirus infection generally occurred early in life, with 56% of children infected by 6 months of age. Levels of reinfection were high, with only approximately 30% of all infections identified being primary. Protection against moderate or severe disease increased with the order of infection but was only 79% after three infections. With G1P[8], the most common viral strain, there was no evidence of homotypic protection.\n\nCONCLUSIONS: Early infection and frequent reinfection in a locale with high viral diversity resulted in lower protection than has been reported elsewhere, providing a possible explanation why rotavirus vaccines have had lower-than-expected efficacy in Asia and Africa. (Funded by the Wellcome Trust.).","author":[{"dropping-particle":"","family":"Gladstone","given":"Beryl P","non-dropping-particle":"","parse-names":false,"suffix":""},{"dropping-particle":"","family":"Ramani","given":"Sasirekha","non-dropping-particle":"","parse-names":false,"suffix":""},{"dropping-particle":"","family":"Mukhopadhya","given":"Indrani","non-dropping-particle":"","parse-names":false,"suffix":""},{"dropping-particle":"","family":"Muliyil","given":"Jayaprakash","non-dropping-particle":"","parse-names":false,"suffix":""},{"dropping-particle":"","family":"Sarkar","given":"Rajiv","non-dropping-particle":"","parse-names":false,"suffix":""},{"dropping-particle":"","family":"Rehman","given":"Andrea M","non-dropping-particle":"","parse-names":false,"suffix":""},{"dropping-particle":"","family":"Jaffar","given":"Shabbar","non-dropping-particle":"","parse-names":false,"suffix":""},{"dropping-particle":"","family":"Gomara","given":"Miren Iturriza","non-dropping-particle":"","parse-names":false,"suffix":""},{"dropping-particle":"","family":"Gray","given":"James J","non-dropping-particle":"","parse-names":false,"suffix":""},{"dropping-particle":"","family":"Brown","given":"David W G","non-dropping-particle":"","parse-names":false,"suffix":""},{"dropping-particle":"","family":"Desselberger","given":"Ulrich","non-dropping-particle":"","parse-names":false,"suffix":""},{"dropping-particle":"","family":"Crawford","given":"Sue E","non-dropping-particle":"","parse-names":false,"suffix":""},{"dropping-particle":"","family":"John","given":"Jacob","non-dropping-particle":"","parse-names":false,"suffix":""},{"dropping-particle":"","family":"Babji","given":"Sudhir","non-dropping-particle":"","parse-names":false,"suffix":""},{"dropping-particle":"","family":"Estes","given":"Mary K","non-dropping-particle":"","parse-names":false,"suffix":""},{"dropping-particle":"","family":"Kang","given":"Gagandeep","non-dropping-particle":"","parse-names":false,"suffix":""}],"container-title":"The New England journal of medicine","id":"ITEM-2","issue":"4","issued":{"date-parts":[["2011","7","28"]]},"page":"337-46","title":"Protective effect of natural rotavirus infection in an Indian birth cohort.","type":"article-journal","volume":"365"},"uris":["http://www.mendeley.com/documents/?uuid=0ae53682-c19f-46bc-8805-546b41b5d953"]}],"mendeley":{"formattedCitation":"&lt;i&gt;(41, 42)&lt;/i&gt;","plainTextFormattedCitation":"(41, 42)","previouslyFormattedCitation":"&lt;i&gt;(42, 43)&lt;/i&gt;"},"properties":{"noteIndex":0},"schema":"https://github.com/citation-style-language/schema/raw/master/csl-citation.json"}</w:instrText>
            </w:r>
            <w:r w:rsidRPr="009A6E73">
              <w:rPr>
                <w:rFonts w:cs="Times New Roman"/>
              </w:rPr>
              <w:fldChar w:fldCharType="separate"/>
            </w:r>
            <w:r w:rsidRPr="009A6E73">
              <w:rPr>
                <w:rFonts w:cs="Times New Roman"/>
                <w:i/>
                <w:noProof/>
              </w:rPr>
              <w:t>(41, 42)</w:t>
            </w:r>
            <w:r w:rsidRPr="009A6E73">
              <w:rPr>
                <w:rFonts w:cs="Times New Roman"/>
              </w:rPr>
              <w:fldChar w:fldCharType="end"/>
            </w:r>
          </w:p>
        </w:tc>
      </w:tr>
      <w:tr w:rsidR="006259CB" w:rsidRPr="009A6E73" w14:paraId="59EDBECD" w14:textId="77777777" w:rsidTr="009A6E73">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376FA472" w14:textId="77777777" w:rsidR="006259CB" w:rsidRPr="009A6E73" w:rsidRDefault="006259CB" w:rsidP="00754D9F">
            <w:pPr>
              <w:rPr>
                <w:rFonts w:cs="Times New Roman"/>
                <w:b w:val="0"/>
                <w:bCs w:val="0"/>
              </w:rPr>
            </w:pPr>
            <w:r w:rsidRPr="009A6E73">
              <w:rPr>
                <w:rFonts w:cs="Times New Roman"/>
                <w:b w:val="0"/>
                <w:bCs w:val="0"/>
              </w:rPr>
              <w:t xml:space="preserve">Relative infectiousness </w:t>
            </w:r>
          </w:p>
        </w:tc>
        <w:tc>
          <w:tcPr>
            <w:tcW w:w="0" w:type="dxa"/>
            <w:tcBorders>
              <w:top w:val="nil"/>
              <w:left w:val="nil"/>
              <w:bottom w:val="nil"/>
              <w:right w:val="nil"/>
            </w:tcBorders>
          </w:tcPr>
          <w:p w14:paraId="51048161"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i/>
              </w:rPr>
            </w:pPr>
          </w:p>
        </w:tc>
        <w:tc>
          <w:tcPr>
            <w:tcW w:w="0" w:type="dxa"/>
            <w:gridSpan w:val="2"/>
            <w:tcBorders>
              <w:top w:val="nil"/>
              <w:left w:val="nil"/>
              <w:bottom w:val="nil"/>
              <w:right w:val="nil"/>
            </w:tcBorders>
          </w:tcPr>
          <w:p w14:paraId="34E44985"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p>
        </w:tc>
        <w:tc>
          <w:tcPr>
            <w:tcW w:w="0" w:type="dxa"/>
            <w:tcBorders>
              <w:top w:val="nil"/>
              <w:left w:val="nil"/>
              <w:bottom w:val="nil"/>
            </w:tcBorders>
          </w:tcPr>
          <w:p w14:paraId="34E540A5"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p>
        </w:tc>
      </w:tr>
      <w:tr w:rsidR="006259CB" w:rsidRPr="009A6E73" w14:paraId="5026B75B" w14:textId="77777777" w:rsidTr="009A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10BD958B" w14:textId="77777777" w:rsidR="006259CB" w:rsidRPr="009A6E73" w:rsidRDefault="006259CB" w:rsidP="00754D9F">
            <w:pPr>
              <w:rPr>
                <w:rFonts w:cs="Times New Roman"/>
                <w:b w:val="0"/>
                <w:bCs w:val="0"/>
              </w:rPr>
            </w:pPr>
            <w:r w:rsidRPr="009A6E73">
              <w:rPr>
                <w:rFonts w:cs="Times New Roman"/>
                <w:b w:val="0"/>
                <w:bCs w:val="0"/>
              </w:rPr>
              <w:t xml:space="preserve">   Following first infection</w:t>
            </w:r>
          </w:p>
        </w:tc>
        <w:tc>
          <w:tcPr>
            <w:tcW w:w="0" w:type="dxa"/>
            <w:tcBorders>
              <w:top w:val="nil"/>
              <w:left w:val="nil"/>
              <w:bottom w:val="nil"/>
              <w:right w:val="nil"/>
            </w:tcBorders>
          </w:tcPr>
          <w:p w14:paraId="541EAB85"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i/>
              </w:rPr>
            </w:pPr>
            <w:r w:rsidRPr="009A6E73">
              <w:rPr>
                <w:rFonts w:cs="Times New Roman"/>
                <w:i/>
              </w:rPr>
              <w:sym w:font="Symbol" w:char="F072"/>
            </w:r>
            <w:r w:rsidRPr="009A6E73">
              <w:rPr>
                <w:rFonts w:cs="Times New Roman"/>
                <w:vertAlign w:val="subscript"/>
              </w:rPr>
              <w:t>1</w:t>
            </w:r>
          </w:p>
        </w:tc>
        <w:tc>
          <w:tcPr>
            <w:tcW w:w="0" w:type="dxa"/>
            <w:gridSpan w:val="2"/>
            <w:tcBorders>
              <w:top w:val="nil"/>
              <w:left w:val="nil"/>
              <w:bottom w:val="nil"/>
              <w:right w:val="nil"/>
            </w:tcBorders>
          </w:tcPr>
          <w:p w14:paraId="37A6E5BC"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0.5</w:t>
            </w:r>
          </w:p>
        </w:tc>
        <w:tc>
          <w:tcPr>
            <w:tcW w:w="0" w:type="dxa"/>
            <w:tcBorders>
              <w:top w:val="nil"/>
              <w:left w:val="nil"/>
              <w:bottom w:val="nil"/>
            </w:tcBorders>
          </w:tcPr>
          <w:p w14:paraId="18C81DAA"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author":[{"dropping-particle":"","family":"Velázquez","given":"FR","non-dropping-particle":"","parse-names":false,"suffix":""},{"dropping-particle":"","family":"Matson","given":"DO","non-dropping-particle":"","parse-names":false,"suffix":""},{"dropping-particle":"","family":"Calva","given":"Juan J","non-dropping-particle":"","parse-names":false,"suffix":""},{"dropping-particle":"","family":"Guerrero","given":"M Lourdes","non-dropping-particle":"","parse-names":false,"suffix":""},{"dropping-particle":"","family":"Morrow","given":"Ardythe L","non-dropping-particle":"","parse-names":false,"suffix":""},{"dropping-particle":"","family":"Carter-Campbell","given":"Shelly","non-dropping-particle":"","parse-names":false,"suffix":""},{"dropping-particle":"","family":"Glass","given":"Roger I","non-dropping-particle":"","parse-names":false,"suffix":""},{"dropping-particle":"","family":"Estes","given":"Mary K","non-dropping-particle":"","parse-names":false,"suffix":""},{"dropping-particle":"","family":"Pickering","given":"Larry K","non-dropping-particle":"","parse-names":false,"suffix":""},{"dropping-particle":"","family":"Ruiz-Palacios","given":"Guillermo M","non-dropping-particle":"","parse-names":false,"suffix":""}],"container-title":"The New England Journal of Medicine","id":"ITEM-1","issue":"14","issued":{"date-parts":[["1996"]]},"page":"1022-1028","title":"Rotavirus infection in infants as protection against subsequent infections","type":"article-journal","volume":"335"},"uris":["http://www.mendeley.com/documents/?uuid=4ebce270-6d05-40e4-9747-c4538e676224"]},{"id":"ITEM-2","itemData":{"DOI":"10.1056/NEJMoa1006261","ISSN":"1533-4406","PMID":"21793745","abstract":"BACKGROUND: More than 500,000 deaths are attributed to rotavirus gastroenteritis annually worldwide, with the highest mortality in India. Two successive, naturally occurring rotavirus infections have been shown to confer complete protection against moderate or severe gastroenteritis during subsequent infections in a birth cohort in Mexico. We studied the protective effect of rotavirus infection on subsequent infection and disease in a birth cohort in India (where the efficacy of oral vaccines in general has been lower than expected).\n\nMETHODS: We recruited children at birth in urban slums in Vellore; they were followed for 3 years after birth, with home visits twice weekly. Stool samples were collected every 2 weeks, as well as on alternate days during diarrheal episodes, and were tested by means of enzyme-linked immunosorbent assay and polymerase-chain-reaction assay. Serum samples were obtained every 6 months and evaluated for seroconversion, defined as an increase in the IgG antibody level by a factor of 4 or in the IgA antibody level by a factor of 3.\n\nRESULTS: Of 452 recruited children, 373 completed 3 years of follow-up. Rotavirus infection generally occurred early in life, with 56% of children infected by 6 months of age. Levels of reinfection were high, with only approximately 30% of all infections identified being primary. Protection against moderate or severe disease increased with the order of infection but was only 79% after three infections. With G1P[8], the most common viral strain, there was no evidence of homotypic protection.\n\nCONCLUSIONS: Early infection and frequent reinfection in a locale with high viral diversity resulted in lower protection than has been reported elsewhere, providing a possible explanation why rotavirus vaccines have had lower-than-expected efficacy in Asia and Africa. (Funded by the Wellcome Trust.).","author":[{"dropping-particle":"","family":"Gladstone","given":"Beryl P","non-dropping-particle":"","parse-names":false,"suffix":""},{"dropping-particle":"","family":"Ramani","given":"Sasirekha","non-dropping-particle":"","parse-names":false,"suffix":""},{"dropping-particle":"","family":"Mukhopadhya","given":"Indrani","non-dropping-particle":"","parse-names":false,"suffix":""},{"dropping-particle":"","family":"Muliyil","given":"Jayaprakash","non-dropping-particle":"","parse-names":false,"suffix":""},{"dropping-particle":"","family":"Sarkar","given":"Rajiv","non-dropping-particle":"","parse-names":false,"suffix":""},{"dropping-particle":"","family":"Rehman","given":"Andrea M","non-dropping-particle":"","parse-names":false,"suffix":""},{"dropping-particle":"","family":"Jaffar","given":"Shabbar","non-dropping-particle":"","parse-names":false,"suffix":""},{"dropping-particle":"","family":"Gomara","given":"Miren Iturriza","non-dropping-particle":"","parse-names":false,"suffix":""},{"dropping-particle":"","family":"Gray","given":"James J","non-dropping-particle":"","parse-names":false,"suffix":""},{"dropping-particle":"","family":"Brown","given":"David W G","non-dropping-particle":"","parse-names":false,"suffix":""},{"dropping-particle":"","family":"Desselberger","given":"Ulrich","non-dropping-particle":"","parse-names":false,"suffix":""},{"dropping-particle":"","family":"Crawford","given":"Sue E","non-dropping-particle":"","parse-names":false,"suffix":""},{"dropping-particle":"","family":"John","given":"Jacob","non-dropping-particle":"","parse-names":false,"suffix":""},{"dropping-particle":"","family":"Babji","given":"Sudhir","non-dropping-particle":"","parse-names":false,"suffix":""},{"dropping-particle":"","family":"Estes","given":"Mary K","non-dropping-particle":"","parse-names":false,"suffix":""},{"dropping-particle":"","family":"Kang","given":"Gagandeep","non-dropping-particle":"","parse-names":false,"suffix":""}],"container-title":"The New England journal of medicine","id":"ITEM-2","issue":"4","issued":{"date-parts":[["2011","7","28"]]},"page":"337-46","title":"Protective effect of natural rotavirus infection in an Indian birth cohort.","type":"article-journal","volume":"365"},"uris":["http://www.mendeley.com/documents/?uuid=0ae53682-c19f-46bc-8805-546b41b5d953"]}],"mendeley":{"formattedCitation":"&lt;i&gt;(41, 42)&lt;/i&gt;","plainTextFormattedCitation":"(41, 42)","previouslyFormattedCitation":"&lt;i&gt;(42, 43)&lt;/i&gt;"},"properties":{"noteIndex":0},"schema":"https://github.com/citation-style-language/schema/raw/master/csl-citation.json"}</w:instrText>
            </w:r>
            <w:r w:rsidRPr="009A6E73">
              <w:rPr>
                <w:rFonts w:cs="Times New Roman"/>
              </w:rPr>
              <w:fldChar w:fldCharType="separate"/>
            </w:r>
            <w:r w:rsidRPr="009A6E73">
              <w:rPr>
                <w:rFonts w:cs="Times New Roman"/>
                <w:i/>
                <w:noProof/>
              </w:rPr>
              <w:t>(41, 42)</w:t>
            </w:r>
            <w:r w:rsidRPr="009A6E73">
              <w:rPr>
                <w:rFonts w:cs="Times New Roman"/>
              </w:rPr>
              <w:fldChar w:fldCharType="end"/>
            </w:r>
          </w:p>
        </w:tc>
      </w:tr>
      <w:tr w:rsidR="006259CB" w:rsidRPr="009A6E73" w14:paraId="55CF8605" w14:textId="77777777" w:rsidTr="009A6E73">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78550B87" w14:textId="77777777" w:rsidR="006259CB" w:rsidRPr="009A6E73" w:rsidRDefault="006259CB" w:rsidP="00754D9F">
            <w:pPr>
              <w:rPr>
                <w:rFonts w:cs="Times New Roman"/>
                <w:b w:val="0"/>
                <w:bCs w:val="0"/>
              </w:rPr>
            </w:pPr>
            <w:r w:rsidRPr="009A6E73">
              <w:rPr>
                <w:rFonts w:cs="Times New Roman"/>
                <w:b w:val="0"/>
                <w:bCs w:val="0"/>
              </w:rPr>
              <w:t xml:space="preserve">   Following second infection</w:t>
            </w:r>
          </w:p>
        </w:tc>
        <w:tc>
          <w:tcPr>
            <w:tcW w:w="0" w:type="dxa"/>
            <w:tcBorders>
              <w:top w:val="nil"/>
              <w:left w:val="nil"/>
              <w:bottom w:val="nil"/>
              <w:right w:val="nil"/>
            </w:tcBorders>
          </w:tcPr>
          <w:p w14:paraId="71A82257"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i/>
              </w:rPr>
            </w:pPr>
            <w:r w:rsidRPr="009A6E73">
              <w:rPr>
                <w:rFonts w:cs="Times New Roman"/>
                <w:i/>
              </w:rPr>
              <w:sym w:font="Symbol" w:char="F072"/>
            </w:r>
            <w:r w:rsidRPr="009A6E73">
              <w:rPr>
                <w:rFonts w:cs="Times New Roman"/>
                <w:vertAlign w:val="subscript"/>
              </w:rPr>
              <w:t>2</w:t>
            </w:r>
          </w:p>
        </w:tc>
        <w:tc>
          <w:tcPr>
            <w:tcW w:w="0" w:type="dxa"/>
            <w:gridSpan w:val="2"/>
            <w:tcBorders>
              <w:top w:val="nil"/>
              <w:left w:val="nil"/>
              <w:bottom w:val="nil"/>
              <w:right w:val="nil"/>
            </w:tcBorders>
          </w:tcPr>
          <w:p w14:paraId="5A3A5DD0"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0.1 (varied in sensitivity analysis)</w:t>
            </w:r>
          </w:p>
        </w:tc>
        <w:tc>
          <w:tcPr>
            <w:tcW w:w="0" w:type="dxa"/>
            <w:tcBorders>
              <w:top w:val="nil"/>
              <w:left w:val="nil"/>
              <w:bottom w:val="nil"/>
            </w:tcBorders>
          </w:tcPr>
          <w:p w14:paraId="0C2DD84C"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{"citationItems":[{"id":"ITEM-1","itemData":{"DOI":"10.1093/oxfordjournals.aje.a115397","ISBN":"0002-9262 (Print)\\r0002-9262 (Linking)","ISSN":"00029262","PMID":"2773919","abstract":"The effect of age on transmission of rotavirus infection within households and on the risk of infection from outside of the household was investigated through analyses of serum pairs. These paired specimens had been collected from individuals of all ages in families of diverse age composition in Tecumseh, Michigan. Serologic observations on 1,508 individuals divided into 0-1, 2-4, 5-9, 10-17, and 18+ year age groups provided infection determinations on 3,311 person-seasons during the 1977 through 1981 rotavirus seasons. Infection occurring in an individual in each age group was generally associated with infection in all other age groups in the household. Despite these associations by household, two different means of estimating the proportion of all infections acquired in the household yielded estimates of only 17 and 20%, indicating the importance of community acquisition of infection. Very young children had a very small percentage of their infections acquired in the household, while progressively older ages had an increasing percentage of infections acquired there. These results indicate that a strategy of indirectly protecting infants from infection by preventing infection in their household contacts would be inefficient.","author":[{"dropping-particle":"","family":"Koopman","given":"James S.","non-dropping-particle":"","parse-names":false,"suffix":""},{"dropping-particle":"","family":"Monto","given":"Arnold S.","non-dropping-particle":"","parse-names":false,"suffix":""},{"dropping-particle":"","family":"Ira M","given":"Longini","non-dropping-particle":"","parse-names":false,"suffix":""}],"container-title":"American Journal of Epidemiology","id":"ITEM-1","issue":"4","issued":{"date-parts":[["1989"]]},"page":"760-768","title":"The Tecumseh Study XVI: Family and community sources of rotavirus infection","type":"article-journal","volume":"130"},"uris":["http://www.mendeley.com/documents/?uuid=1d545acb-240b-4842-bb5e-01d480af8af6"]}],"mendeley":{"formattedCitation":"&lt;i&gt;(65)&lt;/i&gt;","plainTextFormattedCitation":"(65)","previouslyFormattedCitation":"&lt;i&gt;(66)&lt;/i&gt;"},"properties":{"noteIndex":0},"schema":"https://github.com/citation-style-language/schema/raw/master/csl-citation.json"}</w:instrText>
            </w:r>
            <w:r w:rsidRPr="009A6E73">
              <w:rPr>
                <w:rFonts w:cs="Times New Roman"/>
              </w:rPr>
              <w:fldChar w:fldCharType="separate"/>
            </w:r>
            <w:r w:rsidRPr="009A6E73">
              <w:rPr>
                <w:rFonts w:cs="Times New Roman"/>
                <w:i/>
                <w:noProof/>
              </w:rPr>
              <w:t>(65)</w:t>
            </w:r>
            <w:r w:rsidRPr="009A6E73">
              <w:rPr>
                <w:rFonts w:cs="Times New Roman"/>
              </w:rPr>
              <w:fldChar w:fldCharType="end"/>
            </w:r>
          </w:p>
        </w:tc>
      </w:tr>
      <w:tr w:rsidR="006259CB" w:rsidRPr="009A6E73" w14:paraId="666B8700" w14:textId="77777777" w:rsidTr="009A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right w:val="nil"/>
            </w:tcBorders>
          </w:tcPr>
          <w:p w14:paraId="15554051" w14:textId="77777777" w:rsidR="006259CB" w:rsidRPr="009A6E73" w:rsidRDefault="006259CB" w:rsidP="00754D9F">
            <w:pPr>
              <w:rPr>
                <w:rFonts w:cs="Times New Roman"/>
                <w:b w:val="0"/>
                <w:bCs w:val="0"/>
              </w:rPr>
            </w:pPr>
            <w:r w:rsidRPr="009A6E73">
              <w:rPr>
                <w:rFonts w:cs="Times New Roman"/>
                <w:b w:val="0"/>
                <w:bCs w:val="0"/>
              </w:rPr>
              <w:t>Proportion of individuals who respond to each vaccine dose</w:t>
            </w:r>
          </w:p>
        </w:tc>
        <w:tc>
          <w:tcPr>
            <w:tcW w:w="0" w:type="dxa"/>
            <w:tcBorders>
              <w:top w:val="nil"/>
              <w:left w:val="nil"/>
              <w:bottom w:val="single" w:sz="4" w:space="0" w:color="auto"/>
              <w:right w:val="nil"/>
            </w:tcBorders>
          </w:tcPr>
          <w:p w14:paraId="02911662"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i/>
              </w:rPr>
              <w:t>s</w:t>
            </w:r>
            <w:r w:rsidRPr="009A6E73">
              <w:rPr>
                <w:rFonts w:cs="Times New Roman"/>
                <w:vertAlign w:val="subscript"/>
              </w:rPr>
              <w:t xml:space="preserve">1 </w:t>
            </w:r>
            <w:r w:rsidRPr="009A6E73">
              <w:rPr>
                <w:rFonts w:cs="Times New Roman"/>
              </w:rPr>
              <w:t>(=</w:t>
            </w:r>
            <w:r w:rsidRPr="009A6E73">
              <w:rPr>
                <w:rFonts w:cs="Times New Roman"/>
                <w:i/>
              </w:rPr>
              <w:t>s</w:t>
            </w:r>
            <w:r w:rsidRPr="009A6E73">
              <w:rPr>
                <w:rFonts w:cs="Times New Roman"/>
                <w:vertAlign w:val="subscript"/>
              </w:rPr>
              <w:t>2</w:t>
            </w:r>
            <w:r w:rsidRPr="009A6E73">
              <w:rPr>
                <w:rFonts w:cs="Times New Roman"/>
              </w:rPr>
              <w:t>)</w:t>
            </w:r>
          </w:p>
          <w:p w14:paraId="13144E80"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gridSpan w:val="2"/>
            <w:tcBorders>
              <w:top w:val="nil"/>
              <w:left w:val="nil"/>
              <w:bottom w:val="single" w:sz="4" w:space="0" w:color="auto"/>
              <w:right w:val="nil"/>
            </w:tcBorders>
          </w:tcPr>
          <w:p w14:paraId="0D142E04"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 xml:space="preserve">0.687 </w:t>
            </w:r>
          </w:p>
        </w:tc>
        <w:tc>
          <w:tcPr>
            <w:tcW w:w="0" w:type="dxa"/>
            <w:tcBorders>
              <w:top w:val="nil"/>
              <w:left w:val="nil"/>
              <w:bottom w:val="single" w:sz="4" w:space="0" w:color="auto"/>
            </w:tcBorders>
          </w:tcPr>
          <w:p w14:paraId="5A360BB2"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fldChar w:fldCharType="begin" w:fldLock="1"/>
            </w:r>
            <w:r w:rsidRPr="009A6E73">
              <w:rPr>
                <w:rFonts w:cs="Times New Roman"/>
              </w:rPr>
              <w:instrText>ADDIN CSL_CITATION {"citationItems":[{"id":"ITEM-1","itemData":{"DOI":"10.1016/j.vaccine.2011.09.120","author":[{"dropping-particle":"","family":"Cunliffe","given":"Nigel A","non-dropping-particle":"","parse-names":false,"suffix":""},{"dropping-particle":"","family":"Witte","given":"Desiree","non-dropping-particle":"","parse-names":false,"suffix":""},{"dropping-particle":"","family":"Ngwira","given":"Bagrey M","non-dropping-particle":"","parse-names":false,"suffix":""},{"dropping-particle":"","family":"Todd","given":"Stacy","non-dropping-particle":"","parse-names":false,"suffix":""},{"dropping-particle":"","family":"Bostock","given":"Nancy J","non-dropping-particle":"","parse-names":false,"suffix":""},{"dropping-particle":"","family":"Turner","given":"Ann M","non-dropping-particle":"","parse-names":false,"suffix":""},{"dropping-particle":"","family":"Chimpeni","given":"Philips","non-dropping-particle":"","parse-names":false,"suffix":""},{"dropping-particle":"","family":"Victor","given":"John C","non-dropping-particle":"","parse-names":false,"suffix":""},{"dropping-particle":"","family":"Steele","given":"A Duncan","non-dropping-particle":"","parse-names":false,"suffix":""},{"dropping-particle":"","family":"Bouckenooghe","given":"Alain","non-dropping-particle":"","parse-names":false,"suffix":""},{"dropping-particle":"","family":"Neuzil","given":"Kathleen M","non-dropping-particle":"","parse-names":false,"suffix":""}],"container-title":"Vaccine","id":"ITEM-1","issued":{"date-parts":[["2012"]]},"page":"36-43","title":"Efficacy of human rotavirus vaccine against severe gastroenteritis in Malawian children in the first two years of life : A randomized , double-blind , placebo controlled trial","type":"article-journal","volume":"4414"},"uris":["http://www.mendeley.com/documents/?uuid=94287ea9-9335-4e7f-97c2-fb5b0a91eccc"]}],"mendeley":{"formattedCitation":"&lt;i&gt;(34)&lt;/i&gt;","plainTextFormattedCitation":"(34)","previouslyFormattedCitation":"&lt;i&gt;(35)&lt;/i&gt;"},"properties":{"noteIndex":0},"schema":"https://github.com/citation-style-language/schema/raw/master/csl-citation.json"}</w:instrText>
            </w:r>
            <w:r w:rsidRPr="009A6E73">
              <w:rPr>
                <w:rFonts w:cs="Times New Roman"/>
              </w:rPr>
              <w:fldChar w:fldCharType="separate"/>
            </w:r>
            <w:r w:rsidRPr="009A6E73">
              <w:rPr>
                <w:rFonts w:cs="Times New Roman"/>
                <w:i/>
                <w:noProof/>
              </w:rPr>
              <w:t>(34)</w:t>
            </w:r>
            <w:r w:rsidRPr="009A6E73">
              <w:rPr>
                <w:rFonts w:cs="Times New Roman"/>
              </w:rPr>
              <w:fldChar w:fldCharType="end"/>
            </w:r>
          </w:p>
        </w:tc>
      </w:tr>
      <w:tr w:rsidR="006259CB" w:rsidRPr="009A6E73" w14:paraId="4E6FE4EF" w14:textId="77777777" w:rsidTr="009A6E73">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right w:val="nil"/>
            </w:tcBorders>
          </w:tcPr>
          <w:p w14:paraId="4626F4F3" w14:textId="77777777" w:rsidR="006259CB" w:rsidRPr="009A6E73" w:rsidRDefault="006259CB" w:rsidP="00754D9F">
            <w:pPr>
              <w:rPr>
                <w:rFonts w:cs="Times New Roman"/>
                <w:bCs w:val="0"/>
              </w:rPr>
            </w:pPr>
            <w:r w:rsidRPr="009A6E73">
              <w:rPr>
                <w:rFonts w:cs="Times New Roman"/>
                <w:bCs w:val="0"/>
              </w:rPr>
              <w:t>Estimated parameters</w:t>
            </w:r>
          </w:p>
        </w:tc>
        <w:tc>
          <w:tcPr>
            <w:tcW w:w="0" w:type="dxa"/>
            <w:tcBorders>
              <w:top w:val="single" w:sz="4" w:space="0" w:color="auto"/>
              <w:left w:val="nil"/>
              <w:bottom w:val="single" w:sz="4" w:space="0" w:color="auto"/>
              <w:right w:val="nil"/>
            </w:tcBorders>
          </w:tcPr>
          <w:p w14:paraId="5F8FE1F8"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b/>
              </w:rPr>
            </w:pPr>
            <w:r w:rsidRPr="009A6E73">
              <w:rPr>
                <w:rFonts w:cs="Times New Roman"/>
                <w:b/>
              </w:rPr>
              <w:t>Variable</w:t>
            </w:r>
          </w:p>
        </w:tc>
        <w:tc>
          <w:tcPr>
            <w:tcW w:w="0" w:type="dxa"/>
            <w:tcBorders>
              <w:top w:val="single" w:sz="4" w:space="0" w:color="auto"/>
              <w:left w:val="nil"/>
              <w:bottom w:val="single" w:sz="4" w:space="0" w:color="auto"/>
              <w:right w:val="nil"/>
            </w:tcBorders>
          </w:tcPr>
          <w:p w14:paraId="2DDCE32D"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b/>
              </w:rPr>
            </w:pPr>
            <w:r w:rsidRPr="009A6E73">
              <w:rPr>
                <w:rFonts w:cs="Times New Roman"/>
                <w:b/>
              </w:rPr>
              <w:t>Prior distribution</w:t>
            </w:r>
          </w:p>
        </w:tc>
        <w:tc>
          <w:tcPr>
            <w:tcW w:w="0" w:type="dxa"/>
            <w:tcBorders>
              <w:top w:val="single" w:sz="4" w:space="0" w:color="auto"/>
              <w:left w:val="nil"/>
              <w:bottom w:val="single" w:sz="4" w:space="0" w:color="auto"/>
              <w:right w:val="nil"/>
            </w:tcBorders>
          </w:tcPr>
          <w:p w14:paraId="0E040766"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b/>
              </w:rPr>
            </w:pPr>
            <w:r w:rsidRPr="009A6E73">
              <w:rPr>
                <w:rFonts w:cs="Times New Roman"/>
                <w:b/>
              </w:rPr>
              <w:t>Maximum a posteriori estimate</w:t>
            </w:r>
          </w:p>
        </w:tc>
        <w:tc>
          <w:tcPr>
            <w:tcW w:w="0" w:type="dxa"/>
            <w:tcBorders>
              <w:top w:val="single" w:sz="4" w:space="0" w:color="auto"/>
              <w:left w:val="nil"/>
              <w:bottom w:val="single" w:sz="4" w:space="0" w:color="auto"/>
            </w:tcBorders>
          </w:tcPr>
          <w:p w14:paraId="4B9C838F"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b/>
              </w:rPr>
            </w:pPr>
            <w:r w:rsidRPr="009A6E73">
              <w:rPr>
                <w:rFonts w:cs="Times New Roman"/>
                <w:b/>
              </w:rPr>
              <w:t>95% credible interval</w:t>
            </w:r>
          </w:p>
        </w:tc>
      </w:tr>
      <w:tr w:rsidR="006259CB" w:rsidRPr="009A6E73" w14:paraId="5F863DC0" w14:textId="77777777" w:rsidTr="009A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right w:val="nil"/>
            </w:tcBorders>
          </w:tcPr>
          <w:p w14:paraId="35AE7273" w14:textId="77777777" w:rsidR="006259CB" w:rsidRPr="009A6E73" w:rsidRDefault="006259CB" w:rsidP="00754D9F">
            <w:pPr>
              <w:rPr>
                <w:rFonts w:cs="Times New Roman"/>
                <w:b w:val="0"/>
                <w:bCs w:val="0"/>
              </w:rPr>
            </w:pPr>
            <w:r w:rsidRPr="009A6E73">
              <w:rPr>
                <w:rFonts w:cs="Times New Roman"/>
                <w:b w:val="0"/>
                <w:bCs w:val="0"/>
              </w:rPr>
              <w:t>Basic reproductive number</w:t>
            </w:r>
          </w:p>
        </w:tc>
        <w:tc>
          <w:tcPr>
            <w:tcW w:w="0" w:type="dxa"/>
            <w:tcBorders>
              <w:top w:val="single" w:sz="4" w:space="0" w:color="auto"/>
              <w:left w:val="nil"/>
              <w:bottom w:val="nil"/>
              <w:right w:val="nil"/>
            </w:tcBorders>
          </w:tcPr>
          <w:p w14:paraId="00698684"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vertAlign w:val="subscript"/>
              </w:rPr>
            </w:pPr>
            <w:r w:rsidRPr="009A6E73">
              <w:rPr>
                <w:rFonts w:cs="Times New Roman"/>
                <w:i/>
              </w:rPr>
              <w:t>R</w:t>
            </w:r>
            <w:r w:rsidRPr="009A6E73">
              <w:rPr>
                <w:rFonts w:cs="Times New Roman"/>
                <w:vertAlign w:val="subscript"/>
              </w:rPr>
              <w:t>0</w:t>
            </w:r>
            <w:r w:rsidRPr="009A6E73">
              <w:rPr>
                <w:rFonts w:cs="Times New Roman"/>
              </w:rPr>
              <w:t xml:space="preserve"> =</w:t>
            </w:r>
            <w:r w:rsidRPr="009A6E73">
              <w:rPr>
                <w:rFonts w:cs="Times New Roman"/>
                <w:i/>
              </w:rPr>
              <w:t xml:space="preserve"> </w:t>
            </w:r>
            <w:r w:rsidRPr="009A6E73">
              <w:rPr>
                <w:rFonts w:cs="Times New Roman"/>
                <w:i/>
              </w:rPr>
              <w:sym w:font="Symbol" w:char="F062"/>
            </w:r>
            <w:r w:rsidRPr="009A6E73">
              <w:rPr>
                <w:rFonts w:cs="Times New Roman"/>
                <w:vertAlign w:val="subscript"/>
              </w:rPr>
              <w:t>0</w:t>
            </w:r>
            <w:r w:rsidRPr="009A6E73">
              <w:rPr>
                <w:rFonts w:cs="Times New Roman"/>
              </w:rPr>
              <w:t>/</w:t>
            </w:r>
            <w:r w:rsidRPr="009A6E73">
              <w:rPr>
                <w:rFonts w:cs="Times New Roman"/>
                <w:i/>
              </w:rPr>
              <w:sym w:font="Symbol" w:char="F067"/>
            </w:r>
            <w:r w:rsidRPr="009A6E73">
              <w:rPr>
                <w:rFonts w:cs="Times New Roman"/>
                <w:vertAlign w:val="subscript"/>
              </w:rPr>
              <w:t>1</w:t>
            </w:r>
          </w:p>
        </w:tc>
        <w:tc>
          <w:tcPr>
            <w:tcW w:w="0" w:type="dxa"/>
            <w:tcBorders>
              <w:top w:val="single" w:sz="4" w:space="0" w:color="auto"/>
              <w:left w:val="nil"/>
              <w:bottom w:val="nil"/>
              <w:right w:val="nil"/>
            </w:tcBorders>
          </w:tcPr>
          <w:p w14:paraId="6B5A162C"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Unif(1,100)</w:t>
            </w:r>
          </w:p>
        </w:tc>
        <w:tc>
          <w:tcPr>
            <w:tcW w:w="0" w:type="dxa"/>
            <w:tcBorders>
              <w:top w:val="single" w:sz="4" w:space="0" w:color="auto"/>
              <w:left w:val="nil"/>
              <w:bottom w:val="nil"/>
              <w:right w:val="nil"/>
            </w:tcBorders>
          </w:tcPr>
          <w:p w14:paraId="7A1173DE"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78.8</w:t>
            </w:r>
          </w:p>
        </w:tc>
        <w:tc>
          <w:tcPr>
            <w:tcW w:w="0" w:type="dxa"/>
            <w:tcBorders>
              <w:top w:val="single" w:sz="4" w:space="0" w:color="auto"/>
              <w:left w:val="nil"/>
              <w:bottom w:val="nil"/>
            </w:tcBorders>
          </w:tcPr>
          <w:p w14:paraId="0A970ACE"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70.5-96.2</w:t>
            </w:r>
          </w:p>
        </w:tc>
      </w:tr>
      <w:tr w:rsidR="006259CB" w:rsidRPr="009A6E73" w14:paraId="0C35B786" w14:textId="77777777" w:rsidTr="009A6E73">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3BFBE271" w14:textId="77777777" w:rsidR="006259CB" w:rsidRPr="009A6E73" w:rsidRDefault="006259CB" w:rsidP="00754D9F">
            <w:pPr>
              <w:rPr>
                <w:rFonts w:cs="Times New Roman"/>
                <w:b w:val="0"/>
                <w:bCs w:val="0"/>
              </w:rPr>
            </w:pPr>
            <w:r w:rsidRPr="009A6E73">
              <w:rPr>
                <w:rFonts w:cs="Times New Roman"/>
                <w:b w:val="0"/>
                <w:bCs w:val="0"/>
              </w:rPr>
              <w:t>Reporting rate (mean)</w:t>
            </w:r>
          </w:p>
        </w:tc>
        <w:tc>
          <w:tcPr>
            <w:tcW w:w="0" w:type="dxa"/>
            <w:tcBorders>
              <w:top w:val="nil"/>
              <w:left w:val="nil"/>
              <w:bottom w:val="nil"/>
              <w:right w:val="nil"/>
            </w:tcBorders>
          </w:tcPr>
          <w:p w14:paraId="492ACDE9"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i/>
              </w:rPr>
            </w:pPr>
            <w:r w:rsidRPr="009A6E73">
              <w:rPr>
                <w:rFonts w:cs="Times New Roman"/>
                <w:i/>
              </w:rPr>
              <w:t>h</w:t>
            </w:r>
          </w:p>
        </w:tc>
        <w:tc>
          <w:tcPr>
            <w:tcW w:w="0" w:type="dxa"/>
            <w:tcBorders>
              <w:top w:val="nil"/>
              <w:left w:val="nil"/>
              <w:bottom w:val="nil"/>
              <w:right w:val="nil"/>
            </w:tcBorders>
          </w:tcPr>
          <w:p w14:paraId="0A2A3AB7"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Unif(0,1)</w:t>
            </w:r>
          </w:p>
        </w:tc>
        <w:tc>
          <w:tcPr>
            <w:tcW w:w="0" w:type="dxa"/>
            <w:tcBorders>
              <w:top w:val="nil"/>
              <w:left w:val="nil"/>
              <w:bottom w:val="nil"/>
              <w:right w:val="nil"/>
            </w:tcBorders>
          </w:tcPr>
          <w:p w14:paraId="111B3482"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0.017</w:t>
            </w:r>
          </w:p>
        </w:tc>
        <w:tc>
          <w:tcPr>
            <w:tcW w:w="0" w:type="dxa"/>
            <w:tcBorders>
              <w:top w:val="nil"/>
              <w:left w:val="nil"/>
              <w:bottom w:val="nil"/>
            </w:tcBorders>
          </w:tcPr>
          <w:p w14:paraId="5BBA1147"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0.016-0.018</w:t>
            </w:r>
          </w:p>
        </w:tc>
      </w:tr>
      <w:tr w:rsidR="006259CB" w:rsidRPr="009A6E73" w14:paraId="67D24C93" w14:textId="77777777" w:rsidTr="00384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03CE4449" w14:textId="77777777" w:rsidR="006259CB" w:rsidRPr="009A6E73" w:rsidRDefault="006259CB" w:rsidP="00754D9F">
            <w:pPr>
              <w:rPr>
                <w:rFonts w:cs="Times New Roman"/>
                <w:b w:val="0"/>
                <w:bCs w:val="0"/>
              </w:rPr>
            </w:pPr>
            <w:r w:rsidRPr="009A6E73">
              <w:rPr>
                <w:rFonts w:cs="Times New Roman"/>
                <w:b w:val="0"/>
                <w:bCs w:val="0"/>
              </w:rPr>
              <w:t>Amplitude of seasonality in transmission</w:t>
            </w:r>
          </w:p>
        </w:tc>
        <w:tc>
          <w:tcPr>
            <w:tcW w:w="0" w:type="dxa"/>
            <w:tcBorders>
              <w:top w:val="nil"/>
              <w:left w:val="nil"/>
              <w:bottom w:val="nil"/>
              <w:right w:val="nil"/>
            </w:tcBorders>
          </w:tcPr>
          <w:p w14:paraId="1B1E4544"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i/>
              </w:rPr>
            </w:pPr>
            <w:r w:rsidRPr="009A6E73">
              <w:rPr>
                <w:rFonts w:cs="Times New Roman"/>
                <w:i/>
              </w:rPr>
              <w:t>b</w:t>
            </w:r>
          </w:p>
        </w:tc>
        <w:tc>
          <w:tcPr>
            <w:tcW w:w="0" w:type="dxa"/>
            <w:tcBorders>
              <w:top w:val="nil"/>
              <w:left w:val="nil"/>
              <w:bottom w:val="nil"/>
              <w:right w:val="nil"/>
            </w:tcBorders>
          </w:tcPr>
          <w:p w14:paraId="735403A3"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Unif(0,1)</w:t>
            </w:r>
          </w:p>
        </w:tc>
        <w:tc>
          <w:tcPr>
            <w:tcW w:w="0" w:type="dxa"/>
            <w:tcBorders>
              <w:top w:val="nil"/>
              <w:left w:val="nil"/>
              <w:bottom w:val="nil"/>
              <w:right w:val="nil"/>
            </w:tcBorders>
          </w:tcPr>
          <w:p w14:paraId="791C7E6B"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0.174</w:t>
            </w:r>
          </w:p>
        </w:tc>
        <w:tc>
          <w:tcPr>
            <w:tcW w:w="0" w:type="dxa"/>
            <w:tcBorders>
              <w:top w:val="nil"/>
              <w:left w:val="nil"/>
              <w:bottom w:val="nil"/>
            </w:tcBorders>
          </w:tcPr>
          <w:p w14:paraId="552AD8F7" w14:textId="77777777" w:rsidR="006259CB" w:rsidRPr="009A6E73" w:rsidRDefault="006259CB" w:rsidP="00754D9F">
            <w:pPr>
              <w:cnfStyle w:val="000000100000" w:firstRow="0" w:lastRow="0" w:firstColumn="0" w:lastColumn="0" w:oddVBand="0" w:evenVBand="0" w:oddHBand="1" w:evenHBand="0" w:firstRowFirstColumn="0" w:firstRowLastColumn="0" w:lastRowFirstColumn="0" w:lastRowLastColumn="0"/>
              <w:rPr>
                <w:rFonts w:cs="Times New Roman"/>
              </w:rPr>
            </w:pPr>
            <w:r w:rsidRPr="009A6E73">
              <w:rPr>
                <w:rFonts w:cs="Times New Roman"/>
              </w:rPr>
              <w:t>0.113-0.294</w:t>
            </w:r>
          </w:p>
        </w:tc>
      </w:tr>
      <w:tr w:rsidR="006259CB" w:rsidRPr="009A6E73" w14:paraId="5003F0F8" w14:textId="77777777" w:rsidTr="00384A64">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right w:val="nil"/>
            </w:tcBorders>
          </w:tcPr>
          <w:p w14:paraId="09D0A33C" w14:textId="77777777" w:rsidR="006259CB" w:rsidRPr="009A6E73" w:rsidRDefault="006259CB" w:rsidP="00754D9F">
            <w:pPr>
              <w:rPr>
                <w:rFonts w:cs="Times New Roman"/>
                <w:b w:val="0"/>
                <w:bCs w:val="0"/>
              </w:rPr>
            </w:pPr>
            <w:r w:rsidRPr="009A6E73">
              <w:rPr>
                <w:rFonts w:cs="Times New Roman"/>
                <w:b w:val="0"/>
                <w:bCs w:val="0"/>
              </w:rPr>
              <w:t>Phase shift of seasonal transmission</w:t>
            </w:r>
          </w:p>
        </w:tc>
        <w:tc>
          <w:tcPr>
            <w:tcW w:w="0" w:type="dxa"/>
            <w:tcBorders>
              <w:top w:val="nil"/>
              <w:left w:val="nil"/>
              <w:bottom w:val="single" w:sz="4" w:space="0" w:color="auto"/>
              <w:right w:val="nil"/>
            </w:tcBorders>
          </w:tcPr>
          <w:p w14:paraId="2412E3A1"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i/>
              </w:rPr>
            </w:pPr>
            <w:r w:rsidRPr="009A6E73">
              <w:rPr>
                <w:rFonts w:cs="Times New Roman"/>
                <w:i/>
              </w:rPr>
              <w:sym w:font="Symbol" w:char="F066"/>
            </w:r>
          </w:p>
        </w:tc>
        <w:tc>
          <w:tcPr>
            <w:tcW w:w="0" w:type="dxa"/>
            <w:tcBorders>
              <w:top w:val="nil"/>
              <w:left w:val="nil"/>
              <w:bottom w:val="single" w:sz="4" w:space="0" w:color="auto"/>
              <w:right w:val="nil"/>
            </w:tcBorders>
          </w:tcPr>
          <w:p w14:paraId="03B35F20"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Unif(0,52.18)</w:t>
            </w:r>
          </w:p>
        </w:tc>
        <w:tc>
          <w:tcPr>
            <w:tcW w:w="0" w:type="dxa"/>
            <w:tcBorders>
              <w:top w:val="nil"/>
              <w:left w:val="nil"/>
              <w:bottom w:val="single" w:sz="4" w:space="0" w:color="auto"/>
              <w:right w:val="nil"/>
            </w:tcBorders>
          </w:tcPr>
          <w:p w14:paraId="1354F49E"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6.9 weeks</w:t>
            </w:r>
          </w:p>
        </w:tc>
        <w:tc>
          <w:tcPr>
            <w:tcW w:w="0" w:type="dxa"/>
            <w:tcBorders>
              <w:top w:val="nil"/>
              <w:left w:val="nil"/>
              <w:bottom w:val="single" w:sz="4" w:space="0" w:color="auto"/>
            </w:tcBorders>
          </w:tcPr>
          <w:p w14:paraId="3D390865" w14:textId="77777777" w:rsidR="006259CB" w:rsidRPr="009A6E73" w:rsidRDefault="006259CB" w:rsidP="00754D9F">
            <w:pPr>
              <w:cnfStyle w:val="000000000000" w:firstRow="0" w:lastRow="0" w:firstColumn="0" w:lastColumn="0" w:oddVBand="0" w:evenVBand="0" w:oddHBand="0" w:evenHBand="0" w:firstRowFirstColumn="0" w:firstRowLastColumn="0" w:lastRowFirstColumn="0" w:lastRowLastColumn="0"/>
              <w:rPr>
                <w:rFonts w:cs="Times New Roman"/>
              </w:rPr>
            </w:pPr>
            <w:r w:rsidRPr="009A6E73">
              <w:rPr>
                <w:rFonts w:cs="Times New Roman"/>
              </w:rPr>
              <w:t>4.0-11.2 weeks</w:t>
            </w:r>
          </w:p>
        </w:tc>
      </w:tr>
    </w:tbl>
    <w:p w14:paraId="4240319C" w14:textId="77777777" w:rsidR="006259CB" w:rsidRPr="007E512D" w:rsidRDefault="006259CB" w:rsidP="006259CB">
      <w:pPr>
        <w:rPr>
          <w:rFonts w:cs="Times New Roman"/>
        </w:rPr>
      </w:pPr>
    </w:p>
    <w:p w14:paraId="33BC0D82" w14:textId="77777777" w:rsidR="006259CB" w:rsidRPr="007E512D" w:rsidRDefault="006259CB" w:rsidP="006259CB">
      <w:pPr>
        <w:rPr>
          <w:rFonts w:cs="Times New Roman"/>
          <w:szCs w:val="22"/>
        </w:rPr>
      </w:pPr>
    </w:p>
    <w:p w14:paraId="505EF3EA" w14:textId="77777777" w:rsidR="006259CB" w:rsidRPr="007E512D" w:rsidRDefault="006259CB" w:rsidP="006259CB">
      <w:pPr>
        <w:rPr>
          <w:rFonts w:cs="Times New Roman"/>
          <w:szCs w:val="22"/>
        </w:rPr>
      </w:pPr>
      <w:r w:rsidRPr="007E512D">
        <w:rPr>
          <w:rFonts w:cs="Times New Roman"/>
          <w:szCs w:val="22"/>
        </w:rPr>
        <w:br w:type="page"/>
      </w:r>
    </w:p>
    <w:p w14:paraId="3A207ABF" w14:textId="352D87A9" w:rsidR="0070755E" w:rsidRPr="00627261" w:rsidRDefault="00BA0AD2" w:rsidP="00BA0AD2">
      <w:pPr>
        <w:pStyle w:val="SMcaption"/>
      </w:pPr>
      <w:bookmarkStart w:id="41" w:name="_Toc9936184"/>
      <w:r>
        <w:lastRenderedPageBreak/>
        <w:t>Table S</w:t>
      </w:r>
      <w:r w:rsidR="00753C98">
        <w:rPr>
          <w:noProof/>
        </w:rPr>
        <w:fldChar w:fldCharType="begin"/>
      </w:r>
      <w:r w:rsidR="00753C98">
        <w:rPr>
          <w:noProof/>
        </w:rPr>
        <w:instrText xml:space="preserve"> SEQ Table_S \* ARABIC </w:instrText>
      </w:r>
      <w:r w:rsidR="00753C98">
        <w:rPr>
          <w:noProof/>
        </w:rPr>
        <w:fldChar w:fldCharType="separate"/>
      </w:r>
      <w:r w:rsidR="002558FA">
        <w:rPr>
          <w:noProof/>
        </w:rPr>
        <w:t>2</w:t>
      </w:r>
      <w:r w:rsidR="00753C98">
        <w:rPr>
          <w:noProof/>
        </w:rPr>
        <w:fldChar w:fldCharType="end"/>
      </w:r>
      <w:r>
        <w:t xml:space="preserve">. </w:t>
      </w:r>
      <w:r w:rsidR="0070755E">
        <w:t>E</w:t>
      </w:r>
      <w:r w:rsidR="0070755E" w:rsidRPr="00627261">
        <w:t xml:space="preserve">stimated basic reproductive number </w:t>
      </w:r>
      <w:r w:rsidR="0070755E">
        <w:t>for different values of</w:t>
      </w:r>
      <w:r w:rsidR="0070755E" w:rsidRPr="00627261">
        <w:t xml:space="preserve"> the relative infectiousness of subsequent infections and duration of complete immunity.</w:t>
      </w:r>
      <w:bookmarkEnd w:id="41"/>
    </w:p>
    <w:p w14:paraId="0B11CB28" w14:textId="77777777" w:rsidR="0070755E" w:rsidRPr="007E512D" w:rsidRDefault="0070755E" w:rsidP="0070755E">
      <w:pPr>
        <w:rPr>
          <w:rFonts w:cs="Times New Roman"/>
          <w:szCs w:val="22"/>
        </w:rPr>
      </w:pPr>
    </w:p>
    <w:tbl>
      <w:tblPr>
        <w:tblStyle w:val="LightShading"/>
        <w:tblW w:w="8838" w:type="dxa"/>
        <w:tblLook w:val="04A0" w:firstRow="1" w:lastRow="0" w:firstColumn="1" w:lastColumn="0" w:noHBand="0" w:noVBand="1"/>
      </w:tblPr>
      <w:tblGrid>
        <w:gridCol w:w="1654"/>
        <w:gridCol w:w="1436"/>
        <w:gridCol w:w="1437"/>
        <w:gridCol w:w="1437"/>
        <w:gridCol w:w="1437"/>
        <w:gridCol w:w="1437"/>
      </w:tblGrid>
      <w:tr w:rsidR="0070755E" w:rsidRPr="007E512D" w14:paraId="403EB7C1" w14:textId="77777777" w:rsidTr="00BA0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44AB61DF" w14:textId="77777777" w:rsidR="0070755E" w:rsidRPr="007E512D" w:rsidRDefault="0070755E" w:rsidP="00BA0AD2">
            <w:pPr>
              <w:rPr>
                <w:szCs w:val="22"/>
              </w:rPr>
            </w:pPr>
          </w:p>
        </w:tc>
        <w:tc>
          <w:tcPr>
            <w:tcW w:w="4310" w:type="dxa"/>
            <w:gridSpan w:val="3"/>
          </w:tcPr>
          <w:p w14:paraId="7DD68585" w14:textId="77777777" w:rsidR="0070755E" w:rsidRPr="007E512D" w:rsidRDefault="0070755E" w:rsidP="00BA0AD2">
            <w:pPr>
              <w:cnfStyle w:val="100000000000" w:firstRow="1" w:lastRow="0" w:firstColumn="0" w:lastColumn="0" w:oddVBand="0" w:evenVBand="0" w:oddHBand="0" w:evenHBand="0" w:firstRowFirstColumn="0" w:firstRowLastColumn="0" w:lastRowFirstColumn="0" w:lastRowLastColumn="0"/>
              <w:rPr>
                <w:szCs w:val="22"/>
              </w:rPr>
            </w:pPr>
            <w:r w:rsidRPr="007E512D">
              <w:rPr>
                <w:szCs w:val="22"/>
              </w:rPr>
              <w:t>Base-case model (1/</w:t>
            </w:r>
            <w:r w:rsidRPr="007E512D">
              <w:rPr>
                <w:i/>
                <w:szCs w:val="22"/>
              </w:rPr>
              <w:sym w:font="Symbol" w:char="F077"/>
            </w:r>
            <w:r>
              <w:rPr>
                <w:i/>
                <w:szCs w:val="22"/>
              </w:rPr>
              <w:t xml:space="preserve"> </w:t>
            </w:r>
            <w:r w:rsidRPr="007E512D">
              <w:rPr>
                <w:szCs w:val="22"/>
              </w:rPr>
              <w:t>=</w:t>
            </w:r>
            <w:r>
              <w:rPr>
                <w:szCs w:val="22"/>
              </w:rPr>
              <w:t xml:space="preserve"> </w:t>
            </w:r>
            <w:r w:rsidRPr="007E512D">
              <w:rPr>
                <w:szCs w:val="22"/>
              </w:rPr>
              <w:t>13 weeks)</w:t>
            </w:r>
          </w:p>
        </w:tc>
        <w:tc>
          <w:tcPr>
            <w:tcW w:w="2874" w:type="dxa"/>
            <w:gridSpan w:val="2"/>
          </w:tcPr>
          <w:p w14:paraId="29CD3388" w14:textId="77777777" w:rsidR="0070755E" w:rsidRPr="007E512D" w:rsidRDefault="0070755E" w:rsidP="00BA0AD2">
            <w:pPr>
              <w:cnfStyle w:val="100000000000" w:firstRow="1" w:lastRow="0" w:firstColumn="0" w:lastColumn="0" w:oddVBand="0" w:evenVBand="0" w:oddHBand="0" w:evenHBand="0" w:firstRowFirstColumn="0" w:firstRowLastColumn="0" w:lastRowFirstColumn="0" w:lastRowLastColumn="0"/>
              <w:rPr>
                <w:szCs w:val="22"/>
              </w:rPr>
            </w:pPr>
            <w:r w:rsidRPr="007E512D">
              <w:rPr>
                <w:szCs w:val="22"/>
              </w:rPr>
              <w:t>Assuming 1/</w:t>
            </w:r>
            <w:r w:rsidRPr="007E512D">
              <w:rPr>
                <w:i/>
                <w:szCs w:val="22"/>
              </w:rPr>
              <w:sym w:font="Symbol" w:char="F077"/>
            </w:r>
            <w:r>
              <w:rPr>
                <w:szCs w:val="22"/>
              </w:rPr>
              <w:t xml:space="preserve"> </w:t>
            </w:r>
            <w:r w:rsidRPr="007E512D">
              <w:rPr>
                <w:szCs w:val="22"/>
              </w:rPr>
              <w:t>=</w:t>
            </w:r>
            <w:r>
              <w:rPr>
                <w:szCs w:val="22"/>
              </w:rPr>
              <w:t xml:space="preserve"> </w:t>
            </w:r>
            <w:r w:rsidRPr="007E512D">
              <w:rPr>
                <w:szCs w:val="22"/>
              </w:rPr>
              <w:t>1 week</w:t>
            </w:r>
          </w:p>
        </w:tc>
      </w:tr>
      <w:tr w:rsidR="0070755E" w:rsidRPr="007E512D" w14:paraId="26F51358" w14:textId="77777777" w:rsidTr="00BA0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411C4EAA" w14:textId="77777777" w:rsidR="0070755E" w:rsidRPr="007E512D" w:rsidRDefault="0070755E" w:rsidP="00BA0AD2">
            <w:pPr>
              <w:rPr>
                <w:b w:val="0"/>
                <w:szCs w:val="22"/>
              </w:rPr>
            </w:pPr>
            <w:r w:rsidRPr="007E512D">
              <w:rPr>
                <w:b w:val="0"/>
                <w:szCs w:val="22"/>
              </w:rPr>
              <w:t>Relative infectiousness of subsequent infections (</w:t>
            </w:r>
            <w:r w:rsidRPr="007E512D">
              <w:rPr>
                <w:b w:val="0"/>
                <w:i/>
                <w:szCs w:val="22"/>
              </w:rPr>
              <w:sym w:font="Symbol" w:char="F072"/>
            </w:r>
            <w:r w:rsidRPr="007E512D">
              <w:rPr>
                <w:b w:val="0"/>
                <w:szCs w:val="22"/>
                <w:vertAlign w:val="subscript"/>
              </w:rPr>
              <w:t>2</w:t>
            </w:r>
            <w:r w:rsidRPr="007E512D">
              <w:rPr>
                <w:b w:val="0"/>
                <w:szCs w:val="22"/>
              </w:rPr>
              <w:t>) (fixed)</w:t>
            </w:r>
          </w:p>
        </w:tc>
        <w:tc>
          <w:tcPr>
            <w:tcW w:w="1436" w:type="dxa"/>
          </w:tcPr>
          <w:p w14:paraId="7602AAA5"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Estimated basic reproductive number (</w:t>
            </w:r>
            <w:r w:rsidRPr="007E512D">
              <w:rPr>
                <w:i/>
                <w:szCs w:val="22"/>
              </w:rPr>
              <w:t>R</w:t>
            </w:r>
            <w:r w:rsidRPr="007E512D">
              <w:rPr>
                <w:szCs w:val="22"/>
                <w:vertAlign w:val="subscript"/>
              </w:rPr>
              <w:t>0</w:t>
            </w:r>
            <w:r w:rsidRPr="007E512D">
              <w:rPr>
                <w:szCs w:val="22"/>
              </w:rPr>
              <w:t xml:space="preserve">) </w:t>
            </w:r>
          </w:p>
        </w:tc>
        <w:tc>
          <w:tcPr>
            <w:tcW w:w="1437" w:type="dxa"/>
          </w:tcPr>
          <w:p w14:paraId="5F596271"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95% credible interval</w:t>
            </w:r>
          </w:p>
        </w:tc>
        <w:tc>
          <w:tcPr>
            <w:tcW w:w="1437" w:type="dxa"/>
          </w:tcPr>
          <w:p w14:paraId="0322757A"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Maximum log-likelihood</w:t>
            </w:r>
          </w:p>
        </w:tc>
        <w:tc>
          <w:tcPr>
            <w:tcW w:w="1437" w:type="dxa"/>
          </w:tcPr>
          <w:p w14:paraId="5C01766D"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Estimated basic reproductive number (</w:t>
            </w:r>
            <w:r w:rsidRPr="007E512D">
              <w:rPr>
                <w:i/>
                <w:szCs w:val="22"/>
              </w:rPr>
              <w:t>R</w:t>
            </w:r>
            <w:r w:rsidRPr="007E512D">
              <w:rPr>
                <w:szCs w:val="22"/>
                <w:vertAlign w:val="subscript"/>
              </w:rPr>
              <w:t>0</w:t>
            </w:r>
            <w:r w:rsidRPr="007E512D">
              <w:rPr>
                <w:szCs w:val="22"/>
              </w:rPr>
              <w:t xml:space="preserve">) </w:t>
            </w:r>
          </w:p>
        </w:tc>
        <w:tc>
          <w:tcPr>
            <w:tcW w:w="1437" w:type="dxa"/>
          </w:tcPr>
          <w:p w14:paraId="3F291AC7"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Maximum log-likelihood</w:t>
            </w:r>
          </w:p>
        </w:tc>
      </w:tr>
      <w:tr w:rsidR="0070755E" w:rsidRPr="007E512D" w14:paraId="19BDED8D" w14:textId="77777777" w:rsidTr="00BA0AD2">
        <w:tc>
          <w:tcPr>
            <w:cnfStyle w:val="001000000000" w:firstRow="0" w:lastRow="0" w:firstColumn="1" w:lastColumn="0" w:oddVBand="0" w:evenVBand="0" w:oddHBand="0" w:evenHBand="0" w:firstRowFirstColumn="0" w:firstRowLastColumn="0" w:lastRowFirstColumn="0" w:lastRowLastColumn="0"/>
            <w:tcW w:w="1654" w:type="dxa"/>
          </w:tcPr>
          <w:p w14:paraId="22F3E2A6" w14:textId="77777777" w:rsidR="0070755E" w:rsidRPr="007E512D" w:rsidRDefault="0070755E" w:rsidP="00BA0AD2">
            <w:pPr>
              <w:rPr>
                <w:b w:val="0"/>
                <w:szCs w:val="22"/>
              </w:rPr>
            </w:pPr>
            <w:r w:rsidRPr="007E512D">
              <w:rPr>
                <w:b w:val="0"/>
                <w:szCs w:val="22"/>
              </w:rPr>
              <w:t>0.1 (base case)</w:t>
            </w:r>
          </w:p>
        </w:tc>
        <w:tc>
          <w:tcPr>
            <w:tcW w:w="1436" w:type="dxa"/>
          </w:tcPr>
          <w:p w14:paraId="014ABF51"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78.8</w:t>
            </w:r>
          </w:p>
        </w:tc>
        <w:tc>
          <w:tcPr>
            <w:tcW w:w="1437" w:type="dxa"/>
          </w:tcPr>
          <w:p w14:paraId="2B9A4511"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70.5-96.2</w:t>
            </w:r>
          </w:p>
        </w:tc>
        <w:tc>
          <w:tcPr>
            <w:tcW w:w="1437" w:type="dxa"/>
          </w:tcPr>
          <w:p w14:paraId="58587152"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-4477.7</w:t>
            </w:r>
          </w:p>
        </w:tc>
        <w:tc>
          <w:tcPr>
            <w:tcW w:w="1437" w:type="dxa"/>
          </w:tcPr>
          <w:p w14:paraId="54003B74"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43.9</w:t>
            </w:r>
          </w:p>
        </w:tc>
        <w:tc>
          <w:tcPr>
            <w:tcW w:w="1437" w:type="dxa"/>
          </w:tcPr>
          <w:p w14:paraId="27F5BF70"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-4497.1</w:t>
            </w:r>
          </w:p>
        </w:tc>
      </w:tr>
      <w:tr w:rsidR="0070755E" w:rsidRPr="007E512D" w14:paraId="2928E2D4" w14:textId="77777777" w:rsidTr="00BA0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264F071A" w14:textId="77777777" w:rsidR="0070755E" w:rsidRPr="007E512D" w:rsidRDefault="0070755E" w:rsidP="00BA0AD2">
            <w:pPr>
              <w:rPr>
                <w:b w:val="0"/>
                <w:szCs w:val="22"/>
              </w:rPr>
            </w:pPr>
            <w:r w:rsidRPr="007E512D">
              <w:rPr>
                <w:b w:val="0"/>
                <w:szCs w:val="22"/>
              </w:rPr>
              <w:t>0.2</w:t>
            </w:r>
          </w:p>
        </w:tc>
        <w:tc>
          <w:tcPr>
            <w:tcW w:w="1436" w:type="dxa"/>
          </w:tcPr>
          <w:p w14:paraId="40D031DC"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47.4</w:t>
            </w:r>
          </w:p>
        </w:tc>
        <w:tc>
          <w:tcPr>
            <w:tcW w:w="1437" w:type="dxa"/>
          </w:tcPr>
          <w:p w14:paraId="0E158E5B"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43.4-57.1</w:t>
            </w:r>
          </w:p>
        </w:tc>
        <w:tc>
          <w:tcPr>
            <w:tcW w:w="1437" w:type="dxa"/>
          </w:tcPr>
          <w:p w14:paraId="6C02ECD5"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-4478.2</w:t>
            </w:r>
          </w:p>
        </w:tc>
        <w:tc>
          <w:tcPr>
            <w:tcW w:w="1437" w:type="dxa"/>
          </w:tcPr>
          <w:p w14:paraId="474494ED"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26.0</w:t>
            </w:r>
          </w:p>
        </w:tc>
        <w:tc>
          <w:tcPr>
            <w:tcW w:w="1437" w:type="dxa"/>
          </w:tcPr>
          <w:p w14:paraId="2D121127"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-4497.5</w:t>
            </w:r>
          </w:p>
        </w:tc>
      </w:tr>
      <w:tr w:rsidR="0070755E" w:rsidRPr="007E512D" w14:paraId="1E3B89A7" w14:textId="77777777" w:rsidTr="00BA0AD2">
        <w:tc>
          <w:tcPr>
            <w:cnfStyle w:val="001000000000" w:firstRow="0" w:lastRow="0" w:firstColumn="1" w:lastColumn="0" w:oddVBand="0" w:evenVBand="0" w:oddHBand="0" w:evenHBand="0" w:firstRowFirstColumn="0" w:firstRowLastColumn="0" w:lastRowFirstColumn="0" w:lastRowLastColumn="0"/>
            <w:tcW w:w="1654" w:type="dxa"/>
          </w:tcPr>
          <w:p w14:paraId="2092BACE" w14:textId="77777777" w:rsidR="0070755E" w:rsidRPr="007E512D" w:rsidRDefault="0070755E" w:rsidP="00BA0AD2">
            <w:pPr>
              <w:rPr>
                <w:b w:val="0"/>
                <w:szCs w:val="22"/>
              </w:rPr>
            </w:pPr>
            <w:r w:rsidRPr="007E512D">
              <w:rPr>
                <w:b w:val="0"/>
                <w:szCs w:val="22"/>
              </w:rPr>
              <w:t>0.3</w:t>
            </w:r>
          </w:p>
        </w:tc>
        <w:tc>
          <w:tcPr>
            <w:tcW w:w="1436" w:type="dxa"/>
          </w:tcPr>
          <w:p w14:paraId="381537DE"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34.0</w:t>
            </w:r>
          </w:p>
        </w:tc>
        <w:tc>
          <w:tcPr>
            <w:tcW w:w="1437" w:type="dxa"/>
          </w:tcPr>
          <w:p w14:paraId="210D20FC"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31.4-41.6</w:t>
            </w:r>
          </w:p>
        </w:tc>
        <w:tc>
          <w:tcPr>
            <w:tcW w:w="1437" w:type="dxa"/>
          </w:tcPr>
          <w:p w14:paraId="0FB71527"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-4478.4</w:t>
            </w:r>
          </w:p>
        </w:tc>
        <w:tc>
          <w:tcPr>
            <w:tcW w:w="1437" w:type="dxa"/>
          </w:tcPr>
          <w:p w14:paraId="7DB33615"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18.5</w:t>
            </w:r>
          </w:p>
        </w:tc>
        <w:tc>
          <w:tcPr>
            <w:tcW w:w="1437" w:type="dxa"/>
          </w:tcPr>
          <w:p w14:paraId="5F2EB751"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-4497.7</w:t>
            </w:r>
          </w:p>
        </w:tc>
      </w:tr>
      <w:tr w:rsidR="0070755E" w:rsidRPr="007E512D" w14:paraId="450FE4B7" w14:textId="77777777" w:rsidTr="00BA0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4" w:type="dxa"/>
          </w:tcPr>
          <w:p w14:paraId="6D1C7C5E" w14:textId="77777777" w:rsidR="0070755E" w:rsidRPr="007E512D" w:rsidRDefault="0070755E" w:rsidP="00BA0AD2">
            <w:pPr>
              <w:rPr>
                <w:b w:val="0"/>
                <w:szCs w:val="22"/>
              </w:rPr>
            </w:pPr>
            <w:r w:rsidRPr="007E512D">
              <w:rPr>
                <w:b w:val="0"/>
                <w:szCs w:val="22"/>
              </w:rPr>
              <w:t>0.4</w:t>
            </w:r>
          </w:p>
        </w:tc>
        <w:tc>
          <w:tcPr>
            <w:tcW w:w="1436" w:type="dxa"/>
          </w:tcPr>
          <w:p w14:paraId="78DC24E5"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26.6</w:t>
            </w:r>
          </w:p>
        </w:tc>
        <w:tc>
          <w:tcPr>
            <w:tcW w:w="1437" w:type="dxa"/>
          </w:tcPr>
          <w:p w14:paraId="3080640C"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24.1-30.3</w:t>
            </w:r>
          </w:p>
        </w:tc>
        <w:tc>
          <w:tcPr>
            <w:tcW w:w="1437" w:type="dxa"/>
          </w:tcPr>
          <w:p w14:paraId="488AE7C4"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-4478.5</w:t>
            </w:r>
          </w:p>
        </w:tc>
        <w:tc>
          <w:tcPr>
            <w:tcW w:w="1437" w:type="dxa"/>
          </w:tcPr>
          <w:p w14:paraId="13EA2804"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14.3</w:t>
            </w:r>
          </w:p>
        </w:tc>
        <w:tc>
          <w:tcPr>
            <w:tcW w:w="1437" w:type="dxa"/>
          </w:tcPr>
          <w:p w14:paraId="190DE4D1" w14:textId="77777777" w:rsidR="0070755E" w:rsidRPr="007E512D" w:rsidRDefault="0070755E" w:rsidP="00BA0AD2">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-4497.8</w:t>
            </w:r>
          </w:p>
        </w:tc>
      </w:tr>
      <w:tr w:rsidR="0070755E" w:rsidRPr="007E512D" w14:paraId="6112CB3E" w14:textId="77777777" w:rsidTr="00BA0AD2">
        <w:trPr>
          <w:trHeight w:val="179"/>
        </w:trPr>
        <w:tc>
          <w:tcPr>
            <w:cnfStyle w:val="001000000000" w:firstRow="0" w:lastRow="0" w:firstColumn="1" w:lastColumn="0" w:oddVBand="0" w:evenVBand="0" w:oddHBand="0" w:evenHBand="0" w:firstRowFirstColumn="0" w:firstRowLastColumn="0" w:lastRowFirstColumn="0" w:lastRowLastColumn="0"/>
            <w:tcW w:w="1654" w:type="dxa"/>
          </w:tcPr>
          <w:p w14:paraId="0DC62291" w14:textId="77777777" w:rsidR="0070755E" w:rsidRPr="007E512D" w:rsidRDefault="0070755E" w:rsidP="00BA0AD2">
            <w:pPr>
              <w:rPr>
                <w:b w:val="0"/>
                <w:szCs w:val="22"/>
              </w:rPr>
            </w:pPr>
            <w:r w:rsidRPr="007E512D">
              <w:rPr>
                <w:b w:val="0"/>
                <w:szCs w:val="22"/>
              </w:rPr>
              <w:t>0.5</w:t>
            </w:r>
          </w:p>
        </w:tc>
        <w:tc>
          <w:tcPr>
            <w:tcW w:w="1436" w:type="dxa"/>
          </w:tcPr>
          <w:p w14:paraId="0528BF3D"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21.8</w:t>
            </w:r>
          </w:p>
        </w:tc>
        <w:tc>
          <w:tcPr>
            <w:tcW w:w="1437" w:type="dxa"/>
          </w:tcPr>
          <w:p w14:paraId="073D413C"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20.0-24.9</w:t>
            </w:r>
          </w:p>
        </w:tc>
        <w:tc>
          <w:tcPr>
            <w:tcW w:w="1437" w:type="dxa"/>
          </w:tcPr>
          <w:p w14:paraId="53FC4581"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-4478.5</w:t>
            </w:r>
          </w:p>
        </w:tc>
        <w:tc>
          <w:tcPr>
            <w:tcW w:w="1437" w:type="dxa"/>
          </w:tcPr>
          <w:p w14:paraId="1003543C"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11.7</w:t>
            </w:r>
          </w:p>
        </w:tc>
        <w:tc>
          <w:tcPr>
            <w:tcW w:w="1437" w:type="dxa"/>
          </w:tcPr>
          <w:p w14:paraId="6AC34AA0" w14:textId="77777777" w:rsidR="0070755E" w:rsidRPr="007E512D" w:rsidRDefault="0070755E" w:rsidP="00BA0AD2">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-4497.9</w:t>
            </w:r>
          </w:p>
        </w:tc>
      </w:tr>
    </w:tbl>
    <w:p w14:paraId="290BF1AD" w14:textId="77777777" w:rsidR="0070755E" w:rsidRPr="007E512D" w:rsidRDefault="0070755E" w:rsidP="0070755E">
      <w:pPr>
        <w:pStyle w:val="SMcaption"/>
        <w:rPr>
          <w:szCs w:val="22"/>
        </w:rPr>
      </w:pPr>
    </w:p>
    <w:p w14:paraId="2FA4081A" w14:textId="77777777" w:rsidR="0070755E" w:rsidRDefault="0070755E" w:rsidP="00627261">
      <w:pPr>
        <w:pStyle w:val="SMcaption"/>
      </w:pPr>
    </w:p>
    <w:p w14:paraId="78AE7640" w14:textId="77777777" w:rsidR="004436E1" w:rsidRDefault="004436E1">
      <w:pPr>
        <w:rPr>
          <w:rFonts w:eastAsia="Times New Roman" w:cs="Times New Roman"/>
          <w:b/>
          <w:szCs w:val="20"/>
        </w:rPr>
      </w:pPr>
      <w:bookmarkStart w:id="42" w:name="_Toc9936185"/>
      <w:r>
        <w:br w:type="page"/>
      </w:r>
    </w:p>
    <w:p w14:paraId="6388DB5C" w14:textId="6A93750E" w:rsidR="00475064" w:rsidRPr="00627261" w:rsidRDefault="00475064" w:rsidP="00627261">
      <w:pPr>
        <w:pStyle w:val="SMcaption"/>
      </w:pPr>
      <w:r w:rsidRPr="00627261">
        <w:lastRenderedPageBreak/>
        <w:t>Table S</w:t>
      </w:r>
      <w:r w:rsidR="00753C98">
        <w:rPr>
          <w:noProof/>
        </w:rPr>
        <w:fldChar w:fldCharType="begin"/>
      </w:r>
      <w:r w:rsidR="00753C98">
        <w:rPr>
          <w:noProof/>
        </w:rPr>
        <w:instrText xml:space="preserve"> SEQ Table_S \* ARABIC </w:instrText>
      </w:r>
      <w:r w:rsidR="00753C98">
        <w:rPr>
          <w:noProof/>
        </w:rPr>
        <w:fldChar w:fldCharType="separate"/>
      </w:r>
      <w:r w:rsidR="002558FA">
        <w:rPr>
          <w:noProof/>
        </w:rPr>
        <w:t>3</w:t>
      </w:r>
      <w:r w:rsidR="00753C98">
        <w:rPr>
          <w:noProof/>
        </w:rPr>
        <w:fldChar w:fldCharType="end"/>
      </w:r>
      <w:r w:rsidRPr="00627261">
        <w:t>. Comparison of model fits to the post-vaccination data.</w:t>
      </w:r>
      <w:bookmarkEnd w:id="42"/>
    </w:p>
    <w:p w14:paraId="14544838" w14:textId="77777777" w:rsidR="00475064" w:rsidRPr="007E512D" w:rsidRDefault="00475064" w:rsidP="00475064">
      <w:pPr>
        <w:rPr>
          <w:rFonts w:cs="Times New Roman"/>
          <w:szCs w:val="22"/>
        </w:rPr>
      </w:pPr>
    </w:p>
    <w:tbl>
      <w:tblPr>
        <w:tblStyle w:val="ListTable1Light"/>
        <w:tblW w:w="9576" w:type="dxa"/>
        <w:tblLook w:val="04A0" w:firstRow="1" w:lastRow="0" w:firstColumn="1" w:lastColumn="0" w:noHBand="0" w:noVBand="1"/>
      </w:tblPr>
      <w:tblGrid>
        <w:gridCol w:w="1890"/>
        <w:gridCol w:w="1350"/>
        <w:gridCol w:w="3111"/>
        <w:gridCol w:w="1973"/>
        <w:gridCol w:w="1252"/>
      </w:tblGrid>
      <w:tr w:rsidR="00475064" w:rsidRPr="007E512D" w14:paraId="138722F2" w14:textId="77777777" w:rsidTr="00384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tcBorders>
          </w:tcPr>
          <w:p w14:paraId="00634020" w14:textId="77777777" w:rsidR="00475064" w:rsidRPr="009A6E73" w:rsidRDefault="00475064" w:rsidP="00754D9F">
            <w:pPr>
              <w:rPr>
                <w:bCs w:val="0"/>
                <w:szCs w:val="22"/>
              </w:rPr>
            </w:pPr>
            <w:r w:rsidRPr="009A6E73">
              <w:rPr>
                <w:bCs w:val="0"/>
                <w:szCs w:val="22"/>
              </w:rPr>
              <w:t>Model description</w:t>
            </w:r>
          </w:p>
        </w:tc>
        <w:tc>
          <w:tcPr>
            <w:tcW w:w="1350" w:type="dxa"/>
            <w:tcBorders>
              <w:top w:val="single" w:sz="4" w:space="0" w:color="auto"/>
            </w:tcBorders>
          </w:tcPr>
          <w:p w14:paraId="7A9FAC71" w14:textId="77777777" w:rsidR="00475064" w:rsidRPr="009A6E73" w:rsidRDefault="00475064" w:rsidP="00754D9F">
            <w:pPr>
              <w:cnfStyle w:val="100000000000" w:firstRow="1" w:lastRow="0" w:firstColumn="0" w:lastColumn="0" w:oddVBand="0" w:evenVBand="0" w:oddHBand="0" w:evenHBand="0" w:firstRowFirstColumn="0" w:firstRowLastColumn="0" w:lastRowFirstColumn="0" w:lastRowLastColumn="0"/>
              <w:rPr>
                <w:bCs w:val="0"/>
                <w:szCs w:val="22"/>
              </w:rPr>
            </w:pPr>
            <w:r w:rsidRPr="009A6E73">
              <w:rPr>
                <w:bCs w:val="0"/>
                <w:szCs w:val="22"/>
              </w:rPr>
              <w:t>Number of estimated parameters</w:t>
            </w:r>
          </w:p>
        </w:tc>
        <w:tc>
          <w:tcPr>
            <w:tcW w:w="3111" w:type="dxa"/>
            <w:tcBorders>
              <w:top w:val="single" w:sz="4" w:space="0" w:color="auto"/>
            </w:tcBorders>
          </w:tcPr>
          <w:p w14:paraId="5AA75A52" w14:textId="77777777" w:rsidR="00475064" w:rsidRPr="009A6E73" w:rsidRDefault="00475064" w:rsidP="00754D9F">
            <w:pPr>
              <w:cnfStyle w:val="100000000000" w:firstRow="1" w:lastRow="0" w:firstColumn="0" w:lastColumn="0" w:oddVBand="0" w:evenVBand="0" w:oddHBand="0" w:evenHBand="0" w:firstRowFirstColumn="0" w:firstRowLastColumn="0" w:lastRowFirstColumn="0" w:lastRowLastColumn="0"/>
              <w:rPr>
                <w:bCs w:val="0"/>
                <w:szCs w:val="22"/>
              </w:rPr>
            </w:pPr>
            <w:r w:rsidRPr="009A6E73">
              <w:rPr>
                <w:bCs w:val="0"/>
                <w:szCs w:val="22"/>
              </w:rPr>
              <w:t>Maximum a posteriori estimate (95% credible interval)</w:t>
            </w:r>
          </w:p>
        </w:tc>
        <w:tc>
          <w:tcPr>
            <w:tcW w:w="1973" w:type="dxa"/>
            <w:tcBorders>
              <w:top w:val="single" w:sz="4" w:space="0" w:color="auto"/>
            </w:tcBorders>
          </w:tcPr>
          <w:p w14:paraId="6140D9F9" w14:textId="77777777" w:rsidR="00475064" w:rsidRPr="009A6E73" w:rsidRDefault="00475064" w:rsidP="00754D9F">
            <w:pPr>
              <w:cnfStyle w:val="100000000000" w:firstRow="1" w:lastRow="0" w:firstColumn="0" w:lastColumn="0" w:oddVBand="0" w:evenVBand="0" w:oddHBand="0" w:evenHBand="0" w:firstRowFirstColumn="0" w:firstRowLastColumn="0" w:lastRowFirstColumn="0" w:lastRowLastColumn="0"/>
              <w:rPr>
                <w:bCs w:val="0"/>
                <w:szCs w:val="22"/>
              </w:rPr>
            </w:pPr>
            <w:r w:rsidRPr="009A6E73">
              <w:rPr>
                <w:bCs w:val="0"/>
                <w:szCs w:val="22"/>
              </w:rPr>
              <w:t>Log-likelihood</w:t>
            </w:r>
          </w:p>
        </w:tc>
        <w:tc>
          <w:tcPr>
            <w:tcW w:w="1252" w:type="dxa"/>
            <w:tcBorders>
              <w:top w:val="single" w:sz="4" w:space="0" w:color="auto"/>
            </w:tcBorders>
          </w:tcPr>
          <w:p w14:paraId="0FF70BAA" w14:textId="77777777" w:rsidR="00475064" w:rsidRPr="009A6E73" w:rsidRDefault="00475064" w:rsidP="00754D9F">
            <w:pPr>
              <w:cnfStyle w:val="100000000000" w:firstRow="1" w:lastRow="0" w:firstColumn="0" w:lastColumn="0" w:oddVBand="0" w:evenVBand="0" w:oddHBand="0" w:evenHBand="0" w:firstRowFirstColumn="0" w:firstRowLastColumn="0" w:lastRowFirstColumn="0" w:lastRowLastColumn="0"/>
              <w:rPr>
                <w:bCs w:val="0"/>
                <w:szCs w:val="22"/>
              </w:rPr>
            </w:pPr>
            <w:r w:rsidRPr="009A6E73">
              <w:rPr>
                <w:bCs w:val="0"/>
                <w:szCs w:val="22"/>
              </w:rPr>
              <w:t>BIC*</w:t>
            </w:r>
          </w:p>
        </w:tc>
      </w:tr>
      <w:tr w:rsidR="00475064" w:rsidRPr="007E512D" w14:paraId="775BF9E6"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2545B81" w14:textId="77777777" w:rsidR="00475064" w:rsidRPr="007E512D" w:rsidRDefault="00475064" w:rsidP="00754D9F">
            <w:pPr>
              <w:rPr>
                <w:b w:val="0"/>
                <w:bCs w:val="0"/>
                <w:szCs w:val="22"/>
              </w:rPr>
            </w:pPr>
            <w:r w:rsidRPr="007E512D">
              <w:rPr>
                <w:b w:val="0"/>
                <w:bCs w:val="0"/>
                <w:szCs w:val="22"/>
              </w:rPr>
              <w:t>Model 1</w:t>
            </w:r>
          </w:p>
        </w:tc>
        <w:tc>
          <w:tcPr>
            <w:tcW w:w="1350" w:type="dxa"/>
          </w:tcPr>
          <w:p w14:paraId="3947498B" w14:textId="77777777" w:rsidR="00475064" w:rsidRPr="007E512D" w:rsidRDefault="00475064" w:rsidP="00754D9F">
            <w:pPr>
              <w:jc w:val="cente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0</w:t>
            </w:r>
          </w:p>
        </w:tc>
        <w:tc>
          <w:tcPr>
            <w:tcW w:w="3111" w:type="dxa"/>
          </w:tcPr>
          <w:p w14:paraId="7EDD1FA0"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i/>
                <w:szCs w:val="22"/>
              </w:rPr>
              <w:t>s</w:t>
            </w:r>
            <w:r w:rsidRPr="007E512D">
              <w:rPr>
                <w:szCs w:val="22"/>
                <w:vertAlign w:val="subscript"/>
              </w:rPr>
              <w:t>1</w:t>
            </w:r>
            <w:r w:rsidRPr="007E512D">
              <w:rPr>
                <w:szCs w:val="22"/>
              </w:rPr>
              <w:t xml:space="preserve"> = 0.687 (0.528-0.825)</w:t>
            </w:r>
            <w:r w:rsidRPr="007E512D">
              <w:rPr>
                <w:szCs w:val="22"/>
                <w:vertAlign w:val="superscript"/>
              </w:rPr>
              <w:t>†</w:t>
            </w:r>
          </w:p>
          <w:p w14:paraId="04133DEE"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i/>
                <w:szCs w:val="22"/>
              </w:rPr>
              <w:t>s</w:t>
            </w:r>
            <w:r w:rsidRPr="007E512D">
              <w:rPr>
                <w:szCs w:val="22"/>
                <w:vertAlign w:val="subscript"/>
              </w:rPr>
              <w:t>2</w:t>
            </w:r>
            <w:r w:rsidRPr="007E512D">
              <w:rPr>
                <w:szCs w:val="22"/>
              </w:rPr>
              <w:t xml:space="preserve"> = 0.687 (0.528-0.825)</w:t>
            </w:r>
            <w:r w:rsidRPr="007E512D">
              <w:rPr>
                <w:szCs w:val="22"/>
                <w:vertAlign w:val="superscript"/>
              </w:rPr>
              <w:t>†</w:t>
            </w:r>
          </w:p>
        </w:tc>
        <w:tc>
          <w:tcPr>
            <w:tcW w:w="1973" w:type="dxa"/>
          </w:tcPr>
          <w:p w14:paraId="713B903A"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-1417.4</w:t>
            </w:r>
          </w:p>
        </w:tc>
        <w:tc>
          <w:tcPr>
            <w:tcW w:w="1252" w:type="dxa"/>
          </w:tcPr>
          <w:p w14:paraId="1518E6D3"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2,835</w:t>
            </w:r>
          </w:p>
        </w:tc>
      </w:tr>
      <w:tr w:rsidR="00475064" w:rsidRPr="007E512D" w14:paraId="4C9F029F" w14:textId="77777777" w:rsidTr="00754D9F">
        <w:tc>
          <w:tcPr>
            <w:cnfStyle w:val="001000000000" w:firstRow="0" w:lastRow="0" w:firstColumn="1" w:lastColumn="0" w:oddVBand="0" w:evenVBand="0" w:oddHBand="0" w:evenHBand="0" w:firstRowFirstColumn="0" w:firstRowLastColumn="0" w:lastRowFirstColumn="0" w:lastRowLastColumn="0"/>
            <w:tcW w:w="1890" w:type="dxa"/>
          </w:tcPr>
          <w:p w14:paraId="1E8EF72D" w14:textId="77777777" w:rsidR="00475064" w:rsidRPr="007E512D" w:rsidRDefault="00475064" w:rsidP="00754D9F">
            <w:pPr>
              <w:rPr>
                <w:b w:val="0"/>
                <w:bCs w:val="0"/>
                <w:szCs w:val="22"/>
              </w:rPr>
            </w:pPr>
            <w:r w:rsidRPr="007E512D">
              <w:rPr>
                <w:b w:val="0"/>
                <w:bCs w:val="0"/>
                <w:szCs w:val="22"/>
              </w:rPr>
              <w:t>Model 2</w:t>
            </w:r>
          </w:p>
        </w:tc>
        <w:tc>
          <w:tcPr>
            <w:tcW w:w="1350" w:type="dxa"/>
          </w:tcPr>
          <w:p w14:paraId="6DAD2E52" w14:textId="77777777" w:rsidR="00475064" w:rsidRPr="007E512D" w:rsidRDefault="00475064" w:rsidP="00754D9F">
            <w:pPr>
              <w:jc w:val="cente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0</w:t>
            </w:r>
          </w:p>
        </w:tc>
        <w:tc>
          <w:tcPr>
            <w:tcW w:w="3111" w:type="dxa"/>
          </w:tcPr>
          <w:p w14:paraId="27D6E9BD"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i/>
                <w:szCs w:val="22"/>
              </w:rPr>
              <w:t>s</w:t>
            </w:r>
            <w:r w:rsidRPr="007E512D">
              <w:rPr>
                <w:szCs w:val="22"/>
                <w:vertAlign w:val="subscript"/>
              </w:rPr>
              <w:t>1</w:t>
            </w:r>
            <w:r w:rsidRPr="007E512D">
              <w:rPr>
                <w:szCs w:val="22"/>
              </w:rPr>
              <w:t xml:space="preserve"> = 0.527 (0.366-0.686)</w:t>
            </w:r>
            <w:r w:rsidRPr="007E512D">
              <w:rPr>
                <w:szCs w:val="22"/>
                <w:vertAlign w:val="superscript"/>
              </w:rPr>
              <w:t>†</w:t>
            </w:r>
          </w:p>
          <w:p w14:paraId="7AD1CB80"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i/>
                <w:szCs w:val="22"/>
              </w:rPr>
              <w:t>s</w:t>
            </w:r>
            <w:r w:rsidRPr="007E512D">
              <w:rPr>
                <w:szCs w:val="22"/>
                <w:vertAlign w:val="subscript"/>
              </w:rPr>
              <w:t>2</w:t>
            </w:r>
            <w:r w:rsidRPr="007E512D">
              <w:rPr>
                <w:szCs w:val="22"/>
              </w:rPr>
              <w:t xml:space="preserve"> = 0.895 (0.777-0.971)</w:t>
            </w:r>
            <w:r w:rsidRPr="007E512D">
              <w:rPr>
                <w:szCs w:val="22"/>
                <w:vertAlign w:val="superscript"/>
              </w:rPr>
              <w:t>†</w:t>
            </w:r>
          </w:p>
        </w:tc>
        <w:tc>
          <w:tcPr>
            <w:tcW w:w="1973" w:type="dxa"/>
          </w:tcPr>
          <w:p w14:paraId="5D78F784"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-1223.3</w:t>
            </w:r>
          </w:p>
        </w:tc>
        <w:tc>
          <w:tcPr>
            <w:tcW w:w="1252" w:type="dxa"/>
          </w:tcPr>
          <w:p w14:paraId="04BC7346"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2,447</w:t>
            </w:r>
          </w:p>
        </w:tc>
      </w:tr>
      <w:tr w:rsidR="00475064" w:rsidRPr="007E512D" w14:paraId="295DA1CA" w14:textId="77777777" w:rsidTr="00754D9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890" w:type="dxa"/>
          </w:tcPr>
          <w:p w14:paraId="0B345E77" w14:textId="77777777" w:rsidR="00475064" w:rsidRPr="007E512D" w:rsidRDefault="00475064" w:rsidP="00754D9F">
            <w:pPr>
              <w:rPr>
                <w:b w:val="0"/>
                <w:bCs w:val="0"/>
                <w:szCs w:val="22"/>
              </w:rPr>
            </w:pPr>
            <w:r w:rsidRPr="007E512D">
              <w:rPr>
                <w:b w:val="0"/>
                <w:bCs w:val="0"/>
                <w:szCs w:val="22"/>
              </w:rPr>
              <w:t>Model 3</w:t>
            </w:r>
          </w:p>
        </w:tc>
        <w:tc>
          <w:tcPr>
            <w:tcW w:w="1350" w:type="dxa"/>
          </w:tcPr>
          <w:p w14:paraId="7318A064" w14:textId="77777777" w:rsidR="00475064" w:rsidRPr="007E512D" w:rsidRDefault="00475064" w:rsidP="00754D9F">
            <w:pPr>
              <w:jc w:val="cente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3</w:t>
            </w:r>
          </w:p>
        </w:tc>
        <w:tc>
          <w:tcPr>
            <w:tcW w:w="3111" w:type="dxa"/>
          </w:tcPr>
          <w:p w14:paraId="12CE2021"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i/>
                <w:szCs w:val="22"/>
              </w:rPr>
              <w:t>s</w:t>
            </w:r>
            <w:r w:rsidRPr="007E512D">
              <w:rPr>
                <w:szCs w:val="22"/>
                <w:vertAlign w:val="subscript"/>
              </w:rPr>
              <w:t>1</w:t>
            </w:r>
            <w:r w:rsidRPr="007E512D">
              <w:rPr>
                <w:szCs w:val="22"/>
              </w:rPr>
              <w:t xml:space="preserve"> = 0.607 (0.471-0.750)</w:t>
            </w:r>
          </w:p>
          <w:p w14:paraId="08B358F3"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i/>
                <w:szCs w:val="22"/>
              </w:rPr>
              <w:t>s</w:t>
            </w:r>
            <w:r w:rsidRPr="007E512D">
              <w:rPr>
                <w:szCs w:val="22"/>
                <w:vertAlign w:val="subscript"/>
              </w:rPr>
              <w:t>2</w:t>
            </w:r>
            <w:r w:rsidRPr="007E512D">
              <w:rPr>
                <w:szCs w:val="22"/>
              </w:rPr>
              <w:t xml:space="preserve"> = 0.633 (0.467-0.751)</w:t>
            </w:r>
          </w:p>
          <w:p w14:paraId="63681647"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1/</w:t>
            </w:r>
            <w:r w:rsidRPr="007E512D">
              <w:rPr>
                <w:i/>
                <w:szCs w:val="22"/>
              </w:rPr>
              <w:sym w:font="Symbol" w:char="F077"/>
            </w:r>
            <w:r w:rsidRPr="007E512D">
              <w:rPr>
                <w:i/>
                <w:szCs w:val="22"/>
                <w:vertAlign w:val="subscript"/>
              </w:rPr>
              <w:t>V</w:t>
            </w:r>
            <w:r w:rsidRPr="007E512D">
              <w:rPr>
                <w:szCs w:val="22"/>
              </w:rPr>
              <w:t xml:space="preserve"> = 0.619 (0.526-0.794) yrs</w:t>
            </w:r>
          </w:p>
        </w:tc>
        <w:tc>
          <w:tcPr>
            <w:tcW w:w="1973" w:type="dxa"/>
          </w:tcPr>
          <w:p w14:paraId="2B2B7DE2"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-1150.1</w:t>
            </w:r>
          </w:p>
        </w:tc>
        <w:tc>
          <w:tcPr>
            <w:tcW w:w="1252" w:type="dxa"/>
          </w:tcPr>
          <w:p w14:paraId="3E8903A5"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2,323</w:t>
            </w:r>
          </w:p>
        </w:tc>
      </w:tr>
      <w:tr w:rsidR="00475064" w:rsidRPr="007E512D" w14:paraId="02950840" w14:textId="77777777" w:rsidTr="00754D9F">
        <w:tc>
          <w:tcPr>
            <w:cnfStyle w:val="001000000000" w:firstRow="0" w:lastRow="0" w:firstColumn="1" w:lastColumn="0" w:oddVBand="0" w:evenVBand="0" w:oddHBand="0" w:evenHBand="0" w:firstRowFirstColumn="0" w:firstRowLastColumn="0" w:lastRowFirstColumn="0" w:lastRowLastColumn="0"/>
            <w:tcW w:w="1890" w:type="dxa"/>
          </w:tcPr>
          <w:p w14:paraId="08149BDA" w14:textId="77777777" w:rsidR="00475064" w:rsidRPr="007E512D" w:rsidRDefault="00475064" w:rsidP="00754D9F">
            <w:pPr>
              <w:rPr>
                <w:b w:val="0"/>
                <w:bCs w:val="0"/>
                <w:szCs w:val="22"/>
              </w:rPr>
            </w:pPr>
            <w:r w:rsidRPr="007E512D">
              <w:rPr>
                <w:b w:val="0"/>
                <w:bCs w:val="0"/>
                <w:szCs w:val="22"/>
              </w:rPr>
              <w:t>Model 4</w:t>
            </w:r>
          </w:p>
        </w:tc>
        <w:tc>
          <w:tcPr>
            <w:tcW w:w="1350" w:type="dxa"/>
          </w:tcPr>
          <w:p w14:paraId="19ABA907" w14:textId="77777777" w:rsidR="00475064" w:rsidRPr="007E512D" w:rsidRDefault="00475064" w:rsidP="00754D9F">
            <w:pPr>
              <w:jc w:val="cente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3</w:t>
            </w:r>
          </w:p>
        </w:tc>
        <w:tc>
          <w:tcPr>
            <w:tcW w:w="3111" w:type="dxa"/>
          </w:tcPr>
          <w:p w14:paraId="6980392C"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i/>
                <w:szCs w:val="22"/>
              </w:rPr>
              <w:t>s</w:t>
            </w:r>
            <w:r w:rsidRPr="007E512D">
              <w:rPr>
                <w:szCs w:val="22"/>
                <w:vertAlign w:val="subscript"/>
              </w:rPr>
              <w:t>1</w:t>
            </w:r>
            <w:r w:rsidRPr="007E512D">
              <w:rPr>
                <w:szCs w:val="22"/>
              </w:rPr>
              <w:t xml:space="preserve"> = 0.496 (0.375-0.605)</w:t>
            </w:r>
          </w:p>
          <w:p w14:paraId="771E3FB2"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i/>
                <w:szCs w:val="22"/>
              </w:rPr>
              <w:t>s</w:t>
            </w:r>
            <w:r w:rsidRPr="007E512D">
              <w:rPr>
                <w:szCs w:val="22"/>
                <w:vertAlign w:val="subscript"/>
              </w:rPr>
              <w:t>2</w:t>
            </w:r>
            <w:r w:rsidRPr="007E512D">
              <w:rPr>
                <w:szCs w:val="22"/>
              </w:rPr>
              <w:t xml:space="preserve"> = 0.788 (0.655-0.913)</w:t>
            </w:r>
          </w:p>
          <w:p w14:paraId="5E7E9363"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1/</w:t>
            </w:r>
            <w:r w:rsidRPr="007E512D">
              <w:rPr>
                <w:i/>
                <w:szCs w:val="22"/>
              </w:rPr>
              <w:sym w:font="Symbol" w:char="F077"/>
            </w:r>
            <w:r w:rsidRPr="007E512D">
              <w:rPr>
                <w:i/>
                <w:szCs w:val="22"/>
                <w:vertAlign w:val="subscript"/>
              </w:rPr>
              <w:t>V</w:t>
            </w:r>
            <w:r w:rsidRPr="007E512D">
              <w:rPr>
                <w:szCs w:val="22"/>
              </w:rPr>
              <w:t xml:space="preserve"> = 0.868 (0.617-1.64) yrs</w:t>
            </w:r>
          </w:p>
        </w:tc>
        <w:tc>
          <w:tcPr>
            <w:tcW w:w="1973" w:type="dxa"/>
          </w:tcPr>
          <w:p w14:paraId="38E92364"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-1154.5</w:t>
            </w:r>
          </w:p>
        </w:tc>
        <w:tc>
          <w:tcPr>
            <w:tcW w:w="1252" w:type="dxa"/>
          </w:tcPr>
          <w:p w14:paraId="62FF98C7"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2,331</w:t>
            </w:r>
          </w:p>
        </w:tc>
      </w:tr>
      <w:tr w:rsidR="00475064" w:rsidRPr="007E512D" w14:paraId="4BF33D69" w14:textId="77777777" w:rsidTr="00384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A6A3FB1" w14:textId="77777777" w:rsidR="00475064" w:rsidRPr="007E512D" w:rsidRDefault="00475064" w:rsidP="00754D9F">
            <w:pPr>
              <w:rPr>
                <w:b w:val="0"/>
                <w:bCs w:val="0"/>
                <w:szCs w:val="22"/>
              </w:rPr>
            </w:pPr>
            <w:r w:rsidRPr="007E512D">
              <w:rPr>
                <w:b w:val="0"/>
                <w:bCs w:val="0"/>
                <w:szCs w:val="22"/>
              </w:rPr>
              <w:t>Model 1 (fitted)</w:t>
            </w:r>
          </w:p>
        </w:tc>
        <w:tc>
          <w:tcPr>
            <w:tcW w:w="1350" w:type="dxa"/>
          </w:tcPr>
          <w:p w14:paraId="491A24DF" w14:textId="77777777" w:rsidR="00475064" w:rsidRPr="007E512D" w:rsidRDefault="00475064" w:rsidP="00754D9F">
            <w:pPr>
              <w:jc w:val="cente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2</w:t>
            </w:r>
          </w:p>
        </w:tc>
        <w:tc>
          <w:tcPr>
            <w:tcW w:w="3111" w:type="dxa"/>
          </w:tcPr>
          <w:p w14:paraId="0B055901"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i/>
                <w:szCs w:val="22"/>
              </w:rPr>
              <w:t>s</w:t>
            </w:r>
            <w:r w:rsidRPr="007E512D">
              <w:rPr>
                <w:szCs w:val="22"/>
                <w:vertAlign w:val="subscript"/>
              </w:rPr>
              <w:t>1</w:t>
            </w:r>
            <w:r w:rsidRPr="007E512D">
              <w:rPr>
                <w:szCs w:val="22"/>
              </w:rPr>
              <w:t xml:space="preserve"> = 0.260 (0.191-0.335)</w:t>
            </w:r>
          </w:p>
          <w:p w14:paraId="6734349B"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i/>
                <w:szCs w:val="22"/>
              </w:rPr>
            </w:pPr>
            <w:r w:rsidRPr="007E512D">
              <w:rPr>
                <w:i/>
                <w:szCs w:val="22"/>
              </w:rPr>
              <w:t>s</w:t>
            </w:r>
            <w:r w:rsidRPr="007E512D">
              <w:rPr>
                <w:szCs w:val="22"/>
                <w:vertAlign w:val="subscript"/>
              </w:rPr>
              <w:t>2</w:t>
            </w:r>
            <w:r w:rsidRPr="007E512D">
              <w:rPr>
                <w:szCs w:val="22"/>
              </w:rPr>
              <w:t xml:space="preserve"> = 0.316 (0.228-0.395)</w:t>
            </w:r>
          </w:p>
        </w:tc>
        <w:tc>
          <w:tcPr>
            <w:tcW w:w="1973" w:type="dxa"/>
          </w:tcPr>
          <w:p w14:paraId="58D315D1"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-1213.4</w:t>
            </w:r>
          </w:p>
        </w:tc>
        <w:tc>
          <w:tcPr>
            <w:tcW w:w="1252" w:type="dxa"/>
          </w:tcPr>
          <w:p w14:paraId="34F8E844"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szCs w:val="22"/>
              </w:rPr>
            </w:pPr>
            <w:r w:rsidRPr="007E512D">
              <w:rPr>
                <w:szCs w:val="22"/>
              </w:rPr>
              <w:t>2,442</w:t>
            </w:r>
          </w:p>
        </w:tc>
      </w:tr>
      <w:tr w:rsidR="00475064" w:rsidRPr="007E512D" w14:paraId="0B32FBE8" w14:textId="77777777" w:rsidTr="00384A64">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tcPr>
          <w:p w14:paraId="4D87D4A3" w14:textId="77777777" w:rsidR="00475064" w:rsidRPr="007E512D" w:rsidRDefault="00475064" w:rsidP="00754D9F">
            <w:pPr>
              <w:rPr>
                <w:b w:val="0"/>
                <w:bCs w:val="0"/>
                <w:szCs w:val="22"/>
              </w:rPr>
            </w:pPr>
            <w:r w:rsidRPr="007E512D">
              <w:rPr>
                <w:b w:val="0"/>
                <w:bCs w:val="0"/>
                <w:szCs w:val="22"/>
              </w:rPr>
              <w:t>Model 2 (fitted)</w:t>
            </w:r>
          </w:p>
        </w:tc>
        <w:tc>
          <w:tcPr>
            <w:tcW w:w="1350" w:type="dxa"/>
            <w:tcBorders>
              <w:bottom w:val="single" w:sz="4" w:space="0" w:color="auto"/>
            </w:tcBorders>
          </w:tcPr>
          <w:p w14:paraId="6EF555D7" w14:textId="77777777" w:rsidR="00475064" w:rsidRPr="007E512D" w:rsidRDefault="00475064" w:rsidP="00754D9F">
            <w:pPr>
              <w:jc w:val="cente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2</w:t>
            </w:r>
          </w:p>
        </w:tc>
        <w:tc>
          <w:tcPr>
            <w:tcW w:w="3111" w:type="dxa"/>
            <w:tcBorders>
              <w:bottom w:val="single" w:sz="4" w:space="0" w:color="auto"/>
            </w:tcBorders>
          </w:tcPr>
          <w:p w14:paraId="54EB1722"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i/>
                <w:szCs w:val="22"/>
              </w:rPr>
              <w:t>s</w:t>
            </w:r>
            <w:r w:rsidRPr="007E512D">
              <w:rPr>
                <w:szCs w:val="22"/>
                <w:vertAlign w:val="subscript"/>
              </w:rPr>
              <w:t>1</w:t>
            </w:r>
            <w:r w:rsidRPr="007E512D">
              <w:rPr>
                <w:szCs w:val="22"/>
              </w:rPr>
              <w:t xml:space="preserve"> = 0.303 (0.238-0.356)</w:t>
            </w:r>
          </w:p>
          <w:p w14:paraId="59E36145"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i/>
                <w:szCs w:val="22"/>
              </w:rPr>
            </w:pPr>
            <w:r w:rsidRPr="007E512D">
              <w:rPr>
                <w:i/>
                <w:szCs w:val="22"/>
              </w:rPr>
              <w:t>s</w:t>
            </w:r>
            <w:r w:rsidRPr="007E512D">
              <w:rPr>
                <w:szCs w:val="22"/>
                <w:vertAlign w:val="subscript"/>
              </w:rPr>
              <w:t>2</w:t>
            </w:r>
            <w:r w:rsidRPr="007E512D">
              <w:rPr>
                <w:szCs w:val="22"/>
              </w:rPr>
              <w:t xml:space="preserve"> = 0.932 (0.816-0.976)</w:t>
            </w:r>
          </w:p>
        </w:tc>
        <w:tc>
          <w:tcPr>
            <w:tcW w:w="1973" w:type="dxa"/>
            <w:tcBorders>
              <w:bottom w:val="single" w:sz="4" w:space="0" w:color="auto"/>
            </w:tcBorders>
          </w:tcPr>
          <w:p w14:paraId="03177FD1"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-1185.3</w:t>
            </w:r>
          </w:p>
        </w:tc>
        <w:tc>
          <w:tcPr>
            <w:tcW w:w="1252" w:type="dxa"/>
            <w:tcBorders>
              <w:bottom w:val="single" w:sz="4" w:space="0" w:color="auto"/>
            </w:tcBorders>
          </w:tcPr>
          <w:p w14:paraId="378F300C"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rPr>
                <w:szCs w:val="22"/>
              </w:rPr>
            </w:pPr>
            <w:r w:rsidRPr="007E512D">
              <w:rPr>
                <w:szCs w:val="22"/>
              </w:rPr>
              <w:t>2,386</w:t>
            </w:r>
          </w:p>
        </w:tc>
      </w:tr>
    </w:tbl>
    <w:p w14:paraId="3DF69899" w14:textId="77777777" w:rsidR="00475064" w:rsidRPr="007E512D" w:rsidRDefault="00475064" w:rsidP="00475064">
      <w:pPr>
        <w:rPr>
          <w:rFonts w:cs="Times New Roman"/>
          <w:sz w:val="21"/>
        </w:rPr>
      </w:pPr>
      <w:r w:rsidRPr="007E512D">
        <w:rPr>
          <w:rFonts w:cs="Times New Roman"/>
          <w:sz w:val="21"/>
        </w:rPr>
        <w:t>*The number of observations (</w:t>
      </w:r>
      <w:r w:rsidRPr="007E512D">
        <w:rPr>
          <w:rFonts w:cs="Times New Roman"/>
          <w:i/>
          <w:sz w:val="21"/>
        </w:rPr>
        <w:t>n</w:t>
      </w:r>
      <w:r w:rsidRPr="007E512D">
        <w:rPr>
          <w:rFonts w:cs="Times New Roman"/>
          <w:sz w:val="21"/>
        </w:rPr>
        <w:t>) is 295 weeks x 3 age groups x 2 vaccine groups (vaccinated and unvaccinated) = 1770 data points.</w:t>
      </w:r>
    </w:p>
    <w:p w14:paraId="75D6DB47" w14:textId="7D72136F" w:rsidR="003C36F6" w:rsidRDefault="00475064" w:rsidP="00475064">
      <w:pPr>
        <w:rPr>
          <w:rFonts w:cs="Times New Roman"/>
          <w:sz w:val="21"/>
        </w:rPr>
      </w:pPr>
      <w:r w:rsidRPr="007E512D">
        <w:rPr>
          <w:rFonts w:cs="Times New Roman"/>
          <w:sz w:val="21"/>
          <w:vertAlign w:val="superscript"/>
        </w:rPr>
        <w:t>†</w:t>
      </w:r>
      <w:r w:rsidRPr="007E512D">
        <w:rPr>
          <w:rFonts w:cs="Times New Roman"/>
          <w:sz w:val="21"/>
        </w:rPr>
        <w:t>Mean and 95% confidence interval of seroconversion probabilities estimated from the vaccine trial immunogenicity data are given.</w:t>
      </w:r>
    </w:p>
    <w:p w14:paraId="5FFF9452" w14:textId="77777777" w:rsidR="00475064" w:rsidRDefault="00475064" w:rsidP="00475064">
      <w:pPr>
        <w:pStyle w:val="SMcaption"/>
        <w:rPr>
          <w:b w:val="0"/>
        </w:rPr>
      </w:pPr>
    </w:p>
    <w:p w14:paraId="2CC661E0" w14:textId="77777777" w:rsidR="00475064" w:rsidRDefault="00475064" w:rsidP="00475064">
      <w:pPr>
        <w:pStyle w:val="SMcaption"/>
        <w:rPr>
          <w:b w:val="0"/>
        </w:rPr>
      </w:pPr>
    </w:p>
    <w:p w14:paraId="3BBD1211" w14:textId="641C4FD3" w:rsidR="00475064" w:rsidRPr="00627261" w:rsidRDefault="00EA2285" w:rsidP="00627261">
      <w:pPr>
        <w:pStyle w:val="SMcaption"/>
      </w:pPr>
      <w:r>
        <w:br w:type="column"/>
      </w:r>
      <w:bookmarkStart w:id="43" w:name="_Toc9936186"/>
      <w:r w:rsidR="00475064" w:rsidRPr="00627261">
        <w:lastRenderedPageBreak/>
        <w:t>Table S</w:t>
      </w:r>
      <w:r w:rsidR="00753C98">
        <w:rPr>
          <w:noProof/>
        </w:rPr>
        <w:fldChar w:fldCharType="begin"/>
      </w:r>
      <w:r w:rsidR="00753C98">
        <w:rPr>
          <w:noProof/>
        </w:rPr>
        <w:instrText xml:space="preserve"> SEQ Table_S \* ARABIC </w:instrText>
      </w:r>
      <w:r w:rsidR="00753C98">
        <w:rPr>
          <w:noProof/>
        </w:rPr>
        <w:fldChar w:fldCharType="separate"/>
      </w:r>
      <w:r w:rsidR="002558FA">
        <w:rPr>
          <w:noProof/>
        </w:rPr>
        <w:t>4</w:t>
      </w:r>
      <w:r w:rsidR="00753C98">
        <w:rPr>
          <w:noProof/>
        </w:rPr>
        <w:fldChar w:fldCharType="end"/>
      </w:r>
      <w:r w:rsidR="00475064" w:rsidRPr="00627261">
        <w:t xml:space="preserve">. Model-predicted indirect </w:t>
      </w:r>
      <w:r w:rsidR="00404ED9">
        <w:t xml:space="preserve">vaccine </w:t>
      </w:r>
      <w:r w:rsidR="00475064" w:rsidRPr="00627261">
        <w:t>effectiveness.</w:t>
      </w:r>
      <w:bookmarkEnd w:id="43"/>
    </w:p>
    <w:p w14:paraId="5F6AF3D6" w14:textId="77777777" w:rsidR="00475064" w:rsidRPr="007E512D" w:rsidRDefault="00475064" w:rsidP="00475064">
      <w:pPr>
        <w:tabs>
          <w:tab w:val="left" w:pos="3171"/>
        </w:tabs>
        <w:rPr>
          <w:rFonts w:cs="Times New Roman"/>
          <w:b/>
          <w:sz w:val="21"/>
        </w:rPr>
      </w:pPr>
    </w:p>
    <w:tbl>
      <w:tblPr>
        <w:tblStyle w:val="ListTable1Light"/>
        <w:tblW w:w="0" w:type="auto"/>
        <w:tblLook w:val="04A0" w:firstRow="1" w:lastRow="0" w:firstColumn="1" w:lastColumn="0" w:noHBand="0" w:noVBand="1"/>
      </w:tblPr>
      <w:tblGrid>
        <w:gridCol w:w="876"/>
        <w:gridCol w:w="1468"/>
        <w:gridCol w:w="1469"/>
        <w:gridCol w:w="1468"/>
        <w:gridCol w:w="1469"/>
      </w:tblGrid>
      <w:tr w:rsidR="00475064" w:rsidRPr="007E512D" w14:paraId="6A470604" w14:textId="77777777" w:rsidTr="00384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tcBorders>
          </w:tcPr>
          <w:p w14:paraId="25193488" w14:textId="77777777" w:rsidR="00475064" w:rsidRPr="007E512D" w:rsidRDefault="00475064" w:rsidP="00754D9F"/>
        </w:tc>
        <w:tc>
          <w:tcPr>
            <w:tcW w:w="5874" w:type="dxa"/>
            <w:gridSpan w:val="4"/>
            <w:tcBorders>
              <w:top w:val="single" w:sz="4" w:space="0" w:color="auto"/>
            </w:tcBorders>
          </w:tcPr>
          <w:p w14:paraId="53010C70" w14:textId="77777777" w:rsidR="00475064" w:rsidRPr="007E512D" w:rsidRDefault="00475064" w:rsidP="00754D9F">
            <w:pPr>
              <w:jc w:val="center"/>
              <w:cnfStyle w:val="100000000000" w:firstRow="1" w:lastRow="0" w:firstColumn="0" w:lastColumn="0" w:oddVBand="0" w:evenVBand="0" w:oddHBand="0" w:evenHBand="0" w:firstRowFirstColumn="0" w:firstRowLastColumn="0" w:lastRowFirstColumn="0" w:lastRowLastColumn="0"/>
            </w:pPr>
            <w:r w:rsidRPr="007E512D">
              <w:t>Predicted (95% prediction interval)</w:t>
            </w:r>
          </w:p>
        </w:tc>
      </w:tr>
      <w:tr w:rsidR="00475064" w:rsidRPr="007E512D" w14:paraId="4BDEEA06"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dxa"/>
          </w:tcPr>
          <w:p w14:paraId="41BEC5C8" w14:textId="77777777" w:rsidR="00475064" w:rsidRPr="007E512D" w:rsidRDefault="00475064" w:rsidP="00754D9F">
            <w:r w:rsidRPr="007E512D">
              <w:t>Age group</w:t>
            </w:r>
          </w:p>
        </w:tc>
        <w:tc>
          <w:tcPr>
            <w:tcW w:w="1468" w:type="dxa"/>
          </w:tcPr>
          <w:p w14:paraId="4EB66CF0"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b/>
                <w:i/>
              </w:rPr>
            </w:pPr>
            <w:r w:rsidRPr="007E512D">
              <w:rPr>
                <w:b/>
                <w:i/>
              </w:rPr>
              <w:t>Model 1</w:t>
            </w:r>
          </w:p>
          <w:p w14:paraId="477E0083"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i/>
              </w:rPr>
            </w:pPr>
          </w:p>
        </w:tc>
        <w:tc>
          <w:tcPr>
            <w:tcW w:w="1469" w:type="dxa"/>
          </w:tcPr>
          <w:p w14:paraId="47E68CD0"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b/>
                <w:i/>
              </w:rPr>
            </w:pPr>
            <w:r w:rsidRPr="007E512D">
              <w:rPr>
                <w:b/>
                <w:i/>
              </w:rPr>
              <w:t>Model 2</w:t>
            </w:r>
          </w:p>
          <w:p w14:paraId="72B4DEA0"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i/>
              </w:rPr>
            </w:pPr>
          </w:p>
        </w:tc>
        <w:tc>
          <w:tcPr>
            <w:tcW w:w="1468" w:type="dxa"/>
          </w:tcPr>
          <w:p w14:paraId="1FCDA2E1"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b/>
                <w:i/>
              </w:rPr>
            </w:pPr>
            <w:r w:rsidRPr="007E512D">
              <w:rPr>
                <w:b/>
                <w:i/>
              </w:rPr>
              <w:t>Model 3</w:t>
            </w:r>
          </w:p>
          <w:p w14:paraId="2EEE43DE"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i/>
              </w:rPr>
            </w:pPr>
          </w:p>
        </w:tc>
        <w:tc>
          <w:tcPr>
            <w:tcW w:w="1469" w:type="dxa"/>
          </w:tcPr>
          <w:p w14:paraId="05AE62FC"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b/>
                <w:i/>
              </w:rPr>
            </w:pPr>
            <w:r w:rsidRPr="007E512D">
              <w:rPr>
                <w:b/>
                <w:i/>
              </w:rPr>
              <w:t>Model 4</w:t>
            </w:r>
          </w:p>
          <w:p w14:paraId="0E180E07"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rPr>
                <w:i/>
              </w:rPr>
            </w:pPr>
          </w:p>
        </w:tc>
      </w:tr>
      <w:tr w:rsidR="00475064" w:rsidRPr="007E512D" w14:paraId="201ACCBF" w14:textId="77777777" w:rsidTr="00754D9F">
        <w:tc>
          <w:tcPr>
            <w:cnfStyle w:val="001000000000" w:firstRow="0" w:lastRow="0" w:firstColumn="1" w:lastColumn="0" w:oddVBand="0" w:evenVBand="0" w:oddHBand="0" w:evenHBand="0" w:firstRowFirstColumn="0" w:firstRowLastColumn="0" w:lastRowFirstColumn="0" w:lastRowLastColumn="0"/>
            <w:tcW w:w="876" w:type="dxa"/>
          </w:tcPr>
          <w:p w14:paraId="41C4CCF5" w14:textId="77777777" w:rsidR="00475064" w:rsidRPr="007E512D" w:rsidRDefault="00475064" w:rsidP="00754D9F">
            <w:pPr>
              <w:rPr>
                <w:b w:val="0"/>
              </w:rPr>
            </w:pPr>
            <w:r w:rsidRPr="007E512D">
              <w:rPr>
                <w:b w:val="0"/>
              </w:rPr>
              <w:t>Overall</w:t>
            </w:r>
          </w:p>
        </w:tc>
        <w:tc>
          <w:tcPr>
            <w:tcW w:w="1468" w:type="dxa"/>
          </w:tcPr>
          <w:p w14:paraId="35F7B89C" w14:textId="12C699D9"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19.</w:t>
            </w:r>
            <w:r w:rsidR="00753C98">
              <w:t>8</w:t>
            </w:r>
            <w:r w:rsidRPr="007E512D">
              <w:t xml:space="preserve">% </w:t>
            </w:r>
          </w:p>
          <w:p w14:paraId="7B71F7D5" w14:textId="374E43A1"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(16.</w:t>
            </w:r>
            <w:r w:rsidR="00E92916">
              <w:t>3</w:t>
            </w:r>
            <w:r w:rsidRPr="007E512D">
              <w:t>-21.</w:t>
            </w:r>
            <w:r w:rsidR="00E92916">
              <w:t>6</w:t>
            </w:r>
            <w:r w:rsidRPr="007E512D">
              <w:t>%)</w:t>
            </w:r>
          </w:p>
        </w:tc>
        <w:tc>
          <w:tcPr>
            <w:tcW w:w="1469" w:type="dxa"/>
          </w:tcPr>
          <w:p w14:paraId="5E3DAB4D" w14:textId="508535C1"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19.</w:t>
            </w:r>
            <w:r w:rsidR="00753C98">
              <w:t>5</w:t>
            </w:r>
            <w:r w:rsidRPr="007E512D">
              <w:t xml:space="preserve">% </w:t>
            </w:r>
          </w:p>
          <w:p w14:paraId="7EE18BCD"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(18.2-20.5%)</w:t>
            </w:r>
          </w:p>
        </w:tc>
        <w:tc>
          <w:tcPr>
            <w:tcW w:w="1468" w:type="dxa"/>
          </w:tcPr>
          <w:p w14:paraId="2DBD27B7"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 xml:space="preserve">18.7% </w:t>
            </w:r>
          </w:p>
          <w:p w14:paraId="4CA97537" w14:textId="216C04C8"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(18.</w:t>
            </w:r>
            <w:r w:rsidR="00E92916">
              <w:t>1</w:t>
            </w:r>
            <w:r w:rsidRPr="007E512D">
              <w:t>-19.3%)</w:t>
            </w:r>
          </w:p>
        </w:tc>
        <w:tc>
          <w:tcPr>
            <w:tcW w:w="1469" w:type="dxa"/>
          </w:tcPr>
          <w:p w14:paraId="1C02A1BD"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 xml:space="preserve">18.8% </w:t>
            </w:r>
          </w:p>
          <w:p w14:paraId="2C039293"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(18.2-19.3%)</w:t>
            </w:r>
          </w:p>
        </w:tc>
      </w:tr>
      <w:tr w:rsidR="00475064" w:rsidRPr="007E512D" w14:paraId="47C80E23"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dxa"/>
          </w:tcPr>
          <w:p w14:paraId="3F2D8FD5" w14:textId="77777777" w:rsidR="00475064" w:rsidRPr="007E512D" w:rsidRDefault="00475064" w:rsidP="00754D9F">
            <w:pPr>
              <w:rPr>
                <w:b w:val="0"/>
              </w:rPr>
            </w:pPr>
            <w:r w:rsidRPr="007E512D">
              <w:rPr>
                <w:b w:val="0"/>
              </w:rPr>
              <w:t>0-11 months</w:t>
            </w:r>
          </w:p>
        </w:tc>
        <w:tc>
          <w:tcPr>
            <w:tcW w:w="1468" w:type="dxa"/>
          </w:tcPr>
          <w:p w14:paraId="51F3AD0E" w14:textId="48003410"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35.</w:t>
            </w:r>
            <w:r w:rsidR="00E92916">
              <w:t>7</w:t>
            </w:r>
            <w:r w:rsidRPr="007E512D">
              <w:t xml:space="preserve">% </w:t>
            </w:r>
          </w:p>
          <w:p w14:paraId="0C42C14A" w14:textId="2E2EE87D"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w:t>
            </w:r>
            <w:r w:rsidR="00E92916">
              <w:t>34.4</w:t>
            </w:r>
            <w:r w:rsidRPr="007E512D">
              <w:t>-37.</w:t>
            </w:r>
            <w:r w:rsidR="00E92916">
              <w:t>9</w:t>
            </w:r>
            <w:r w:rsidRPr="007E512D">
              <w:t>%)</w:t>
            </w:r>
          </w:p>
        </w:tc>
        <w:tc>
          <w:tcPr>
            <w:tcW w:w="1469" w:type="dxa"/>
          </w:tcPr>
          <w:p w14:paraId="77FDE721" w14:textId="5899C233"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33.</w:t>
            </w:r>
            <w:r w:rsidR="00E92916">
              <w:t>8</w:t>
            </w:r>
            <w:r w:rsidRPr="007E512D">
              <w:t xml:space="preserve">% </w:t>
            </w:r>
          </w:p>
          <w:p w14:paraId="6298E67B" w14:textId="50703198"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(32.</w:t>
            </w:r>
            <w:r w:rsidR="00E92916">
              <w:t>0</w:t>
            </w:r>
            <w:r w:rsidRPr="007E512D">
              <w:t>-35.</w:t>
            </w:r>
            <w:r w:rsidR="00E92916">
              <w:t>5</w:t>
            </w:r>
            <w:r w:rsidRPr="007E512D">
              <w:t>%)</w:t>
            </w:r>
          </w:p>
        </w:tc>
        <w:tc>
          <w:tcPr>
            <w:tcW w:w="1468" w:type="dxa"/>
          </w:tcPr>
          <w:p w14:paraId="1ECEE283"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 xml:space="preserve">32.4% </w:t>
            </w:r>
          </w:p>
          <w:p w14:paraId="01D48FAA"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(31.3-33.4%)</w:t>
            </w:r>
          </w:p>
        </w:tc>
        <w:tc>
          <w:tcPr>
            <w:tcW w:w="1469" w:type="dxa"/>
          </w:tcPr>
          <w:p w14:paraId="52981897" w14:textId="7B2B74A6"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32.</w:t>
            </w:r>
            <w:r w:rsidR="00E92916">
              <w:t>5</w:t>
            </w:r>
            <w:r w:rsidRPr="007E512D">
              <w:t xml:space="preserve">% </w:t>
            </w:r>
          </w:p>
          <w:p w14:paraId="2FF43CAA"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(31.2-33.4%)</w:t>
            </w:r>
          </w:p>
        </w:tc>
      </w:tr>
      <w:tr w:rsidR="00475064" w:rsidRPr="007E512D" w14:paraId="37D838E7" w14:textId="77777777" w:rsidTr="00384A64">
        <w:tc>
          <w:tcPr>
            <w:cnfStyle w:val="001000000000" w:firstRow="0" w:lastRow="0" w:firstColumn="1" w:lastColumn="0" w:oddVBand="0" w:evenVBand="0" w:oddHBand="0" w:evenHBand="0" w:firstRowFirstColumn="0" w:firstRowLastColumn="0" w:lastRowFirstColumn="0" w:lastRowLastColumn="0"/>
            <w:tcW w:w="876" w:type="dxa"/>
          </w:tcPr>
          <w:p w14:paraId="60D34063" w14:textId="77777777" w:rsidR="00475064" w:rsidRPr="007E512D" w:rsidRDefault="00475064" w:rsidP="00754D9F">
            <w:pPr>
              <w:rPr>
                <w:b w:val="0"/>
              </w:rPr>
            </w:pPr>
            <w:r w:rsidRPr="007E512D">
              <w:rPr>
                <w:b w:val="0"/>
              </w:rPr>
              <w:t>12-23 months</w:t>
            </w:r>
          </w:p>
        </w:tc>
        <w:tc>
          <w:tcPr>
            <w:tcW w:w="1468" w:type="dxa"/>
          </w:tcPr>
          <w:p w14:paraId="2359F07B" w14:textId="4D26FBBD" w:rsidR="00475064" w:rsidRPr="007E512D" w:rsidRDefault="00E92916" w:rsidP="00754D9F">
            <w:pPr>
              <w:cnfStyle w:val="000000000000" w:firstRow="0" w:lastRow="0" w:firstColumn="0" w:lastColumn="0" w:oddVBand="0" w:evenVBand="0" w:oddHBand="0" w:evenHBand="0" w:firstRowFirstColumn="0" w:firstRowLastColumn="0" w:lastRowFirstColumn="0" w:lastRowLastColumn="0"/>
            </w:pPr>
            <w:r>
              <w:t>9.8</w:t>
            </w:r>
            <w:r w:rsidR="00475064" w:rsidRPr="007E512D">
              <w:t xml:space="preserve">% </w:t>
            </w:r>
          </w:p>
          <w:p w14:paraId="4C6B6258" w14:textId="38A06B7B"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(8.</w:t>
            </w:r>
            <w:r w:rsidR="00E92916">
              <w:t>7</w:t>
            </w:r>
            <w:r w:rsidRPr="007E512D">
              <w:t>-12.</w:t>
            </w:r>
            <w:r w:rsidR="00E92916">
              <w:t>6</w:t>
            </w:r>
            <w:r w:rsidRPr="007E512D">
              <w:t>%)</w:t>
            </w:r>
          </w:p>
        </w:tc>
        <w:tc>
          <w:tcPr>
            <w:tcW w:w="1469" w:type="dxa"/>
          </w:tcPr>
          <w:p w14:paraId="4EA8A4A2" w14:textId="7D480E58" w:rsidR="00475064" w:rsidRPr="007E512D" w:rsidRDefault="00E92916" w:rsidP="00754D9F">
            <w:pPr>
              <w:cnfStyle w:val="000000000000" w:firstRow="0" w:lastRow="0" w:firstColumn="0" w:lastColumn="0" w:oddVBand="0" w:evenVBand="0" w:oddHBand="0" w:evenHBand="0" w:firstRowFirstColumn="0" w:firstRowLastColumn="0" w:lastRowFirstColumn="0" w:lastRowLastColumn="0"/>
            </w:pPr>
            <w:r>
              <w:t>11.9</w:t>
            </w:r>
            <w:r w:rsidR="00475064" w:rsidRPr="007E512D">
              <w:t xml:space="preserve">% </w:t>
            </w:r>
          </w:p>
          <w:p w14:paraId="36C0AC73"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(9.9-14.1%)</w:t>
            </w:r>
          </w:p>
        </w:tc>
        <w:tc>
          <w:tcPr>
            <w:tcW w:w="1468" w:type="dxa"/>
          </w:tcPr>
          <w:p w14:paraId="18A48A34" w14:textId="505B3CCE"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13.</w:t>
            </w:r>
            <w:r w:rsidR="00E92916">
              <w:t>5</w:t>
            </w:r>
            <w:r w:rsidRPr="007E512D">
              <w:t xml:space="preserve">% </w:t>
            </w:r>
          </w:p>
          <w:p w14:paraId="7B5698DF"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(12.2-15.1%)</w:t>
            </w:r>
          </w:p>
        </w:tc>
        <w:tc>
          <w:tcPr>
            <w:tcW w:w="1469" w:type="dxa"/>
          </w:tcPr>
          <w:p w14:paraId="443394C1" w14:textId="573887F9"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13.</w:t>
            </w:r>
            <w:r w:rsidR="00E92916">
              <w:t>4</w:t>
            </w:r>
            <w:r w:rsidRPr="007E512D">
              <w:t xml:space="preserve">% </w:t>
            </w:r>
          </w:p>
          <w:p w14:paraId="09DE7FC4" w14:textId="77777777" w:rsidR="00475064" w:rsidRPr="007E512D" w:rsidRDefault="00475064" w:rsidP="00754D9F">
            <w:pPr>
              <w:cnfStyle w:val="000000000000" w:firstRow="0" w:lastRow="0" w:firstColumn="0" w:lastColumn="0" w:oddVBand="0" w:evenVBand="0" w:oddHBand="0" w:evenHBand="0" w:firstRowFirstColumn="0" w:firstRowLastColumn="0" w:lastRowFirstColumn="0" w:lastRowLastColumn="0"/>
            </w:pPr>
            <w:r w:rsidRPr="007E512D">
              <w:t>(12.1-15.1%)</w:t>
            </w:r>
          </w:p>
        </w:tc>
      </w:tr>
      <w:tr w:rsidR="00475064" w:rsidRPr="007E512D" w14:paraId="563B2C35" w14:textId="77777777" w:rsidTr="00384A6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76" w:type="dxa"/>
            <w:tcBorders>
              <w:bottom w:val="single" w:sz="4" w:space="0" w:color="auto"/>
            </w:tcBorders>
          </w:tcPr>
          <w:p w14:paraId="7D0BC052" w14:textId="77777777" w:rsidR="00475064" w:rsidRPr="007E512D" w:rsidRDefault="00475064" w:rsidP="00754D9F">
            <w:pPr>
              <w:rPr>
                <w:b w:val="0"/>
              </w:rPr>
            </w:pPr>
            <w:r w:rsidRPr="007E512D">
              <w:rPr>
                <w:b w:val="0"/>
              </w:rPr>
              <w:t>24-59 months</w:t>
            </w:r>
          </w:p>
        </w:tc>
        <w:tc>
          <w:tcPr>
            <w:tcW w:w="1468" w:type="dxa"/>
            <w:tcBorders>
              <w:bottom w:val="single" w:sz="4" w:space="0" w:color="auto"/>
            </w:tcBorders>
          </w:tcPr>
          <w:p w14:paraId="46DDF1CA" w14:textId="2EC52CD5" w:rsidR="00475064" w:rsidRPr="007E512D" w:rsidRDefault="00E92916" w:rsidP="00754D9F">
            <w:pPr>
              <w:cnfStyle w:val="000000100000" w:firstRow="0" w:lastRow="0" w:firstColumn="0" w:lastColumn="0" w:oddVBand="0" w:evenVBand="0" w:oddHBand="1" w:evenHBand="0" w:firstRowFirstColumn="0" w:firstRowLastColumn="0" w:lastRowFirstColumn="0" w:lastRowLastColumn="0"/>
            </w:pPr>
            <w:r>
              <w:t>21.7</w:t>
            </w:r>
            <w:r w:rsidR="00475064" w:rsidRPr="007E512D">
              <w:t xml:space="preserve">% </w:t>
            </w:r>
          </w:p>
          <w:p w14:paraId="4B91B0B8" w14:textId="39A3C3E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w:t>
            </w:r>
            <w:r w:rsidR="00E92916">
              <w:t>13.6</w:t>
            </w:r>
            <w:r w:rsidRPr="007E512D">
              <w:t>-</w:t>
            </w:r>
            <w:r w:rsidR="00E92916">
              <w:t>31.4</w:t>
            </w:r>
            <w:r w:rsidRPr="007E512D">
              <w:t>%)</w:t>
            </w:r>
          </w:p>
        </w:tc>
        <w:tc>
          <w:tcPr>
            <w:tcW w:w="1469" w:type="dxa"/>
            <w:tcBorders>
              <w:bottom w:val="single" w:sz="4" w:space="0" w:color="auto"/>
            </w:tcBorders>
          </w:tcPr>
          <w:p w14:paraId="2F35509F" w14:textId="5A9F3F2C" w:rsidR="00475064" w:rsidRPr="007E512D" w:rsidRDefault="00E92916" w:rsidP="00754D9F">
            <w:pPr>
              <w:cnfStyle w:val="000000100000" w:firstRow="0" w:lastRow="0" w:firstColumn="0" w:lastColumn="0" w:oddVBand="0" w:evenVBand="0" w:oddHBand="1" w:evenHBand="0" w:firstRowFirstColumn="0" w:firstRowLastColumn="0" w:lastRowFirstColumn="0" w:lastRowLastColumn="0"/>
            </w:pPr>
            <w:r>
              <w:t>31.8</w:t>
            </w:r>
            <w:r w:rsidR="00475064" w:rsidRPr="007E512D">
              <w:t xml:space="preserve">% </w:t>
            </w:r>
          </w:p>
          <w:p w14:paraId="2B62AC12" w14:textId="0D9693F1"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(23.</w:t>
            </w:r>
            <w:r w:rsidR="00E92916">
              <w:t>7</w:t>
            </w:r>
            <w:r w:rsidRPr="007E512D">
              <w:t>-37.</w:t>
            </w:r>
            <w:r w:rsidR="00E92916">
              <w:t>6</w:t>
            </w:r>
            <w:r w:rsidRPr="007E512D">
              <w:t>%)</w:t>
            </w:r>
          </w:p>
        </w:tc>
        <w:tc>
          <w:tcPr>
            <w:tcW w:w="1468" w:type="dxa"/>
            <w:tcBorders>
              <w:bottom w:val="single" w:sz="4" w:space="0" w:color="auto"/>
            </w:tcBorders>
          </w:tcPr>
          <w:p w14:paraId="036FECE2" w14:textId="64B62B36"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37.</w:t>
            </w:r>
            <w:r w:rsidR="00E92916">
              <w:t>5</w:t>
            </w:r>
            <w:r w:rsidRPr="007E512D">
              <w:t xml:space="preserve">% </w:t>
            </w:r>
          </w:p>
          <w:p w14:paraId="77DF525F"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(35.0-40.0%)</w:t>
            </w:r>
          </w:p>
        </w:tc>
        <w:tc>
          <w:tcPr>
            <w:tcW w:w="1469" w:type="dxa"/>
            <w:tcBorders>
              <w:bottom w:val="single" w:sz="4" w:space="0" w:color="auto"/>
            </w:tcBorders>
          </w:tcPr>
          <w:p w14:paraId="4D67F029" w14:textId="3BA4AC55"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37.</w:t>
            </w:r>
            <w:r w:rsidR="00E92916">
              <w:t>4</w:t>
            </w:r>
            <w:r w:rsidRPr="007E512D">
              <w:t xml:space="preserve">% </w:t>
            </w:r>
          </w:p>
          <w:p w14:paraId="2775333B" w14:textId="77777777" w:rsidR="00475064" w:rsidRPr="007E512D" w:rsidRDefault="00475064" w:rsidP="00754D9F">
            <w:pPr>
              <w:cnfStyle w:val="000000100000" w:firstRow="0" w:lastRow="0" w:firstColumn="0" w:lastColumn="0" w:oddVBand="0" w:evenVBand="0" w:oddHBand="1" w:evenHBand="0" w:firstRowFirstColumn="0" w:firstRowLastColumn="0" w:lastRowFirstColumn="0" w:lastRowLastColumn="0"/>
            </w:pPr>
            <w:r w:rsidRPr="007E512D">
              <w:t>(34.9-40.0%)</w:t>
            </w:r>
          </w:p>
        </w:tc>
      </w:tr>
    </w:tbl>
    <w:p w14:paraId="371BDBED" w14:textId="77777777" w:rsidR="00475064" w:rsidRPr="007E512D" w:rsidRDefault="00475064" w:rsidP="00475064">
      <w:pPr>
        <w:rPr>
          <w:rFonts w:cs="Times New Roman"/>
          <w:szCs w:val="22"/>
        </w:rPr>
      </w:pPr>
    </w:p>
    <w:p w14:paraId="1C6076DF" w14:textId="67F12F8C" w:rsidR="00475064" w:rsidRDefault="00475064">
      <w:pPr>
        <w:rPr>
          <w:rFonts w:cs="Times New Roman"/>
        </w:rPr>
      </w:pPr>
      <w:r>
        <w:rPr>
          <w:rFonts w:cs="Times New Roman"/>
        </w:rPr>
        <w:br w:type="page"/>
      </w:r>
    </w:p>
    <w:p w14:paraId="246E8837" w14:textId="77777777" w:rsidR="00475064" w:rsidRDefault="00475064" w:rsidP="00475064">
      <w:pPr>
        <w:pStyle w:val="SMcaption"/>
        <w:rPr>
          <w:b w:val="0"/>
        </w:rPr>
        <w:sectPr w:rsidR="00475064" w:rsidSect="003C36F6">
          <w:footerReference w:type="even" r:id="rId128"/>
          <w:footerReference w:type="default" r:id="rId129"/>
          <w:pgSz w:w="12240" w:h="15840"/>
          <w:pgMar w:top="1440" w:right="1440" w:bottom="1440" w:left="1440" w:header="720" w:footer="720" w:gutter="0"/>
          <w:cols w:space="720"/>
          <w:docGrid w:linePitch="360"/>
        </w:sectPr>
      </w:pPr>
    </w:p>
    <w:p w14:paraId="3C812717" w14:textId="77EE27AC" w:rsidR="00475064" w:rsidRPr="007E512D" w:rsidRDefault="00475064" w:rsidP="00475064">
      <w:pPr>
        <w:pStyle w:val="SMcaption"/>
      </w:pPr>
      <w:bookmarkStart w:id="44" w:name="_Toc9936187"/>
      <w:r w:rsidRPr="00627261">
        <w:lastRenderedPageBreak/>
        <w:t>Table S</w:t>
      </w:r>
      <w:r w:rsidR="00753C98">
        <w:rPr>
          <w:noProof/>
        </w:rPr>
        <w:fldChar w:fldCharType="begin"/>
      </w:r>
      <w:r w:rsidR="00753C98">
        <w:rPr>
          <w:noProof/>
        </w:rPr>
        <w:instrText xml:space="preserve"> SEQ Table_S \* ARABIC </w:instrText>
      </w:r>
      <w:r w:rsidR="00753C98">
        <w:rPr>
          <w:noProof/>
        </w:rPr>
        <w:fldChar w:fldCharType="separate"/>
      </w:r>
      <w:r w:rsidR="002558FA">
        <w:rPr>
          <w:noProof/>
        </w:rPr>
        <w:t>5</w:t>
      </w:r>
      <w:r w:rsidR="00753C98">
        <w:rPr>
          <w:noProof/>
        </w:rPr>
        <w:fldChar w:fldCharType="end"/>
      </w:r>
      <w:r w:rsidRPr="00627261">
        <w:t>. Model-predicted vaccine impact with and without indirect effects</w:t>
      </w:r>
      <w:r w:rsidRPr="007E512D">
        <w:rPr>
          <w:b w:val="0"/>
        </w:rPr>
        <w:t>.</w:t>
      </w:r>
      <w:bookmarkEnd w:id="44"/>
      <w:r w:rsidRPr="007E512D">
        <w:t xml:space="preserve"> </w:t>
      </w:r>
    </w:p>
    <w:p w14:paraId="41C58116" w14:textId="04C11FED" w:rsidR="00475064" w:rsidRPr="007E512D" w:rsidRDefault="00475064" w:rsidP="00627261">
      <w:r w:rsidRPr="007E512D">
        <w:t>Model-predicted number of RVGE cases by year and age group for Model</w:t>
      </w:r>
      <w:r w:rsidR="005E4C9F">
        <w:t>s</w:t>
      </w:r>
      <w:r w:rsidRPr="007E512D">
        <w:t xml:space="preserve"> </w:t>
      </w:r>
      <w:r w:rsidR="00271FD8">
        <w:t>1</w:t>
      </w:r>
      <w:r w:rsidR="00C51AC0">
        <w:t xml:space="preserve"> to </w:t>
      </w:r>
      <w:r w:rsidR="00271FD8">
        <w:t>4</w:t>
      </w:r>
      <w:r w:rsidRPr="007E512D">
        <w:t xml:space="preserve"> and the corresponding model</w:t>
      </w:r>
      <w:r w:rsidR="005E4C9F">
        <w:t>s</w:t>
      </w:r>
      <w:r w:rsidRPr="007E512D">
        <w:t xml:space="preserve"> with the force of infection fixed at the level predicted in the absence of vaccination (</w:t>
      </w:r>
      <w:r w:rsidR="00770FED">
        <w:t>that is,</w:t>
      </w:r>
      <w:r w:rsidRPr="007E512D">
        <w:t xml:space="preserve"> assuming no indirect effects resulting from a reduction in transmission).</w:t>
      </w:r>
    </w:p>
    <w:p w14:paraId="50F5F9C4" w14:textId="77777777" w:rsidR="00475064" w:rsidRPr="007E512D" w:rsidRDefault="00475064" w:rsidP="00475064">
      <w:pPr>
        <w:rPr>
          <w:rFonts w:cs="Times New Roman"/>
          <w:b/>
        </w:rPr>
      </w:pPr>
    </w:p>
    <w:tbl>
      <w:tblPr>
        <w:tblStyle w:val="LightShading"/>
        <w:tblW w:w="13068" w:type="dxa"/>
        <w:tblLayout w:type="fixed"/>
        <w:tblLook w:val="04A0" w:firstRow="1" w:lastRow="0" w:firstColumn="1" w:lastColumn="0" w:noHBand="0" w:noVBand="1"/>
      </w:tblPr>
      <w:tblGrid>
        <w:gridCol w:w="918"/>
        <w:gridCol w:w="1012"/>
        <w:gridCol w:w="1013"/>
        <w:gridCol w:w="1012"/>
        <w:gridCol w:w="1013"/>
        <w:gridCol w:w="1012"/>
        <w:gridCol w:w="1013"/>
        <w:gridCol w:w="1012"/>
        <w:gridCol w:w="1013"/>
        <w:gridCol w:w="1012"/>
        <w:gridCol w:w="1013"/>
        <w:gridCol w:w="1012"/>
        <w:gridCol w:w="1013"/>
      </w:tblGrid>
      <w:tr w:rsidR="00475064" w:rsidRPr="007E512D" w14:paraId="44A16084" w14:textId="77777777" w:rsidTr="00754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077BA6B4" w14:textId="77777777" w:rsidR="00475064" w:rsidRPr="007E512D" w:rsidRDefault="00475064" w:rsidP="00754D9F">
            <w:pPr>
              <w:rPr>
                <w:b w:val="0"/>
                <w:bCs w:val="0"/>
              </w:rPr>
            </w:pPr>
          </w:p>
        </w:tc>
        <w:tc>
          <w:tcPr>
            <w:tcW w:w="4050" w:type="dxa"/>
            <w:gridSpan w:val="4"/>
          </w:tcPr>
          <w:p w14:paraId="2DB6FA58" w14:textId="7D7C2613" w:rsidR="00475064" w:rsidRPr="007E512D" w:rsidRDefault="00475064" w:rsidP="00754D9F">
            <w:pPr>
              <w:cnfStyle w:val="100000000000" w:firstRow="1" w:lastRow="0" w:firstColumn="0" w:lastColumn="0" w:oddVBand="0" w:evenVBand="0" w:oddHBand="0" w:evenHBand="0" w:firstRowFirstColumn="0" w:firstRowLastColumn="0" w:lastRowFirstColumn="0" w:lastRowLastColumn="0"/>
              <w:rPr>
                <w:bCs w:val="0"/>
              </w:rPr>
            </w:pPr>
          </w:p>
        </w:tc>
        <w:tc>
          <w:tcPr>
            <w:tcW w:w="4050" w:type="dxa"/>
            <w:gridSpan w:val="4"/>
          </w:tcPr>
          <w:p w14:paraId="5FAEC939" w14:textId="22F07318" w:rsidR="00475064" w:rsidRPr="007E512D" w:rsidRDefault="00475064" w:rsidP="00754D9F">
            <w:pPr>
              <w:cnfStyle w:val="100000000000" w:firstRow="1" w:lastRow="0" w:firstColumn="0" w:lastColumn="0" w:oddVBand="0" w:evenVBand="0" w:oddHBand="0" w:evenHBand="0" w:firstRowFirstColumn="0" w:firstRowLastColumn="0" w:lastRowFirstColumn="0" w:lastRowLastColumn="0"/>
              <w:rPr>
                <w:bCs w:val="0"/>
              </w:rPr>
            </w:pPr>
          </w:p>
        </w:tc>
        <w:tc>
          <w:tcPr>
            <w:tcW w:w="4050" w:type="dxa"/>
            <w:gridSpan w:val="4"/>
          </w:tcPr>
          <w:p w14:paraId="4F6A85F1" w14:textId="6C58BA50" w:rsidR="00475064" w:rsidRPr="007E512D" w:rsidRDefault="00475064" w:rsidP="00754D9F">
            <w:pPr>
              <w:cnfStyle w:val="100000000000" w:firstRow="1" w:lastRow="0" w:firstColumn="0" w:lastColumn="0" w:oddVBand="0" w:evenVBand="0" w:oddHBand="0" w:evenHBand="0" w:firstRowFirstColumn="0" w:firstRowLastColumn="0" w:lastRowFirstColumn="0" w:lastRowLastColumn="0"/>
              <w:rPr>
                <w:bCs w:val="0"/>
                <w:vertAlign w:val="superscript"/>
              </w:rPr>
            </w:pPr>
          </w:p>
        </w:tc>
      </w:tr>
      <w:tr w:rsidR="00343894" w:rsidRPr="007E512D" w14:paraId="1688F209" w14:textId="77777777" w:rsidTr="00343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bottom w:val="single" w:sz="4" w:space="0" w:color="auto"/>
            </w:tcBorders>
          </w:tcPr>
          <w:p w14:paraId="7E008C5B" w14:textId="77777777" w:rsidR="00475064" w:rsidRPr="007E512D" w:rsidRDefault="00475064" w:rsidP="00754D9F">
            <w:pPr>
              <w:rPr>
                <w:b w:val="0"/>
                <w:bCs w:val="0"/>
              </w:rPr>
            </w:pPr>
            <w:r w:rsidRPr="007E512D">
              <w:t>Age group</w:t>
            </w:r>
          </w:p>
        </w:tc>
        <w:tc>
          <w:tcPr>
            <w:tcW w:w="1012" w:type="dxa"/>
            <w:tcBorders>
              <w:bottom w:val="single" w:sz="4" w:space="0" w:color="auto"/>
            </w:tcBorders>
          </w:tcPr>
          <w:p w14:paraId="7615682E"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Total &lt;5 years</w:t>
            </w:r>
            <w:r w:rsidRPr="00271FD8">
              <w:rPr>
                <w:b/>
                <w:vertAlign w:val="superscript"/>
              </w:rPr>
              <w:t>1</w:t>
            </w:r>
            <w:r w:rsidRPr="00271FD8">
              <w:rPr>
                <w:b/>
              </w:rPr>
              <w:t xml:space="preserve"> </w:t>
            </w:r>
          </w:p>
        </w:tc>
        <w:tc>
          <w:tcPr>
            <w:tcW w:w="1013" w:type="dxa"/>
            <w:tcBorders>
              <w:bottom w:val="single" w:sz="4" w:space="0" w:color="auto"/>
            </w:tcBorders>
          </w:tcPr>
          <w:p w14:paraId="2E4AA6EC"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0-3 months</w:t>
            </w:r>
          </w:p>
        </w:tc>
        <w:tc>
          <w:tcPr>
            <w:tcW w:w="1012" w:type="dxa"/>
            <w:tcBorders>
              <w:bottom w:val="single" w:sz="4" w:space="0" w:color="auto"/>
            </w:tcBorders>
          </w:tcPr>
          <w:p w14:paraId="00F2691B"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4-11 months</w:t>
            </w:r>
          </w:p>
        </w:tc>
        <w:tc>
          <w:tcPr>
            <w:tcW w:w="1013" w:type="dxa"/>
            <w:tcBorders>
              <w:bottom w:val="single" w:sz="4" w:space="0" w:color="auto"/>
            </w:tcBorders>
          </w:tcPr>
          <w:p w14:paraId="6EB6DB37"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12-23 months</w:t>
            </w:r>
          </w:p>
        </w:tc>
        <w:tc>
          <w:tcPr>
            <w:tcW w:w="1012" w:type="dxa"/>
            <w:tcBorders>
              <w:bottom w:val="single" w:sz="4" w:space="0" w:color="auto"/>
            </w:tcBorders>
          </w:tcPr>
          <w:p w14:paraId="7804C5D6"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Total &lt;5 years</w:t>
            </w:r>
          </w:p>
        </w:tc>
        <w:tc>
          <w:tcPr>
            <w:tcW w:w="1013" w:type="dxa"/>
            <w:tcBorders>
              <w:bottom w:val="single" w:sz="4" w:space="0" w:color="auto"/>
            </w:tcBorders>
          </w:tcPr>
          <w:p w14:paraId="6A26AE08"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0-3 months</w:t>
            </w:r>
          </w:p>
        </w:tc>
        <w:tc>
          <w:tcPr>
            <w:tcW w:w="1012" w:type="dxa"/>
            <w:tcBorders>
              <w:bottom w:val="single" w:sz="4" w:space="0" w:color="auto"/>
            </w:tcBorders>
          </w:tcPr>
          <w:p w14:paraId="68EF5C85"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4-11 months</w:t>
            </w:r>
          </w:p>
        </w:tc>
        <w:tc>
          <w:tcPr>
            <w:tcW w:w="1013" w:type="dxa"/>
            <w:tcBorders>
              <w:bottom w:val="single" w:sz="4" w:space="0" w:color="auto"/>
            </w:tcBorders>
          </w:tcPr>
          <w:p w14:paraId="41BD3E92"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12-23 months</w:t>
            </w:r>
          </w:p>
        </w:tc>
        <w:tc>
          <w:tcPr>
            <w:tcW w:w="1012" w:type="dxa"/>
            <w:tcBorders>
              <w:bottom w:val="single" w:sz="4" w:space="0" w:color="auto"/>
            </w:tcBorders>
          </w:tcPr>
          <w:p w14:paraId="1416423B"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Total &lt;5 years</w:t>
            </w:r>
          </w:p>
        </w:tc>
        <w:tc>
          <w:tcPr>
            <w:tcW w:w="1013" w:type="dxa"/>
            <w:tcBorders>
              <w:bottom w:val="single" w:sz="4" w:space="0" w:color="auto"/>
            </w:tcBorders>
          </w:tcPr>
          <w:p w14:paraId="34F78715"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0-3 months</w:t>
            </w:r>
          </w:p>
        </w:tc>
        <w:tc>
          <w:tcPr>
            <w:tcW w:w="1012" w:type="dxa"/>
            <w:tcBorders>
              <w:bottom w:val="single" w:sz="4" w:space="0" w:color="auto"/>
            </w:tcBorders>
          </w:tcPr>
          <w:p w14:paraId="17060C92"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4-11 months</w:t>
            </w:r>
          </w:p>
        </w:tc>
        <w:tc>
          <w:tcPr>
            <w:tcW w:w="1013" w:type="dxa"/>
            <w:tcBorders>
              <w:bottom w:val="single" w:sz="4" w:space="0" w:color="auto"/>
            </w:tcBorders>
          </w:tcPr>
          <w:p w14:paraId="5E1CEBA5" w14:textId="77777777" w:rsidR="00475064" w:rsidRPr="00271FD8" w:rsidRDefault="00475064" w:rsidP="00754D9F">
            <w:pPr>
              <w:cnfStyle w:val="000000100000" w:firstRow="0" w:lastRow="0" w:firstColumn="0" w:lastColumn="0" w:oddVBand="0" w:evenVBand="0" w:oddHBand="1" w:evenHBand="0" w:firstRowFirstColumn="0" w:firstRowLastColumn="0" w:lastRowFirstColumn="0" w:lastRowLastColumn="0"/>
              <w:rPr>
                <w:b/>
              </w:rPr>
            </w:pPr>
            <w:r w:rsidRPr="00271FD8">
              <w:rPr>
                <w:b/>
              </w:rPr>
              <w:t>12-23 months</w:t>
            </w:r>
          </w:p>
        </w:tc>
      </w:tr>
      <w:tr w:rsidR="00343894" w:rsidRPr="007E512D" w14:paraId="378E62BE" w14:textId="77777777" w:rsidTr="00343894">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bottom w:val="single" w:sz="4" w:space="0" w:color="auto"/>
            </w:tcBorders>
          </w:tcPr>
          <w:p w14:paraId="5A0270AF" w14:textId="131E8789" w:rsidR="00343894" w:rsidRPr="00343894" w:rsidRDefault="00343894" w:rsidP="00343894"/>
        </w:tc>
        <w:tc>
          <w:tcPr>
            <w:tcW w:w="4050" w:type="dxa"/>
            <w:gridSpan w:val="4"/>
            <w:tcBorders>
              <w:top w:val="single" w:sz="4" w:space="0" w:color="auto"/>
              <w:bottom w:val="single" w:sz="4" w:space="0" w:color="auto"/>
            </w:tcBorders>
          </w:tcPr>
          <w:p w14:paraId="5B1F7D13" w14:textId="791F74A5" w:rsidR="00343894" w:rsidRPr="00343894" w:rsidRDefault="00343894" w:rsidP="00343894">
            <w:pPr>
              <w:cnfStyle w:val="000000000000" w:firstRow="0" w:lastRow="0" w:firstColumn="0" w:lastColumn="0" w:oddVBand="0" w:evenVBand="0" w:oddHBand="0" w:evenHBand="0" w:firstRowFirstColumn="0" w:firstRowLastColumn="0" w:lastRowFirstColumn="0" w:lastRowLastColumn="0"/>
              <w:rPr>
                <w:b/>
              </w:rPr>
            </w:pPr>
            <w:r w:rsidRPr="00343894">
              <w:rPr>
                <w:b/>
                <w:bCs/>
              </w:rPr>
              <w:t>Full Model 1</w:t>
            </w:r>
          </w:p>
        </w:tc>
        <w:tc>
          <w:tcPr>
            <w:tcW w:w="4050" w:type="dxa"/>
            <w:gridSpan w:val="4"/>
            <w:tcBorders>
              <w:top w:val="single" w:sz="4" w:space="0" w:color="auto"/>
              <w:bottom w:val="single" w:sz="4" w:space="0" w:color="auto"/>
            </w:tcBorders>
          </w:tcPr>
          <w:p w14:paraId="024A44F4" w14:textId="267A260A" w:rsidR="00343894" w:rsidRPr="00343894" w:rsidRDefault="00343894" w:rsidP="00343894">
            <w:pPr>
              <w:cnfStyle w:val="000000000000" w:firstRow="0" w:lastRow="0" w:firstColumn="0" w:lastColumn="0" w:oddVBand="0" w:evenVBand="0" w:oddHBand="0" w:evenHBand="0" w:firstRowFirstColumn="0" w:firstRowLastColumn="0" w:lastRowFirstColumn="0" w:lastRowLastColumn="0"/>
              <w:rPr>
                <w:b/>
              </w:rPr>
            </w:pPr>
            <w:r w:rsidRPr="00343894">
              <w:rPr>
                <w:b/>
                <w:bCs/>
              </w:rPr>
              <w:t>Model 1 with direct effects only</w:t>
            </w:r>
          </w:p>
        </w:tc>
        <w:tc>
          <w:tcPr>
            <w:tcW w:w="4050" w:type="dxa"/>
            <w:gridSpan w:val="4"/>
            <w:tcBorders>
              <w:top w:val="single" w:sz="4" w:space="0" w:color="auto"/>
              <w:bottom w:val="single" w:sz="4" w:space="0" w:color="auto"/>
            </w:tcBorders>
          </w:tcPr>
          <w:p w14:paraId="0032CA7A" w14:textId="1252142C" w:rsidR="00343894" w:rsidRPr="00343894" w:rsidRDefault="00343894" w:rsidP="00343894">
            <w:pPr>
              <w:cnfStyle w:val="000000000000" w:firstRow="0" w:lastRow="0" w:firstColumn="0" w:lastColumn="0" w:oddVBand="0" w:evenVBand="0" w:oddHBand="0" w:evenHBand="0" w:firstRowFirstColumn="0" w:firstRowLastColumn="0" w:lastRowFirstColumn="0" w:lastRowLastColumn="0"/>
              <w:rPr>
                <w:b/>
              </w:rPr>
            </w:pPr>
            <w:r w:rsidRPr="00343894">
              <w:rPr>
                <w:b/>
              </w:rPr>
              <w:t xml:space="preserve">Percent </w:t>
            </w:r>
            <w:r w:rsidRPr="00343894">
              <w:rPr>
                <w:b/>
                <w:bCs/>
              </w:rPr>
              <w:t>reduction</w:t>
            </w:r>
            <w:r w:rsidRPr="00343894">
              <w:rPr>
                <w:b/>
                <w:bCs/>
                <w:vertAlign w:val="superscript"/>
              </w:rPr>
              <w:t>3</w:t>
            </w:r>
          </w:p>
        </w:tc>
      </w:tr>
      <w:tr w:rsidR="00343894" w:rsidRPr="007E512D" w14:paraId="23BADA4B" w14:textId="77777777" w:rsidTr="00343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tcBorders>
          </w:tcPr>
          <w:p w14:paraId="1EB9F5A0" w14:textId="77777777" w:rsidR="00343894" w:rsidRPr="007E512D" w:rsidRDefault="00343894" w:rsidP="00343894">
            <w:pPr>
              <w:rPr>
                <w:b w:val="0"/>
                <w:bCs w:val="0"/>
              </w:rPr>
            </w:pPr>
            <w:r w:rsidRPr="007E512D">
              <w:t>2012</w:t>
            </w:r>
            <w:r w:rsidRPr="007E512D">
              <w:rPr>
                <w:vertAlign w:val="superscript"/>
              </w:rPr>
              <w:t>2</w:t>
            </w:r>
          </w:p>
        </w:tc>
        <w:tc>
          <w:tcPr>
            <w:tcW w:w="1012" w:type="dxa"/>
            <w:tcBorders>
              <w:top w:val="single" w:sz="4" w:space="0" w:color="auto"/>
            </w:tcBorders>
          </w:tcPr>
          <w:p w14:paraId="5F10B0FF" w14:textId="774D3910"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197.</w:t>
            </w:r>
            <w:r w:rsidR="00022C52">
              <w:t>6</w:t>
            </w:r>
          </w:p>
        </w:tc>
        <w:tc>
          <w:tcPr>
            <w:tcW w:w="1013" w:type="dxa"/>
            <w:tcBorders>
              <w:top w:val="single" w:sz="4" w:space="0" w:color="auto"/>
            </w:tcBorders>
          </w:tcPr>
          <w:p w14:paraId="1E63177B" w14:textId="68930150" w:rsidR="00343894" w:rsidRPr="007E512D" w:rsidRDefault="001E65FF" w:rsidP="00343894">
            <w:pPr>
              <w:cnfStyle w:val="000000100000" w:firstRow="0" w:lastRow="0" w:firstColumn="0" w:lastColumn="0" w:oddVBand="0" w:evenVBand="0" w:oddHBand="1" w:evenHBand="0" w:firstRowFirstColumn="0" w:firstRowLastColumn="0" w:lastRowFirstColumn="0" w:lastRowLastColumn="0"/>
            </w:pPr>
            <w:r>
              <w:t>28.7</w:t>
            </w:r>
          </w:p>
        </w:tc>
        <w:tc>
          <w:tcPr>
            <w:tcW w:w="1012" w:type="dxa"/>
            <w:tcBorders>
              <w:top w:val="single" w:sz="4" w:space="0" w:color="auto"/>
            </w:tcBorders>
          </w:tcPr>
          <w:p w14:paraId="5A88924A" w14:textId="6AA6467B" w:rsidR="00343894" w:rsidRPr="007E512D" w:rsidRDefault="001E65FF" w:rsidP="00343894">
            <w:pPr>
              <w:cnfStyle w:val="000000100000" w:firstRow="0" w:lastRow="0" w:firstColumn="0" w:lastColumn="0" w:oddVBand="0" w:evenVBand="0" w:oddHBand="1" w:evenHBand="0" w:firstRowFirstColumn="0" w:firstRowLastColumn="0" w:lastRowFirstColumn="0" w:lastRowLastColumn="0"/>
            </w:pPr>
            <w:r>
              <w:t>136.3</w:t>
            </w:r>
          </w:p>
        </w:tc>
        <w:tc>
          <w:tcPr>
            <w:tcW w:w="1013" w:type="dxa"/>
            <w:tcBorders>
              <w:top w:val="single" w:sz="4" w:space="0" w:color="auto"/>
            </w:tcBorders>
          </w:tcPr>
          <w:p w14:paraId="4460FB19" w14:textId="07EAD685"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31.</w:t>
            </w:r>
            <w:r w:rsidR="001E65FF">
              <w:t>0</w:t>
            </w:r>
          </w:p>
        </w:tc>
        <w:tc>
          <w:tcPr>
            <w:tcW w:w="1012" w:type="dxa"/>
            <w:tcBorders>
              <w:top w:val="single" w:sz="4" w:space="0" w:color="auto"/>
            </w:tcBorders>
          </w:tcPr>
          <w:p w14:paraId="578DBC3B" w14:textId="57346D21"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200.3</w:t>
            </w:r>
          </w:p>
        </w:tc>
        <w:tc>
          <w:tcPr>
            <w:tcW w:w="1013" w:type="dxa"/>
            <w:tcBorders>
              <w:top w:val="single" w:sz="4" w:space="0" w:color="auto"/>
            </w:tcBorders>
          </w:tcPr>
          <w:p w14:paraId="737B0E94" w14:textId="114B6967"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28.</w:t>
            </w:r>
            <w:r w:rsidR="00B40AC6">
              <w:t>9</w:t>
            </w:r>
          </w:p>
        </w:tc>
        <w:tc>
          <w:tcPr>
            <w:tcW w:w="1012" w:type="dxa"/>
            <w:tcBorders>
              <w:top w:val="single" w:sz="4" w:space="0" w:color="auto"/>
            </w:tcBorders>
          </w:tcPr>
          <w:p w14:paraId="52EB3A3A" w14:textId="151742CD"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138.2</w:t>
            </w:r>
          </w:p>
        </w:tc>
        <w:tc>
          <w:tcPr>
            <w:tcW w:w="1013" w:type="dxa"/>
            <w:tcBorders>
              <w:top w:val="single" w:sz="4" w:space="0" w:color="auto"/>
            </w:tcBorders>
          </w:tcPr>
          <w:p w14:paraId="2525A3A8" w14:textId="386A76A8"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31.6</w:t>
            </w:r>
          </w:p>
        </w:tc>
        <w:tc>
          <w:tcPr>
            <w:tcW w:w="1012" w:type="dxa"/>
            <w:tcBorders>
              <w:top w:val="single" w:sz="4" w:space="0" w:color="auto"/>
            </w:tcBorders>
          </w:tcPr>
          <w:p w14:paraId="30041CAE" w14:textId="77777777"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1.3%</w:t>
            </w:r>
          </w:p>
        </w:tc>
        <w:tc>
          <w:tcPr>
            <w:tcW w:w="1013" w:type="dxa"/>
            <w:tcBorders>
              <w:top w:val="single" w:sz="4" w:space="0" w:color="auto"/>
            </w:tcBorders>
          </w:tcPr>
          <w:p w14:paraId="28CCFEFA" w14:textId="0D463D4A"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0.9</w:t>
            </w:r>
            <w:r w:rsidR="00343894" w:rsidRPr="007E512D">
              <w:t>%</w:t>
            </w:r>
          </w:p>
        </w:tc>
        <w:tc>
          <w:tcPr>
            <w:tcW w:w="1012" w:type="dxa"/>
            <w:tcBorders>
              <w:top w:val="single" w:sz="4" w:space="0" w:color="auto"/>
            </w:tcBorders>
          </w:tcPr>
          <w:p w14:paraId="5B5E8666" w14:textId="5AA9EE90"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w:t>
            </w:r>
            <w:r w:rsidR="00B40AC6">
              <w:t>4</w:t>
            </w:r>
            <w:r w:rsidRPr="007E512D">
              <w:t>%</w:t>
            </w:r>
          </w:p>
        </w:tc>
        <w:tc>
          <w:tcPr>
            <w:tcW w:w="1013" w:type="dxa"/>
            <w:tcBorders>
              <w:top w:val="single" w:sz="4" w:space="0" w:color="auto"/>
            </w:tcBorders>
          </w:tcPr>
          <w:p w14:paraId="5456DF21" w14:textId="4431EA5F"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w:t>
            </w:r>
            <w:r w:rsidR="00B40AC6">
              <w:t>7</w:t>
            </w:r>
            <w:r w:rsidRPr="007E512D">
              <w:t>%</w:t>
            </w:r>
          </w:p>
        </w:tc>
      </w:tr>
      <w:tr w:rsidR="00343894" w:rsidRPr="007E512D" w14:paraId="6EAA690D" w14:textId="77777777" w:rsidTr="00754D9F">
        <w:tc>
          <w:tcPr>
            <w:cnfStyle w:val="001000000000" w:firstRow="0" w:lastRow="0" w:firstColumn="1" w:lastColumn="0" w:oddVBand="0" w:evenVBand="0" w:oddHBand="0" w:evenHBand="0" w:firstRowFirstColumn="0" w:firstRowLastColumn="0" w:lastRowFirstColumn="0" w:lastRowLastColumn="0"/>
            <w:tcW w:w="918" w:type="dxa"/>
          </w:tcPr>
          <w:p w14:paraId="525538E6" w14:textId="77777777" w:rsidR="00343894" w:rsidRPr="007E512D" w:rsidRDefault="00343894" w:rsidP="00343894">
            <w:pPr>
              <w:rPr>
                <w:b w:val="0"/>
                <w:bCs w:val="0"/>
                <w:vertAlign w:val="superscript"/>
              </w:rPr>
            </w:pPr>
            <w:r w:rsidRPr="007E512D">
              <w:t>2013</w:t>
            </w:r>
          </w:p>
        </w:tc>
        <w:tc>
          <w:tcPr>
            <w:tcW w:w="1012" w:type="dxa"/>
          </w:tcPr>
          <w:p w14:paraId="2A74BE9A" w14:textId="49F9131B" w:rsidR="00343894" w:rsidRPr="007E512D" w:rsidRDefault="00022C52" w:rsidP="00343894">
            <w:pPr>
              <w:cnfStyle w:val="000000000000" w:firstRow="0" w:lastRow="0" w:firstColumn="0" w:lastColumn="0" w:oddVBand="0" w:evenVBand="0" w:oddHBand="0" w:evenHBand="0" w:firstRowFirstColumn="0" w:firstRowLastColumn="0" w:lastRowFirstColumn="0" w:lastRowLastColumn="0"/>
            </w:pPr>
            <w:r>
              <w:t>163.5</w:t>
            </w:r>
          </w:p>
        </w:tc>
        <w:tc>
          <w:tcPr>
            <w:tcW w:w="1013" w:type="dxa"/>
          </w:tcPr>
          <w:p w14:paraId="5BC0D4C3" w14:textId="735ECF6B"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20.</w:t>
            </w:r>
            <w:r w:rsidR="001E65FF">
              <w:t>4</w:t>
            </w:r>
          </w:p>
        </w:tc>
        <w:tc>
          <w:tcPr>
            <w:tcW w:w="1012" w:type="dxa"/>
          </w:tcPr>
          <w:p w14:paraId="0FAF2D3C" w14:textId="17482932" w:rsidR="00343894" w:rsidRPr="007E512D" w:rsidRDefault="001E65FF" w:rsidP="00343894">
            <w:pPr>
              <w:cnfStyle w:val="000000000000" w:firstRow="0" w:lastRow="0" w:firstColumn="0" w:lastColumn="0" w:oddVBand="0" w:evenVBand="0" w:oddHBand="0" w:evenHBand="0" w:firstRowFirstColumn="0" w:firstRowLastColumn="0" w:lastRowFirstColumn="0" w:lastRowLastColumn="0"/>
            </w:pPr>
            <w:r>
              <w:t>103.2</w:t>
            </w:r>
          </w:p>
        </w:tc>
        <w:tc>
          <w:tcPr>
            <w:tcW w:w="1013" w:type="dxa"/>
          </w:tcPr>
          <w:p w14:paraId="4E671BF5" w14:textId="4661173D" w:rsidR="00343894" w:rsidRPr="007E512D" w:rsidRDefault="001E65FF" w:rsidP="00343894">
            <w:pPr>
              <w:cnfStyle w:val="000000000000" w:firstRow="0" w:lastRow="0" w:firstColumn="0" w:lastColumn="0" w:oddVBand="0" w:evenVBand="0" w:oddHBand="0" w:evenHBand="0" w:firstRowFirstColumn="0" w:firstRowLastColumn="0" w:lastRowFirstColumn="0" w:lastRowLastColumn="0"/>
            </w:pPr>
            <w:r>
              <w:t>38.2</w:t>
            </w:r>
          </w:p>
        </w:tc>
        <w:tc>
          <w:tcPr>
            <w:tcW w:w="1012" w:type="dxa"/>
          </w:tcPr>
          <w:p w14:paraId="64A85294" w14:textId="15C56238" w:rsidR="00343894" w:rsidRPr="007E512D" w:rsidRDefault="00B40AC6" w:rsidP="00343894">
            <w:pPr>
              <w:cnfStyle w:val="000000000000" w:firstRow="0" w:lastRow="0" w:firstColumn="0" w:lastColumn="0" w:oddVBand="0" w:evenVBand="0" w:oddHBand="0" w:evenHBand="0" w:firstRowFirstColumn="0" w:firstRowLastColumn="0" w:lastRowFirstColumn="0" w:lastRowLastColumn="0"/>
            </w:pPr>
            <w:r>
              <w:t>160.3</w:t>
            </w:r>
          </w:p>
        </w:tc>
        <w:tc>
          <w:tcPr>
            <w:tcW w:w="1013" w:type="dxa"/>
          </w:tcPr>
          <w:p w14:paraId="2874EA08" w14:textId="5055B6C4"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21.</w:t>
            </w:r>
            <w:r w:rsidR="00B40AC6">
              <w:t>4</w:t>
            </w:r>
          </w:p>
        </w:tc>
        <w:tc>
          <w:tcPr>
            <w:tcW w:w="1012" w:type="dxa"/>
          </w:tcPr>
          <w:p w14:paraId="28430ED2" w14:textId="03514E6E" w:rsidR="00343894" w:rsidRPr="007E512D" w:rsidRDefault="00B40AC6" w:rsidP="00343894">
            <w:pPr>
              <w:cnfStyle w:val="000000000000" w:firstRow="0" w:lastRow="0" w:firstColumn="0" w:lastColumn="0" w:oddVBand="0" w:evenVBand="0" w:oddHBand="0" w:evenHBand="0" w:firstRowFirstColumn="0" w:firstRowLastColumn="0" w:lastRowFirstColumn="0" w:lastRowLastColumn="0"/>
            </w:pPr>
            <w:r>
              <w:t>99.5</w:t>
            </w:r>
          </w:p>
        </w:tc>
        <w:tc>
          <w:tcPr>
            <w:tcW w:w="1013" w:type="dxa"/>
          </w:tcPr>
          <w:p w14:paraId="2F9C66EE" w14:textId="613A818A" w:rsidR="00343894" w:rsidRPr="007E512D" w:rsidRDefault="00B40AC6" w:rsidP="00343894">
            <w:pPr>
              <w:cnfStyle w:val="000000000000" w:firstRow="0" w:lastRow="0" w:firstColumn="0" w:lastColumn="0" w:oddVBand="0" w:evenVBand="0" w:oddHBand="0" w:evenHBand="0" w:firstRowFirstColumn="0" w:firstRowLastColumn="0" w:lastRowFirstColumn="0" w:lastRowLastColumn="0"/>
            </w:pPr>
            <w:r>
              <w:t>37.8</w:t>
            </w:r>
          </w:p>
        </w:tc>
        <w:tc>
          <w:tcPr>
            <w:tcW w:w="1012" w:type="dxa"/>
          </w:tcPr>
          <w:p w14:paraId="1E258DBB" w14:textId="1C887217"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w:t>
            </w:r>
            <w:r w:rsidR="00B40AC6">
              <w:t>2.0</w:t>
            </w:r>
            <w:r w:rsidRPr="007E512D">
              <w:t>%</w:t>
            </w:r>
          </w:p>
        </w:tc>
        <w:tc>
          <w:tcPr>
            <w:tcW w:w="1013" w:type="dxa"/>
          </w:tcPr>
          <w:p w14:paraId="21BB0D89" w14:textId="398D9680" w:rsidR="00343894" w:rsidRPr="007E512D" w:rsidRDefault="00B40AC6" w:rsidP="00343894">
            <w:pPr>
              <w:cnfStyle w:val="000000000000" w:firstRow="0" w:lastRow="0" w:firstColumn="0" w:lastColumn="0" w:oddVBand="0" w:evenVBand="0" w:oddHBand="0" w:evenHBand="0" w:firstRowFirstColumn="0" w:firstRowLastColumn="0" w:lastRowFirstColumn="0" w:lastRowLastColumn="0"/>
            </w:pPr>
            <w:r>
              <w:t>4</w:t>
            </w:r>
            <w:r w:rsidR="00343894" w:rsidRPr="007E512D">
              <w:t>.8%</w:t>
            </w:r>
          </w:p>
        </w:tc>
        <w:tc>
          <w:tcPr>
            <w:tcW w:w="1012" w:type="dxa"/>
          </w:tcPr>
          <w:p w14:paraId="20030901" w14:textId="07D3848B"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-3.</w:t>
            </w:r>
            <w:r w:rsidR="00B40AC6">
              <w:t>8</w:t>
            </w:r>
            <w:r w:rsidRPr="007E512D">
              <w:t>%</w:t>
            </w:r>
          </w:p>
        </w:tc>
        <w:tc>
          <w:tcPr>
            <w:tcW w:w="1013" w:type="dxa"/>
          </w:tcPr>
          <w:p w14:paraId="2F7D22BD" w14:textId="58908C61" w:rsidR="00343894" w:rsidRPr="007E512D" w:rsidRDefault="00B40AC6" w:rsidP="00343894">
            <w:pPr>
              <w:cnfStyle w:val="000000000000" w:firstRow="0" w:lastRow="0" w:firstColumn="0" w:lastColumn="0" w:oddVBand="0" w:evenVBand="0" w:oddHBand="0" w:evenHBand="0" w:firstRowFirstColumn="0" w:firstRowLastColumn="0" w:lastRowFirstColumn="0" w:lastRowLastColumn="0"/>
            </w:pPr>
            <w:r>
              <w:t>-1.2</w:t>
            </w:r>
            <w:r w:rsidR="00343894" w:rsidRPr="007E512D">
              <w:t>%</w:t>
            </w:r>
          </w:p>
        </w:tc>
      </w:tr>
      <w:tr w:rsidR="00343894" w:rsidRPr="007E512D" w14:paraId="1AEF3D52"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1A8D0100" w14:textId="77777777" w:rsidR="00343894" w:rsidRPr="007E512D" w:rsidRDefault="00343894" w:rsidP="00343894">
            <w:pPr>
              <w:rPr>
                <w:b w:val="0"/>
                <w:bCs w:val="0"/>
              </w:rPr>
            </w:pPr>
            <w:r w:rsidRPr="007E512D">
              <w:t>2014</w:t>
            </w:r>
          </w:p>
        </w:tc>
        <w:tc>
          <w:tcPr>
            <w:tcW w:w="1012" w:type="dxa"/>
          </w:tcPr>
          <w:p w14:paraId="2E6C186B" w14:textId="3C6654CF" w:rsidR="00343894" w:rsidRPr="007E512D" w:rsidRDefault="00022C52" w:rsidP="00343894">
            <w:pPr>
              <w:cnfStyle w:val="000000100000" w:firstRow="0" w:lastRow="0" w:firstColumn="0" w:lastColumn="0" w:oddVBand="0" w:evenVBand="0" w:oddHBand="1" w:evenHBand="0" w:firstRowFirstColumn="0" w:firstRowLastColumn="0" w:lastRowFirstColumn="0" w:lastRowLastColumn="0"/>
            </w:pPr>
            <w:r>
              <w:t>88.2</w:t>
            </w:r>
          </w:p>
        </w:tc>
        <w:tc>
          <w:tcPr>
            <w:tcW w:w="1013" w:type="dxa"/>
          </w:tcPr>
          <w:p w14:paraId="03F19C4A" w14:textId="3CD04E6F" w:rsidR="00343894" w:rsidRPr="007E512D" w:rsidRDefault="001E65FF" w:rsidP="00343894">
            <w:pPr>
              <w:cnfStyle w:val="000000100000" w:firstRow="0" w:lastRow="0" w:firstColumn="0" w:lastColumn="0" w:oddVBand="0" w:evenVBand="0" w:oddHBand="1" w:evenHBand="0" w:firstRowFirstColumn="0" w:firstRowLastColumn="0" w:lastRowFirstColumn="0" w:lastRowLastColumn="0"/>
            </w:pPr>
            <w:r>
              <w:t>13.7</w:t>
            </w:r>
          </w:p>
        </w:tc>
        <w:tc>
          <w:tcPr>
            <w:tcW w:w="1012" w:type="dxa"/>
          </w:tcPr>
          <w:p w14:paraId="67056712" w14:textId="1E5DCBDF" w:rsidR="00343894" w:rsidRPr="007E512D" w:rsidRDefault="001E65FF" w:rsidP="00343894">
            <w:pPr>
              <w:cnfStyle w:val="000000100000" w:firstRow="0" w:lastRow="0" w:firstColumn="0" w:lastColumn="0" w:oddVBand="0" w:evenVBand="0" w:oddHBand="1" w:evenHBand="0" w:firstRowFirstColumn="0" w:firstRowLastColumn="0" w:lastRowFirstColumn="0" w:lastRowLastColumn="0"/>
            </w:pPr>
            <w:r>
              <w:t>48.8</w:t>
            </w:r>
          </w:p>
        </w:tc>
        <w:tc>
          <w:tcPr>
            <w:tcW w:w="1013" w:type="dxa"/>
          </w:tcPr>
          <w:p w14:paraId="5550137A" w14:textId="0F62F1CC" w:rsidR="00343894" w:rsidRPr="007E512D" w:rsidRDefault="001E65FF" w:rsidP="00343894">
            <w:pPr>
              <w:cnfStyle w:val="000000100000" w:firstRow="0" w:lastRow="0" w:firstColumn="0" w:lastColumn="0" w:oddVBand="0" w:evenVBand="0" w:oddHBand="1" w:evenHBand="0" w:firstRowFirstColumn="0" w:firstRowLastColumn="0" w:lastRowFirstColumn="0" w:lastRowLastColumn="0"/>
            </w:pPr>
            <w:r>
              <w:t>23.6</w:t>
            </w:r>
          </w:p>
        </w:tc>
        <w:tc>
          <w:tcPr>
            <w:tcW w:w="1012" w:type="dxa"/>
          </w:tcPr>
          <w:p w14:paraId="7C080569" w14:textId="61E2D308"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85.</w:t>
            </w:r>
            <w:r w:rsidR="00B40AC6">
              <w:t>7</w:t>
            </w:r>
          </w:p>
        </w:tc>
        <w:tc>
          <w:tcPr>
            <w:tcW w:w="1013" w:type="dxa"/>
          </w:tcPr>
          <w:p w14:paraId="5AC48208" w14:textId="55C6D563"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16.</w:t>
            </w:r>
            <w:r w:rsidR="00B40AC6">
              <w:t>9</w:t>
            </w:r>
          </w:p>
        </w:tc>
        <w:tc>
          <w:tcPr>
            <w:tcW w:w="1012" w:type="dxa"/>
          </w:tcPr>
          <w:p w14:paraId="3FBD5488" w14:textId="47F51DFE"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rsidRPr="007E512D">
              <w:t>4</w:t>
            </w:r>
            <w:r>
              <w:t>8</w:t>
            </w:r>
            <w:r w:rsidR="00343894" w:rsidRPr="007E512D">
              <w:t>.8</w:t>
            </w:r>
          </w:p>
        </w:tc>
        <w:tc>
          <w:tcPr>
            <w:tcW w:w="1013" w:type="dxa"/>
          </w:tcPr>
          <w:p w14:paraId="5D60C743" w14:textId="218C69C0"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rsidRPr="007E512D">
              <w:t>1</w:t>
            </w:r>
            <w:r>
              <w:t>8</w:t>
            </w:r>
            <w:r w:rsidR="00343894" w:rsidRPr="007E512D">
              <w:t>.6</w:t>
            </w:r>
          </w:p>
        </w:tc>
        <w:tc>
          <w:tcPr>
            <w:tcW w:w="1012" w:type="dxa"/>
          </w:tcPr>
          <w:p w14:paraId="64C937B8" w14:textId="22C1A160"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-2.</w:t>
            </w:r>
            <w:r w:rsidR="00B40AC6">
              <w:t>9</w:t>
            </w:r>
            <w:r w:rsidRPr="007E512D">
              <w:t>%</w:t>
            </w:r>
          </w:p>
        </w:tc>
        <w:tc>
          <w:tcPr>
            <w:tcW w:w="1013" w:type="dxa"/>
          </w:tcPr>
          <w:p w14:paraId="166B7AA4" w14:textId="7958A34F"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19.1</w:t>
            </w:r>
            <w:r w:rsidR="00343894" w:rsidRPr="007E512D">
              <w:t>%</w:t>
            </w:r>
          </w:p>
        </w:tc>
        <w:tc>
          <w:tcPr>
            <w:tcW w:w="1012" w:type="dxa"/>
          </w:tcPr>
          <w:p w14:paraId="344CB587" w14:textId="587DF9D2"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0.1</w:t>
            </w:r>
            <w:r w:rsidR="00343894" w:rsidRPr="007E512D">
              <w:t>%</w:t>
            </w:r>
          </w:p>
        </w:tc>
        <w:tc>
          <w:tcPr>
            <w:tcW w:w="1013" w:type="dxa"/>
          </w:tcPr>
          <w:p w14:paraId="7DDCCE9C" w14:textId="73E5CB52"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w:t>
            </w:r>
            <w:r w:rsidR="00B40AC6">
              <w:t>27.0</w:t>
            </w:r>
            <w:r w:rsidRPr="007E512D">
              <w:t>%</w:t>
            </w:r>
          </w:p>
        </w:tc>
      </w:tr>
      <w:tr w:rsidR="00343894" w:rsidRPr="007E512D" w14:paraId="7EB6B151" w14:textId="77777777" w:rsidTr="00754D9F">
        <w:tc>
          <w:tcPr>
            <w:cnfStyle w:val="001000000000" w:firstRow="0" w:lastRow="0" w:firstColumn="1" w:lastColumn="0" w:oddVBand="0" w:evenVBand="0" w:oddHBand="0" w:evenHBand="0" w:firstRowFirstColumn="0" w:firstRowLastColumn="0" w:lastRowFirstColumn="0" w:lastRowLastColumn="0"/>
            <w:tcW w:w="918" w:type="dxa"/>
          </w:tcPr>
          <w:p w14:paraId="671035FF" w14:textId="77777777" w:rsidR="00343894" w:rsidRPr="007E512D" w:rsidRDefault="00343894" w:rsidP="00343894">
            <w:pPr>
              <w:rPr>
                <w:b w:val="0"/>
                <w:bCs w:val="0"/>
              </w:rPr>
            </w:pPr>
            <w:r w:rsidRPr="007E512D">
              <w:t>2015</w:t>
            </w:r>
          </w:p>
        </w:tc>
        <w:tc>
          <w:tcPr>
            <w:tcW w:w="1012" w:type="dxa"/>
          </w:tcPr>
          <w:p w14:paraId="73F47537" w14:textId="51B6076B"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52.</w:t>
            </w:r>
            <w:r w:rsidR="00022C52">
              <w:t>5</w:t>
            </w:r>
          </w:p>
        </w:tc>
        <w:tc>
          <w:tcPr>
            <w:tcW w:w="1013" w:type="dxa"/>
          </w:tcPr>
          <w:p w14:paraId="0441A94F" w14:textId="4F476CCF" w:rsidR="00343894" w:rsidRPr="007E512D" w:rsidRDefault="001E65FF" w:rsidP="00343894">
            <w:pPr>
              <w:cnfStyle w:val="000000000000" w:firstRow="0" w:lastRow="0" w:firstColumn="0" w:lastColumn="0" w:oddVBand="0" w:evenVBand="0" w:oddHBand="0" w:evenHBand="0" w:firstRowFirstColumn="0" w:firstRowLastColumn="0" w:lastRowFirstColumn="0" w:lastRowLastColumn="0"/>
            </w:pPr>
            <w:r>
              <w:t>10.3</w:t>
            </w:r>
          </w:p>
        </w:tc>
        <w:tc>
          <w:tcPr>
            <w:tcW w:w="1012" w:type="dxa"/>
          </w:tcPr>
          <w:p w14:paraId="6608E595" w14:textId="02263258" w:rsidR="00343894" w:rsidRPr="007E512D" w:rsidRDefault="001E65FF" w:rsidP="00343894">
            <w:pPr>
              <w:cnfStyle w:val="000000000000" w:firstRow="0" w:lastRow="0" w:firstColumn="0" w:lastColumn="0" w:oddVBand="0" w:evenVBand="0" w:oddHBand="0" w:evenHBand="0" w:firstRowFirstColumn="0" w:firstRowLastColumn="0" w:lastRowFirstColumn="0" w:lastRowLastColumn="0"/>
            </w:pPr>
            <w:r>
              <w:t>27.5</w:t>
            </w:r>
          </w:p>
        </w:tc>
        <w:tc>
          <w:tcPr>
            <w:tcW w:w="1013" w:type="dxa"/>
          </w:tcPr>
          <w:p w14:paraId="7E5C7392" w14:textId="0E661816"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13.</w:t>
            </w:r>
            <w:r w:rsidR="001E65FF">
              <w:t>0</w:t>
            </w:r>
          </w:p>
        </w:tc>
        <w:tc>
          <w:tcPr>
            <w:tcW w:w="1012" w:type="dxa"/>
          </w:tcPr>
          <w:p w14:paraId="3BCA9E34" w14:textId="7DB6CDB8"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52.</w:t>
            </w:r>
            <w:r w:rsidR="00B40AC6">
              <w:t>5</w:t>
            </w:r>
          </w:p>
        </w:tc>
        <w:tc>
          <w:tcPr>
            <w:tcW w:w="1013" w:type="dxa"/>
          </w:tcPr>
          <w:p w14:paraId="6723F599" w14:textId="68FF18DB" w:rsidR="00343894" w:rsidRPr="007E512D" w:rsidRDefault="00B40AC6" w:rsidP="00343894">
            <w:pPr>
              <w:cnfStyle w:val="000000000000" w:firstRow="0" w:lastRow="0" w:firstColumn="0" w:lastColumn="0" w:oddVBand="0" w:evenVBand="0" w:oddHBand="0" w:evenHBand="0" w:firstRowFirstColumn="0" w:firstRowLastColumn="0" w:lastRowFirstColumn="0" w:lastRowLastColumn="0"/>
            </w:pPr>
            <w:r>
              <w:t>14.1</w:t>
            </w:r>
          </w:p>
        </w:tc>
        <w:tc>
          <w:tcPr>
            <w:tcW w:w="1012" w:type="dxa"/>
          </w:tcPr>
          <w:p w14:paraId="6991DE13" w14:textId="1D698412"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28.</w:t>
            </w:r>
            <w:r w:rsidR="00B40AC6">
              <w:t>9</w:t>
            </w:r>
          </w:p>
        </w:tc>
        <w:tc>
          <w:tcPr>
            <w:tcW w:w="1013" w:type="dxa"/>
          </w:tcPr>
          <w:p w14:paraId="1C016389" w14:textId="73FC5956" w:rsidR="00343894" w:rsidRPr="007E512D" w:rsidRDefault="00B40AC6" w:rsidP="00343894">
            <w:pPr>
              <w:cnfStyle w:val="000000000000" w:firstRow="0" w:lastRow="0" w:firstColumn="0" w:lastColumn="0" w:oddVBand="0" w:evenVBand="0" w:oddHBand="0" w:evenHBand="0" w:firstRowFirstColumn="0" w:firstRowLastColumn="0" w:lastRowFirstColumn="0" w:lastRowLastColumn="0"/>
            </w:pPr>
            <w:r>
              <w:t>8.8</w:t>
            </w:r>
          </w:p>
        </w:tc>
        <w:tc>
          <w:tcPr>
            <w:tcW w:w="1012" w:type="dxa"/>
          </w:tcPr>
          <w:p w14:paraId="7C543012" w14:textId="32FC3E4A"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-0.</w:t>
            </w:r>
            <w:r w:rsidR="00B40AC6">
              <w:t>1</w:t>
            </w:r>
            <w:r w:rsidRPr="007E512D">
              <w:t>%</w:t>
            </w:r>
          </w:p>
        </w:tc>
        <w:tc>
          <w:tcPr>
            <w:tcW w:w="1013" w:type="dxa"/>
          </w:tcPr>
          <w:p w14:paraId="44C5104F" w14:textId="11EE7514" w:rsidR="00343894" w:rsidRPr="007E512D" w:rsidRDefault="00B40AC6" w:rsidP="00343894">
            <w:pPr>
              <w:cnfStyle w:val="000000000000" w:firstRow="0" w:lastRow="0" w:firstColumn="0" w:lastColumn="0" w:oddVBand="0" w:evenVBand="0" w:oddHBand="0" w:evenHBand="0" w:firstRowFirstColumn="0" w:firstRowLastColumn="0" w:lastRowFirstColumn="0" w:lastRowLastColumn="0"/>
            </w:pPr>
            <w:r>
              <w:t>27.1</w:t>
            </w:r>
            <w:r w:rsidR="00343894" w:rsidRPr="007E512D">
              <w:t>%</w:t>
            </w:r>
          </w:p>
        </w:tc>
        <w:tc>
          <w:tcPr>
            <w:tcW w:w="1012" w:type="dxa"/>
          </w:tcPr>
          <w:p w14:paraId="570F8495" w14:textId="040E2BBA" w:rsidR="00343894" w:rsidRPr="007E512D" w:rsidRDefault="00B40AC6" w:rsidP="00343894">
            <w:pPr>
              <w:cnfStyle w:val="000000000000" w:firstRow="0" w:lastRow="0" w:firstColumn="0" w:lastColumn="0" w:oddVBand="0" w:evenVBand="0" w:oddHBand="0" w:evenHBand="0" w:firstRowFirstColumn="0" w:firstRowLastColumn="0" w:lastRowFirstColumn="0" w:lastRowLastColumn="0"/>
            </w:pPr>
            <w:r>
              <w:t>5</w:t>
            </w:r>
            <w:r w:rsidR="00343894" w:rsidRPr="007E512D">
              <w:t>.0%</w:t>
            </w:r>
          </w:p>
        </w:tc>
        <w:tc>
          <w:tcPr>
            <w:tcW w:w="1013" w:type="dxa"/>
          </w:tcPr>
          <w:p w14:paraId="095E38D3" w14:textId="2EB03F89"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w:t>
            </w:r>
            <w:r w:rsidR="00B40AC6">
              <w:t>48.8</w:t>
            </w:r>
            <w:r w:rsidRPr="007E512D">
              <w:t>%</w:t>
            </w:r>
          </w:p>
        </w:tc>
      </w:tr>
      <w:tr w:rsidR="00343894" w:rsidRPr="007E512D" w14:paraId="376BD1FC" w14:textId="77777777" w:rsidTr="00D22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bottom w:val="single" w:sz="4" w:space="0" w:color="auto"/>
            </w:tcBorders>
          </w:tcPr>
          <w:p w14:paraId="41BD793F" w14:textId="77777777" w:rsidR="00343894" w:rsidRPr="007E512D" w:rsidRDefault="00343894" w:rsidP="00343894">
            <w:pPr>
              <w:rPr>
                <w:b w:val="0"/>
                <w:bCs w:val="0"/>
              </w:rPr>
            </w:pPr>
            <w:r w:rsidRPr="007E512D">
              <w:t>2016</w:t>
            </w:r>
          </w:p>
        </w:tc>
        <w:tc>
          <w:tcPr>
            <w:tcW w:w="1012" w:type="dxa"/>
            <w:tcBorders>
              <w:bottom w:val="single" w:sz="4" w:space="0" w:color="auto"/>
            </w:tcBorders>
          </w:tcPr>
          <w:p w14:paraId="1CE13371" w14:textId="3A8230C1" w:rsidR="00343894" w:rsidRPr="007E512D" w:rsidRDefault="00022C52" w:rsidP="00343894">
            <w:pPr>
              <w:cnfStyle w:val="000000100000" w:firstRow="0" w:lastRow="0" w:firstColumn="0" w:lastColumn="0" w:oddVBand="0" w:evenVBand="0" w:oddHBand="1" w:evenHBand="0" w:firstRowFirstColumn="0" w:firstRowLastColumn="0" w:lastRowFirstColumn="0" w:lastRowLastColumn="0"/>
            </w:pPr>
            <w:r>
              <w:t>38.9</w:t>
            </w:r>
          </w:p>
        </w:tc>
        <w:tc>
          <w:tcPr>
            <w:tcW w:w="1013" w:type="dxa"/>
            <w:tcBorders>
              <w:bottom w:val="single" w:sz="4" w:space="0" w:color="auto"/>
            </w:tcBorders>
          </w:tcPr>
          <w:p w14:paraId="067F2975" w14:textId="2F95289E" w:rsidR="00343894" w:rsidRPr="007E512D" w:rsidRDefault="001E65FF" w:rsidP="00343894">
            <w:pPr>
              <w:cnfStyle w:val="000000100000" w:firstRow="0" w:lastRow="0" w:firstColumn="0" w:lastColumn="0" w:oddVBand="0" w:evenVBand="0" w:oddHBand="1" w:evenHBand="0" w:firstRowFirstColumn="0" w:firstRowLastColumn="0" w:lastRowFirstColumn="0" w:lastRowLastColumn="0"/>
            </w:pPr>
            <w:r>
              <w:t>8.3</w:t>
            </w:r>
          </w:p>
        </w:tc>
        <w:tc>
          <w:tcPr>
            <w:tcW w:w="1012" w:type="dxa"/>
            <w:tcBorders>
              <w:bottom w:val="single" w:sz="4" w:space="0" w:color="auto"/>
            </w:tcBorders>
          </w:tcPr>
          <w:p w14:paraId="576611D8" w14:textId="0843FA56" w:rsidR="00343894" w:rsidRPr="007E512D" w:rsidRDefault="001E65FF" w:rsidP="00343894">
            <w:pPr>
              <w:cnfStyle w:val="000000100000" w:firstRow="0" w:lastRow="0" w:firstColumn="0" w:lastColumn="0" w:oddVBand="0" w:evenVBand="0" w:oddHBand="1" w:evenHBand="0" w:firstRowFirstColumn="0" w:firstRowLastColumn="0" w:lastRowFirstColumn="0" w:lastRowLastColumn="0"/>
            </w:pPr>
            <w:r>
              <w:t>21.3</w:t>
            </w:r>
          </w:p>
        </w:tc>
        <w:tc>
          <w:tcPr>
            <w:tcW w:w="1013" w:type="dxa"/>
            <w:tcBorders>
              <w:bottom w:val="single" w:sz="4" w:space="0" w:color="auto"/>
            </w:tcBorders>
          </w:tcPr>
          <w:p w14:paraId="01C768FC" w14:textId="32E76CEA"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8.</w:t>
            </w:r>
            <w:r w:rsidR="001E65FF">
              <w:t>4</w:t>
            </w:r>
          </w:p>
        </w:tc>
        <w:tc>
          <w:tcPr>
            <w:tcW w:w="1012" w:type="dxa"/>
            <w:tcBorders>
              <w:bottom w:val="single" w:sz="4" w:space="0" w:color="auto"/>
            </w:tcBorders>
          </w:tcPr>
          <w:p w14:paraId="5A133308" w14:textId="734A2545"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40.2</w:t>
            </w:r>
          </w:p>
        </w:tc>
        <w:tc>
          <w:tcPr>
            <w:tcW w:w="1013" w:type="dxa"/>
            <w:tcBorders>
              <w:bottom w:val="single" w:sz="4" w:space="0" w:color="auto"/>
            </w:tcBorders>
          </w:tcPr>
          <w:p w14:paraId="2D99AF8C" w14:textId="7E84C737"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11.</w:t>
            </w:r>
            <w:r w:rsidR="00B40AC6">
              <w:t>5</w:t>
            </w:r>
          </w:p>
        </w:tc>
        <w:tc>
          <w:tcPr>
            <w:tcW w:w="1012" w:type="dxa"/>
            <w:tcBorders>
              <w:bottom w:val="single" w:sz="4" w:space="0" w:color="auto"/>
            </w:tcBorders>
          </w:tcPr>
          <w:p w14:paraId="7BF05F14" w14:textId="46DB92A0"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22.9</w:t>
            </w:r>
          </w:p>
        </w:tc>
        <w:tc>
          <w:tcPr>
            <w:tcW w:w="1013" w:type="dxa"/>
            <w:tcBorders>
              <w:bottom w:val="single" w:sz="4" w:space="0" w:color="auto"/>
            </w:tcBorders>
          </w:tcPr>
          <w:p w14:paraId="4F7C7E92" w14:textId="77777777"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5.5</w:t>
            </w:r>
          </w:p>
        </w:tc>
        <w:tc>
          <w:tcPr>
            <w:tcW w:w="1012" w:type="dxa"/>
            <w:tcBorders>
              <w:bottom w:val="single" w:sz="4" w:space="0" w:color="auto"/>
            </w:tcBorders>
          </w:tcPr>
          <w:p w14:paraId="76108E10" w14:textId="7094D186"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3.</w:t>
            </w:r>
            <w:r w:rsidR="00B40AC6">
              <w:t>2</w:t>
            </w:r>
            <w:r w:rsidRPr="007E512D">
              <w:t>%</w:t>
            </w:r>
          </w:p>
        </w:tc>
        <w:tc>
          <w:tcPr>
            <w:tcW w:w="1013" w:type="dxa"/>
            <w:tcBorders>
              <w:bottom w:val="single" w:sz="4" w:space="0" w:color="auto"/>
            </w:tcBorders>
          </w:tcPr>
          <w:p w14:paraId="7426F2A5" w14:textId="1836F3E0"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27.9</w:t>
            </w:r>
            <w:r w:rsidR="00343894" w:rsidRPr="007E512D">
              <w:t>%</w:t>
            </w:r>
          </w:p>
        </w:tc>
        <w:tc>
          <w:tcPr>
            <w:tcW w:w="1012" w:type="dxa"/>
            <w:tcBorders>
              <w:bottom w:val="single" w:sz="4" w:space="0" w:color="auto"/>
            </w:tcBorders>
          </w:tcPr>
          <w:p w14:paraId="1537A772" w14:textId="0F3684F6" w:rsidR="00343894" w:rsidRPr="007E512D" w:rsidRDefault="00B40AC6" w:rsidP="00343894">
            <w:pPr>
              <w:cnfStyle w:val="000000100000" w:firstRow="0" w:lastRow="0" w:firstColumn="0" w:lastColumn="0" w:oddVBand="0" w:evenVBand="0" w:oddHBand="1" w:evenHBand="0" w:firstRowFirstColumn="0" w:firstRowLastColumn="0" w:lastRowFirstColumn="0" w:lastRowLastColumn="0"/>
            </w:pPr>
            <w:r>
              <w:t>6.7</w:t>
            </w:r>
            <w:r w:rsidR="00343894" w:rsidRPr="007E512D">
              <w:t>%</w:t>
            </w:r>
          </w:p>
        </w:tc>
        <w:tc>
          <w:tcPr>
            <w:tcW w:w="1013" w:type="dxa"/>
            <w:tcBorders>
              <w:bottom w:val="single" w:sz="4" w:space="0" w:color="auto"/>
            </w:tcBorders>
          </w:tcPr>
          <w:p w14:paraId="131F6B80" w14:textId="399787C4"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w:t>
            </w:r>
            <w:r w:rsidR="00B40AC6">
              <w:t>51.9</w:t>
            </w:r>
            <w:r w:rsidRPr="007E512D">
              <w:t>%</w:t>
            </w:r>
          </w:p>
        </w:tc>
      </w:tr>
      <w:tr w:rsidR="00343894" w:rsidRPr="007E512D" w14:paraId="773CB114" w14:textId="77777777" w:rsidTr="00754D9F">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bottom w:val="single" w:sz="4" w:space="0" w:color="auto"/>
            </w:tcBorders>
          </w:tcPr>
          <w:p w14:paraId="7514F695" w14:textId="77777777" w:rsidR="00343894" w:rsidRPr="007E512D" w:rsidRDefault="00343894" w:rsidP="00343894"/>
        </w:tc>
        <w:tc>
          <w:tcPr>
            <w:tcW w:w="4050" w:type="dxa"/>
            <w:gridSpan w:val="4"/>
            <w:tcBorders>
              <w:top w:val="single" w:sz="4" w:space="0" w:color="auto"/>
              <w:bottom w:val="single" w:sz="4" w:space="0" w:color="auto"/>
            </w:tcBorders>
          </w:tcPr>
          <w:p w14:paraId="438AA00E" w14:textId="7F6447BB" w:rsidR="00343894" w:rsidRPr="00D629B7" w:rsidRDefault="00343894" w:rsidP="00343894">
            <w:pPr>
              <w:cnfStyle w:val="000000000000" w:firstRow="0" w:lastRow="0" w:firstColumn="0" w:lastColumn="0" w:oddVBand="0" w:evenVBand="0" w:oddHBand="0" w:evenHBand="0" w:firstRowFirstColumn="0" w:firstRowLastColumn="0" w:lastRowFirstColumn="0" w:lastRowLastColumn="0"/>
              <w:rPr>
                <w:b/>
              </w:rPr>
            </w:pPr>
            <w:r w:rsidRPr="00D629B7">
              <w:rPr>
                <w:b/>
                <w:bCs/>
              </w:rPr>
              <w:t xml:space="preserve">Full Model </w:t>
            </w:r>
            <w:r>
              <w:rPr>
                <w:b/>
                <w:bCs/>
              </w:rPr>
              <w:t>2</w:t>
            </w:r>
          </w:p>
        </w:tc>
        <w:tc>
          <w:tcPr>
            <w:tcW w:w="4050" w:type="dxa"/>
            <w:gridSpan w:val="4"/>
            <w:tcBorders>
              <w:top w:val="single" w:sz="4" w:space="0" w:color="auto"/>
              <w:bottom w:val="single" w:sz="4" w:space="0" w:color="auto"/>
            </w:tcBorders>
          </w:tcPr>
          <w:p w14:paraId="1FCFB05A" w14:textId="2C17750E" w:rsidR="00343894" w:rsidRPr="00EC6031" w:rsidRDefault="00343894" w:rsidP="00343894">
            <w:pPr>
              <w:cnfStyle w:val="000000000000" w:firstRow="0" w:lastRow="0" w:firstColumn="0" w:lastColumn="0" w:oddVBand="0" w:evenVBand="0" w:oddHBand="0" w:evenHBand="0" w:firstRowFirstColumn="0" w:firstRowLastColumn="0" w:lastRowFirstColumn="0" w:lastRowLastColumn="0"/>
              <w:rPr>
                <w:b/>
              </w:rPr>
            </w:pPr>
            <w:r w:rsidRPr="00EC6031">
              <w:rPr>
                <w:b/>
                <w:bCs/>
              </w:rPr>
              <w:t xml:space="preserve">Model </w:t>
            </w:r>
            <w:r>
              <w:rPr>
                <w:b/>
                <w:bCs/>
              </w:rPr>
              <w:t>2</w:t>
            </w:r>
            <w:r w:rsidRPr="00EC6031">
              <w:rPr>
                <w:b/>
                <w:bCs/>
              </w:rPr>
              <w:t xml:space="preserve"> with direct effects only</w:t>
            </w:r>
          </w:p>
        </w:tc>
        <w:tc>
          <w:tcPr>
            <w:tcW w:w="4050" w:type="dxa"/>
            <w:gridSpan w:val="4"/>
            <w:tcBorders>
              <w:top w:val="single" w:sz="4" w:space="0" w:color="auto"/>
              <w:bottom w:val="single" w:sz="4" w:space="0" w:color="auto"/>
            </w:tcBorders>
          </w:tcPr>
          <w:p w14:paraId="0ABFB2D8" w14:textId="4A42DF41" w:rsidR="00343894" w:rsidRPr="00EC6031" w:rsidRDefault="00343894" w:rsidP="00343894">
            <w:pPr>
              <w:cnfStyle w:val="000000000000" w:firstRow="0" w:lastRow="0" w:firstColumn="0" w:lastColumn="0" w:oddVBand="0" w:evenVBand="0" w:oddHBand="0" w:evenHBand="0" w:firstRowFirstColumn="0" w:firstRowLastColumn="0" w:lastRowFirstColumn="0" w:lastRowLastColumn="0"/>
              <w:rPr>
                <w:b/>
              </w:rPr>
            </w:pPr>
            <w:r w:rsidRPr="00EC6031">
              <w:rPr>
                <w:b/>
              </w:rPr>
              <w:t xml:space="preserve">Percent </w:t>
            </w:r>
            <w:r w:rsidRPr="00EC6031">
              <w:rPr>
                <w:b/>
                <w:bCs/>
              </w:rPr>
              <w:t>reduction</w:t>
            </w:r>
            <w:r w:rsidRPr="00EC6031">
              <w:rPr>
                <w:b/>
                <w:bCs/>
                <w:vertAlign w:val="superscript"/>
              </w:rPr>
              <w:t>3</w:t>
            </w:r>
          </w:p>
        </w:tc>
      </w:tr>
      <w:tr w:rsidR="00343894" w:rsidRPr="007E512D" w14:paraId="19C4DF7E" w14:textId="77777777" w:rsidTr="00D22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tcBorders>
          </w:tcPr>
          <w:p w14:paraId="6A3E5550" w14:textId="30BE913F" w:rsidR="00343894" w:rsidRPr="007E512D" w:rsidRDefault="00343894" w:rsidP="00343894">
            <w:r w:rsidRPr="007E512D">
              <w:t>2012</w:t>
            </w:r>
            <w:r w:rsidRPr="007E512D">
              <w:rPr>
                <w:vertAlign w:val="superscript"/>
              </w:rPr>
              <w:t>2</w:t>
            </w:r>
          </w:p>
        </w:tc>
        <w:tc>
          <w:tcPr>
            <w:tcW w:w="1012" w:type="dxa"/>
            <w:tcBorders>
              <w:top w:val="single" w:sz="4" w:space="0" w:color="auto"/>
            </w:tcBorders>
          </w:tcPr>
          <w:p w14:paraId="745BCD7A" w14:textId="05403F1A"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197.</w:t>
            </w:r>
            <w:r w:rsidR="00C47C79">
              <w:t>6</w:t>
            </w:r>
          </w:p>
        </w:tc>
        <w:tc>
          <w:tcPr>
            <w:tcW w:w="1013" w:type="dxa"/>
            <w:tcBorders>
              <w:top w:val="single" w:sz="4" w:space="0" w:color="auto"/>
            </w:tcBorders>
          </w:tcPr>
          <w:p w14:paraId="00E6C559" w14:textId="7493CBB9"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28.7</w:t>
            </w:r>
          </w:p>
        </w:tc>
        <w:tc>
          <w:tcPr>
            <w:tcW w:w="1012" w:type="dxa"/>
            <w:tcBorders>
              <w:top w:val="single" w:sz="4" w:space="0" w:color="auto"/>
            </w:tcBorders>
          </w:tcPr>
          <w:p w14:paraId="302D9CE8" w14:textId="64FB7A6E"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136.3</w:t>
            </w:r>
          </w:p>
        </w:tc>
        <w:tc>
          <w:tcPr>
            <w:tcW w:w="1013" w:type="dxa"/>
            <w:tcBorders>
              <w:top w:val="single" w:sz="4" w:space="0" w:color="auto"/>
            </w:tcBorders>
          </w:tcPr>
          <w:p w14:paraId="60E94540" w14:textId="1E94C27A"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C01AF4">
              <w:t>31.</w:t>
            </w:r>
            <w:r w:rsidR="00C47C79">
              <w:t>0</w:t>
            </w:r>
          </w:p>
        </w:tc>
        <w:tc>
          <w:tcPr>
            <w:tcW w:w="1012" w:type="dxa"/>
            <w:tcBorders>
              <w:top w:val="single" w:sz="4" w:space="0" w:color="auto"/>
            </w:tcBorders>
          </w:tcPr>
          <w:p w14:paraId="70128CD7" w14:textId="4BF5871B"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200.3</w:t>
            </w:r>
          </w:p>
        </w:tc>
        <w:tc>
          <w:tcPr>
            <w:tcW w:w="1013" w:type="dxa"/>
            <w:tcBorders>
              <w:top w:val="single" w:sz="4" w:space="0" w:color="auto"/>
            </w:tcBorders>
          </w:tcPr>
          <w:p w14:paraId="12B1FB82" w14:textId="254CE6E9"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28.</w:t>
            </w:r>
            <w:r w:rsidR="00C47C79">
              <w:t>9</w:t>
            </w:r>
          </w:p>
        </w:tc>
        <w:tc>
          <w:tcPr>
            <w:tcW w:w="1012" w:type="dxa"/>
            <w:tcBorders>
              <w:top w:val="single" w:sz="4" w:space="0" w:color="auto"/>
            </w:tcBorders>
          </w:tcPr>
          <w:p w14:paraId="510A772D" w14:textId="124332CB"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138.2</w:t>
            </w:r>
          </w:p>
        </w:tc>
        <w:tc>
          <w:tcPr>
            <w:tcW w:w="1013" w:type="dxa"/>
            <w:tcBorders>
              <w:top w:val="single" w:sz="4" w:space="0" w:color="auto"/>
            </w:tcBorders>
          </w:tcPr>
          <w:p w14:paraId="198AE818" w14:textId="3700476D"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31.6</w:t>
            </w:r>
          </w:p>
        </w:tc>
        <w:tc>
          <w:tcPr>
            <w:tcW w:w="1012" w:type="dxa"/>
            <w:tcBorders>
              <w:top w:val="single" w:sz="4" w:space="0" w:color="auto"/>
            </w:tcBorders>
          </w:tcPr>
          <w:p w14:paraId="00F6A608" w14:textId="6BC09EED"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1.3%</w:t>
            </w:r>
          </w:p>
        </w:tc>
        <w:tc>
          <w:tcPr>
            <w:tcW w:w="1013" w:type="dxa"/>
            <w:tcBorders>
              <w:top w:val="single" w:sz="4" w:space="0" w:color="auto"/>
            </w:tcBorders>
          </w:tcPr>
          <w:p w14:paraId="114C350F" w14:textId="20C0E47C"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w:t>
            </w:r>
            <w:r w:rsidR="00283FC2">
              <w:t>0</w:t>
            </w:r>
            <w:r w:rsidRPr="007E512D">
              <w:t>%</w:t>
            </w:r>
          </w:p>
        </w:tc>
        <w:tc>
          <w:tcPr>
            <w:tcW w:w="1012" w:type="dxa"/>
            <w:tcBorders>
              <w:top w:val="single" w:sz="4" w:space="0" w:color="auto"/>
            </w:tcBorders>
          </w:tcPr>
          <w:p w14:paraId="339C441D" w14:textId="230A3241"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w:t>
            </w:r>
            <w:r w:rsidR="00283FC2">
              <w:t>4</w:t>
            </w:r>
            <w:r w:rsidRPr="007E512D">
              <w:t>%</w:t>
            </w:r>
          </w:p>
        </w:tc>
        <w:tc>
          <w:tcPr>
            <w:tcW w:w="1013" w:type="dxa"/>
            <w:tcBorders>
              <w:top w:val="single" w:sz="4" w:space="0" w:color="auto"/>
            </w:tcBorders>
          </w:tcPr>
          <w:p w14:paraId="0CEDCC57" w14:textId="5936ACD9"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1.</w:t>
            </w:r>
            <w:r w:rsidR="00283FC2">
              <w:t>7</w:t>
            </w:r>
            <w:r w:rsidRPr="007E512D">
              <w:t>%</w:t>
            </w:r>
          </w:p>
        </w:tc>
      </w:tr>
      <w:tr w:rsidR="00343894" w:rsidRPr="007E512D" w14:paraId="50571B89" w14:textId="77777777" w:rsidTr="00754D9F">
        <w:tc>
          <w:tcPr>
            <w:cnfStyle w:val="001000000000" w:firstRow="0" w:lastRow="0" w:firstColumn="1" w:lastColumn="0" w:oddVBand="0" w:evenVBand="0" w:oddHBand="0" w:evenHBand="0" w:firstRowFirstColumn="0" w:firstRowLastColumn="0" w:lastRowFirstColumn="0" w:lastRowLastColumn="0"/>
            <w:tcW w:w="918" w:type="dxa"/>
          </w:tcPr>
          <w:p w14:paraId="795C3B47" w14:textId="38C836AE" w:rsidR="00343894" w:rsidRPr="007E512D" w:rsidRDefault="00343894" w:rsidP="00343894">
            <w:r w:rsidRPr="007E512D">
              <w:t>2013</w:t>
            </w:r>
          </w:p>
        </w:tc>
        <w:tc>
          <w:tcPr>
            <w:tcW w:w="1012" w:type="dxa"/>
          </w:tcPr>
          <w:p w14:paraId="625B074E" w14:textId="2191D461"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179.7</w:t>
            </w:r>
          </w:p>
        </w:tc>
        <w:tc>
          <w:tcPr>
            <w:tcW w:w="1013" w:type="dxa"/>
          </w:tcPr>
          <w:p w14:paraId="5934268F" w14:textId="728D5504"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t>23.</w:t>
            </w:r>
            <w:r w:rsidR="00C47C79">
              <w:t>1</w:t>
            </w:r>
          </w:p>
        </w:tc>
        <w:tc>
          <w:tcPr>
            <w:tcW w:w="1012" w:type="dxa"/>
          </w:tcPr>
          <w:p w14:paraId="40B81304" w14:textId="33037B1B"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115.4</w:t>
            </w:r>
          </w:p>
        </w:tc>
        <w:tc>
          <w:tcPr>
            <w:tcW w:w="1013" w:type="dxa"/>
          </w:tcPr>
          <w:p w14:paraId="70BE5CD6" w14:textId="27969001"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39.4</w:t>
            </w:r>
          </w:p>
        </w:tc>
        <w:tc>
          <w:tcPr>
            <w:tcW w:w="1012" w:type="dxa"/>
          </w:tcPr>
          <w:p w14:paraId="51FC7C85" w14:textId="64DE4B57"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178.3</w:t>
            </w:r>
          </w:p>
        </w:tc>
        <w:tc>
          <w:tcPr>
            <w:tcW w:w="1013" w:type="dxa"/>
          </w:tcPr>
          <w:p w14:paraId="5E41E10B" w14:textId="3EFD467C"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24.0</w:t>
            </w:r>
          </w:p>
        </w:tc>
        <w:tc>
          <w:tcPr>
            <w:tcW w:w="1012" w:type="dxa"/>
          </w:tcPr>
          <w:p w14:paraId="20633DF6" w14:textId="1585E2E2"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113.4</w:t>
            </w:r>
          </w:p>
        </w:tc>
        <w:tc>
          <w:tcPr>
            <w:tcW w:w="1013" w:type="dxa"/>
          </w:tcPr>
          <w:p w14:paraId="1A4CCD7A" w14:textId="4C5DB7CA"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39.2</w:t>
            </w:r>
          </w:p>
        </w:tc>
        <w:tc>
          <w:tcPr>
            <w:tcW w:w="1012" w:type="dxa"/>
          </w:tcPr>
          <w:p w14:paraId="0F738343" w14:textId="4260A95C"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w:t>
            </w:r>
            <w:r>
              <w:t>0</w:t>
            </w:r>
            <w:r w:rsidRPr="007E512D">
              <w:t>.</w:t>
            </w:r>
            <w:r w:rsidR="000D665C">
              <w:t>8</w:t>
            </w:r>
            <w:r w:rsidRPr="007E512D">
              <w:t>%</w:t>
            </w:r>
          </w:p>
        </w:tc>
        <w:tc>
          <w:tcPr>
            <w:tcW w:w="1013" w:type="dxa"/>
          </w:tcPr>
          <w:p w14:paraId="5D7F4ED2" w14:textId="114DF442" w:rsidR="00343894" w:rsidRPr="007E512D" w:rsidRDefault="00283FC2" w:rsidP="00343894">
            <w:pPr>
              <w:cnfStyle w:val="000000000000" w:firstRow="0" w:lastRow="0" w:firstColumn="0" w:lastColumn="0" w:oddVBand="0" w:evenVBand="0" w:oddHBand="0" w:evenHBand="0" w:firstRowFirstColumn="0" w:firstRowLastColumn="0" w:lastRowFirstColumn="0" w:lastRowLastColumn="0"/>
            </w:pPr>
            <w:r>
              <w:t>3.4</w:t>
            </w:r>
            <w:r w:rsidR="00343894" w:rsidRPr="007E512D">
              <w:t>%</w:t>
            </w:r>
          </w:p>
        </w:tc>
        <w:tc>
          <w:tcPr>
            <w:tcW w:w="1012" w:type="dxa"/>
          </w:tcPr>
          <w:p w14:paraId="77FFB1F1" w14:textId="76A0468A"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w:t>
            </w:r>
            <w:r>
              <w:t>1.</w:t>
            </w:r>
            <w:r w:rsidR="00283FC2">
              <w:t>7</w:t>
            </w:r>
            <w:r w:rsidRPr="007E512D">
              <w:t>%</w:t>
            </w:r>
          </w:p>
        </w:tc>
        <w:tc>
          <w:tcPr>
            <w:tcW w:w="1013" w:type="dxa"/>
          </w:tcPr>
          <w:p w14:paraId="275A5AB8" w14:textId="7DBF0FAB" w:rsidR="00343894" w:rsidRPr="007E512D" w:rsidRDefault="00283FC2" w:rsidP="00343894">
            <w:pPr>
              <w:cnfStyle w:val="000000000000" w:firstRow="0" w:lastRow="0" w:firstColumn="0" w:lastColumn="0" w:oddVBand="0" w:evenVBand="0" w:oddHBand="0" w:evenHBand="0" w:firstRowFirstColumn="0" w:firstRowLastColumn="0" w:lastRowFirstColumn="0" w:lastRowLastColumn="0"/>
            </w:pPr>
            <w:r>
              <w:t>-</w:t>
            </w:r>
            <w:r w:rsidR="00343894" w:rsidRPr="007E512D">
              <w:t>0.</w:t>
            </w:r>
            <w:r>
              <w:t>6</w:t>
            </w:r>
            <w:r w:rsidR="00343894" w:rsidRPr="007E512D">
              <w:t>%</w:t>
            </w:r>
          </w:p>
        </w:tc>
      </w:tr>
      <w:tr w:rsidR="00343894" w:rsidRPr="007E512D" w14:paraId="1D7344DA"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30253828" w14:textId="6A252FBE" w:rsidR="00343894" w:rsidRPr="007E512D" w:rsidRDefault="00343894" w:rsidP="00343894">
            <w:r w:rsidRPr="007E512D">
              <w:t>2014</w:t>
            </w:r>
          </w:p>
        </w:tc>
        <w:tc>
          <w:tcPr>
            <w:tcW w:w="1012" w:type="dxa"/>
          </w:tcPr>
          <w:p w14:paraId="1EE82043" w14:textId="25C916EC"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128.5</w:t>
            </w:r>
          </w:p>
        </w:tc>
        <w:tc>
          <w:tcPr>
            <w:tcW w:w="1013" w:type="dxa"/>
          </w:tcPr>
          <w:p w14:paraId="4A2A79FD" w14:textId="2E8122B1"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18.3</w:t>
            </w:r>
          </w:p>
        </w:tc>
        <w:tc>
          <w:tcPr>
            <w:tcW w:w="1012" w:type="dxa"/>
          </w:tcPr>
          <w:p w14:paraId="5A96BBF8" w14:textId="0831E7D9"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77.3</w:t>
            </w:r>
          </w:p>
        </w:tc>
        <w:tc>
          <w:tcPr>
            <w:tcW w:w="1013" w:type="dxa"/>
          </w:tcPr>
          <w:p w14:paraId="63B609DC" w14:textId="7D982C5F"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31.0</w:t>
            </w:r>
          </w:p>
        </w:tc>
        <w:tc>
          <w:tcPr>
            <w:tcW w:w="1012" w:type="dxa"/>
          </w:tcPr>
          <w:p w14:paraId="59A524EC" w14:textId="51EB2FB9"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127.2</w:t>
            </w:r>
          </w:p>
        </w:tc>
        <w:tc>
          <w:tcPr>
            <w:tcW w:w="1013" w:type="dxa"/>
          </w:tcPr>
          <w:p w14:paraId="2F865012" w14:textId="4692A5BF"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20.6</w:t>
            </w:r>
          </w:p>
        </w:tc>
        <w:tc>
          <w:tcPr>
            <w:tcW w:w="1012" w:type="dxa"/>
          </w:tcPr>
          <w:p w14:paraId="4EBA9050" w14:textId="02ED6C8D"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78.0</w:t>
            </w:r>
          </w:p>
        </w:tc>
        <w:tc>
          <w:tcPr>
            <w:tcW w:w="1013" w:type="dxa"/>
          </w:tcPr>
          <w:p w14:paraId="663F3BBB" w14:textId="696A20BB"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27.2</w:t>
            </w:r>
          </w:p>
        </w:tc>
        <w:tc>
          <w:tcPr>
            <w:tcW w:w="1012" w:type="dxa"/>
          </w:tcPr>
          <w:p w14:paraId="22E359A4" w14:textId="2F11EAC9"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w:t>
            </w:r>
            <w:r w:rsidR="000D665C">
              <w:t>1.0</w:t>
            </w:r>
            <w:r w:rsidRPr="007E512D">
              <w:t>%</w:t>
            </w:r>
          </w:p>
        </w:tc>
        <w:tc>
          <w:tcPr>
            <w:tcW w:w="1013" w:type="dxa"/>
          </w:tcPr>
          <w:p w14:paraId="06F2A0DA" w14:textId="5D68FB3B" w:rsidR="00343894" w:rsidRPr="007E512D" w:rsidRDefault="00283FC2" w:rsidP="00343894">
            <w:pPr>
              <w:cnfStyle w:val="000000100000" w:firstRow="0" w:lastRow="0" w:firstColumn="0" w:lastColumn="0" w:oddVBand="0" w:evenVBand="0" w:oddHBand="1" w:evenHBand="0" w:firstRowFirstColumn="0" w:firstRowLastColumn="0" w:lastRowFirstColumn="0" w:lastRowLastColumn="0"/>
            </w:pPr>
            <w:r>
              <w:t>11.0</w:t>
            </w:r>
            <w:r w:rsidR="00343894">
              <w:t>%</w:t>
            </w:r>
          </w:p>
        </w:tc>
        <w:tc>
          <w:tcPr>
            <w:tcW w:w="1012" w:type="dxa"/>
          </w:tcPr>
          <w:p w14:paraId="25118E7C" w14:textId="1F7AFAF3" w:rsidR="00343894" w:rsidRPr="007E512D" w:rsidRDefault="00283FC2" w:rsidP="00343894">
            <w:pPr>
              <w:cnfStyle w:val="000000100000" w:firstRow="0" w:lastRow="0" w:firstColumn="0" w:lastColumn="0" w:oddVBand="0" w:evenVBand="0" w:oddHBand="1" w:evenHBand="0" w:firstRowFirstColumn="0" w:firstRowLastColumn="0" w:lastRowFirstColumn="0" w:lastRowLastColumn="0"/>
            </w:pPr>
            <w:r>
              <w:t>0.9</w:t>
            </w:r>
            <w:r w:rsidR="00343894" w:rsidRPr="007E512D">
              <w:t>%</w:t>
            </w:r>
          </w:p>
        </w:tc>
        <w:tc>
          <w:tcPr>
            <w:tcW w:w="1013" w:type="dxa"/>
          </w:tcPr>
          <w:p w14:paraId="2D93E2DF" w14:textId="4BFA0110"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w:t>
            </w:r>
            <w:r w:rsidR="00283FC2">
              <w:t>14.0</w:t>
            </w:r>
            <w:r w:rsidRPr="007E512D">
              <w:t>%</w:t>
            </w:r>
          </w:p>
        </w:tc>
      </w:tr>
      <w:tr w:rsidR="00343894" w:rsidRPr="007E512D" w14:paraId="7E5AC187" w14:textId="77777777" w:rsidTr="00754D9F">
        <w:tc>
          <w:tcPr>
            <w:cnfStyle w:val="001000000000" w:firstRow="0" w:lastRow="0" w:firstColumn="1" w:lastColumn="0" w:oddVBand="0" w:evenVBand="0" w:oddHBand="0" w:evenHBand="0" w:firstRowFirstColumn="0" w:firstRowLastColumn="0" w:lastRowFirstColumn="0" w:lastRowLastColumn="0"/>
            <w:tcW w:w="918" w:type="dxa"/>
          </w:tcPr>
          <w:p w14:paraId="4BF9D50A" w14:textId="7ABF48BB" w:rsidR="00343894" w:rsidRPr="007E512D" w:rsidRDefault="00343894" w:rsidP="00343894">
            <w:r w:rsidRPr="007E512D">
              <w:t>2015</w:t>
            </w:r>
          </w:p>
        </w:tc>
        <w:tc>
          <w:tcPr>
            <w:tcW w:w="1012" w:type="dxa"/>
          </w:tcPr>
          <w:p w14:paraId="4A6ECACE" w14:textId="510792E9"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t>99.</w:t>
            </w:r>
            <w:r w:rsidR="00C47C79">
              <w:t>9</w:t>
            </w:r>
          </w:p>
        </w:tc>
        <w:tc>
          <w:tcPr>
            <w:tcW w:w="1013" w:type="dxa"/>
          </w:tcPr>
          <w:p w14:paraId="17672970" w14:textId="2A9BD527"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15.4</w:t>
            </w:r>
          </w:p>
        </w:tc>
        <w:tc>
          <w:tcPr>
            <w:tcW w:w="1012" w:type="dxa"/>
          </w:tcPr>
          <w:p w14:paraId="6BAD770A" w14:textId="374D1136"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60.0</w:t>
            </w:r>
          </w:p>
        </w:tc>
        <w:tc>
          <w:tcPr>
            <w:tcW w:w="1013" w:type="dxa"/>
          </w:tcPr>
          <w:p w14:paraId="78BCB42A" w14:textId="229A0881"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22.6</w:t>
            </w:r>
          </w:p>
        </w:tc>
        <w:tc>
          <w:tcPr>
            <w:tcW w:w="1012" w:type="dxa"/>
          </w:tcPr>
          <w:p w14:paraId="7A58A112" w14:textId="0A450612"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t>98.</w:t>
            </w:r>
            <w:r w:rsidR="00C47C79">
              <w:t>7</w:t>
            </w:r>
          </w:p>
        </w:tc>
        <w:tc>
          <w:tcPr>
            <w:tcW w:w="1013" w:type="dxa"/>
          </w:tcPr>
          <w:p w14:paraId="35282C72" w14:textId="1506A5C7"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t>17.</w:t>
            </w:r>
            <w:r w:rsidR="00C47C79">
              <w:t>9</w:t>
            </w:r>
          </w:p>
        </w:tc>
        <w:tc>
          <w:tcPr>
            <w:tcW w:w="1012" w:type="dxa"/>
          </w:tcPr>
          <w:p w14:paraId="613DE375" w14:textId="3B12707A" w:rsidR="00343894" w:rsidRPr="007E512D" w:rsidRDefault="00C47C79" w:rsidP="00343894">
            <w:pPr>
              <w:cnfStyle w:val="000000000000" w:firstRow="0" w:lastRow="0" w:firstColumn="0" w:lastColumn="0" w:oddVBand="0" w:evenVBand="0" w:oddHBand="0" w:evenHBand="0" w:firstRowFirstColumn="0" w:firstRowLastColumn="0" w:lastRowFirstColumn="0" w:lastRowLastColumn="0"/>
            </w:pPr>
            <w:r>
              <w:t>61.1</w:t>
            </w:r>
          </w:p>
        </w:tc>
        <w:tc>
          <w:tcPr>
            <w:tcW w:w="1013" w:type="dxa"/>
          </w:tcPr>
          <w:p w14:paraId="1E4BFBBD" w14:textId="4D71C01A" w:rsidR="00343894" w:rsidRPr="007E512D" w:rsidRDefault="000D665C" w:rsidP="00343894">
            <w:pPr>
              <w:cnfStyle w:val="000000000000" w:firstRow="0" w:lastRow="0" w:firstColumn="0" w:lastColumn="0" w:oddVBand="0" w:evenVBand="0" w:oddHBand="0" w:evenHBand="0" w:firstRowFirstColumn="0" w:firstRowLastColumn="0" w:lastRowFirstColumn="0" w:lastRowLastColumn="0"/>
            </w:pPr>
            <w:r>
              <w:t>18.6</w:t>
            </w:r>
          </w:p>
        </w:tc>
        <w:tc>
          <w:tcPr>
            <w:tcW w:w="1012" w:type="dxa"/>
          </w:tcPr>
          <w:p w14:paraId="64053B47" w14:textId="75A8246A"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w:t>
            </w:r>
            <w:r w:rsidR="000D665C">
              <w:t>1.2</w:t>
            </w:r>
            <w:r w:rsidRPr="007E512D">
              <w:t>%</w:t>
            </w:r>
          </w:p>
        </w:tc>
        <w:tc>
          <w:tcPr>
            <w:tcW w:w="1013" w:type="dxa"/>
          </w:tcPr>
          <w:p w14:paraId="37C006C8" w14:textId="4E89DD89" w:rsidR="00343894" w:rsidRPr="007E512D" w:rsidRDefault="00283FC2" w:rsidP="00343894">
            <w:pPr>
              <w:cnfStyle w:val="000000000000" w:firstRow="0" w:lastRow="0" w:firstColumn="0" w:lastColumn="0" w:oddVBand="0" w:evenVBand="0" w:oddHBand="0" w:evenHBand="0" w:firstRowFirstColumn="0" w:firstRowLastColumn="0" w:lastRowFirstColumn="0" w:lastRowLastColumn="0"/>
            </w:pPr>
            <w:r>
              <w:t>13.8</w:t>
            </w:r>
            <w:r w:rsidR="00343894" w:rsidRPr="007E512D">
              <w:t>%</w:t>
            </w:r>
          </w:p>
        </w:tc>
        <w:tc>
          <w:tcPr>
            <w:tcW w:w="1012" w:type="dxa"/>
          </w:tcPr>
          <w:p w14:paraId="5CD10763" w14:textId="1A04A152" w:rsidR="00343894" w:rsidRPr="007E512D" w:rsidRDefault="00283FC2" w:rsidP="00343894">
            <w:pPr>
              <w:cnfStyle w:val="000000000000" w:firstRow="0" w:lastRow="0" w:firstColumn="0" w:lastColumn="0" w:oddVBand="0" w:evenVBand="0" w:oddHBand="0" w:evenHBand="0" w:firstRowFirstColumn="0" w:firstRowLastColumn="0" w:lastRowFirstColumn="0" w:lastRowLastColumn="0"/>
            </w:pPr>
            <w:r>
              <w:t>1.8</w:t>
            </w:r>
            <w:r w:rsidR="00343894" w:rsidRPr="007E512D">
              <w:t>%</w:t>
            </w:r>
          </w:p>
        </w:tc>
        <w:tc>
          <w:tcPr>
            <w:tcW w:w="1013" w:type="dxa"/>
          </w:tcPr>
          <w:p w14:paraId="5A154DE9" w14:textId="3EAD8461"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7E512D">
              <w:t>-</w:t>
            </w:r>
            <w:r w:rsidR="00283FC2">
              <w:t>22.0</w:t>
            </w:r>
            <w:r w:rsidRPr="007E512D">
              <w:t>%</w:t>
            </w:r>
          </w:p>
        </w:tc>
      </w:tr>
      <w:tr w:rsidR="00343894" w:rsidRPr="007E512D" w14:paraId="4674D8C2"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19A10149" w14:textId="0BAC5F4D" w:rsidR="00343894" w:rsidRPr="007E512D" w:rsidRDefault="00343894" w:rsidP="00343894">
            <w:r w:rsidRPr="007E512D">
              <w:t>2016</w:t>
            </w:r>
          </w:p>
        </w:tc>
        <w:tc>
          <w:tcPr>
            <w:tcW w:w="1012" w:type="dxa"/>
          </w:tcPr>
          <w:p w14:paraId="50BB0172" w14:textId="21BC62EB"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78</w:t>
            </w:r>
            <w:r w:rsidR="00343894">
              <w:t>.6</w:t>
            </w:r>
          </w:p>
        </w:tc>
        <w:tc>
          <w:tcPr>
            <w:tcW w:w="1013" w:type="dxa"/>
          </w:tcPr>
          <w:p w14:paraId="31334789" w14:textId="532B9781"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12.5</w:t>
            </w:r>
          </w:p>
        </w:tc>
        <w:tc>
          <w:tcPr>
            <w:tcW w:w="1012" w:type="dxa"/>
          </w:tcPr>
          <w:p w14:paraId="174C136F" w14:textId="61780F07"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48.4</w:t>
            </w:r>
          </w:p>
        </w:tc>
        <w:tc>
          <w:tcPr>
            <w:tcW w:w="1013" w:type="dxa"/>
          </w:tcPr>
          <w:p w14:paraId="5C9259CC" w14:textId="5B608DBD"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16.6</w:t>
            </w:r>
          </w:p>
        </w:tc>
        <w:tc>
          <w:tcPr>
            <w:tcW w:w="1012" w:type="dxa"/>
          </w:tcPr>
          <w:p w14:paraId="758BC418" w14:textId="222A619B"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77.7</w:t>
            </w:r>
          </w:p>
        </w:tc>
        <w:tc>
          <w:tcPr>
            <w:tcW w:w="1013" w:type="dxa"/>
          </w:tcPr>
          <w:p w14:paraId="0DEEB685" w14:textId="4EEF37E5"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14.5</w:t>
            </w:r>
          </w:p>
        </w:tc>
        <w:tc>
          <w:tcPr>
            <w:tcW w:w="1012" w:type="dxa"/>
          </w:tcPr>
          <w:p w14:paraId="19DCD214" w14:textId="4A403C0F" w:rsidR="00343894" w:rsidRPr="007E512D" w:rsidRDefault="00C47C79" w:rsidP="00343894">
            <w:pPr>
              <w:cnfStyle w:val="000000100000" w:firstRow="0" w:lastRow="0" w:firstColumn="0" w:lastColumn="0" w:oddVBand="0" w:evenVBand="0" w:oddHBand="1" w:evenHBand="0" w:firstRowFirstColumn="0" w:firstRowLastColumn="0" w:lastRowFirstColumn="0" w:lastRowLastColumn="0"/>
            </w:pPr>
            <w:r>
              <w:t>49.1</w:t>
            </w:r>
          </w:p>
        </w:tc>
        <w:tc>
          <w:tcPr>
            <w:tcW w:w="1013" w:type="dxa"/>
          </w:tcPr>
          <w:p w14:paraId="477400DD" w14:textId="1D4CEC8F"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t>13.</w:t>
            </w:r>
            <w:r w:rsidR="000D665C">
              <w:t>4</w:t>
            </w:r>
          </w:p>
        </w:tc>
        <w:tc>
          <w:tcPr>
            <w:tcW w:w="1012" w:type="dxa"/>
          </w:tcPr>
          <w:p w14:paraId="4851EF95" w14:textId="2B1BED03"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t>-</w:t>
            </w:r>
            <w:r w:rsidR="000D665C">
              <w:t>1.3</w:t>
            </w:r>
            <w:r w:rsidRPr="007E512D">
              <w:t>%</w:t>
            </w:r>
          </w:p>
        </w:tc>
        <w:tc>
          <w:tcPr>
            <w:tcW w:w="1013" w:type="dxa"/>
          </w:tcPr>
          <w:p w14:paraId="0A61040B" w14:textId="6960555E" w:rsidR="00343894" w:rsidRPr="007E512D" w:rsidRDefault="00283FC2" w:rsidP="00343894">
            <w:pPr>
              <w:cnfStyle w:val="000000100000" w:firstRow="0" w:lastRow="0" w:firstColumn="0" w:lastColumn="0" w:oddVBand="0" w:evenVBand="0" w:oddHBand="1" w:evenHBand="0" w:firstRowFirstColumn="0" w:firstRowLastColumn="0" w:lastRowFirstColumn="0" w:lastRowLastColumn="0"/>
            </w:pPr>
            <w:r>
              <w:t>13.7</w:t>
            </w:r>
            <w:r w:rsidR="00343894" w:rsidRPr="007E512D">
              <w:t>%</w:t>
            </w:r>
          </w:p>
        </w:tc>
        <w:tc>
          <w:tcPr>
            <w:tcW w:w="1012" w:type="dxa"/>
          </w:tcPr>
          <w:p w14:paraId="46E4D677" w14:textId="2FB7E9B7" w:rsidR="00343894" w:rsidRPr="007E512D" w:rsidRDefault="00283FC2" w:rsidP="00343894">
            <w:pPr>
              <w:cnfStyle w:val="000000100000" w:firstRow="0" w:lastRow="0" w:firstColumn="0" w:lastColumn="0" w:oddVBand="0" w:evenVBand="0" w:oddHBand="1" w:evenHBand="0" w:firstRowFirstColumn="0" w:firstRowLastColumn="0" w:lastRowFirstColumn="0" w:lastRowLastColumn="0"/>
            </w:pPr>
            <w:r>
              <w:t>1.5</w:t>
            </w:r>
            <w:r w:rsidR="00343894" w:rsidRPr="007E512D">
              <w:t>%</w:t>
            </w:r>
          </w:p>
        </w:tc>
        <w:tc>
          <w:tcPr>
            <w:tcW w:w="1013" w:type="dxa"/>
          </w:tcPr>
          <w:p w14:paraId="54045D1C" w14:textId="3D8DE0E8" w:rsidR="00343894" w:rsidRPr="007E512D" w:rsidRDefault="00343894" w:rsidP="00343894">
            <w:pPr>
              <w:cnfStyle w:val="000000100000" w:firstRow="0" w:lastRow="0" w:firstColumn="0" w:lastColumn="0" w:oddVBand="0" w:evenVBand="0" w:oddHBand="1" w:evenHBand="0" w:firstRowFirstColumn="0" w:firstRowLastColumn="0" w:lastRowFirstColumn="0" w:lastRowLastColumn="0"/>
            </w:pPr>
            <w:r w:rsidRPr="007E512D">
              <w:t>-</w:t>
            </w:r>
            <w:r w:rsidR="00283FC2">
              <w:t>23.5</w:t>
            </w:r>
            <w:r w:rsidRPr="007E512D">
              <w:t>%</w:t>
            </w:r>
          </w:p>
        </w:tc>
      </w:tr>
      <w:tr w:rsidR="00343894" w:rsidRPr="007E512D" w14:paraId="34743CF7" w14:textId="77777777" w:rsidTr="00343894">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bottom w:val="single" w:sz="4" w:space="0" w:color="auto"/>
            </w:tcBorders>
          </w:tcPr>
          <w:p w14:paraId="3E19B353" w14:textId="77777777" w:rsidR="00343894" w:rsidRPr="007E512D" w:rsidRDefault="00343894" w:rsidP="00343894"/>
        </w:tc>
        <w:tc>
          <w:tcPr>
            <w:tcW w:w="4050" w:type="dxa"/>
            <w:gridSpan w:val="4"/>
            <w:tcBorders>
              <w:top w:val="single" w:sz="4" w:space="0" w:color="auto"/>
              <w:bottom w:val="single" w:sz="4" w:space="0" w:color="auto"/>
            </w:tcBorders>
          </w:tcPr>
          <w:p w14:paraId="3D9EDD48" w14:textId="00E2A34C" w:rsidR="00343894" w:rsidRPr="00C01AF4" w:rsidRDefault="00343894" w:rsidP="00343894">
            <w:pPr>
              <w:cnfStyle w:val="000000000000" w:firstRow="0" w:lastRow="0" w:firstColumn="0" w:lastColumn="0" w:oddVBand="0" w:evenVBand="0" w:oddHBand="0" w:evenHBand="0" w:firstRowFirstColumn="0" w:firstRowLastColumn="0" w:lastRowFirstColumn="0" w:lastRowLastColumn="0"/>
            </w:pPr>
            <w:r w:rsidRPr="00D629B7">
              <w:rPr>
                <w:b/>
                <w:bCs/>
              </w:rPr>
              <w:t xml:space="preserve">Full Model </w:t>
            </w:r>
            <w:r>
              <w:rPr>
                <w:b/>
                <w:bCs/>
              </w:rPr>
              <w:t>3</w:t>
            </w:r>
          </w:p>
        </w:tc>
        <w:tc>
          <w:tcPr>
            <w:tcW w:w="4050" w:type="dxa"/>
            <w:gridSpan w:val="4"/>
            <w:tcBorders>
              <w:top w:val="single" w:sz="4" w:space="0" w:color="auto"/>
              <w:bottom w:val="single" w:sz="4" w:space="0" w:color="auto"/>
            </w:tcBorders>
          </w:tcPr>
          <w:p w14:paraId="4DECDCAD" w14:textId="27D3FB8B" w:rsidR="00343894" w:rsidRDefault="00343894" w:rsidP="00343894">
            <w:pPr>
              <w:cnfStyle w:val="000000000000" w:firstRow="0" w:lastRow="0" w:firstColumn="0" w:lastColumn="0" w:oddVBand="0" w:evenVBand="0" w:oddHBand="0" w:evenHBand="0" w:firstRowFirstColumn="0" w:firstRowLastColumn="0" w:lastRowFirstColumn="0" w:lastRowLastColumn="0"/>
            </w:pPr>
            <w:r w:rsidRPr="00EC6031">
              <w:rPr>
                <w:b/>
                <w:bCs/>
              </w:rPr>
              <w:t xml:space="preserve">Model </w:t>
            </w:r>
            <w:r>
              <w:rPr>
                <w:b/>
                <w:bCs/>
              </w:rPr>
              <w:t>3</w:t>
            </w:r>
            <w:r w:rsidRPr="00EC6031">
              <w:rPr>
                <w:b/>
                <w:bCs/>
              </w:rPr>
              <w:t xml:space="preserve"> with direct effects only</w:t>
            </w:r>
          </w:p>
        </w:tc>
        <w:tc>
          <w:tcPr>
            <w:tcW w:w="4050" w:type="dxa"/>
            <w:gridSpan w:val="4"/>
            <w:tcBorders>
              <w:top w:val="single" w:sz="4" w:space="0" w:color="auto"/>
              <w:bottom w:val="single" w:sz="4" w:space="0" w:color="auto"/>
            </w:tcBorders>
          </w:tcPr>
          <w:p w14:paraId="5A7E2592" w14:textId="395B5C18" w:rsidR="00343894" w:rsidRPr="007E512D" w:rsidRDefault="00343894" w:rsidP="00343894">
            <w:pPr>
              <w:cnfStyle w:val="000000000000" w:firstRow="0" w:lastRow="0" w:firstColumn="0" w:lastColumn="0" w:oddVBand="0" w:evenVBand="0" w:oddHBand="0" w:evenHBand="0" w:firstRowFirstColumn="0" w:firstRowLastColumn="0" w:lastRowFirstColumn="0" w:lastRowLastColumn="0"/>
            </w:pPr>
            <w:r w:rsidRPr="00EC6031">
              <w:rPr>
                <w:b/>
              </w:rPr>
              <w:t xml:space="preserve">Percent </w:t>
            </w:r>
            <w:r w:rsidRPr="00EC6031">
              <w:rPr>
                <w:b/>
                <w:bCs/>
              </w:rPr>
              <w:t>reduction</w:t>
            </w:r>
            <w:r w:rsidRPr="00EC6031">
              <w:rPr>
                <w:b/>
                <w:bCs/>
                <w:vertAlign w:val="superscript"/>
              </w:rPr>
              <w:t>3</w:t>
            </w:r>
          </w:p>
        </w:tc>
      </w:tr>
      <w:tr w:rsidR="00271FD8" w:rsidRPr="007E512D" w14:paraId="42040AA3"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tcBorders>
          </w:tcPr>
          <w:p w14:paraId="04B2F6C8" w14:textId="3018F891" w:rsidR="00271FD8" w:rsidRPr="007E512D" w:rsidRDefault="00271FD8" w:rsidP="00271FD8">
            <w:r w:rsidRPr="007E512D">
              <w:t>2012</w:t>
            </w:r>
            <w:r w:rsidRPr="007E512D">
              <w:rPr>
                <w:vertAlign w:val="superscript"/>
              </w:rPr>
              <w:t>2</w:t>
            </w:r>
          </w:p>
        </w:tc>
        <w:tc>
          <w:tcPr>
            <w:tcW w:w="1012" w:type="dxa"/>
            <w:tcBorders>
              <w:top w:val="single" w:sz="4" w:space="0" w:color="auto"/>
            </w:tcBorders>
            <w:vAlign w:val="center"/>
          </w:tcPr>
          <w:p w14:paraId="60B2021D" w14:textId="06F9EC71" w:rsidR="00271FD8" w:rsidRPr="00D629B7" w:rsidRDefault="00271FD8" w:rsidP="00271FD8">
            <w:pPr>
              <w:cnfStyle w:val="000000100000" w:firstRow="0" w:lastRow="0" w:firstColumn="0" w:lastColumn="0" w:oddVBand="0" w:evenVBand="0" w:oddHBand="1" w:evenHBand="0" w:firstRowFirstColumn="0" w:firstRowLastColumn="0" w:lastRowFirstColumn="0" w:lastRowLastColumn="0"/>
              <w:rPr>
                <w:b/>
                <w:bCs/>
              </w:rPr>
            </w:pPr>
            <w:r>
              <w:rPr>
                <w:color w:val="000000"/>
                <w:sz w:val="20"/>
              </w:rPr>
              <w:t>197.</w:t>
            </w:r>
            <w:r w:rsidR="00283FC2">
              <w:rPr>
                <w:color w:val="000000"/>
                <w:sz w:val="20"/>
              </w:rPr>
              <w:t>7</w:t>
            </w:r>
          </w:p>
        </w:tc>
        <w:tc>
          <w:tcPr>
            <w:tcW w:w="1013" w:type="dxa"/>
            <w:tcBorders>
              <w:top w:val="single" w:sz="4" w:space="0" w:color="auto"/>
            </w:tcBorders>
            <w:vAlign w:val="center"/>
          </w:tcPr>
          <w:p w14:paraId="2807F9DD" w14:textId="3CF05B74" w:rsidR="00271FD8" w:rsidRPr="00EC6031" w:rsidRDefault="00271FD8" w:rsidP="00271FD8">
            <w:pPr>
              <w:cnfStyle w:val="000000100000" w:firstRow="0" w:lastRow="0" w:firstColumn="0" w:lastColumn="0" w:oddVBand="0" w:evenVBand="0" w:oddHBand="1" w:evenHBand="0" w:firstRowFirstColumn="0" w:firstRowLastColumn="0" w:lastRowFirstColumn="0" w:lastRowLastColumn="0"/>
              <w:rPr>
                <w:b/>
                <w:bCs/>
              </w:rPr>
            </w:pPr>
            <w:r>
              <w:rPr>
                <w:color w:val="000000"/>
                <w:sz w:val="20"/>
              </w:rPr>
              <w:t>28.</w:t>
            </w:r>
            <w:r w:rsidR="00283FC2">
              <w:rPr>
                <w:color w:val="000000"/>
                <w:sz w:val="20"/>
              </w:rPr>
              <w:t>7</w:t>
            </w:r>
          </w:p>
        </w:tc>
        <w:tc>
          <w:tcPr>
            <w:tcW w:w="1012" w:type="dxa"/>
            <w:tcBorders>
              <w:top w:val="single" w:sz="4" w:space="0" w:color="auto"/>
            </w:tcBorders>
            <w:vAlign w:val="center"/>
          </w:tcPr>
          <w:p w14:paraId="55095944" w14:textId="6BF15804" w:rsidR="00271FD8" w:rsidRPr="00EC6031" w:rsidRDefault="00283FC2" w:rsidP="00271FD8">
            <w:pPr>
              <w:cnfStyle w:val="000000100000" w:firstRow="0" w:lastRow="0" w:firstColumn="0" w:lastColumn="0" w:oddVBand="0" w:evenVBand="0" w:oddHBand="1" w:evenHBand="0" w:firstRowFirstColumn="0" w:firstRowLastColumn="0" w:lastRowFirstColumn="0" w:lastRowLastColumn="0"/>
              <w:rPr>
                <w:b/>
              </w:rPr>
            </w:pPr>
            <w:r>
              <w:rPr>
                <w:color w:val="000000"/>
                <w:sz w:val="20"/>
              </w:rPr>
              <w:t>136.3</w:t>
            </w:r>
          </w:p>
        </w:tc>
        <w:tc>
          <w:tcPr>
            <w:tcW w:w="1013" w:type="dxa"/>
            <w:tcBorders>
              <w:top w:val="single" w:sz="4" w:space="0" w:color="auto"/>
            </w:tcBorders>
            <w:vAlign w:val="center"/>
          </w:tcPr>
          <w:p w14:paraId="62B27891" w14:textId="24CA7A5B" w:rsidR="00271FD8" w:rsidRPr="00C01AF4"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31</w:t>
            </w:r>
            <w:r w:rsidR="00271FD8">
              <w:rPr>
                <w:color w:val="000000"/>
                <w:sz w:val="20"/>
              </w:rPr>
              <w:t>.0</w:t>
            </w:r>
          </w:p>
        </w:tc>
        <w:tc>
          <w:tcPr>
            <w:tcW w:w="1012" w:type="dxa"/>
            <w:tcBorders>
              <w:top w:val="single" w:sz="4" w:space="0" w:color="auto"/>
            </w:tcBorders>
            <w:vAlign w:val="center"/>
          </w:tcPr>
          <w:p w14:paraId="73C83DF8" w14:textId="06C4B3ED" w:rsidR="00271FD8"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200.</w:t>
            </w:r>
            <w:r w:rsidR="00283FC2">
              <w:rPr>
                <w:color w:val="000000"/>
                <w:sz w:val="20"/>
              </w:rPr>
              <w:t>5</w:t>
            </w:r>
          </w:p>
        </w:tc>
        <w:tc>
          <w:tcPr>
            <w:tcW w:w="1013" w:type="dxa"/>
            <w:tcBorders>
              <w:top w:val="single" w:sz="4" w:space="0" w:color="auto"/>
            </w:tcBorders>
            <w:vAlign w:val="center"/>
          </w:tcPr>
          <w:p w14:paraId="63FE577D" w14:textId="43374DC9" w:rsidR="00271FD8" w:rsidRDefault="0057593E" w:rsidP="00271FD8">
            <w:pPr>
              <w:cnfStyle w:val="000000100000" w:firstRow="0" w:lastRow="0" w:firstColumn="0" w:lastColumn="0" w:oddVBand="0" w:evenVBand="0" w:oddHBand="1" w:evenHBand="0" w:firstRowFirstColumn="0" w:firstRowLastColumn="0" w:lastRowFirstColumn="0" w:lastRowLastColumn="0"/>
            </w:pPr>
            <w:r>
              <w:rPr>
                <w:color w:val="000000"/>
                <w:sz w:val="20"/>
              </w:rPr>
              <w:t>29.1</w:t>
            </w:r>
          </w:p>
        </w:tc>
        <w:tc>
          <w:tcPr>
            <w:tcW w:w="1012" w:type="dxa"/>
            <w:tcBorders>
              <w:top w:val="single" w:sz="4" w:space="0" w:color="auto"/>
            </w:tcBorders>
            <w:vAlign w:val="center"/>
          </w:tcPr>
          <w:p w14:paraId="2F6F551D" w14:textId="3BAFE4D2" w:rsidR="00271FD8" w:rsidRDefault="0057593E" w:rsidP="00271FD8">
            <w:pPr>
              <w:cnfStyle w:val="000000100000" w:firstRow="0" w:lastRow="0" w:firstColumn="0" w:lastColumn="0" w:oddVBand="0" w:evenVBand="0" w:oddHBand="1" w:evenHBand="0" w:firstRowFirstColumn="0" w:firstRowLastColumn="0" w:lastRowFirstColumn="0" w:lastRowLastColumn="0"/>
            </w:pPr>
            <w:r>
              <w:rPr>
                <w:color w:val="000000"/>
                <w:sz w:val="20"/>
              </w:rPr>
              <w:t>138.3</w:t>
            </w:r>
          </w:p>
        </w:tc>
        <w:tc>
          <w:tcPr>
            <w:tcW w:w="1013" w:type="dxa"/>
            <w:tcBorders>
              <w:top w:val="single" w:sz="4" w:space="0" w:color="auto"/>
            </w:tcBorders>
            <w:vAlign w:val="center"/>
          </w:tcPr>
          <w:p w14:paraId="5D21194B" w14:textId="65EA2D18" w:rsidR="00271FD8" w:rsidRDefault="0057593E" w:rsidP="00271FD8">
            <w:pPr>
              <w:cnfStyle w:val="000000100000" w:firstRow="0" w:lastRow="0" w:firstColumn="0" w:lastColumn="0" w:oddVBand="0" w:evenVBand="0" w:oddHBand="1" w:evenHBand="0" w:firstRowFirstColumn="0" w:firstRowLastColumn="0" w:lastRowFirstColumn="0" w:lastRowLastColumn="0"/>
            </w:pPr>
            <w:r>
              <w:rPr>
                <w:color w:val="000000"/>
                <w:sz w:val="20"/>
              </w:rPr>
              <w:t>31.6</w:t>
            </w:r>
          </w:p>
        </w:tc>
        <w:tc>
          <w:tcPr>
            <w:tcW w:w="1012" w:type="dxa"/>
            <w:tcBorders>
              <w:top w:val="single" w:sz="4" w:space="0" w:color="auto"/>
            </w:tcBorders>
            <w:vAlign w:val="center"/>
          </w:tcPr>
          <w:p w14:paraId="59D43154" w14:textId="224003BA" w:rsidR="00271FD8"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1.4%</w:t>
            </w:r>
          </w:p>
        </w:tc>
        <w:tc>
          <w:tcPr>
            <w:tcW w:w="1013" w:type="dxa"/>
            <w:tcBorders>
              <w:top w:val="single" w:sz="4" w:space="0" w:color="auto"/>
            </w:tcBorders>
            <w:vAlign w:val="center"/>
          </w:tcPr>
          <w:p w14:paraId="3C75509D" w14:textId="63D0E5A2" w:rsidR="00271FD8"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1.</w:t>
            </w:r>
            <w:r w:rsidR="0057593E">
              <w:rPr>
                <w:color w:val="000000"/>
                <w:sz w:val="20"/>
              </w:rPr>
              <w:t>4</w:t>
            </w:r>
            <w:r>
              <w:rPr>
                <w:color w:val="000000"/>
                <w:sz w:val="20"/>
              </w:rPr>
              <w:t>%</w:t>
            </w:r>
          </w:p>
        </w:tc>
        <w:tc>
          <w:tcPr>
            <w:tcW w:w="1012" w:type="dxa"/>
            <w:tcBorders>
              <w:top w:val="single" w:sz="4" w:space="0" w:color="auto"/>
            </w:tcBorders>
            <w:vAlign w:val="center"/>
          </w:tcPr>
          <w:p w14:paraId="7BA25C7E" w14:textId="63056C49" w:rsidR="00271FD8"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1.4%</w:t>
            </w:r>
          </w:p>
        </w:tc>
        <w:tc>
          <w:tcPr>
            <w:tcW w:w="1013" w:type="dxa"/>
            <w:tcBorders>
              <w:top w:val="single" w:sz="4" w:space="0" w:color="auto"/>
            </w:tcBorders>
            <w:vAlign w:val="center"/>
          </w:tcPr>
          <w:p w14:paraId="1EC3363A" w14:textId="50C9B14C" w:rsidR="00271FD8" w:rsidRPr="007E512D"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1.7%</w:t>
            </w:r>
          </w:p>
        </w:tc>
      </w:tr>
      <w:tr w:rsidR="00271FD8" w:rsidRPr="007E512D" w14:paraId="31467547" w14:textId="77777777" w:rsidTr="00754D9F">
        <w:tc>
          <w:tcPr>
            <w:cnfStyle w:val="001000000000" w:firstRow="0" w:lastRow="0" w:firstColumn="1" w:lastColumn="0" w:oddVBand="0" w:evenVBand="0" w:oddHBand="0" w:evenHBand="0" w:firstRowFirstColumn="0" w:firstRowLastColumn="0" w:lastRowFirstColumn="0" w:lastRowLastColumn="0"/>
            <w:tcW w:w="918" w:type="dxa"/>
          </w:tcPr>
          <w:p w14:paraId="60F87B5C" w14:textId="770DE634" w:rsidR="00271FD8" w:rsidRPr="007E512D" w:rsidRDefault="00271FD8" w:rsidP="00271FD8">
            <w:r w:rsidRPr="007E512D">
              <w:t>2013</w:t>
            </w:r>
          </w:p>
        </w:tc>
        <w:tc>
          <w:tcPr>
            <w:tcW w:w="1012" w:type="dxa"/>
            <w:vAlign w:val="center"/>
          </w:tcPr>
          <w:p w14:paraId="37A1612C" w14:textId="6006519D" w:rsidR="00271FD8" w:rsidRPr="007E512D" w:rsidRDefault="00283FC2" w:rsidP="00271FD8">
            <w:pPr>
              <w:cnfStyle w:val="000000000000" w:firstRow="0" w:lastRow="0" w:firstColumn="0" w:lastColumn="0" w:oddVBand="0" w:evenVBand="0" w:oddHBand="0" w:evenHBand="0" w:firstRowFirstColumn="0" w:firstRowLastColumn="0" w:lastRowFirstColumn="0" w:lastRowLastColumn="0"/>
            </w:pPr>
            <w:r>
              <w:rPr>
                <w:color w:val="000000"/>
                <w:sz w:val="20"/>
              </w:rPr>
              <w:t>196.8</w:t>
            </w:r>
          </w:p>
        </w:tc>
        <w:tc>
          <w:tcPr>
            <w:tcW w:w="1013" w:type="dxa"/>
            <w:vAlign w:val="center"/>
          </w:tcPr>
          <w:p w14:paraId="4519AC47" w14:textId="6D75E519" w:rsidR="00271FD8" w:rsidRPr="00C01AF4"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27.</w:t>
            </w:r>
            <w:r w:rsidR="00283FC2">
              <w:rPr>
                <w:color w:val="000000"/>
                <w:sz w:val="20"/>
              </w:rPr>
              <w:t>9</w:t>
            </w:r>
          </w:p>
        </w:tc>
        <w:tc>
          <w:tcPr>
            <w:tcW w:w="1012" w:type="dxa"/>
            <w:vAlign w:val="center"/>
          </w:tcPr>
          <w:p w14:paraId="04F2EABA" w14:textId="5EE2F3F4" w:rsidR="00271FD8" w:rsidRPr="00C01AF4" w:rsidRDefault="00283FC2" w:rsidP="00271FD8">
            <w:pPr>
              <w:cnfStyle w:val="000000000000" w:firstRow="0" w:lastRow="0" w:firstColumn="0" w:lastColumn="0" w:oddVBand="0" w:evenVBand="0" w:oddHBand="0" w:evenHBand="0" w:firstRowFirstColumn="0" w:firstRowLastColumn="0" w:lastRowFirstColumn="0" w:lastRowLastColumn="0"/>
            </w:pPr>
            <w:r>
              <w:rPr>
                <w:color w:val="000000"/>
                <w:sz w:val="20"/>
              </w:rPr>
              <w:t>126.5</w:t>
            </w:r>
          </w:p>
        </w:tc>
        <w:tc>
          <w:tcPr>
            <w:tcW w:w="1013" w:type="dxa"/>
            <w:vAlign w:val="center"/>
          </w:tcPr>
          <w:p w14:paraId="76238742" w14:textId="43B5CBDB" w:rsidR="00271FD8" w:rsidRPr="00C01AF4" w:rsidRDefault="00283FC2" w:rsidP="00271FD8">
            <w:pPr>
              <w:cnfStyle w:val="000000000000" w:firstRow="0" w:lastRow="0" w:firstColumn="0" w:lastColumn="0" w:oddVBand="0" w:evenVBand="0" w:oddHBand="0" w:evenHBand="0" w:firstRowFirstColumn="0" w:firstRowLastColumn="0" w:lastRowFirstColumn="0" w:lastRowLastColumn="0"/>
            </w:pPr>
            <w:r>
              <w:rPr>
                <w:color w:val="000000"/>
                <w:sz w:val="20"/>
              </w:rPr>
              <w:t>40.7</w:t>
            </w:r>
          </w:p>
        </w:tc>
        <w:tc>
          <w:tcPr>
            <w:tcW w:w="1012" w:type="dxa"/>
            <w:vAlign w:val="center"/>
          </w:tcPr>
          <w:p w14:paraId="4C08D6D4" w14:textId="305A5FD6" w:rsidR="00271FD8" w:rsidRPr="007E512D" w:rsidRDefault="00283FC2" w:rsidP="00271FD8">
            <w:pPr>
              <w:cnfStyle w:val="000000000000" w:firstRow="0" w:lastRow="0" w:firstColumn="0" w:lastColumn="0" w:oddVBand="0" w:evenVBand="0" w:oddHBand="0" w:evenHBand="0" w:firstRowFirstColumn="0" w:firstRowLastColumn="0" w:lastRowFirstColumn="0" w:lastRowLastColumn="0"/>
            </w:pPr>
            <w:r>
              <w:rPr>
                <w:color w:val="000000"/>
                <w:sz w:val="20"/>
              </w:rPr>
              <w:t>196.8</w:t>
            </w:r>
          </w:p>
        </w:tc>
        <w:tc>
          <w:tcPr>
            <w:tcW w:w="1013" w:type="dxa"/>
            <w:vAlign w:val="center"/>
          </w:tcPr>
          <w:p w14:paraId="0A265391" w14:textId="161B4EF7" w:rsidR="00271FD8" w:rsidRPr="007E512D"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28.</w:t>
            </w:r>
            <w:r w:rsidR="0057593E">
              <w:rPr>
                <w:color w:val="000000"/>
                <w:sz w:val="20"/>
              </w:rPr>
              <w:t>7</w:t>
            </w:r>
          </w:p>
        </w:tc>
        <w:tc>
          <w:tcPr>
            <w:tcW w:w="1012" w:type="dxa"/>
            <w:vAlign w:val="center"/>
          </w:tcPr>
          <w:p w14:paraId="7B609F43" w14:textId="30B11261" w:rsidR="00271FD8" w:rsidRPr="007E512D" w:rsidRDefault="0057593E" w:rsidP="00271FD8">
            <w:pPr>
              <w:cnfStyle w:val="000000000000" w:firstRow="0" w:lastRow="0" w:firstColumn="0" w:lastColumn="0" w:oddVBand="0" w:evenVBand="0" w:oddHBand="0" w:evenHBand="0" w:firstRowFirstColumn="0" w:firstRowLastColumn="0" w:lastRowFirstColumn="0" w:lastRowLastColumn="0"/>
            </w:pPr>
            <w:r>
              <w:rPr>
                <w:color w:val="000000"/>
                <w:sz w:val="20"/>
              </w:rPr>
              <w:t>125.2</w:t>
            </w:r>
          </w:p>
        </w:tc>
        <w:tc>
          <w:tcPr>
            <w:tcW w:w="1013" w:type="dxa"/>
            <w:vAlign w:val="center"/>
          </w:tcPr>
          <w:p w14:paraId="44CAD961" w14:textId="141AD301" w:rsidR="00271FD8" w:rsidRPr="007E512D" w:rsidRDefault="0057593E" w:rsidP="00271FD8">
            <w:pPr>
              <w:cnfStyle w:val="000000000000" w:firstRow="0" w:lastRow="0" w:firstColumn="0" w:lastColumn="0" w:oddVBand="0" w:evenVBand="0" w:oddHBand="0" w:evenHBand="0" w:firstRowFirstColumn="0" w:firstRowLastColumn="0" w:lastRowFirstColumn="0" w:lastRowLastColumn="0"/>
            </w:pPr>
            <w:r>
              <w:rPr>
                <w:color w:val="000000"/>
                <w:sz w:val="20"/>
              </w:rPr>
              <w:t>41.2</w:t>
            </w:r>
          </w:p>
        </w:tc>
        <w:tc>
          <w:tcPr>
            <w:tcW w:w="1012" w:type="dxa"/>
            <w:vAlign w:val="center"/>
          </w:tcPr>
          <w:p w14:paraId="35024ACF" w14:textId="641D96F1" w:rsidR="00271FD8" w:rsidRPr="007E512D" w:rsidRDefault="0057593E" w:rsidP="00271FD8">
            <w:pPr>
              <w:cnfStyle w:val="000000000000" w:firstRow="0" w:lastRow="0" w:firstColumn="0" w:lastColumn="0" w:oddVBand="0" w:evenVBand="0" w:oddHBand="0" w:evenHBand="0" w:firstRowFirstColumn="0" w:firstRowLastColumn="0" w:lastRowFirstColumn="0" w:lastRowLastColumn="0"/>
            </w:pPr>
            <w:r>
              <w:rPr>
                <w:color w:val="000000"/>
                <w:sz w:val="20"/>
              </w:rPr>
              <w:t>-</w:t>
            </w:r>
            <w:r w:rsidR="00271FD8">
              <w:rPr>
                <w:color w:val="000000"/>
                <w:sz w:val="20"/>
              </w:rPr>
              <w:t>0.</w:t>
            </w:r>
            <w:r>
              <w:rPr>
                <w:color w:val="000000"/>
                <w:sz w:val="20"/>
              </w:rPr>
              <w:t>0</w:t>
            </w:r>
            <w:r w:rsidR="00271FD8">
              <w:rPr>
                <w:color w:val="000000"/>
                <w:sz w:val="20"/>
              </w:rPr>
              <w:t>%</w:t>
            </w:r>
          </w:p>
        </w:tc>
        <w:tc>
          <w:tcPr>
            <w:tcW w:w="1013" w:type="dxa"/>
            <w:vAlign w:val="center"/>
          </w:tcPr>
          <w:p w14:paraId="33FCC89B" w14:textId="5E3483A0" w:rsidR="00271FD8" w:rsidRPr="007E512D"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2.</w:t>
            </w:r>
            <w:r w:rsidR="0057593E">
              <w:rPr>
                <w:color w:val="000000"/>
                <w:sz w:val="20"/>
              </w:rPr>
              <w:t>8</w:t>
            </w:r>
            <w:r>
              <w:rPr>
                <w:color w:val="000000"/>
                <w:sz w:val="20"/>
              </w:rPr>
              <w:t>%</w:t>
            </w:r>
          </w:p>
        </w:tc>
        <w:tc>
          <w:tcPr>
            <w:tcW w:w="1012" w:type="dxa"/>
            <w:vAlign w:val="center"/>
          </w:tcPr>
          <w:p w14:paraId="03A8C13F" w14:textId="1FAA766E" w:rsidR="00271FD8" w:rsidRPr="007E512D"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w:t>
            </w:r>
            <w:r w:rsidR="0057593E">
              <w:rPr>
                <w:color w:val="000000"/>
                <w:sz w:val="20"/>
              </w:rPr>
              <w:t>1.1</w:t>
            </w:r>
            <w:r>
              <w:rPr>
                <w:color w:val="000000"/>
                <w:sz w:val="20"/>
              </w:rPr>
              <w:t>%</w:t>
            </w:r>
          </w:p>
        </w:tc>
        <w:tc>
          <w:tcPr>
            <w:tcW w:w="1013" w:type="dxa"/>
            <w:vAlign w:val="center"/>
          </w:tcPr>
          <w:p w14:paraId="7C0A46AE" w14:textId="698E239D" w:rsidR="00271FD8" w:rsidRPr="007E512D"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1.</w:t>
            </w:r>
            <w:r w:rsidR="0057593E">
              <w:rPr>
                <w:color w:val="000000"/>
                <w:sz w:val="20"/>
              </w:rPr>
              <w:t>3</w:t>
            </w:r>
            <w:r>
              <w:rPr>
                <w:color w:val="000000"/>
                <w:sz w:val="20"/>
              </w:rPr>
              <w:t>%</w:t>
            </w:r>
          </w:p>
        </w:tc>
      </w:tr>
      <w:tr w:rsidR="00271FD8" w:rsidRPr="007E512D" w14:paraId="1FDC15AD"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3DD83437" w14:textId="5938594D" w:rsidR="00271FD8" w:rsidRPr="007E512D" w:rsidRDefault="00271FD8" w:rsidP="00271FD8">
            <w:r w:rsidRPr="007E512D">
              <w:t>2014</w:t>
            </w:r>
          </w:p>
        </w:tc>
        <w:tc>
          <w:tcPr>
            <w:tcW w:w="1012" w:type="dxa"/>
            <w:vAlign w:val="center"/>
          </w:tcPr>
          <w:p w14:paraId="2A57F048" w14:textId="0CF92D15" w:rsidR="00271FD8"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172.3</w:t>
            </w:r>
          </w:p>
        </w:tc>
        <w:tc>
          <w:tcPr>
            <w:tcW w:w="1013" w:type="dxa"/>
            <w:vAlign w:val="center"/>
          </w:tcPr>
          <w:p w14:paraId="0AA9CCE1" w14:textId="4E433972" w:rsidR="00271FD8"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24.3</w:t>
            </w:r>
          </w:p>
        </w:tc>
        <w:tc>
          <w:tcPr>
            <w:tcW w:w="1012" w:type="dxa"/>
            <w:vAlign w:val="center"/>
          </w:tcPr>
          <w:p w14:paraId="2F259B99" w14:textId="03FFBACF" w:rsidR="00271FD8" w:rsidRPr="00C01AF4"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97.4</w:t>
            </w:r>
          </w:p>
        </w:tc>
        <w:tc>
          <w:tcPr>
            <w:tcW w:w="1013" w:type="dxa"/>
            <w:vAlign w:val="center"/>
          </w:tcPr>
          <w:p w14:paraId="50CEF77A" w14:textId="04AE5C5D" w:rsidR="00271FD8" w:rsidRPr="00C01AF4"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47.6</w:t>
            </w:r>
          </w:p>
        </w:tc>
        <w:tc>
          <w:tcPr>
            <w:tcW w:w="1012" w:type="dxa"/>
            <w:vAlign w:val="center"/>
          </w:tcPr>
          <w:p w14:paraId="2EF8D452" w14:textId="301A0200" w:rsidR="00271FD8" w:rsidRPr="007E512D"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172.5</w:t>
            </w:r>
          </w:p>
        </w:tc>
        <w:tc>
          <w:tcPr>
            <w:tcW w:w="1013" w:type="dxa"/>
            <w:vAlign w:val="center"/>
          </w:tcPr>
          <w:p w14:paraId="1AF60ED4" w14:textId="70CB85E6" w:rsidR="00271FD8"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25.</w:t>
            </w:r>
            <w:r w:rsidR="0057593E">
              <w:rPr>
                <w:color w:val="000000"/>
                <w:sz w:val="20"/>
              </w:rPr>
              <w:t>9</w:t>
            </w:r>
          </w:p>
        </w:tc>
        <w:tc>
          <w:tcPr>
            <w:tcW w:w="1012" w:type="dxa"/>
            <w:vAlign w:val="center"/>
          </w:tcPr>
          <w:p w14:paraId="6CA3A7F7" w14:textId="4ADCC8D5" w:rsidR="00271FD8" w:rsidRDefault="0057593E" w:rsidP="00271FD8">
            <w:pPr>
              <w:cnfStyle w:val="000000100000" w:firstRow="0" w:lastRow="0" w:firstColumn="0" w:lastColumn="0" w:oddVBand="0" w:evenVBand="0" w:oddHBand="1" w:evenHBand="0" w:firstRowFirstColumn="0" w:firstRowLastColumn="0" w:lastRowFirstColumn="0" w:lastRowLastColumn="0"/>
            </w:pPr>
            <w:r>
              <w:rPr>
                <w:color w:val="000000"/>
                <w:sz w:val="20"/>
              </w:rPr>
              <w:t>97.1</w:t>
            </w:r>
          </w:p>
        </w:tc>
        <w:tc>
          <w:tcPr>
            <w:tcW w:w="1013" w:type="dxa"/>
            <w:vAlign w:val="center"/>
          </w:tcPr>
          <w:p w14:paraId="5D6F9D79" w14:textId="13116C06" w:rsidR="00271FD8" w:rsidRDefault="0057593E" w:rsidP="00271FD8">
            <w:pPr>
              <w:cnfStyle w:val="000000100000" w:firstRow="0" w:lastRow="0" w:firstColumn="0" w:lastColumn="0" w:oddVBand="0" w:evenVBand="0" w:oddHBand="1" w:evenHBand="0" w:firstRowFirstColumn="0" w:firstRowLastColumn="0" w:lastRowFirstColumn="0" w:lastRowLastColumn="0"/>
            </w:pPr>
            <w:r>
              <w:rPr>
                <w:color w:val="000000"/>
                <w:sz w:val="20"/>
              </w:rPr>
              <w:t>46.5</w:t>
            </w:r>
          </w:p>
        </w:tc>
        <w:tc>
          <w:tcPr>
            <w:tcW w:w="1012" w:type="dxa"/>
            <w:vAlign w:val="center"/>
          </w:tcPr>
          <w:p w14:paraId="1DF916C8" w14:textId="1E69D116" w:rsidR="00271FD8" w:rsidRPr="007E512D"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0.</w:t>
            </w:r>
            <w:r w:rsidR="0057593E">
              <w:rPr>
                <w:color w:val="000000"/>
                <w:sz w:val="20"/>
              </w:rPr>
              <w:t>1</w:t>
            </w:r>
            <w:r>
              <w:rPr>
                <w:color w:val="000000"/>
                <w:sz w:val="20"/>
              </w:rPr>
              <w:t>%</w:t>
            </w:r>
          </w:p>
        </w:tc>
        <w:tc>
          <w:tcPr>
            <w:tcW w:w="1013" w:type="dxa"/>
            <w:vAlign w:val="center"/>
          </w:tcPr>
          <w:p w14:paraId="77EBB8BD" w14:textId="5C870797" w:rsidR="00271FD8"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6.</w:t>
            </w:r>
            <w:r w:rsidR="0057593E">
              <w:rPr>
                <w:color w:val="000000"/>
                <w:sz w:val="20"/>
              </w:rPr>
              <w:t>1</w:t>
            </w:r>
            <w:r>
              <w:rPr>
                <w:color w:val="000000"/>
                <w:sz w:val="20"/>
              </w:rPr>
              <w:t>%</w:t>
            </w:r>
          </w:p>
        </w:tc>
        <w:tc>
          <w:tcPr>
            <w:tcW w:w="1012" w:type="dxa"/>
            <w:vAlign w:val="center"/>
          </w:tcPr>
          <w:p w14:paraId="291B32CE" w14:textId="433B1A73" w:rsidR="00271FD8" w:rsidRPr="007E512D" w:rsidRDefault="0057593E" w:rsidP="00271FD8">
            <w:pPr>
              <w:cnfStyle w:val="000000100000" w:firstRow="0" w:lastRow="0" w:firstColumn="0" w:lastColumn="0" w:oddVBand="0" w:evenVBand="0" w:oddHBand="1" w:evenHBand="0" w:firstRowFirstColumn="0" w:firstRowLastColumn="0" w:lastRowFirstColumn="0" w:lastRowLastColumn="0"/>
            </w:pPr>
            <w:r>
              <w:rPr>
                <w:color w:val="000000"/>
                <w:sz w:val="20"/>
              </w:rPr>
              <w:t>-0.4%</w:t>
            </w:r>
          </w:p>
        </w:tc>
        <w:tc>
          <w:tcPr>
            <w:tcW w:w="1013" w:type="dxa"/>
            <w:vAlign w:val="center"/>
          </w:tcPr>
          <w:p w14:paraId="1378E454" w14:textId="4D728B83" w:rsidR="00271FD8" w:rsidRPr="007E512D"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-2.</w:t>
            </w:r>
            <w:r w:rsidR="0057593E">
              <w:rPr>
                <w:color w:val="000000"/>
                <w:sz w:val="20"/>
              </w:rPr>
              <w:t>4</w:t>
            </w:r>
            <w:r>
              <w:rPr>
                <w:color w:val="000000"/>
                <w:sz w:val="20"/>
              </w:rPr>
              <w:t>%</w:t>
            </w:r>
          </w:p>
        </w:tc>
      </w:tr>
      <w:tr w:rsidR="00271FD8" w:rsidRPr="007E512D" w14:paraId="4F56CC10" w14:textId="77777777" w:rsidTr="00754D9F">
        <w:tc>
          <w:tcPr>
            <w:cnfStyle w:val="001000000000" w:firstRow="0" w:lastRow="0" w:firstColumn="1" w:lastColumn="0" w:oddVBand="0" w:evenVBand="0" w:oddHBand="0" w:evenHBand="0" w:firstRowFirstColumn="0" w:firstRowLastColumn="0" w:lastRowFirstColumn="0" w:lastRowLastColumn="0"/>
            <w:tcW w:w="918" w:type="dxa"/>
          </w:tcPr>
          <w:p w14:paraId="331E0DCA" w14:textId="4FDF62C5" w:rsidR="00271FD8" w:rsidRPr="007E512D" w:rsidRDefault="00271FD8" w:rsidP="00271FD8">
            <w:r w:rsidRPr="007E512D">
              <w:t>2015</w:t>
            </w:r>
          </w:p>
        </w:tc>
        <w:tc>
          <w:tcPr>
            <w:tcW w:w="1012" w:type="dxa"/>
            <w:vAlign w:val="center"/>
          </w:tcPr>
          <w:p w14:paraId="2303BF0C" w14:textId="3E5F0359" w:rsidR="00271FD8" w:rsidRDefault="00283FC2" w:rsidP="00271FD8">
            <w:pPr>
              <w:cnfStyle w:val="000000000000" w:firstRow="0" w:lastRow="0" w:firstColumn="0" w:lastColumn="0" w:oddVBand="0" w:evenVBand="0" w:oddHBand="0" w:evenHBand="0" w:firstRowFirstColumn="0" w:firstRowLastColumn="0" w:lastRowFirstColumn="0" w:lastRowLastColumn="0"/>
            </w:pPr>
            <w:r>
              <w:rPr>
                <w:color w:val="000000"/>
                <w:sz w:val="20"/>
              </w:rPr>
              <w:t>152.2</w:t>
            </w:r>
          </w:p>
        </w:tc>
        <w:tc>
          <w:tcPr>
            <w:tcW w:w="1013" w:type="dxa"/>
            <w:vAlign w:val="center"/>
          </w:tcPr>
          <w:p w14:paraId="61C4FFD5" w14:textId="5E10303E" w:rsidR="00271FD8" w:rsidRPr="00C01AF4" w:rsidRDefault="00283FC2" w:rsidP="00271FD8">
            <w:pPr>
              <w:cnfStyle w:val="000000000000" w:firstRow="0" w:lastRow="0" w:firstColumn="0" w:lastColumn="0" w:oddVBand="0" w:evenVBand="0" w:oddHBand="0" w:evenHBand="0" w:firstRowFirstColumn="0" w:firstRowLastColumn="0" w:lastRowFirstColumn="0" w:lastRowLastColumn="0"/>
            </w:pPr>
            <w:r>
              <w:rPr>
                <w:color w:val="000000"/>
                <w:sz w:val="20"/>
              </w:rPr>
              <w:t>21.2</w:t>
            </w:r>
          </w:p>
        </w:tc>
        <w:tc>
          <w:tcPr>
            <w:tcW w:w="1012" w:type="dxa"/>
            <w:vAlign w:val="center"/>
          </w:tcPr>
          <w:p w14:paraId="5D976B5D" w14:textId="2E179C3B" w:rsidR="00271FD8" w:rsidRPr="00C01AF4"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78.</w:t>
            </w:r>
            <w:r w:rsidR="00283FC2">
              <w:rPr>
                <w:color w:val="000000"/>
                <w:sz w:val="20"/>
              </w:rPr>
              <w:t>7</w:t>
            </w:r>
          </w:p>
        </w:tc>
        <w:tc>
          <w:tcPr>
            <w:tcW w:w="1013" w:type="dxa"/>
            <w:vAlign w:val="center"/>
          </w:tcPr>
          <w:p w14:paraId="14FEB896" w14:textId="5AD157E0" w:rsidR="00271FD8" w:rsidRPr="00C01AF4" w:rsidRDefault="00283FC2" w:rsidP="00271FD8">
            <w:pPr>
              <w:cnfStyle w:val="000000000000" w:firstRow="0" w:lastRow="0" w:firstColumn="0" w:lastColumn="0" w:oddVBand="0" w:evenVBand="0" w:oddHBand="0" w:evenHBand="0" w:firstRowFirstColumn="0" w:firstRowLastColumn="0" w:lastRowFirstColumn="0" w:lastRowLastColumn="0"/>
            </w:pPr>
            <w:r>
              <w:rPr>
                <w:color w:val="000000"/>
                <w:sz w:val="20"/>
              </w:rPr>
              <w:t>43.7</w:t>
            </w:r>
          </w:p>
        </w:tc>
        <w:tc>
          <w:tcPr>
            <w:tcW w:w="1012" w:type="dxa"/>
            <w:vAlign w:val="center"/>
          </w:tcPr>
          <w:p w14:paraId="0AFC1841" w14:textId="2C25216A" w:rsidR="00271FD8" w:rsidRDefault="00283FC2" w:rsidP="00271FD8">
            <w:pPr>
              <w:cnfStyle w:val="000000000000" w:firstRow="0" w:lastRow="0" w:firstColumn="0" w:lastColumn="0" w:oddVBand="0" w:evenVBand="0" w:oddHBand="0" w:evenHBand="0" w:firstRowFirstColumn="0" w:firstRowLastColumn="0" w:lastRowFirstColumn="0" w:lastRowLastColumn="0"/>
            </w:pPr>
            <w:r>
              <w:rPr>
                <w:color w:val="000000"/>
                <w:sz w:val="20"/>
              </w:rPr>
              <w:t>150.2</w:t>
            </w:r>
          </w:p>
        </w:tc>
        <w:tc>
          <w:tcPr>
            <w:tcW w:w="1013" w:type="dxa"/>
            <w:vAlign w:val="center"/>
          </w:tcPr>
          <w:p w14:paraId="043B2D37" w14:textId="277FAEB5" w:rsidR="00271FD8"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22.</w:t>
            </w:r>
            <w:r w:rsidR="0057593E">
              <w:rPr>
                <w:color w:val="000000"/>
                <w:sz w:val="20"/>
              </w:rPr>
              <w:t>7</w:t>
            </w:r>
          </w:p>
        </w:tc>
        <w:tc>
          <w:tcPr>
            <w:tcW w:w="1012" w:type="dxa"/>
            <w:vAlign w:val="center"/>
          </w:tcPr>
          <w:p w14:paraId="6D4241E9" w14:textId="685E2F5E" w:rsidR="00271FD8" w:rsidRDefault="0057593E" w:rsidP="00271FD8">
            <w:pPr>
              <w:cnfStyle w:val="000000000000" w:firstRow="0" w:lastRow="0" w:firstColumn="0" w:lastColumn="0" w:oddVBand="0" w:evenVBand="0" w:oddHBand="0" w:evenHBand="0" w:firstRowFirstColumn="0" w:firstRowLastColumn="0" w:lastRowFirstColumn="0" w:lastRowLastColumn="0"/>
            </w:pPr>
            <w:r>
              <w:rPr>
                <w:color w:val="000000"/>
                <w:sz w:val="20"/>
              </w:rPr>
              <w:t>78.4</w:t>
            </w:r>
          </w:p>
        </w:tc>
        <w:tc>
          <w:tcPr>
            <w:tcW w:w="1013" w:type="dxa"/>
            <w:vAlign w:val="center"/>
          </w:tcPr>
          <w:p w14:paraId="21E78AEC" w14:textId="004C0C48" w:rsidR="00271FD8" w:rsidRDefault="0057593E" w:rsidP="00271FD8">
            <w:pPr>
              <w:cnfStyle w:val="000000000000" w:firstRow="0" w:lastRow="0" w:firstColumn="0" w:lastColumn="0" w:oddVBand="0" w:evenVBand="0" w:oddHBand="0" w:evenHBand="0" w:firstRowFirstColumn="0" w:firstRowLastColumn="0" w:lastRowFirstColumn="0" w:lastRowLastColumn="0"/>
            </w:pPr>
            <w:r>
              <w:rPr>
                <w:color w:val="000000"/>
                <w:sz w:val="20"/>
              </w:rPr>
              <w:t>40.7</w:t>
            </w:r>
          </w:p>
        </w:tc>
        <w:tc>
          <w:tcPr>
            <w:tcW w:w="1012" w:type="dxa"/>
            <w:vAlign w:val="center"/>
          </w:tcPr>
          <w:p w14:paraId="4AC93C34" w14:textId="6FD38776" w:rsidR="00271FD8" w:rsidRPr="007E512D"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-1.4%</w:t>
            </w:r>
          </w:p>
        </w:tc>
        <w:tc>
          <w:tcPr>
            <w:tcW w:w="1013" w:type="dxa"/>
            <w:vAlign w:val="center"/>
          </w:tcPr>
          <w:p w14:paraId="251760C6" w14:textId="007FE58D" w:rsidR="00271FD8" w:rsidRDefault="0057593E" w:rsidP="00271FD8">
            <w:pPr>
              <w:cnfStyle w:val="000000000000" w:firstRow="0" w:lastRow="0" w:firstColumn="0" w:lastColumn="0" w:oddVBand="0" w:evenVBand="0" w:oddHBand="0" w:evenHBand="0" w:firstRowFirstColumn="0" w:firstRowLastColumn="0" w:lastRowFirstColumn="0" w:lastRowLastColumn="0"/>
            </w:pPr>
            <w:r>
              <w:rPr>
                <w:color w:val="000000"/>
                <w:sz w:val="20"/>
              </w:rPr>
              <w:t>6.6</w:t>
            </w:r>
            <w:r w:rsidR="00271FD8">
              <w:rPr>
                <w:color w:val="000000"/>
                <w:sz w:val="20"/>
              </w:rPr>
              <w:t>%</w:t>
            </w:r>
          </w:p>
        </w:tc>
        <w:tc>
          <w:tcPr>
            <w:tcW w:w="1012" w:type="dxa"/>
            <w:vAlign w:val="center"/>
          </w:tcPr>
          <w:p w14:paraId="0CE84328" w14:textId="4595F8F6" w:rsidR="00271FD8" w:rsidRPr="007E512D"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-0.</w:t>
            </w:r>
            <w:r w:rsidR="0057593E">
              <w:rPr>
                <w:color w:val="000000"/>
                <w:sz w:val="20"/>
              </w:rPr>
              <w:t>4</w:t>
            </w:r>
            <w:r>
              <w:rPr>
                <w:color w:val="000000"/>
                <w:sz w:val="20"/>
              </w:rPr>
              <w:t>%</w:t>
            </w:r>
          </w:p>
        </w:tc>
        <w:tc>
          <w:tcPr>
            <w:tcW w:w="1013" w:type="dxa"/>
            <w:vAlign w:val="center"/>
          </w:tcPr>
          <w:p w14:paraId="456503FD" w14:textId="257CDA0F" w:rsidR="00271FD8" w:rsidRPr="007E512D" w:rsidRDefault="00271FD8" w:rsidP="00271FD8">
            <w:pPr>
              <w:cnfStyle w:val="000000000000" w:firstRow="0" w:lastRow="0" w:firstColumn="0" w:lastColumn="0" w:oddVBand="0" w:evenVBand="0" w:oddHBand="0" w:evenHBand="0" w:firstRowFirstColumn="0" w:firstRowLastColumn="0" w:lastRowFirstColumn="0" w:lastRowLastColumn="0"/>
            </w:pPr>
            <w:r>
              <w:rPr>
                <w:color w:val="000000"/>
                <w:sz w:val="20"/>
              </w:rPr>
              <w:t>-7.</w:t>
            </w:r>
            <w:r w:rsidR="0057593E">
              <w:rPr>
                <w:color w:val="000000"/>
                <w:sz w:val="20"/>
              </w:rPr>
              <w:t>2</w:t>
            </w:r>
            <w:r>
              <w:rPr>
                <w:color w:val="000000"/>
                <w:sz w:val="20"/>
              </w:rPr>
              <w:t>%</w:t>
            </w:r>
          </w:p>
        </w:tc>
      </w:tr>
      <w:tr w:rsidR="00271FD8" w:rsidRPr="007E512D" w14:paraId="2EB17C7D" w14:textId="77777777" w:rsidTr="0027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bottom w:val="single" w:sz="4" w:space="0" w:color="auto"/>
            </w:tcBorders>
          </w:tcPr>
          <w:p w14:paraId="7C3DD361" w14:textId="6A019DF3" w:rsidR="00271FD8" w:rsidRPr="007E512D" w:rsidRDefault="00271FD8" w:rsidP="00271FD8">
            <w:r w:rsidRPr="007E512D">
              <w:t>2016</w:t>
            </w:r>
          </w:p>
        </w:tc>
        <w:tc>
          <w:tcPr>
            <w:tcW w:w="1012" w:type="dxa"/>
            <w:tcBorders>
              <w:bottom w:val="single" w:sz="4" w:space="0" w:color="auto"/>
            </w:tcBorders>
            <w:vAlign w:val="center"/>
          </w:tcPr>
          <w:p w14:paraId="6AE3371B" w14:textId="41C644B2" w:rsidR="00271FD8"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124.1</w:t>
            </w:r>
          </w:p>
        </w:tc>
        <w:tc>
          <w:tcPr>
            <w:tcW w:w="1013" w:type="dxa"/>
            <w:tcBorders>
              <w:bottom w:val="single" w:sz="4" w:space="0" w:color="auto"/>
            </w:tcBorders>
            <w:vAlign w:val="center"/>
          </w:tcPr>
          <w:p w14:paraId="29C60537" w14:textId="6E4632EF" w:rsidR="00271FD8" w:rsidRPr="00C01AF4"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17.4</w:t>
            </w:r>
          </w:p>
        </w:tc>
        <w:tc>
          <w:tcPr>
            <w:tcW w:w="1012" w:type="dxa"/>
            <w:tcBorders>
              <w:bottom w:val="single" w:sz="4" w:space="0" w:color="auto"/>
            </w:tcBorders>
            <w:vAlign w:val="center"/>
          </w:tcPr>
          <w:p w14:paraId="2CC2D2F1" w14:textId="161CE59A" w:rsidR="00271FD8" w:rsidRPr="00C01AF4"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63.8</w:t>
            </w:r>
          </w:p>
        </w:tc>
        <w:tc>
          <w:tcPr>
            <w:tcW w:w="1013" w:type="dxa"/>
            <w:tcBorders>
              <w:bottom w:val="single" w:sz="4" w:space="0" w:color="auto"/>
            </w:tcBorders>
            <w:vAlign w:val="center"/>
          </w:tcPr>
          <w:p w14:paraId="492337B9" w14:textId="6DA0F246" w:rsidR="00271FD8" w:rsidRPr="00C01AF4"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33.9</w:t>
            </w:r>
          </w:p>
        </w:tc>
        <w:tc>
          <w:tcPr>
            <w:tcW w:w="1012" w:type="dxa"/>
            <w:tcBorders>
              <w:bottom w:val="single" w:sz="4" w:space="0" w:color="auto"/>
            </w:tcBorders>
            <w:vAlign w:val="center"/>
          </w:tcPr>
          <w:p w14:paraId="671D9BAE" w14:textId="527B6383" w:rsidR="00271FD8" w:rsidRDefault="00283FC2" w:rsidP="00271FD8">
            <w:pPr>
              <w:cnfStyle w:val="000000100000" w:firstRow="0" w:lastRow="0" w:firstColumn="0" w:lastColumn="0" w:oddVBand="0" w:evenVBand="0" w:oddHBand="1" w:evenHBand="0" w:firstRowFirstColumn="0" w:firstRowLastColumn="0" w:lastRowFirstColumn="0" w:lastRowLastColumn="0"/>
            </w:pPr>
            <w:r>
              <w:rPr>
                <w:color w:val="000000"/>
                <w:sz w:val="20"/>
              </w:rPr>
              <w:t>121.3</w:t>
            </w:r>
          </w:p>
        </w:tc>
        <w:tc>
          <w:tcPr>
            <w:tcW w:w="1013" w:type="dxa"/>
            <w:tcBorders>
              <w:bottom w:val="single" w:sz="4" w:space="0" w:color="auto"/>
            </w:tcBorders>
            <w:vAlign w:val="center"/>
          </w:tcPr>
          <w:p w14:paraId="75EA5C7E" w14:textId="62A56AA2" w:rsidR="00271FD8" w:rsidRDefault="0057593E" w:rsidP="00271FD8">
            <w:pPr>
              <w:cnfStyle w:val="000000100000" w:firstRow="0" w:lastRow="0" w:firstColumn="0" w:lastColumn="0" w:oddVBand="0" w:evenVBand="0" w:oddHBand="1" w:evenHBand="0" w:firstRowFirstColumn="0" w:firstRowLastColumn="0" w:lastRowFirstColumn="0" w:lastRowLastColumn="0"/>
            </w:pPr>
            <w:r>
              <w:rPr>
                <w:color w:val="000000"/>
                <w:sz w:val="20"/>
              </w:rPr>
              <w:t>18.5</w:t>
            </w:r>
          </w:p>
        </w:tc>
        <w:tc>
          <w:tcPr>
            <w:tcW w:w="1012" w:type="dxa"/>
            <w:tcBorders>
              <w:bottom w:val="single" w:sz="4" w:space="0" w:color="auto"/>
            </w:tcBorders>
            <w:vAlign w:val="center"/>
          </w:tcPr>
          <w:p w14:paraId="3AEB3866" w14:textId="7EF8C514" w:rsidR="00271FD8" w:rsidRDefault="0057593E" w:rsidP="00271FD8">
            <w:pPr>
              <w:cnfStyle w:val="000000100000" w:firstRow="0" w:lastRow="0" w:firstColumn="0" w:lastColumn="0" w:oddVBand="0" w:evenVBand="0" w:oddHBand="1" w:evenHBand="0" w:firstRowFirstColumn="0" w:firstRowLastColumn="0" w:lastRowFirstColumn="0" w:lastRowLastColumn="0"/>
            </w:pPr>
            <w:r>
              <w:rPr>
                <w:color w:val="000000"/>
                <w:sz w:val="20"/>
              </w:rPr>
              <w:t>63.3</w:t>
            </w:r>
          </w:p>
        </w:tc>
        <w:tc>
          <w:tcPr>
            <w:tcW w:w="1013" w:type="dxa"/>
            <w:tcBorders>
              <w:bottom w:val="single" w:sz="4" w:space="0" w:color="auto"/>
            </w:tcBorders>
            <w:vAlign w:val="center"/>
          </w:tcPr>
          <w:p w14:paraId="6CDF66CF" w14:textId="28AD969D" w:rsidR="00271FD8"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31.</w:t>
            </w:r>
            <w:r w:rsidR="0057593E">
              <w:rPr>
                <w:color w:val="000000"/>
                <w:sz w:val="20"/>
              </w:rPr>
              <w:t>4</w:t>
            </w:r>
          </w:p>
        </w:tc>
        <w:tc>
          <w:tcPr>
            <w:tcW w:w="1012" w:type="dxa"/>
            <w:tcBorders>
              <w:bottom w:val="single" w:sz="4" w:space="0" w:color="auto"/>
            </w:tcBorders>
            <w:vAlign w:val="center"/>
          </w:tcPr>
          <w:p w14:paraId="51781786" w14:textId="12463D1A" w:rsidR="00271FD8" w:rsidRPr="007E512D"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-2.3%</w:t>
            </w:r>
          </w:p>
        </w:tc>
        <w:tc>
          <w:tcPr>
            <w:tcW w:w="1013" w:type="dxa"/>
            <w:tcBorders>
              <w:bottom w:val="single" w:sz="4" w:space="0" w:color="auto"/>
            </w:tcBorders>
            <w:vAlign w:val="center"/>
          </w:tcPr>
          <w:p w14:paraId="072B4121" w14:textId="2677D2BD" w:rsidR="00271FD8" w:rsidRDefault="0057593E" w:rsidP="00271FD8">
            <w:pPr>
              <w:cnfStyle w:val="000000100000" w:firstRow="0" w:lastRow="0" w:firstColumn="0" w:lastColumn="0" w:oddVBand="0" w:evenVBand="0" w:oddHBand="1" w:evenHBand="0" w:firstRowFirstColumn="0" w:firstRowLastColumn="0" w:lastRowFirstColumn="0" w:lastRowLastColumn="0"/>
            </w:pPr>
            <w:r>
              <w:rPr>
                <w:color w:val="000000"/>
                <w:sz w:val="20"/>
              </w:rPr>
              <w:t>5.5</w:t>
            </w:r>
            <w:r w:rsidR="00271FD8">
              <w:rPr>
                <w:color w:val="000000"/>
                <w:sz w:val="20"/>
              </w:rPr>
              <w:t>%</w:t>
            </w:r>
          </w:p>
        </w:tc>
        <w:tc>
          <w:tcPr>
            <w:tcW w:w="1012" w:type="dxa"/>
            <w:tcBorders>
              <w:bottom w:val="single" w:sz="4" w:space="0" w:color="auto"/>
            </w:tcBorders>
            <w:vAlign w:val="center"/>
          </w:tcPr>
          <w:p w14:paraId="216E537A" w14:textId="5DDC5DFF" w:rsidR="00271FD8"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-0.</w:t>
            </w:r>
            <w:r w:rsidR="0057593E">
              <w:rPr>
                <w:color w:val="000000"/>
                <w:sz w:val="20"/>
              </w:rPr>
              <w:t>8</w:t>
            </w:r>
            <w:r>
              <w:rPr>
                <w:color w:val="000000"/>
                <w:sz w:val="20"/>
              </w:rPr>
              <w:t>%</w:t>
            </w:r>
          </w:p>
        </w:tc>
        <w:tc>
          <w:tcPr>
            <w:tcW w:w="1013" w:type="dxa"/>
            <w:tcBorders>
              <w:bottom w:val="single" w:sz="4" w:space="0" w:color="auto"/>
            </w:tcBorders>
            <w:vAlign w:val="center"/>
          </w:tcPr>
          <w:p w14:paraId="2085238C" w14:textId="6A0EE876" w:rsidR="00271FD8" w:rsidRPr="007E512D" w:rsidRDefault="00271FD8" w:rsidP="00271FD8">
            <w:pPr>
              <w:cnfStyle w:val="000000100000" w:firstRow="0" w:lastRow="0" w:firstColumn="0" w:lastColumn="0" w:oddVBand="0" w:evenVBand="0" w:oddHBand="1" w:evenHBand="0" w:firstRowFirstColumn="0" w:firstRowLastColumn="0" w:lastRowFirstColumn="0" w:lastRowLastColumn="0"/>
            </w:pPr>
            <w:r>
              <w:rPr>
                <w:color w:val="000000"/>
                <w:sz w:val="20"/>
              </w:rPr>
              <w:t>-8.</w:t>
            </w:r>
            <w:r w:rsidR="0057593E">
              <w:rPr>
                <w:color w:val="000000"/>
                <w:sz w:val="20"/>
              </w:rPr>
              <w:t>1</w:t>
            </w:r>
            <w:r>
              <w:rPr>
                <w:color w:val="000000"/>
                <w:sz w:val="20"/>
              </w:rPr>
              <w:t>%</w:t>
            </w:r>
          </w:p>
        </w:tc>
      </w:tr>
      <w:tr w:rsidR="00271FD8" w:rsidRPr="007E512D" w14:paraId="04645A24" w14:textId="77777777" w:rsidTr="00271FD8">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bottom w:val="single" w:sz="4" w:space="0" w:color="auto"/>
            </w:tcBorders>
          </w:tcPr>
          <w:p w14:paraId="11098527" w14:textId="77777777" w:rsidR="00271FD8" w:rsidRPr="007E512D" w:rsidRDefault="00271FD8" w:rsidP="00271FD8"/>
        </w:tc>
        <w:tc>
          <w:tcPr>
            <w:tcW w:w="4050" w:type="dxa"/>
            <w:gridSpan w:val="4"/>
            <w:tcBorders>
              <w:top w:val="single" w:sz="4" w:space="0" w:color="auto"/>
              <w:bottom w:val="single" w:sz="4" w:space="0" w:color="auto"/>
            </w:tcBorders>
          </w:tcPr>
          <w:p w14:paraId="5FD34723" w14:textId="0144C150"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sidRPr="00D629B7">
              <w:rPr>
                <w:b/>
                <w:bCs/>
              </w:rPr>
              <w:t xml:space="preserve">Full Model </w:t>
            </w:r>
            <w:r>
              <w:rPr>
                <w:b/>
                <w:bCs/>
              </w:rPr>
              <w:t>4</w:t>
            </w:r>
          </w:p>
        </w:tc>
        <w:tc>
          <w:tcPr>
            <w:tcW w:w="4050" w:type="dxa"/>
            <w:gridSpan w:val="4"/>
            <w:tcBorders>
              <w:top w:val="single" w:sz="4" w:space="0" w:color="auto"/>
              <w:bottom w:val="single" w:sz="4" w:space="0" w:color="auto"/>
            </w:tcBorders>
            <w:vAlign w:val="center"/>
          </w:tcPr>
          <w:p w14:paraId="2D0E781A" w14:textId="5D2DBEC1"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sidRPr="00EC6031">
              <w:rPr>
                <w:b/>
                <w:bCs/>
              </w:rPr>
              <w:t xml:space="preserve">Model </w:t>
            </w:r>
            <w:r>
              <w:rPr>
                <w:b/>
                <w:bCs/>
              </w:rPr>
              <w:t>4</w:t>
            </w:r>
            <w:r w:rsidRPr="00EC6031">
              <w:rPr>
                <w:b/>
                <w:bCs/>
              </w:rPr>
              <w:t xml:space="preserve"> with direct effects only</w:t>
            </w:r>
          </w:p>
        </w:tc>
        <w:tc>
          <w:tcPr>
            <w:tcW w:w="4050" w:type="dxa"/>
            <w:gridSpan w:val="4"/>
            <w:tcBorders>
              <w:top w:val="single" w:sz="4" w:space="0" w:color="auto"/>
              <w:bottom w:val="single" w:sz="4" w:space="0" w:color="auto"/>
            </w:tcBorders>
          </w:tcPr>
          <w:p w14:paraId="44301A0E" w14:textId="5EA4CA58"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sidRPr="00EC6031">
              <w:rPr>
                <w:b/>
              </w:rPr>
              <w:t xml:space="preserve">Percent </w:t>
            </w:r>
            <w:r w:rsidRPr="00EC6031">
              <w:rPr>
                <w:b/>
                <w:bCs/>
              </w:rPr>
              <w:t>reduction</w:t>
            </w:r>
            <w:r w:rsidRPr="00EC6031">
              <w:rPr>
                <w:b/>
                <w:bCs/>
                <w:vertAlign w:val="superscript"/>
              </w:rPr>
              <w:t>3</w:t>
            </w:r>
          </w:p>
        </w:tc>
      </w:tr>
      <w:tr w:rsidR="00271FD8" w:rsidRPr="007E512D" w14:paraId="3CB790C9" w14:textId="77777777" w:rsidTr="00271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tcBorders>
          </w:tcPr>
          <w:p w14:paraId="49DF6C99" w14:textId="693A469C" w:rsidR="00271FD8" w:rsidRPr="007E512D" w:rsidRDefault="00271FD8" w:rsidP="00271FD8">
            <w:r w:rsidRPr="007E512D">
              <w:t>2012</w:t>
            </w:r>
            <w:r w:rsidRPr="007E512D">
              <w:rPr>
                <w:vertAlign w:val="superscript"/>
              </w:rPr>
              <w:t>2</w:t>
            </w:r>
          </w:p>
        </w:tc>
        <w:tc>
          <w:tcPr>
            <w:tcW w:w="1012" w:type="dxa"/>
            <w:tcBorders>
              <w:top w:val="single" w:sz="4" w:space="0" w:color="auto"/>
            </w:tcBorders>
            <w:vAlign w:val="center"/>
          </w:tcPr>
          <w:p w14:paraId="1B55F50A" w14:textId="58F8D520" w:rsidR="00271FD8" w:rsidRPr="00D629B7" w:rsidRDefault="00271FD8" w:rsidP="00271FD8">
            <w:pPr>
              <w:cnfStyle w:val="000000100000" w:firstRow="0" w:lastRow="0" w:firstColumn="0" w:lastColumn="0" w:oddVBand="0" w:evenVBand="0" w:oddHBand="1" w:evenHBand="0" w:firstRowFirstColumn="0" w:firstRowLastColumn="0" w:lastRowFirstColumn="0" w:lastRowLastColumn="0"/>
              <w:rPr>
                <w:b/>
                <w:bCs/>
              </w:rPr>
            </w:pPr>
            <w:r>
              <w:rPr>
                <w:color w:val="000000"/>
                <w:sz w:val="20"/>
              </w:rPr>
              <w:t>197.</w:t>
            </w:r>
            <w:r w:rsidR="0057593E">
              <w:rPr>
                <w:color w:val="000000"/>
                <w:sz w:val="20"/>
              </w:rPr>
              <w:t>6</w:t>
            </w:r>
          </w:p>
        </w:tc>
        <w:tc>
          <w:tcPr>
            <w:tcW w:w="1013" w:type="dxa"/>
            <w:tcBorders>
              <w:top w:val="single" w:sz="4" w:space="0" w:color="auto"/>
            </w:tcBorders>
            <w:vAlign w:val="center"/>
          </w:tcPr>
          <w:p w14:paraId="4BA630BD" w14:textId="5D1519CB" w:rsidR="00271FD8" w:rsidRPr="00EC6031" w:rsidRDefault="0057593E" w:rsidP="00271FD8">
            <w:pPr>
              <w:cnfStyle w:val="000000100000" w:firstRow="0" w:lastRow="0" w:firstColumn="0" w:lastColumn="0" w:oddVBand="0" w:evenVBand="0" w:oddHBand="1" w:evenHBand="0" w:firstRowFirstColumn="0" w:firstRowLastColumn="0" w:lastRowFirstColumn="0" w:lastRowLastColumn="0"/>
              <w:rPr>
                <w:b/>
                <w:bCs/>
              </w:rPr>
            </w:pPr>
            <w:r>
              <w:rPr>
                <w:color w:val="000000"/>
                <w:sz w:val="20"/>
              </w:rPr>
              <w:t>28.7</w:t>
            </w:r>
          </w:p>
        </w:tc>
        <w:tc>
          <w:tcPr>
            <w:tcW w:w="1012" w:type="dxa"/>
            <w:tcBorders>
              <w:top w:val="single" w:sz="4" w:space="0" w:color="auto"/>
            </w:tcBorders>
            <w:vAlign w:val="center"/>
          </w:tcPr>
          <w:p w14:paraId="41A88DAA" w14:textId="0D8B738A" w:rsidR="00271FD8" w:rsidRPr="00EC6031" w:rsidRDefault="0057593E" w:rsidP="00271FD8">
            <w:pPr>
              <w:cnfStyle w:val="000000100000" w:firstRow="0" w:lastRow="0" w:firstColumn="0" w:lastColumn="0" w:oddVBand="0" w:evenVBand="0" w:oddHBand="1" w:evenHBand="0" w:firstRowFirstColumn="0" w:firstRowLastColumn="0" w:lastRowFirstColumn="0" w:lastRowLastColumn="0"/>
              <w:rPr>
                <w:b/>
              </w:rPr>
            </w:pPr>
            <w:r>
              <w:rPr>
                <w:color w:val="000000"/>
                <w:sz w:val="20"/>
              </w:rPr>
              <w:t>136.3</w:t>
            </w:r>
          </w:p>
        </w:tc>
        <w:tc>
          <w:tcPr>
            <w:tcW w:w="1013" w:type="dxa"/>
            <w:tcBorders>
              <w:top w:val="single" w:sz="4" w:space="0" w:color="auto"/>
            </w:tcBorders>
            <w:vAlign w:val="center"/>
          </w:tcPr>
          <w:p w14:paraId="7A4F85C6" w14:textId="39DC3319"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31.</w:t>
            </w:r>
            <w:r w:rsidR="0028435E">
              <w:rPr>
                <w:color w:val="000000"/>
                <w:sz w:val="20"/>
              </w:rPr>
              <w:t>0</w:t>
            </w:r>
          </w:p>
        </w:tc>
        <w:tc>
          <w:tcPr>
            <w:tcW w:w="1012" w:type="dxa"/>
            <w:tcBorders>
              <w:top w:val="single" w:sz="4" w:space="0" w:color="auto"/>
            </w:tcBorders>
            <w:vAlign w:val="center"/>
          </w:tcPr>
          <w:p w14:paraId="57CC0705" w14:textId="4FA1283D"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200.</w:t>
            </w:r>
            <w:r w:rsidR="0028435E">
              <w:rPr>
                <w:color w:val="000000"/>
                <w:sz w:val="20"/>
              </w:rPr>
              <w:t>5</w:t>
            </w:r>
          </w:p>
        </w:tc>
        <w:tc>
          <w:tcPr>
            <w:tcW w:w="1013" w:type="dxa"/>
            <w:tcBorders>
              <w:top w:val="single" w:sz="4" w:space="0" w:color="auto"/>
            </w:tcBorders>
            <w:vAlign w:val="center"/>
          </w:tcPr>
          <w:p w14:paraId="49364207" w14:textId="7491840C"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29.0</w:t>
            </w:r>
          </w:p>
        </w:tc>
        <w:tc>
          <w:tcPr>
            <w:tcW w:w="1012" w:type="dxa"/>
            <w:tcBorders>
              <w:top w:val="single" w:sz="4" w:space="0" w:color="auto"/>
            </w:tcBorders>
            <w:vAlign w:val="center"/>
          </w:tcPr>
          <w:p w14:paraId="418FE002" w14:textId="0D83C30A"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138.2</w:t>
            </w:r>
          </w:p>
        </w:tc>
        <w:tc>
          <w:tcPr>
            <w:tcW w:w="1013" w:type="dxa"/>
            <w:tcBorders>
              <w:top w:val="single" w:sz="4" w:space="0" w:color="auto"/>
            </w:tcBorders>
            <w:vAlign w:val="center"/>
          </w:tcPr>
          <w:p w14:paraId="479181EB" w14:textId="12DE01B8"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31.6</w:t>
            </w:r>
          </w:p>
        </w:tc>
        <w:tc>
          <w:tcPr>
            <w:tcW w:w="1012" w:type="dxa"/>
            <w:tcBorders>
              <w:top w:val="single" w:sz="4" w:space="0" w:color="auto"/>
            </w:tcBorders>
            <w:vAlign w:val="center"/>
          </w:tcPr>
          <w:p w14:paraId="3432025E" w14:textId="69F4B453"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w:t>
            </w:r>
            <w:r w:rsidR="0028435E">
              <w:rPr>
                <w:color w:val="000000"/>
                <w:sz w:val="20"/>
              </w:rPr>
              <w:t>4</w:t>
            </w:r>
            <w:r>
              <w:rPr>
                <w:color w:val="000000"/>
                <w:sz w:val="20"/>
              </w:rPr>
              <w:t>%</w:t>
            </w:r>
          </w:p>
        </w:tc>
        <w:tc>
          <w:tcPr>
            <w:tcW w:w="1013" w:type="dxa"/>
            <w:tcBorders>
              <w:top w:val="single" w:sz="4" w:space="0" w:color="auto"/>
            </w:tcBorders>
            <w:vAlign w:val="center"/>
          </w:tcPr>
          <w:p w14:paraId="7D919C7F" w14:textId="6BB6D51A"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w:t>
            </w:r>
            <w:r w:rsidR="0028435E">
              <w:rPr>
                <w:color w:val="000000"/>
                <w:sz w:val="20"/>
              </w:rPr>
              <w:t>2</w:t>
            </w:r>
            <w:r>
              <w:rPr>
                <w:color w:val="000000"/>
                <w:sz w:val="20"/>
              </w:rPr>
              <w:t>%</w:t>
            </w:r>
          </w:p>
        </w:tc>
        <w:tc>
          <w:tcPr>
            <w:tcW w:w="1012" w:type="dxa"/>
            <w:tcBorders>
              <w:top w:val="single" w:sz="4" w:space="0" w:color="auto"/>
            </w:tcBorders>
            <w:vAlign w:val="center"/>
          </w:tcPr>
          <w:p w14:paraId="562DB7DC" w14:textId="601A376F"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w:t>
            </w:r>
            <w:r w:rsidR="0028435E">
              <w:rPr>
                <w:color w:val="000000"/>
                <w:sz w:val="20"/>
              </w:rPr>
              <w:t>4</w:t>
            </w:r>
            <w:r>
              <w:rPr>
                <w:color w:val="000000"/>
                <w:sz w:val="20"/>
              </w:rPr>
              <w:t>%</w:t>
            </w:r>
          </w:p>
        </w:tc>
        <w:tc>
          <w:tcPr>
            <w:tcW w:w="1013" w:type="dxa"/>
            <w:tcBorders>
              <w:top w:val="single" w:sz="4" w:space="0" w:color="auto"/>
            </w:tcBorders>
            <w:vAlign w:val="center"/>
          </w:tcPr>
          <w:p w14:paraId="32F3595A" w14:textId="68CD9A3A"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w:t>
            </w:r>
            <w:r w:rsidR="0028435E">
              <w:rPr>
                <w:color w:val="000000"/>
                <w:sz w:val="20"/>
              </w:rPr>
              <w:t>7</w:t>
            </w:r>
            <w:r>
              <w:rPr>
                <w:color w:val="000000"/>
                <w:sz w:val="20"/>
              </w:rPr>
              <w:t>%</w:t>
            </w:r>
          </w:p>
        </w:tc>
      </w:tr>
      <w:tr w:rsidR="00271FD8" w:rsidRPr="007E512D" w14:paraId="058A9889" w14:textId="77777777" w:rsidTr="00754D9F">
        <w:tc>
          <w:tcPr>
            <w:cnfStyle w:val="001000000000" w:firstRow="0" w:lastRow="0" w:firstColumn="1" w:lastColumn="0" w:oddVBand="0" w:evenVBand="0" w:oddHBand="0" w:evenHBand="0" w:firstRowFirstColumn="0" w:firstRowLastColumn="0" w:lastRowFirstColumn="0" w:lastRowLastColumn="0"/>
            <w:tcW w:w="918" w:type="dxa"/>
          </w:tcPr>
          <w:p w14:paraId="67B4A02D" w14:textId="310A7EA3" w:rsidR="00271FD8" w:rsidRPr="007E512D" w:rsidRDefault="00271FD8" w:rsidP="00271FD8">
            <w:r w:rsidRPr="007E512D">
              <w:t>2013</w:t>
            </w:r>
          </w:p>
        </w:tc>
        <w:tc>
          <w:tcPr>
            <w:tcW w:w="1012" w:type="dxa"/>
            <w:vAlign w:val="center"/>
          </w:tcPr>
          <w:p w14:paraId="1771CAB2" w14:textId="32A29B68" w:rsidR="00271FD8" w:rsidRDefault="0057593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196.0</w:t>
            </w:r>
          </w:p>
        </w:tc>
        <w:tc>
          <w:tcPr>
            <w:tcW w:w="1013" w:type="dxa"/>
            <w:vAlign w:val="center"/>
          </w:tcPr>
          <w:p w14:paraId="0379DB2B" w14:textId="2330B3AF"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26.</w:t>
            </w:r>
            <w:r w:rsidR="0057593E">
              <w:rPr>
                <w:color w:val="000000"/>
                <w:sz w:val="20"/>
              </w:rPr>
              <w:t>9</w:t>
            </w:r>
          </w:p>
        </w:tc>
        <w:tc>
          <w:tcPr>
            <w:tcW w:w="1012" w:type="dxa"/>
            <w:vAlign w:val="center"/>
          </w:tcPr>
          <w:p w14:paraId="74D9C58D" w14:textId="1E69FE51" w:rsidR="00271FD8" w:rsidRDefault="0057593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126</w:t>
            </w:r>
            <w:r w:rsidR="00271FD8">
              <w:rPr>
                <w:color w:val="000000"/>
                <w:sz w:val="20"/>
              </w:rPr>
              <w:t>.7</w:t>
            </w:r>
          </w:p>
        </w:tc>
        <w:tc>
          <w:tcPr>
            <w:tcW w:w="1013" w:type="dxa"/>
            <w:vAlign w:val="center"/>
          </w:tcPr>
          <w:p w14:paraId="617CB69F" w14:textId="634E36AD"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40.8</w:t>
            </w:r>
          </w:p>
        </w:tc>
        <w:tc>
          <w:tcPr>
            <w:tcW w:w="1012" w:type="dxa"/>
            <w:vAlign w:val="center"/>
          </w:tcPr>
          <w:p w14:paraId="0876CA1B" w14:textId="4A946F1A"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196.0</w:t>
            </w:r>
          </w:p>
        </w:tc>
        <w:tc>
          <w:tcPr>
            <w:tcW w:w="1013" w:type="dxa"/>
            <w:vAlign w:val="center"/>
          </w:tcPr>
          <w:p w14:paraId="50342734" w14:textId="3B7713A2"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27.</w:t>
            </w:r>
            <w:r w:rsidR="0028435E">
              <w:rPr>
                <w:color w:val="000000"/>
                <w:sz w:val="20"/>
              </w:rPr>
              <w:t>6</w:t>
            </w:r>
          </w:p>
        </w:tc>
        <w:tc>
          <w:tcPr>
            <w:tcW w:w="1012" w:type="dxa"/>
            <w:vAlign w:val="center"/>
          </w:tcPr>
          <w:p w14:paraId="7BD0D4F9" w14:textId="623909DD"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125.5</w:t>
            </w:r>
          </w:p>
        </w:tc>
        <w:tc>
          <w:tcPr>
            <w:tcW w:w="1013" w:type="dxa"/>
            <w:vAlign w:val="center"/>
          </w:tcPr>
          <w:p w14:paraId="1587418E" w14:textId="413C3F39"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41.2</w:t>
            </w:r>
          </w:p>
        </w:tc>
        <w:tc>
          <w:tcPr>
            <w:tcW w:w="1012" w:type="dxa"/>
            <w:vAlign w:val="center"/>
          </w:tcPr>
          <w:p w14:paraId="00EAAA0C" w14:textId="3F5242AD"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w:t>
            </w:r>
            <w:r w:rsidR="00271FD8">
              <w:rPr>
                <w:color w:val="000000"/>
                <w:sz w:val="20"/>
              </w:rPr>
              <w:t>0.</w:t>
            </w:r>
            <w:r>
              <w:rPr>
                <w:color w:val="000000"/>
                <w:sz w:val="20"/>
              </w:rPr>
              <w:t>0</w:t>
            </w:r>
            <w:r w:rsidR="00271FD8">
              <w:rPr>
                <w:color w:val="000000"/>
                <w:sz w:val="20"/>
              </w:rPr>
              <w:t>%</w:t>
            </w:r>
          </w:p>
        </w:tc>
        <w:tc>
          <w:tcPr>
            <w:tcW w:w="1013" w:type="dxa"/>
            <w:vAlign w:val="center"/>
          </w:tcPr>
          <w:p w14:paraId="458A5072" w14:textId="51D4BFF0"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2.</w:t>
            </w:r>
            <w:r w:rsidR="0028435E">
              <w:rPr>
                <w:color w:val="000000"/>
                <w:sz w:val="20"/>
              </w:rPr>
              <w:t>5</w:t>
            </w:r>
            <w:r>
              <w:rPr>
                <w:color w:val="000000"/>
                <w:sz w:val="20"/>
              </w:rPr>
              <w:t>%</w:t>
            </w:r>
          </w:p>
        </w:tc>
        <w:tc>
          <w:tcPr>
            <w:tcW w:w="1012" w:type="dxa"/>
            <w:vAlign w:val="center"/>
          </w:tcPr>
          <w:p w14:paraId="663D0732" w14:textId="69D432E6"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-0.</w:t>
            </w:r>
            <w:r w:rsidR="0028435E">
              <w:rPr>
                <w:color w:val="000000"/>
                <w:sz w:val="20"/>
              </w:rPr>
              <w:t>9</w:t>
            </w:r>
            <w:r>
              <w:rPr>
                <w:color w:val="000000"/>
                <w:sz w:val="20"/>
              </w:rPr>
              <w:t>%</w:t>
            </w:r>
          </w:p>
        </w:tc>
        <w:tc>
          <w:tcPr>
            <w:tcW w:w="1013" w:type="dxa"/>
            <w:vAlign w:val="center"/>
          </w:tcPr>
          <w:p w14:paraId="4E49F00A" w14:textId="0CB1A428"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1.</w:t>
            </w:r>
            <w:r w:rsidR="0028435E">
              <w:rPr>
                <w:color w:val="000000"/>
                <w:sz w:val="20"/>
              </w:rPr>
              <w:t>0</w:t>
            </w:r>
            <w:r>
              <w:rPr>
                <w:color w:val="000000"/>
                <w:sz w:val="20"/>
              </w:rPr>
              <w:t>%</w:t>
            </w:r>
          </w:p>
        </w:tc>
      </w:tr>
      <w:tr w:rsidR="00271FD8" w:rsidRPr="007E512D" w14:paraId="54606B98"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537DE07A" w14:textId="120C9BA2" w:rsidR="00271FD8" w:rsidRPr="007E512D" w:rsidRDefault="00271FD8" w:rsidP="00271FD8">
            <w:r w:rsidRPr="007E512D">
              <w:t>2014</w:t>
            </w:r>
          </w:p>
        </w:tc>
        <w:tc>
          <w:tcPr>
            <w:tcW w:w="1012" w:type="dxa"/>
            <w:vAlign w:val="center"/>
          </w:tcPr>
          <w:p w14:paraId="1F199A70" w14:textId="15F35D03" w:rsidR="00271FD8" w:rsidRDefault="0057593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171</w:t>
            </w:r>
            <w:r w:rsidR="00271FD8">
              <w:rPr>
                <w:color w:val="000000"/>
                <w:sz w:val="20"/>
              </w:rPr>
              <w:t>.4</w:t>
            </w:r>
          </w:p>
        </w:tc>
        <w:tc>
          <w:tcPr>
            <w:tcW w:w="1013" w:type="dxa"/>
            <w:vAlign w:val="center"/>
          </w:tcPr>
          <w:p w14:paraId="344686AA" w14:textId="344404B2" w:rsidR="00271FD8" w:rsidRDefault="0057593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23.6</w:t>
            </w:r>
          </w:p>
        </w:tc>
        <w:tc>
          <w:tcPr>
            <w:tcW w:w="1012" w:type="dxa"/>
            <w:vAlign w:val="center"/>
          </w:tcPr>
          <w:p w14:paraId="10A908A5" w14:textId="3074FAE1" w:rsidR="00271FD8" w:rsidRDefault="0057593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99.4</w:t>
            </w:r>
          </w:p>
        </w:tc>
        <w:tc>
          <w:tcPr>
            <w:tcW w:w="1013" w:type="dxa"/>
            <w:vAlign w:val="center"/>
          </w:tcPr>
          <w:p w14:paraId="3FBD5019" w14:textId="12C957E4"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45.5</w:t>
            </w:r>
          </w:p>
        </w:tc>
        <w:tc>
          <w:tcPr>
            <w:tcW w:w="1012" w:type="dxa"/>
            <w:vAlign w:val="center"/>
          </w:tcPr>
          <w:p w14:paraId="5CB6A4B9" w14:textId="513D8A9D"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171.5</w:t>
            </w:r>
          </w:p>
        </w:tc>
        <w:tc>
          <w:tcPr>
            <w:tcW w:w="1013" w:type="dxa"/>
            <w:vAlign w:val="center"/>
          </w:tcPr>
          <w:p w14:paraId="65DA3EA5" w14:textId="40FB7922"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25.1</w:t>
            </w:r>
          </w:p>
        </w:tc>
        <w:tc>
          <w:tcPr>
            <w:tcW w:w="1012" w:type="dxa"/>
            <w:vAlign w:val="center"/>
          </w:tcPr>
          <w:p w14:paraId="00A2404C" w14:textId="0A62EDDD"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99.4</w:t>
            </w:r>
          </w:p>
        </w:tc>
        <w:tc>
          <w:tcPr>
            <w:tcW w:w="1013" w:type="dxa"/>
            <w:vAlign w:val="center"/>
          </w:tcPr>
          <w:p w14:paraId="6B895CDA" w14:textId="104BE8F7"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44.1</w:t>
            </w:r>
          </w:p>
        </w:tc>
        <w:tc>
          <w:tcPr>
            <w:tcW w:w="1012" w:type="dxa"/>
            <w:vAlign w:val="center"/>
          </w:tcPr>
          <w:p w14:paraId="0FBC0EB6" w14:textId="4B350F9D"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0.</w:t>
            </w:r>
            <w:r w:rsidR="0028435E">
              <w:rPr>
                <w:color w:val="000000"/>
                <w:sz w:val="20"/>
              </w:rPr>
              <w:t>0</w:t>
            </w:r>
            <w:r>
              <w:rPr>
                <w:color w:val="000000"/>
                <w:sz w:val="20"/>
              </w:rPr>
              <w:t>%</w:t>
            </w:r>
          </w:p>
        </w:tc>
        <w:tc>
          <w:tcPr>
            <w:tcW w:w="1013" w:type="dxa"/>
            <w:vAlign w:val="center"/>
          </w:tcPr>
          <w:p w14:paraId="3C8D1058" w14:textId="4DA4E99A"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5.8</w:t>
            </w:r>
            <w:r w:rsidR="00271FD8">
              <w:rPr>
                <w:color w:val="000000"/>
                <w:sz w:val="20"/>
              </w:rPr>
              <w:t>%</w:t>
            </w:r>
          </w:p>
        </w:tc>
        <w:tc>
          <w:tcPr>
            <w:tcW w:w="1012" w:type="dxa"/>
            <w:vAlign w:val="center"/>
          </w:tcPr>
          <w:p w14:paraId="0AB8CA9A" w14:textId="4AA2A48B"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w:t>
            </w:r>
            <w:r w:rsidR="00271FD8">
              <w:rPr>
                <w:color w:val="000000"/>
                <w:sz w:val="20"/>
              </w:rPr>
              <w:t>0.</w:t>
            </w:r>
            <w:r>
              <w:rPr>
                <w:color w:val="000000"/>
                <w:sz w:val="20"/>
              </w:rPr>
              <w:t>1</w:t>
            </w:r>
            <w:r w:rsidR="00271FD8">
              <w:rPr>
                <w:color w:val="000000"/>
                <w:sz w:val="20"/>
              </w:rPr>
              <w:t>%</w:t>
            </w:r>
          </w:p>
        </w:tc>
        <w:tc>
          <w:tcPr>
            <w:tcW w:w="1013" w:type="dxa"/>
            <w:vAlign w:val="center"/>
          </w:tcPr>
          <w:p w14:paraId="6E41261F" w14:textId="5C8F3C0A"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-3.</w:t>
            </w:r>
            <w:r w:rsidR="0028435E">
              <w:rPr>
                <w:color w:val="000000"/>
                <w:sz w:val="20"/>
              </w:rPr>
              <w:t>3</w:t>
            </w:r>
            <w:r>
              <w:rPr>
                <w:color w:val="000000"/>
                <w:sz w:val="20"/>
              </w:rPr>
              <w:t>%</w:t>
            </w:r>
          </w:p>
        </w:tc>
      </w:tr>
      <w:tr w:rsidR="00271FD8" w:rsidRPr="007E512D" w14:paraId="7CD883BD" w14:textId="77777777" w:rsidTr="00754D9F">
        <w:tc>
          <w:tcPr>
            <w:cnfStyle w:val="001000000000" w:firstRow="0" w:lastRow="0" w:firstColumn="1" w:lastColumn="0" w:oddVBand="0" w:evenVBand="0" w:oddHBand="0" w:evenHBand="0" w:firstRowFirstColumn="0" w:firstRowLastColumn="0" w:lastRowFirstColumn="0" w:lastRowLastColumn="0"/>
            <w:tcW w:w="918" w:type="dxa"/>
          </w:tcPr>
          <w:p w14:paraId="7D45AA11" w14:textId="1942D376" w:rsidR="00271FD8" w:rsidRPr="007E512D" w:rsidRDefault="00271FD8" w:rsidP="00271FD8">
            <w:r w:rsidRPr="007E512D">
              <w:t>2015</w:t>
            </w:r>
          </w:p>
        </w:tc>
        <w:tc>
          <w:tcPr>
            <w:tcW w:w="1012" w:type="dxa"/>
            <w:vAlign w:val="center"/>
          </w:tcPr>
          <w:p w14:paraId="749A3C64" w14:textId="7DFF39C6"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150.</w:t>
            </w:r>
            <w:r w:rsidR="0057593E">
              <w:rPr>
                <w:color w:val="000000"/>
                <w:sz w:val="20"/>
              </w:rPr>
              <w:t>6</w:t>
            </w:r>
          </w:p>
        </w:tc>
        <w:tc>
          <w:tcPr>
            <w:tcW w:w="1013" w:type="dxa"/>
            <w:vAlign w:val="center"/>
          </w:tcPr>
          <w:p w14:paraId="5C0BD006" w14:textId="43586195"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20.</w:t>
            </w:r>
            <w:r w:rsidR="0057593E">
              <w:rPr>
                <w:color w:val="000000"/>
                <w:sz w:val="20"/>
              </w:rPr>
              <w:t>8</w:t>
            </w:r>
          </w:p>
        </w:tc>
        <w:tc>
          <w:tcPr>
            <w:tcW w:w="1012" w:type="dxa"/>
            <w:vAlign w:val="center"/>
          </w:tcPr>
          <w:p w14:paraId="4C384E38" w14:textId="30A46653" w:rsidR="00271FD8" w:rsidRDefault="0057593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81.7</w:t>
            </w:r>
          </w:p>
        </w:tc>
        <w:tc>
          <w:tcPr>
            <w:tcW w:w="1013" w:type="dxa"/>
            <w:vAlign w:val="center"/>
          </w:tcPr>
          <w:p w14:paraId="271DA498" w14:textId="2DF645C9"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39</w:t>
            </w:r>
            <w:r w:rsidR="00271FD8">
              <w:rPr>
                <w:color w:val="000000"/>
                <w:sz w:val="20"/>
              </w:rPr>
              <w:t>.8</w:t>
            </w:r>
          </w:p>
        </w:tc>
        <w:tc>
          <w:tcPr>
            <w:tcW w:w="1012" w:type="dxa"/>
            <w:vAlign w:val="center"/>
          </w:tcPr>
          <w:p w14:paraId="3740246D" w14:textId="5BDFFC5F"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148.</w:t>
            </w:r>
            <w:r w:rsidR="0028435E">
              <w:rPr>
                <w:color w:val="000000"/>
                <w:sz w:val="20"/>
              </w:rPr>
              <w:t>5</w:t>
            </w:r>
          </w:p>
        </w:tc>
        <w:tc>
          <w:tcPr>
            <w:tcW w:w="1013" w:type="dxa"/>
            <w:vAlign w:val="center"/>
          </w:tcPr>
          <w:p w14:paraId="32C22ED5" w14:textId="3AE1A5DF"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22.2</w:t>
            </w:r>
          </w:p>
        </w:tc>
        <w:tc>
          <w:tcPr>
            <w:tcW w:w="1012" w:type="dxa"/>
            <w:vAlign w:val="center"/>
          </w:tcPr>
          <w:p w14:paraId="5E8B74EC" w14:textId="7DA54249"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81.</w:t>
            </w:r>
            <w:r w:rsidR="0028435E">
              <w:rPr>
                <w:color w:val="000000"/>
                <w:sz w:val="20"/>
              </w:rPr>
              <w:t>5</w:t>
            </w:r>
          </w:p>
        </w:tc>
        <w:tc>
          <w:tcPr>
            <w:tcW w:w="1013" w:type="dxa"/>
            <w:vAlign w:val="center"/>
          </w:tcPr>
          <w:p w14:paraId="27116FE1" w14:textId="47ECE866"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36.7</w:t>
            </w:r>
          </w:p>
        </w:tc>
        <w:tc>
          <w:tcPr>
            <w:tcW w:w="1012" w:type="dxa"/>
            <w:vAlign w:val="center"/>
          </w:tcPr>
          <w:p w14:paraId="62FDE506" w14:textId="669C70E3"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-1.</w:t>
            </w:r>
            <w:r w:rsidR="0028435E">
              <w:rPr>
                <w:color w:val="000000"/>
                <w:sz w:val="20"/>
              </w:rPr>
              <w:t>4</w:t>
            </w:r>
            <w:r>
              <w:rPr>
                <w:color w:val="000000"/>
                <w:sz w:val="20"/>
              </w:rPr>
              <w:t>%</w:t>
            </w:r>
          </w:p>
        </w:tc>
        <w:tc>
          <w:tcPr>
            <w:tcW w:w="1013" w:type="dxa"/>
            <w:vAlign w:val="center"/>
          </w:tcPr>
          <w:p w14:paraId="414812A9" w14:textId="1AA39A85"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6.2</w:t>
            </w:r>
            <w:r w:rsidR="00271FD8">
              <w:rPr>
                <w:color w:val="000000"/>
                <w:sz w:val="20"/>
              </w:rPr>
              <w:t>%</w:t>
            </w:r>
          </w:p>
        </w:tc>
        <w:tc>
          <w:tcPr>
            <w:tcW w:w="1012" w:type="dxa"/>
            <w:vAlign w:val="center"/>
          </w:tcPr>
          <w:p w14:paraId="0500C46D" w14:textId="116BA2EE" w:rsidR="00271FD8" w:rsidRDefault="0028435E"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w:t>
            </w:r>
            <w:r w:rsidR="00271FD8">
              <w:rPr>
                <w:color w:val="000000"/>
                <w:sz w:val="20"/>
              </w:rPr>
              <w:t>0.</w:t>
            </w:r>
            <w:r>
              <w:rPr>
                <w:color w:val="000000"/>
                <w:sz w:val="20"/>
              </w:rPr>
              <w:t>3</w:t>
            </w:r>
            <w:r w:rsidR="00271FD8">
              <w:rPr>
                <w:color w:val="000000"/>
                <w:sz w:val="20"/>
              </w:rPr>
              <w:t>%</w:t>
            </w:r>
          </w:p>
        </w:tc>
        <w:tc>
          <w:tcPr>
            <w:tcW w:w="1013" w:type="dxa"/>
            <w:vAlign w:val="center"/>
          </w:tcPr>
          <w:p w14:paraId="097C33B6" w14:textId="0AB81350" w:rsidR="00271FD8" w:rsidRDefault="00271FD8" w:rsidP="00271FD8">
            <w:pP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-8.4%</w:t>
            </w:r>
          </w:p>
        </w:tc>
      </w:tr>
      <w:tr w:rsidR="00271FD8" w:rsidRPr="007E512D" w14:paraId="6FC0D3F2" w14:textId="77777777" w:rsidTr="00754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D645014" w14:textId="538FD89C" w:rsidR="00271FD8" w:rsidRPr="007E512D" w:rsidRDefault="00271FD8" w:rsidP="00271FD8">
            <w:r w:rsidRPr="007E512D">
              <w:t>2016</w:t>
            </w:r>
          </w:p>
        </w:tc>
        <w:tc>
          <w:tcPr>
            <w:tcW w:w="1012" w:type="dxa"/>
            <w:vAlign w:val="center"/>
          </w:tcPr>
          <w:p w14:paraId="3C6101FB" w14:textId="69564A4B" w:rsidR="00271FD8" w:rsidRDefault="0057593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121.8</w:t>
            </w:r>
          </w:p>
        </w:tc>
        <w:tc>
          <w:tcPr>
            <w:tcW w:w="1013" w:type="dxa"/>
            <w:vAlign w:val="center"/>
          </w:tcPr>
          <w:p w14:paraId="7095D79E" w14:textId="2E6D042D" w:rsidR="00271FD8" w:rsidRDefault="0057593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17.0</w:t>
            </w:r>
          </w:p>
        </w:tc>
        <w:tc>
          <w:tcPr>
            <w:tcW w:w="1012" w:type="dxa"/>
            <w:vAlign w:val="center"/>
          </w:tcPr>
          <w:p w14:paraId="3F7DB5A5" w14:textId="2745FF87"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66.2</w:t>
            </w:r>
          </w:p>
        </w:tc>
        <w:tc>
          <w:tcPr>
            <w:tcW w:w="1013" w:type="dxa"/>
            <w:vAlign w:val="center"/>
          </w:tcPr>
          <w:p w14:paraId="54AE4E7C" w14:textId="436894F7"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30.</w:t>
            </w:r>
            <w:r w:rsidR="0028435E">
              <w:rPr>
                <w:color w:val="000000"/>
                <w:sz w:val="20"/>
              </w:rPr>
              <w:t>0</w:t>
            </w:r>
          </w:p>
        </w:tc>
        <w:tc>
          <w:tcPr>
            <w:tcW w:w="1012" w:type="dxa"/>
            <w:vAlign w:val="center"/>
          </w:tcPr>
          <w:p w14:paraId="3E05D931" w14:textId="1E27A70B"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119.0</w:t>
            </w:r>
          </w:p>
        </w:tc>
        <w:tc>
          <w:tcPr>
            <w:tcW w:w="1013" w:type="dxa"/>
            <w:vAlign w:val="center"/>
          </w:tcPr>
          <w:p w14:paraId="016A0718" w14:textId="72400644"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18.0</w:t>
            </w:r>
          </w:p>
        </w:tc>
        <w:tc>
          <w:tcPr>
            <w:tcW w:w="1012" w:type="dxa"/>
            <w:vAlign w:val="center"/>
          </w:tcPr>
          <w:p w14:paraId="5B9ED279" w14:textId="1D3D6487"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65.7</w:t>
            </w:r>
          </w:p>
        </w:tc>
        <w:tc>
          <w:tcPr>
            <w:tcW w:w="1013" w:type="dxa"/>
            <w:vAlign w:val="center"/>
          </w:tcPr>
          <w:p w14:paraId="76FD52FB" w14:textId="57465267"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27.</w:t>
            </w:r>
            <w:r w:rsidR="0028435E">
              <w:rPr>
                <w:color w:val="000000"/>
                <w:sz w:val="20"/>
              </w:rPr>
              <w:t>5</w:t>
            </w:r>
          </w:p>
        </w:tc>
        <w:tc>
          <w:tcPr>
            <w:tcW w:w="1012" w:type="dxa"/>
            <w:vAlign w:val="center"/>
          </w:tcPr>
          <w:p w14:paraId="6F65697B" w14:textId="3FD41E92"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-2.</w:t>
            </w:r>
            <w:r w:rsidR="0028435E">
              <w:rPr>
                <w:color w:val="000000"/>
                <w:sz w:val="20"/>
              </w:rPr>
              <w:t>4</w:t>
            </w:r>
            <w:r>
              <w:rPr>
                <w:color w:val="000000"/>
                <w:sz w:val="20"/>
              </w:rPr>
              <w:t>%</w:t>
            </w:r>
          </w:p>
        </w:tc>
        <w:tc>
          <w:tcPr>
            <w:tcW w:w="1013" w:type="dxa"/>
            <w:vAlign w:val="center"/>
          </w:tcPr>
          <w:p w14:paraId="208C8F18" w14:textId="47A5A91F" w:rsidR="00271FD8" w:rsidRDefault="0028435E"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5</w:t>
            </w:r>
            <w:r w:rsidR="00271FD8">
              <w:rPr>
                <w:color w:val="000000"/>
                <w:sz w:val="20"/>
              </w:rPr>
              <w:t>.4%</w:t>
            </w:r>
          </w:p>
        </w:tc>
        <w:tc>
          <w:tcPr>
            <w:tcW w:w="1012" w:type="dxa"/>
            <w:vAlign w:val="center"/>
          </w:tcPr>
          <w:p w14:paraId="4B5A457D" w14:textId="3955DB2F"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-0.</w:t>
            </w:r>
            <w:r w:rsidR="0028435E">
              <w:rPr>
                <w:color w:val="000000"/>
                <w:sz w:val="20"/>
              </w:rPr>
              <w:t>8</w:t>
            </w:r>
            <w:r>
              <w:rPr>
                <w:color w:val="000000"/>
                <w:sz w:val="20"/>
              </w:rPr>
              <w:t>%</w:t>
            </w:r>
          </w:p>
        </w:tc>
        <w:tc>
          <w:tcPr>
            <w:tcW w:w="1013" w:type="dxa"/>
            <w:vAlign w:val="center"/>
          </w:tcPr>
          <w:p w14:paraId="6128A7F9" w14:textId="2DC67A82" w:rsidR="00271FD8" w:rsidRDefault="00271FD8" w:rsidP="00271FD8">
            <w:pP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-9.</w:t>
            </w:r>
            <w:r w:rsidR="0028435E">
              <w:rPr>
                <w:color w:val="000000"/>
                <w:sz w:val="20"/>
              </w:rPr>
              <w:t>2</w:t>
            </w:r>
            <w:r>
              <w:rPr>
                <w:color w:val="000000"/>
                <w:sz w:val="20"/>
              </w:rPr>
              <w:t>%</w:t>
            </w:r>
          </w:p>
        </w:tc>
      </w:tr>
    </w:tbl>
    <w:p w14:paraId="3E638B23" w14:textId="77777777" w:rsidR="00475064" w:rsidRPr="007E512D" w:rsidRDefault="00475064" w:rsidP="00475064">
      <w:pPr>
        <w:rPr>
          <w:rFonts w:cs="Times New Roman"/>
          <w:sz w:val="18"/>
        </w:rPr>
      </w:pPr>
      <w:r w:rsidRPr="007E512D">
        <w:rPr>
          <w:rFonts w:cs="Times New Roman"/>
          <w:sz w:val="18"/>
          <w:vertAlign w:val="superscript"/>
        </w:rPr>
        <w:t>1</w:t>
      </w:r>
      <w:r w:rsidRPr="007E512D">
        <w:rPr>
          <w:rFonts w:cs="Times New Roman"/>
          <w:sz w:val="18"/>
        </w:rPr>
        <w:t>Total cases predicted among children &lt;5 years old per year.</w:t>
      </w:r>
    </w:p>
    <w:p w14:paraId="0BDD8859" w14:textId="77777777" w:rsidR="00475064" w:rsidRPr="007E512D" w:rsidRDefault="00475064" w:rsidP="00475064">
      <w:pPr>
        <w:rPr>
          <w:rFonts w:cs="Times New Roman"/>
          <w:sz w:val="18"/>
        </w:rPr>
      </w:pPr>
      <w:r w:rsidRPr="007E512D">
        <w:rPr>
          <w:rFonts w:cs="Times New Roman"/>
          <w:sz w:val="18"/>
          <w:vertAlign w:val="superscript"/>
        </w:rPr>
        <w:t>2</w:t>
      </w:r>
      <w:r w:rsidRPr="007E512D">
        <w:rPr>
          <w:rFonts w:cs="Times New Roman"/>
          <w:sz w:val="18"/>
        </w:rPr>
        <w:t>Rotavirus vaccination (RV1) was introduced October 28, 2012, with routine doses administered at 6 and 10 weeks of age.</w:t>
      </w:r>
    </w:p>
    <w:p w14:paraId="4CC46E83" w14:textId="66C483A7" w:rsidR="00475064" w:rsidRPr="007E512D" w:rsidRDefault="00475064" w:rsidP="00475064">
      <w:pPr>
        <w:rPr>
          <w:rFonts w:cs="Times New Roman"/>
          <w:sz w:val="18"/>
        </w:rPr>
      </w:pPr>
      <w:r w:rsidRPr="007E512D">
        <w:rPr>
          <w:rFonts w:cs="Times New Roman"/>
          <w:sz w:val="18"/>
          <w:vertAlign w:val="superscript"/>
        </w:rPr>
        <w:t>3</w:t>
      </w:r>
      <w:r w:rsidRPr="007E512D">
        <w:rPr>
          <w:rFonts w:cs="Times New Roman"/>
          <w:sz w:val="18"/>
        </w:rPr>
        <w:t xml:space="preserve">Percent reduction is relative to the model-predicted annual number of RVGE cases for the model with direct effects only (=100%*(1 – </w:t>
      </w:r>
      <w:r w:rsidR="005E4C9F">
        <w:rPr>
          <w:rFonts w:cs="Times New Roman"/>
          <w:sz w:val="18"/>
        </w:rPr>
        <w:t>full dynamic</w:t>
      </w:r>
      <w:r w:rsidRPr="007E512D">
        <w:rPr>
          <w:rFonts w:cs="Times New Roman"/>
          <w:sz w:val="18"/>
        </w:rPr>
        <w:t xml:space="preserve"> model / model with direct effects only)).</w:t>
      </w:r>
    </w:p>
    <w:p w14:paraId="6A54C6AF" w14:textId="7338380D" w:rsidR="00653C22" w:rsidRPr="007E512D" w:rsidRDefault="00653C22" w:rsidP="0070755E">
      <w:pPr>
        <w:rPr>
          <w:rFonts w:cs="Times New Roman"/>
        </w:rPr>
      </w:pPr>
    </w:p>
    <w:sectPr w:rsidR="00653C22" w:rsidRPr="007E512D" w:rsidSect="001370E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51185" w14:textId="77777777" w:rsidR="002F3CBE" w:rsidRDefault="002F3CBE">
      <w:r>
        <w:separator/>
      </w:r>
    </w:p>
  </w:endnote>
  <w:endnote w:type="continuationSeparator" w:id="0">
    <w:p w14:paraId="1135961F" w14:textId="77777777" w:rsidR="002F3CBE" w:rsidRDefault="002F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27EDA" w14:textId="77777777" w:rsidR="002558FA" w:rsidRDefault="002558FA" w:rsidP="003C36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E94C62" w14:textId="77777777" w:rsidR="002558FA" w:rsidRDefault="00255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08DFA" w14:textId="77777777" w:rsidR="002558FA" w:rsidRDefault="002558FA" w:rsidP="003C36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21235E81" w14:textId="77777777" w:rsidR="002558FA" w:rsidRDefault="00255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888B3" w14:textId="77777777" w:rsidR="002F3CBE" w:rsidRDefault="002F3CBE">
      <w:r>
        <w:separator/>
      </w:r>
    </w:p>
  </w:footnote>
  <w:footnote w:type="continuationSeparator" w:id="0">
    <w:p w14:paraId="4AD77633" w14:textId="77777777" w:rsidR="002F3CBE" w:rsidRDefault="002F3C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14066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A62CF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D102E6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4FA1D2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AC6CE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4484A1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F4A850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5E038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75A83C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298B4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21AC6A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E2E"/>
    <w:rsid w:val="000125DA"/>
    <w:rsid w:val="00013258"/>
    <w:rsid w:val="00022C52"/>
    <w:rsid w:val="00027FCE"/>
    <w:rsid w:val="00036A2C"/>
    <w:rsid w:val="00037F4C"/>
    <w:rsid w:val="00067359"/>
    <w:rsid w:val="000867A0"/>
    <w:rsid w:val="000A0CFB"/>
    <w:rsid w:val="000A4005"/>
    <w:rsid w:val="000A4E2E"/>
    <w:rsid w:val="000B0A04"/>
    <w:rsid w:val="000D64F2"/>
    <w:rsid w:val="000D665C"/>
    <w:rsid w:val="000E2223"/>
    <w:rsid w:val="000F7A9B"/>
    <w:rsid w:val="00113985"/>
    <w:rsid w:val="00113D47"/>
    <w:rsid w:val="00116A12"/>
    <w:rsid w:val="00124285"/>
    <w:rsid w:val="00132D5C"/>
    <w:rsid w:val="001339CB"/>
    <w:rsid w:val="001370E5"/>
    <w:rsid w:val="00144060"/>
    <w:rsid w:val="00151C41"/>
    <w:rsid w:val="00151FF2"/>
    <w:rsid w:val="00162302"/>
    <w:rsid w:val="001741B3"/>
    <w:rsid w:val="00193A2A"/>
    <w:rsid w:val="001A324F"/>
    <w:rsid w:val="001D617E"/>
    <w:rsid w:val="001E65FF"/>
    <w:rsid w:val="001F4B39"/>
    <w:rsid w:val="00201344"/>
    <w:rsid w:val="00202210"/>
    <w:rsid w:val="0021337F"/>
    <w:rsid w:val="00213654"/>
    <w:rsid w:val="00216336"/>
    <w:rsid w:val="00242721"/>
    <w:rsid w:val="0025097F"/>
    <w:rsid w:val="002558FA"/>
    <w:rsid w:val="00256E55"/>
    <w:rsid w:val="00271FD8"/>
    <w:rsid w:val="00282350"/>
    <w:rsid w:val="00283FC2"/>
    <w:rsid w:val="0028435E"/>
    <w:rsid w:val="00285781"/>
    <w:rsid w:val="00295918"/>
    <w:rsid w:val="002A4036"/>
    <w:rsid w:val="002B21A7"/>
    <w:rsid w:val="002C7FE1"/>
    <w:rsid w:val="002E0119"/>
    <w:rsid w:val="002F3CBE"/>
    <w:rsid w:val="002F42F4"/>
    <w:rsid w:val="002F7A3E"/>
    <w:rsid w:val="0033558F"/>
    <w:rsid w:val="003431A8"/>
    <w:rsid w:val="00343894"/>
    <w:rsid w:val="003766D7"/>
    <w:rsid w:val="00384A64"/>
    <w:rsid w:val="00395A49"/>
    <w:rsid w:val="003B7430"/>
    <w:rsid w:val="003C36F6"/>
    <w:rsid w:val="00404ED9"/>
    <w:rsid w:val="00436C77"/>
    <w:rsid w:val="004430EC"/>
    <w:rsid w:val="004436E1"/>
    <w:rsid w:val="00444A34"/>
    <w:rsid w:val="00446D88"/>
    <w:rsid w:val="00462251"/>
    <w:rsid w:val="004701BA"/>
    <w:rsid w:val="0047060D"/>
    <w:rsid w:val="00475064"/>
    <w:rsid w:val="004A25C5"/>
    <w:rsid w:val="004A2960"/>
    <w:rsid w:val="004C61A9"/>
    <w:rsid w:val="004C6E5C"/>
    <w:rsid w:val="004E5B66"/>
    <w:rsid w:val="004F114C"/>
    <w:rsid w:val="004F2AB7"/>
    <w:rsid w:val="0050288E"/>
    <w:rsid w:val="005171BE"/>
    <w:rsid w:val="00532CA9"/>
    <w:rsid w:val="00546773"/>
    <w:rsid w:val="00564003"/>
    <w:rsid w:val="0057593E"/>
    <w:rsid w:val="00584576"/>
    <w:rsid w:val="005B1EA5"/>
    <w:rsid w:val="005C06D6"/>
    <w:rsid w:val="005D39F9"/>
    <w:rsid w:val="005E4C9F"/>
    <w:rsid w:val="005F579A"/>
    <w:rsid w:val="00602DA8"/>
    <w:rsid w:val="00614B44"/>
    <w:rsid w:val="006259CB"/>
    <w:rsid w:val="00627261"/>
    <w:rsid w:val="006305A9"/>
    <w:rsid w:val="00636FEF"/>
    <w:rsid w:val="0064110A"/>
    <w:rsid w:val="00653C22"/>
    <w:rsid w:val="00660C1A"/>
    <w:rsid w:val="00682FA6"/>
    <w:rsid w:val="006A2179"/>
    <w:rsid w:val="006B7EA9"/>
    <w:rsid w:val="006D6589"/>
    <w:rsid w:val="006E5330"/>
    <w:rsid w:val="0070755E"/>
    <w:rsid w:val="0072607F"/>
    <w:rsid w:val="00726B8F"/>
    <w:rsid w:val="00753C98"/>
    <w:rsid w:val="00754D9F"/>
    <w:rsid w:val="0075545A"/>
    <w:rsid w:val="00770FED"/>
    <w:rsid w:val="007A6FC3"/>
    <w:rsid w:val="007D7232"/>
    <w:rsid w:val="007E512D"/>
    <w:rsid w:val="00800FCD"/>
    <w:rsid w:val="008051F8"/>
    <w:rsid w:val="00814D1D"/>
    <w:rsid w:val="008156F5"/>
    <w:rsid w:val="008248EB"/>
    <w:rsid w:val="00824B36"/>
    <w:rsid w:val="0084447A"/>
    <w:rsid w:val="00853B91"/>
    <w:rsid w:val="00880321"/>
    <w:rsid w:val="00883193"/>
    <w:rsid w:val="00894C5C"/>
    <w:rsid w:val="00896F22"/>
    <w:rsid w:val="008C20E3"/>
    <w:rsid w:val="008E7E1D"/>
    <w:rsid w:val="009068A8"/>
    <w:rsid w:val="00917BB9"/>
    <w:rsid w:val="0092174F"/>
    <w:rsid w:val="00925B62"/>
    <w:rsid w:val="00947DAA"/>
    <w:rsid w:val="009575C0"/>
    <w:rsid w:val="00957960"/>
    <w:rsid w:val="0098290C"/>
    <w:rsid w:val="00990C19"/>
    <w:rsid w:val="009A6E73"/>
    <w:rsid w:val="00A1094B"/>
    <w:rsid w:val="00A353E2"/>
    <w:rsid w:val="00A4204C"/>
    <w:rsid w:val="00A53467"/>
    <w:rsid w:val="00AA5E6E"/>
    <w:rsid w:val="00AA7127"/>
    <w:rsid w:val="00AC7DE4"/>
    <w:rsid w:val="00AD4836"/>
    <w:rsid w:val="00AE09DE"/>
    <w:rsid w:val="00AE1013"/>
    <w:rsid w:val="00B17600"/>
    <w:rsid w:val="00B40AC6"/>
    <w:rsid w:val="00B65A7B"/>
    <w:rsid w:val="00B70067"/>
    <w:rsid w:val="00B71313"/>
    <w:rsid w:val="00B856D0"/>
    <w:rsid w:val="00BA0AD2"/>
    <w:rsid w:val="00BC3339"/>
    <w:rsid w:val="00BC4D45"/>
    <w:rsid w:val="00BE0C3C"/>
    <w:rsid w:val="00BF1E02"/>
    <w:rsid w:val="00BF562B"/>
    <w:rsid w:val="00C02A3E"/>
    <w:rsid w:val="00C06108"/>
    <w:rsid w:val="00C13B08"/>
    <w:rsid w:val="00C244EE"/>
    <w:rsid w:val="00C2458D"/>
    <w:rsid w:val="00C258B1"/>
    <w:rsid w:val="00C47C79"/>
    <w:rsid w:val="00C51AC0"/>
    <w:rsid w:val="00C61E47"/>
    <w:rsid w:val="00C67078"/>
    <w:rsid w:val="00C734A2"/>
    <w:rsid w:val="00CA17B0"/>
    <w:rsid w:val="00CC2AB1"/>
    <w:rsid w:val="00CD4A7F"/>
    <w:rsid w:val="00CE2CEA"/>
    <w:rsid w:val="00CF25EC"/>
    <w:rsid w:val="00D0365C"/>
    <w:rsid w:val="00D225BD"/>
    <w:rsid w:val="00D629B7"/>
    <w:rsid w:val="00D75033"/>
    <w:rsid w:val="00D76ACD"/>
    <w:rsid w:val="00D845B8"/>
    <w:rsid w:val="00D94809"/>
    <w:rsid w:val="00DC1E73"/>
    <w:rsid w:val="00DE3EED"/>
    <w:rsid w:val="00E43A29"/>
    <w:rsid w:val="00E64A8C"/>
    <w:rsid w:val="00E6737C"/>
    <w:rsid w:val="00E92916"/>
    <w:rsid w:val="00E96E9C"/>
    <w:rsid w:val="00EA2285"/>
    <w:rsid w:val="00EB0DA1"/>
    <w:rsid w:val="00EB686F"/>
    <w:rsid w:val="00EC171A"/>
    <w:rsid w:val="00EC39C5"/>
    <w:rsid w:val="00EC6031"/>
    <w:rsid w:val="00F00AD5"/>
    <w:rsid w:val="00F25D9F"/>
    <w:rsid w:val="00F3421F"/>
    <w:rsid w:val="00F422BC"/>
    <w:rsid w:val="00F61033"/>
    <w:rsid w:val="00F639D0"/>
    <w:rsid w:val="00F66DA6"/>
    <w:rsid w:val="00F70343"/>
    <w:rsid w:val="00F90EC6"/>
    <w:rsid w:val="00FA4DD2"/>
    <w:rsid w:val="00FA6839"/>
    <w:rsid w:val="00FB2584"/>
    <w:rsid w:val="00FB6A00"/>
    <w:rsid w:val="00FE47A8"/>
    <w:rsid w:val="00FF4CDD"/>
    <w:rsid w:val="00FF6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AD2B4"/>
  <w15:chartTrackingRefBased/>
  <w15:docId w15:val="{E8DB59E1-C971-7D44-B273-D78CB7267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7261"/>
    <w:rPr>
      <w:rFonts w:ascii="Times New Roman" w:hAnsi="Times New Roman"/>
      <w:sz w:val="22"/>
    </w:rPr>
  </w:style>
  <w:style w:type="paragraph" w:styleId="Heading1">
    <w:name w:val="heading 1"/>
    <w:basedOn w:val="Normal"/>
    <w:next w:val="Normal"/>
    <w:link w:val="Heading1Char"/>
    <w:qFormat/>
    <w:rsid w:val="000A4E2E"/>
    <w:pPr>
      <w:keepNext/>
      <w:spacing w:before="240" w:after="60"/>
      <w:outlineLvl w:val="0"/>
    </w:pPr>
    <w:rPr>
      <w:rFonts w:eastAsia="Times New Roman" w:cs="Times New Roman"/>
      <w:b/>
      <w:bCs/>
      <w:kern w:val="32"/>
    </w:rPr>
  </w:style>
  <w:style w:type="paragraph" w:styleId="Heading2">
    <w:name w:val="heading 2"/>
    <w:basedOn w:val="Normal"/>
    <w:next w:val="Normal"/>
    <w:link w:val="Heading2Char"/>
    <w:semiHidden/>
    <w:qFormat/>
    <w:rsid w:val="000A4E2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semiHidden/>
    <w:qFormat/>
    <w:rsid w:val="000A4E2E"/>
    <w:pPr>
      <w:keepNext/>
      <w:spacing w:line="480" w:lineRule="auto"/>
      <w:outlineLvl w:val="2"/>
    </w:pPr>
    <w:rPr>
      <w:rFonts w:ascii="Times" w:eastAsia="Times" w:hAnsi="Times" w:cs="Times New Roman"/>
      <w:b/>
      <w:szCs w:val="20"/>
    </w:rPr>
  </w:style>
  <w:style w:type="paragraph" w:styleId="Heading4">
    <w:name w:val="heading 4"/>
    <w:basedOn w:val="Normal"/>
    <w:next w:val="Normal"/>
    <w:link w:val="Heading4Char"/>
    <w:semiHidden/>
    <w:qFormat/>
    <w:rsid w:val="000A4E2E"/>
    <w:pPr>
      <w:keepNext/>
      <w:spacing w:line="480" w:lineRule="auto"/>
      <w:outlineLvl w:val="3"/>
    </w:pPr>
    <w:rPr>
      <w:rFonts w:ascii="Times" w:eastAsia="Times New Roman" w:hAnsi="Times" w:cs="Times New Roman"/>
      <w:b/>
      <w:color w:val="0000FF"/>
      <w:sz w:val="44"/>
      <w:szCs w:val="20"/>
    </w:rPr>
  </w:style>
  <w:style w:type="paragraph" w:styleId="Heading5">
    <w:name w:val="heading 5"/>
    <w:basedOn w:val="Normal"/>
    <w:next w:val="Normal"/>
    <w:link w:val="Heading5Char"/>
    <w:semiHidden/>
    <w:qFormat/>
    <w:rsid w:val="000A4E2E"/>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qFormat/>
    <w:rsid w:val="000A4E2E"/>
    <w:pPr>
      <w:spacing w:before="240" w:after="60"/>
      <w:outlineLvl w:val="5"/>
    </w:pPr>
    <w:rPr>
      <w:rFonts w:ascii="Calibri" w:eastAsia="Times New Roman" w:hAnsi="Calibri" w:cs="Times New Roman"/>
      <w:b/>
      <w:bCs/>
      <w:szCs w:val="22"/>
    </w:rPr>
  </w:style>
  <w:style w:type="paragraph" w:styleId="Heading7">
    <w:name w:val="heading 7"/>
    <w:basedOn w:val="Normal"/>
    <w:next w:val="Normal"/>
    <w:link w:val="Heading7Char"/>
    <w:semiHidden/>
    <w:qFormat/>
    <w:rsid w:val="000A4E2E"/>
    <w:pPr>
      <w:spacing w:before="240" w:after="60"/>
      <w:outlineLvl w:val="6"/>
    </w:pPr>
    <w:rPr>
      <w:rFonts w:ascii="Calibri" w:eastAsia="Times New Roman" w:hAnsi="Calibri" w:cs="Times New Roman"/>
    </w:rPr>
  </w:style>
  <w:style w:type="paragraph" w:styleId="Heading8">
    <w:name w:val="heading 8"/>
    <w:basedOn w:val="Normal"/>
    <w:next w:val="Normal"/>
    <w:link w:val="Heading8Char"/>
    <w:semiHidden/>
    <w:qFormat/>
    <w:rsid w:val="000A4E2E"/>
    <w:pPr>
      <w:spacing w:before="240" w:after="60"/>
      <w:outlineLvl w:val="7"/>
    </w:pPr>
    <w:rPr>
      <w:rFonts w:ascii="Calibri" w:eastAsia="Times New Roman" w:hAnsi="Calibri" w:cs="Times New Roman"/>
      <w:i/>
      <w:iCs/>
    </w:rPr>
  </w:style>
  <w:style w:type="paragraph" w:styleId="Heading9">
    <w:name w:val="heading 9"/>
    <w:basedOn w:val="Normal"/>
    <w:next w:val="Normal"/>
    <w:link w:val="Heading9Char"/>
    <w:semiHidden/>
    <w:qFormat/>
    <w:rsid w:val="000A4E2E"/>
    <w:pPr>
      <w:spacing w:before="240" w:after="60"/>
      <w:outlineLvl w:val="8"/>
    </w:pPr>
    <w:rPr>
      <w:rFonts w:ascii="Cambria" w:eastAsia="Times New Roman"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4E2E"/>
    <w:rPr>
      <w:rFonts w:ascii="Times New Roman" w:eastAsia="Times New Roman" w:hAnsi="Times New Roman" w:cs="Times New Roman"/>
      <w:b/>
      <w:bCs/>
      <w:kern w:val="32"/>
    </w:rPr>
  </w:style>
  <w:style w:type="character" w:customStyle="1" w:styleId="Heading2Char">
    <w:name w:val="Heading 2 Char"/>
    <w:basedOn w:val="DefaultParagraphFont"/>
    <w:link w:val="Heading2"/>
    <w:semiHidden/>
    <w:rsid w:val="000A4E2E"/>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0A4E2E"/>
    <w:rPr>
      <w:rFonts w:ascii="Times" w:eastAsia="Times" w:hAnsi="Times" w:cs="Times New Roman"/>
      <w:b/>
      <w:szCs w:val="20"/>
    </w:rPr>
  </w:style>
  <w:style w:type="character" w:customStyle="1" w:styleId="Heading4Char">
    <w:name w:val="Heading 4 Char"/>
    <w:basedOn w:val="DefaultParagraphFont"/>
    <w:link w:val="Heading4"/>
    <w:semiHidden/>
    <w:rsid w:val="000A4E2E"/>
    <w:rPr>
      <w:rFonts w:ascii="Times" w:eastAsia="Times New Roman" w:hAnsi="Times" w:cs="Times New Roman"/>
      <w:b/>
      <w:color w:val="0000FF"/>
      <w:sz w:val="44"/>
      <w:szCs w:val="20"/>
    </w:rPr>
  </w:style>
  <w:style w:type="character" w:customStyle="1" w:styleId="Heading5Char">
    <w:name w:val="Heading 5 Char"/>
    <w:basedOn w:val="DefaultParagraphFont"/>
    <w:link w:val="Heading5"/>
    <w:semiHidden/>
    <w:rsid w:val="000A4E2E"/>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0A4E2E"/>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0A4E2E"/>
    <w:rPr>
      <w:rFonts w:ascii="Calibri" w:eastAsia="Times New Roman" w:hAnsi="Calibri" w:cs="Times New Roman"/>
    </w:rPr>
  </w:style>
  <w:style w:type="character" w:customStyle="1" w:styleId="Heading8Char">
    <w:name w:val="Heading 8 Char"/>
    <w:basedOn w:val="DefaultParagraphFont"/>
    <w:link w:val="Heading8"/>
    <w:semiHidden/>
    <w:rsid w:val="000A4E2E"/>
    <w:rPr>
      <w:rFonts w:ascii="Calibri" w:eastAsia="Times New Roman" w:hAnsi="Calibri" w:cs="Times New Roman"/>
      <w:i/>
      <w:iCs/>
    </w:rPr>
  </w:style>
  <w:style w:type="character" w:customStyle="1" w:styleId="Heading9Char">
    <w:name w:val="Heading 9 Char"/>
    <w:basedOn w:val="DefaultParagraphFont"/>
    <w:link w:val="Heading9"/>
    <w:semiHidden/>
    <w:rsid w:val="000A4E2E"/>
    <w:rPr>
      <w:rFonts w:ascii="Cambria" w:eastAsia="Times New Roman" w:hAnsi="Cambria" w:cs="Times New Roman"/>
      <w:sz w:val="22"/>
      <w:szCs w:val="22"/>
    </w:rPr>
  </w:style>
  <w:style w:type="paragraph" w:customStyle="1" w:styleId="BaseText">
    <w:name w:val="Base_Text"/>
    <w:rsid w:val="000A4E2E"/>
    <w:pPr>
      <w:spacing w:before="120"/>
    </w:pPr>
    <w:rPr>
      <w:rFonts w:ascii="Times New Roman" w:eastAsia="Times New Roman" w:hAnsi="Times New Roman" w:cs="Times New Roman"/>
    </w:rPr>
  </w:style>
  <w:style w:type="paragraph" w:customStyle="1" w:styleId="1stparatext">
    <w:name w:val="1st para text"/>
    <w:basedOn w:val="BaseText"/>
    <w:rsid w:val="000A4E2E"/>
  </w:style>
  <w:style w:type="paragraph" w:customStyle="1" w:styleId="BaseHeading">
    <w:name w:val="Base_Heading"/>
    <w:rsid w:val="000A4E2E"/>
    <w:pPr>
      <w:keepNext/>
      <w:spacing w:before="240"/>
      <w:outlineLvl w:val="0"/>
    </w:pPr>
    <w:rPr>
      <w:rFonts w:ascii="Times New Roman" w:eastAsia="Times New Roman" w:hAnsi="Times New Roman" w:cs="Times New Roman"/>
      <w:kern w:val="28"/>
      <w:sz w:val="28"/>
      <w:szCs w:val="28"/>
    </w:rPr>
  </w:style>
  <w:style w:type="paragraph" w:customStyle="1" w:styleId="AbstractHead">
    <w:name w:val="Abstract Head"/>
    <w:basedOn w:val="BaseHeading"/>
    <w:rsid w:val="000A4E2E"/>
  </w:style>
  <w:style w:type="paragraph" w:customStyle="1" w:styleId="AbstractSummary">
    <w:name w:val="Abstract/Summary"/>
    <w:basedOn w:val="BaseText"/>
    <w:rsid w:val="000A4E2E"/>
  </w:style>
  <w:style w:type="paragraph" w:customStyle="1" w:styleId="Referencesandnotes">
    <w:name w:val="References and notes"/>
    <w:basedOn w:val="BaseText"/>
    <w:rsid w:val="000A4E2E"/>
    <w:pPr>
      <w:ind w:left="720" w:hanging="720"/>
    </w:pPr>
  </w:style>
  <w:style w:type="paragraph" w:customStyle="1" w:styleId="Acknowledgement">
    <w:name w:val="Acknowledgement"/>
    <w:basedOn w:val="Referencesandnotes"/>
    <w:rsid w:val="000A4E2E"/>
  </w:style>
  <w:style w:type="paragraph" w:customStyle="1" w:styleId="Subhead">
    <w:name w:val="Subhead"/>
    <w:basedOn w:val="BaseHeading"/>
    <w:rsid w:val="000A4E2E"/>
    <w:rPr>
      <w:b/>
      <w:bCs/>
      <w:sz w:val="24"/>
      <w:szCs w:val="24"/>
    </w:rPr>
  </w:style>
  <w:style w:type="paragraph" w:customStyle="1" w:styleId="AppendixHead">
    <w:name w:val="AppendixHead"/>
    <w:basedOn w:val="Subhead"/>
    <w:rsid w:val="000A4E2E"/>
  </w:style>
  <w:style w:type="paragraph" w:customStyle="1" w:styleId="AppendixSubhead">
    <w:name w:val="AppendixSubhead"/>
    <w:basedOn w:val="Subhead"/>
    <w:rsid w:val="000A4E2E"/>
  </w:style>
  <w:style w:type="paragraph" w:customStyle="1" w:styleId="Articletype">
    <w:name w:val="Article type"/>
    <w:basedOn w:val="BaseText"/>
    <w:rsid w:val="000A4E2E"/>
  </w:style>
  <w:style w:type="character" w:customStyle="1" w:styleId="aubase">
    <w:name w:val="au_base"/>
    <w:rsid w:val="000A4E2E"/>
    <w:rPr>
      <w:sz w:val="24"/>
    </w:rPr>
  </w:style>
  <w:style w:type="character" w:customStyle="1" w:styleId="aucollab">
    <w:name w:val="au_collab"/>
    <w:rsid w:val="000A4E2E"/>
    <w:rPr>
      <w:sz w:val="24"/>
      <w:bdr w:val="none" w:sz="0" w:space="0" w:color="auto"/>
      <w:shd w:val="clear" w:color="auto" w:fill="C0C0C0"/>
    </w:rPr>
  </w:style>
  <w:style w:type="character" w:customStyle="1" w:styleId="audeg">
    <w:name w:val="au_deg"/>
    <w:rsid w:val="000A4E2E"/>
    <w:rPr>
      <w:sz w:val="24"/>
      <w:bdr w:val="none" w:sz="0" w:space="0" w:color="auto"/>
      <w:shd w:val="clear" w:color="auto" w:fill="FFFF00"/>
    </w:rPr>
  </w:style>
  <w:style w:type="character" w:customStyle="1" w:styleId="aufname">
    <w:name w:val="au_fname"/>
    <w:rsid w:val="000A4E2E"/>
    <w:rPr>
      <w:sz w:val="24"/>
      <w:bdr w:val="none" w:sz="0" w:space="0" w:color="auto"/>
      <w:shd w:val="clear" w:color="auto" w:fill="00FFFF"/>
    </w:rPr>
  </w:style>
  <w:style w:type="character" w:customStyle="1" w:styleId="aurole">
    <w:name w:val="au_role"/>
    <w:rsid w:val="000A4E2E"/>
    <w:rPr>
      <w:sz w:val="24"/>
      <w:bdr w:val="none" w:sz="0" w:space="0" w:color="auto"/>
      <w:shd w:val="clear" w:color="auto" w:fill="808000"/>
    </w:rPr>
  </w:style>
  <w:style w:type="character" w:customStyle="1" w:styleId="ausuffix">
    <w:name w:val="au_suffix"/>
    <w:rsid w:val="000A4E2E"/>
    <w:rPr>
      <w:sz w:val="24"/>
      <w:bdr w:val="none" w:sz="0" w:space="0" w:color="auto"/>
      <w:shd w:val="clear" w:color="auto" w:fill="FF00FF"/>
    </w:rPr>
  </w:style>
  <w:style w:type="character" w:customStyle="1" w:styleId="ausurname">
    <w:name w:val="au_surname"/>
    <w:rsid w:val="000A4E2E"/>
    <w:rPr>
      <w:sz w:val="24"/>
      <w:bdr w:val="none" w:sz="0" w:space="0" w:color="auto"/>
      <w:shd w:val="clear" w:color="auto" w:fill="00FF00"/>
    </w:rPr>
  </w:style>
  <w:style w:type="paragraph" w:customStyle="1" w:styleId="AuthorAttribute">
    <w:name w:val="Author Attribute"/>
    <w:basedOn w:val="BaseText"/>
    <w:rsid w:val="000A4E2E"/>
    <w:pPr>
      <w:spacing w:before="480"/>
    </w:pPr>
  </w:style>
  <w:style w:type="paragraph" w:customStyle="1" w:styleId="Footnote">
    <w:name w:val="Footnote"/>
    <w:basedOn w:val="BaseText"/>
    <w:rsid w:val="000A4E2E"/>
  </w:style>
  <w:style w:type="paragraph" w:customStyle="1" w:styleId="AuthorFootnote">
    <w:name w:val="AuthorFootnote"/>
    <w:basedOn w:val="Footnote"/>
    <w:rsid w:val="000A4E2E"/>
    <w:pPr>
      <w:autoSpaceDE w:val="0"/>
      <w:autoSpaceDN w:val="0"/>
      <w:adjustRightInd w:val="0"/>
    </w:pPr>
    <w:rPr>
      <w:lang w:bidi="he-IL"/>
    </w:rPr>
  </w:style>
  <w:style w:type="paragraph" w:customStyle="1" w:styleId="Authors">
    <w:name w:val="Authors"/>
    <w:basedOn w:val="BaseText"/>
    <w:rsid w:val="000A4E2E"/>
    <w:pPr>
      <w:spacing w:after="360"/>
      <w:jc w:val="center"/>
    </w:pPr>
  </w:style>
  <w:style w:type="paragraph" w:styleId="BalloonText">
    <w:name w:val="Balloon Text"/>
    <w:basedOn w:val="Normal"/>
    <w:link w:val="BalloonTextChar"/>
    <w:uiPriority w:val="99"/>
    <w:semiHidden/>
    <w:rsid w:val="000A4E2E"/>
    <w:rPr>
      <w:rFonts w:ascii="Lucida Grande" w:eastAsia="Times New Roman" w:hAnsi="Lucida Grande" w:cs="Times New Roman"/>
      <w:sz w:val="18"/>
      <w:szCs w:val="18"/>
    </w:rPr>
  </w:style>
  <w:style w:type="character" w:customStyle="1" w:styleId="BalloonTextChar">
    <w:name w:val="Balloon Text Char"/>
    <w:basedOn w:val="DefaultParagraphFont"/>
    <w:link w:val="BalloonText"/>
    <w:uiPriority w:val="99"/>
    <w:semiHidden/>
    <w:rsid w:val="000A4E2E"/>
    <w:rPr>
      <w:rFonts w:ascii="Lucida Grande" w:eastAsia="Times New Roman" w:hAnsi="Lucida Grande" w:cs="Times New Roman"/>
      <w:sz w:val="18"/>
      <w:szCs w:val="18"/>
    </w:rPr>
  </w:style>
  <w:style w:type="character" w:customStyle="1" w:styleId="bibarticle">
    <w:name w:val="bib_article"/>
    <w:rsid w:val="000A4E2E"/>
    <w:rPr>
      <w:sz w:val="24"/>
      <w:bdr w:val="none" w:sz="0" w:space="0" w:color="auto"/>
      <w:shd w:val="clear" w:color="auto" w:fill="00FFFF"/>
    </w:rPr>
  </w:style>
  <w:style w:type="character" w:customStyle="1" w:styleId="bibbase">
    <w:name w:val="bib_base"/>
    <w:rsid w:val="000A4E2E"/>
    <w:rPr>
      <w:sz w:val="24"/>
    </w:rPr>
  </w:style>
  <w:style w:type="character" w:customStyle="1" w:styleId="bibcomment">
    <w:name w:val="bib_comment"/>
    <w:basedOn w:val="bibbase"/>
    <w:rsid w:val="000A4E2E"/>
    <w:rPr>
      <w:sz w:val="24"/>
    </w:rPr>
  </w:style>
  <w:style w:type="character" w:customStyle="1" w:styleId="bibdeg">
    <w:name w:val="bib_deg"/>
    <w:basedOn w:val="bibbase"/>
    <w:rsid w:val="000A4E2E"/>
    <w:rPr>
      <w:sz w:val="24"/>
    </w:rPr>
  </w:style>
  <w:style w:type="character" w:customStyle="1" w:styleId="bibdoi">
    <w:name w:val="bib_doi"/>
    <w:rsid w:val="000A4E2E"/>
    <w:rPr>
      <w:sz w:val="24"/>
      <w:bdr w:val="none" w:sz="0" w:space="0" w:color="auto"/>
      <w:shd w:val="clear" w:color="auto" w:fill="00FF00"/>
    </w:rPr>
  </w:style>
  <w:style w:type="character" w:customStyle="1" w:styleId="bibetal">
    <w:name w:val="bib_etal"/>
    <w:rsid w:val="000A4E2E"/>
    <w:rPr>
      <w:sz w:val="24"/>
      <w:bdr w:val="none" w:sz="0" w:space="0" w:color="auto"/>
      <w:shd w:val="clear" w:color="auto" w:fill="008080"/>
    </w:rPr>
  </w:style>
  <w:style w:type="character" w:customStyle="1" w:styleId="bibfname">
    <w:name w:val="bib_fname"/>
    <w:rsid w:val="000A4E2E"/>
    <w:rPr>
      <w:sz w:val="24"/>
      <w:bdr w:val="none" w:sz="0" w:space="0" w:color="auto"/>
      <w:shd w:val="clear" w:color="auto" w:fill="FFFF00"/>
    </w:rPr>
  </w:style>
  <w:style w:type="character" w:customStyle="1" w:styleId="bibfpage">
    <w:name w:val="bib_fpage"/>
    <w:rsid w:val="000A4E2E"/>
    <w:rPr>
      <w:sz w:val="24"/>
      <w:bdr w:val="none" w:sz="0" w:space="0" w:color="auto"/>
      <w:shd w:val="clear" w:color="auto" w:fill="808080"/>
    </w:rPr>
  </w:style>
  <w:style w:type="character" w:customStyle="1" w:styleId="bibissue">
    <w:name w:val="bib_issue"/>
    <w:rsid w:val="000A4E2E"/>
    <w:rPr>
      <w:sz w:val="24"/>
      <w:bdr w:val="none" w:sz="0" w:space="0" w:color="auto"/>
      <w:shd w:val="clear" w:color="auto" w:fill="FFFF00"/>
    </w:rPr>
  </w:style>
  <w:style w:type="character" w:customStyle="1" w:styleId="bibjournal">
    <w:name w:val="bib_journal"/>
    <w:rsid w:val="000A4E2E"/>
    <w:rPr>
      <w:sz w:val="24"/>
      <w:bdr w:val="none" w:sz="0" w:space="0" w:color="auto"/>
      <w:shd w:val="clear" w:color="auto" w:fill="808000"/>
    </w:rPr>
  </w:style>
  <w:style w:type="character" w:customStyle="1" w:styleId="biblpage">
    <w:name w:val="bib_lpage"/>
    <w:rsid w:val="000A4E2E"/>
    <w:rPr>
      <w:sz w:val="24"/>
      <w:bdr w:val="none" w:sz="0" w:space="0" w:color="auto"/>
      <w:shd w:val="clear" w:color="auto" w:fill="808080"/>
    </w:rPr>
  </w:style>
  <w:style w:type="character" w:customStyle="1" w:styleId="bibmedline">
    <w:name w:val="bib_medline"/>
    <w:basedOn w:val="bibbase"/>
    <w:rsid w:val="000A4E2E"/>
    <w:rPr>
      <w:sz w:val="24"/>
    </w:rPr>
  </w:style>
  <w:style w:type="character" w:customStyle="1" w:styleId="bibnumber">
    <w:name w:val="bib_number"/>
    <w:basedOn w:val="bibbase"/>
    <w:rsid w:val="000A4E2E"/>
    <w:rPr>
      <w:sz w:val="24"/>
    </w:rPr>
  </w:style>
  <w:style w:type="character" w:customStyle="1" w:styleId="biborganization">
    <w:name w:val="bib_organization"/>
    <w:rsid w:val="000A4E2E"/>
    <w:rPr>
      <w:sz w:val="24"/>
      <w:bdr w:val="none" w:sz="0" w:space="0" w:color="auto"/>
      <w:shd w:val="clear" w:color="auto" w:fill="808000"/>
    </w:rPr>
  </w:style>
  <w:style w:type="character" w:customStyle="1" w:styleId="bibsuffix">
    <w:name w:val="bib_suffix"/>
    <w:basedOn w:val="bibbase"/>
    <w:rsid w:val="000A4E2E"/>
    <w:rPr>
      <w:sz w:val="24"/>
    </w:rPr>
  </w:style>
  <w:style w:type="character" w:customStyle="1" w:styleId="bibsuppl">
    <w:name w:val="bib_suppl"/>
    <w:rsid w:val="000A4E2E"/>
    <w:rPr>
      <w:sz w:val="24"/>
      <w:bdr w:val="none" w:sz="0" w:space="0" w:color="auto"/>
      <w:shd w:val="clear" w:color="auto" w:fill="FFFF00"/>
    </w:rPr>
  </w:style>
  <w:style w:type="character" w:customStyle="1" w:styleId="bibsurname">
    <w:name w:val="bib_surname"/>
    <w:rsid w:val="000A4E2E"/>
    <w:rPr>
      <w:sz w:val="24"/>
      <w:bdr w:val="none" w:sz="0" w:space="0" w:color="auto"/>
      <w:shd w:val="clear" w:color="auto" w:fill="FFFF00"/>
    </w:rPr>
  </w:style>
  <w:style w:type="character" w:customStyle="1" w:styleId="bibunpubl">
    <w:name w:val="bib_unpubl"/>
    <w:basedOn w:val="bibbase"/>
    <w:rsid w:val="000A4E2E"/>
    <w:rPr>
      <w:sz w:val="24"/>
    </w:rPr>
  </w:style>
  <w:style w:type="character" w:customStyle="1" w:styleId="biburl">
    <w:name w:val="bib_url"/>
    <w:rsid w:val="000A4E2E"/>
    <w:rPr>
      <w:sz w:val="24"/>
      <w:bdr w:val="none" w:sz="0" w:space="0" w:color="auto"/>
      <w:shd w:val="clear" w:color="auto" w:fill="00FF00"/>
    </w:rPr>
  </w:style>
  <w:style w:type="character" w:customStyle="1" w:styleId="bibvolume">
    <w:name w:val="bib_volume"/>
    <w:rsid w:val="000A4E2E"/>
    <w:rPr>
      <w:sz w:val="24"/>
      <w:bdr w:val="none" w:sz="0" w:space="0" w:color="auto"/>
      <w:shd w:val="clear" w:color="auto" w:fill="00FF00"/>
    </w:rPr>
  </w:style>
  <w:style w:type="character" w:customStyle="1" w:styleId="bibyear">
    <w:name w:val="bib_year"/>
    <w:rsid w:val="000A4E2E"/>
    <w:rPr>
      <w:sz w:val="24"/>
      <w:bdr w:val="none" w:sz="0" w:space="0" w:color="auto"/>
      <w:shd w:val="clear" w:color="auto" w:fill="FF00FF"/>
    </w:rPr>
  </w:style>
  <w:style w:type="paragraph" w:customStyle="1" w:styleId="BookorMeetingInformation">
    <w:name w:val="Book or Meeting Information"/>
    <w:basedOn w:val="BaseText"/>
    <w:rsid w:val="000A4E2E"/>
  </w:style>
  <w:style w:type="paragraph" w:customStyle="1" w:styleId="BookInformation">
    <w:name w:val="BookInformation"/>
    <w:basedOn w:val="BaseText"/>
    <w:rsid w:val="000A4E2E"/>
  </w:style>
  <w:style w:type="paragraph" w:customStyle="1" w:styleId="Level2Head">
    <w:name w:val="Level 2 Head"/>
    <w:basedOn w:val="BaseHeading"/>
    <w:rsid w:val="000A4E2E"/>
    <w:pPr>
      <w:outlineLvl w:val="1"/>
    </w:pPr>
    <w:rPr>
      <w:i/>
      <w:iCs/>
      <w:sz w:val="24"/>
      <w:szCs w:val="24"/>
    </w:rPr>
  </w:style>
  <w:style w:type="paragraph" w:customStyle="1" w:styleId="BoxLevel2Head">
    <w:name w:val="BoxLevel 2 Head"/>
    <w:basedOn w:val="Level2Head"/>
    <w:rsid w:val="000A4E2E"/>
    <w:pPr>
      <w:shd w:val="clear" w:color="auto" w:fill="E6E6E6"/>
    </w:pPr>
  </w:style>
  <w:style w:type="paragraph" w:customStyle="1" w:styleId="BoxListUnnumbered">
    <w:name w:val="BoxListUnnumbered"/>
    <w:basedOn w:val="BaseText"/>
    <w:rsid w:val="000A4E2E"/>
    <w:pPr>
      <w:shd w:val="clear" w:color="auto" w:fill="E6E6E6"/>
      <w:ind w:left="1080" w:hanging="360"/>
    </w:pPr>
  </w:style>
  <w:style w:type="paragraph" w:customStyle="1" w:styleId="BoxList">
    <w:name w:val="BoxList"/>
    <w:basedOn w:val="BoxListUnnumbered"/>
    <w:rsid w:val="000A4E2E"/>
  </w:style>
  <w:style w:type="paragraph" w:customStyle="1" w:styleId="BoxSubhead">
    <w:name w:val="BoxSubhead"/>
    <w:basedOn w:val="Subhead"/>
    <w:rsid w:val="000A4E2E"/>
    <w:pPr>
      <w:shd w:val="clear" w:color="auto" w:fill="E6E6E6"/>
    </w:pPr>
  </w:style>
  <w:style w:type="paragraph" w:customStyle="1" w:styleId="Paragraph">
    <w:name w:val="Paragraph"/>
    <w:basedOn w:val="BaseText"/>
    <w:rsid w:val="000A4E2E"/>
    <w:pPr>
      <w:ind w:firstLine="720"/>
    </w:pPr>
  </w:style>
  <w:style w:type="paragraph" w:customStyle="1" w:styleId="BoxText">
    <w:name w:val="BoxText"/>
    <w:basedOn w:val="Paragraph"/>
    <w:rsid w:val="000A4E2E"/>
    <w:pPr>
      <w:shd w:val="clear" w:color="auto" w:fill="E6E6E6"/>
    </w:pPr>
  </w:style>
  <w:style w:type="paragraph" w:customStyle="1" w:styleId="BoxTitle">
    <w:name w:val="BoxTitle"/>
    <w:basedOn w:val="BaseHeading"/>
    <w:rsid w:val="000A4E2E"/>
    <w:pPr>
      <w:shd w:val="clear" w:color="auto" w:fill="E6E6E6"/>
    </w:pPr>
    <w:rPr>
      <w:b/>
      <w:sz w:val="24"/>
      <w:szCs w:val="24"/>
    </w:rPr>
  </w:style>
  <w:style w:type="paragraph" w:customStyle="1" w:styleId="BulletedText">
    <w:name w:val="Bulleted Text"/>
    <w:basedOn w:val="BaseText"/>
    <w:rsid w:val="000A4E2E"/>
    <w:pPr>
      <w:ind w:left="720" w:hanging="720"/>
    </w:pPr>
  </w:style>
  <w:style w:type="paragraph" w:customStyle="1" w:styleId="career-magazine">
    <w:name w:val="career-magazine"/>
    <w:basedOn w:val="BaseText"/>
    <w:rsid w:val="000A4E2E"/>
    <w:pPr>
      <w:jc w:val="right"/>
    </w:pPr>
    <w:rPr>
      <w:color w:val="FF0000"/>
    </w:rPr>
  </w:style>
  <w:style w:type="paragraph" w:customStyle="1" w:styleId="career-stage">
    <w:name w:val="career-stage"/>
    <w:basedOn w:val="BaseText"/>
    <w:rsid w:val="000A4E2E"/>
    <w:pPr>
      <w:jc w:val="right"/>
    </w:pPr>
    <w:rPr>
      <w:color w:val="339966"/>
    </w:rPr>
  </w:style>
  <w:style w:type="character" w:customStyle="1" w:styleId="citebase">
    <w:name w:val="cite_base"/>
    <w:rsid w:val="000A4E2E"/>
    <w:rPr>
      <w:sz w:val="24"/>
    </w:rPr>
  </w:style>
  <w:style w:type="character" w:customStyle="1" w:styleId="citebib">
    <w:name w:val="cite_bib"/>
    <w:rsid w:val="000A4E2E"/>
    <w:rPr>
      <w:sz w:val="24"/>
      <w:bdr w:val="none" w:sz="0" w:space="0" w:color="auto"/>
      <w:shd w:val="clear" w:color="auto" w:fill="00FFFF"/>
    </w:rPr>
  </w:style>
  <w:style w:type="character" w:customStyle="1" w:styleId="citebox">
    <w:name w:val="cite_box"/>
    <w:basedOn w:val="citebase"/>
    <w:rsid w:val="000A4E2E"/>
    <w:rPr>
      <w:sz w:val="24"/>
    </w:rPr>
  </w:style>
  <w:style w:type="character" w:customStyle="1" w:styleId="citeen">
    <w:name w:val="cite_en"/>
    <w:rsid w:val="000A4E2E"/>
    <w:rPr>
      <w:sz w:val="24"/>
      <w:shd w:val="clear" w:color="auto" w:fill="FFFF00"/>
      <w:vertAlign w:val="superscript"/>
    </w:rPr>
  </w:style>
  <w:style w:type="character" w:customStyle="1" w:styleId="citeeq">
    <w:name w:val="cite_eq"/>
    <w:rsid w:val="000A4E2E"/>
    <w:rPr>
      <w:sz w:val="24"/>
      <w:bdr w:val="none" w:sz="0" w:space="0" w:color="auto"/>
      <w:shd w:val="clear" w:color="auto" w:fill="FF99CC"/>
    </w:rPr>
  </w:style>
  <w:style w:type="character" w:customStyle="1" w:styleId="citefig">
    <w:name w:val="cite_fig"/>
    <w:rsid w:val="000A4E2E"/>
    <w:rPr>
      <w:color w:val="000000"/>
      <w:sz w:val="24"/>
      <w:bdr w:val="none" w:sz="0" w:space="0" w:color="auto"/>
      <w:shd w:val="clear" w:color="auto" w:fill="00FF00"/>
    </w:rPr>
  </w:style>
  <w:style w:type="character" w:customStyle="1" w:styleId="citefn">
    <w:name w:val="cite_fn"/>
    <w:rsid w:val="000A4E2E"/>
    <w:rPr>
      <w:sz w:val="24"/>
      <w:bdr w:val="none" w:sz="0" w:space="0" w:color="auto"/>
      <w:shd w:val="clear" w:color="auto" w:fill="FF0000"/>
    </w:rPr>
  </w:style>
  <w:style w:type="character" w:customStyle="1" w:styleId="citetbl">
    <w:name w:val="cite_tbl"/>
    <w:rsid w:val="000A4E2E"/>
    <w:rPr>
      <w:color w:val="000000"/>
      <w:sz w:val="24"/>
      <w:bdr w:val="none" w:sz="0" w:space="0" w:color="auto"/>
      <w:shd w:val="clear" w:color="auto" w:fill="FF00FF"/>
    </w:rPr>
  </w:style>
  <w:style w:type="character" w:styleId="CommentReference">
    <w:name w:val="annotation reference"/>
    <w:uiPriority w:val="99"/>
    <w:rsid w:val="000A4E2E"/>
    <w:rPr>
      <w:sz w:val="18"/>
      <w:szCs w:val="18"/>
    </w:rPr>
  </w:style>
  <w:style w:type="paragraph" w:styleId="CommentText">
    <w:name w:val="annotation text"/>
    <w:basedOn w:val="Normal"/>
    <w:link w:val="CommentTextChar"/>
    <w:uiPriority w:val="99"/>
    <w:semiHidden/>
    <w:rsid w:val="000A4E2E"/>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0A4E2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4E2E"/>
    <w:rPr>
      <w:b/>
      <w:bCs/>
    </w:rPr>
  </w:style>
  <w:style w:type="character" w:customStyle="1" w:styleId="CommentSubjectChar">
    <w:name w:val="Comment Subject Char"/>
    <w:basedOn w:val="CommentTextChar"/>
    <w:link w:val="CommentSubject"/>
    <w:uiPriority w:val="99"/>
    <w:semiHidden/>
    <w:rsid w:val="000A4E2E"/>
    <w:rPr>
      <w:rFonts w:ascii="Times New Roman" w:eastAsia="Times New Roman" w:hAnsi="Times New Roman" w:cs="Times New Roman"/>
      <w:b/>
      <w:bCs/>
      <w:sz w:val="20"/>
      <w:szCs w:val="20"/>
    </w:rPr>
  </w:style>
  <w:style w:type="paragraph" w:customStyle="1" w:styleId="ContinuedParagraph">
    <w:name w:val="ContinuedParagraph"/>
    <w:basedOn w:val="Paragraph"/>
    <w:rsid w:val="000A4E2E"/>
    <w:pPr>
      <w:ind w:firstLine="0"/>
    </w:pPr>
  </w:style>
  <w:style w:type="character" w:customStyle="1" w:styleId="ContractNumber">
    <w:name w:val="Contract Number"/>
    <w:rsid w:val="000A4E2E"/>
    <w:rPr>
      <w:sz w:val="24"/>
      <w:szCs w:val="24"/>
      <w:bdr w:val="none" w:sz="0" w:space="0" w:color="auto"/>
      <w:shd w:val="clear" w:color="auto" w:fill="CCFFCC"/>
    </w:rPr>
  </w:style>
  <w:style w:type="character" w:customStyle="1" w:styleId="ContractSponsor">
    <w:name w:val="Contract Sponsor"/>
    <w:rsid w:val="000A4E2E"/>
    <w:rPr>
      <w:sz w:val="24"/>
      <w:szCs w:val="24"/>
      <w:bdr w:val="none" w:sz="0" w:space="0" w:color="auto"/>
      <w:shd w:val="clear" w:color="auto" w:fill="FFCC99"/>
    </w:rPr>
  </w:style>
  <w:style w:type="paragraph" w:customStyle="1" w:styleId="Correspondence">
    <w:name w:val="Correspondence"/>
    <w:basedOn w:val="BaseText"/>
    <w:rsid w:val="000A4E2E"/>
    <w:pPr>
      <w:spacing w:before="0" w:after="240"/>
    </w:pPr>
  </w:style>
  <w:style w:type="paragraph" w:customStyle="1" w:styleId="DateAccepted">
    <w:name w:val="Date Accepted"/>
    <w:basedOn w:val="BaseText"/>
    <w:rsid w:val="000A4E2E"/>
    <w:pPr>
      <w:spacing w:before="360"/>
    </w:pPr>
  </w:style>
  <w:style w:type="paragraph" w:customStyle="1" w:styleId="Deck">
    <w:name w:val="Deck"/>
    <w:basedOn w:val="BaseHeading"/>
    <w:rsid w:val="000A4E2E"/>
    <w:pPr>
      <w:outlineLvl w:val="1"/>
    </w:pPr>
  </w:style>
  <w:style w:type="paragraph" w:customStyle="1" w:styleId="DefTerm">
    <w:name w:val="DefTerm"/>
    <w:basedOn w:val="BaseText"/>
    <w:rsid w:val="000A4E2E"/>
    <w:pPr>
      <w:ind w:left="720"/>
    </w:pPr>
  </w:style>
  <w:style w:type="paragraph" w:customStyle="1" w:styleId="Definition">
    <w:name w:val="Definition"/>
    <w:basedOn w:val="DefTerm"/>
    <w:rsid w:val="000A4E2E"/>
    <w:pPr>
      <w:ind w:left="1080" w:hanging="360"/>
    </w:pPr>
  </w:style>
  <w:style w:type="paragraph" w:customStyle="1" w:styleId="DefListTitle">
    <w:name w:val="DefListTitle"/>
    <w:basedOn w:val="BaseHeading"/>
    <w:rsid w:val="000A4E2E"/>
  </w:style>
  <w:style w:type="paragraph" w:customStyle="1" w:styleId="discipline">
    <w:name w:val="discipline"/>
    <w:basedOn w:val="BaseText"/>
    <w:rsid w:val="000A4E2E"/>
    <w:pPr>
      <w:jc w:val="right"/>
    </w:pPr>
    <w:rPr>
      <w:color w:val="993366"/>
    </w:rPr>
  </w:style>
  <w:style w:type="paragraph" w:customStyle="1" w:styleId="Editors">
    <w:name w:val="Editors"/>
    <w:basedOn w:val="Authors"/>
    <w:rsid w:val="000A4E2E"/>
  </w:style>
  <w:style w:type="character" w:styleId="Emphasis">
    <w:name w:val="Emphasis"/>
    <w:uiPriority w:val="20"/>
    <w:qFormat/>
    <w:rsid w:val="000A4E2E"/>
    <w:rPr>
      <w:i/>
      <w:iCs/>
    </w:rPr>
  </w:style>
  <w:style w:type="character" w:styleId="EndnoteReference">
    <w:name w:val="endnote reference"/>
    <w:semiHidden/>
    <w:rsid w:val="000A4E2E"/>
    <w:rPr>
      <w:vertAlign w:val="superscript"/>
    </w:rPr>
  </w:style>
  <w:style w:type="paragraph" w:styleId="EndnoteText">
    <w:name w:val="endnote text"/>
    <w:basedOn w:val="Normal"/>
    <w:link w:val="EndnoteTextChar"/>
    <w:semiHidden/>
    <w:rsid w:val="000A4E2E"/>
    <w:rPr>
      <w:rFonts w:ascii="Cambria" w:eastAsia="Cambria" w:hAnsi="Cambria" w:cs="Times New Roman"/>
      <w:sz w:val="20"/>
      <w:szCs w:val="20"/>
    </w:rPr>
  </w:style>
  <w:style w:type="character" w:customStyle="1" w:styleId="EndnoteTextChar">
    <w:name w:val="Endnote Text Char"/>
    <w:basedOn w:val="DefaultParagraphFont"/>
    <w:link w:val="EndnoteText"/>
    <w:semiHidden/>
    <w:rsid w:val="000A4E2E"/>
    <w:rPr>
      <w:rFonts w:ascii="Cambria" w:eastAsia="Cambria" w:hAnsi="Cambria" w:cs="Times New Roman"/>
      <w:sz w:val="20"/>
      <w:szCs w:val="20"/>
    </w:rPr>
  </w:style>
  <w:style w:type="character" w:customStyle="1" w:styleId="eqno">
    <w:name w:val="eq_no"/>
    <w:basedOn w:val="citebase"/>
    <w:rsid w:val="000A4E2E"/>
    <w:rPr>
      <w:sz w:val="24"/>
    </w:rPr>
  </w:style>
  <w:style w:type="paragraph" w:customStyle="1" w:styleId="Equation">
    <w:name w:val="Equation"/>
    <w:basedOn w:val="BaseText"/>
    <w:rsid w:val="000A4E2E"/>
    <w:pPr>
      <w:jc w:val="center"/>
    </w:pPr>
  </w:style>
  <w:style w:type="paragraph" w:customStyle="1" w:styleId="FieldCodes">
    <w:name w:val="FieldCodes"/>
    <w:basedOn w:val="BaseText"/>
    <w:rsid w:val="000A4E2E"/>
  </w:style>
  <w:style w:type="paragraph" w:customStyle="1" w:styleId="Legend">
    <w:name w:val="Legend"/>
    <w:basedOn w:val="BaseHeading"/>
    <w:rsid w:val="000A4E2E"/>
    <w:rPr>
      <w:sz w:val="24"/>
      <w:szCs w:val="24"/>
    </w:rPr>
  </w:style>
  <w:style w:type="paragraph" w:customStyle="1" w:styleId="FigureCopyright">
    <w:name w:val="FigureCopyright"/>
    <w:basedOn w:val="Legend"/>
    <w:rsid w:val="000A4E2E"/>
    <w:pPr>
      <w:autoSpaceDE w:val="0"/>
      <w:autoSpaceDN w:val="0"/>
      <w:adjustRightInd w:val="0"/>
      <w:spacing w:before="80"/>
    </w:pPr>
    <w:rPr>
      <w:lang w:bidi="he-IL"/>
    </w:rPr>
  </w:style>
  <w:style w:type="paragraph" w:customStyle="1" w:styleId="FigureCredit">
    <w:name w:val="FigureCredit"/>
    <w:basedOn w:val="FigureCopyright"/>
    <w:rsid w:val="000A4E2E"/>
  </w:style>
  <w:style w:type="character" w:styleId="FollowedHyperlink">
    <w:name w:val="FollowedHyperlink"/>
    <w:rsid w:val="000A4E2E"/>
    <w:rPr>
      <w:color w:val="800080"/>
      <w:u w:val="single"/>
    </w:rPr>
  </w:style>
  <w:style w:type="paragraph" w:styleId="Footer">
    <w:name w:val="footer"/>
    <w:basedOn w:val="Normal"/>
    <w:link w:val="FooterChar"/>
    <w:uiPriority w:val="99"/>
    <w:rsid w:val="000A4E2E"/>
    <w:pPr>
      <w:tabs>
        <w:tab w:val="center" w:pos="4320"/>
        <w:tab w:val="right" w:pos="8640"/>
      </w:tabs>
    </w:pPr>
    <w:rPr>
      <w:rFonts w:eastAsia="Times New Roman" w:cs="Times New Roman"/>
      <w:sz w:val="20"/>
      <w:szCs w:val="20"/>
    </w:rPr>
  </w:style>
  <w:style w:type="character" w:customStyle="1" w:styleId="FooterChar">
    <w:name w:val="Footer Char"/>
    <w:basedOn w:val="DefaultParagraphFont"/>
    <w:link w:val="Footer"/>
    <w:uiPriority w:val="99"/>
    <w:rsid w:val="000A4E2E"/>
    <w:rPr>
      <w:rFonts w:ascii="Times New Roman" w:eastAsia="Times New Roman" w:hAnsi="Times New Roman" w:cs="Times New Roman"/>
      <w:sz w:val="20"/>
      <w:szCs w:val="20"/>
    </w:rPr>
  </w:style>
  <w:style w:type="character" w:styleId="FootnoteReference">
    <w:name w:val="footnote reference"/>
    <w:semiHidden/>
    <w:rsid w:val="000A4E2E"/>
    <w:rPr>
      <w:vertAlign w:val="superscript"/>
    </w:rPr>
  </w:style>
  <w:style w:type="paragraph" w:customStyle="1" w:styleId="Gloss">
    <w:name w:val="Gloss"/>
    <w:basedOn w:val="AbstractSummary"/>
    <w:rsid w:val="000A4E2E"/>
  </w:style>
  <w:style w:type="paragraph" w:customStyle="1" w:styleId="Glossary">
    <w:name w:val="Glossary"/>
    <w:basedOn w:val="BaseText"/>
    <w:rsid w:val="000A4E2E"/>
  </w:style>
  <w:style w:type="paragraph" w:customStyle="1" w:styleId="GlossHead">
    <w:name w:val="GlossHead"/>
    <w:basedOn w:val="AbstractHead"/>
    <w:rsid w:val="000A4E2E"/>
  </w:style>
  <w:style w:type="paragraph" w:customStyle="1" w:styleId="GraphicAltText">
    <w:name w:val="GraphicAltText"/>
    <w:basedOn w:val="Legend"/>
    <w:rsid w:val="000A4E2E"/>
    <w:pPr>
      <w:autoSpaceDE w:val="0"/>
      <w:autoSpaceDN w:val="0"/>
      <w:adjustRightInd w:val="0"/>
    </w:pPr>
  </w:style>
  <w:style w:type="paragraph" w:customStyle="1" w:styleId="GraphicCredit">
    <w:name w:val="GraphicCredit"/>
    <w:basedOn w:val="FigureCredit"/>
    <w:rsid w:val="000A4E2E"/>
  </w:style>
  <w:style w:type="paragraph" w:customStyle="1" w:styleId="Head">
    <w:name w:val="Head"/>
    <w:basedOn w:val="BaseHeading"/>
    <w:rsid w:val="000A4E2E"/>
    <w:pPr>
      <w:spacing w:before="120" w:after="120"/>
      <w:jc w:val="center"/>
    </w:pPr>
    <w:rPr>
      <w:b/>
      <w:bCs/>
    </w:rPr>
  </w:style>
  <w:style w:type="paragraph" w:styleId="Header">
    <w:name w:val="header"/>
    <w:basedOn w:val="Normal"/>
    <w:link w:val="HeaderChar"/>
    <w:rsid w:val="000A4E2E"/>
    <w:pPr>
      <w:tabs>
        <w:tab w:val="center" w:pos="4320"/>
        <w:tab w:val="right" w:pos="8640"/>
      </w:tabs>
    </w:pPr>
    <w:rPr>
      <w:rFonts w:eastAsia="Times New Roman" w:cs="Times New Roman"/>
      <w:sz w:val="20"/>
      <w:szCs w:val="20"/>
    </w:rPr>
  </w:style>
  <w:style w:type="character" w:customStyle="1" w:styleId="HeaderChar">
    <w:name w:val="Header Char"/>
    <w:basedOn w:val="DefaultParagraphFont"/>
    <w:link w:val="Header"/>
    <w:rsid w:val="000A4E2E"/>
    <w:rPr>
      <w:rFonts w:ascii="Times New Roman" w:eastAsia="Times New Roman" w:hAnsi="Times New Roman" w:cs="Times New Roman"/>
      <w:sz w:val="20"/>
      <w:szCs w:val="20"/>
    </w:rPr>
  </w:style>
  <w:style w:type="character" w:styleId="HTMLAcronym">
    <w:name w:val="HTML Acronym"/>
    <w:basedOn w:val="DefaultParagraphFont"/>
    <w:rsid w:val="000A4E2E"/>
  </w:style>
  <w:style w:type="character" w:styleId="HTMLCite">
    <w:name w:val="HTML Cite"/>
    <w:rsid w:val="000A4E2E"/>
    <w:rPr>
      <w:i/>
      <w:iCs/>
    </w:rPr>
  </w:style>
  <w:style w:type="character" w:styleId="HTMLCode">
    <w:name w:val="HTML Code"/>
    <w:rsid w:val="000A4E2E"/>
    <w:rPr>
      <w:rFonts w:ascii="Courier New" w:hAnsi="Courier New" w:cs="Courier New"/>
      <w:sz w:val="20"/>
      <w:szCs w:val="20"/>
    </w:rPr>
  </w:style>
  <w:style w:type="character" w:styleId="HTMLDefinition">
    <w:name w:val="HTML Definition"/>
    <w:rsid w:val="000A4E2E"/>
    <w:rPr>
      <w:i/>
      <w:iCs/>
    </w:rPr>
  </w:style>
  <w:style w:type="character" w:styleId="HTMLKeyboard">
    <w:name w:val="HTML Keyboard"/>
    <w:rsid w:val="000A4E2E"/>
    <w:rPr>
      <w:rFonts w:ascii="Courier New" w:hAnsi="Courier New" w:cs="Courier New"/>
      <w:sz w:val="20"/>
      <w:szCs w:val="20"/>
    </w:rPr>
  </w:style>
  <w:style w:type="paragraph" w:styleId="HTMLPreformatted">
    <w:name w:val="HTML Preformatted"/>
    <w:basedOn w:val="Normal"/>
    <w:link w:val="HTMLPreformattedChar"/>
    <w:rsid w:val="000A4E2E"/>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rsid w:val="000A4E2E"/>
    <w:rPr>
      <w:rFonts w:ascii="Consolas" w:eastAsia="Times New Roman" w:hAnsi="Consolas" w:cs="Times New Roman"/>
      <w:sz w:val="20"/>
      <w:szCs w:val="20"/>
    </w:rPr>
  </w:style>
  <w:style w:type="character" w:styleId="HTMLSample">
    <w:name w:val="HTML Sample"/>
    <w:rsid w:val="000A4E2E"/>
    <w:rPr>
      <w:rFonts w:ascii="Courier New" w:hAnsi="Courier New" w:cs="Courier New"/>
    </w:rPr>
  </w:style>
  <w:style w:type="character" w:styleId="HTMLTypewriter">
    <w:name w:val="HTML Typewriter"/>
    <w:rsid w:val="000A4E2E"/>
    <w:rPr>
      <w:rFonts w:ascii="Courier New" w:hAnsi="Courier New" w:cs="Courier New"/>
      <w:sz w:val="20"/>
      <w:szCs w:val="20"/>
    </w:rPr>
  </w:style>
  <w:style w:type="character" w:styleId="HTMLVariable">
    <w:name w:val="HTML Variable"/>
    <w:rsid w:val="000A4E2E"/>
    <w:rPr>
      <w:i/>
      <w:iCs/>
    </w:rPr>
  </w:style>
  <w:style w:type="character" w:styleId="Hyperlink">
    <w:name w:val="Hyperlink"/>
    <w:uiPriority w:val="99"/>
    <w:rsid w:val="000A4E2E"/>
    <w:rPr>
      <w:color w:val="0000FF"/>
      <w:u w:val="single"/>
    </w:rPr>
  </w:style>
  <w:style w:type="paragraph" w:customStyle="1" w:styleId="InstructionsText">
    <w:name w:val="Instructions Text"/>
    <w:basedOn w:val="BaseText"/>
    <w:rsid w:val="000A4E2E"/>
  </w:style>
  <w:style w:type="paragraph" w:customStyle="1" w:styleId="Overline">
    <w:name w:val="Overline"/>
    <w:basedOn w:val="BaseText"/>
    <w:rsid w:val="000A4E2E"/>
  </w:style>
  <w:style w:type="paragraph" w:customStyle="1" w:styleId="IssueName">
    <w:name w:val="IssueName"/>
    <w:basedOn w:val="Overline"/>
    <w:rsid w:val="000A4E2E"/>
  </w:style>
  <w:style w:type="paragraph" w:customStyle="1" w:styleId="Keywords">
    <w:name w:val="Keywords"/>
    <w:basedOn w:val="BaseText"/>
    <w:rsid w:val="000A4E2E"/>
  </w:style>
  <w:style w:type="paragraph" w:customStyle="1" w:styleId="Level3Head">
    <w:name w:val="Level 3 Head"/>
    <w:basedOn w:val="BaseHeading"/>
    <w:rsid w:val="000A4E2E"/>
    <w:pPr>
      <w:outlineLvl w:val="2"/>
    </w:pPr>
    <w:rPr>
      <w:sz w:val="24"/>
      <w:szCs w:val="24"/>
      <w:u w:val="single"/>
    </w:rPr>
  </w:style>
  <w:style w:type="paragraph" w:customStyle="1" w:styleId="Level4Head">
    <w:name w:val="Level 4 Head"/>
    <w:basedOn w:val="BaseHeading"/>
    <w:rsid w:val="000A4E2E"/>
    <w:pPr>
      <w:ind w:left="346"/>
    </w:pPr>
    <w:rPr>
      <w:sz w:val="24"/>
      <w:szCs w:val="24"/>
    </w:rPr>
  </w:style>
  <w:style w:type="character" w:styleId="LineNumber">
    <w:name w:val="line number"/>
    <w:basedOn w:val="DefaultParagraphFont"/>
    <w:rsid w:val="000A4E2E"/>
  </w:style>
  <w:style w:type="paragraph" w:customStyle="1" w:styleId="Literaryquote">
    <w:name w:val="Literary quote"/>
    <w:basedOn w:val="BaseText"/>
    <w:rsid w:val="000A4E2E"/>
    <w:pPr>
      <w:ind w:left="1440" w:right="1440"/>
    </w:pPr>
  </w:style>
  <w:style w:type="paragraph" w:customStyle="1" w:styleId="MaterialsText">
    <w:name w:val="Materials Text"/>
    <w:basedOn w:val="BaseText"/>
    <w:rsid w:val="000A4E2E"/>
  </w:style>
  <w:style w:type="paragraph" w:customStyle="1" w:styleId="NoteInProof">
    <w:name w:val="NoteInProof"/>
    <w:basedOn w:val="BaseText"/>
    <w:rsid w:val="000A4E2E"/>
  </w:style>
  <w:style w:type="paragraph" w:customStyle="1" w:styleId="Notes">
    <w:name w:val="Notes"/>
    <w:basedOn w:val="BaseText"/>
    <w:rsid w:val="000A4E2E"/>
    <w:rPr>
      <w:i/>
    </w:rPr>
  </w:style>
  <w:style w:type="paragraph" w:customStyle="1" w:styleId="Notes-Helvetica">
    <w:name w:val="Notes-Helvetica"/>
    <w:basedOn w:val="BaseText"/>
    <w:rsid w:val="000A4E2E"/>
    <w:rPr>
      <w:i/>
    </w:rPr>
  </w:style>
  <w:style w:type="paragraph" w:customStyle="1" w:styleId="NumberedInstructions">
    <w:name w:val="Numbered Instructions"/>
    <w:basedOn w:val="BaseText"/>
    <w:rsid w:val="000A4E2E"/>
  </w:style>
  <w:style w:type="paragraph" w:customStyle="1" w:styleId="OutlineLevel1">
    <w:name w:val="OutlineLevel1"/>
    <w:basedOn w:val="BaseHeading"/>
    <w:rsid w:val="000A4E2E"/>
    <w:rPr>
      <w:b/>
      <w:bCs/>
    </w:rPr>
  </w:style>
  <w:style w:type="paragraph" w:customStyle="1" w:styleId="OutlineLevel2">
    <w:name w:val="OutlineLevel2"/>
    <w:basedOn w:val="BaseHeading"/>
    <w:rsid w:val="000A4E2E"/>
    <w:pPr>
      <w:ind w:left="360"/>
      <w:outlineLvl w:val="1"/>
    </w:pPr>
    <w:rPr>
      <w:b/>
      <w:bCs/>
      <w:sz w:val="24"/>
      <w:szCs w:val="24"/>
    </w:rPr>
  </w:style>
  <w:style w:type="paragraph" w:customStyle="1" w:styleId="OutlineLevel3">
    <w:name w:val="OutlineLevel3"/>
    <w:basedOn w:val="BaseHeading"/>
    <w:rsid w:val="000A4E2E"/>
    <w:pPr>
      <w:ind w:left="720"/>
      <w:outlineLvl w:val="2"/>
    </w:pPr>
    <w:rPr>
      <w:b/>
      <w:bCs/>
      <w:sz w:val="24"/>
      <w:szCs w:val="24"/>
    </w:rPr>
  </w:style>
  <w:style w:type="character" w:styleId="PageNumber">
    <w:name w:val="page number"/>
    <w:basedOn w:val="DefaultParagraphFont"/>
    <w:uiPriority w:val="99"/>
    <w:rsid w:val="000A4E2E"/>
  </w:style>
  <w:style w:type="paragraph" w:customStyle="1" w:styleId="Preformat">
    <w:name w:val="Preformat"/>
    <w:basedOn w:val="BaseText"/>
    <w:rsid w:val="000A4E2E"/>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0A4E2E"/>
  </w:style>
  <w:style w:type="paragraph" w:customStyle="1" w:styleId="ProductInformation">
    <w:name w:val="ProductInformation"/>
    <w:basedOn w:val="BaseText"/>
    <w:rsid w:val="000A4E2E"/>
  </w:style>
  <w:style w:type="paragraph" w:customStyle="1" w:styleId="ProductTitle">
    <w:name w:val="ProductTitle"/>
    <w:basedOn w:val="BaseText"/>
    <w:rsid w:val="000A4E2E"/>
    <w:rPr>
      <w:b/>
      <w:bCs/>
    </w:rPr>
  </w:style>
  <w:style w:type="paragraph" w:customStyle="1" w:styleId="PublishedOnline">
    <w:name w:val="Published Online"/>
    <w:basedOn w:val="DateAccepted"/>
    <w:rsid w:val="000A4E2E"/>
  </w:style>
  <w:style w:type="paragraph" w:customStyle="1" w:styleId="RecipeMaterials">
    <w:name w:val="Recipe Materials"/>
    <w:basedOn w:val="BaseText"/>
    <w:rsid w:val="000A4E2E"/>
  </w:style>
  <w:style w:type="paragraph" w:customStyle="1" w:styleId="Refhead">
    <w:name w:val="Ref head"/>
    <w:basedOn w:val="BaseHeading"/>
    <w:rsid w:val="000A4E2E"/>
    <w:pPr>
      <w:spacing w:before="120" w:after="120"/>
    </w:pPr>
    <w:rPr>
      <w:b/>
      <w:bCs/>
      <w:sz w:val="24"/>
      <w:szCs w:val="24"/>
    </w:rPr>
  </w:style>
  <w:style w:type="paragraph" w:customStyle="1" w:styleId="ReferenceNote">
    <w:name w:val="Reference Note"/>
    <w:basedOn w:val="Referencesandnotes"/>
    <w:rsid w:val="000A4E2E"/>
  </w:style>
  <w:style w:type="paragraph" w:customStyle="1" w:styleId="ReferencesandnotesLong">
    <w:name w:val="References and notes Long"/>
    <w:basedOn w:val="BaseText"/>
    <w:rsid w:val="000A4E2E"/>
    <w:pPr>
      <w:ind w:left="720" w:hanging="720"/>
    </w:pPr>
  </w:style>
  <w:style w:type="paragraph" w:customStyle="1" w:styleId="region">
    <w:name w:val="region"/>
    <w:basedOn w:val="BaseText"/>
    <w:rsid w:val="000A4E2E"/>
    <w:pPr>
      <w:jc w:val="right"/>
    </w:pPr>
    <w:rPr>
      <w:color w:val="0000FF"/>
    </w:rPr>
  </w:style>
  <w:style w:type="paragraph" w:customStyle="1" w:styleId="RelatedArticle">
    <w:name w:val="RelatedArticle"/>
    <w:basedOn w:val="Referencesandnotes"/>
    <w:rsid w:val="000A4E2E"/>
  </w:style>
  <w:style w:type="paragraph" w:customStyle="1" w:styleId="RunHead">
    <w:name w:val="RunHead"/>
    <w:basedOn w:val="BaseText"/>
    <w:rsid w:val="000A4E2E"/>
  </w:style>
  <w:style w:type="paragraph" w:customStyle="1" w:styleId="SOMContent">
    <w:name w:val="SOMContent"/>
    <w:basedOn w:val="1stparatext"/>
    <w:rsid w:val="000A4E2E"/>
  </w:style>
  <w:style w:type="paragraph" w:customStyle="1" w:styleId="SOMHead">
    <w:name w:val="SOMHead"/>
    <w:basedOn w:val="BaseHeading"/>
    <w:rsid w:val="000A4E2E"/>
    <w:rPr>
      <w:b/>
      <w:sz w:val="24"/>
      <w:szCs w:val="24"/>
    </w:rPr>
  </w:style>
  <w:style w:type="paragraph" w:customStyle="1" w:styleId="Speaker">
    <w:name w:val="Speaker"/>
    <w:basedOn w:val="Paragraph"/>
    <w:rsid w:val="000A4E2E"/>
    <w:pPr>
      <w:autoSpaceDE w:val="0"/>
      <w:autoSpaceDN w:val="0"/>
      <w:adjustRightInd w:val="0"/>
    </w:pPr>
    <w:rPr>
      <w:b/>
      <w:lang w:bidi="he-IL"/>
    </w:rPr>
  </w:style>
  <w:style w:type="paragraph" w:customStyle="1" w:styleId="Speech">
    <w:name w:val="Speech"/>
    <w:basedOn w:val="Paragraph"/>
    <w:rsid w:val="000A4E2E"/>
    <w:pPr>
      <w:autoSpaceDE w:val="0"/>
      <w:autoSpaceDN w:val="0"/>
      <w:adjustRightInd w:val="0"/>
    </w:pPr>
    <w:rPr>
      <w:lang w:bidi="he-IL"/>
    </w:rPr>
  </w:style>
  <w:style w:type="character" w:styleId="Strong">
    <w:name w:val="Strong"/>
    <w:uiPriority w:val="22"/>
    <w:qFormat/>
    <w:rsid w:val="000A4E2E"/>
    <w:rPr>
      <w:b/>
      <w:bCs/>
    </w:rPr>
  </w:style>
  <w:style w:type="paragraph" w:customStyle="1" w:styleId="SX-Abstract">
    <w:name w:val="SX-Abstract"/>
    <w:basedOn w:val="Normal"/>
    <w:qFormat/>
    <w:rsid w:val="000A4E2E"/>
    <w:pPr>
      <w:widowControl w:val="0"/>
      <w:spacing w:before="120" w:after="240" w:line="210" w:lineRule="exact"/>
      <w:ind w:left="700" w:right="700"/>
      <w:jc w:val="both"/>
    </w:pPr>
    <w:rPr>
      <w:rFonts w:ascii="BlissRegular" w:eastAsia="Times New Roman" w:hAnsi="BlissRegular" w:cs="Times New Roman"/>
      <w:b/>
      <w:sz w:val="20"/>
      <w:szCs w:val="20"/>
    </w:rPr>
  </w:style>
  <w:style w:type="paragraph" w:customStyle="1" w:styleId="SX-Affiliation">
    <w:name w:val="SX-Affiliation"/>
    <w:basedOn w:val="Normal"/>
    <w:next w:val="Normal"/>
    <w:qFormat/>
    <w:rsid w:val="000A4E2E"/>
    <w:pPr>
      <w:spacing w:after="160" w:line="190" w:lineRule="exact"/>
    </w:pPr>
    <w:rPr>
      <w:rFonts w:ascii="BlissRegular" w:eastAsia="Times New Roman" w:hAnsi="BlissRegular" w:cs="Times New Roman"/>
      <w:sz w:val="16"/>
      <w:szCs w:val="20"/>
    </w:rPr>
  </w:style>
  <w:style w:type="paragraph" w:customStyle="1" w:styleId="SX-Articlehead">
    <w:name w:val="SX-Article head"/>
    <w:basedOn w:val="Normal"/>
    <w:qFormat/>
    <w:rsid w:val="000A4E2E"/>
    <w:pPr>
      <w:spacing w:before="210" w:line="210" w:lineRule="exact"/>
      <w:ind w:firstLine="288"/>
      <w:jc w:val="both"/>
    </w:pPr>
    <w:rPr>
      <w:rFonts w:eastAsia="Times New Roman" w:cs="Times New Roman"/>
      <w:b/>
      <w:sz w:val="18"/>
      <w:szCs w:val="20"/>
    </w:rPr>
  </w:style>
  <w:style w:type="paragraph" w:customStyle="1" w:styleId="SX-Authornames">
    <w:name w:val="SX-Author names"/>
    <w:basedOn w:val="Normal"/>
    <w:rsid w:val="000A4E2E"/>
    <w:pPr>
      <w:spacing w:after="120" w:line="210" w:lineRule="exact"/>
    </w:pPr>
    <w:rPr>
      <w:rFonts w:ascii="BlissMedium" w:eastAsia="Times New Roman" w:hAnsi="BlissMedium" w:cs="Times New Roman"/>
      <w:sz w:val="20"/>
      <w:szCs w:val="20"/>
    </w:rPr>
  </w:style>
  <w:style w:type="paragraph" w:customStyle="1" w:styleId="SX-Bodytext">
    <w:name w:val="SX-Body text"/>
    <w:basedOn w:val="Normal"/>
    <w:next w:val="Normal"/>
    <w:rsid w:val="000A4E2E"/>
    <w:pPr>
      <w:spacing w:line="210" w:lineRule="exact"/>
      <w:ind w:firstLine="288"/>
      <w:jc w:val="both"/>
    </w:pPr>
    <w:rPr>
      <w:rFonts w:eastAsia="Times New Roman" w:cs="Times New Roman"/>
      <w:sz w:val="18"/>
      <w:szCs w:val="20"/>
    </w:rPr>
  </w:style>
  <w:style w:type="paragraph" w:customStyle="1" w:styleId="SX-Bodytextflush">
    <w:name w:val="SX-Body text flush"/>
    <w:basedOn w:val="SX-Bodytext"/>
    <w:next w:val="SX-Bodytext"/>
    <w:rsid w:val="000A4E2E"/>
    <w:pPr>
      <w:ind w:firstLine="0"/>
    </w:pPr>
  </w:style>
  <w:style w:type="paragraph" w:customStyle="1" w:styleId="SX-Correspondence">
    <w:name w:val="SX-Correspondence"/>
    <w:basedOn w:val="SX-Affiliation"/>
    <w:qFormat/>
    <w:rsid w:val="000A4E2E"/>
    <w:pPr>
      <w:spacing w:after="80"/>
    </w:pPr>
  </w:style>
  <w:style w:type="paragraph" w:customStyle="1" w:styleId="SX-Date">
    <w:name w:val="SX-Date"/>
    <w:basedOn w:val="Normal"/>
    <w:qFormat/>
    <w:rsid w:val="000A4E2E"/>
    <w:pPr>
      <w:spacing w:before="180" w:line="190" w:lineRule="exact"/>
      <w:ind w:left="245" w:hanging="245"/>
      <w:jc w:val="both"/>
    </w:pPr>
    <w:rPr>
      <w:rFonts w:eastAsia="Times New Roman" w:cs="Times New Roman"/>
      <w:sz w:val="16"/>
      <w:szCs w:val="20"/>
    </w:rPr>
  </w:style>
  <w:style w:type="paragraph" w:customStyle="1" w:styleId="SX-Equation">
    <w:name w:val="SX-Equation"/>
    <w:basedOn w:val="SX-Bodytextflush"/>
    <w:next w:val="SX-Bodytext"/>
    <w:rsid w:val="000A4E2E"/>
    <w:pPr>
      <w:autoSpaceDE w:val="0"/>
      <w:autoSpaceDN w:val="0"/>
      <w:adjustRightInd w:val="0"/>
      <w:spacing w:line="240" w:lineRule="auto"/>
      <w:jc w:val="center"/>
    </w:pPr>
  </w:style>
  <w:style w:type="paragraph" w:customStyle="1" w:styleId="SX-Legend">
    <w:name w:val="SX-Legend"/>
    <w:basedOn w:val="SX-Authornames"/>
    <w:rsid w:val="000A4E2E"/>
    <w:pPr>
      <w:jc w:val="both"/>
    </w:pPr>
    <w:rPr>
      <w:sz w:val="18"/>
    </w:rPr>
  </w:style>
  <w:style w:type="paragraph" w:customStyle="1" w:styleId="SX-References">
    <w:name w:val="SX-References"/>
    <w:basedOn w:val="Normal"/>
    <w:rsid w:val="000A4E2E"/>
    <w:pPr>
      <w:spacing w:line="190" w:lineRule="exact"/>
      <w:ind w:left="245" w:hanging="245"/>
      <w:jc w:val="both"/>
    </w:pPr>
    <w:rPr>
      <w:rFonts w:eastAsia="Times New Roman" w:cs="Times New Roman"/>
      <w:sz w:val="16"/>
      <w:szCs w:val="20"/>
    </w:rPr>
  </w:style>
  <w:style w:type="paragraph" w:customStyle="1" w:styleId="SX-RefHead">
    <w:name w:val="SX-RefHead"/>
    <w:basedOn w:val="Normal"/>
    <w:rsid w:val="000A4E2E"/>
    <w:pPr>
      <w:spacing w:before="200" w:line="190" w:lineRule="exact"/>
    </w:pPr>
    <w:rPr>
      <w:rFonts w:eastAsia="Times New Roman" w:cs="Times New Roman"/>
      <w:b/>
      <w:sz w:val="16"/>
      <w:szCs w:val="20"/>
    </w:rPr>
  </w:style>
  <w:style w:type="character" w:customStyle="1" w:styleId="SX-reflink">
    <w:name w:val="SX-reflink"/>
    <w:uiPriority w:val="1"/>
    <w:qFormat/>
    <w:rsid w:val="000A4E2E"/>
    <w:rPr>
      <w:color w:val="0000FF"/>
      <w:sz w:val="16"/>
      <w:u w:val="words"/>
      <w:bdr w:val="none" w:sz="0" w:space="0" w:color="auto"/>
      <w:shd w:val="clear" w:color="auto" w:fill="FFFFFF"/>
    </w:rPr>
  </w:style>
  <w:style w:type="paragraph" w:customStyle="1" w:styleId="SX-SOMHead">
    <w:name w:val="SX-SOMHead"/>
    <w:basedOn w:val="SX-RefHead"/>
    <w:rsid w:val="000A4E2E"/>
  </w:style>
  <w:style w:type="paragraph" w:customStyle="1" w:styleId="SX-Tablehead">
    <w:name w:val="SX-Tablehead"/>
    <w:basedOn w:val="Normal"/>
    <w:qFormat/>
    <w:rsid w:val="000A4E2E"/>
    <w:rPr>
      <w:rFonts w:eastAsia="Times New Roman" w:cs="Times New Roman"/>
      <w:sz w:val="20"/>
    </w:rPr>
  </w:style>
  <w:style w:type="paragraph" w:customStyle="1" w:styleId="SX-Tablelegend">
    <w:name w:val="SX-Tablelegend"/>
    <w:basedOn w:val="Normal"/>
    <w:qFormat/>
    <w:rsid w:val="000A4E2E"/>
    <w:pPr>
      <w:spacing w:line="190" w:lineRule="exact"/>
      <w:ind w:left="245" w:hanging="245"/>
      <w:jc w:val="both"/>
    </w:pPr>
    <w:rPr>
      <w:rFonts w:eastAsia="Times New Roman" w:cs="Times New Roman"/>
      <w:sz w:val="16"/>
      <w:szCs w:val="20"/>
    </w:rPr>
  </w:style>
  <w:style w:type="paragraph" w:customStyle="1" w:styleId="SX-Tabletext">
    <w:name w:val="SX-Tabletext"/>
    <w:basedOn w:val="Normal"/>
    <w:qFormat/>
    <w:rsid w:val="000A4E2E"/>
    <w:pPr>
      <w:spacing w:line="210" w:lineRule="exact"/>
      <w:jc w:val="center"/>
    </w:pPr>
    <w:rPr>
      <w:rFonts w:eastAsia="Times New Roman" w:cs="Times New Roman"/>
      <w:sz w:val="18"/>
      <w:szCs w:val="20"/>
    </w:rPr>
  </w:style>
  <w:style w:type="paragraph" w:customStyle="1" w:styleId="SX-Tabletitle">
    <w:name w:val="SX-Tabletitle"/>
    <w:basedOn w:val="Normal"/>
    <w:qFormat/>
    <w:rsid w:val="000A4E2E"/>
    <w:pPr>
      <w:spacing w:after="120" w:line="210" w:lineRule="exact"/>
      <w:jc w:val="both"/>
    </w:pPr>
    <w:rPr>
      <w:rFonts w:ascii="BlissMedium" w:eastAsia="Times New Roman" w:hAnsi="BlissMedium" w:cs="Times New Roman"/>
      <w:sz w:val="18"/>
      <w:szCs w:val="20"/>
    </w:rPr>
  </w:style>
  <w:style w:type="paragraph" w:customStyle="1" w:styleId="SX-Title">
    <w:name w:val="SX-Title"/>
    <w:basedOn w:val="Normal"/>
    <w:rsid w:val="000A4E2E"/>
    <w:pPr>
      <w:spacing w:after="240" w:line="500" w:lineRule="exact"/>
    </w:pPr>
    <w:rPr>
      <w:rFonts w:ascii="BlissBold" w:eastAsia="Times New Roman" w:hAnsi="BlissBold" w:cs="Times New Roman"/>
      <w:b/>
      <w:sz w:val="44"/>
      <w:szCs w:val="20"/>
    </w:rPr>
  </w:style>
  <w:style w:type="paragraph" w:customStyle="1" w:styleId="Tablecolumnhead">
    <w:name w:val="Table column head"/>
    <w:basedOn w:val="BaseText"/>
    <w:rsid w:val="000A4E2E"/>
    <w:pPr>
      <w:spacing w:before="0"/>
    </w:pPr>
  </w:style>
  <w:style w:type="paragraph" w:customStyle="1" w:styleId="Tabletext">
    <w:name w:val="Table text"/>
    <w:basedOn w:val="BaseText"/>
    <w:rsid w:val="000A4E2E"/>
    <w:pPr>
      <w:spacing w:before="0"/>
    </w:pPr>
  </w:style>
  <w:style w:type="paragraph" w:customStyle="1" w:styleId="TableLegend">
    <w:name w:val="TableLegend"/>
    <w:basedOn w:val="BaseText"/>
    <w:rsid w:val="000A4E2E"/>
    <w:pPr>
      <w:spacing w:before="0"/>
    </w:pPr>
  </w:style>
  <w:style w:type="paragraph" w:customStyle="1" w:styleId="TableTitle">
    <w:name w:val="TableTitle"/>
    <w:basedOn w:val="BaseHeading"/>
    <w:rsid w:val="000A4E2E"/>
  </w:style>
  <w:style w:type="paragraph" w:customStyle="1" w:styleId="Teaser">
    <w:name w:val="Teaser"/>
    <w:basedOn w:val="BaseText"/>
    <w:rsid w:val="000A4E2E"/>
  </w:style>
  <w:style w:type="paragraph" w:customStyle="1" w:styleId="TWIS">
    <w:name w:val="TWIS"/>
    <w:basedOn w:val="AbstractSummary"/>
    <w:rsid w:val="000A4E2E"/>
    <w:pPr>
      <w:autoSpaceDE w:val="0"/>
      <w:autoSpaceDN w:val="0"/>
      <w:adjustRightInd w:val="0"/>
    </w:pPr>
  </w:style>
  <w:style w:type="paragraph" w:customStyle="1" w:styleId="TWISorEC">
    <w:name w:val="TWIS or EC"/>
    <w:basedOn w:val="Normal"/>
    <w:rsid w:val="000A4E2E"/>
    <w:pPr>
      <w:spacing w:line="210" w:lineRule="exact"/>
    </w:pPr>
    <w:rPr>
      <w:rFonts w:ascii="BlissRegular" w:eastAsia="Times New Roman" w:hAnsi="BlissRegular" w:cs="Times New Roman"/>
      <w:sz w:val="19"/>
      <w:szCs w:val="20"/>
    </w:rPr>
  </w:style>
  <w:style w:type="paragraph" w:customStyle="1" w:styleId="work-sector">
    <w:name w:val="work-sector"/>
    <w:basedOn w:val="BaseText"/>
    <w:rsid w:val="000A4E2E"/>
    <w:pPr>
      <w:jc w:val="right"/>
    </w:pPr>
    <w:rPr>
      <w:color w:val="003300"/>
    </w:rPr>
  </w:style>
  <w:style w:type="paragraph" w:customStyle="1" w:styleId="DOI">
    <w:name w:val="DOI"/>
    <w:basedOn w:val="DateAccepted"/>
    <w:qFormat/>
    <w:rsid w:val="000A4E2E"/>
  </w:style>
  <w:style w:type="character" w:customStyle="1" w:styleId="custom-cit-author">
    <w:name w:val="custom-cit-author"/>
    <w:basedOn w:val="DefaultParagraphFont"/>
    <w:rsid w:val="000A4E2E"/>
  </w:style>
  <w:style w:type="character" w:customStyle="1" w:styleId="custom-cit-title">
    <w:name w:val="custom-cit-title"/>
    <w:basedOn w:val="DefaultParagraphFont"/>
    <w:rsid w:val="000A4E2E"/>
  </w:style>
  <w:style w:type="character" w:customStyle="1" w:styleId="custom-cit-jour-title">
    <w:name w:val="custom-cit-jour-title"/>
    <w:basedOn w:val="DefaultParagraphFont"/>
    <w:rsid w:val="000A4E2E"/>
  </w:style>
  <w:style w:type="character" w:customStyle="1" w:styleId="custom-cit-volume">
    <w:name w:val="custom-cit-volume"/>
    <w:basedOn w:val="DefaultParagraphFont"/>
    <w:rsid w:val="000A4E2E"/>
  </w:style>
  <w:style w:type="character" w:customStyle="1" w:styleId="custom-cit-volume-sep">
    <w:name w:val="custom-cit-volume-sep"/>
    <w:basedOn w:val="DefaultParagraphFont"/>
    <w:rsid w:val="000A4E2E"/>
  </w:style>
  <w:style w:type="character" w:customStyle="1" w:styleId="custom-cit-fpage">
    <w:name w:val="custom-cit-fpage"/>
    <w:basedOn w:val="DefaultParagraphFont"/>
    <w:rsid w:val="000A4E2E"/>
  </w:style>
  <w:style w:type="character" w:customStyle="1" w:styleId="custom-cit-date">
    <w:name w:val="custom-cit-date"/>
    <w:basedOn w:val="DefaultParagraphFont"/>
    <w:rsid w:val="000A4E2E"/>
  </w:style>
  <w:style w:type="table" w:styleId="LightShading">
    <w:name w:val="Light Shading"/>
    <w:basedOn w:val="TableNormal"/>
    <w:uiPriority w:val="60"/>
    <w:rsid w:val="000A4E2E"/>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TDisplayEquation">
    <w:name w:val="MTDisplayEquation"/>
    <w:basedOn w:val="Normal"/>
    <w:next w:val="Normal"/>
    <w:rsid w:val="000A4E2E"/>
    <w:pPr>
      <w:tabs>
        <w:tab w:val="center" w:pos="4320"/>
        <w:tab w:val="right" w:pos="8640"/>
      </w:tabs>
    </w:pPr>
    <w:rPr>
      <w:rFonts w:ascii="Arial" w:eastAsiaTheme="minorEastAsia" w:hAnsi="Arial" w:cs="Arial"/>
    </w:rPr>
  </w:style>
  <w:style w:type="paragraph" w:customStyle="1" w:styleId="SMHeading">
    <w:name w:val="SM Heading"/>
    <w:basedOn w:val="Heading1"/>
    <w:qFormat/>
    <w:rsid w:val="000A4E2E"/>
  </w:style>
  <w:style w:type="paragraph" w:customStyle="1" w:styleId="SMSubheading">
    <w:name w:val="SM Subheading"/>
    <w:basedOn w:val="Normal"/>
    <w:qFormat/>
    <w:rsid w:val="000A4E2E"/>
    <w:rPr>
      <w:rFonts w:eastAsia="Times New Roman" w:cs="Times New Roman"/>
      <w:szCs w:val="20"/>
      <w:u w:val="words"/>
    </w:rPr>
  </w:style>
  <w:style w:type="paragraph" w:customStyle="1" w:styleId="SMText">
    <w:name w:val="SM Text"/>
    <w:basedOn w:val="Normal"/>
    <w:qFormat/>
    <w:rsid w:val="000A4E2E"/>
    <w:pPr>
      <w:ind w:firstLine="480"/>
    </w:pPr>
    <w:rPr>
      <w:rFonts w:eastAsia="Times New Roman" w:cs="Times New Roman"/>
      <w:szCs w:val="20"/>
    </w:rPr>
  </w:style>
  <w:style w:type="paragraph" w:customStyle="1" w:styleId="SMcaption">
    <w:name w:val="SM caption"/>
    <w:basedOn w:val="SMText"/>
    <w:qFormat/>
    <w:rsid w:val="00627261"/>
    <w:pPr>
      <w:ind w:firstLine="0"/>
    </w:pPr>
    <w:rPr>
      <w:b/>
    </w:rPr>
  </w:style>
  <w:style w:type="paragraph" w:styleId="Bibliography">
    <w:name w:val="Bibliography"/>
    <w:basedOn w:val="Normal"/>
    <w:next w:val="Normal"/>
    <w:uiPriority w:val="37"/>
    <w:rsid w:val="000A4E2E"/>
    <w:rPr>
      <w:rFonts w:eastAsia="Times New Roman" w:cs="Times New Roman"/>
      <w:szCs w:val="20"/>
    </w:rPr>
  </w:style>
  <w:style w:type="paragraph" w:styleId="BlockText">
    <w:name w:val="Block Text"/>
    <w:basedOn w:val="Normal"/>
    <w:semiHidden/>
    <w:rsid w:val="000A4E2E"/>
    <w:pPr>
      <w:spacing w:after="120"/>
      <w:ind w:left="1440" w:right="1440"/>
    </w:pPr>
    <w:rPr>
      <w:rFonts w:eastAsia="Times New Roman" w:cs="Times New Roman"/>
      <w:szCs w:val="20"/>
    </w:rPr>
  </w:style>
  <w:style w:type="paragraph" w:styleId="BodyText">
    <w:name w:val="Body Text"/>
    <w:basedOn w:val="Normal"/>
    <w:link w:val="BodyTextChar"/>
    <w:semiHidden/>
    <w:rsid w:val="000A4E2E"/>
    <w:pPr>
      <w:spacing w:after="120"/>
    </w:pPr>
    <w:rPr>
      <w:rFonts w:eastAsia="Times New Roman" w:cs="Times New Roman"/>
      <w:szCs w:val="20"/>
    </w:rPr>
  </w:style>
  <w:style w:type="character" w:customStyle="1" w:styleId="BodyTextChar">
    <w:name w:val="Body Text Char"/>
    <w:basedOn w:val="DefaultParagraphFont"/>
    <w:link w:val="BodyText"/>
    <w:semiHidden/>
    <w:rsid w:val="000A4E2E"/>
    <w:rPr>
      <w:rFonts w:ascii="Times New Roman" w:eastAsia="Times New Roman" w:hAnsi="Times New Roman" w:cs="Times New Roman"/>
      <w:szCs w:val="20"/>
    </w:rPr>
  </w:style>
  <w:style w:type="paragraph" w:styleId="BodyText2">
    <w:name w:val="Body Text 2"/>
    <w:basedOn w:val="Normal"/>
    <w:link w:val="BodyText2Char"/>
    <w:semiHidden/>
    <w:rsid w:val="000A4E2E"/>
    <w:pPr>
      <w:spacing w:after="120" w:line="480" w:lineRule="auto"/>
    </w:pPr>
    <w:rPr>
      <w:rFonts w:eastAsia="Times New Roman" w:cs="Times New Roman"/>
      <w:szCs w:val="20"/>
    </w:rPr>
  </w:style>
  <w:style w:type="character" w:customStyle="1" w:styleId="BodyText2Char">
    <w:name w:val="Body Text 2 Char"/>
    <w:basedOn w:val="DefaultParagraphFont"/>
    <w:link w:val="BodyText2"/>
    <w:semiHidden/>
    <w:rsid w:val="000A4E2E"/>
    <w:rPr>
      <w:rFonts w:ascii="Times New Roman" w:eastAsia="Times New Roman" w:hAnsi="Times New Roman" w:cs="Times New Roman"/>
      <w:szCs w:val="20"/>
    </w:rPr>
  </w:style>
  <w:style w:type="paragraph" w:styleId="BodyText3">
    <w:name w:val="Body Text 3"/>
    <w:basedOn w:val="Normal"/>
    <w:link w:val="BodyText3Char"/>
    <w:semiHidden/>
    <w:rsid w:val="000A4E2E"/>
    <w:pPr>
      <w:spacing w:after="120"/>
    </w:pPr>
    <w:rPr>
      <w:rFonts w:eastAsia="Times New Roman" w:cs="Times New Roman"/>
      <w:sz w:val="16"/>
      <w:szCs w:val="16"/>
    </w:rPr>
  </w:style>
  <w:style w:type="character" w:customStyle="1" w:styleId="BodyText3Char">
    <w:name w:val="Body Text 3 Char"/>
    <w:basedOn w:val="DefaultParagraphFont"/>
    <w:link w:val="BodyText3"/>
    <w:semiHidden/>
    <w:rsid w:val="000A4E2E"/>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0A4E2E"/>
    <w:pPr>
      <w:ind w:firstLine="210"/>
    </w:pPr>
  </w:style>
  <w:style w:type="character" w:customStyle="1" w:styleId="BodyTextFirstIndentChar">
    <w:name w:val="Body Text First Indent Char"/>
    <w:basedOn w:val="BodyTextChar"/>
    <w:link w:val="BodyTextFirstIndent"/>
    <w:semiHidden/>
    <w:rsid w:val="000A4E2E"/>
    <w:rPr>
      <w:rFonts w:ascii="Times New Roman" w:eastAsia="Times New Roman" w:hAnsi="Times New Roman" w:cs="Times New Roman"/>
      <w:szCs w:val="20"/>
    </w:rPr>
  </w:style>
  <w:style w:type="paragraph" w:styleId="BodyTextIndent">
    <w:name w:val="Body Text Indent"/>
    <w:basedOn w:val="Normal"/>
    <w:link w:val="BodyTextIndentChar"/>
    <w:semiHidden/>
    <w:rsid w:val="000A4E2E"/>
    <w:pPr>
      <w:spacing w:after="120"/>
      <w:ind w:left="360"/>
    </w:pPr>
    <w:rPr>
      <w:rFonts w:eastAsia="Times New Roman" w:cs="Times New Roman"/>
      <w:szCs w:val="20"/>
    </w:rPr>
  </w:style>
  <w:style w:type="character" w:customStyle="1" w:styleId="BodyTextIndentChar">
    <w:name w:val="Body Text Indent Char"/>
    <w:basedOn w:val="DefaultParagraphFont"/>
    <w:link w:val="BodyTextIndent"/>
    <w:semiHidden/>
    <w:rsid w:val="000A4E2E"/>
    <w:rPr>
      <w:rFonts w:ascii="Times New Roman" w:eastAsia="Times New Roman" w:hAnsi="Times New Roman" w:cs="Times New Roman"/>
      <w:szCs w:val="20"/>
    </w:rPr>
  </w:style>
  <w:style w:type="paragraph" w:styleId="BodyTextFirstIndent2">
    <w:name w:val="Body Text First Indent 2"/>
    <w:basedOn w:val="BodyTextIndent"/>
    <w:link w:val="BodyTextFirstIndent2Char"/>
    <w:semiHidden/>
    <w:rsid w:val="000A4E2E"/>
    <w:pPr>
      <w:ind w:firstLine="210"/>
    </w:pPr>
  </w:style>
  <w:style w:type="character" w:customStyle="1" w:styleId="BodyTextFirstIndent2Char">
    <w:name w:val="Body Text First Indent 2 Char"/>
    <w:basedOn w:val="BodyTextIndentChar"/>
    <w:link w:val="BodyTextFirstIndent2"/>
    <w:semiHidden/>
    <w:rsid w:val="000A4E2E"/>
    <w:rPr>
      <w:rFonts w:ascii="Times New Roman" w:eastAsia="Times New Roman" w:hAnsi="Times New Roman" w:cs="Times New Roman"/>
      <w:szCs w:val="20"/>
    </w:rPr>
  </w:style>
  <w:style w:type="paragraph" w:styleId="BodyTextIndent2">
    <w:name w:val="Body Text Indent 2"/>
    <w:basedOn w:val="Normal"/>
    <w:link w:val="BodyTextIndent2Char"/>
    <w:semiHidden/>
    <w:rsid w:val="000A4E2E"/>
    <w:pPr>
      <w:spacing w:after="120" w:line="480" w:lineRule="auto"/>
      <w:ind w:left="360"/>
    </w:pPr>
    <w:rPr>
      <w:rFonts w:eastAsia="Times New Roman" w:cs="Times New Roman"/>
      <w:szCs w:val="20"/>
    </w:rPr>
  </w:style>
  <w:style w:type="character" w:customStyle="1" w:styleId="BodyTextIndent2Char">
    <w:name w:val="Body Text Indent 2 Char"/>
    <w:basedOn w:val="DefaultParagraphFont"/>
    <w:link w:val="BodyTextIndent2"/>
    <w:semiHidden/>
    <w:rsid w:val="000A4E2E"/>
    <w:rPr>
      <w:rFonts w:ascii="Times New Roman" w:eastAsia="Times New Roman" w:hAnsi="Times New Roman" w:cs="Times New Roman"/>
      <w:szCs w:val="20"/>
    </w:rPr>
  </w:style>
  <w:style w:type="paragraph" w:styleId="BodyTextIndent3">
    <w:name w:val="Body Text Indent 3"/>
    <w:basedOn w:val="Normal"/>
    <w:link w:val="BodyTextIndent3Char"/>
    <w:semiHidden/>
    <w:rsid w:val="000A4E2E"/>
    <w:pPr>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semiHidden/>
    <w:rsid w:val="000A4E2E"/>
    <w:rPr>
      <w:rFonts w:ascii="Times New Roman" w:eastAsia="Times New Roman" w:hAnsi="Times New Roman" w:cs="Times New Roman"/>
      <w:sz w:val="16"/>
      <w:szCs w:val="16"/>
    </w:rPr>
  </w:style>
  <w:style w:type="paragraph" w:styleId="Caption">
    <w:name w:val="caption"/>
    <w:basedOn w:val="Normal"/>
    <w:next w:val="Normal"/>
    <w:semiHidden/>
    <w:qFormat/>
    <w:rsid w:val="000A4E2E"/>
    <w:rPr>
      <w:rFonts w:eastAsia="Times New Roman" w:cs="Times New Roman"/>
      <w:b/>
      <w:bCs/>
      <w:sz w:val="20"/>
      <w:szCs w:val="20"/>
    </w:rPr>
  </w:style>
  <w:style w:type="paragraph" w:styleId="Closing">
    <w:name w:val="Closing"/>
    <w:basedOn w:val="Normal"/>
    <w:link w:val="ClosingChar"/>
    <w:semiHidden/>
    <w:rsid w:val="000A4E2E"/>
    <w:pPr>
      <w:ind w:left="4320"/>
    </w:pPr>
    <w:rPr>
      <w:rFonts w:eastAsia="Times New Roman" w:cs="Times New Roman"/>
      <w:szCs w:val="20"/>
    </w:rPr>
  </w:style>
  <w:style w:type="character" w:customStyle="1" w:styleId="ClosingChar">
    <w:name w:val="Closing Char"/>
    <w:basedOn w:val="DefaultParagraphFont"/>
    <w:link w:val="Closing"/>
    <w:semiHidden/>
    <w:rsid w:val="000A4E2E"/>
    <w:rPr>
      <w:rFonts w:ascii="Times New Roman" w:eastAsia="Times New Roman" w:hAnsi="Times New Roman" w:cs="Times New Roman"/>
      <w:szCs w:val="20"/>
    </w:rPr>
  </w:style>
  <w:style w:type="paragraph" w:styleId="Date">
    <w:name w:val="Date"/>
    <w:basedOn w:val="Normal"/>
    <w:next w:val="Normal"/>
    <w:link w:val="DateChar"/>
    <w:semiHidden/>
    <w:rsid w:val="000A4E2E"/>
    <w:rPr>
      <w:rFonts w:eastAsia="Times New Roman" w:cs="Times New Roman"/>
      <w:szCs w:val="20"/>
    </w:rPr>
  </w:style>
  <w:style w:type="character" w:customStyle="1" w:styleId="DateChar">
    <w:name w:val="Date Char"/>
    <w:basedOn w:val="DefaultParagraphFont"/>
    <w:link w:val="Date"/>
    <w:semiHidden/>
    <w:rsid w:val="000A4E2E"/>
    <w:rPr>
      <w:rFonts w:ascii="Times New Roman" w:eastAsia="Times New Roman" w:hAnsi="Times New Roman" w:cs="Times New Roman"/>
      <w:szCs w:val="20"/>
    </w:rPr>
  </w:style>
  <w:style w:type="paragraph" w:styleId="DocumentMap">
    <w:name w:val="Document Map"/>
    <w:basedOn w:val="Normal"/>
    <w:link w:val="DocumentMapChar"/>
    <w:semiHidden/>
    <w:rsid w:val="000A4E2E"/>
    <w:rPr>
      <w:rFonts w:ascii="Tahoma" w:eastAsia="Times New Roman" w:hAnsi="Tahoma" w:cs="Tahoma"/>
      <w:sz w:val="16"/>
      <w:szCs w:val="16"/>
    </w:rPr>
  </w:style>
  <w:style w:type="character" w:customStyle="1" w:styleId="DocumentMapChar">
    <w:name w:val="Document Map Char"/>
    <w:basedOn w:val="DefaultParagraphFont"/>
    <w:link w:val="DocumentMap"/>
    <w:semiHidden/>
    <w:rsid w:val="000A4E2E"/>
    <w:rPr>
      <w:rFonts w:ascii="Tahoma" w:eastAsia="Times New Roman" w:hAnsi="Tahoma" w:cs="Tahoma"/>
      <w:sz w:val="16"/>
      <w:szCs w:val="16"/>
    </w:rPr>
  </w:style>
  <w:style w:type="paragraph" w:styleId="E-mailSignature">
    <w:name w:val="E-mail Signature"/>
    <w:basedOn w:val="Normal"/>
    <w:link w:val="E-mailSignatureChar"/>
    <w:semiHidden/>
    <w:rsid w:val="000A4E2E"/>
    <w:rPr>
      <w:rFonts w:eastAsia="Times New Roman" w:cs="Times New Roman"/>
      <w:szCs w:val="20"/>
    </w:rPr>
  </w:style>
  <w:style w:type="character" w:customStyle="1" w:styleId="E-mailSignatureChar">
    <w:name w:val="E-mail Signature Char"/>
    <w:basedOn w:val="DefaultParagraphFont"/>
    <w:link w:val="E-mailSignature"/>
    <w:semiHidden/>
    <w:rsid w:val="000A4E2E"/>
    <w:rPr>
      <w:rFonts w:ascii="Times New Roman" w:eastAsia="Times New Roman" w:hAnsi="Times New Roman" w:cs="Times New Roman"/>
      <w:szCs w:val="20"/>
    </w:rPr>
  </w:style>
  <w:style w:type="paragraph" w:styleId="EnvelopeAddress">
    <w:name w:val="envelope address"/>
    <w:basedOn w:val="Normal"/>
    <w:semiHidden/>
    <w:rsid w:val="000A4E2E"/>
    <w:pPr>
      <w:framePr w:w="7920" w:h="1980" w:hRule="exact" w:hSpace="180" w:wrap="auto" w:hAnchor="page" w:xAlign="center" w:yAlign="bottom"/>
      <w:ind w:left="2880"/>
    </w:pPr>
    <w:rPr>
      <w:rFonts w:ascii="Cambria" w:eastAsia="Times New Roman" w:hAnsi="Cambria" w:cs="Times New Roman"/>
    </w:rPr>
  </w:style>
  <w:style w:type="paragraph" w:styleId="EnvelopeReturn">
    <w:name w:val="envelope return"/>
    <w:basedOn w:val="Normal"/>
    <w:semiHidden/>
    <w:rsid w:val="000A4E2E"/>
    <w:rPr>
      <w:rFonts w:ascii="Cambria" w:eastAsia="Times New Roman" w:hAnsi="Cambria" w:cs="Times New Roman"/>
      <w:sz w:val="20"/>
      <w:szCs w:val="20"/>
    </w:rPr>
  </w:style>
  <w:style w:type="paragraph" w:styleId="FootnoteText">
    <w:name w:val="footnote text"/>
    <w:basedOn w:val="Normal"/>
    <w:link w:val="FootnoteTextChar"/>
    <w:semiHidden/>
    <w:rsid w:val="000A4E2E"/>
    <w:rPr>
      <w:rFonts w:eastAsia="Times New Roman" w:cs="Times New Roman"/>
      <w:sz w:val="20"/>
      <w:szCs w:val="20"/>
    </w:rPr>
  </w:style>
  <w:style w:type="character" w:customStyle="1" w:styleId="FootnoteTextChar">
    <w:name w:val="Footnote Text Char"/>
    <w:basedOn w:val="DefaultParagraphFont"/>
    <w:link w:val="FootnoteText"/>
    <w:semiHidden/>
    <w:rsid w:val="000A4E2E"/>
    <w:rPr>
      <w:rFonts w:ascii="Times New Roman" w:eastAsia="Times New Roman" w:hAnsi="Times New Roman" w:cs="Times New Roman"/>
      <w:sz w:val="20"/>
      <w:szCs w:val="20"/>
    </w:rPr>
  </w:style>
  <w:style w:type="paragraph" w:styleId="HTMLAddress">
    <w:name w:val="HTML Address"/>
    <w:basedOn w:val="Normal"/>
    <w:link w:val="HTMLAddressChar"/>
    <w:semiHidden/>
    <w:rsid w:val="000A4E2E"/>
    <w:rPr>
      <w:rFonts w:eastAsia="Times New Roman" w:cs="Times New Roman"/>
      <w:i/>
      <w:iCs/>
      <w:szCs w:val="20"/>
    </w:rPr>
  </w:style>
  <w:style w:type="character" w:customStyle="1" w:styleId="HTMLAddressChar">
    <w:name w:val="HTML Address Char"/>
    <w:basedOn w:val="DefaultParagraphFont"/>
    <w:link w:val="HTMLAddress"/>
    <w:semiHidden/>
    <w:rsid w:val="000A4E2E"/>
    <w:rPr>
      <w:rFonts w:ascii="Times New Roman" w:eastAsia="Times New Roman" w:hAnsi="Times New Roman" w:cs="Times New Roman"/>
      <w:i/>
      <w:iCs/>
      <w:szCs w:val="20"/>
    </w:rPr>
  </w:style>
  <w:style w:type="paragraph" w:styleId="Index1">
    <w:name w:val="index 1"/>
    <w:basedOn w:val="Normal"/>
    <w:next w:val="Normal"/>
    <w:autoRedefine/>
    <w:semiHidden/>
    <w:rsid w:val="000A4E2E"/>
    <w:pPr>
      <w:ind w:left="240" w:hanging="240"/>
    </w:pPr>
    <w:rPr>
      <w:rFonts w:eastAsia="Times New Roman" w:cs="Times New Roman"/>
      <w:szCs w:val="20"/>
    </w:rPr>
  </w:style>
  <w:style w:type="paragraph" w:styleId="Index2">
    <w:name w:val="index 2"/>
    <w:basedOn w:val="Normal"/>
    <w:next w:val="Normal"/>
    <w:autoRedefine/>
    <w:semiHidden/>
    <w:rsid w:val="000A4E2E"/>
    <w:pPr>
      <w:ind w:left="480" w:hanging="240"/>
    </w:pPr>
    <w:rPr>
      <w:rFonts w:eastAsia="Times New Roman" w:cs="Times New Roman"/>
      <w:szCs w:val="20"/>
    </w:rPr>
  </w:style>
  <w:style w:type="paragraph" w:styleId="Index3">
    <w:name w:val="index 3"/>
    <w:basedOn w:val="Normal"/>
    <w:next w:val="Normal"/>
    <w:autoRedefine/>
    <w:semiHidden/>
    <w:rsid w:val="000A4E2E"/>
    <w:pPr>
      <w:ind w:left="720" w:hanging="240"/>
    </w:pPr>
    <w:rPr>
      <w:rFonts w:eastAsia="Times New Roman" w:cs="Times New Roman"/>
      <w:szCs w:val="20"/>
    </w:rPr>
  </w:style>
  <w:style w:type="paragraph" w:styleId="Index4">
    <w:name w:val="index 4"/>
    <w:basedOn w:val="Normal"/>
    <w:next w:val="Normal"/>
    <w:autoRedefine/>
    <w:semiHidden/>
    <w:rsid w:val="000A4E2E"/>
    <w:pPr>
      <w:ind w:left="960" w:hanging="240"/>
    </w:pPr>
    <w:rPr>
      <w:rFonts w:eastAsia="Times New Roman" w:cs="Times New Roman"/>
      <w:szCs w:val="20"/>
    </w:rPr>
  </w:style>
  <w:style w:type="paragraph" w:styleId="Index5">
    <w:name w:val="index 5"/>
    <w:basedOn w:val="Normal"/>
    <w:next w:val="Normal"/>
    <w:autoRedefine/>
    <w:semiHidden/>
    <w:rsid w:val="000A4E2E"/>
    <w:pPr>
      <w:ind w:left="1200" w:hanging="240"/>
    </w:pPr>
    <w:rPr>
      <w:rFonts w:eastAsia="Times New Roman" w:cs="Times New Roman"/>
      <w:szCs w:val="20"/>
    </w:rPr>
  </w:style>
  <w:style w:type="paragraph" w:styleId="Index6">
    <w:name w:val="index 6"/>
    <w:basedOn w:val="Normal"/>
    <w:next w:val="Normal"/>
    <w:autoRedefine/>
    <w:semiHidden/>
    <w:rsid w:val="000A4E2E"/>
    <w:pPr>
      <w:ind w:left="1440" w:hanging="240"/>
    </w:pPr>
    <w:rPr>
      <w:rFonts w:eastAsia="Times New Roman" w:cs="Times New Roman"/>
      <w:szCs w:val="20"/>
    </w:rPr>
  </w:style>
  <w:style w:type="paragraph" w:styleId="Index7">
    <w:name w:val="index 7"/>
    <w:basedOn w:val="Normal"/>
    <w:next w:val="Normal"/>
    <w:autoRedefine/>
    <w:semiHidden/>
    <w:rsid w:val="000A4E2E"/>
    <w:pPr>
      <w:ind w:left="1680" w:hanging="240"/>
    </w:pPr>
    <w:rPr>
      <w:rFonts w:eastAsia="Times New Roman" w:cs="Times New Roman"/>
      <w:szCs w:val="20"/>
    </w:rPr>
  </w:style>
  <w:style w:type="paragraph" w:styleId="Index8">
    <w:name w:val="index 8"/>
    <w:basedOn w:val="Normal"/>
    <w:next w:val="Normal"/>
    <w:autoRedefine/>
    <w:semiHidden/>
    <w:rsid w:val="000A4E2E"/>
    <w:pPr>
      <w:ind w:left="1920" w:hanging="240"/>
    </w:pPr>
    <w:rPr>
      <w:rFonts w:eastAsia="Times New Roman" w:cs="Times New Roman"/>
      <w:szCs w:val="20"/>
    </w:rPr>
  </w:style>
  <w:style w:type="paragraph" w:styleId="Index9">
    <w:name w:val="index 9"/>
    <w:basedOn w:val="Normal"/>
    <w:next w:val="Normal"/>
    <w:autoRedefine/>
    <w:semiHidden/>
    <w:rsid w:val="000A4E2E"/>
    <w:pPr>
      <w:ind w:left="2160" w:hanging="240"/>
    </w:pPr>
    <w:rPr>
      <w:rFonts w:eastAsia="Times New Roman" w:cs="Times New Roman"/>
      <w:szCs w:val="20"/>
    </w:rPr>
  </w:style>
  <w:style w:type="paragraph" w:styleId="IndexHeading">
    <w:name w:val="index heading"/>
    <w:basedOn w:val="Normal"/>
    <w:next w:val="Index1"/>
    <w:semiHidden/>
    <w:rsid w:val="000A4E2E"/>
    <w:rPr>
      <w:rFonts w:ascii="Cambria" w:eastAsia="Times New Roman" w:hAnsi="Cambria" w:cs="Times New Roman"/>
      <w:b/>
      <w:bCs/>
      <w:szCs w:val="20"/>
    </w:rPr>
  </w:style>
  <w:style w:type="paragraph" w:styleId="IntenseQuote">
    <w:name w:val="Intense Quote"/>
    <w:basedOn w:val="Normal"/>
    <w:next w:val="Normal"/>
    <w:link w:val="IntenseQuoteChar"/>
    <w:uiPriority w:val="30"/>
    <w:qFormat/>
    <w:rsid w:val="000A4E2E"/>
    <w:pPr>
      <w:pBdr>
        <w:bottom w:val="single" w:sz="4" w:space="4" w:color="4F81BD"/>
      </w:pBdr>
      <w:spacing w:before="200" w:after="280"/>
      <w:ind w:left="936" w:right="936"/>
    </w:pPr>
    <w:rPr>
      <w:rFonts w:eastAsia="Times New Roman" w:cs="Times New Roman"/>
      <w:b/>
      <w:bCs/>
      <w:i/>
      <w:iCs/>
      <w:color w:val="4F81BD"/>
      <w:szCs w:val="20"/>
    </w:rPr>
  </w:style>
  <w:style w:type="character" w:customStyle="1" w:styleId="IntenseQuoteChar">
    <w:name w:val="Intense Quote Char"/>
    <w:basedOn w:val="DefaultParagraphFont"/>
    <w:link w:val="IntenseQuote"/>
    <w:uiPriority w:val="30"/>
    <w:rsid w:val="000A4E2E"/>
    <w:rPr>
      <w:rFonts w:ascii="Times New Roman" w:eastAsia="Times New Roman" w:hAnsi="Times New Roman" w:cs="Times New Roman"/>
      <w:b/>
      <w:bCs/>
      <w:i/>
      <w:iCs/>
      <w:color w:val="4F81BD"/>
      <w:szCs w:val="20"/>
    </w:rPr>
  </w:style>
  <w:style w:type="paragraph" w:styleId="List">
    <w:name w:val="List"/>
    <w:basedOn w:val="Normal"/>
    <w:semiHidden/>
    <w:rsid w:val="000A4E2E"/>
    <w:pPr>
      <w:ind w:left="360" w:hanging="360"/>
      <w:contextualSpacing/>
    </w:pPr>
    <w:rPr>
      <w:rFonts w:eastAsia="Times New Roman" w:cs="Times New Roman"/>
      <w:szCs w:val="20"/>
    </w:rPr>
  </w:style>
  <w:style w:type="paragraph" w:styleId="List2">
    <w:name w:val="List 2"/>
    <w:basedOn w:val="Normal"/>
    <w:semiHidden/>
    <w:rsid w:val="000A4E2E"/>
    <w:pPr>
      <w:ind w:left="720" w:hanging="360"/>
      <w:contextualSpacing/>
    </w:pPr>
    <w:rPr>
      <w:rFonts w:eastAsia="Times New Roman" w:cs="Times New Roman"/>
      <w:szCs w:val="20"/>
    </w:rPr>
  </w:style>
  <w:style w:type="paragraph" w:styleId="List3">
    <w:name w:val="List 3"/>
    <w:basedOn w:val="Normal"/>
    <w:semiHidden/>
    <w:rsid w:val="000A4E2E"/>
    <w:pPr>
      <w:ind w:left="1080" w:hanging="360"/>
      <w:contextualSpacing/>
    </w:pPr>
    <w:rPr>
      <w:rFonts w:eastAsia="Times New Roman" w:cs="Times New Roman"/>
      <w:szCs w:val="20"/>
    </w:rPr>
  </w:style>
  <w:style w:type="paragraph" w:styleId="List4">
    <w:name w:val="List 4"/>
    <w:basedOn w:val="Normal"/>
    <w:semiHidden/>
    <w:rsid w:val="000A4E2E"/>
    <w:pPr>
      <w:ind w:left="1440" w:hanging="360"/>
      <w:contextualSpacing/>
    </w:pPr>
    <w:rPr>
      <w:rFonts w:eastAsia="Times New Roman" w:cs="Times New Roman"/>
      <w:szCs w:val="20"/>
    </w:rPr>
  </w:style>
  <w:style w:type="paragraph" w:styleId="List5">
    <w:name w:val="List 5"/>
    <w:basedOn w:val="Normal"/>
    <w:semiHidden/>
    <w:rsid w:val="000A4E2E"/>
    <w:pPr>
      <w:ind w:left="1800" w:hanging="360"/>
      <w:contextualSpacing/>
    </w:pPr>
    <w:rPr>
      <w:rFonts w:eastAsia="Times New Roman" w:cs="Times New Roman"/>
      <w:szCs w:val="20"/>
    </w:rPr>
  </w:style>
  <w:style w:type="paragraph" w:styleId="ListBullet">
    <w:name w:val="List Bullet"/>
    <w:basedOn w:val="Normal"/>
    <w:semiHidden/>
    <w:rsid w:val="000A4E2E"/>
    <w:pPr>
      <w:tabs>
        <w:tab w:val="num" w:pos="360"/>
      </w:tabs>
      <w:ind w:left="360" w:hanging="360"/>
      <w:contextualSpacing/>
    </w:pPr>
    <w:rPr>
      <w:rFonts w:eastAsia="Times New Roman" w:cs="Times New Roman"/>
      <w:szCs w:val="20"/>
    </w:rPr>
  </w:style>
  <w:style w:type="paragraph" w:styleId="ListBullet2">
    <w:name w:val="List Bullet 2"/>
    <w:basedOn w:val="Normal"/>
    <w:semiHidden/>
    <w:rsid w:val="000A4E2E"/>
    <w:pPr>
      <w:tabs>
        <w:tab w:val="num" w:pos="720"/>
      </w:tabs>
      <w:ind w:left="720" w:hanging="360"/>
      <w:contextualSpacing/>
    </w:pPr>
    <w:rPr>
      <w:rFonts w:eastAsia="Times New Roman" w:cs="Times New Roman"/>
      <w:szCs w:val="20"/>
    </w:rPr>
  </w:style>
  <w:style w:type="paragraph" w:styleId="ListBullet3">
    <w:name w:val="List Bullet 3"/>
    <w:basedOn w:val="Normal"/>
    <w:semiHidden/>
    <w:rsid w:val="000A4E2E"/>
    <w:pPr>
      <w:tabs>
        <w:tab w:val="num" w:pos="1080"/>
      </w:tabs>
      <w:ind w:left="1080" w:hanging="360"/>
      <w:contextualSpacing/>
    </w:pPr>
    <w:rPr>
      <w:rFonts w:eastAsia="Times New Roman" w:cs="Times New Roman"/>
      <w:szCs w:val="20"/>
    </w:rPr>
  </w:style>
  <w:style w:type="paragraph" w:styleId="ListBullet4">
    <w:name w:val="List Bullet 4"/>
    <w:basedOn w:val="Normal"/>
    <w:semiHidden/>
    <w:rsid w:val="000A4E2E"/>
    <w:pPr>
      <w:tabs>
        <w:tab w:val="num" w:pos="1440"/>
      </w:tabs>
      <w:ind w:left="1440" w:hanging="360"/>
      <w:contextualSpacing/>
    </w:pPr>
    <w:rPr>
      <w:rFonts w:eastAsia="Times New Roman" w:cs="Times New Roman"/>
      <w:szCs w:val="20"/>
    </w:rPr>
  </w:style>
  <w:style w:type="paragraph" w:styleId="ListBullet5">
    <w:name w:val="List Bullet 5"/>
    <w:basedOn w:val="Normal"/>
    <w:semiHidden/>
    <w:rsid w:val="000A4E2E"/>
    <w:pPr>
      <w:tabs>
        <w:tab w:val="num" w:pos="1800"/>
      </w:tabs>
      <w:ind w:left="1800" w:hanging="360"/>
      <w:contextualSpacing/>
    </w:pPr>
    <w:rPr>
      <w:rFonts w:eastAsia="Times New Roman" w:cs="Times New Roman"/>
      <w:szCs w:val="20"/>
    </w:rPr>
  </w:style>
  <w:style w:type="paragraph" w:styleId="ListContinue">
    <w:name w:val="List Continue"/>
    <w:basedOn w:val="Normal"/>
    <w:semiHidden/>
    <w:rsid w:val="000A4E2E"/>
    <w:pPr>
      <w:spacing w:after="120"/>
      <w:ind w:left="360"/>
      <w:contextualSpacing/>
    </w:pPr>
    <w:rPr>
      <w:rFonts w:eastAsia="Times New Roman" w:cs="Times New Roman"/>
      <w:szCs w:val="20"/>
    </w:rPr>
  </w:style>
  <w:style w:type="paragraph" w:styleId="ListContinue2">
    <w:name w:val="List Continue 2"/>
    <w:basedOn w:val="Normal"/>
    <w:semiHidden/>
    <w:rsid w:val="000A4E2E"/>
    <w:pPr>
      <w:spacing w:after="120"/>
      <w:ind w:left="720"/>
      <w:contextualSpacing/>
    </w:pPr>
    <w:rPr>
      <w:rFonts w:eastAsia="Times New Roman" w:cs="Times New Roman"/>
      <w:szCs w:val="20"/>
    </w:rPr>
  </w:style>
  <w:style w:type="paragraph" w:styleId="ListContinue3">
    <w:name w:val="List Continue 3"/>
    <w:basedOn w:val="Normal"/>
    <w:semiHidden/>
    <w:rsid w:val="000A4E2E"/>
    <w:pPr>
      <w:spacing w:after="120"/>
      <w:ind w:left="1080"/>
      <w:contextualSpacing/>
    </w:pPr>
    <w:rPr>
      <w:rFonts w:eastAsia="Times New Roman" w:cs="Times New Roman"/>
      <w:szCs w:val="20"/>
    </w:rPr>
  </w:style>
  <w:style w:type="paragraph" w:styleId="ListContinue4">
    <w:name w:val="List Continue 4"/>
    <w:basedOn w:val="Normal"/>
    <w:semiHidden/>
    <w:rsid w:val="000A4E2E"/>
    <w:pPr>
      <w:spacing w:after="120"/>
      <w:ind w:left="1440"/>
      <w:contextualSpacing/>
    </w:pPr>
    <w:rPr>
      <w:rFonts w:eastAsia="Times New Roman" w:cs="Times New Roman"/>
      <w:szCs w:val="20"/>
    </w:rPr>
  </w:style>
  <w:style w:type="paragraph" w:styleId="ListContinue5">
    <w:name w:val="List Continue 5"/>
    <w:basedOn w:val="Normal"/>
    <w:semiHidden/>
    <w:rsid w:val="000A4E2E"/>
    <w:pPr>
      <w:spacing w:after="120"/>
      <w:ind w:left="1800"/>
      <w:contextualSpacing/>
    </w:pPr>
    <w:rPr>
      <w:rFonts w:eastAsia="Times New Roman" w:cs="Times New Roman"/>
      <w:szCs w:val="20"/>
    </w:rPr>
  </w:style>
  <w:style w:type="paragraph" w:styleId="ListNumber">
    <w:name w:val="List Number"/>
    <w:basedOn w:val="Normal"/>
    <w:semiHidden/>
    <w:rsid w:val="000A4E2E"/>
    <w:pPr>
      <w:tabs>
        <w:tab w:val="num" w:pos="360"/>
      </w:tabs>
      <w:ind w:left="360" w:hanging="360"/>
      <w:contextualSpacing/>
    </w:pPr>
    <w:rPr>
      <w:rFonts w:eastAsia="Times New Roman" w:cs="Times New Roman"/>
      <w:szCs w:val="20"/>
    </w:rPr>
  </w:style>
  <w:style w:type="paragraph" w:styleId="ListNumber2">
    <w:name w:val="List Number 2"/>
    <w:basedOn w:val="Normal"/>
    <w:semiHidden/>
    <w:rsid w:val="000A4E2E"/>
    <w:pPr>
      <w:tabs>
        <w:tab w:val="num" w:pos="720"/>
      </w:tabs>
      <w:ind w:left="720" w:hanging="360"/>
      <w:contextualSpacing/>
    </w:pPr>
    <w:rPr>
      <w:rFonts w:eastAsia="Times New Roman" w:cs="Times New Roman"/>
      <w:szCs w:val="20"/>
    </w:rPr>
  </w:style>
  <w:style w:type="paragraph" w:styleId="ListNumber3">
    <w:name w:val="List Number 3"/>
    <w:basedOn w:val="Normal"/>
    <w:semiHidden/>
    <w:rsid w:val="000A4E2E"/>
    <w:pPr>
      <w:tabs>
        <w:tab w:val="num" w:pos="1080"/>
      </w:tabs>
      <w:ind w:left="1080" w:hanging="360"/>
      <w:contextualSpacing/>
    </w:pPr>
    <w:rPr>
      <w:rFonts w:eastAsia="Times New Roman" w:cs="Times New Roman"/>
      <w:szCs w:val="20"/>
    </w:rPr>
  </w:style>
  <w:style w:type="paragraph" w:styleId="ListNumber4">
    <w:name w:val="List Number 4"/>
    <w:basedOn w:val="Normal"/>
    <w:semiHidden/>
    <w:rsid w:val="000A4E2E"/>
    <w:pPr>
      <w:tabs>
        <w:tab w:val="num" w:pos="1440"/>
      </w:tabs>
      <w:ind w:left="1440" w:hanging="360"/>
      <w:contextualSpacing/>
    </w:pPr>
    <w:rPr>
      <w:rFonts w:eastAsia="Times New Roman" w:cs="Times New Roman"/>
      <w:szCs w:val="20"/>
    </w:rPr>
  </w:style>
  <w:style w:type="paragraph" w:styleId="ListNumber5">
    <w:name w:val="List Number 5"/>
    <w:basedOn w:val="Normal"/>
    <w:semiHidden/>
    <w:rsid w:val="000A4E2E"/>
    <w:pPr>
      <w:tabs>
        <w:tab w:val="num" w:pos="1800"/>
      </w:tabs>
      <w:ind w:left="1800" w:hanging="360"/>
      <w:contextualSpacing/>
    </w:pPr>
    <w:rPr>
      <w:rFonts w:eastAsia="Times New Roman" w:cs="Times New Roman"/>
      <w:szCs w:val="20"/>
    </w:rPr>
  </w:style>
  <w:style w:type="paragraph" w:styleId="ListParagraph">
    <w:name w:val="List Paragraph"/>
    <w:basedOn w:val="Normal"/>
    <w:uiPriority w:val="34"/>
    <w:qFormat/>
    <w:rsid w:val="000A4E2E"/>
    <w:pPr>
      <w:ind w:left="720"/>
    </w:pPr>
    <w:rPr>
      <w:rFonts w:eastAsia="Times New Roman" w:cs="Times New Roman"/>
      <w:szCs w:val="20"/>
    </w:rPr>
  </w:style>
  <w:style w:type="paragraph" w:styleId="MacroText">
    <w:name w:val="macro"/>
    <w:link w:val="MacroTextChar"/>
    <w:semiHidden/>
    <w:rsid w:val="000A4E2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0A4E2E"/>
    <w:rPr>
      <w:rFonts w:ascii="Courier New" w:eastAsia="Times New Roman" w:hAnsi="Courier New" w:cs="Courier New"/>
      <w:sz w:val="20"/>
      <w:szCs w:val="20"/>
    </w:rPr>
  </w:style>
  <w:style w:type="paragraph" w:styleId="MessageHeader">
    <w:name w:val="Message Header"/>
    <w:basedOn w:val="Normal"/>
    <w:link w:val="MessageHeaderChar"/>
    <w:semiHidden/>
    <w:rsid w:val="000A4E2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rPr>
  </w:style>
  <w:style w:type="character" w:customStyle="1" w:styleId="MessageHeaderChar">
    <w:name w:val="Message Header Char"/>
    <w:basedOn w:val="DefaultParagraphFont"/>
    <w:link w:val="MessageHeader"/>
    <w:semiHidden/>
    <w:rsid w:val="000A4E2E"/>
    <w:rPr>
      <w:rFonts w:ascii="Cambria" w:eastAsia="Times New Roman" w:hAnsi="Cambria" w:cs="Times New Roman"/>
      <w:shd w:val="pct20" w:color="auto" w:fill="auto"/>
    </w:rPr>
  </w:style>
  <w:style w:type="paragraph" w:styleId="NoSpacing">
    <w:name w:val="No Spacing"/>
    <w:uiPriority w:val="1"/>
    <w:qFormat/>
    <w:rsid w:val="000A4E2E"/>
    <w:rPr>
      <w:rFonts w:ascii="Times New Roman" w:eastAsia="Times New Roman" w:hAnsi="Times New Roman" w:cs="Times New Roman"/>
      <w:szCs w:val="20"/>
    </w:rPr>
  </w:style>
  <w:style w:type="paragraph" w:styleId="NormalWeb">
    <w:name w:val="Normal (Web)"/>
    <w:basedOn w:val="Normal"/>
    <w:uiPriority w:val="99"/>
    <w:semiHidden/>
    <w:rsid w:val="000A4E2E"/>
    <w:rPr>
      <w:rFonts w:eastAsia="Times New Roman" w:cs="Times New Roman"/>
    </w:rPr>
  </w:style>
  <w:style w:type="paragraph" w:styleId="NormalIndent">
    <w:name w:val="Normal Indent"/>
    <w:basedOn w:val="Normal"/>
    <w:semiHidden/>
    <w:rsid w:val="000A4E2E"/>
    <w:pPr>
      <w:ind w:left="720"/>
    </w:pPr>
    <w:rPr>
      <w:rFonts w:eastAsia="Times New Roman" w:cs="Times New Roman"/>
      <w:szCs w:val="20"/>
    </w:rPr>
  </w:style>
  <w:style w:type="paragraph" w:styleId="NoteHeading">
    <w:name w:val="Note Heading"/>
    <w:basedOn w:val="Normal"/>
    <w:next w:val="Normal"/>
    <w:link w:val="NoteHeadingChar"/>
    <w:semiHidden/>
    <w:rsid w:val="000A4E2E"/>
    <w:rPr>
      <w:rFonts w:eastAsia="Times New Roman" w:cs="Times New Roman"/>
      <w:szCs w:val="20"/>
    </w:rPr>
  </w:style>
  <w:style w:type="character" w:customStyle="1" w:styleId="NoteHeadingChar">
    <w:name w:val="Note Heading Char"/>
    <w:basedOn w:val="DefaultParagraphFont"/>
    <w:link w:val="NoteHeading"/>
    <w:semiHidden/>
    <w:rsid w:val="000A4E2E"/>
    <w:rPr>
      <w:rFonts w:ascii="Times New Roman" w:eastAsia="Times New Roman" w:hAnsi="Times New Roman" w:cs="Times New Roman"/>
      <w:szCs w:val="20"/>
    </w:rPr>
  </w:style>
  <w:style w:type="paragraph" w:styleId="PlainText">
    <w:name w:val="Plain Text"/>
    <w:basedOn w:val="Normal"/>
    <w:link w:val="PlainTextChar"/>
    <w:semiHidden/>
    <w:rsid w:val="000A4E2E"/>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0A4E2E"/>
    <w:rPr>
      <w:rFonts w:ascii="Courier New" w:eastAsia="Times New Roman" w:hAnsi="Courier New" w:cs="Courier New"/>
      <w:sz w:val="20"/>
      <w:szCs w:val="20"/>
    </w:rPr>
  </w:style>
  <w:style w:type="paragraph" w:styleId="Quote">
    <w:name w:val="Quote"/>
    <w:basedOn w:val="Normal"/>
    <w:next w:val="Normal"/>
    <w:link w:val="QuoteChar"/>
    <w:uiPriority w:val="29"/>
    <w:qFormat/>
    <w:rsid w:val="000A4E2E"/>
    <w:rPr>
      <w:rFonts w:eastAsia="Times New Roman" w:cs="Times New Roman"/>
      <w:i/>
      <w:iCs/>
      <w:color w:val="000000"/>
      <w:szCs w:val="20"/>
    </w:rPr>
  </w:style>
  <w:style w:type="character" w:customStyle="1" w:styleId="QuoteChar">
    <w:name w:val="Quote Char"/>
    <w:basedOn w:val="DefaultParagraphFont"/>
    <w:link w:val="Quote"/>
    <w:uiPriority w:val="29"/>
    <w:rsid w:val="000A4E2E"/>
    <w:rPr>
      <w:rFonts w:ascii="Times New Roman" w:eastAsia="Times New Roman" w:hAnsi="Times New Roman" w:cs="Times New Roman"/>
      <w:i/>
      <w:iCs/>
      <w:color w:val="000000"/>
      <w:szCs w:val="20"/>
    </w:rPr>
  </w:style>
  <w:style w:type="paragraph" w:styleId="Salutation">
    <w:name w:val="Salutation"/>
    <w:basedOn w:val="Normal"/>
    <w:next w:val="Normal"/>
    <w:link w:val="SalutationChar"/>
    <w:semiHidden/>
    <w:rsid w:val="000A4E2E"/>
    <w:rPr>
      <w:rFonts w:eastAsia="Times New Roman" w:cs="Times New Roman"/>
      <w:szCs w:val="20"/>
    </w:rPr>
  </w:style>
  <w:style w:type="character" w:customStyle="1" w:styleId="SalutationChar">
    <w:name w:val="Salutation Char"/>
    <w:basedOn w:val="DefaultParagraphFont"/>
    <w:link w:val="Salutation"/>
    <w:semiHidden/>
    <w:rsid w:val="000A4E2E"/>
    <w:rPr>
      <w:rFonts w:ascii="Times New Roman" w:eastAsia="Times New Roman" w:hAnsi="Times New Roman" w:cs="Times New Roman"/>
      <w:szCs w:val="20"/>
    </w:rPr>
  </w:style>
  <w:style w:type="paragraph" w:styleId="Signature">
    <w:name w:val="Signature"/>
    <w:basedOn w:val="Normal"/>
    <w:link w:val="SignatureChar"/>
    <w:semiHidden/>
    <w:rsid w:val="000A4E2E"/>
    <w:pPr>
      <w:ind w:left="4320"/>
    </w:pPr>
    <w:rPr>
      <w:rFonts w:eastAsia="Times New Roman" w:cs="Times New Roman"/>
      <w:szCs w:val="20"/>
    </w:rPr>
  </w:style>
  <w:style w:type="character" w:customStyle="1" w:styleId="SignatureChar">
    <w:name w:val="Signature Char"/>
    <w:basedOn w:val="DefaultParagraphFont"/>
    <w:link w:val="Signature"/>
    <w:semiHidden/>
    <w:rsid w:val="000A4E2E"/>
    <w:rPr>
      <w:rFonts w:ascii="Times New Roman" w:eastAsia="Times New Roman" w:hAnsi="Times New Roman" w:cs="Times New Roman"/>
      <w:szCs w:val="20"/>
    </w:rPr>
  </w:style>
  <w:style w:type="paragraph" w:styleId="Subtitle">
    <w:name w:val="Subtitle"/>
    <w:basedOn w:val="Normal"/>
    <w:next w:val="Normal"/>
    <w:link w:val="SubtitleChar"/>
    <w:qFormat/>
    <w:rsid w:val="000A4E2E"/>
    <w:pPr>
      <w:spacing w:after="60"/>
      <w:jc w:val="center"/>
      <w:outlineLvl w:val="1"/>
    </w:pPr>
    <w:rPr>
      <w:rFonts w:ascii="Cambria" w:eastAsia="Times New Roman" w:hAnsi="Cambria" w:cs="Times New Roman"/>
    </w:rPr>
  </w:style>
  <w:style w:type="character" w:customStyle="1" w:styleId="SubtitleChar">
    <w:name w:val="Subtitle Char"/>
    <w:basedOn w:val="DefaultParagraphFont"/>
    <w:link w:val="Subtitle"/>
    <w:rsid w:val="000A4E2E"/>
    <w:rPr>
      <w:rFonts w:ascii="Cambria" w:eastAsia="Times New Roman" w:hAnsi="Cambria" w:cs="Times New Roman"/>
    </w:rPr>
  </w:style>
  <w:style w:type="paragraph" w:styleId="TableofAuthorities">
    <w:name w:val="table of authorities"/>
    <w:basedOn w:val="Normal"/>
    <w:next w:val="Normal"/>
    <w:semiHidden/>
    <w:rsid w:val="000A4E2E"/>
    <w:pPr>
      <w:ind w:left="240" w:hanging="240"/>
    </w:pPr>
    <w:rPr>
      <w:rFonts w:eastAsia="Times New Roman" w:cs="Times New Roman"/>
      <w:szCs w:val="20"/>
    </w:rPr>
  </w:style>
  <w:style w:type="paragraph" w:styleId="TableofFigures">
    <w:name w:val="table of figures"/>
    <w:basedOn w:val="Normal"/>
    <w:next w:val="Normal"/>
    <w:uiPriority w:val="99"/>
    <w:rsid w:val="000A4E2E"/>
    <w:rPr>
      <w:rFonts w:eastAsia="Times New Roman" w:cs="Times New Roman"/>
      <w:szCs w:val="20"/>
    </w:rPr>
  </w:style>
  <w:style w:type="paragraph" w:styleId="Title">
    <w:name w:val="Title"/>
    <w:basedOn w:val="Normal"/>
    <w:next w:val="Normal"/>
    <w:link w:val="TitleChar"/>
    <w:qFormat/>
    <w:rsid w:val="000A4E2E"/>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0A4E2E"/>
    <w:rPr>
      <w:rFonts w:ascii="Cambria" w:eastAsia="Times New Roman" w:hAnsi="Cambria" w:cs="Times New Roman"/>
      <w:b/>
      <w:bCs/>
      <w:kern w:val="28"/>
      <w:sz w:val="32"/>
      <w:szCs w:val="32"/>
    </w:rPr>
  </w:style>
  <w:style w:type="paragraph" w:styleId="TOAHeading">
    <w:name w:val="toa heading"/>
    <w:basedOn w:val="Normal"/>
    <w:next w:val="Normal"/>
    <w:semiHidden/>
    <w:rsid w:val="000A4E2E"/>
    <w:pPr>
      <w:spacing w:before="120"/>
    </w:pPr>
    <w:rPr>
      <w:rFonts w:ascii="Cambria" w:eastAsia="Times New Roman" w:hAnsi="Cambria" w:cs="Times New Roman"/>
      <w:b/>
      <w:bCs/>
    </w:rPr>
  </w:style>
  <w:style w:type="paragraph" w:styleId="TOC1">
    <w:name w:val="toc 1"/>
    <w:basedOn w:val="Normal"/>
    <w:next w:val="Normal"/>
    <w:autoRedefine/>
    <w:uiPriority w:val="39"/>
    <w:rsid w:val="000A4E2E"/>
    <w:rPr>
      <w:rFonts w:eastAsia="Times New Roman" w:cs="Times New Roman"/>
      <w:szCs w:val="20"/>
    </w:rPr>
  </w:style>
  <w:style w:type="paragraph" w:styleId="TOC2">
    <w:name w:val="toc 2"/>
    <w:basedOn w:val="Normal"/>
    <w:next w:val="Normal"/>
    <w:autoRedefine/>
    <w:semiHidden/>
    <w:rsid w:val="000A4E2E"/>
    <w:pPr>
      <w:ind w:left="240"/>
    </w:pPr>
    <w:rPr>
      <w:rFonts w:eastAsia="Times New Roman" w:cs="Times New Roman"/>
      <w:szCs w:val="20"/>
    </w:rPr>
  </w:style>
  <w:style w:type="paragraph" w:styleId="TOC3">
    <w:name w:val="toc 3"/>
    <w:basedOn w:val="Normal"/>
    <w:next w:val="Normal"/>
    <w:autoRedefine/>
    <w:semiHidden/>
    <w:rsid w:val="000A4E2E"/>
    <w:pPr>
      <w:ind w:left="480"/>
    </w:pPr>
    <w:rPr>
      <w:rFonts w:eastAsia="Times New Roman" w:cs="Times New Roman"/>
      <w:szCs w:val="20"/>
    </w:rPr>
  </w:style>
  <w:style w:type="paragraph" w:styleId="TOC4">
    <w:name w:val="toc 4"/>
    <w:basedOn w:val="Normal"/>
    <w:next w:val="Normal"/>
    <w:autoRedefine/>
    <w:semiHidden/>
    <w:rsid w:val="000A4E2E"/>
    <w:pPr>
      <w:ind w:left="720"/>
    </w:pPr>
    <w:rPr>
      <w:rFonts w:eastAsia="Times New Roman" w:cs="Times New Roman"/>
      <w:szCs w:val="20"/>
    </w:rPr>
  </w:style>
  <w:style w:type="paragraph" w:styleId="TOC5">
    <w:name w:val="toc 5"/>
    <w:basedOn w:val="Normal"/>
    <w:next w:val="Normal"/>
    <w:autoRedefine/>
    <w:semiHidden/>
    <w:rsid w:val="000A4E2E"/>
    <w:pPr>
      <w:ind w:left="960"/>
    </w:pPr>
    <w:rPr>
      <w:rFonts w:eastAsia="Times New Roman" w:cs="Times New Roman"/>
      <w:szCs w:val="20"/>
    </w:rPr>
  </w:style>
  <w:style w:type="paragraph" w:styleId="TOC6">
    <w:name w:val="toc 6"/>
    <w:basedOn w:val="Normal"/>
    <w:next w:val="Normal"/>
    <w:autoRedefine/>
    <w:semiHidden/>
    <w:rsid w:val="000A4E2E"/>
    <w:pPr>
      <w:ind w:left="1200"/>
    </w:pPr>
    <w:rPr>
      <w:rFonts w:eastAsia="Times New Roman" w:cs="Times New Roman"/>
      <w:szCs w:val="20"/>
    </w:rPr>
  </w:style>
  <w:style w:type="paragraph" w:styleId="TOC7">
    <w:name w:val="toc 7"/>
    <w:basedOn w:val="Normal"/>
    <w:next w:val="Normal"/>
    <w:autoRedefine/>
    <w:semiHidden/>
    <w:rsid w:val="000A4E2E"/>
    <w:pPr>
      <w:ind w:left="1440"/>
    </w:pPr>
    <w:rPr>
      <w:rFonts w:eastAsia="Times New Roman" w:cs="Times New Roman"/>
      <w:szCs w:val="20"/>
    </w:rPr>
  </w:style>
  <w:style w:type="paragraph" w:styleId="TOC8">
    <w:name w:val="toc 8"/>
    <w:basedOn w:val="Normal"/>
    <w:next w:val="Normal"/>
    <w:autoRedefine/>
    <w:semiHidden/>
    <w:rsid w:val="000A4E2E"/>
    <w:pPr>
      <w:ind w:left="1680"/>
    </w:pPr>
    <w:rPr>
      <w:rFonts w:eastAsia="Times New Roman" w:cs="Times New Roman"/>
      <w:szCs w:val="20"/>
    </w:rPr>
  </w:style>
  <w:style w:type="paragraph" w:styleId="TOC9">
    <w:name w:val="toc 9"/>
    <w:basedOn w:val="Normal"/>
    <w:next w:val="Normal"/>
    <w:autoRedefine/>
    <w:semiHidden/>
    <w:rsid w:val="000A4E2E"/>
    <w:pPr>
      <w:ind w:left="1920"/>
    </w:pPr>
    <w:rPr>
      <w:rFonts w:eastAsia="Times New Roman" w:cs="Times New Roman"/>
      <w:szCs w:val="20"/>
    </w:rPr>
  </w:style>
  <w:style w:type="paragraph" w:styleId="TOCHeading">
    <w:name w:val="TOC Heading"/>
    <w:basedOn w:val="Heading1"/>
    <w:next w:val="Normal"/>
    <w:uiPriority w:val="39"/>
    <w:unhideWhenUsed/>
    <w:qFormat/>
    <w:rsid w:val="000A4E2E"/>
    <w:pPr>
      <w:outlineLvl w:val="9"/>
    </w:pPr>
    <w:rPr>
      <w:rFonts w:ascii="Cambria" w:hAnsi="Cambria"/>
      <w:sz w:val="32"/>
      <w:szCs w:val="32"/>
    </w:rPr>
  </w:style>
  <w:style w:type="character" w:styleId="PlaceholderText">
    <w:name w:val="Placeholder Text"/>
    <w:basedOn w:val="DefaultParagraphFont"/>
    <w:uiPriority w:val="99"/>
    <w:rsid w:val="000A4E2E"/>
    <w:rPr>
      <w:color w:val="808080"/>
    </w:rPr>
  </w:style>
  <w:style w:type="table" w:styleId="TableGrid">
    <w:name w:val="Table Grid"/>
    <w:basedOn w:val="TableNormal"/>
    <w:uiPriority w:val="59"/>
    <w:rsid w:val="000A4E2E"/>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0A4E2E"/>
    <w:rPr>
      <w:rFonts w:ascii="Times New Roman" w:eastAsia="Times New Roman" w:hAnsi="Times New Roman" w:cs="Times New Roman"/>
      <w:szCs w:val="20"/>
    </w:rPr>
  </w:style>
  <w:style w:type="table" w:styleId="PlainTable4">
    <w:name w:val="Plain Table 4"/>
    <w:basedOn w:val="TableNormal"/>
    <w:rsid w:val="000A4E2E"/>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0A4E2E"/>
    <w:rPr>
      <w:rFonts w:ascii="Times New Roman" w:eastAsia="Times New Roman" w:hAnsi="Times New Roman" w:cs="Times New Roman"/>
      <w:sz w:val="20"/>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9A6E7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30.bin"/><Relationship Id="rId84" Type="http://schemas.openxmlformats.org/officeDocument/2006/relationships/image" Target="media/image42.emf"/><Relationship Id="rId89" Type="http://schemas.openxmlformats.org/officeDocument/2006/relationships/oleObject" Target="embeddings/oleObject37.bin"/><Relationship Id="rId112" Type="http://schemas.openxmlformats.org/officeDocument/2006/relationships/image" Target="media/image57.emf"/><Relationship Id="rId16" Type="http://schemas.openxmlformats.org/officeDocument/2006/relationships/oleObject" Target="embeddings/oleObject4.bin"/><Relationship Id="rId107" Type="http://schemas.openxmlformats.org/officeDocument/2006/relationships/oleObject" Target="embeddings/oleObject46.bin"/><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emf"/><Relationship Id="rId102" Type="http://schemas.openxmlformats.org/officeDocument/2006/relationships/image" Target="media/image51.emf"/><Relationship Id="rId123" Type="http://schemas.openxmlformats.org/officeDocument/2006/relationships/image" Target="media/image68.emf"/><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oleObject" Target="embeddings/oleObject40.bin"/><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emf"/><Relationship Id="rId113" Type="http://schemas.openxmlformats.org/officeDocument/2006/relationships/image" Target="media/image58.emf"/><Relationship Id="rId118" Type="http://schemas.openxmlformats.org/officeDocument/2006/relationships/image" Target="media/image63.emf"/><Relationship Id="rId80" Type="http://schemas.openxmlformats.org/officeDocument/2006/relationships/image" Target="media/image38.emf"/><Relationship Id="rId85" Type="http://schemas.openxmlformats.org/officeDocument/2006/relationships/oleObject" Target="embeddings/oleObject35.bin"/><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oleObject" Target="embeddings/oleObject44.bin"/><Relationship Id="rId108" Type="http://schemas.openxmlformats.org/officeDocument/2006/relationships/image" Target="media/image54.emf"/><Relationship Id="rId124" Type="http://schemas.openxmlformats.org/officeDocument/2006/relationships/image" Target="media/image69.emf"/><Relationship Id="rId129" Type="http://schemas.openxmlformats.org/officeDocument/2006/relationships/footer" Target="footer2.xml"/><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emf"/><Relationship Id="rId91" Type="http://schemas.openxmlformats.org/officeDocument/2006/relationships/oleObject" Target="embeddings/oleObject38.bin"/><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image" Target="media/image59.emf"/><Relationship Id="rId119" Type="http://schemas.openxmlformats.org/officeDocument/2006/relationships/image" Target="media/image64.e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emf"/><Relationship Id="rId81" Type="http://schemas.openxmlformats.org/officeDocument/2006/relationships/image" Target="media/image39.emf"/><Relationship Id="rId86" Type="http://schemas.openxmlformats.org/officeDocument/2006/relationships/image" Target="media/image43.emf"/><Relationship Id="rId130"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oleObject" Target="embeddings/oleObject47.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oleObject" Target="embeddings/oleObject41.bin"/><Relationship Id="rId104" Type="http://schemas.openxmlformats.org/officeDocument/2006/relationships/image" Target="media/image52.emf"/><Relationship Id="rId120" Type="http://schemas.openxmlformats.org/officeDocument/2006/relationships/image" Target="media/image65.tif"/><Relationship Id="rId125"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oleObject" Target="embeddings/oleObject36.bin"/><Relationship Id="rId110" Type="http://schemas.openxmlformats.org/officeDocument/2006/relationships/image" Target="media/image55.tiff"/><Relationship Id="rId115" Type="http://schemas.openxmlformats.org/officeDocument/2006/relationships/image" Target="media/image60.emf"/><Relationship Id="rId131"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image" Target="media/image40.emf"/><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image" Target="media/image50.emf"/><Relationship Id="rId105" Type="http://schemas.openxmlformats.org/officeDocument/2006/relationships/oleObject" Target="embeddings/oleObject45.bin"/><Relationship Id="rId126" Type="http://schemas.openxmlformats.org/officeDocument/2006/relationships/image" Target="media/image71.emf"/><Relationship Id="rId8" Type="http://schemas.openxmlformats.org/officeDocument/2006/relationships/hyperlink" Target="mailto:virginia.pitzer@yale.edu" TargetMode="External"/><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oleObject" Target="embeddings/oleObject39.bin"/><Relationship Id="rId98" Type="http://schemas.openxmlformats.org/officeDocument/2006/relationships/image" Target="media/image49.emf"/><Relationship Id="rId121"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emf"/><Relationship Id="rId116" Type="http://schemas.openxmlformats.org/officeDocument/2006/relationships/image" Target="media/image61.emf"/><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41.emf"/><Relationship Id="rId88" Type="http://schemas.openxmlformats.org/officeDocument/2006/relationships/image" Target="media/image44.emf"/><Relationship Id="rId111" Type="http://schemas.openxmlformats.org/officeDocument/2006/relationships/image" Target="media/image56.emf"/><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emf"/><Relationship Id="rId106" Type="http://schemas.openxmlformats.org/officeDocument/2006/relationships/image" Target="media/image53.emf"/><Relationship Id="rId127" Type="http://schemas.openxmlformats.org/officeDocument/2006/relationships/image" Target="media/image72.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emf"/><Relationship Id="rId78" Type="http://schemas.openxmlformats.org/officeDocument/2006/relationships/image" Target="media/image36.emf"/><Relationship Id="rId94" Type="http://schemas.openxmlformats.org/officeDocument/2006/relationships/image" Target="media/image47.e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7.emf"/><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1F45D-D320-4E48-ACE7-E7D420AA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22980</Words>
  <Characters>130992</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Pitzer</dc:creator>
  <cp:keywords/>
  <dc:description/>
  <cp:lastModifiedBy>Virginia Pitzer</cp:lastModifiedBy>
  <cp:revision>3</cp:revision>
  <cp:lastPrinted>2019-08-04T14:41:00Z</cp:lastPrinted>
  <dcterms:created xsi:type="dcterms:W3CDTF">2019-08-04T16:14:00Z</dcterms:created>
  <dcterms:modified xsi:type="dcterms:W3CDTF">2019-08-04T19:55:00Z</dcterms:modified>
</cp:coreProperties>
</file>